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A11E0" w14:textId="14EAAAA2" w:rsidR="00167262" w:rsidRDefault="002814D9" w:rsidP="002814D9">
      <w:pPr>
        <w:pStyle w:val="Pagedecouverture"/>
        <w:rPr>
          <w:noProof/>
        </w:rPr>
      </w:pPr>
      <w:bookmarkStart w:id="0" w:name="LW_BM_COVERPAGE"/>
      <w:r>
        <w:rPr>
          <w:noProof/>
        </w:rPr>
        <w:pict w14:anchorId="59CDEF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alt="A3DF195F-E242-44B0-9637-9A1E2AACBA6E" style="width:455.25pt;height:336.75pt">
            <v:imagedata r:id="rId11" o:title=""/>
          </v:shape>
        </w:pict>
      </w:r>
    </w:p>
    <w:bookmarkEnd w:id="0"/>
    <w:p w14:paraId="5EDCD33E" w14:textId="77777777" w:rsidR="00014681" w:rsidRPr="00014681" w:rsidRDefault="00014681" w:rsidP="00014681">
      <w:pPr>
        <w:pStyle w:val="Pagedecouverture"/>
        <w:rPr>
          <w:noProof/>
        </w:rPr>
        <w:sectPr w:rsidR="00014681" w:rsidRPr="00014681" w:rsidSect="002814D9">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26"/>
        </w:sectPr>
      </w:pPr>
    </w:p>
    <w:bookmarkStart w:id="1" w:name="_GoBack" w:displacedByCustomXml="next"/>
    <w:bookmarkEnd w:id="1" w:displacedByCustomXml="next"/>
    <w:sdt>
      <w:sdtPr>
        <w:rPr>
          <w:rFonts w:ascii="Times New Roman" w:hAnsi="Times New Roman"/>
          <w:b w:val="0"/>
          <w:noProof/>
          <w:sz w:val="22"/>
        </w:rPr>
        <w:alias w:val="Cuprins"/>
        <w:tag w:val="eqT1QegFOKAi3zHpinqjV4"/>
        <w:id w:val="64073399"/>
      </w:sdtPr>
      <w:sdtEndPr/>
      <w:sdtContent>
        <w:p w14:paraId="046DEB9F" w14:textId="77777777" w:rsidR="00190177" w:rsidRPr="00261B88" w:rsidRDefault="002814D9">
          <w:pPr>
            <w:pStyle w:val="TOCHeading"/>
            <w:rPr>
              <w:noProof/>
            </w:rPr>
          </w:pPr>
          <w:sdt>
            <w:sdtPr>
              <w:rPr>
                <w:noProof/>
              </w:rPr>
              <w:id w:val="-214508680"/>
              <w:dataBinding w:xpath="/Texts/TOCHeading" w:storeItemID="{4EF90DE6-88B6-4264-9629-4D8DFDFE87D2}"/>
              <w:text w:multiLine="1"/>
            </w:sdtPr>
            <w:sdtEndPr/>
            <w:sdtContent>
              <w:r w:rsidR="007E088F" w:rsidRPr="00261B88">
                <w:rPr>
                  <w:noProof/>
                </w:rPr>
                <w:t>Cuprins</w:t>
              </w:r>
            </w:sdtContent>
          </w:sdt>
        </w:p>
        <w:p w14:paraId="26471413" w14:textId="1126BB9D" w:rsidR="00014681" w:rsidRPr="00261B88" w:rsidRDefault="004F6F3F">
          <w:pPr>
            <w:pStyle w:val="TOC1"/>
            <w:rPr>
              <w:rFonts w:asciiTheme="minorHAnsi" w:eastAsiaTheme="minorEastAsia" w:hAnsiTheme="minorHAnsi" w:cstheme="minorBidi"/>
              <w:noProof/>
              <w:sz w:val="22"/>
              <w:szCs w:val="22"/>
              <w:lang w:val="en-US" w:eastAsia="en-US"/>
            </w:rPr>
          </w:pPr>
          <w:r w:rsidRPr="00261B88">
            <w:rPr>
              <w:noProof/>
            </w:rPr>
            <w:fldChar w:fldCharType="begin"/>
          </w:r>
          <w:r w:rsidRPr="00261B88">
            <w:rPr>
              <w:noProof/>
            </w:rPr>
            <w:instrText>TOC \o "1-4" \h \z \t "ChapterTitle;5;PartTitle;5;SectionTitle;5;AnnexTitle;6" \* MERGEFORMAT</w:instrText>
          </w:r>
          <w:r w:rsidRPr="00261B88">
            <w:rPr>
              <w:noProof/>
            </w:rPr>
            <w:fldChar w:fldCharType="separate"/>
          </w:r>
          <w:hyperlink w:anchor="_Toc116029499" w:history="1">
            <w:r w:rsidR="00014681" w:rsidRPr="00261B88">
              <w:rPr>
                <w:rStyle w:val="Hyperlink"/>
                <w:noProof/>
              </w:rPr>
              <w:t>1.</w:t>
            </w:r>
            <w:r w:rsidR="00014681" w:rsidRPr="00261B88">
              <w:rPr>
                <w:rFonts w:asciiTheme="minorHAnsi" w:eastAsiaTheme="minorEastAsia" w:hAnsiTheme="minorHAnsi" w:cstheme="minorBidi"/>
                <w:noProof/>
                <w:sz w:val="22"/>
                <w:szCs w:val="22"/>
                <w:lang w:val="en-US" w:eastAsia="en-US"/>
              </w:rPr>
              <w:tab/>
            </w:r>
            <w:r w:rsidR="00014681" w:rsidRPr="00261B88">
              <w:rPr>
                <w:rStyle w:val="Hyperlink"/>
                <w:noProof/>
              </w:rPr>
              <w:t>Introducere</w:t>
            </w:r>
            <w:r w:rsidR="00014681" w:rsidRPr="00261B88">
              <w:rPr>
                <w:noProof/>
                <w:webHidden/>
              </w:rPr>
              <w:tab/>
            </w:r>
            <w:r w:rsidR="00014681" w:rsidRPr="00261B88">
              <w:rPr>
                <w:noProof/>
                <w:webHidden/>
              </w:rPr>
              <w:fldChar w:fldCharType="begin"/>
            </w:r>
            <w:r w:rsidR="00014681" w:rsidRPr="00261B88">
              <w:rPr>
                <w:noProof/>
                <w:webHidden/>
              </w:rPr>
              <w:instrText xml:space="preserve"> PAGEREF _Toc116029499 \h </w:instrText>
            </w:r>
            <w:r w:rsidR="00014681" w:rsidRPr="00261B88">
              <w:rPr>
                <w:noProof/>
                <w:webHidden/>
              </w:rPr>
            </w:r>
            <w:r w:rsidR="00014681" w:rsidRPr="00261B88">
              <w:rPr>
                <w:noProof/>
                <w:webHidden/>
              </w:rPr>
              <w:fldChar w:fldCharType="separate"/>
            </w:r>
            <w:r w:rsidR="00DB3FD6">
              <w:rPr>
                <w:noProof/>
                <w:webHidden/>
              </w:rPr>
              <w:t>6</w:t>
            </w:r>
            <w:r w:rsidR="00014681" w:rsidRPr="00261B88">
              <w:rPr>
                <w:noProof/>
                <w:webHidden/>
              </w:rPr>
              <w:fldChar w:fldCharType="end"/>
            </w:r>
          </w:hyperlink>
        </w:p>
        <w:p w14:paraId="0FD9E5D0" w14:textId="5B6D31C5" w:rsidR="00014681" w:rsidRPr="00261B88" w:rsidRDefault="002814D9">
          <w:pPr>
            <w:pStyle w:val="TOC2"/>
            <w:rPr>
              <w:rFonts w:asciiTheme="minorHAnsi" w:eastAsiaTheme="minorEastAsia" w:hAnsiTheme="minorHAnsi" w:cstheme="minorBidi"/>
              <w:b/>
              <w:sz w:val="22"/>
              <w:szCs w:val="22"/>
              <w:lang w:val="en-US" w:eastAsia="en-US"/>
            </w:rPr>
          </w:pPr>
          <w:hyperlink w:anchor="_Toc116029500" w:history="1">
            <w:r w:rsidR="00014681" w:rsidRPr="00261B88">
              <w:rPr>
                <w:rStyle w:val="Hyperlink"/>
                <w:b/>
              </w:rPr>
              <w:t>1.1.</w:t>
            </w:r>
            <w:r w:rsidR="00014681" w:rsidRPr="00261B88">
              <w:rPr>
                <w:rFonts w:asciiTheme="minorHAnsi" w:eastAsiaTheme="minorEastAsia" w:hAnsiTheme="minorHAnsi" w:cstheme="minorBidi"/>
                <w:b/>
                <w:sz w:val="22"/>
                <w:szCs w:val="22"/>
                <w:lang w:val="en-US" w:eastAsia="en-US"/>
              </w:rPr>
              <w:tab/>
            </w:r>
            <w:r w:rsidR="00014681" w:rsidRPr="00261B88">
              <w:rPr>
                <w:rStyle w:val="Hyperlink"/>
                <w:b/>
              </w:rPr>
              <w:t>Concepte-cheie</w:t>
            </w:r>
            <w:r w:rsidR="00014681" w:rsidRPr="00261B88">
              <w:rPr>
                <w:b/>
                <w:webHidden/>
              </w:rPr>
              <w:tab/>
            </w:r>
            <w:r w:rsidR="00014681" w:rsidRPr="00261B88">
              <w:rPr>
                <w:b/>
                <w:webHidden/>
              </w:rPr>
              <w:fldChar w:fldCharType="begin"/>
            </w:r>
            <w:r w:rsidR="00014681" w:rsidRPr="00261B88">
              <w:rPr>
                <w:b/>
                <w:webHidden/>
              </w:rPr>
              <w:instrText xml:space="preserve"> PAGEREF _Toc116029500 \h </w:instrText>
            </w:r>
            <w:r w:rsidR="00014681" w:rsidRPr="00261B88">
              <w:rPr>
                <w:b/>
                <w:webHidden/>
              </w:rPr>
            </w:r>
            <w:r w:rsidR="00014681" w:rsidRPr="00261B88">
              <w:rPr>
                <w:b/>
                <w:webHidden/>
              </w:rPr>
              <w:fldChar w:fldCharType="separate"/>
            </w:r>
            <w:r w:rsidR="00DB3FD6">
              <w:rPr>
                <w:b/>
                <w:webHidden/>
              </w:rPr>
              <w:t>6</w:t>
            </w:r>
            <w:r w:rsidR="00014681" w:rsidRPr="00261B88">
              <w:rPr>
                <w:b/>
                <w:webHidden/>
              </w:rPr>
              <w:fldChar w:fldCharType="end"/>
            </w:r>
          </w:hyperlink>
        </w:p>
        <w:p w14:paraId="355205ED" w14:textId="585A9D89" w:rsidR="00014681" w:rsidRPr="00261B88" w:rsidRDefault="002814D9">
          <w:pPr>
            <w:pStyle w:val="TOC2"/>
            <w:rPr>
              <w:rFonts w:asciiTheme="minorHAnsi" w:eastAsiaTheme="minorEastAsia" w:hAnsiTheme="minorHAnsi" w:cstheme="minorBidi"/>
              <w:b/>
              <w:sz w:val="22"/>
              <w:szCs w:val="22"/>
              <w:lang w:val="en-US" w:eastAsia="en-US"/>
            </w:rPr>
          </w:pPr>
          <w:hyperlink w:anchor="_Toc116029501" w:history="1">
            <w:r w:rsidR="00014681" w:rsidRPr="00261B88">
              <w:rPr>
                <w:rStyle w:val="Hyperlink"/>
                <w:b/>
              </w:rPr>
              <w:t>1.2.</w:t>
            </w:r>
            <w:r w:rsidR="00014681" w:rsidRPr="00261B88">
              <w:rPr>
                <w:rFonts w:asciiTheme="minorHAnsi" w:eastAsiaTheme="minorEastAsia" w:hAnsiTheme="minorHAnsi" w:cstheme="minorBidi"/>
                <w:b/>
                <w:sz w:val="22"/>
                <w:szCs w:val="22"/>
                <w:lang w:val="en-US" w:eastAsia="en-US"/>
              </w:rPr>
              <w:tab/>
            </w:r>
            <w:r w:rsidR="00014681" w:rsidRPr="00261B88">
              <w:rPr>
                <w:rStyle w:val="Hyperlink"/>
                <w:b/>
              </w:rPr>
              <w:t>Interesele financiare ale UE în 2021</w:t>
            </w:r>
            <w:r w:rsidR="00014681" w:rsidRPr="00261B88">
              <w:rPr>
                <w:b/>
                <w:webHidden/>
              </w:rPr>
              <w:tab/>
            </w:r>
            <w:r w:rsidR="00014681" w:rsidRPr="00261B88">
              <w:rPr>
                <w:b/>
                <w:webHidden/>
              </w:rPr>
              <w:fldChar w:fldCharType="begin"/>
            </w:r>
            <w:r w:rsidR="00014681" w:rsidRPr="00261B88">
              <w:rPr>
                <w:b/>
                <w:webHidden/>
              </w:rPr>
              <w:instrText xml:space="preserve"> PAGEREF _Toc116029501 \h </w:instrText>
            </w:r>
            <w:r w:rsidR="00014681" w:rsidRPr="00261B88">
              <w:rPr>
                <w:b/>
                <w:webHidden/>
              </w:rPr>
            </w:r>
            <w:r w:rsidR="00014681" w:rsidRPr="00261B88">
              <w:rPr>
                <w:b/>
                <w:webHidden/>
              </w:rPr>
              <w:fldChar w:fldCharType="separate"/>
            </w:r>
            <w:r w:rsidR="00DB3FD6">
              <w:rPr>
                <w:b/>
                <w:webHidden/>
              </w:rPr>
              <w:t>7</w:t>
            </w:r>
            <w:r w:rsidR="00014681" w:rsidRPr="00261B88">
              <w:rPr>
                <w:b/>
                <w:webHidden/>
              </w:rPr>
              <w:fldChar w:fldCharType="end"/>
            </w:r>
          </w:hyperlink>
        </w:p>
        <w:p w14:paraId="26BA12C4" w14:textId="49829F52" w:rsidR="00014681" w:rsidRPr="00261B88" w:rsidRDefault="002814D9">
          <w:pPr>
            <w:pStyle w:val="TOC1"/>
            <w:rPr>
              <w:rFonts w:asciiTheme="minorHAnsi" w:eastAsiaTheme="minorEastAsia" w:hAnsiTheme="minorHAnsi" w:cstheme="minorBidi"/>
              <w:noProof/>
              <w:sz w:val="22"/>
              <w:szCs w:val="22"/>
              <w:lang w:val="en-US" w:eastAsia="en-US"/>
            </w:rPr>
          </w:pPr>
          <w:hyperlink w:anchor="_Toc116029502" w:history="1">
            <w:r w:rsidR="00014681" w:rsidRPr="00261B88">
              <w:rPr>
                <w:rStyle w:val="Hyperlink"/>
                <w:noProof/>
              </w:rPr>
              <w:t>2.</w:t>
            </w:r>
            <w:r w:rsidR="00014681" w:rsidRPr="00261B88">
              <w:rPr>
                <w:rFonts w:asciiTheme="minorHAnsi" w:eastAsiaTheme="minorEastAsia" w:hAnsiTheme="minorHAnsi" w:cstheme="minorBidi"/>
                <w:noProof/>
                <w:sz w:val="22"/>
                <w:szCs w:val="22"/>
                <w:lang w:val="en-US" w:eastAsia="en-US"/>
              </w:rPr>
              <w:tab/>
            </w:r>
            <w:r w:rsidR="00014681" w:rsidRPr="00261B88">
              <w:rPr>
                <w:rStyle w:val="Hyperlink"/>
                <w:noProof/>
              </w:rPr>
              <w:t>Momente importante în 2021</w:t>
            </w:r>
            <w:r w:rsidR="00014681" w:rsidRPr="00261B88">
              <w:rPr>
                <w:noProof/>
                <w:webHidden/>
              </w:rPr>
              <w:tab/>
            </w:r>
            <w:r w:rsidR="00014681" w:rsidRPr="00261B88">
              <w:rPr>
                <w:noProof/>
                <w:webHidden/>
              </w:rPr>
              <w:fldChar w:fldCharType="begin"/>
            </w:r>
            <w:r w:rsidR="00014681" w:rsidRPr="00261B88">
              <w:rPr>
                <w:noProof/>
                <w:webHidden/>
              </w:rPr>
              <w:instrText xml:space="preserve"> PAGEREF _Toc116029502 \h </w:instrText>
            </w:r>
            <w:r w:rsidR="00014681" w:rsidRPr="00261B88">
              <w:rPr>
                <w:noProof/>
                <w:webHidden/>
              </w:rPr>
            </w:r>
            <w:r w:rsidR="00014681" w:rsidRPr="00261B88">
              <w:rPr>
                <w:noProof/>
                <w:webHidden/>
              </w:rPr>
              <w:fldChar w:fldCharType="separate"/>
            </w:r>
            <w:r w:rsidR="00DB3FD6">
              <w:rPr>
                <w:noProof/>
                <w:webHidden/>
              </w:rPr>
              <w:t>9</w:t>
            </w:r>
            <w:r w:rsidR="00014681" w:rsidRPr="00261B88">
              <w:rPr>
                <w:noProof/>
                <w:webHidden/>
              </w:rPr>
              <w:fldChar w:fldCharType="end"/>
            </w:r>
          </w:hyperlink>
        </w:p>
        <w:p w14:paraId="4B6EAF7C" w14:textId="216DCB04" w:rsidR="00014681" w:rsidRPr="00261B88" w:rsidRDefault="002814D9">
          <w:pPr>
            <w:pStyle w:val="TOC2"/>
            <w:rPr>
              <w:rFonts w:asciiTheme="minorHAnsi" w:eastAsiaTheme="minorEastAsia" w:hAnsiTheme="minorHAnsi" w:cstheme="minorBidi"/>
              <w:b/>
              <w:sz w:val="22"/>
              <w:szCs w:val="22"/>
              <w:lang w:val="en-US" w:eastAsia="en-US"/>
            </w:rPr>
          </w:pPr>
          <w:hyperlink w:anchor="_Toc116029503" w:history="1">
            <w:r w:rsidR="00014681" w:rsidRPr="00261B88">
              <w:rPr>
                <w:rStyle w:val="Hyperlink"/>
                <w:b/>
              </w:rPr>
              <w:t>2.1.</w:t>
            </w:r>
            <w:r w:rsidR="00014681" w:rsidRPr="00261B88">
              <w:rPr>
                <w:rFonts w:asciiTheme="minorHAnsi" w:eastAsiaTheme="minorEastAsia" w:hAnsiTheme="minorHAnsi" w:cstheme="minorBidi"/>
                <w:b/>
                <w:sz w:val="22"/>
                <w:szCs w:val="22"/>
                <w:lang w:val="en-US" w:eastAsia="en-US"/>
              </w:rPr>
              <w:tab/>
            </w:r>
            <w:r w:rsidR="00014681" w:rsidRPr="00261B88">
              <w:rPr>
                <w:rStyle w:val="Hyperlink"/>
                <w:b/>
              </w:rPr>
              <w:t>Principalele acte adoptate</w:t>
            </w:r>
            <w:r w:rsidR="00014681" w:rsidRPr="00261B88">
              <w:rPr>
                <w:b/>
                <w:webHidden/>
              </w:rPr>
              <w:tab/>
            </w:r>
            <w:r w:rsidR="00014681" w:rsidRPr="00261B88">
              <w:rPr>
                <w:b/>
                <w:webHidden/>
              </w:rPr>
              <w:fldChar w:fldCharType="begin"/>
            </w:r>
            <w:r w:rsidR="00014681" w:rsidRPr="00261B88">
              <w:rPr>
                <w:b/>
                <w:webHidden/>
              </w:rPr>
              <w:instrText xml:space="preserve"> PAGEREF _Toc116029503 \h </w:instrText>
            </w:r>
            <w:r w:rsidR="00014681" w:rsidRPr="00261B88">
              <w:rPr>
                <w:b/>
                <w:webHidden/>
              </w:rPr>
            </w:r>
            <w:r w:rsidR="00014681" w:rsidRPr="00261B88">
              <w:rPr>
                <w:b/>
                <w:webHidden/>
              </w:rPr>
              <w:fldChar w:fldCharType="separate"/>
            </w:r>
            <w:r w:rsidR="00DB3FD6">
              <w:rPr>
                <w:b/>
                <w:webHidden/>
              </w:rPr>
              <w:t>9</w:t>
            </w:r>
            <w:r w:rsidR="00014681" w:rsidRPr="00261B88">
              <w:rPr>
                <w:b/>
                <w:webHidden/>
              </w:rPr>
              <w:fldChar w:fldCharType="end"/>
            </w:r>
          </w:hyperlink>
        </w:p>
        <w:p w14:paraId="704F106B" w14:textId="3CB0DD30" w:rsidR="00014681" w:rsidRPr="00261B88" w:rsidRDefault="002814D9">
          <w:pPr>
            <w:pStyle w:val="TOC2"/>
            <w:rPr>
              <w:rFonts w:asciiTheme="minorHAnsi" w:eastAsiaTheme="minorEastAsia" w:hAnsiTheme="minorHAnsi" w:cstheme="minorBidi"/>
              <w:b/>
              <w:sz w:val="22"/>
              <w:szCs w:val="22"/>
              <w:lang w:val="en-US" w:eastAsia="en-US"/>
            </w:rPr>
          </w:pPr>
          <w:hyperlink w:anchor="_Toc116029504" w:history="1">
            <w:r w:rsidR="00014681" w:rsidRPr="00261B88">
              <w:rPr>
                <w:rStyle w:val="Hyperlink"/>
                <w:b/>
              </w:rPr>
              <w:t>2.2.</w:t>
            </w:r>
            <w:r w:rsidR="00014681" w:rsidRPr="00261B88">
              <w:rPr>
                <w:rFonts w:asciiTheme="minorHAnsi" w:eastAsiaTheme="minorEastAsia" w:hAnsiTheme="minorHAnsi" w:cstheme="minorBidi"/>
                <w:b/>
                <w:sz w:val="22"/>
                <w:szCs w:val="22"/>
                <w:lang w:val="en-US" w:eastAsia="en-US"/>
              </w:rPr>
              <w:tab/>
            </w:r>
            <w:r w:rsidR="00014681" w:rsidRPr="00261B88">
              <w:rPr>
                <w:rStyle w:val="Hyperlink"/>
                <w:b/>
              </w:rPr>
              <w:t>Jurisprudența în materie de PIF</w:t>
            </w:r>
            <w:r w:rsidR="00014681" w:rsidRPr="00261B88">
              <w:rPr>
                <w:b/>
                <w:webHidden/>
              </w:rPr>
              <w:tab/>
            </w:r>
            <w:r w:rsidR="00014681" w:rsidRPr="00261B88">
              <w:rPr>
                <w:b/>
                <w:webHidden/>
              </w:rPr>
              <w:fldChar w:fldCharType="begin"/>
            </w:r>
            <w:r w:rsidR="00014681" w:rsidRPr="00261B88">
              <w:rPr>
                <w:b/>
                <w:webHidden/>
              </w:rPr>
              <w:instrText xml:space="preserve"> PAGEREF _Toc116029504 \h </w:instrText>
            </w:r>
            <w:r w:rsidR="00014681" w:rsidRPr="00261B88">
              <w:rPr>
                <w:b/>
                <w:webHidden/>
              </w:rPr>
            </w:r>
            <w:r w:rsidR="00014681" w:rsidRPr="00261B88">
              <w:rPr>
                <w:b/>
                <w:webHidden/>
              </w:rPr>
              <w:fldChar w:fldCharType="separate"/>
            </w:r>
            <w:r w:rsidR="00DB3FD6">
              <w:rPr>
                <w:b/>
                <w:webHidden/>
              </w:rPr>
              <w:t>10</w:t>
            </w:r>
            <w:r w:rsidR="00014681" w:rsidRPr="00261B88">
              <w:rPr>
                <w:b/>
                <w:webHidden/>
              </w:rPr>
              <w:fldChar w:fldCharType="end"/>
            </w:r>
          </w:hyperlink>
        </w:p>
        <w:p w14:paraId="2435DA0D" w14:textId="1941A4C4" w:rsidR="00014681" w:rsidRPr="00261B88" w:rsidRDefault="002814D9">
          <w:pPr>
            <w:pStyle w:val="TOC1"/>
            <w:rPr>
              <w:rFonts w:asciiTheme="minorHAnsi" w:eastAsiaTheme="minorEastAsia" w:hAnsiTheme="minorHAnsi" w:cstheme="minorBidi"/>
              <w:noProof/>
              <w:sz w:val="22"/>
              <w:szCs w:val="22"/>
              <w:lang w:val="en-US" w:eastAsia="en-US"/>
            </w:rPr>
          </w:pPr>
          <w:hyperlink w:anchor="_Toc116029505" w:history="1">
            <w:r w:rsidR="00014681" w:rsidRPr="00261B88">
              <w:rPr>
                <w:rStyle w:val="Hyperlink"/>
                <w:noProof/>
              </w:rPr>
              <w:t>3.</w:t>
            </w:r>
            <w:r w:rsidR="00014681" w:rsidRPr="00261B88">
              <w:rPr>
                <w:rFonts w:asciiTheme="minorHAnsi" w:eastAsiaTheme="minorEastAsia" w:hAnsiTheme="minorHAnsi" w:cstheme="minorBidi"/>
                <w:noProof/>
                <w:sz w:val="22"/>
                <w:szCs w:val="22"/>
                <w:lang w:val="en-US" w:eastAsia="en-US"/>
              </w:rPr>
              <w:tab/>
            </w:r>
            <w:r w:rsidR="00014681" w:rsidRPr="00261B88">
              <w:rPr>
                <w:rStyle w:val="Hyperlink"/>
                <w:noProof/>
              </w:rPr>
              <w:t>Arhitectura antifraudă a UE</w:t>
            </w:r>
            <w:r w:rsidR="00014681" w:rsidRPr="00261B88">
              <w:rPr>
                <w:noProof/>
                <w:webHidden/>
              </w:rPr>
              <w:tab/>
            </w:r>
            <w:r w:rsidR="00014681" w:rsidRPr="00261B88">
              <w:rPr>
                <w:noProof/>
                <w:webHidden/>
              </w:rPr>
              <w:fldChar w:fldCharType="begin"/>
            </w:r>
            <w:r w:rsidR="00014681" w:rsidRPr="00261B88">
              <w:rPr>
                <w:noProof/>
                <w:webHidden/>
              </w:rPr>
              <w:instrText xml:space="preserve"> PAGEREF _Toc116029505 \h </w:instrText>
            </w:r>
            <w:r w:rsidR="00014681" w:rsidRPr="00261B88">
              <w:rPr>
                <w:noProof/>
                <w:webHidden/>
              </w:rPr>
            </w:r>
            <w:r w:rsidR="00014681" w:rsidRPr="00261B88">
              <w:rPr>
                <w:noProof/>
                <w:webHidden/>
              </w:rPr>
              <w:fldChar w:fldCharType="separate"/>
            </w:r>
            <w:r w:rsidR="00DB3FD6">
              <w:rPr>
                <w:noProof/>
                <w:webHidden/>
              </w:rPr>
              <w:t>11</w:t>
            </w:r>
            <w:r w:rsidR="00014681" w:rsidRPr="00261B88">
              <w:rPr>
                <w:noProof/>
                <w:webHidden/>
              </w:rPr>
              <w:fldChar w:fldCharType="end"/>
            </w:r>
          </w:hyperlink>
        </w:p>
        <w:p w14:paraId="40FADDE5" w14:textId="32A54A28" w:rsidR="00014681" w:rsidRPr="00261B88" w:rsidRDefault="002814D9">
          <w:pPr>
            <w:pStyle w:val="TOC2"/>
            <w:rPr>
              <w:rFonts w:asciiTheme="minorHAnsi" w:eastAsiaTheme="minorEastAsia" w:hAnsiTheme="minorHAnsi" w:cstheme="minorBidi"/>
              <w:b/>
              <w:sz w:val="22"/>
              <w:szCs w:val="22"/>
              <w:lang w:val="en-US" w:eastAsia="en-US"/>
            </w:rPr>
          </w:pPr>
          <w:hyperlink w:anchor="_Toc116029506" w:history="1">
            <w:r w:rsidR="00014681" w:rsidRPr="00261B88">
              <w:rPr>
                <w:rStyle w:val="Hyperlink"/>
                <w:b/>
              </w:rPr>
              <w:t>3.1.</w:t>
            </w:r>
            <w:r w:rsidR="00014681" w:rsidRPr="00261B88">
              <w:rPr>
                <w:rFonts w:asciiTheme="minorHAnsi" w:eastAsiaTheme="minorEastAsia" w:hAnsiTheme="minorHAnsi" w:cstheme="minorBidi"/>
                <w:b/>
                <w:sz w:val="22"/>
                <w:szCs w:val="22"/>
                <w:lang w:val="en-US" w:eastAsia="en-US"/>
              </w:rPr>
              <w:tab/>
            </w:r>
            <w:r w:rsidR="00014681" w:rsidRPr="00261B88">
              <w:rPr>
                <w:rStyle w:val="Hyperlink"/>
                <w:b/>
              </w:rPr>
              <w:t>La nivel european</w:t>
            </w:r>
            <w:r w:rsidR="00014681" w:rsidRPr="00261B88">
              <w:rPr>
                <w:b/>
                <w:webHidden/>
              </w:rPr>
              <w:tab/>
            </w:r>
            <w:r w:rsidR="00014681" w:rsidRPr="00261B88">
              <w:rPr>
                <w:b/>
                <w:webHidden/>
              </w:rPr>
              <w:fldChar w:fldCharType="begin"/>
            </w:r>
            <w:r w:rsidR="00014681" w:rsidRPr="00261B88">
              <w:rPr>
                <w:b/>
                <w:webHidden/>
              </w:rPr>
              <w:instrText xml:space="preserve"> PAGEREF _Toc116029506 \h </w:instrText>
            </w:r>
            <w:r w:rsidR="00014681" w:rsidRPr="00261B88">
              <w:rPr>
                <w:b/>
                <w:webHidden/>
              </w:rPr>
            </w:r>
            <w:r w:rsidR="00014681" w:rsidRPr="00261B88">
              <w:rPr>
                <w:b/>
                <w:webHidden/>
              </w:rPr>
              <w:fldChar w:fldCharType="separate"/>
            </w:r>
            <w:r w:rsidR="00DB3FD6">
              <w:rPr>
                <w:b/>
                <w:webHidden/>
              </w:rPr>
              <w:t>12</w:t>
            </w:r>
            <w:r w:rsidR="00014681" w:rsidRPr="00261B88">
              <w:rPr>
                <w:b/>
                <w:webHidden/>
              </w:rPr>
              <w:fldChar w:fldCharType="end"/>
            </w:r>
          </w:hyperlink>
        </w:p>
        <w:p w14:paraId="731F645E" w14:textId="7DD162B3" w:rsidR="00014681" w:rsidRPr="00261B88" w:rsidRDefault="002814D9">
          <w:pPr>
            <w:pStyle w:val="TOC3"/>
            <w:rPr>
              <w:rFonts w:asciiTheme="minorHAnsi" w:eastAsiaTheme="minorEastAsia" w:hAnsiTheme="minorHAnsi" w:cstheme="minorBidi"/>
              <w:b/>
              <w:noProof/>
              <w:sz w:val="22"/>
              <w:szCs w:val="22"/>
              <w:lang w:val="en-US" w:eastAsia="en-US"/>
            </w:rPr>
          </w:pPr>
          <w:hyperlink w:anchor="_Toc116029507" w:history="1">
            <w:r w:rsidR="00014681" w:rsidRPr="00261B88">
              <w:rPr>
                <w:rStyle w:val="Hyperlink"/>
                <w:b/>
                <w:noProof/>
              </w:rPr>
              <w:t>3.1.1.</w:t>
            </w:r>
            <w:r w:rsidR="00014681" w:rsidRPr="00261B88">
              <w:rPr>
                <w:rFonts w:asciiTheme="minorHAnsi" w:eastAsiaTheme="minorEastAsia" w:hAnsiTheme="minorHAnsi" w:cstheme="minorBidi"/>
                <w:b/>
                <w:noProof/>
                <w:sz w:val="22"/>
                <w:szCs w:val="22"/>
                <w:lang w:val="en-US" w:eastAsia="en-US"/>
              </w:rPr>
              <w:tab/>
            </w:r>
            <w:r w:rsidR="00014681" w:rsidRPr="00261B88">
              <w:rPr>
                <w:rStyle w:val="Hyperlink"/>
                <w:b/>
                <w:noProof/>
              </w:rPr>
              <w:t>Parlamentul European</w:t>
            </w:r>
            <w:r w:rsidR="00014681" w:rsidRPr="00261B88">
              <w:rPr>
                <w:b/>
                <w:noProof/>
                <w:webHidden/>
              </w:rPr>
              <w:tab/>
            </w:r>
            <w:r w:rsidR="00014681" w:rsidRPr="00261B88">
              <w:rPr>
                <w:b/>
                <w:noProof/>
                <w:webHidden/>
              </w:rPr>
              <w:fldChar w:fldCharType="begin"/>
            </w:r>
            <w:r w:rsidR="00014681" w:rsidRPr="00261B88">
              <w:rPr>
                <w:b/>
                <w:noProof/>
                <w:webHidden/>
              </w:rPr>
              <w:instrText xml:space="preserve"> PAGEREF _Toc116029507 \h </w:instrText>
            </w:r>
            <w:r w:rsidR="00014681" w:rsidRPr="00261B88">
              <w:rPr>
                <w:b/>
                <w:noProof/>
                <w:webHidden/>
              </w:rPr>
            </w:r>
            <w:r w:rsidR="00014681" w:rsidRPr="00261B88">
              <w:rPr>
                <w:b/>
                <w:noProof/>
                <w:webHidden/>
              </w:rPr>
              <w:fldChar w:fldCharType="separate"/>
            </w:r>
            <w:r w:rsidR="00DB3FD6">
              <w:rPr>
                <w:b/>
                <w:noProof/>
                <w:webHidden/>
              </w:rPr>
              <w:t>12</w:t>
            </w:r>
            <w:r w:rsidR="00014681" w:rsidRPr="00261B88">
              <w:rPr>
                <w:b/>
                <w:noProof/>
                <w:webHidden/>
              </w:rPr>
              <w:fldChar w:fldCharType="end"/>
            </w:r>
          </w:hyperlink>
        </w:p>
        <w:p w14:paraId="165A639C" w14:textId="38E9B12F" w:rsidR="00014681" w:rsidRPr="00261B88" w:rsidRDefault="002814D9">
          <w:pPr>
            <w:pStyle w:val="TOC3"/>
            <w:rPr>
              <w:rFonts w:asciiTheme="minorHAnsi" w:eastAsiaTheme="minorEastAsia" w:hAnsiTheme="minorHAnsi" w:cstheme="minorBidi"/>
              <w:b/>
              <w:noProof/>
              <w:sz w:val="22"/>
              <w:szCs w:val="22"/>
              <w:lang w:val="en-US" w:eastAsia="en-US"/>
            </w:rPr>
          </w:pPr>
          <w:hyperlink w:anchor="_Toc116029508" w:history="1">
            <w:r w:rsidR="00014681" w:rsidRPr="00261B88">
              <w:rPr>
                <w:rStyle w:val="Hyperlink"/>
                <w:b/>
                <w:noProof/>
              </w:rPr>
              <w:t>3.1.2.</w:t>
            </w:r>
            <w:r w:rsidR="00014681" w:rsidRPr="00261B88">
              <w:rPr>
                <w:rFonts w:asciiTheme="minorHAnsi" w:eastAsiaTheme="minorEastAsia" w:hAnsiTheme="minorHAnsi" w:cstheme="minorBidi"/>
                <w:b/>
                <w:noProof/>
                <w:sz w:val="22"/>
                <w:szCs w:val="22"/>
                <w:lang w:val="en-US" w:eastAsia="en-US"/>
              </w:rPr>
              <w:tab/>
            </w:r>
            <w:r w:rsidR="00014681" w:rsidRPr="00261B88">
              <w:rPr>
                <w:rStyle w:val="Hyperlink"/>
                <w:b/>
                <w:noProof/>
              </w:rPr>
              <w:t>Consiliul</w:t>
            </w:r>
            <w:r w:rsidR="00014681" w:rsidRPr="00261B88">
              <w:rPr>
                <w:b/>
                <w:noProof/>
                <w:webHidden/>
              </w:rPr>
              <w:tab/>
            </w:r>
            <w:r w:rsidR="00014681" w:rsidRPr="00261B88">
              <w:rPr>
                <w:b/>
                <w:noProof/>
                <w:webHidden/>
              </w:rPr>
              <w:fldChar w:fldCharType="begin"/>
            </w:r>
            <w:r w:rsidR="00014681" w:rsidRPr="00261B88">
              <w:rPr>
                <w:b/>
                <w:noProof/>
                <w:webHidden/>
              </w:rPr>
              <w:instrText xml:space="preserve"> PAGEREF _Toc116029508 \h </w:instrText>
            </w:r>
            <w:r w:rsidR="00014681" w:rsidRPr="00261B88">
              <w:rPr>
                <w:b/>
                <w:noProof/>
                <w:webHidden/>
              </w:rPr>
            </w:r>
            <w:r w:rsidR="00014681" w:rsidRPr="00261B88">
              <w:rPr>
                <w:b/>
                <w:noProof/>
                <w:webHidden/>
              </w:rPr>
              <w:fldChar w:fldCharType="separate"/>
            </w:r>
            <w:r w:rsidR="00DB3FD6">
              <w:rPr>
                <w:b/>
                <w:noProof/>
                <w:webHidden/>
              </w:rPr>
              <w:t>12</w:t>
            </w:r>
            <w:r w:rsidR="00014681" w:rsidRPr="00261B88">
              <w:rPr>
                <w:b/>
                <w:noProof/>
                <w:webHidden/>
              </w:rPr>
              <w:fldChar w:fldCharType="end"/>
            </w:r>
          </w:hyperlink>
        </w:p>
        <w:p w14:paraId="24AC1C15" w14:textId="6A85B52F" w:rsidR="00014681" w:rsidRPr="00261B88" w:rsidRDefault="002814D9">
          <w:pPr>
            <w:pStyle w:val="TOC3"/>
            <w:rPr>
              <w:rFonts w:asciiTheme="minorHAnsi" w:eastAsiaTheme="minorEastAsia" w:hAnsiTheme="minorHAnsi" w:cstheme="minorBidi"/>
              <w:b/>
              <w:noProof/>
              <w:sz w:val="22"/>
              <w:szCs w:val="22"/>
              <w:lang w:val="en-US" w:eastAsia="en-US"/>
            </w:rPr>
          </w:pPr>
          <w:hyperlink w:anchor="_Toc116029509" w:history="1">
            <w:r w:rsidR="00014681" w:rsidRPr="00261B88">
              <w:rPr>
                <w:rStyle w:val="Hyperlink"/>
                <w:b/>
                <w:noProof/>
              </w:rPr>
              <w:t>3.1.3.</w:t>
            </w:r>
            <w:r w:rsidR="00014681" w:rsidRPr="00261B88">
              <w:rPr>
                <w:rFonts w:asciiTheme="minorHAnsi" w:eastAsiaTheme="minorEastAsia" w:hAnsiTheme="minorHAnsi" w:cstheme="minorBidi"/>
                <w:b/>
                <w:noProof/>
                <w:sz w:val="22"/>
                <w:szCs w:val="22"/>
                <w:lang w:val="en-US" w:eastAsia="en-US"/>
              </w:rPr>
              <w:tab/>
            </w:r>
            <w:r w:rsidR="00014681" w:rsidRPr="00261B88">
              <w:rPr>
                <w:rStyle w:val="Hyperlink"/>
                <w:b/>
                <w:noProof/>
              </w:rPr>
              <w:t>Comisia Europeană</w:t>
            </w:r>
            <w:r w:rsidR="00014681" w:rsidRPr="00261B88">
              <w:rPr>
                <w:b/>
                <w:noProof/>
                <w:webHidden/>
              </w:rPr>
              <w:tab/>
            </w:r>
            <w:r w:rsidR="00014681" w:rsidRPr="00261B88">
              <w:rPr>
                <w:b/>
                <w:noProof/>
                <w:webHidden/>
              </w:rPr>
              <w:fldChar w:fldCharType="begin"/>
            </w:r>
            <w:r w:rsidR="00014681" w:rsidRPr="00261B88">
              <w:rPr>
                <w:b/>
                <w:noProof/>
                <w:webHidden/>
              </w:rPr>
              <w:instrText xml:space="preserve"> PAGEREF _Toc116029509 \h </w:instrText>
            </w:r>
            <w:r w:rsidR="00014681" w:rsidRPr="00261B88">
              <w:rPr>
                <w:b/>
                <w:noProof/>
                <w:webHidden/>
              </w:rPr>
            </w:r>
            <w:r w:rsidR="00014681" w:rsidRPr="00261B88">
              <w:rPr>
                <w:b/>
                <w:noProof/>
                <w:webHidden/>
              </w:rPr>
              <w:fldChar w:fldCharType="separate"/>
            </w:r>
            <w:r w:rsidR="00DB3FD6">
              <w:rPr>
                <w:b/>
                <w:noProof/>
                <w:webHidden/>
              </w:rPr>
              <w:t>13</w:t>
            </w:r>
            <w:r w:rsidR="00014681" w:rsidRPr="00261B88">
              <w:rPr>
                <w:b/>
                <w:noProof/>
                <w:webHidden/>
              </w:rPr>
              <w:fldChar w:fldCharType="end"/>
            </w:r>
          </w:hyperlink>
        </w:p>
        <w:p w14:paraId="79BE253F" w14:textId="4217DA88" w:rsidR="00014681" w:rsidRPr="00261B88" w:rsidRDefault="002814D9">
          <w:pPr>
            <w:pStyle w:val="TOC3"/>
            <w:rPr>
              <w:rFonts w:asciiTheme="minorHAnsi" w:eastAsiaTheme="minorEastAsia" w:hAnsiTheme="minorHAnsi" w:cstheme="minorBidi"/>
              <w:b/>
              <w:noProof/>
              <w:sz w:val="22"/>
              <w:szCs w:val="22"/>
              <w:lang w:val="en-US" w:eastAsia="en-US"/>
            </w:rPr>
          </w:pPr>
          <w:hyperlink w:anchor="_Toc116029510" w:history="1">
            <w:r w:rsidR="00014681" w:rsidRPr="00261B88">
              <w:rPr>
                <w:rStyle w:val="Hyperlink"/>
                <w:b/>
                <w:noProof/>
              </w:rPr>
              <w:t>3.1.4.</w:t>
            </w:r>
            <w:r w:rsidR="00014681" w:rsidRPr="00261B88">
              <w:rPr>
                <w:rFonts w:asciiTheme="minorHAnsi" w:eastAsiaTheme="minorEastAsia" w:hAnsiTheme="minorHAnsi" w:cstheme="minorBidi"/>
                <w:b/>
                <w:noProof/>
                <w:sz w:val="22"/>
                <w:szCs w:val="22"/>
                <w:lang w:val="en-US" w:eastAsia="en-US"/>
              </w:rPr>
              <w:tab/>
            </w:r>
            <w:r w:rsidR="00014681" w:rsidRPr="00261B88">
              <w:rPr>
                <w:rStyle w:val="Hyperlink"/>
                <w:b/>
                <w:noProof/>
              </w:rPr>
              <w:t>Oficiul European de Luptă Antifraudă (OLAF)</w:t>
            </w:r>
            <w:r w:rsidR="00014681" w:rsidRPr="00261B88">
              <w:rPr>
                <w:b/>
                <w:noProof/>
                <w:webHidden/>
              </w:rPr>
              <w:tab/>
            </w:r>
            <w:r w:rsidR="00014681" w:rsidRPr="00261B88">
              <w:rPr>
                <w:b/>
                <w:noProof/>
                <w:webHidden/>
              </w:rPr>
              <w:fldChar w:fldCharType="begin"/>
            </w:r>
            <w:r w:rsidR="00014681" w:rsidRPr="00261B88">
              <w:rPr>
                <w:b/>
                <w:noProof/>
                <w:webHidden/>
              </w:rPr>
              <w:instrText xml:space="preserve"> PAGEREF _Toc116029510 \h </w:instrText>
            </w:r>
            <w:r w:rsidR="00014681" w:rsidRPr="00261B88">
              <w:rPr>
                <w:b/>
                <w:noProof/>
                <w:webHidden/>
              </w:rPr>
            </w:r>
            <w:r w:rsidR="00014681" w:rsidRPr="00261B88">
              <w:rPr>
                <w:b/>
                <w:noProof/>
                <w:webHidden/>
              </w:rPr>
              <w:fldChar w:fldCharType="separate"/>
            </w:r>
            <w:r w:rsidR="00DB3FD6">
              <w:rPr>
                <w:b/>
                <w:noProof/>
                <w:webHidden/>
              </w:rPr>
              <w:t>14</w:t>
            </w:r>
            <w:r w:rsidR="00014681" w:rsidRPr="00261B88">
              <w:rPr>
                <w:b/>
                <w:noProof/>
                <w:webHidden/>
              </w:rPr>
              <w:fldChar w:fldCharType="end"/>
            </w:r>
          </w:hyperlink>
        </w:p>
        <w:p w14:paraId="0EA7D701" w14:textId="4B568BE5" w:rsidR="00014681" w:rsidRPr="00261B88" w:rsidRDefault="002814D9">
          <w:pPr>
            <w:pStyle w:val="TOC3"/>
            <w:rPr>
              <w:rFonts w:asciiTheme="minorHAnsi" w:eastAsiaTheme="minorEastAsia" w:hAnsiTheme="minorHAnsi" w:cstheme="minorBidi"/>
              <w:b/>
              <w:noProof/>
              <w:sz w:val="22"/>
              <w:szCs w:val="22"/>
              <w:lang w:val="en-US" w:eastAsia="en-US"/>
            </w:rPr>
          </w:pPr>
          <w:hyperlink w:anchor="_Toc116029511" w:history="1">
            <w:r w:rsidR="00014681" w:rsidRPr="00261B88">
              <w:rPr>
                <w:rStyle w:val="Hyperlink"/>
                <w:b/>
                <w:noProof/>
              </w:rPr>
              <w:t>3.1.5.</w:t>
            </w:r>
            <w:r w:rsidR="00014681" w:rsidRPr="00261B88">
              <w:rPr>
                <w:rFonts w:asciiTheme="minorHAnsi" w:eastAsiaTheme="minorEastAsia" w:hAnsiTheme="minorHAnsi" w:cstheme="minorBidi"/>
                <w:b/>
                <w:noProof/>
                <w:sz w:val="22"/>
                <w:szCs w:val="22"/>
                <w:lang w:val="en-US" w:eastAsia="en-US"/>
              </w:rPr>
              <w:tab/>
            </w:r>
            <w:r w:rsidR="00014681" w:rsidRPr="00261B88">
              <w:rPr>
                <w:rStyle w:val="Hyperlink"/>
                <w:b/>
                <w:noProof/>
              </w:rPr>
              <w:t>Parchetul European (EPPO)</w:t>
            </w:r>
            <w:r w:rsidR="00014681" w:rsidRPr="00261B88">
              <w:rPr>
                <w:b/>
                <w:noProof/>
                <w:webHidden/>
              </w:rPr>
              <w:tab/>
            </w:r>
            <w:r w:rsidR="00014681" w:rsidRPr="00261B88">
              <w:rPr>
                <w:b/>
                <w:noProof/>
                <w:webHidden/>
              </w:rPr>
              <w:fldChar w:fldCharType="begin"/>
            </w:r>
            <w:r w:rsidR="00014681" w:rsidRPr="00261B88">
              <w:rPr>
                <w:b/>
                <w:noProof/>
                <w:webHidden/>
              </w:rPr>
              <w:instrText xml:space="preserve"> PAGEREF _Toc116029511 \h </w:instrText>
            </w:r>
            <w:r w:rsidR="00014681" w:rsidRPr="00261B88">
              <w:rPr>
                <w:b/>
                <w:noProof/>
                <w:webHidden/>
              </w:rPr>
            </w:r>
            <w:r w:rsidR="00014681" w:rsidRPr="00261B88">
              <w:rPr>
                <w:b/>
                <w:noProof/>
                <w:webHidden/>
              </w:rPr>
              <w:fldChar w:fldCharType="separate"/>
            </w:r>
            <w:r w:rsidR="00DB3FD6">
              <w:rPr>
                <w:b/>
                <w:noProof/>
                <w:webHidden/>
              </w:rPr>
              <w:t>15</w:t>
            </w:r>
            <w:r w:rsidR="00014681" w:rsidRPr="00261B88">
              <w:rPr>
                <w:b/>
                <w:noProof/>
                <w:webHidden/>
              </w:rPr>
              <w:fldChar w:fldCharType="end"/>
            </w:r>
          </w:hyperlink>
        </w:p>
        <w:p w14:paraId="57EFF13E" w14:textId="2C5FF3EF" w:rsidR="00014681" w:rsidRPr="00261B88" w:rsidRDefault="002814D9">
          <w:pPr>
            <w:pStyle w:val="TOC3"/>
            <w:rPr>
              <w:rFonts w:asciiTheme="minorHAnsi" w:eastAsiaTheme="minorEastAsia" w:hAnsiTheme="minorHAnsi" w:cstheme="minorBidi"/>
              <w:b/>
              <w:noProof/>
              <w:sz w:val="22"/>
              <w:szCs w:val="22"/>
              <w:lang w:val="en-US" w:eastAsia="en-US"/>
            </w:rPr>
          </w:pPr>
          <w:hyperlink w:anchor="_Toc116029512" w:history="1">
            <w:r w:rsidR="00014681" w:rsidRPr="00261B88">
              <w:rPr>
                <w:rStyle w:val="Hyperlink"/>
                <w:b/>
                <w:noProof/>
              </w:rPr>
              <w:t>3.1.6.</w:t>
            </w:r>
            <w:r w:rsidR="00014681" w:rsidRPr="00261B88">
              <w:rPr>
                <w:rFonts w:asciiTheme="minorHAnsi" w:eastAsiaTheme="minorEastAsia" w:hAnsiTheme="minorHAnsi" w:cstheme="minorBidi"/>
                <w:b/>
                <w:noProof/>
                <w:sz w:val="22"/>
                <w:szCs w:val="22"/>
                <w:lang w:val="en-US" w:eastAsia="en-US"/>
              </w:rPr>
              <w:tab/>
            </w:r>
            <w:r w:rsidR="00014681" w:rsidRPr="00261B88">
              <w:rPr>
                <w:rStyle w:val="Hyperlink"/>
                <w:b/>
                <w:noProof/>
              </w:rPr>
              <w:t>Curtea de Conturi Europeană (CCE)</w:t>
            </w:r>
            <w:r w:rsidR="00014681" w:rsidRPr="00261B88">
              <w:rPr>
                <w:b/>
                <w:noProof/>
                <w:webHidden/>
              </w:rPr>
              <w:tab/>
            </w:r>
            <w:r w:rsidR="00014681" w:rsidRPr="00261B88">
              <w:rPr>
                <w:b/>
                <w:noProof/>
                <w:webHidden/>
              </w:rPr>
              <w:fldChar w:fldCharType="begin"/>
            </w:r>
            <w:r w:rsidR="00014681" w:rsidRPr="00261B88">
              <w:rPr>
                <w:b/>
                <w:noProof/>
                <w:webHidden/>
              </w:rPr>
              <w:instrText xml:space="preserve"> PAGEREF _Toc116029512 \h </w:instrText>
            </w:r>
            <w:r w:rsidR="00014681" w:rsidRPr="00261B88">
              <w:rPr>
                <w:b/>
                <w:noProof/>
                <w:webHidden/>
              </w:rPr>
            </w:r>
            <w:r w:rsidR="00014681" w:rsidRPr="00261B88">
              <w:rPr>
                <w:b/>
                <w:noProof/>
                <w:webHidden/>
              </w:rPr>
              <w:fldChar w:fldCharType="separate"/>
            </w:r>
            <w:r w:rsidR="00DB3FD6">
              <w:rPr>
                <w:b/>
                <w:noProof/>
                <w:webHidden/>
              </w:rPr>
              <w:t>16</w:t>
            </w:r>
            <w:r w:rsidR="00014681" w:rsidRPr="00261B88">
              <w:rPr>
                <w:b/>
                <w:noProof/>
                <w:webHidden/>
              </w:rPr>
              <w:fldChar w:fldCharType="end"/>
            </w:r>
          </w:hyperlink>
        </w:p>
        <w:p w14:paraId="2B06B3FD" w14:textId="41EB521D" w:rsidR="00014681" w:rsidRPr="00261B88" w:rsidRDefault="002814D9">
          <w:pPr>
            <w:pStyle w:val="TOC3"/>
            <w:rPr>
              <w:rFonts w:asciiTheme="minorHAnsi" w:eastAsiaTheme="minorEastAsia" w:hAnsiTheme="minorHAnsi" w:cstheme="minorBidi"/>
              <w:b/>
              <w:noProof/>
              <w:sz w:val="22"/>
              <w:szCs w:val="22"/>
              <w:lang w:val="en-US" w:eastAsia="en-US"/>
            </w:rPr>
          </w:pPr>
          <w:hyperlink w:anchor="_Toc116029513" w:history="1">
            <w:r w:rsidR="00014681" w:rsidRPr="00261B88">
              <w:rPr>
                <w:rStyle w:val="Hyperlink"/>
                <w:b/>
                <w:noProof/>
              </w:rPr>
              <w:t>3.1.7.</w:t>
            </w:r>
            <w:r w:rsidR="00014681" w:rsidRPr="00261B88">
              <w:rPr>
                <w:rFonts w:asciiTheme="minorHAnsi" w:eastAsiaTheme="minorEastAsia" w:hAnsiTheme="minorHAnsi" w:cstheme="minorBidi"/>
                <w:b/>
                <w:noProof/>
                <w:sz w:val="22"/>
                <w:szCs w:val="22"/>
                <w:lang w:val="en-US" w:eastAsia="en-US"/>
              </w:rPr>
              <w:tab/>
            </w:r>
            <w:r w:rsidR="00014681" w:rsidRPr="00261B88">
              <w:rPr>
                <w:rStyle w:val="Hyperlink"/>
                <w:b/>
                <w:noProof/>
              </w:rPr>
              <w:t>Eurojust</w:t>
            </w:r>
            <w:r w:rsidR="00014681" w:rsidRPr="00261B88">
              <w:rPr>
                <w:b/>
                <w:noProof/>
                <w:webHidden/>
              </w:rPr>
              <w:tab/>
            </w:r>
            <w:r w:rsidR="00014681" w:rsidRPr="00261B88">
              <w:rPr>
                <w:b/>
                <w:noProof/>
                <w:webHidden/>
              </w:rPr>
              <w:fldChar w:fldCharType="begin"/>
            </w:r>
            <w:r w:rsidR="00014681" w:rsidRPr="00261B88">
              <w:rPr>
                <w:b/>
                <w:noProof/>
                <w:webHidden/>
              </w:rPr>
              <w:instrText xml:space="preserve"> PAGEREF _Toc116029513 \h </w:instrText>
            </w:r>
            <w:r w:rsidR="00014681" w:rsidRPr="00261B88">
              <w:rPr>
                <w:b/>
                <w:noProof/>
                <w:webHidden/>
              </w:rPr>
            </w:r>
            <w:r w:rsidR="00014681" w:rsidRPr="00261B88">
              <w:rPr>
                <w:b/>
                <w:noProof/>
                <w:webHidden/>
              </w:rPr>
              <w:fldChar w:fldCharType="separate"/>
            </w:r>
            <w:r w:rsidR="00DB3FD6">
              <w:rPr>
                <w:b/>
                <w:noProof/>
                <w:webHidden/>
              </w:rPr>
              <w:t>16</w:t>
            </w:r>
            <w:r w:rsidR="00014681" w:rsidRPr="00261B88">
              <w:rPr>
                <w:b/>
                <w:noProof/>
                <w:webHidden/>
              </w:rPr>
              <w:fldChar w:fldCharType="end"/>
            </w:r>
          </w:hyperlink>
        </w:p>
        <w:p w14:paraId="3B33A9EE" w14:textId="57F0F730" w:rsidR="00014681" w:rsidRPr="00261B88" w:rsidRDefault="002814D9">
          <w:pPr>
            <w:pStyle w:val="TOC3"/>
            <w:rPr>
              <w:rFonts w:asciiTheme="minorHAnsi" w:eastAsiaTheme="minorEastAsia" w:hAnsiTheme="minorHAnsi" w:cstheme="minorBidi"/>
              <w:b/>
              <w:noProof/>
              <w:sz w:val="22"/>
              <w:szCs w:val="22"/>
              <w:lang w:val="en-US" w:eastAsia="en-US"/>
            </w:rPr>
          </w:pPr>
          <w:hyperlink w:anchor="_Toc116029514" w:history="1">
            <w:r w:rsidR="00014681" w:rsidRPr="00261B88">
              <w:rPr>
                <w:rStyle w:val="Hyperlink"/>
                <w:b/>
                <w:noProof/>
              </w:rPr>
              <w:t>3.1.8.</w:t>
            </w:r>
            <w:r w:rsidR="00014681" w:rsidRPr="00261B88">
              <w:rPr>
                <w:rFonts w:asciiTheme="minorHAnsi" w:eastAsiaTheme="minorEastAsia" w:hAnsiTheme="minorHAnsi" w:cstheme="minorBidi"/>
                <w:b/>
                <w:noProof/>
                <w:sz w:val="22"/>
                <w:szCs w:val="22"/>
                <w:lang w:val="en-US" w:eastAsia="en-US"/>
              </w:rPr>
              <w:tab/>
            </w:r>
            <w:r w:rsidR="00014681" w:rsidRPr="00261B88">
              <w:rPr>
                <w:rStyle w:val="Hyperlink"/>
                <w:b/>
                <w:noProof/>
              </w:rPr>
              <w:t>Europol</w:t>
            </w:r>
            <w:r w:rsidR="00014681" w:rsidRPr="00261B88">
              <w:rPr>
                <w:b/>
                <w:noProof/>
                <w:webHidden/>
              </w:rPr>
              <w:tab/>
            </w:r>
            <w:r w:rsidR="00014681" w:rsidRPr="00261B88">
              <w:rPr>
                <w:b/>
                <w:noProof/>
                <w:webHidden/>
              </w:rPr>
              <w:fldChar w:fldCharType="begin"/>
            </w:r>
            <w:r w:rsidR="00014681" w:rsidRPr="00261B88">
              <w:rPr>
                <w:b/>
                <w:noProof/>
                <w:webHidden/>
              </w:rPr>
              <w:instrText xml:space="preserve"> PAGEREF _Toc116029514 \h </w:instrText>
            </w:r>
            <w:r w:rsidR="00014681" w:rsidRPr="00261B88">
              <w:rPr>
                <w:b/>
                <w:noProof/>
                <w:webHidden/>
              </w:rPr>
            </w:r>
            <w:r w:rsidR="00014681" w:rsidRPr="00261B88">
              <w:rPr>
                <w:b/>
                <w:noProof/>
                <w:webHidden/>
              </w:rPr>
              <w:fldChar w:fldCharType="separate"/>
            </w:r>
            <w:r w:rsidR="00DB3FD6">
              <w:rPr>
                <w:b/>
                <w:noProof/>
                <w:webHidden/>
              </w:rPr>
              <w:t>17</w:t>
            </w:r>
            <w:r w:rsidR="00014681" w:rsidRPr="00261B88">
              <w:rPr>
                <w:b/>
                <w:noProof/>
                <w:webHidden/>
              </w:rPr>
              <w:fldChar w:fldCharType="end"/>
            </w:r>
          </w:hyperlink>
        </w:p>
        <w:p w14:paraId="480AF211" w14:textId="685526B5" w:rsidR="00014681" w:rsidRPr="00261B88" w:rsidRDefault="002814D9">
          <w:pPr>
            <w:pStyle w:val="TOC2"/>
            <w:rPr>
              <w:rFonts w:asciiTheme="minorHAnsi" w:eastAsiaTheme="minorEastAsia" w:hAnsiTheme="minorHAnsi" w:cstheme="minorBidi"/>
              <w:b/>
              <w:sz w:val="22"/>
              <w:szCs w:val="22"/>
              <w:lang w:val="en-US" w:eastAsia="en-US"/>
            </w:rPr>
          </w:pPr>
          <w:hyperlink w:anchor="_Toc116029515" w:history="1">
            <w:r w:rsidR="00014681" w:rsidRPr="00261B88">
              <w:rPr>
                <w:rStyle w:val="Hyperlink"/>
                <w:b/>
              </w:rPr>
              <w:t>3.2.</w:t>
            </w:r>
            <w:r w:rsidR="00014681" w:rsidRPr="00261B88">
              <w:rPr>
                <w:rFonts w:asciiTheme="minorHAnsi" w:eastAsiaTheme="minorEastAsia" w:hAnsiTheme="minorHAnsi" w:cstheme="minorBidi"/>
                <w:b/>
                <w:sz w:val="22"/>
                <w:szCs w:val="22"/>
                <w:lang w:val="en-US" w:eastAsia="en-US"/>
              </w:rPr>
              <w:tab/>
            </w:r>
            <w:r w:rsidR="00014681" w:rsidRPr="00261B88">
              <w:rPr>
                <w:rStyle w:val="Hyperlink"/>
                <w:b/>
              </w:rPr>
              <w:t>La nivelul statelor membre</w:t>
            </w:r>
            <w:r w:rsidR="00014681" w:rsidRPr="00261B88">
              <w:rPr>
                <w:b/>
                <w:webHidden/>
              </w:rPr>
              <w:tab/>
            </w:r>
            <w:r w:rsidR="00014681" w:rsidRPr="00261B88">
              <w:rPr>
                <w:b/>
                <w:webHidden/>
              </w:rPr>
              <w:fldChar w:fldCharType="begin"/>
            </w:r>
            <w:r w:rsidR="00014681" w:rsidRPr="00261B88">
              <w:rPr>
                <w:b/>
                <w:webHidden/>
              </w:rPr>
              <w:instrText xml:space="preserve"> PAGEREF _Toc116029515 \h </w:instrText>
            </w:r>
            <w:r w:rsidR="00014681" w:rsidRPr="00261B88">
              <w:rPr>
                <w:b/>
                <w:webHidden/>
              </w:rPr>
            </w:r>
            <w:r w:rsidR="00014681" w:rsidRPr="00261B88">
              <w:rPr>
                <w:b/>
                <w:webHidden/>
              </w:rPr>
              <w:fldChar w:fldCharType="separate"/>
            </w:r>
            <w:r w:rsidR="00DB3FD6">
              <w:rPr>
                <w:b/>
                <w:webHidden/>
              </w:rPr>
              <w:t>17</w:t>
            </w:r>
            <w:r w:rsidR="00014681" w:rsidRPr="00261B88">
              <w:rPr>
                <w:b/>
                <w:webHidden/>
              </w:rPr>
              <w:fldChar w:fldCharType="end"/>
            </w:r>
          </w:hyperlink>
        </w:p>
        <w:p w14:paraId="66F55183" w14:textId="2AE95393" w:rsidR="00014681" w:rsidRPr="00261B88" w:rsidRDefault="002814D9">
          <w:pPr>
            <w:pStyle w:val="TOC3"/>
            <w:rPr>
              <w:rFonts w:asciiTheme="minorHAnsi" w:eastAsiaTheme="minorEastAsia" w:hAnsiTheme="minorHAnsi" w:cstheme="minorBidi"/>
              <w:b/>
              <w:noProof/>
              <w:sz w:val="22"/>
              <w:szCs w:val="22"/>
              <w:lang w:val="en-US" w:eastAsia="en-US"/>
            </w:rPr>
          </w:pPr>
          <w:hyperlink w:anchor="_Toc116029516" w:history="1">
            <w:r w:rsidR="00014681" w:rsidRPr="00261B88">
              <w:rPr>
                <w:rStyle w:val="Hyperlink"/>
                <w:b/>
                <w:noProof/>
              </w:rPr>
              <w:t>3.2.1.</w:t>
            </w:r>
            <w:r w:rsidR="00014681" w:rsidRPr="00261B88">
              <w:rPr>
                <w:rFonts w:asciiTheme="minorHAnsi" w:eastAsiaTheme="minorEastAsia" w:hAnsiTheme="minorHAnsi" w:cstheme="minorBidi"/>
                <w:b/>
                <w:noProof/>
                <w:sz w:val="22"/>
                <w:szCs w:val="22"/>
                <w:lang w:val="en-US" w:eastAsia="en-US"/>
              </w:rPr>
              <w:tab/>
            </w:r>
            <w:r w:rsidR="00014681" w:rsidRPr="00261B88">
              <w:rPr>
                <w:rStyle w:val="Hyperlink"/>
                <w:b/>
                <w:noProof/>
              </w:rPr>
              <w:t>Serviciile de coordonare antifraudă (AFCOS)</w:t>
            </w:r>
            <w:r w:rsidR="00014681" w:rsidRPr="00261B88">
              <w:rPr>
                <w:b/>
                <w:noProof/>
                <w:webHidden/>
              </w:rPr>
              <w:tab/>
            </w:r>
            <w:r w:rsidR="00014681" w:rsidRPr="00261B88">
              <w:rPr>
                <w:b/>
                <w:noProof/>
                <w:webHidden/>
              </w:rPr>
              <w:fldChar w:fldCharType="begin"/>
            </w:r>
            <w:r w:rsidR="00014681" w:rsidRPr="00261B88">
              <w:rPr>
                <w:b/>
                <w:noProof/>
                <w:webHidden/>
              </w:rPr>
              <w:instrText xml:space="preserve"> PAGEREF _Toc116029516 \h </w:instrText>
            </w:r>
            <w:r w:rsidR="00014681" w:rsidRPr="00261B88">
              <w:rPr>
                <w:b/>
                <w:noProof/>
                <w:webHidden/>
              </w:rPr>
            </w:r>
            <w:r w:rsidR="00014681" w:rsidRPr="00261B88">
              <w:rPr>
                <w:b/>
                <w:noProof/>
                <w:webHidden/>
              </w:rPr>
              <w:fldChar w:fldCharType="separate"/>
            </w:r>
            <w:r w:rsidR="00DB3FD6">
              <w:rPr>
                <w:b/>
                <w:noProof/>
                <w:webHidden/>
              </w:rPr>
              <w:t>17</w:t>
            </w:r>
            <w:r w:rsidR="00014681" w:rsidRPr="00261B88">
              <w:rPr>
                <w:b/>
                <w:noProof/>
                <w:webHidden/>
              </w:rPr>
              <w:fldChar w:fldCharType="end"/>
            </w:r>
          </w:hyperlink>
        </w:p>
        <w:p w14:paraId="6C44F889" w14:textId="69639039" w:rsidR="00014681" w:rsidRPr="00261B88" w:rsidRDefault="002814D9">
          <w:pPr>
            <w:pStyle w:val="TOC3"/>
            <w:rPr>
              <w:rFonts w:asciiTheme="minorHAnsi" w:eastAsiaTheme="minorEastAsia" w:hAnsiTheme="minorHAnsi" w:cstheme="minorBidi"/>
              <w:b/>
              <w:noProof/>
              <w:sz w:val="22"/>
              <w:szCs w:val="22"/>
              <w:lang w:val="en-US" w:eastAsia="en-US"/>
            </w:rPr>
          </w:pPr>
          <w:hyperlink w:anchor="_Toc116029517" w:history="1">
            <w:r w:rsidR="00014681" w:rsidRPr="00261B88">
              <w:rPr>
                <w:rStyle w:val="Hyperlink"/>
                <w:b/>
                <w:noProof/>
              </w:rPr>
              <w:t>3.2.2.</w:t>
            </w:r>
            <w:r w:rsidR="00014681" w:rsidRPr="00261B88">
              <w:rPr>
                <w:rFonts w:asciiTheme="minorHAnsi" w:eastAsiaTheme="minorEastAsia" w:hAnsiTheme="minorHAnsi" w:cstheme="minorBidi"/>
                <w:b/>
                <w:noProof/>
                <w:sz w:val="22"/>
                <w:szCs w:val="22"/>
                <w:lang w:val="en-US" w:eastAsia="en-US"/>
              </w:rPr>
              <w:tab/>
            </w:r>
            <w:r w:rsidR="00014681" w:rsidRPr="00261B88">
              <w:rPr>
                <w:rStyle w:val="Hyperlink"/>
                <w:b/>
                <w:noProof/>
              </w:rPr>
              <w:t>Strategiile naționale antifraudă (SNAF)</w:t>
            </w:r>
            <w:r w:rsidR="00014681" w:rsidRPr="00261B88">
              <w:rPr>
                <w:b/>
                <w:noProof/>
                <w:webHidden/>
              </w:rPr>
              <w:tab/>
            </w:r>
            <w:r w:rsidR="00014681" w:rsidRPr="00261B88">
              <w:rPr>
                <w:b/>
                <w:noProof/>
                <w:webHidden/>
              </w:rPr>
              <w:fldChar w:fldCharType="begin"/>
            </w:r>
            <w:r w:rsidR="00014681" w:rsidRPr="00261B88">
              <w:rPr>
                <w:b/>
                <w:noProof/>
                <w:webHidden/>
              </w:rPr>
              <w:instrText xml:space="preserve"> PAGEREF _Toc116029517 \h </w:instrText>
            </w:r>
            <w:r w:rsidR="00014681" w:rsidRPr="00261B88">
              <w:rPr>
                <w:b/>
                <w:noProof/>
                <w:webHidden/>
              </w:rPr>
            </w:r>
            <w:r w:rsidR="00014681" w:rsidRPr="00261B88">
              <w:rPr>
                <w:b/>
                <w:noProof/>
                <w:webHidden/>
              </w:rPr>
              <w:fldChar w:fldCharType="separate"/>
            </w:r>
            <w:r w:rsidR="00DB3FD6">
              <w:rPr>
                <w:b/>
                <w:noProof/>
                <w:webHidden/>
              </w:rPr>
              <w:t>18</w:t>
            </w:r>
            <w:r w:rsidR="00014681" w:rsidRPr="00261B88">
              <w:rPr>
                <w:b/>
                <w:noProof/>
                <w:webHidden/>
              </w:rPr>
              <w:fldChar w:fldCharType="end"/>
            </w:r>
          </w:hyperlink>
        </w:p>
        <w:p w14:paraId="2CFF99D4" w14:textId="130F2D1D" w:rsidR="00014681" w:rsidRPr="00261B88" w:rsidRDefault="002814D9">
          <w:pPr>
            <w:pStyle w:val="TOC3"/>
            <w:rPr>
              <w:rFonts w:asciiTheme="minorHAnsi" w:eastAsiaTheme="minorEastAsia" w:hAnsiTheme="minorHAnsi" w:cstheme="minorBidi"/>
              <w:b/>
              <w:noProof/>
              <w:sz w:val="22"/>
              <w:szCs w:val="22"/>
              <w:lang w:val="en-US" w:eastAsia="en-US"/>
            </w:rPr>
          </w:pPr>
          <w:hyperlink w:anchor="_Toc116029518" w:history="1">
            <w:r w:rsidR="00014681" w:rsidRPr="00261B88">
              <w:rPr>
                <w:rStyle w:val="Hyperlink"/>
                <w:b/>
                <w:noProof/>
              </w:rPr>
              <w:t>3.2.3.</w:t>
            </w:r>
            <w:r w:rsidR="00014681" w:rsidRPr="00261B88">
              <w:rPr>
                <w:rFonts w:asciiTheme="minorHAnsi" w:eastAsiaTheme="minorEastAsia" w:hAnsiTheme="minorHAnsi" w:cstheme="minorBidi"/>
                <w:b/>
                <w:noProof/>
                <w:sz w:val="22"/>
                <w:szCs w:val="22"/>
                <w:lang w:val="en-US" w:eastAsia="en-US"/>
              </w:rPr>
              <w:tab/>
            </w:r>
            <w:r w:rsidR="00014681" w:rsidRPr="00261B88">
              <w:rPr>
                <w:rStyle w:val="Hyperlink"/>
                <w:b/>
                <w:noProof/>
              </w:rPr>
              <w:t>Punerea în aplicare a recomandărilor din 2020 de către statele membre</w:t>
            </w:r>
            <w:r w:rsidR="00014681" w:rsidRPr="00261B88">
              <w:rPr>
                <w:b/>
                <w:noProof/>
                <w:webHidden/>
              </w:rPr>
              <w:tab/>
            </w:r>
            <w:r w:rsidR="00014681" w:rsidRPr="00261B88">
              <w:rPr>
                <w:b/>
                <w:noProof/>
                <w:webHidden/>
              </w:rPr>
              <w:fldChar w:fldCharType="begin"/>
            </w:r>
            <w:r w:rsidR="00014681" w:rsidRPr="00261B88">
              <w:rPr>
                <w:b/>
                <w:noProof/>
                <w:webHidden/>
              </w:rPr>
              <w:instrText xml:space="preserve"> PAGEREF _Toc116029518 \h </w:instrText>
            </w:r>
            <w:r w:rsidR="00014681" w:rsidRPr="00261B88">
              <w:rPr>
                <w:b/>
                <w:noProof/>
                <w:webHidden/>
              </w:rPr>
            </w:r>
            <w:r w:rsidR="00014681" w:rsidRPr="00261B88">
              <w:rPr>
                <w:b/>
                <w:noProof/>
                <w:webHidden/>
              </w:rPr>
              <w:fldChar w:fldCharType="separate"/>
            </w:r>
            <w:r w:rsidR="00DB3FD6">
              <w:rPr>
                <w:b/>
                <w:noProof/>
                <w:webHidden/>
              </w:rPr>
              <w:t>19</w:t>
            </w:r>
            <w:r w:rsidR="00014681" w:rsidRPr="00261B88">
              <w:rPr>
                <w:b/>
                <w:noProof/>
                <w:webHidden/>
              </w:rPr>
              <w:fldChar w:fldCharType="end"/>
            </w:r>
          </w:hyperlink>
        </w:p>
        <w:p w14:paraId="64BD2FCE" w14:textId="3DA781C0" w:rsidR="00014681" w:rsidRPr="00261B88" w:rsidRDefault="002814D9">
          <w:pPr>
            <w:pStyle w:val="TOC1"/>
            <w:rPr>
              <w:rFonts w:asciiTheme="minorHAnsi" w:eastAsiaTheme="minorEastAsia" w:hAnsiTheme="minorHAnsi" w:cstheme="minorBidi"/>
              <w:noProof/>
              <w:sz w:val="22"/>
              <w:szCs w:val="22"/>
              <w:lang w:val="en-US" w:eastAsia="en-US"/>
            </w:rPr>
          </w:pPr>
          <w:hyperlink w:anchor="_Toc116029519" w:history="1">
            <w:r w:rsidR="00014681" w:rsidRPr="00261B88">
              <w:rPr>
                <w:rStyle w:val="Hyperlink"/>
                <w:noProof/>
              </w:rPr>
              <w:t>4.</w:t>
            </w:r>
            <w:r w:rsidR="00014681" w:rsidRPr="00261B88">
              <w:rPr>
                <w:rFonts w:asciiTheme="minorHAnsi" w:eastAsiaTheme="minorEastAsia" w:hAnsiTheme="minorHAnsi" w:cstheme="minorBidi"/>
                <w:noProof/>
                <w:sz w:val="22"/>
                <w:szCs w:val="22"/>
                <w:lang w:val="en-US" w:eastAsia="en-US"/>
              </w:rPr>
              <w:tab/>
            </w:r>
            <w:r w:rsidR="00014681" w:rsidRPr="00261B88">
              <w:rPr>
                <w:rStyle w:val="Hyperlink"/>
                <w:noProof/>
              </w:rPr>
              <w:t>Cooperarea antifraudă</w:t>
            </w:r>
            <w:r w:rsidR="00014681" w:rsidRPr="00261B88">
              <w:rPr>
                <w:noProof/>
                <w:webHidden/>
              </w:rPr>
              <w:tab/>
            </w:r>
            <w:r w:rsidR="00014681" w:rsidRPr="00261B88">
              <w:rPr>
                <w:noProof/>
                <w:webHidden/>
              </w:rPr>
              <w:fldChar w:fldCharType="begin"/>
            </w:r>
            <w:r w:rsidR="00014681" w:rsidRPr="00261B88">
              <w:rPr>
                <w:noProof/>
                <w:webHidden/>
              </w:rPr>
              <w:instrText xml:space="preserve"> PAGEREF _Toc116029519 \h </w:instrText>
            </w:r>
            <w:r w:rsidR="00014681" w:rsidRPr="00261B88">
              <w:rPr>
                <w:noProof/>
                <w:webHidden/>
              </w:rPr>
            </w:r>
            <w:r w:rsidR="00014681" w:rsidRPr="00261B88">
              <w:rPr>
                <w:noProof/>
                <w:webHidden/>
              </w:rPr>
              <w:fldChar w:fldCharType="separate"/>
            </w:r>
            <w:r w:rsidR="00DB3FD6">
              <w:rPr>
                <w:noProof/>
                <w:webHidden/>
              </w:rPr>
              <w:t>20</w:t>
            </w:r>
            <w:r w:rsidR="00014681" w:rsidRPr="00261B88">
              <w:rPr>
                <w:noProof/>
                <w:webHidden/>
              </w:rPr>
              <w:fldChar w:fldCharType="end"/>
            </w:r>
          </w:hyperlink>
        </w:p>
        <w:p w14:paraId="48DFF137" w14:textId="21FD1DF6" w:rsidR="00014681" w:rsidRPr="00261B88" w:rsidRDefault="002814D9">
          <w:pPr>
            <w:pStyle w:val="TOC2"/>
            <w:rPr>
              <w:rFonts w:asciiTheme="minorHAnsi" w:eastAsiaTheme="minorEastAsia" w:hAnsiTheme="minorHAnsi" w:cstheme="minorBidi"/>
              <w:b/>
              <w:sz w:val="22"/>
              <w:szCs w:val="22"/>
              <w:lang w:val="en-US" w:eastAsia="en-US"/>
            </w:rPr>
          </w:pPr>
          <w:hyperlink w:anchor="_Toc116029520" w:history="1">
            <w:r w:rsidR="00014681" w:rsidRPr="00261B88">
              <w:rPr>
                <w:rStyle w:val="Hyperlink"/>
                <w:b/>
              </w:rPr>
              <w:t>4.1.</w:t>
            </w:r>
            <w:r w:rsidR="00014681" w:rsidRPr="00261B88">
              <w:rPr>
                <w:rFonts w:asciiTheme="minorHAnsi" w:eastAsiaTheme="minorEastAsia" w:hAnsiTheme="minorHAnsi" w:cstheme="minorBidi"/>
                <w:b/>
                <w:sz w:val="22"/>
                <w:szCs w:val="22"/>
                <w:lang w:val="en-US" w:eastAsia="en-US"/>
              </w:rPr>
              <w:tab/>
            </w:r>
            <w:r w:rsidR="00014681" w:rsidRPr="00261B88">
              <w:rPr>
                <w:rStyle w:val="Hyperlink"/>
                <w:b/>
              </w:rPr>
              <w:t>Cooperarea internațională</w:t>
            </w:r>
            <w:r w:rsidR="00014681" w:rsidRPr="00261B88">
              <w:rPr>
                <w:b/>
                <w:webHidden/>
              </w:rPr>
              <w:tab/>
            </w:r>
            <w:r w:rsidR="00014681" w:rsidRPr="00261B88">
              <w:rPr>
                <w:b/>
                <w:webHidden/>
              </w:rPr>
              <w:fldChar w:fldCharType="begin"/>
            </w:r>
            <w:r w:rsidR="00014681" w:rsidRPr="00261B88">
              <w:rPr>
                <w:b/>
                <w:webHidden/>
              </w:rPr>
              <w:instrText xml:space="preserve"> PAGEREF _Toc116029520 \h </w:instrText>
            </w:r>
            <w:r w:rsidR="00014681" w:rsidRPr="00261B88">
              <w:rPr>
                <w:b/>
                <w:webHidden/>
              </w:rPr>
            </w:r>
            <w:r w:rsidR="00014681" w:rsidRPr="00261B88">
              <w:rPr>
                <w:b/>
                <w:webHidden/>
              </w:rPr>
              <w:fldChar w:fldCharType="separate"/>
            </w:r>
            <w:r w:rsidR="00DB3FD6">
              <w:rPr>
                <w:b/>
                <w:webHidden/>
              </w:rPr>
              <w:t>21</w:t>
            </w:r>
            <w:r w:rsidR="00014681" w:rsidRPr="00261B88">
              <w:rPr>
                <w:b/>
                <w:webHidden/>
              </w:rPr>
              <w:fldChar w:fldCharType="end"/>
            </w:r>
          </w:hyperlink>
        </w:p>
        <w:p w14:paraId="52359CBA" w14:textId="4C727DF9" w:rsidR="00014681" w:rsidRPr="00261B88" w:rsidRDefault="002814D9">
          <w:pPr>
            <w:pStyle w:val="TOC3"/>
            <w:rPr>
              <w:rFonts w:asciiTheme="minorHAnsi" w:eastAsiaTheme="minorEastAsia" w:hAnsiTheme="minorHAnsi" w:cstheme="minorBidi"/>
              <w:b/>
              <w:noProof/>
              <w:sz w:val="22"/>
              <w:szCs w:val="22"/>
              <w:lang w:val="en-US" w:eastAsia="en-US"/>
            </w:rPr>
          </w:pPr>
          <w:hyperlink w:anchor="_Toc116029521" w:history="1">
            <w:r w:rsidR="00014681" w:rsidRPr="00261B88">
              <w:rPr>
                <w:rStyle w:val="Hyperlink"/>
                <w:b/>
                <w:noProof/>
              </w:rPr>
              <w:t>4.1.1.</w:t>
            </w:r>
            <w:r w:rsidR="00014681" w:rsidRPr="00261B88">
              <w:rPr>
                <w:rFonts w:asciiTheme="minorHAnsi" w:eastAsiaTheme="minorEastAsia" w:hAnsiTheme="minorHAnsi" w:cstheme="minorBidi"/>
                <w:b/>
                <w:noProof/>
                <w:sz w:val="22"/>
                <w:szCs w:val="22"/>
                <w:lang w:val="en-US" w:eastAsia="en-US"/>
              </w:rPr>
              <w:tab/>
            </w:r>
            <w:r w:rsidR="00014681" w:rsidRPr="00261B88">
              <w:rPr>
                <w:rStyle w:val="Hyperlink"/>
                <w:b/>
                <w:noProof/>
              </w:rPr>
              <w:t>Cooperarea cu țările din afara UE, asistență reciprocă și dispoziții antifraudă în cadrul acordurilor internaționale</w:t>
            </w:r>
            <w:r w:rsidR="00014681" w:rsidRPr="00261B88">
              <w:rPr>
                <w:b/>
                <w:noProof/>
                <w:webHidden/>
              </w:rPr>
              <w:tab/>
            </w:r>
            <w:r w:rsidR="00014681" w:rsidRPr="00261B88">
              <w:rPr>
                <w:b/>
                <w:noProof/>
                <w:webHidden/>
              </w:rPr>
              <w:fldChar w:fldCharType="begin"/>
            </w:r>
            <w:r w:rsidR="00014681" w:rsidRPr="00261B88">
              <w:rPr>
                <w:b/>
                <w:noProof/>
                <w:webHidden/>
              </w:rPr>
              <w:instrText xml:space="preserve"> PAGEREF _Toc116029521 \h </w:instrText>
            </w:r>
            <w:r w:rsidR="00014681" w:rsidRPr="00261B88">
              <w:rPr>
                <w:b/>
                <w:noProof/>
                <w:webHidden/>
              </w:rPr>
            </w:r>
            <w:r w:rsidR="00014681" w:rsidRPr="00261B88">
              <w:rPr>
                <w:b/>
                <w:noProof/>
                <w:webHidden/>
              </w:rPr>
              <w:fldChar w:fldCharType="separate"/>
            </w:r>
            <w:r w:rsidR="00DB3FD6">
              <w:rPr>
                <w:b/>
                <w:noProof/>
                <w:webHidden/>
              </w:rPr>
              <w:t>21</w:t>
            </w:r>
            <w:r w:rsidR="00014681" w:rsidRPr="00261B88">
              <w:rPr>
                <w:b/>
                <w:noProof/>
                <w:webHidden/>
              </w:rPr>
              <w:fldChar w:fldCharType="end"/>
            </w:r>
          </w:hyperlink>
        </w:p>
        <w:p w14:paraId="6DCA6BED" w14:textId="059F5302" w:rsidR="00014681" w:rsidRPr="00261B88" w:rsidRDefault="002814D9">
          <w:pPr>
            <w:pStyle w:val="TOC3"/>
            <w:rPr>
              <w:rFonts w:asciiTheme="minorHAnsi" w:eastAsiaTheme="minorEastAsia" w:hAnsiTheme="minorHAnsi" w:cstheme="minorBidi"/>
              <w:b/>
              <w:noProof/>
              <w:sz w:val="22"/>
              <w:szCs w:val="22"/>
              <w:lang w:val="en-US" w:eastAsia="en-US"/>
            </w:rPr>
          </w:pPr>
          <w:hyperlink w:anchor="_Toc116029522" w:history="1">
            <w:r w:rsidR="00014681" w:rsidRPr="00261B88">
              <w:rPr>
                <w:rStyle w:val="Hyperlink"/>
                <w:b/>
                <w:noProof/>
              </w:rPr>
              <w:t>4.1.2.</w:t>
            </w:r>
            <w:r w:rsidR="00014681" w:rsidRPr="00261B88">
              <w:rPr>
                <w:rFonts w:asciiTheme="minorHAnsi" w:eastAsiaTheme="minorEastAsia" w:hAnsiTheme="minorHAnsi" w:cstheme="minorBidi"/>
                <w:b/>
                <w:noProof/>
                <w:sz w:val="22"/>
                <w:szCs w:val="22"/>
                <w:lang w:val="en-US" w:eastAsia="en-US"/>
              </w:rPr>
              <w:tab/>
            </w:r>
            <w:r w:rsidR="00014681" w:rsidRPr="00261B88">
              <w:rPr>
                <w:rStyle w:val="Hyperlink"/>
                <w:b/>
                <w:noProof/>
              </w:rPr>
              <w:t>Cea de a noua sesiune a Conferinței statelor părți la Convenția Organizației Națiunilor Unite împotriva corupției și rezoluțiile promovate de UE</w:t>
            </w:r>
            <w:r w:rsidR="00014681" w:rsidRPr="00261B88">
              <w:rPr>
                <w:b/>
                <w:noProof/>
                <w:webHidden/>
              </w:rPr>
              <w:tab/>
            </w:r>
            <w:r w:rsidR="00014681" w:rsidRPr="00261B88">
              <w:rPr>
                <w:b/>
                <w:noProof/>
                <w:webHidden/>
              </w:rPr>
              <w:fldChar w:fldCharType="begin"/>
            </w:r>
            <w:r w:rsidR="00014681" w:rsidRPr="00261B88">
              <w:rPr>
                <w:b/>
                <w:noProof/>
                <w:webHidden/>
              </w:rPr>
              <w:instrText xml:space="preserve"> PAGEREF _Toc116029522 \h </w:instrText>
            </w:r>
            <w:r w:rsidR="00014681" w:rsidRPr="00261B88">
              <w:rPr>
                <w:b/>
                <w:noProof/>
                <w:webHidden/>
              </w:rPr>
            </w:r>
            <w:r w:rsidR="00014681" w:rsidRPr="00261B88">
              <w:rPr>
                <w:b/>
                <w:noProof/>
                <w:webHidden/>
              </w:rPr>
              <w:fldChar w:fldCharType="separate"/>
            </w:r>
            <w:r w:rsidR="00DB3FD6">
              <w:rPr>
                <w:b/>
                <w:noProof/>
                <w:webHidden/>
              </w:rPr>
              <w:t>21</w:t>
            </w:r>
            <w:r w:rsidR="00014681" w:rsidRPr="00261B88">
              <w:rPr>
                <w:b/>
                <w:noProof/>
                <w:webHidden/>
              </w:rPr>
              <w:fldChar w:fldCharType="end"/>
            </w:r>
          </w:hyperlink>
        </w:p>
        <w:p w14:paraId="099B5392" w14:textId="7863E4EB" w:rsidR="00014681" w:rsidRPr="00261B88" w:rsidRDefault="002814D9">
          <w:pPr>
            <w:pStyle w:val="TOC3"/>
            <w:rPr>
              <w:rFonts w:asciiTheme="minorHAnsi" w:eastAsiaTheme="minorEastAsia" w:hAnsiTheme="minorHAnsi" w:cstheme="minorBidi"/>
              <w:b/>
              <w:noProof/>
              <w:sz w:val="22"/>
              <w:szCs w:val="22"/>
              <w:lang w:val="en-US" w:eastAsia="en-US"/>
            </w:rPr>
          </w:pPr>
          <w:hyperlink w:anchor="_Toc116029523" w:history="1">
            <w:r w:rsidR="00014681" w:rsidRPr="00261B88">
              <w:rPr>
                <w:rStyle w:val="Hyperlink"/>
                <w:b/>
                <w:noProof/>
              </w:rPr>
              <w:t>4.1.3.</w:t>
            </w:r>
            <w:r w:rsidR="00014681" w:rsidRPr="00261B88">
              <w:rPr>
                <w:rFonts w:asciiTheme="minorHAnsi" w:eastAsiaTheme="minorEastAsia" w:hAnsiTheme="minorHAnsi" w:cstheme="minorBidi"/>
                <w:b/>
                <w:noProof/>
                <w:sz w:val="22"/>
                <w:szCs w:val="22"/>
                <w:lang w:val="en-US" w:eastAsia="en-US"/>
              </w:rPr>
              <w:tab/>
            </w:r>
            <w:r w:rsidR="00014681" w:rsidRPr="00261B88">
              <w:rPr>
                <w:rStyle w:val="Hyperlink"/>
                <w:b/>
                <w:noProof/>
              </w:rPr>
              <w:t>Combaterea comerțului ilicit cu produse din tutun</w:t>
            </w:r>
            <w:r w:rsidR="00014681" w:rsidRPr="00261B88">
              <w:rPr>
                <w:b/>
                <w:noProof/>
                <w:webHidden/>
              </w:rPr>
              <w:tab/>
            </w:r>
            <w:r w:rsidR="00014681" w:rsidRPr="00261B88">
              <w:rPr>
                <w:b/>
                <w:noProof/>
                <w:webHidden/>
              </w:rPr>
              <w:fldChar w:fldCharType="begin"/>
            </w:r>
            <w:r w:rsidR="00014681" w:rsidRPr="00261B88">
              <w:rPr>
                <w:b/>
                <w:noProof/>
                <w:webHidden/>
              </w:rPr>
              <w:instrText xml:space="preserve"> PAGEREF _Toc116029523 \h </w:instrText>
            </w:r>
            <w:r w:rsidR="00014681" w:rsidRPr="00261B88">
              <w:rPr>
                <w:b/>
                <w:noProof/>
                <w:webHidden/>
              </w:rPr>
            </w:r>
            <w:r w:rsidR="00014681" w:rsidRPr="00261B88">
              <w:rPr>
                <w:b/>
                <w:noProof/>
                <w:webHidden/>
              </w:rPr>
              <w:fldChar w:fldCharType="separate"/>
            </w:r>
            <w:r w:rsidR="00DB3FD6">
              <w:rPr>
                <w:b/>
                <w:noProof/>
                <w:webHidden/>
              </w:rPr>
              <w:t>22</w:t>
            </w:r>
            <w:r w:rsidR="00014681" w:rsidRPr="00261B88">
              <w:rPr>
                <w:b/>
                <w:noProof/>
                <w:webHidden/>
              </w:rPr>
              <w:fldChar w:fldCharType="end"/>
            </w:r>
          </w:hyperlink>
        </w:p>
        <w:p w14:paraId="26E1ADE1" w14:textId="5A1BAA13" w:rsidR="00014681" w:rsidRPr="00261B88" w:rsidRDefault="002814D9">
          <w:pPr>
            <w:pStyle w:val="TOC2"/>
            <w:rPr>
              <w:rFonts w:asciiTheme="minorHAnsi" w:eastAsiaTheme="minorEastAsia" w:hAnsiTheme="minorHAnsi" w:cstheme="minorBidi"/>
              <w:b/>
              <w:sz w:val="22"/>
              <w:szCs w:val="22"/>
              <w:lang w:val="en-US" w:eastAsia="en-US"/>
            </w:rPr>
          </w:pPr>
          <w:hyperlink w:anchor="_Toc116029524" w:history="1">
            <w:r w:rsidR="00014681" w:rsidRPr="00261B88">
              <w:rPr>
                <w:rStyle w:val="Hyperlink"/>
                <w:b/>
              </w:rPr>
              <w:t>4.2.</w:t>
            </w:r>
            <w:r w:rsidR="00014681" w:rsidRPr="00261B88">
              <w:rPr>
                <w:rFonts w:asciiTheme="minorHAnsi" w:eastAsiaTheme="minorEastAsia" w:hAnsiTheme="minorHAnsi" w:cstheme="minorBidi"/>
                <w:b/>
                <w:sz w:val="22"/>
                <w:szCs w:val="22"/>
                <w:lang w:val="en-US" w:eastAsia="en-US"/>
              </w:rPr>
              <w:tab/>
            </w:r>
            <w:r w:rsidR="00014681" w:rsidRPr="00261B88">
              <w:rPr>
                <w:rStyle w:val="Hyperlink"/>
                <w:b/>
              </w:rPr>
              <w:t>Cooperarea dintre UE și statelor membre</w:t>
            </w:r>
            <w:r w:rsidR="00014681" w:rsidRPr="00261B88">
              <w:rPr>
                <w:b/>
                <w:webHidden/>
              </w:rPr>
              <w:tab/>
            </w:r>
            <w:r w:rsidR="00014681" w:rsidRPr="00261B88">
              <w:rPr>
                <w:b/>
                <w:webHidden/>
              </w:rPr>
              <w:fldChar w:fldCharType="begin"/>
            </w:r>
            <w:r w:rsidR="00014681" w:rsidRPr="00261B88">
              <w:rPr>
                <w:b/>
                <w:webHidden/>
              </w:rPr>
              <w:instrText xml:space="preserve"> PAGEREF _Toc116029524 \h </w:instrText>
            </w:r>
            <w:r w:rsidR="00014681" w:rsidRPr="00261B88">
              <w:rPr>
                <w:b/>
                <w:webHidden/>
              </w:rPr>
            </w:r>
            <w:r w:rsidR="00014681" w:rsidRPr="00261B88">
              <w:rPr>
                <w:b/>
                <w:webHidden/>
              </w:rPr>
              <w:fldChar w:fldCharType="separate"/>
            </w:r>
            <w:r w:rsidR="00DB3FD6">
              <w:rPr>
                <w:b/>
                <w:webHidden/>
              </w:rPr>
              <w:t>22</w:t>
            </w:r>
            <w:r w:rsidR="00014681" w:rsidRPr="00261B88">
              <w:rPr>
                <w:b/>
                <w:webHidden/>
              </w:rPr>
              <w:fldChar w:fldCharType="end"/>
            </w:r>
          </w:hyperlink>
        </w:p>
        <w:p w14:paraId="3AD8602A" w14:textId="4D132F45" w:rsidR="00014681" w:rsidRPr="00261B88" w:rsidRDefault="002814D9">
          <w:pPr>
            <w:pStyle w:val="TOC3"/>
            <w:rPr>
              <w:rFonts w:asciiTheme="minorHAnsi" w:eastAsiaTheme="minorEastAsia" w:hAnsiTheme="minorHAnsi" w:cstheme="minorBidi"/>
              <w:b/>
              <w:noProof/>
              <w:sz w:val="22"/>
              <w:szCs w:val="22"/>
              <w:lang w:val="en-US" w:eastAsia="en-US"/>
            </w:rPr>
          </w:pPr>
          <w:hyperlink w:anchor="_Toc116029525" w:history="1">
            <w:r w:rsidR="00014681" w:rsidRPr="00261B88">
              <w:rPr>
                <w:rStyle w:val="Hyperlink"/>
                <w:b/>
                <w:noProof/>
              </w:rPr>
              <w:t>4.2.1.</w:t>
            </w:r>
            <w:r w:rsidR="00014681" w:rsidRPr="00261B88">
              <w:rPr>
                <w:rFonts w:asciiTheme="minorHAnsi" w:eastAsiaTheme="minorEastAsia" w:hAnsiTheme="minorHAnsi" w:cstheme="minorBidi"/>
                <w:b/>
                <w:noProof/>
                <w:sz w:val="22"/>
                <w:szCs w:val="22"/>
                <w:lang w:val="en-US" w:eastAsia="en-US"/>
              </w:rPr>
              <w:tab/>
            </w:r>
            <w:r w:rsidR="00014681" w:rsidRPr="00261B88">
              <w:rPr>
                <w:rStyle w:val="Hyperlink"/>
                <w:b/>
                <w:noProof/>
              </w:rPr>
              <w:t>Activitățile Comitetului consultativ pentru coordonarea în domeniul combaterii fraudei (COCOLAF)</w:t>
            </w:r>
            <w:r w:rsidR="00014681" w:rsidRPr="00261B88">
              <w:rPr>
                <w:b/>
                <w:noProof/>
                <w:webHidden/>
              </w:rPr>
              <w:tab/>
            </w:r>
            <w:r w:rsidR="00014681" w:rsidRPr="00261B88">
              <w:rPr>
                <w:b/>
                <w:noProof/>
                <w:webHidden/>
              </w:rPr>
              <w:fldChar w:fldCharType="begin"/>
            </w:r>
            <w:r w:rsidR="00014681" w:rsidRPr="00261B88">
              <w:rPr>
                <w:b/>
                <w:noProof/>
                <w:webHidden/>
              </w:rPr>
              <w:instrText xml:space="preserve"> PAGEREF _Toc116029525 \h </w:instrText>
            </w:r>
            <w:r w:rsidR="00014681" w:rsidRPr="00261B88">
              <w:rPr>
                <w:b/>
                <w:noProof/>
                <w:webHidden/>
              </w:rPr>
            </w:r>
            <w:r w:rsidR="00014681" w:rsidRPr="00261B88">
              <w:rPr>
                <w:b/>
                <w:noProof/>
                <w:webHidden/>
              </w:rPr>
              <w:fldChar w:fldCharType="separate"/>
            </w:r>
            <w:r w:rsidR="00DB3FD6">
              <w:rPr>
                <w:b/>
                <w:noProof/>
                <w:webHidden/>
              </w:rPr>
              <w:t>22</w:t>
            </w:r>
            <w:r w:rsidR="00014681" w:rsidRPr="00261B88">
              <w:rPr>
                <w:b/>
                <w:noProof/>
                <w:webHidden/>
              </w:rPr>
              <w:fldChar w:fldCharType="end"/>
            </w:r>
          </w:hyperlink>
        </w:p>
        <w:p w14:paraId="19EDF36B" w14:textId="1BC25128" w:rsidR="00014681" w:rsidRPr="00261B88" w:rsidRDefault="002814D9">
          <w:pPr>
            <w:pStyle w:val="TOC3"/>
            <w:rPr>
              <w:rFonts w:asciiTheme="minorHAnsi" w:eastAsiaTheme="minorEastAsia" w:hAnsiTheme="minorHAnsi" w:cstheme="minorBidi"/>
              <w:b/>
              <w:noProof/>
              <w:sz w:val="22"/>
              <w:szCs w:val="22"/>
              <w:lang w:val="en-US" w:eastAsia="en-US"/>
            </w:rPr>
          </w:pPr>
          <w:hyperlink w:anchor="_Toc116029526" w:history="1">
            <w:r w:rsidR="00014681" w:rsidRPr="00261B88">
              <w:rPr>
                <w:rStyle w:val="Hyperlink"/>
                <w:b/>
                <w:noProof/>
              </w:rPr>
              <w:t>4.2.2.</w:t>
            </w:r>
            <w:r w:rsidR="00014681" w:rsidRPr="00261B88">
              <w:rPr>
                <w:rFonts w:asciiTheme="minorHAnsi" w:eastAsiaTheme="minorEastAsia" w:hAnsiTheme="minorHAnsi" w:cstheme="minorBidi"/>
                <w:b/>
                <w:noProof/>
                <w:sz w:val="22"/>
                <w:szCs w:val="22"/>
                <w:lang w:val="en-US" w:eastAsia="en-US"/>
              </w:rPr>
              <w:tab/>
            </w:r>
            <w:r w:rsidR="00014681" w:rsidRPr="00261B88">
              <w:rPr>
                <w:rStyle w:val="Hyperlink"/>
                <w:b/>
                <w:noProof/>
              </w:rPr>
              <w:t>Programul Uniunii de luptă antifraudă</w:t>
            </w:r>
            <w:r w:rsidR="00014681" w:rsidRPr="00261B88">
              <w:rPr>
                <w:b/>
                <w:noProof/>
                <w:webHidden/>
              </w:rPr>
              <w:tab/>
            </w:r>
            <w:r w:rsidR="00014681" w:rsidRPr="00261B88">
              <w:rPr>
                <w:b/>
                <w:noProof/>
                <w:webHidden/>
              </w:rPr>
              <w:fldChar w:fldCharType="begin"/>
            </w:r>
            <w:r w:rsidR="00014681" w:rsidRPr="00261B88">
              <w:rPr>
                <w:b/>
                <w:noProof/>
                <w:webHidden/>
              </w:rPr>
              <w:instrText xml:space="preserve"> PAGEREF _Toc116029526 \h </w:instrText>
            </w:r>
            <w:r w:rsidR="00014681" w:rsidRPr="00261B88">
              <w:rPr>
                <w:b/>
                <w:noProof/>
                <w:webHidden/>
              </w:rPr>
            </w:r>
            <w:r w:rsidR="00014681" w:rsidRPr="00261B88">
              <w:rPr>
                <w:b/>
                <w:noProof/>
                <w:webHidden/>
              </w:rPr>
              <w:fldChar w:fldCharType="separate"/>
            </w:r>
            <w:r w:rsidR="00DB3FD6">
              <w:rPr>
                <w:b/>
                <w:noProof/>
                <w:webHidden/>
              </w:rPr>
              <w:t>23</w:t>
            </w:r>
            <w:r w:rsidR="00014681" w:rsidRPr="00261B88">
              <w:rPr>
                <w:b/>
                <w:noProof/>
                <w:webHidden/>
              </w:rPr>
              <w:fldChar w:fldCharType="end"/>
            </w:r>
          </w:hyperlink>
        </w:p>
        <w:p w14:paraId="58A00046" w14:textId="4D939176" w:rsidR="00014681" w:rsidRPr="00261B88" w:rsidRDefault="002814D9">
          <w:pPr>
            <w:pStyle w:val="TOC3"/>
            <w:rPr>
              <w:rFonts w:asciiTheme="minorHAnsi" w:eastAsiaTheme="minorEastAsia" w:hAnsiTheme="minorHAnsi" w:cstheme="minorBidi"/>
              <w:b/>
              <w:noProof/>
              <w:sz w:val="22"/>
              <w:szCs w:val="22"/>
              <w:lang w:val="en-US" w:eastAsia="en-US"/>
            </w:rPr>
          </w:pPr>
          <w:hyperlink w:anchor="_Toc116029527" w:history="1">
            <w:r w:rsidR="00014681" w:rsidRPr="00261B88">
              <w:rPr>
                <w:rStyle w:val="Hyperlink"/>
                <w:b/>
                <w:noProof/>
              </w:rPr>
              <w:t>4.2.3.</w:t>
            </w:r>
            <w:r w:rsidR="00014681" w:rsidRPr="00261B88">
              <w:rPr>
                <w:rFonts w:asciiTheme="minorHAnsi" w:eastAsiaTheme="minorEastAsia" w:hAnsiTheme="minorHAnsi" w:cstheme="minorBidi"/>
                <w:b/>
                <w:noProof/>
                <w:sz w:val="22"/>
                <w:szCs w:val="22"/>
                <w:lang w:val="en-US" w:eastAsia="en-US"/>
              </w:rPr>
              <w:tab/>
            </w:r>
            <w:r w:rsidR="00014681" w:rsidRPr="00261B88">
              <w:rPr>
                <w:rStyle w:val="Hyperlink"/>
                <w:b/>
                <w:noProof/>
              </w:rPr>
              <w:t>Cooperarea în domeniul veniturilor</w:t>
            </w:r>
            <w:r w:rsidR="00014681" w:rsidRPr="00261B88">
              <w:rPr>
                <w:b/>
                <w:noProof/>
                <w:webHidden/>
              </w:rPr>
              <w:tab/>
            </w:r>
            <w:r w:rsidR="00014681" w:rsidRPr="00261B88">
              <w:rPr>
                <w:b/>
                <w:noProof/>
                <w:webHidden/>
              </w:rPr>
              <w:fldChar w:fldCharType="begin"/>
            </w:r>
            <w:r w:rsidR="00014681" w:rsidRPr="00261B88">
              <w:rPr>
                <w:b/>
                <w:noProof/>
                <w:webHidden/>
              </w:rPr>
              <w:instrText xml:space="preserve"> PAGEREF _Toc116029527 \h </w:instrText>
            </w:r>
            <w:r w:rsidR="00014681" w:rsidRPr="00261B88">
              <w:rPr>
                <w:b/>
                <w:noProof/>
                <w:webHidden/>
              </w:rPr>
            </w:r>
            <w:r w:rsidR="00014681" w:rsidRPr="00261B88">
              <w:rPr>
                <w:b/>
                <w:noProof/>
                <w:webHidden/>
              </w:rPr>
              <w:fldChar w:fldCharType="separate"/>
            </w:r>
            <w:r w:rsidR="00DB3FD6">
              <w:rPr>
                <w:b/>
                <w:noProof/>
                <w:webHidden/>
              </w:rPr>
              <w:t>24</w:t>
            </w:r>
            <w:r w:rsidR="00014681" w:rsidRPr="00261B88">
              <w:rPr>
                <w:b/>
                <w:noProof/>
                <w:webHidden/>
              </w:rPr>
              <w:fldChar w:fldCharType="end"/>
            </w:r>
          </w:hyperlink>
        </w:p>
        <w:p w14:paraId="0D37644F" w14:textId="79B33606" w:rsidR="00014681" w:rsidRPr="00261B88" w:rsidRDefault="002814D9">
          <w:pPr>
            <w:pStyle w:val="TOC4"/>
            <w:rPr>
              <w:rFonts w:asciiTheme="minorHAnsi" w:eastAsiaTheme="minorEastAsia" w:hAnsiTheme="minorHAnsi" w:cstheme="minorBidi"/>
              <w:b/>
              <w:sz w:val="22"/>
              <w:szCs w:val="22"/>
              <w:lang w:val="en-US" w:eastAsia="en-US"/>
            </w:rPr>
          </w:pPr>
          <w:hyperlink w:anchor="_Toc116029528" w:history="1">
            <w:r w:rsidR="00014681" w:rsidRPr="00261B88">
              <w:rPr>
                <w:rStyle w:val="Hyperlink"/>
                <w:b/>
              </w:rPr>
              <w:t>4.2.3.1.</w:t>
            </w:r>
            <w:r w:rsidR="00014681" w:rsidRPr="00261B88">
              <w:rPr>
                <w:rFonts w:asciiTheme="minorHAnsi" w:eastAsiaTheme="minorEastAsia" w:hAnsiTheme="minorHAnsi" w:cstheme="minorBidi"/>
                <w:b/>
                <w:sz w:val="22"/>
                <w:szCs w:val="22"/>
                <w:lang w:val="en-US" w:eastAsia="en-US"/>
              </w:rPr>
              <w:tab/>
            </w:r>
            <w:r w:rsidR="00014681" w:rsidRPr="00261B88">
              <w:rPr>
                <w:rStyle w:val="Hyperlink"/>
                <w:b/>
              </w:rPr>
              <w:t>Programul „Vamă”</w:t>
            </w:r>
            <w:r w:rsidR="00014681" w:rsidRPr="00261B88">
              <w:rPr>
                <w:b/>
                <w:webHidden/>
              </w:rPr>
              <w:tab/>
            </w:r>
            <w:r w:rsidR="00014681" w:rsidRPr="00261B88">
              <w:rPr>
                <w:b/>
                <w:webHidden/>
              </w:rPr>
              <w:fldChar w:fldCharType="begin"/>
            </w:r>
            <w:r w:rsidR="00014681" w:rsidRPr="00261B88">
              <w:rPr>
                <w:b/>
                <w:webHidden/>
              </w:rPr>
              <w:instrText xml:space="preserve"> PAGEREF _Toc116029528 \h </w:instrText>
            </w:r>
            <w:r w:rsidR="00014681" w:rsidRPr="00261B88">
              <w:rPr>
                <w:b/>
                <w:webHidden/>
              </w:rPr>
            </w:r>
            <w:r w:rsidR="00014681" w:rsidRPr="00261B88">
              <w:rPr>
                <w:b/>
                <w:webHidden/>
              </w:rPr>
              <w:fldChar w:fldCharType="separate"/>
            </w:r>
            <w:r w:rsidR="00DB3FD6">
              <w:rPr>
                <w:b/>
                <w:webHidden/>
              </w:rPr>
              <w:t>24</w:t>
            </w:r>
            <w:r w:rsidR="00014681" w:rsidRPr="00261B88">
              <w:rPr>
                <w:b/>
                <w:webHidden/>
              </w:rPr>
              <w:fldChar w:fldCharType="end"/>
            </w:r>
          </w:hyperlink>
        </w:p>
        <w:p w14:paraId="210FED3D" w14:textId="772D3BBD" w:rsidR="00014681" w:rsidRPr="00261B88" w:rsidRDefault="002814D9">
          <w:pPr>
            <w:pStyle w:val="TOC4"/>
            <w:rPr>
              <w:rFonts w:asciiTheme="minorHAnsi" w:eastAsiaTheme="minorEastAsia" w:hAnsiTheme="minorHAnsi" w:cstheme="minorBidi"/>
              <w:b/>
              <w:sz w:val="22"/>
              <w:szCs w:val="22"/>
              <w:lang w:val="en-US" w:eastAsia="en-US"/>
            </w:rPr>
          </w:pPr>
          <w:hyperlink w:anchor="_Toc116029529" w:history="1">
            <w:r w:rsidR="00014681" w:rsidRPr="00261B88">
              <w:rPr>
                <w:rStyle w:val="Hyperlink"/>
                <w:b/>
              </w:rPr>
              <w:t>4.2.3.2.</w:t>
            </w:r>
            <w:r w:rsidR="00014681" w:rsidRPr="00261B88">
              <w:rPr>
                <w:rFonts w:asciiTheme="minorHAnsi" w:eastAsiaTheme="minorEastAsia" w:hAnsiTheme="minorHAnsi" w:cstheme="minorBidi"/>
                <w:b/>
                <w:sz w:val="22"/>
                <w:szCs w:val="22"/>
                <w:lang w:val="en-US" w:eastAsia="en-US"/>
              </w:rPr>
              <w:tab/>
            </w:r>
            <w:r w:rsidR="00014681" w:rsidRPr="00261B88">
              <w:rPr>
                <w:rStyle w:val="Hyperlink"/>
                <w:b/>
              </w:rPr>
              <w:t>Programul Fiscalis</w:t>
            </w:r>
            <w:r w:rsidR="00014681" w:rsidRPr="00261B88">
              <w:rPr>
                <w:b/>
                <w:webHidden/>
              </w:rPr>
              <w:tab/>
            </w:r>
            <w:r w:rsidR="00014681" w:rsidRPr="00261B88">
              <w:rPr>
                <w:b/>
                <w:webHidden/>
              </w:rPr>
              <w:fldChar w:fldCharType="begin"/>
            </w:r>
            <w:r w:rsidR="00014681" w:rsidRPr="00261B88">
              <w:rPr>
                <w:b/>
                <w:webHidden/>
              </w:rPr>
              <w:instrText xml:space="preserve"> PAGEREF _Toc116029529 \h </w:instrText>
            </w:r>
            <w:r w:rsidR="00014681" w:rsidRPr="00261B88">
              <w:rPr>
                <w:b/>
                <w:webHidden/>
              </w:rPr>
            </w:r>
            <w:r w:rsidR="00014681" w:rsidRPr="00261B88">
              <w:rPr>
                <w:b/>
                <w:webHidden/>
              </w:rPr>
              <w:fldChar w:fldCharType="separate"/>
            </w:r>
            <w:r w:rsidR="00DB3FD6">
              <w:rPr>
                <w:b/>
                <w:webHidden/>
              </w:rPr>
              <w:t>25</w:t>
            </w:r>
            <w:r w:rsidR="00014681" w:rsidRPr="00261B88">
              <w:rPr>
                <w:b/>
                <w:webHidden/>
              </w:rPr>
              <w:fldChar w:fldCharType="end"/>
            </w:r>
          </w:hyperlink>
        </w:p>
        <w:p w14:paraId="7B0CFC06" w14:textId="3872837C" w:rsidR="00014681" w:rsidRPr="00261B88" w:rsidRDefault="002814D9">
          <w:pPr>
            <w:pStyle w:val="TOC4"/>
            <w:rPr>
              <w:rFonts w:asciiTheme="minorHAnsi" w:eastAsiaTheme="minorEastAsia" w:hAnsiTheme="minorHAnsi" w:cstheme="minorBidi"/>
              <w:b/>
              <w:sz w:val="22"/>
              <w:szCs w:val="22"/>
              <w:lang w:val="en-US" w:eastAsia="en-US"/>
            </w:rPr>
          </w:pPr>
          <w:hyperlink w:anchor="_Toc116029530" w:history="1">
            <w:r w:rsidR="00014681" w:rsidRPr="00261B88">
              <w:rPr>
                <w:rStyle w:val="Hyperlink"/>
                <w:b/>
              </w:rPr>
              <w:t>4.2.3.3.</w:t>
            </w:r>
            <w:r w:rsidR="00014681" w:rsidRPr="00261B88">
              <w:rPr>
                <w:rFonts w:asciiTheme="minorHAnsi" w:eastAsiaTheme="minorEastAsia" w:hAnsiTheme="minorHAnsi" w:cstheme="minorBidi"/>
                <w:b/>
                <w:sz w:val="22"/>
                <w:szCs w:val="22"/>
                <w:lang w:val="en-US" w:eastAsia="en-US"/>
              </w:rPr>
              <w:tab/>
            </w:r>
            <w:r w:rsidR="00014681" w:rsidRPr="00261B88">
              <w:rPr>
                <w:rStyle w:val="Hyperlink"/>
                <w:b/>
              </w:rPr>
              <w:t>Operațiuni vamale comune (OVC)</w:t>
            </w:r>
            <w:r w:rsidR="00014681" w:rsidRPr="00261B88">
              <w:rPr>
                <w:b/>
                <w:webHidden/>
              </w:rPr>
              <w:tab/>
            </w:r>
            <w:r w:rsidR="00014681" w:rsidRPr="00261B88">
              <w:rPr>
                <w:b/>
                <w:webHidden/>
              </w:rPr>
              <w:fldChar w:fldCharType="begin"/>
            </w:r>
            <w:r w:rsidR="00014681" w:rsidRPr="00261B88">
              <w:rPr>
                <w:b/>
                <w:webHidden/>
              </w:rPr>
              <w:instrText xml:space="preserve"> PAGEREF _Toc116029530 \h </w:instrText>
            </w:r>
            <w:r w:rsidR="00014681" w:rsidRPr="00261B88">
              <w:rPr>
                <w:b/>
                <w:webHidden/>
              </w:rPr>
            </w:r>
            <w:r w:rsidR="00014681" w:rsidRPr="00261B88">
              <w:rPr>
                <w:b/>
                <w:webHidden/>
              </w:rPr>
              <w:fldChar w:fldCharType="separate"/>
            </w:r>
            <w:r w:rsidR="00DB3FD6">
              <w:rPr>
                <w:b/>
                <w:webHidden/>
              </w:rPr>
              <w:t>25</w:t>
            </w:r>
            <w:r w:rsidR="00014681" w:rsidRPr="00261B88">
              <w:rPr>
                <w:b/>
                <w:webHidden/>
              </w:rPr>
              <w:fldChar w:fldCharType="end"/>
            </w:r>
          </w:hyperlink>
        </w:p>
        <w:p w14:paraId="3C2D5B3B" w14:textId="2074B2E1" w:rsidR="00014681" w:rsidRPr="00261B88" w:rsidRDefault="002814D9">
          <w:pPr>
            <w:pStyle w:val="TOC1"/>
            <w:rPr>
              <w:rFonts w:asciiTheme="minorHAnsi" w:eastAsiaTheme="minorEastAsia" w:hAnsiTheme="minorHAnsi" w:cstheme="minorBidi"/>
              <w:noProof/>
              <w:sz w:val="22"/>
              <w:szCs w:val="22"/>
              <w:lang w:val="en-US" w:eastAsia="en-US"/>
            </w:rPr>
          </w:pPr>
          <w:hyperlink w:anchor="_Toc116029531" w:history="1">
            <w:r w:rsidR="00014681" w:rsidRPr="00261B88">
              <w:rPr>
                <w:rStyle w:val="Hyperlink"/>
                <w:noProof/>
              </w:rPr>
              <w:t>5.</w:t>
            </w:r>
            <w:r w:rsidR="00014681" w:rsidRPr="00261B88">
              <w:rPr>
                <w:rFonts w:asciiTheme="minorHAnsi" w:eastAsiaTheme="minorEastAsia" w:hAnsiTheme="minorHAnsi" w:cstheme="minorBidi"/>
                <w:noProof/>
                <w:sz w:val="22"/>
                <w:szCs w:val="22"/>
                <w:lang w:val="en-US" w:eastAsia="en-US"/>
              </w:rPr>
              <w:tab/>
            </w:r>
            <w:r w:rsidR="00014681" w:rsidRPr="00261B88">
              <w:rPr>
                <w:rStyle w:val="Hyperlink"/>
                <w:noProof/>
              </w:rPr>
              <w:t>Măsuri-cheie pentru protejarea intereselor financiare ale UE și lupta împotriva fraudei</w:t>
            </w:r>
            <w:r w:rsidR="00014681" w:rsidRPr="00261B88">
              <w:rPr>
                <w:noProof/>
                <w:webHidden/>
              </w:rPr>
              <w:tab/>
            </w:r>
            <w:r w:rsidR="00014681" w:rsidRPr="00261B88">
              <w:rPr>
                <w:noProof/>
                <w:webHidden/>
              </w:rPr>
              <w:fldChar w:fldCharType="begin"/>
            </w:r>
            <w:r w:rsidR="00014681" w:rsidRPr="00261B88">
              <w:rPr>
                <w:noProof/>
                <w:webHidden/>
              </w:rPr>
              <w:instrText xml:space="preserve"> PAGEREF _Toc116029531 \h </w:instrText>
            </w:r>
            <w:r w:rsidR="00014681" w:rsidRPr="00261B88">
              <w:rPr>
                <w:noProof/>
                <w:webHidden/>
              </w:rPr>
            </w:r>
            <w:r w:rsidR="00014681" w:rsidRPr="00261B88">
              <w:rPr>
                <w:noProof/>
                <w:webHidden/>
              </w:rPr>
              <w:fldChar w:fldCharType="separate"/>
            </w:r>
            <w:r w:rsidR="00DB3FD6">
              <w:rPr>
                <w:noProof/>
                <w:webHidden/>
              </w:rPr>
              <w:t>27</w:t>
            </w:r>
            <w:r w:rsidR="00014681" w:rsidRPr="00261B88">
              <w:rPr>
                <w:noProof/>
                <w:webHidden/>
              </w:rPr>
              <w:fldChar w:fldCharType="end"/>
            </w:r>
          </w:hyperlink>
        </w:p>
        <w:p w14:paraId="3311B363" w14:textId="5756B9EC" w:rsidR="00014681" w:rsidRPr="00261B88" w:rsidRDefault="002814D9">
          <w:pPr>
            <w:pStyle w:val="TOC2"/>
            <w:rPr>
              <w:rFonts w:asciiTheme="minorHAnsi" w:eastAsiaTheme="minorEastAsia" w:hAnsiTheme="minorHAnsi" w:cstheme="minorBidi"/>
              <w:b/>
              <w:sz w:val="22"/>
              <w:szCs w:val="22"/>
              <w:lang w:val="en-US" w:eastAsia="en-US"/>
            </w:rPr>
          </w:pPr>
          <w:hyperlink w:anchor="_Toc116029532" w:history="1">
            <w:r w:rsidR="00014681" w:rsidRPr="00261B88">
              <w:rPr>
                <w:rStyle w:val="Hyperlink"/>
                <w:b/>
              </w:rPr>
              <w:t>5.1.</w:t>
            </w:r>
            <w:r w:rsidR="00014681" w:rsidRPr="00261B88">
              <w:rPr>
                <w:rFonts w:asciiTheme="minorHAnsi" w:eastAsiaTheme="minorEastAsia" w:hAnsiTheme="minorHAnsi" w:cstheme="minorBidi"/>
                <w:b/>
                <w:sz w:val="22"/>
                <w:szCs w:val="22"/>
                <w:lang w:val="en-US" w:eastAsia="en-US"/>
              </w:rPr>
              <w:tab/>
            </w:r>
            <w:r w:rsidR="00014681" w:rsidRPr="00261B88">
              <w:rPr>
                <w:rStyle w:val="Hyperlink"/>
                <w:b/>
              </w:rPr>
              <w:t>Transpunerea Directivei PIF</w:t>
            </w:r>
            <w:r w:rsidR="00014681" w:rsidRPr="00261B88">
              <w:rPr>
                <w:b/>
                <w:webHidden/>
              </w:rPr>
              <w:tab/>
            </w:r>
            <w:r w:rsidR="00014681" w:rsidRPr="00261B88">
              <w:rPr>
                <w:b/>
                <w:webHidden/>
              </w:rPr>
              <w:fldChar w:fldCharType="begin"/>
            </w:r>
            <w:r w:rsidR="00014681" w:rsidRPr="00261B88">
              <w:rPr>
                <w:b/>
                <w:webHidden/>
              </w:rPr>
              <w:instrText xml:space="preserve"> PAGEREF _Toc116029532 \h </w:instrText>
            </w:r>
            <w:r w:rsidR="00014681" w:rsidRPr="00261B88">
              <w:rPr>
                <w:b/>
                <w:webHidden/>
              </w:rPr>
            </w:r>
            <w:r w:rsidR="00014681" w:rsidRPr="00261B88">
              <w:rPr>
                <w:b/>
                <w:webHidden/>
              </w:rPr>
              <w:fldChar w:fldCharType="separate"/>
            </w:r>
            <w:r w:rsidR="00DB3FD6">
              <w:rPr>
                <w:b/>
                <w:webHidden/>
              </w:rPr>
              <w:t>27</w:t>
            </w:r>
            <w:r w:rsidR="00014681" w:rsidRPr="00261B88">
              <w:rPr>
                <w:b/>
                <w:webHidden/>
              </w:rPr>
              <w:fldChar w:fldCharType="end"/>
            </w:r>
          </w:hyperlink>
        </w:p>
        <w:p w14:paraId="491BA558" w14:textId="4ECFFF89" w:rsidR="00014681" w:rsidRPr="00261B88" w:rsidRDefault="002814D9">
          <w:pPr>
            <w:pStyle w:val="TOC2"/>
            <w:rPr>
              <w:rFonts w:asciiTheme="minorHAnsi" w:eastAsiaTheme="minorEastAsia" w:hAnsiTheme="minorHAnsi" w:cstheme="minorBidi"/>
              <w:b/>
              <w:sz w:val="22"/>
              <w:szCs w:val="22"/>
              <w:lang w:val="en-US" w:eastAsia="en-US"/>
            </w:rPr>
          </w:pPr>
          <w:hyperlink w:anchor="_Toc116029533" w:history="1">
            <w:r w:rsidR="00014681" w:rsidRPr="00261B88">
              <w:rPr>
                <w:rStyle w:val="Hyperlink"/>
                <w:b/>
              </w:rPr>
              <w:t>5.2.</w:t>
            </w:r>
            <w:r w:rsidR="00014681" w:rsidRPr="00261B88">
              <w:rPr>
                <w:rFonts w:asciiTheme="minorHAnsi" w:eastAsiaTheme="minorEastAsia" w:hAnsiTheme="minorHAnsi" w:cstheme="minorBidi"/>
                <w:b/>
                <w:sz w:val="22"/>
                <w:szCs w:val="22"/>
                <w:lang w:val="en-US" w:eastAsia="en-US"/>
              </w:rPr>
              <w:tab/>
            </w:r>
            <w:r w:rsidR="00014681" w:rsidRPr="00261B88">
              <w:rPr>
                <w:rStyle w:val="Hyperlink"/>
                <w:b/>
              </w:rPr>
              <w:t>Combaterea spălării banilor</w:t>
            </w:r>
            <w:r w:rsidR="00014681" w:rsidRPr="00261B88">
              <w:rPr>
                <w:b/>
                <w:webHidden/>
              </w:rPr>
              <w:tab/>
            </w:r>
            <w:r w:rsidR="00014681" w:rsidRPr="00261B88">
              <w:rPr>
                <w:b/>
                <w:webHidden/>
              </w:rPr>
              <w:fldChar w:fldCharType="begin"/>
            </w:r>
            <w:r w:rsidR="00014681" w:rsidRPr="00261B88">
              <w:rPr>
                <w:b/>
                <w:webHidden/>
              </w:rPr>
              <w:instrText xml:space="preserve"> PAGEREF _Toc116029533 \h </w:instrText>
            </w:r>
            <w:r w:rsidR="00014681" w:rsidRPr="00261B88">
              <w:rPr>
                <w:b/>
                <w:webHidden/>
              </w:rPr>
            </w:r>
            <w:r w:rsidR="00014681" w:rsidRPr="00261B88">
              <w:rPr>
                <w:b/>
                <w:webHidden/>
              </w:rPr>
              <w:fldChar w:fldCharType="separate"/>
            </w:r>
            <w:r w:rsidR="00DB3FD6">
              <w:rPr>
                <w:b/>
                <w:webHidden/>
              </w:rPr>
              <w:t>27</w:t>
            </w:r>
            <w:r w:rsidR="00014681" w:rsidRPr="00261B88">
              <w:rPr>
                <w:b/>
                <w:webHidden/>
              </w:rPr>
              <w:fldChar w:fldCharType="end"/>
            </w:r>
          </w:hyperlink>
        </w:p>
        <w:p w14:paraId="44A30CA4" w14:textId="78C42792" w:rsidR="00014681" w:rsidRPr="00261B88" w:rsidRDefault="002814D9">
          <w:pPr>
            <w:pStyle w:val="TOC2"/>
            <w:rPr>
              <w:rFonts w:asciiTheme="minorHAnsi" w:eastAsiaTheme="minorEastAsia" w:hAnsiTheme="minorHAnsi" w:cstheme="minorBidi"/>
              <w:b/>
              <w:sz w:val="22"/>
              <w:szCs w:val="22"/>
              <w:lang w:val="en-US" w:eastAsia="en-US"/>
            </w:rPr>
          </w:pPr>
          <w:hyperlink w:anchor="_Toc116029534" w:history="1">
            <w:r w:rsidR="00014681" w:rsidRPr="00261B88">
              <w:rPr>
                <w:rStyle w:val="Hyperlink"/>
                <w:b/>
              </w:rPr>
              <w:t>5.3.</w:t>
            </w:r>
            <w:r w:rsidR="00014681" w:rsidRPr="00261B88">
              <w:rPr>
                <w:rFonts w:asciiTheme="minorHAnsi" w:eastAsiaTheme="minorEastAsia" w:hAnsiTheme="minorHAnsi" w:cstheme="minorBidi"/>
                <w:b/>
                <w:sz w:val="22"/>
                <w:szCs w:val="22"/>
                <w:lang w:val="en-US" w:eastAsia="en-US"/>
              </w:rPr>
              <w:tab/>
            </w:r>
            <w:r w:rsidR="00014681" w:rsidRPr="00261B88">
              <w:rPr>
                <w:rStyle w:val="Hyperlink"/>
                <w:b/>
              </w:rPr>
              <w:t>Mecanismul de redresare și reziliență</w:t>
            </w:r>
            <w:r w:rsidR="00014681" w:rsidRPr="00261B88">
              <w:rPr>
                <w:b/>
                <w:webHidden/>
              </w:rPr>
              <w:tab/>
            </w:r>
            <w:r w:rsidR="00014681" w:rsidRPr="00261B88">
              <w:rPr>
                <w:b/>
                <w:webHidden/>
              </w:rPr>
              <w:fldChar w:fldCharType="begin"/>
            </w:r>
            <w:r w:rsidR="00014681" w:rsidRPr="00261B88">
              <w:rPr>
                <w:b/>
                <w:webHidden/>
              </w:rPr>
              <w:instrText xml:space="preserve"> PAGEREF _Toc116029534 \h </w:instrText>
            </w:r>
            <w:r w:rsidR="00014681" w:rsidRPr="00261B88">
              <w:rPr>
                <w:b/>
                <w:webHidden/>
              </w:rPr>
            </w:r>
            <w:r w:rsidR="00014681" w:rsidRPr="00261B88">
              <w:rPr>
                <w:b/>
                <w:webHidden/>
              </w:rPr>
              <w:fldChar w:fldCharType="separate"/>
            </w:r>
            <w:r w:rsidR="00DB3FD6">
              <w:rPr>
                <w:b/>
                <w:webHidden/>
              </w:rPr>
              <w:t>28</w:t>
            </w:r>
            <w:r w:rsidR="00014681" w:rsidRPr="00261B88">
              <w:rPr>
                <w:b/>
                <w:webHidden/>
              </w:rPr>
              <w:fldChar w:fldCharType="end"/>
            </w:r>
          </w:hyperlink>
        </w:p>
        <w:p w14:paraId="3E28CA18" w14:textId="02EB6B64" w:rsidR="00014681" w:rsidRPr="00261B88" w:rsidRDefault="002814D9">
          <w:pPr>
            <w:pStyle w:val="TOC2"/>
            <w:rPr>
              <w:rFonts w:asciiTheme="minorHAnsi" w:eastAsiaTheme="minorEastAsia" w:hAnsiTheme="minorHAnsi" w:cstheme="minorBidi"/>
              <w:b/>
              <w:sz w:val="22"/>
              <w:szCs w:val="22"/>
              <w:lang w:val="en-US" w:eastAsia="en-US"/>
            </w:rPr>
          </w:pPr>
          <w:hyperlink w:anchor="_Toc116029535" w:history="1">
            <w:r w:rsidR="00014681" w:rsidRPr="00261B88">
              <w:rPr>
                <w:rStyle w:val="Hyperlink"/>
                <w:b/>
              </w:rPr>
              <w:t>5.4.</w:t>
            </w:r>
            <w:r w:rsidR="00014681" w:rsidRPr="00261B88">
              <w:rPr>
                <w:rFonts w:asciiTheme="minorHAnsi" w:eastAsiaTheme="minorEastAsia" w:hAnsiTheme="minorHAnsi" w:cstheme="minorBidi"/>
                <w:b/>
                <w:sz w:val="22"/>
                <w:szCs w:val="22"/>
                <w:lang w:val="en-US" w:eastAsia="en-US"/>
              </w:rPr>
              <w:tab/>
            </w:r>
            <w:r w:rsidR="00014681" w:rsidRPr="00261B88">
              <w:rPr>
                <w:rStyle w:val="Hyperlink"/>
                <w:b/>
              </w:rPr>
              <w:t>Protecția avertizorilor de integritate</w:t>
            </w:r>
            <w:r w:rsidR="00014681" w:rsidRPr="00261B88">
              <w:rPr>
                <w:b/>
                <w:webHidden/>
              </w:rPr>
              <w:tab/>
            </w:r>
            <w:r w:rsidR="00014681" w:rsidRPr="00261B88">
              <w:rPr>
                <w:b/>
                <w:webHidden/>
              </w:rPr>
              <w:fldChar w:fldCharType="begin"/>
            </w:r>
            <w:r w:rsidR="00014681" w:rsidRPr="00261B88">
              <w:rPr>
                <w:b/>
                <w:webHidden/>
              </w:rPr>
              <w:instrText xml:space="preserve"> PAGEREF _Toc116029535 \h </w:instrText>
            </w:r>
            <w:r w:rsidR="00014681" w:rsidRPr="00261B88">
              <w:rPr>
                <w:b/>
                <w:webHidden/>
              </w:rPr>
            </w:r>
            <w:r w:rsidR="00014681" w:rsidRPr="00261B88">
              <w:rPr>
                <w:b/>
                <w:webHidden/>
              </w:rPr>
              <w:fldChar w:fldCharType="separate"/>
            </w:r>
            <w:r w:rsidR="00DB3FD6">
              <w:rPr>
                <w:b/>
                <w:webHidden/>
              </w:rPr>
              <w:t>30</w:t>
            </w:r>
            <w:r w:rsidR="00014681" w:rsidRPr="00261B88">
              <w:rPr>
                <w:b/>
                <w:webHidden/>
              </w:rPr>
              <w:fldChar w:fldCharType="end"/>
            </w:r>
          </w:hyperlink>
        </w:p>
        <w:p w14:paraId="3DDDBE61" w14:textId="1A5A9870" w:rsidR="00014681" w:rsidRPr="00261B88" w:rsidRDefault="002814D9">
          <w:pPr>
            <w:pStyle w:val="TOC2"/>
            <w:rPr>
              <w:rFonts w:asciiTheme="minorHAnsi" w:eastAsiaTheme="minorEastAsia" w:hAnsiTheme="minorHAnsi" w:cstheme="minorBidi"/>
              <w:b/>
              <w:sz w:val="22"/>
              <w:szCs w:val="22"/>
              <w:lang w:val="en-US" w:eastAsia="en-US"/>
            </w:rPr>
          </w:pPr>
          <w:hyperlink w:anchor="_Toc116029536" w:history="1">
            <w:r w:rsidR="00014681" w:rsidRPr="00261B88">
              <w:rPr>
                <w:rStyle w:val="Hyperlink"/>
                <w:b/>
              </w:rPr>
              <w:t>5.5.</w:t>
            </w:r>
            <w:r w:rsidR="00014681" w:rsidRPr="00261B88">
              <w:rPr>
                <w:rFonts w:asciiTheme="minorHAnsi" w:eastAsiaTheme="minorEastAsia" w:hAnsiTheme="minorHAnsi" w:cstheme="minorBidi"/>
                <w:b/>
                <w:sz w:val="22"/>
                <w:szCs w:val="22"/>
                <w:lang w:val="en-US" w:eastAsia="en-US"/>
              </w:rPr>
              <w:tab/>
            </w:r>
            <w:r w:rsidR="00014681" w:rsidRPr="00261B88">
              <w:rPr>
                <w:rStyle w:val="Hyperlink"/>
                <w:b/>
              </w:rPr>
              <w:t>Setul de instrumente privind statul de drept</w:t>
            </w:r>
            <w:r w:rsidR="00014681" w:rsidRPr="00261B88">
              <w:rPr>
                <w:b/>
                <w:webHidden/>
              </w:rPr>
              <w:tab/>
            </w:r>
            <w:r w:rsidR="00014681" w:rsidRPr="00261B88">
              <w:rPr>
                <w:b/>
                <w:webHidden/>
              </w:rPr>
              <w:fldChar w:fldCharType="begin"/>
            </w:r>
            <w:r w:rsidR="00014681" w:rsidRPr="00261B88">
              <w:rPr>
                <w:b/>
                <w:webHidden/>
              </w:rPr>
              <w:instrText xml:space="preserve"> PAGEREF _Toc116029536 \h </w:instrText>
            </w:r>
            <w:r w:rsidR="00014681" w:rsidRPr="00261B88">
              <w:rPr>
                <w:b/>
                <w:webHidden/>
              </w:rPr>
            </w:r>
            <w:r w:rsidR="00014681" w:rsidRPr="00261B88">
              <w:rPr>
                <w:b/>
                <w:webHidden/>
              </w:rPr>
              <w:fldChar w:fldCharType="separate"/>
            </w:r>
            <w:r w:rsidR="00DB3FD6">
              <w:rPr>
                <w:b/>
                <w:webHidden/>
              </w:rPr>
              <w:t>30</w:t>
            </w:r>
            <w:r w:rsidR="00014681" w:rsidRPr="00261B88">
              <w:rPr>
                <w:b/>
                <w:webHidden/>
              </w:rPr>
              <w:fldChar w:fldCharType="end"/>
            </w:r>
          </w:hyperlink>
        </w:p>
        <w:p w14:paraId="7EDD69E6" w14:textId="741C941A" w:rsidR="00014681" w:rsidRPr="00261B88" w:rsidRDefault="002814D9">
          <w:pPr>
            <w:pStyle w:val="TOC3"/>
            <w:rPr>
              <w:rFonts w:asciiTheme="minorHAnsi" w:eastAsiaTheme="minorEastAsia" w:hAnsiTheme="minorHAnsi" w:cstheme="minorBidi"/>
              <w:b/>
              <w:noProof/>
              <w:sz w:val="22"/>
              <w:szCs w:val="22"/>
              <w:lang w:val="en-US" w:eastAsia="en-US"/>
            </w:rPr>
          </w:pPr>
          <w:hyperlink w:anchor="_Toc116029537" w:history="1">
            <w:r w:rsidR="00014681" w:rsidRPr="00261B88">
              <w:rPr>
                <w:rStyle w:val="Hyperlink"/>
                <w:b/>
                <w:noProof/>
              </w:rPr>
              <w:t>5.5.1.</w:t>
            </w:r>
            <w:r w:rsidR="00014681" w:rsidRPr="00261B88">
              <w:rPr>
                <w:rFonts w:asciiTheme="minorHAnsi" w:eastAsiaTheme="minorEastAsia" w:hAnsiTheme="minorHAnsi" w:cstheme="minorBidi"/>
                <w:b/>
                <w:noProof/>
                <w:sz w:val="22"/>
                <w:szCs w:val="22"/>
                <w:lang w:val="en-US" w:eastAsia="en-US"/>
              </w:rPr>
              <w:tab/>
            </w:r>
            <w:r w:rsidR="00014681" w:rsidRPr="00261B88">
              <w:rPr>
                <w:rStyle w:val="Hyperlink"/>
                <w:b/>
                <w:noProof/>
              </w:rPr>
              <w:t>Raportul privind statul de drept – principalele constatări și aspecte importante în legătură cu protejarea intereselor financiare ale UE</w:t>
            </w:r>
            <w:r w:rsidR="00014681" w:rsidRPr="00261B88">
              <w:rPr>
                <w:b/>
                <w:noProof/>
                <w:webHidden/>
              </w:rPr>
              <w:tab/>
            </w:r>
            <w:r w:rsidR="00014681" w:rsidRPr="00261B88">
              <w:rPr>
                <w:b/>
                <w:noProof/>
                <w:webHidden/>
              </w:rPr>
              <w:fldChar w:fldCharType="begin"/>
            </w:r>
            <w:r w:rsidR="00014681" w:rsidRPr="00261B88">
              <w:rPr>
                <w:b/>
                <w:noProof/>
                <w:webHidden/>
              </w:rPr>
              <w:instrText xml:space="preserve"> PAGEREF _Toc116029537 \h </w:instrText>
            </w:r>
            <w:r w:rsidR="00014681" w:rsidRPr="00261B88">
              <w:rPr>
                <w:b/>
                <w:noProof/>
                <w:webHidden/>
              </w:rPr>
            </w:r>
            <w:r w:rsidR="00014681" w:rsidRPr="00261B88">
              <w:rPr>
                <w:b/>
                <w:noProof/>
                <w:webHidden/>
              </w:rPr>
              <w:fldChar w:fldCharType="separate"/>
            </w:r>
            <w:r w:rsidR="00DB3FD6">
              <w:rPr>
                <w:b/>
                <w:noProof/>
                <w:webHidden/>
              </w:rPr>
              <w:t>31</w:t>
            </w:r>
            <w:r w:rsidR="00014681" w:rsidRPr="00261B88">
              <w:rPr>
                <w:b/>
                <w:noProof/>
                <w:webHidden/>
              </w:rPr>
              <w:fldChar w:fldCharType="end"/>
            </w:r>
          </w:hyperlink>
        </w:p>
        <w:p w14:paraId="0F349485" w14:textId="0D413A6B" w:rsidR="00014681" w:rsidRPr="00261B88" w:rsidRDefault="002814D9">
          <w:pPr>
            <w:pStyle w:val="TOC3"/>
            <w:rPr>
              <w:rFonts w:asciiTheme="minorHAnsi" w:eastAsiaTheme="minorEastAsia" w:hAnsiTheme="minorHAnsi" w:cstheme="minorBidi"/>
              <w:b/>
              <w:noProof/>
              <w:sz w:val="22"/>
              <w:szCs w:val="22"/>
              <w:lang w:val="en-US" w:eastAsia="en-US"/>
            </w:rPr>
          </w:pPr>
          <w:hyperlink w:anchor="_Toc116029538" w:history="1">
            <w:r w:rsidR="00014681" w:rsidRPr="00261B88">
              <w:rPr>
                <w:rStyle w:val="Hyperlink"/>
                <w:b/>
                <w:noProof/>
              </w:rPr>
              <w:t>5.5.2.</w:t>
            </w:r>
            <w:r w:rsidR="00014681" w:rsidRPr="00261B88">
              <w:rPr>
                <w:rFonts w:asciiTheme="minorHAnsi" w:eastAsiaTheme="minorEastAsia" w:hAnsiTheme="minorHAnsi" w:cstheme="minorBidi"/>
                <w:b/>
                <w:noProof/>
                <w:sz w:val="22"/>
                <w:szCs w:val="22"/>
                <w:lang w:val="en-US" w:eastAsia="en-US"/>
              </w:rPr>
              <w:tab/>
            </w:r>
            <w:r w:rsidR="00014681" w:rsidRPr="00261B88">
              <w:rPr>
                <w:rStyle w:val="Hyperlink"/>
                <w:b/>
                <w:noProof/>
              </w:rPr>
              <w:t>Progresele înregistrate în punerea în aplicare a regulamentului UE privind un regim general de condiționalitate pentru protecția bugetului Uniunii</w:t>
            </w:r>
            <w:r w:rsidR="00014681" w:rsidRPr="00261B88">
              <w:rPr>
                <w:b/>
                <w:noProof/>
                <w:webHidden/>
              </w:rPr>
              <w:tab/>
            </w:r>
            <w:r w:rsidR="00014681" w:rsidRPr="00261B88">
              <w:rPr>
                <w:b/>
                <w:noProof/>
                <w:webHidden/>
              </w:rPr>
              <w:fldChar w:fldCharType="begin"/>
            </w:r>
            <w:r w:rsidR="00014681" w:rsidRPr="00261B88">
              <w:rPr>
                <w:b/>
                <w:noProof/>
                <w:webHidden/>
              </w:rPr>
              <w:instrText xml:space="preserve"> PAGEREF _Toc116029538 \h </w:instrText>
            </w:r>
            <w:r w:rsidR="00014681" w:rsidRPr="00261B88">
              <w:rPr>
                <w:b/>
                <w:noProof/>
                <w:webHidden/>
              </w:rPr>
            </w:r>
            <w:r w:rsidR="00014681" w:rsidRPr="00261B88">
              <w:rPr>
                <w:b/>
                <w:noProof/>
                <w:webHidden/>
              </w:rPr>
              <w:fldChar w:fldCharType="separate"/>
            </w:r>
            <w:r w:rsidR="00DB3FD6">
              <w:rPr>
                <w:b/>
                <w:noProof/>
                <w:webHidden/>
              </w:rPr>
              <w:t>31</w:t>
            </w:r>
            <w:r w:rsidR="00014681" w:rsidRPr="00261B88">
              <w:rPr>
                <w:b/>
                <w:noProof/>
                <w:webHidden/>
              </w:rPr>
              <w:fldChar w:fldCharType="end"/>
            </w:r>
          </w:hyperlink>
        </w:p>
        <w:p w14:paraId="6F325E72" w14:textId="01B0C5BB" w:rsidR="00014681" w:rsidRPr="00261B88" w:rsidRDefault="002814D9">
          <w:pPr>
            <w:pStyle w:val="TOC2"/>
            <w:rPr>
              <w:rFonts w:asciiTheme="minorHAnsi" w:eastAsiaTheme="minorEastAsia" w:hAnsiTheme="minorHAnsi" w:cstheme="minorBidi"/>
              <w:b/>
              <w:sz w:val="22"/>
              <w:szCs w:val="22"/>
              <w:lang w:val="en-US" w:eastAsia="en-US"/>
            </w:rPr>
          </w:pPr>
          <w:hyperlink w:anchor="_Toc116029539" w:history="1">
            <w:r w:rsidR="00014681" w:rsidRPr="00261B88">
              <w:rPr>
                <w:rStyle w:val="Hyperlink"/>
                <w:b/>
              </w:rPr>
              <w:t>5.6.</w:t>
            </w:r>
            <w:r w:rsidR="00014681" w:rsidRPr="00261B88">
              <w:rPr>
                <w:rFonts w:asciiTheme="minorHAnsi" w:eastAsiaTheme="minorEastAsia" w:hAnsiTheme="minorHAnsi" w:cstheme="minorBidi"/>
                <w:b/>
                <w:sz w:val="22"/>
                <w:szCs w:val="22"/>
                <w:lang w:val="en-US" w:eastAsia="en-US"/>
              </w:rPr>
              <w:tab/>
            </w:r>
            <w:r w:rsidR="00014681" w:rsidRPr="00261B88">
              <w:rPr>
                <w:rStyle w:val="Hyperlink"/>
                <w:b/>
              </w:rPr>
              <w:t>Politica anticorupție</w:t>
            </w:r>
            <w:r w:rsidR="00014681" w:rsidRPr="00261B88">
              <w:rPr>
                <w:b/>
                <w:webHidden/>
              </w:rPr>
              <w:tab/>
            </w:r>
            <w:r w:rsidR="00014681" w:rsidRPr="00261B88">
              <w:rPr>
                <w:b/>
                <w:webHidden/>
              </w:rPr>
              <w:fldChar w:fldCharType="begin"/>
            </w:r>
            <w:r w:rsidR="00014681" w:rsidRPr="00261B88">
              <w:rPr>
                <w:b/>
                <w:webHidden/>
              </w:rPr>
              <w:instrText xml:space="preserve"> PAGEREF _Toc116029539 \h </w:instrText>
            </w:r>
            <w:r w:rsidR="00014681" w:rsidRPr="00261B88">
              <w:rPr>
                <w:b/>
                <w:webHidden/>
              </w:rPr>
            </w:r>
            <w:r w:rsidR="00014681" w:rsidRPr="00261B88">
              <w:rPr>
                <w:b/>
                <w:webHidden/>
              </w:rPr>
              <w:fldChar w:fldCharType="separate"/>
            </w:r>
            <w:r w:rsidR="00DB3FD6">
              <w:rPr>
                <w:b/>
                <w:webHidden/>
              </w:rPr>
              <w:t>31</w:t>
            </w:r>
            <w:r w:rsidR="00014681" w:rsidRPr="00261B88">
              <w:rPr>
                <w:b/>
                <w:webHidden/>
              </w:rPr>
              <w:fldChar w:fldCharType="end"/>
            </w:r>
          </w:hyperlink>
        </w:p>
        <w:p w14:paraId="7A5E3B17" w14:textId="3735301D" w:rsidR="00014681" w:rsidRPr="00261B88" w:rsidRDefault="002814D9">
          <w:pPr>
            <w:pStyle w:val="TOC1"/>
            <w:rPr>
              <w:rFonts w:asciiTheme="minorHAnsi" w:eastAsiaTheme="minorEastAsia" w:hAnsiTheme="minorHAnsi" w:cstheme="minorBidi"/>
              <w:noProof/>
              <w:sz w:val="22"/>
              <w:szCs w:val="22"/>
              <w:lang w:val="en-US" w:eastAsia="en-US"/>
            </w:rPr>
          </w:pPr>
          <w:hyperlink w:anchor="_Toc116029540" w:history="1">
            <w:r w:rsidR="00014681" w:rsidRPr="00261B88">
              <w:rPr>
                <w:rStyle w:val="Hyperlink"/>
                <w:noProof/>
              </w:rPr>
              <w:t>6.</w:t>
            </w:r>
            <w:r w:rsidR="00014681" w:rsidRPr="00261B88">
              <w:rPr>
                <w:rFonts w:asciiTheme="minorHAnsi" w:eastAsiaTheme="minorEastAsia" w:hAnsiTheme="minorHAnsi" w:cstheme="minorBidi"/>
                <w:noProof/>
                <w:sz w:val="22"/>
                <w:szCs w:val="22"/>
                <w:lang w:val="en-US" w:eastAsia="en-US"/>
              </w:rPr>
              <w:tab/>
            </w:r>
            <w:r w:rsidR="00014681" w:rsidRPr="00261B88">
              <w:rPr>
                <w:rStyle w:val="Hyperlink"/>
                <w:noProof/>
              </w:rPr>
              <w:t>Rezultatele activităților de control</w:t>
            </w:r>
            <w:r w:rsidR="00014681" w:rsidRPr="00261B88">
              <w:rPr>
                <w:noProof/>
                <w:webHidden/>
              </w:rPr>
              <w:tab/>
            </w:r>
            <w:r w:rsidR="00014681" w:rsidRPr="00261B88">
              <w:rPr>
                <w:noProof/>
                <w:webHidden/>
              </w:rPr>
              <w:fldChar w:fldCharType="begin"/>
            </w:r>
            <w:r w:rsidR="00014681" w:rsidRPr="00261B88">
              <w:rPr>
                <w:noProof/>
                <w:webHidden/>
              </w:rPr>
              <w:instrText xml:space="preserve"> PAGEREF _Toc116029540 \h </w:instrText>
            </w:r>
            <w:r w:rsidR="00014681" w:rsidRPr="00261B88">
              <w:rPr>
                <w:noProof/>
                <w:webHidden/>
              </w:rPr>
            </w:r>
            <w:r w:rsidR="00014681" w:rsidRPr="00261B88">
              <w:rPr>
                <w:noProof/>
                <w:webHidden/>
              </w:rPr>
              <w:fldChar w:fldCharType="separate"/>
            </w:r>
            <w:r w:rsidR="00DB3FD6">
              <w:rPr>
                <w:noProof/>
                <w:webHidden/>
              </w:rPr>
              <w:t>32</w:t>
            </w:r>
            <w:r w:rsidR="00014681" w:rsidRPr="00261B88">
              <w:rPr>
                <w:noProof/>
                <w:webHidden/>
              </w:rPr>
              <w:fldChar w:fldCharType="end"/>
            </w:r>
          </w:hyperlink>
        </w:p>
        <w:p w14:paraId="0C0DCEFB" w14:textId="19B18E69" w:rsidR="00014681" w:rsidRPr="00261B88" w:rsidRDefault="002814D9">
          <w:pPr>
            <w:pStyle w:val="TOC2"/>
            <w:rPr>
              <w:rFonts w:asciiTheme="minorHAnsi" w:eastAsiaTheme="minorEastAsia" w:hAnsiTheme="minorHAnsi" w:cstheme="minorBidi"/>
              <w:b/>
              <w:sz w:val="22"/>
              <w:szCs w:val="22"/>
              <w:lang w:val="en-US" w:eastAsia="en-US"/>
            </w:rPr>
          </w:pPr>
          <w:hyperlink w:anchor="_Toc116029541" w:history="1">
            <w:r w:rsidR="00014681" w:rsidRPr="00261B88">
              <w:rPr>
                <w:rStyle w:val="Hyperlink"/>
                <w:b/>
              </w:rPr>
              <w:t>6.1.</w:t>
            </w:r>
            <w:r w:rsidR="00014681" w:rsidRPr="00261B88">
              <w:rPr>
                <w:rFonts w:asciiTheme="minorHAnsi" w:eastAsiaTheme="minorEastAsia" w:hAnsiTheme="minorHAnsi" w:cstheme="minorBidi"/>
                <w:b/>
                <w:sz w:val="22"/>
                <w:szCs w:val="22"/>
                <w:lang w:val="en-US" w:eastAsia="en-US"/>
              </w:rPr>
              <w:tab/>
            </w:r>
            <w:r w:rsidR="00014681" w:rsidRPr="00261B88">
              <w:rPr>
                <w:rStyle w:val="Hyperlink"/>
                <w:b/>
              </w:rPr>
              <w:t>Surse de date și metodologie</w:t>
            </w:r>
            <w:r w:rsidR="00014681" w:rsidRPr="00261B88">
              <w:rPr>
                <w:b/>
                <w:webHidden/>
              </w:rPr>
              <w:tab/>
            </w:r>
            <w:r w:rsidR="00014681" w:rsidRPr="00261B88">
              <w:rPr>
                <w:b/>
                <w:webHidden/>
              </w:rPr>
              <w:fldChar w:fldCharType="begin"/>
            </w:r>
            <w:r w:rsidR="00014681" w:rsidRPr="00261B88">
              <w:rPr>
                <w:b/>
                <w:webHidden/>
              </w:rPr>
              <w:instrText xml:space="preserve"> PAGEREF _Toc116029541 \h </w:instrText>
            </w:r>
            <w:r w:rsidR="00014681" w:rsidRPr="00261B88">
              <w:rPr>
                <w:b/>
                <w:webHidden/>
              </w:rPr>
            </w:r>
            <w:r w:rsidR="00014681" w:rsidRPr="00261B88">
              <w:rPr>
                <w:b/>
                <w:webHidden/>
              </w:rPr>
              <w:fldChar w:fldCharType="separate"/>
            </w:r>
            <w:r w:rsidR="00DB3FD6">
              <w:rPr>
                <w:b/>
                <w:webHidden/>
              </w:rPr>
              <w:t>32</w:t>
            </w:r>
            <w:r w:rsidR="00014681" w:rsidRPr="00261B88">
              <w:rPr>
                <w:b/>
                <w:webHidden/>
              </w:rPr>
              <w:fldChar w:fldCharType="end"/>
            </w:r>
          </w:hyperlink>
        </w:p>
        <w:p w14:paraId="08CA1CC6" w14:textId="024E9189" w:rsidR="00014681" w:rsidRPr="00261B88" w:rsidRDefault="002814D9">
          <w:pPr>
            <w:pStyle w:val="TOC2"/>
            <w:rPr>
              <w:rFonts w:asciiTheme="minorHAnsi" w:eastAsiaTheme="minorEastAsia" w:hAnsiTheme="minorHAnsi" w:cstheme="minorBidi"/>
              <w:b/>
              <w:sz w:val="22"/>
              <w:szCs w:val="22"/>
              <w:lang w:val="en-US" w:eastAsia="en-US"/>
            </w:rPr>
          </w:pPr>
          <w:hyperlink w:anchor="_Toc116029542" w:history="1">
            <w:r w:rsidR="00014681" w:rsidRPr="00261B88">
              <w:rPr>
                <w:rStyle w:val="Hyperlink"/>
                <w:b/>
              </w:rPr>
              <w:t>6.2.</w:t>
            </w:r>
            <w:r w:rsidR="00014681" w:rsidRPr="00261B88">
              <w:rPr>
                <w:rFonts w:asciiTheme="minorHAnsi" w:eastAsiaTheme="minorEastAsia" w:hAnsiTheme="minorHAnsi" w:cstheme="minorBidi"/>
                <w:b/>
                <w:sz w:val="22"/>
                <w:szCs w:val="22"/>
                <w:lang w:val="en-US" w:eastAsia="en-US"/>
              </w:rPr>
              <w:tab/>
            </w:r>
            <w:r w:rsidR="00014681" w:rsidRPr="00261B88">
              <w:rPr>
                <w:rStyle w:val="Hyperlink"/>
                <w:b/>
              </w:rPr>
              <w:t>Venituri</w:t>
            </w:r>
            <w:r w:rsidR="00014681" w:rsidRPr="00261B88">
              <w:rPr>
                <w:b/>
                <w:webHidden/>
              </w:rPr>
              <w:tab/>
            </w:r>
            <w:r w:rsidR="00014681" w:rsidRPr="00261B88">
              <w:rPr>
                <w:b/>
                <w:webHidden/>
              </w:rPr>
              <w:fldChar w:fldCharType="begin"/>
            </w:r>
            <w:r w:rsidR="00014681" w:rsidRPr="00261B88">
              <w:rPr>
                <w:b/>
                <w:webHidden/>
              </w:rPr>
              <w:instrText xml:space="preserve"> PAGEREF _Toc116029542 \h </w:instrText>
            </w:r>
            <w:r w:rsidR="00014681" w:rsidRPr="00261B88">
              <w:rPr>
                <w:b/>
                <w:webHidden/>
              </w:rPr>
            </w:r>
            <w:r w:rsidR="00014681" w:rsidRPr="00261B88">
              <w:rPr>
                <w:b/>
                <w:webHidden/>
              </w:rPr>
              <w:fldChar w:fldCharType="separate"/>
            </w:r>
            <w:r w:rsidR="00DB3FD6">
              <w:rPr>
                <w:b/>
                <w:webHidden/>
              </w:rPr>
              <w:t>34</w:t>
            </w:r>
            <w:r w:rsidR="00014681" w:rsidRPr="00261B88">
              <w:rPr>
                <w:b/>
                <w:webHidden/>
              </w:rPr>
              <w:fldChar w:fldCharType="end"/>
            </w:r>
          </w:hyperlink>
        </w:p>
        <w:p w14:paraId="4CBE8423" w14:textId="7C8FB25B" w:rsidR="00014681" w:rsidRPr="00261B88" w:rsidRDefault="002814D9">
          <w:pPr>
            <w:pStyle w:val="TOC3"/>
            <w:rPr>
              <w:rFonts w:asciiTheme="minorHAnsi" w:eastAsiaTheme="minorEastAsia" w:hAnsiTheme="minorHAnsi" w:cstheme="minorBidi"/>
              <w:b/>
              <w:noProof/>
              <w:sz w:val="22"/>
              <w:szCs w:val="22"/>
              <w:lang w:val="en-US" w:eastAsia="en-US"/>
            </w:rPr>
          </w:pPr>
          <w:hyperlink w:anchor="_Toc116029543" w:history="1">
            <w:r w:rsidR="00014681" w:rsidRPr="00261B88">
              <w:rPr>
                <w:rStyle w:val="Hyperlink"/>
                <w:b/>
                <w:noProof/>
              </w:rPr>
              <w:t>6.2.1.</w:t>
            </w:r>
            <w:r w:rsidR="00014681" w:rsidRPr="00261B88">
              <w:rPr>
                <w:rFonts w:asciiTheme="minorHAnsi" w:eastAsiaTheme="minorEastAsia" w:hAnsiTheme="minorHAnsi" w:cstheme="minorBidi"/>
                <w:b/>
                <w:noProof/>
                <w:sz w:val="22"/>
                <w:szCs w:val="22"/>
                <w:lang w:val="en-US" w:eastAsia="en-US"/>
              </w:rPr>
              <w:tab/>
            </w:r>
            <w:r w:rsidR="00014681" w:rsidRPr="00261B88">
              <w:rPr>
                <w:rStyle w:val="Hyperlink"/>
                <w:b/>
                <w:noProof/>
              </w:rPr>
              <w:t>Frauda în domeniul TVA</w:t>
            </w:r>
            <w:r w:rsidR="00014681" w:rsidRPr="00261B88">
              <w:rPr>
                <w:b/>
                <w:noProof/>
                <w:webHidden/>
              </w:rPr>
              <w:tab/>
            </w:r>
            <w:r w:rsidR="00014681" w:rsidRPr="00261B88">
              <w:rPr>
                <w:b/>
                <w:noProof/>
                <w:webHidden/>
              </w:rPr>
              <w:fldChar w:fldCharType="begin"/>
            </w:r>
            <w:r w:rsidR="00014681" w:rsidRPr="00261B88">
              <w:rPr>
                <w:b/>
                <w:noProof/>
                <w:webHidden/>
              </w:rPr>
              <w:instrText xml:space="preserve"> PAGEREF _Toc116029543 \h </w:instrText>
            </w:r>
            <w:r w:rsidR="00014681" w:rsidRPr="00261B88">
              <w:rPr>
                <w:b/>
                <w:noProof/>
                <w:webHidden/>
              </w:rPr>
            </w:r>
            <w:r w:rsidR="00014681" w:rsidRPr="00261B88">
              <w:rPr>
                <w:b/>
                <w:noProof/>
                <w:webHidden/>
              </w:rPr>
              <w:fldChar w:fldCharType="separate"/>
            </w:r>
            <w:r w:rsidR="00DB3FD6">
              <w:rPr>
                <w:b/>
                <w:noProof/>
                <w:webHidden/>
              </w:rPr>
              <w:t>34</w:t>
            </w:r>
            <w:r w:rsidR="00014681" w:rsidRPr="00261B88">
              <w:rPr>
                <w:b/>
                <w:noProof/>
                <w:webHidden/>
              </w:rPr>
              <w:fldChar w:fldCharType="end"/>
            </w:r>
          </w:hyperlink>
        </w:p>
        <w:p w14:paraId="43E012FF" w14:textId="249D7DC0" w:rsidR="00014681" w:rsidRPr="00261B88" w:rsidRDefault="002814D9">
          <w:pPr>
            <w:pStyle w:val="TOC3"/>
            <w:rPr>
              <w:rFonts w:asciiTheme="minorHAnsi" w:eastAsiaTheme="minorEastAsia" w:hAnsiTheme="minorHAnsi" w:cstheme="minorBidi"/>
              <w:b/>
              <w:noProof/>
              <w:sz w:val="22"/>
              <w:szCs w:val="22"/>
              <w:lang w:val="en-US" w:eastAsia="en-US"/>
            </w:rPr>
          </w:pPr>
          <w:hyperlink w:anchor="_Toc116029544" w:history="1">
            <w:r w:rsidR="00014681" w:rsidRPr="00261B88">
              <w:rPr>
                <w:rStyle w:val="Hyperlink"/>
                <w:b/>
                <w:noProof/>
              </w:rPr>
              <w:t>6.2.2.</w:t>
            </w:r>
            <w:r w:rsidR="00014681" w:rsidRPr="00261B88">
              <w:rPr>
                <w:rFonts w:asciiTheme="minorHAnsi" w:eastAsiaTheme="minorEastAsia" w:hAnsiTheme="minorHAnsi" w:cstheme="minorBidi"/>
                <w:b/>
                <w:noProof/>
                <w:sz w:val="22"/>
                <w:szCs w:val="22"/>
                <w:lang w:val="en-US" w:eastAsia="en-US"/>
              </w:rPr>
              <w:tab/>
            </w:r>
            <w:r w:rsidR="00014681" w:rsidRPr="00261B88">
              <w:rPr>
                <w:rStyle w:val="Hyperlink"/>
                <w:b/>
                <w:noProof/>
              </w:rPr>
              <w:t>Resursele proprii tradiționale</w:t>
            </w:r>
            <w:r w:rsidR="00014681" w:rsidRPr="00261B88">
              <w:rPr>
                <w:b/>
                <w:noProof/>
                <w:webHidden/>
              </w:rPr>
              <w:tab/>
            </w:r>
            <w:r w:rsidR="00014681" w:rsidRPr="00261B88">
              <w:rPr>
                <w:b/>
                <w:noProof/>
                <w:webHidden/>
              </w:rPr>
              <w:fldChar w:fldCharType="begin"/>
            </w:r>
            <w:r w:rsidR="00014681" w:rsidRPr="00261B88">
              <w:rPr>
                <w:b/>
                <w:noProof/>
                <w:webHidden/>
              </w:rPr>
              <w:instrText xml:space="preserve"> PAGEREF _Toc116029544 \h </w:instrText>
            </w:r>
            <w:r w:rsidR="00014681" w:rsidRPr="00261B88">
              <w:rPr>
                <w:b/>
                <w:noProof/>
                <w:webHidden/>
              </w:rPr>
            </w:r>
            <w:r w:rsidR="00014681" w:rsidRPr="00261B88">
              <w:rPr>
                <w:b/>
                <w:noProof/>
                <w:webHidden/>
              </w:rPr>
              <w:fldChar w:fldCharType="separate"/>
            </w:r>
            <w:r w:rsidR="00DB3FD6">
              <w:rPr>
                <w:b/>
                <w:noProof/>
                <w:webHidden/>
              </w:rPr>
              <w:t>34</w:t>
            </w:r>
            <w:r w:rsidR="00014681" w:rsidRPr="00261B88">
              <w:rPr>
                <w:b/>
                <w:noProof/>
                <w:webHidden/>
              </w:rPr>
              <w:fldChar w:fldCharType="end"/>
            </w:r>
          </w:hyperlink>
        </w:p>
        <w:p w14:paraId="0645AA24" w14:textId="0FA9F2B5" w:rsidR="00014681" w:rsidRPr="00261B88" w:rsidRDefault="002814D9">
          <w:pPr>
            <w:pStyle w:val="TOC2"/>
            <w:rPr>
              <w:rFonts w:asciiTheme="minorHAnsi" w:eastAsiaTheme="minorEastAsia" w:hAnsiTheme="minorHAnsi" w:cstheme="minorBidi"/>
              <w:b/>
              <w:sz w:val="22"/>
              <w:szCs w:val="22"/>
              <w:lang w:val="en-US" w:eastAsia="en-US"/>
            </w:rPr>
          </w:pPr>
          <w:hyperlink w:anchor="_Toc116029545" w:history="1">
            <w:r w:rsidR="00014681" w:rsidRPr="00261B88">
              <w:rPr>
                <w:rStyle w:val="Hyperlink"/>
                <w:b/>
              </w:rPr>
              <w:t>6.3.</w:t>
            </w:r>
            <w:r w:rsidR="00014681" w:rsidRPr="00261B88">
              <w:rPr>
                <w:rFonts w:asciiTheme="minorHAnsi" w:eastAsiaTheme="minorEastAsia" w:hAnsiTheme="minorHAnsi" w:cstheme="minorBidi"/>
                <w:b/>
                <w:sz w:val="22"/>
                <w:szCs w:val="22"/>
                <w:lang w:val="en-US" w:eastAsia="en-US"/>
              </w:rPr>
              <w:tab/>
            </w:r>
            <w:r w:rsidR="00014681" w:rsidRPr="00261B88">
              <w:rPr>
                <w:rStyle w:val="Hyperlink"/>
                <w:b/>
              </w:rPr>
              <w:t>Cheltuieli</w:t>
            </w:r>
            <w:r w:rsidR="00014681" w:rsidRPr="00261B88">
              <w:rPr>
                <w:b/>
                <w:webHidden/>
              </w:rPr>
              <w:tab/>
            </w:r>
            <w:r w:rsidR="00014681" w:rsidRPr="00261B88">
              <w:rPr>
                <w:b/>
                <w:webHidden/>
              </w:rPr>
              <w:fldChar w:fldCharType="begin"/>
            </w:r>
            <w:r w:rsidR="00014681" w:rsidRPr="00261B88">
              <w:rPr>
                <w:b/>
                <w:webHidden/>
              </w:rPr>
              <w:instrText xml:space="preserve"> PAGEREF _Toc116029545 \h </w:instrText>
            </w:r>
            <w:r w:rsidR="00014681" w:rsidRPr="00261B88">
              <w:rPr>
                <w:b/>
                <w:webHidden/>
              </w:rPr>
            </w:r>
            <w:r w:rsidR="00014681" w:rsidRPr="00261B88">
              <w:rPr>
                <w:b/>
                <w:webHidden/>
              </w:rPr>
              <w:fldChar w:fldCharType="separate"/>
            </w:r>
            <w:r w:rsidR="00DB3FD6">
              <w:rPr>
                <w:b/>
                <w:webHidden/>
              </w:rPr>
              <w:t>37</w:t>
            </w:r>
            <w:r w:rsidR="00014681" w:rsidRPr="00261B88">
              <w:rPr>
                <w:b/>
                <w:webHidden/>
              </w:rPr>
              <w:fldChar w:fldCharType="end"/>
            </w:r>
          </w:hyperlink>
        </w:p>
        <w:p w14:paraId="399CD0F7" w14:textId="03433176" w:rsidR="00014681" w:rsidRPr="00261B88" w:rsidRDefault="002814D9">
          <w:pPr>
            <w:pStyle w:val="TOC3"/>
            <w:rPr>
              <w:rFonts w:asciiTheme="minorHAnsi" w:eastAsiaTheme="minorEastAsia" w:hAnsiTheme="minorHAnsi" w:cstheme="minorBidi"/>
              <w:b/>
              <w:noProof/>
              <w:sz w:val="22"/>
              <w:szCs w:val="22"/>
              <w:lang w:val="en-US" w:eastAsia="en-US"/>
            </w:rPr>
          </w:pPr>
          <w:hyperlink w:anchor="_Toc116029546" w:history="1">
            <w:r w:rsidR="00014681" w:rsidRPr="00261B88">
              <w:rPr>
                <w:rStyle w:val="Hyperlink"/>
                <w:b/>
                <w:noProof/>
              </w:rPr>
              <w:t>6.3.1.</w:t>
            </w:r>
            <w:r w:rsidR="00014681" w:rsidRPr="00261B88">
              <w:rPr>
                <w:rFonts w:asciiTheme="minorHAnsi" w:eastAsiaTheme="minorEastAsia" w:hAnsiTheme="minorHAnsi" w:cstheme="minorBidi"/>
                <w:b/>
                <w:noProof/>
                <w:sz w:val="22"/>
                <w:szCs w:val="22"/>
                <w:lang w:val="en-US" w:eastAsia="en-US"/>
              </w:rPr>
              <w:tab/>
            </w:r>
            <w:r w:rsidR="00014681" w:rsidRPr="00261B88">
              <w:rPr>
                <w:rStyle w:val="Hyperlink"/>
                <w:b/>
                <w:noProof/>
              </w:rPr>
              <w:t>Gestiunea partajată</w:t>
            </w:r>
            <w:r w:rsidR="00014681" w:rsidRPr="00261B88">
              <w:rPr>
                <w:b/>
                <w:noProof/>
                <w:webHidden/>
              </w:rPr>
              <w:tab/>
            </w:r>
            <w:r w:rsidR="00014681" w:rsidRPr="00261B88">
              <w:rPr>
                <w:b/>
                <w:noProof/>
                <w:webHidden/>
              </w:rPr>
              <w:fldChar w:fldCharType="begin"/>
            </w:r>
            <w:r w:rsidR="00014681" w:rsidRPr="00261B88">
              <w:rPr>
                <w:b/>
                <w:noProof/>
                <w:webHidden/>
              </w:rPr>
              <w:instrText xml:space="preserve"> PAGEREF _Toc116029546 \h </w:instrText>
            </w:r>
            <w:r w:rsidR="00014681" w:rsidRPr="00261B88">
              <w:rPr>
                <w:b/>
                <w:noProof/>
                <w:webHidden/>
              </w:rPr>
            </w:r>
            <w:r w:rsidR="00014681" w:rsidRPr="00261B88">
              <w:rPr>
                <w:b/>
                <w:noProof/>
                <w:webHidden/>
              </w:rPr>
              <w:fldChar w:fldCharType="separate"/>
            </w:r>
            <w:r w:rsidR="00DB3FD6">
              <w:rPr>
                <w:b/>
                <w:noProof/>
                <w:webHidden/>
              </w:rPr>
              <w:t>38</w:t>
            </w:r>
            <w:r w:rsidR="00014681" w:rsidRPr="00261B88">
              <w:rPr>
                <w:b/>
                <w:noProof/>
                <w:webHidden/>
              </w:rPr>
              <w:fldChar w:fldCharType="end"/>
            </w:r>
          </w:hyperlink>
        </w:p>
        <w:p w14:paraId="50095BD0" w14:textId="1053A62F" w:rsidR="00014681" w:rsidRPr="00261B88" w:rsidRDefault="002814D9">
          <w:pPr>
            <w:pStyle w:val="TOC3"/>
            <w:rPr>
              <w:rFonts w:asciiTheme="minorHAnsi" w:eastAsiaTheme="minorEastAsia" w:hAnsiTheme="minorHAnsi" w:cstheme="minorBidi"/>
              <w:b/>
              <w:noProof/>
              <w:sz w:val="22"/>
              <w:szCs w:val="22"/>
              <w:lang w:val="en-US" w:eastAsia="en-US"/>
            </w:rPr>
          </w:pPr>
          <w:hyperlink w:anchor="_Toc116029547" w:history="1">
            <w:r w:rsidR="00014681" w:rsidRPr="00261B88">
              <w:rPr>
                <w:rStyle w:val="Hyperlink"/>
                <w:b/>
                <w:noProof/>
              </w:rPr>
              <w:t>6.3.2.</w:t>
            </w:r>
            <w:r w:rsidR="00014681" w:rsidRPr="00261B88">
              <w:rPr>
                <w:rFonts w:asciiTheme="minorHAnsi" w:eastAsiaTheme="minorEastAsia" w:hAnsiTheme="minorHAnsi" w:cstheme="minorBidi"/>
                <w:b/>
                <w:noProof/>
                <w:sz w:val="22"/>
                <w:szCs w:val="22"/>
                <w:lang w:val="en-US" w:eastAsia="en-US"/>
              </w:rPr>
              <w:tab/>
            </w:r>
            <w:r w:rsidR="00014681" w:rsidRPr="00261B88">
              <w:rPr>
                <w:rStyle w:val="Hyperlink"/>
                <w:b/>
                <w:noProof/>
              </w:rPr>
              <w:t>Gestiune indirectă</w:t>
            </w:r>
            <w:r w:rsidR="00014681" w:rsidRPr="00261B88">
              <w:rPr>
                <w:b/>
                <w:noProof/>
                <w:webHidden/>
              </w:rPr>
              <w:tab/>
            </w:r>
            <w:r w:rsidR="00014681" w:rsidRPr="00261B88">
              <w:rPr>
                <w:b/>
                <w:noProof/>
                <w:webHidden/>
              </w:rPr>
              <w:fldChar w:fldCharType="begin"/>
            </w:r>
            <w:r w:rsidR="00014681" w:rsidRPr="00261B88">
              <w:rPr>
                <w:b/>
                <w:noProof/>
                <w:webHidden/>
              </w:rPr>
              <w:instrText xml:space="preserve"> PAGEREF _Toc116029547 \h </w:instrText>
            </w:r>
            <w:r w:rsidR="00014681" w:rsidRPr="00261B88">
              <w:rPr>
                <w:b/>
                <w:noProof/>
                <w:webHidden/>
              </w:rPr>
            </w:r>
            <w:r w:rsidR="00014681" w:rsidRPr="00261B88">
              <w:rPr>
                <w:b/>
                <w:noProof/>
                <w:webHidden/>
              </w:rPr>
              <w:fldChar w:fldCharType="separate"/>
            </w:r>
            <w:r w:rsidR="00DB3FD6">
              <w:rPr>
                <w:b/>
                <w:noProof/>
                <w:webHidden/>
              </w:rPr>
              <w:t>43</w:t>
            </w:r>
            <w:r w:rsidR="00014681" w:rsidRPr="00261B88">
              <w:rPr>
                <w:b/>
                <w:noProof/>
                <w:webHidden/>
              </w:rPr>
              <w:fldChar w:fldCharType="end"/>
            </w:r>
          </w:hyperlink>
        </w:p>
        <w:p w14:paraId="12140A5D" w14:textId="7BB6E5DC" w:rsidR="00014681" w:rsidRPr="00261B88" w:rsidRDefault="002814D9">
          <w:pPr>
            <w:pStyle w:val="TOC3"/>
            <w:rPr>
              <w:rFonts w:asciiTheme="minorHAnsi" w:eastAsiaTheme="minorEastAsia" w:hAnsiTheme="minorHAnsi" w:cstheme="minorBidi"/>
              <w:b/>
              <w:noProof/>
              <w:sz w:val="22"/>
              <w:szCs w:val="22"/>
              <w:lang w:val="en-US" w:eastAsia="en-US"/>
            </w:rPr>
          </w:pPr>
          <w:hyperlink w:anchor="_Toc116029548" w:history="1">
            <w:r w:rsidR="00014681" w:rsidRPr="00261B88">
              <w:rPr>
                <w:rStyle w:val="Hyperlink"/>
                <w:b/>
                <w:noProof/>
              </w:rPr>
              <w:t>6.3.3.</w:t>
            </w:r>
            <w:r w:rsidR="00014681" w:rsidRPr="00261B88">
              <w:rPr>
                <w:rFonts w:asciiTheme="minorHAnsi" w:eastAsiaTheme="minorEastAsia" w:hAnsiTheme="minorHAnsi" w:cstheme="minorBidi"/>
                <w:b/>
                <w:noProof/>
                <w:sz w:val="22"/>
                <w:szCs w:val="22"/>
                <w:lang w:val="en-US" w:eastAsia="en-US"/>
              </w:rPr>
              <w:tab/>
            </w:r>
            <w:r w:rsidR="00014681" w:rsidRPr="00261B88">
              <w:rPr>
                <w:rStyle w:val="Hyperlink"/>
                <w:b/>
                <w:noProof/>
              </w:rPr>
              <w:t>Gestiune directă</w:t>
            </w:r>
            <w:r w:rsidR="00014681" w:rsidRPr="00261B88">
              <w:rPr>
                <w:b/>
                <w:noProof/>
                <w:webHidden/>
              </w:rPr>
              <w:tab/>
            </w:r>
            <w:r w:rsidR="00014681" w:rsidRPr="00261B88">
              <w:rPr>
                <w:b/>
                <w:noProof/>
                <w:webHidden/>
              </w:rPr>
              <w:fldChar w:fldCharType="begin"/>
            </w:r>
            <w:r w:rsidR="00014681" w:rsidRPr="00261B88">
              <w:rPr>
                <w:b/>
                <w:noProof/>
                <w:webHidden/>
              </w:rPr>
              <w:instrText xml:space="preserve"> PAGEREF _Toc116029548 \h </w:instrText>
            </w:r>
            <w:r w:rsidR="00014681" w:rsidRPr="00261B88">
              <w:rPr>
                <w:b/>
                <w:noProof/>
                <w:webHidden/>
              </w:rPr>
            </w:r>
            <w:r w:rsidR="00014681" w:rsidRPr="00261B88">
              <w:rPr>
                <w:b/>
                <w:noProof/>
                <w:webHidden/>
              </w:rPr>
              <w:fldChar w:fldCharType="separate"/>
            </w:r>
            <w:r w:rsidR="00DB3FD6">
              <w:rPr>
                <w:b/>
                <w:noProof/>
                <w:webHidden/>
              </w:rPr>
              <w:t>43</w:t>
            </w:r>
            <w:r w:rsidR="00014681" w:rsidRPr="00261B88">
              <w:rPr>
                <w:b/>
                <w:noProof/>
                <w:webHidden/>
              </w:rPr>
              <w:fldChar w:fldCharType="end"/>
            </w:r>
          </w:hyperlink>
        </w:p>
        <w:p w14:paraId="25DE566C" w14:textId="2682C38A" w:rsidR="00014681" w:rsidRPr="00261B88" w:rsidRDefault="002814D9">
          <w:pPr>
            <w:pStyle w:val="TOC1"/>
            <w:rPr>
              <w:rFonts w:asciiTheme="minorHAnsi" w:eastAsiaTheme="minorEastAsia" w:hAnsiTheme="minorHAnsi" w:cstheme="minorBidi"/>
              <w:noProof/>
              <w:sz w:val="22"/>
              <w:szCs w:val="22"/>
              <w:lang w:val="en-US" w:eastAsia="en-US"/>
            </w:rPr>
          </w:pPr>
          <w:hyperlink w:anchor="_Toc116029549" w:history="1">
            <w:r w:rsidR="00014681" w:rsidRPr="00261B88">
              <w:rPr>
                <w:rStyle w:val="Hyperlink"/>
                <w:noProof/>
              </w:rPr>
              <w:t>7.</w:t>
            </w:r>
            <w:r w:rsidR="00014681" w:rsidRPr="00261B88">
              <w:rPr>
                <w:rFonts w:asciiTheme="minorHAnsi" w:eastAsiaTheme="minorEastAsia" w:hAnsiTheme="minorHAnsi" w:cstheme="minorBidi"/>
                <w:noProof/>
                <w:sz w:val="22"/>
                <w:szCs w:val="22"/>
                <w:lang w:val="en-US" w:eastAsia="en-US"/>
              </w:rPr>
              <w:tab/>
            </w:r>
            <w:r w:rsidR="00014681" w:rsidRPr="00261B88">
              <w:rPr>
                <w:rStyle w:val="Hyperlink"/>
                <w:noProof/>
              </w:rPr>
              <w:t>O perspectivă pentru 2022, concluzii și recomandări</w:t>
            </w:r>
            <w:r w:rsidR="00014681" w:rsidRPr="00261B88">
              <w:rPr>
                <w:noProof/>
                <w:webHidden/>
              </w:rPr>
              <w:tab/>
            </w:r>
            <w:r w:rsidR="00014681" w:rsidRPr="00261B88">
              <w:rPr>
                <w:noProof/>
                <w:webHidden/>
              </w:rPr>
              <w:fldChar w:fldCharType="begin"/>
            </w:r>
            <w:r w:rsidR="00014681" w:rsidRPr="00261B88">
              <w:rPr>
                <w:noProof/>
                <w:webHidden/>
              </w:rPr>
              <w:instrText xml:space="preserve"> PAGEREF _Toc116029549 \h </w:instrText>
            </w:r>
            <w:r w:rsidR="00014681" w:rsidRPr="00261B88">
              <w:rPr>
                <w:noProof/>
                <w:webHidden/>
              </w:rPr>
            </w:r>
            <w:r w:rsidR="00014681" w:rsidRPr="00261B88">
              <w:rPr>
                <w:noProof/>
                <w:webHidden/>
              </w:rPr>
              <w:fldChar w:fldCharType="separate"/>
            </w:r>
            <w:r w:rsidR="00DB3FD6">
              <w:rPr>
                <w:noProof/>
                <w:webHidden/>
              </w:rPr>
              <w:t>43</w:t>
            </w:r>
            <w:r w:rsidR="00014681" w:rsidRPr="00261B88">
              <w:rPr>
                <w:noProof/>
                <w:webHidden/>
              </w:rPr>
              <w:fldChar w:fldCharType="end"/>
            </w:r>
          </w:hyperlink>
        </w:p>
        <w:p w14:paraId="5DA62F65" w14:textId="60751657" w:rsidR="00014681" w:rsidRPr="00261B88" w:rsidRDefault="002814D9">
          <w:pPr>
            <w:pStyle w:val="TOC2"/>
            <w:rPr>
              <w:rFonts w:asciiTheme="minorHAnsi" w:eastAsiaTheme="minorEastAsia" w:hAnsiTheme="minorHAnsi" w:cstheme="minorBidi"/>
              <w:b/>
              <w:sz w:val="22"/>
              <w:szCs w:val="22"/>
              <w:lang w:val="en-US" w:eastAsia="en-US"/>
            </w:rPr>
          </w:pPr>
          <w:hyperlink w:anchor="_Toc116029550" w:history="1">
            <w:r w:rsidR="00014681" w:rsidRPr="00261B88">
              <w:rPr>
                <w:rStyle w:val="Hyperlink"/>
                <w:b/>
              </w:rPr>
              <w:t>7.1.</w:t>
            </w:r>
            <w:r w:rsidR="00014681" w:rsidRPr="00261B88">
              <w:rPr>
                <w:rFonts w:asciiTheme="minorHAnsi" w:eastAsiaTheme="minorEastAsia" w:hAnsiTheme="minorHAnsi" w:cstheme="minorBidi"/>
                <w:b/>
                <w:sz w:val="22"/>
                <w:szCs w:val="22"/>
                <w:lang w:val="en-US" w:eastAsia="en-US"/>
              </w:rPr>
              <w:tab/>
            </w:r>
            <w:r w:rsidR="00014681" w:rsidRPr="00261B88">
              <w:rPr>
                <w:rStyle w:val="Hyperlink"/>
                <w:b/>
              </w:rPr>
              <w:t>Spațiul antifraudă al UE</w:t>
            </w:r>
            <w:r w:rsidR="00014681" w:rsidRPr="00261B88">
              <w:rPr>
                <w:b/>
                <w:webHidden/>
              </w:rPr>
              <w:tab/>
            </w:r>
            <w:r w:rsidR="00014681" w:rsidRPr="00261B88">
              <w:rPr>
                <w:b/>
                <w:webHidden/>
              </w:rPr>
              <w:fldChar w:fldCharType="begin"/>
            </w:r>
            <w:r w:rsidR="00014681" w:rsidRPr="00261B88">
              <w:rPr>
                <w:b/>
                <w:webHidden/>
              </w:rPr>
              <w:instrText xml:space="preserve"> PAGEREF _Toc116029550 \h </w:instrText>
            </w:r>
            <w:r w:rsidR="00014681" w:rsidRPr="00261B88">
              <w:rPr>
                <w:b/>
                <w:webHidden/>
              </w:rPr>
            </w:r>
            <w:r w:rsidR="00014681" w:rsidRPr="00261B88">
              <w:rPr>
                <w:b/>
                <w:webHidden/>
              </w:rPr>
              <w:fldChar w:fldCharType="separate"/>
            </w:r>
            <w:r w:rsidR="00DB3FD6">
              <w:rPr>
                <w:b/>
                <w:webHidden/>
              </w:rPr>
              <w:t>44</w:t>
            </w:r>
            <w:r w:rsidR="00014681" w:rsidRPr="00261B88">
              <w:rPr>
                <w:b/>
                <w:webHidden/>
              </w:rPr>
              <w:fldChar w:fldCharType="end"/>
            </w:r>
          </w:hyperlink>
        </w:p>
        <w:p w14:paraId="4B751E71" w14:textId="4B08E974" w:rsidR="00014681" w:rsidRPr="00261B88" w:rsidRDefault="002814D9">
          <w:pPr>
            <w:pStyle w:val="TOC2"/>
            <w:rPr>
              <w:rFonts w:asciiTheme="minorHAnsi" w:eastAsiaTheme="minorEastAsia" w:hAnsiTheme="minorHAnsi" w:cstheme="minorBidi"/>
              <w:b/>
              <w:sz w:val="22"/>
              <w:szCs w:val="22"/>
              <w:lang w:val="en-US" w:eastAsia="en-US"/>
            </w:rPr>
          </w:pPr>
          <w:hyperlink w:anchor="_Toc116029551" w:history="1">
            <w:r w:rsidR="00014681" w:rsidRPr="00261B88">
              <w:rPr>
                <w:rStyle w:val="Hyperlink"/>
                <w:b/>
              </w:rPr>
              <w:t>7.2.</w:t>
            </w:r>
            <w:r w:rsidR="00014681" w:rsidRPr="00261B88">
              <w:rPr>
                <w:rFonts w:asciiTheme="minorHAnsi" w:eastAsiaTheme="minorEastAsia" w:hAnsiTheme="minorHAnsi" w:cstheme="minorBidi"/>
                <w:b/>
                <w:sz w:val="22"/>
                <w:szCs w:val="22"/>
                <w:lang w:val="en-US" w:eastAsia="en-US"/>
              </w:rPr>
              <w:tab/>
            </w:r>
            <w:r w:rsidR="00014681" w:rsidRPr="00261B88">
              <w:rPr>
                <w:rStyle w:val="Hyperlink"/>
                <w:b/>
                <w:shd w:val="clear" w:color="auto" w:fill="FEFFFF"/>
              </w:rPr>
              <w:t>Transparența, gestionarea riscului de fraudă și digitalizarea luptei împotriva fraudei</w:t>
            </w:r>
            <w:r w:rsidR="00014681" w:rsidRPr="00261B88">
              <w:rPr>
                <w:b/>
                <w:webHidden/>
              </w:rPr>
              <w:tab/>
            </w:r>
            <w:r w:rsidR="00014681" w:rsidRPr="00261B88">
              <w:rPr>
                <w:b/>
                <w:webHidden/>
              </w:rPr>
              <w:fldChar w:fldCharType="begin"/>
            </w:r>
            <w:r w:rsidR="00014681" w:rsidRPr="00261B88">
              <w:rPr>
                <w:b/>
                <w:webHidden/>
              </w:rPr>
              <w:instrText xml:space="preserve"> PAGEREF _Toc116029551 \h </w:instrText>
            </w:r>
            <w:r w:rsidR="00014681" w:rsidRPr="00261B88">
              <w:rPr>
                <w:b/>
                <w:webHidden/>
              </w:rPr>
            </w:r>
            <w:r w:rsidR="00014681" w:rsidRPr="00261B88">
              <w:rPr>
                <w:b/>
                <w:webHidden/>
              </w:rPr>
              <w:fldChar w:fldCharType="separate"/>
            </w:r>
            <w:r w:rsidR="00DB3FD6">
              <w:rPr>
                <w:b/>
                <w:webHidden/>
              </w:rPr>
              <w:t>45</w:t>
            </w:r>
            <w:r w:rsidR="00014681" w:rsidRPr="00261B88">
              <w:rPr>
                <w:b/>
                <w:webHidden/>
              </w:rPr>
              <w:fldChar w:fldCharType="end"/>
            </w:r>
          </w:hyperlink>
        </w:p>
        <w:p w14:paraId="48C09575" w14:textId="70667944" w:rsidR="00190177" w:rsidRDefault="004F6F3F">
          <w:pPr>
            <w:rPr>
              <w:noProof/>
            </w:rPr>
          </w:pPr>
          <w:r w:rsidRPr="00261B88">
            <w:rPr>
              <w:b/>
              <w:noProof/>
            </w:rPr>
            <w:fldChar w:fldCharType="end"/>
          </w:r>
          <w:r>
            <w:rPr>
              <w:noProof/>
            </w:rPr>
            <w:br w:type="page"/>
          </w:r>
        </w:p>
      </w:sdtContent>
    </w:sdt>
    <w:p w14:paraId="2D13733E" w14:textId="77777777" w:rsidR="001E21E5" w:rsidRPr="00261B88" w:rsidRDefault="00440F24" w:rsidP="001E21E5">
      <w:pPr>
        <w:rPr>
          <w:b/>
          <w:noProof/>
        </w:rPr>
      </w:pPr>
      <w:r w:rsidRPr="00261B88">
        <w:rPr>
          <w:b/>
          <w:noProof/>
        </w:rPr>
        <w:t>SINTEZĂ</w:t>
      </w:r>
    </w:p>
    <w:p w14:paraId="0E61B5BF" w14:textId="4A42DCFB" w:rsidR="005D2D3A" w:rsidRDefault="005D2D3A" w:rsidP="005D2D3A">
      <w:pPr>
        <w:rPr>
          <w:noProof/>
        </w:rPr>
      </w:pPr>
      <w:r>
        <w:rPr>
          <w:noProof/>
        </w:rPr>
        <w:t>Pandemia de COVID-</w:t>
      </w:r>
      <w:r w:rsidRPr="00D17A39">
        <w:rPr>
          <w:noProof/>
        </w:rPr>
        <w:t>19</w:t>
      </w:r>
      <w:r>
        <w:rPr>
          <w:noProof/>
        </w:rPr>
        <w:t xml:space="preserve"> a adus noi provocări la care UE a reacționat rapid, într-un mod flexibil și prin utilizarea de noi instrumente și resurse. Odată cu introducerea Mecanismului de redresare și reziliență (MRR) și cu punerea în aplicare a planurilor naționale de redresare și reziliență, rolul autorităților naționale de a asigura un nivel adecvat de protecție a intereselor financiare ale UE a crescut semnificativ. Comisia a sprijinit autoritățile naționale în evaluarea planurilor naționale, acordând o atenție deosebită conceperii măsurilor de protejare a resurselor MRR împotriva fraudei, a corupției, a conflictelor de interese și a dublei finanțări.</w:t>
      </w:r>
    </w:p>
    <w:p w14:paraId="558625EB" w14:textId="37AB22CD" w:rsidR="005D2D3A" w:rsidRDefault="005D2D3A" w:rsidP="005D2D3A">
      <w:pPr>
        <w:rPr>
          <w:noProof/>
        </w:rPr>
      </w:pPr>
      <w:r>
        <w:rPr>
          <w:noProof/>
        </w:rPr>
        <w:t xml:space="preserve">Actorii antifraudă de la nivelul UE și de la nivel național și-au consolidat cooperarea pe parcursul anului </w:t>
      </w:r>
      <w:r w:rsidRPr="00D17A39">
        <w:rPr>
          <w:noProof/>
        </w:rPr>
        <w:t>2021</w:t>
      </w:r>
      <w:r>
        <w:rPr>
          <w:noProof/>
        </w:rPr>
        <w:t xml:space="preserve">, atât în ceea ce privește protejarea veniturilor, cât și a cheltuielilor UE. Parchetul European (EPPO) și-a început activitatea la </w:t>
      </w:r>
      <w:r w:rsidRPr="00D17A39">
        <w:rPr>
          <w:noProof/>
        </w:rPr>
        <w:t>1</w:t>
      </w:r>
      <w:r>
        <w:rPr>
          <w:noProof/>
        </w:rPr>
        <w:t> iunie </w:t>
      </w:r>
      <w:r w:rsidRPr="00D17A39">
        <w:rPr>
          <w:noProof/>
        </w:rPr>
        <w:t>2021</w:t>
      </w:r>
      <w:r>
        <w:rPr>
          <w:noProof/>
        </w:rPr>
        <w:t>. Rezultatele operaționale ale Oficiului European de Luptă Antifraudă (OLAF) și ale EPPO demonstrează valoarea adăugată pe care organismele UE o conferă protejării intereselor financiare ale UE și luptei împotriva fraudei, depășind limitările sistemelor naționale în special în ceea ce privește criminalitatea transfrontalieră.</w:t>
      </w:r>
    </w:p>
    <w:p w14:paraId="166997CB" w14:textId="77777777" w:rsidR="005D2D3A" w:rsidRDefault="005D2D3A" w:rsidP="005D2D3A">
      <w:pPr>
        <w:rPr>
          <w:noProof/>
        </w:rPr>
      </w:pPr>
      <w:r>
        <w:rPr>
          <w:noProof/>
        </w:rPr>
        <w:t xml:space="preserve">În </w:t>
      </w:r>
      <w:r w:rsidRPr="00D17A39">
        <w:rPr>
          <w:noProof/>
        </w:rPr>
        <w:t>2021</w:t>
      </w:r>
      <w:r>
        <w:rPr>
          <w:noProof/>
        </w:rPr>
        <w:t xml:space="preserve">, UE a finalizat adoptarea programelor de cheltuieli pentru perioada </w:t>
      </w:r>
      <w:r w:rsidRPr="00D17A39">
        <w:rPr>
          <w:noProof/>
        </w:rPr>
        <w:t>2021</w:t>
      </w:r>
      <w:r>
        <w:rPr>
          <w:noProof/>
        </w:rPr>
        <w:t>-</w:t>
      </w:r>
      <w:r w:rsidRPr="00D17A39">
        <w:rPr>
          <w:noProof/>
        </w:rPr>
        <w:t>2027</w:t>
      </w:r>
      <w:r>
        <w:rPr>
          <w:noProof/>
        </w:rPr>
        <w:t>. Legislația garantează că Comisia, OLAF, Curtea de Conturi Europeană și EPPO își pot exercita mandatul și că autoritățile naționale pun în aplicare măsuri antifraudă eficace, ținând seama de orice risc identificat. Dintre aceste programe, Programul Uniunii de luptă antifraudă sprijină lupta împotriva fraudei prin acordarea de granturi pentru inițiative specifice și prin facilitarea finanțării unei platforme și a unor instrumente informatice specializate pentru a înlesni schimbul de informații între statele membre și UE.</w:t>
      </w:r>
    </w:p>
    <w:p w14:paraId="6BF0FE0A" w14:textId="0209DAFD" w:rsidR="005D2D3A" w:rsidRDefault="005D2D3A" w:rsidP="005D2D3A">
      <w:pPr>
        <w:rPr>
          <w:noProof/>
        </w:rPr>
      </w:pPr>
      <w:r>
        <w:rPr>
          <w:noProof/>
        </w:rPr>
        <w:t xml:space="preserve">Numărul de fraude și nereguli raportate de autoritățile competente ale UE și de cele naționale a rămas stabil în </w:t>
      </w:r>
      <w:r w:rsidRPr="00D17A39">
        <w:rPr>
          <w:noProof/>
        </w:rPr>
        <w:t>2021</w:t>
      </w:r>
      <w:r>
        <w:rPr>
          <w:noProof/>
        </w:rPr>
        <w:t xml:space="preserve"> comparativ cu </w:t>
      </w:r>
      <w:r w:rsidRPr="00D17A39">
        <w:rPr>
          <w:noProof/>
        </w:rPr>
        <w:t>2020</w:t>
      </w:r>
      <w:r>
        <w:rPr>
          <w:noProof/>
        </w:rPr>
        <w:t>, în timp ce sumele aferente afectate de nereguli au crescut, ca urmare a detectărilor semnificative dintr-un număr limitat de state membre. Numărul neregulilor de natură nefrauduloasă raportate în anumite domenii de cheltuieli este scăzut în comparație cu perioada de programare anterioară. Această scădere poate fi parțial explicată, de exemplu, prin întârzieri în punerea în aplicare a programelor operaționale, prin modificări ale practicilor de raportare și prin utilizarea opțiunilor simplificate în materie de costuri.</w:t>
      </w:r>
    </w:p>
    <w:p w14:paraId="174EC7C9" w14:textId="7171D82E" w:rsidR="005D2D3A" w:rsidRDefault="005D2D3A" w:rsidP="005D2D3A">
      <w:pPr>
        <w:rPr>
          <w:noProof/>
        </w:rPr>
      </w:pPr>
      <w:r>
        <w:rPr>
          <w:noProof/>
        </w:rPr>
        <w:t xml:space="preserve">Pe lângă riscurile recurente, punerea în aplicare a MRR va spori presiunea asupra administrațiilor naționale în următorii ani, întrucât acestea vor trebui să pună în aplicare planurile MRR și, în același timp, programele de cheltuieli pentru perioada </w:t>
      </w:r>
      <w:r w:rsidRPr="00D17A39">
        <w:rPr>
          <w:noProof/>
        </w:rPr>
        <w:t>2021</w:t>
      </w:r>
      <w:r>
        <w:rPr>
          <w:noProof/>
        </w:rPr>
        <w:t>-</w:t>
      </w:r>
      <w:r w:rsidRPr="00D17A39">
        <w:rPr>
          <w:noProof/>
        </w:rPr>
        <w:t>2027</w:t>
      </w:r>
      <w:r>
        <w:rPr>
          <w:noProof/>
        </w:rPr>
        <w:t>. În acest sens, ele vor trebui să facă dovada competențelor specifice și a controlului diferitelor moduri de gestiune legate de execuția diferitelor fonduri.</w:t>
      </w:r>
    </w:p>
    <w:p w14:paraId="2EE0861A" w14:textId="552FF0AA" w:rsidR="00AB08C0" w:rsidRDefault="005D2D3A" w:rsidP="005D2D3A">
      <w:pPr>
        <w:rPr>
          <w:noProof/>
        </w:rPr>
      </w:pPr>
      <w:r>
        <w:rPr>
          <w:noProof/>
        </w:rPr>
        <w:t>UE urmărește să atingă un nivel mai ridicat de coerență și armonizare pentru a elimina eventualele lacune din arhitectura generală de control care ar putea fi exploatate de autorii fraudelor. Principiile directoare au fost deja stabilite în legislația UE, însă pot fi consolidate în continuare. Statele membre ar trebui să corecteze problemele identificate legate de transpunerea Directivei PIF și să urmărească sporirea transparenței, digitalizarea luptei împotriva fraudei și consolidarea și dezvoltarea continue ale evaluării și ale gestionării riscurilor de fraudă. Comisia a prezentat o propunere de modificare a Regulamentului financiar care vizează consolidarea acțiunii UE în acest sens.</w:t>
      </w:r>
    </w:p>
    <w:p w14:paraId="1F327BDA" w14:textId="59D476B4" w:rsidR="00440F24" w:rsidRPr="00261B88" w:rsidRDefault="004F6F3F" w:rsidP="009A3D43">
      <w:pPr>
        <w:rPr>
          <w:b/>
          <w:noProof/>
        </w:rPr>
      </w:pPr>
      <w:r>
        <w:rPr>
          <w:noProof/>
        </w:rPr>
        <w:br w:type="page"/>
      </w:r>
    </w:p>
    <w:p w14:paraId="6EC62592" w14:textId="77777777" w:rsidR="00190177" w:rsidRPr="00261B88" w:rsidRDefault="00440F24">
      <w:pPr>
        <w:rPr>
          <w:b/>
          <w:noProof/>
        </w:rPr>
      </w:pPr>
      <w:bookmarkStart w:id="2" w:name="_Toc76127613"/>
      <w:r w:rsidRPr="00261B88">
        <w:rPr>
          <w:b/>
          <w:noProof/>
        </w:rPr>
        <w:t>LISTĂ DE ABREVIERI</w:t>
      </w:r>
      <w:bookmarkEnd w:id="2"/>
    </w:p>
    <w:tbl>
      <w:tblPr>
        <w:tblW w:w="8364" w:type="dxa"/>
        <w:tblInd w:w="108" w:type="dxa"/>
        <w:tblLook w:val="04A0" w:firstRow="1" w:lastRow="0" w:firstColumn="1" w:lastColumn="0" w:noHBand="0" w:noVBand="1"/>
      </w:tblPr>
      <w:tblGrid>
        <w:gridCol w:w="1400"/>
        <w:gridCol w:w="6964"/>
      </w:tblGrid>
      <w:tr w:rsidR="00CF7811" w:rsidRPr="00A9447A" w14:paraId="2B98B084" w14:textId="77777777" w:rsidTr="00A27EF6">
        <w:trPr>
          <w:trHeight w:val="315"/>
        </w:trPr>
        <w:tc>
          <w:tcPr>
            <w:tcW w:w="1400" w:type="dxa"/>
            <w:tcBorders>
              <w:top w:val="nil"/>
              <w:left w:val="nil"/>
              <w:bottom w:val="nil"/>
              <w:right w:val="nil"/>
            </w:tcBorders>
            <w:shd w:val="clear" w:color="auto" w:fill="auto"/>
            <w:noWrap/>
            <w:vAlign w:val="bottom"/>
          </w:tcPr>
          <w:p w14:paraId="429C47E7" w14:textId="77777777" w:rsidR="00CF7811" w:rsidRPr="00A9447A" w:rsidRDefault="00CF7811" w:rsidP="00A27EF6">
            <w:pPr>
              <w:spacing w:after="0"/>
              <w:jc w:val="left"/>
              <w:rPr>
                <w:noProof/>
                <w:color w:val="000000"/>
                <w:szCs w:val="24"/>
              </w:rPr>
            </w:pPr>
            <w:r>
              <w:rPr>
                <w:noProof/>
                <w:color w:val="000000"/>
              </w:rPr>
              <w:t>AFIS</w:t>
            </w:r>
          </w:p>
        </w:tc>
        <w:tc>
          <w:tcPr>
            <w:tcW w:w="6964" w:type="dxa"/>
            <w:tcBorders>
              <w:top w:val="nil"/>
              <w:left w:val="nil"/>
              <w:bottom w:val="nil"/>
              <w:right w:val="nil"/>
            </w:tcBorders>
            <w:shd w:val="clear" w:color="auto" w:fill="auto"/>
            <w:noWrap/>
            <w:vAlign w:val="bottom"/>
          </w:tcPr>
          <w:p w14:paraId="007F381F" w14:textId="77777777" w:rsidR="00CF7811" w:rsidRPr="00A9447A" w:rsidRDefault="00CF7811" w:rsidP="00A27EF6">
            <w:pPr>
              <w:spacing w:after="0"/>
              <w:jc w:val="left"/>
              <w:rPr>
                <w:noProof/>
                <w:color w:val="000000"/>
                <w:szCs w:val="24"/>
              </w:rPr>
            </w:pPr>
            <w:r>
              <w:rPr>
                <w:noProof/>
                <w:color w:val="000000"/>
              </w:rPr>
              <w:t>Sistemul de informații antifraudă</w:t>
            </w:r>
          </w:p>
        </w:tc>
      </w:tr>
      <w:tr w:rsidR="00440F24" w:rsidRPr="00A9447A" w14:paraId="79D7A2D4" w14:textId="77777777" w:rsidTr="00A27EF6">
        <w:trPr>
          <w:trHeight w:val="315"/>
        </w:trPr>
        <w:tc>
          <w:tcPr>
            <w:tcW w:w="1400" w:type="dxa"/>
            <w:tcBorders>
              <w:top w:val="nil"/>
              <w:left w:val="nil"/>
              <w:bottom w:val="nil"/>
              <w:right w:val="nil"/>
            </w:tcBorders>
            <w:shd w:val="clear" w:color="auto" w:fill="auto"/>
            <w:noWrap/>
            <w:vAlign w:val="bottom"/>
            <w:hideMark/>
          </w:tcPr>
          <w:p w14:paraId="1BB874B9" w14:textId="77777777" w:rsidR="00440F24" w:rsidRPr="00A9447A" w:rsidRDefault="00440F24" w:rsidP="00A27EF6">
            <w:pPr>
              <w:spacing w:after="0"/>
              <w:jc w:val="left"/>
              <w:rPr>
                <w:noProof/>
                <w:color w:val="000000"/>
                <w:szCs w:val="24"/>
              </w:rPr>
            </w:pPr>
            <w:r>
              <w:rPr>
                <w:noProof/>
                <w:color w:val="000000"/>
              </w:rPr>
              <w:t>AFCOS</w:t>
            </w:r>
          </w:p>
        </w:tc>
        <w:tc>
          <w:tcPr>
            <w:tcW w:w="6964" w:type="dxa"/>
            <w:tcBorders>
              <w:top w:val="nil"/>
              <w:left w:val="nil"/>
              <w:bottom w:val="nil"/>
              <w:right w:val="nil"/>
            </w:tcBorders>
            <w:shd w:val="clear" w:color="auto" w:fill="auto"/>
            <w:noWrap/>
            <w:vAlign w:val="bottom"/>
            <w:hideMark/>
          </w:tcPr>
          <w:p w14:paraId="0E62A81A" w14:textId="77777777" w:rsidR="00440F24" w:rsidRPr="00A9447A" w:rsidRDefault="00440F24" w:rsidP="00A27EF6">
            <w:pPr>
              <w:spacing w:after="0"/>
              <w:jc w:val="left"/>
              <w:rPr>
                <w:noProof/>
                <w:color w:val="000000"/>
                <w:szCs w:val="24"/>
              </w:rPr>
            </w:pPr>
            <w:r>
              <w:rPr>
                <w:noProof/>
                <w:color w:val="000000"/>
              </w:rPr>
              <w:t>Serviciul de coordonare antifraudă</w:t>
            </w:r>
          </w:p>
        </w:tc>
      </w:tr>
      <w:tr w:rsidR="00440F24" w:rsidRPr="00A9447A" w14:paraId="73BB2D50" w14:textId="77777777" w:rsidTr="00A27EF6">
        <w:trPr>
          <w:trHeight w:val="315"/>
        </w:trPr>
        <w:tc>
          <w:tcPr>
            <w:tcW w:w="1400" w:type="dxa"/>
            <w:tcBorders>
              <w:top w:val="nil"/>
              <w:left w:val="nil"/>
              <w:bottom w:val="nil"/>
              <w:right w:val="nil"/>
            </w:tcBorders>
            <w:shd w:val="clear" w:color="auto" w:fill="auto"/>
            <w:noWrap/>
            <w:vAlign w:val="bottom"/>
            <w:hideMark/>
          </w:tcPr>
          <w:p w14:paraId="608E9C1B" w14:textId="77777777" w:rsidR="00440F24" w:rsidRPr="00A9447A" w:rsidRDefault="00440F24" w:rsidP="00A27EF6">
            <w:pPr>
              <w:spacing w:after="0"/>
              <w:jc w:val="left"/>
              <w:rPr>
                <w:noProof/>
                <w:color w:val="000000"/>
                <w:szCs w:val="24"/>
              </w:rPr>
            </w:pPr>
            <w:r>
              <w:rPr>
                <w:noProof/>
                <w:color w:val="000000"/>
              </w:rPr>
              <w:t>SAFC</w:t>
            </w:r>
          </w:p>
        </w:tc>
        <w:tc>
          <w:tcPr>
            <w:tcW w:w="6964" w:type="dxa"/>
            <w:tcBorders>
              <w:top w:val="nil"/>
              <w:left w:val="nil"/>
              <w:bottom w:val="nil"/>
              <w:right w:val="nil"/>
            </w:tcBorders>
            <w:shd w:val="clear" w:color="auto" w:fill="auto"/>
            <w:noWrap/>
            <w:vAlign w:val="bottom"/>
            <w:hideMark/>
          </w:tcPr>
          <w:p w14:paraId="5A07AE6B" w14:textId="77777777" w:rsidR="00440F24" w:rsidRPr="00A9447A" w:rsidRDefault="00440F24" w:rsidP="00A27EF6">
            <w:pPr>
              <w:spacing w:after="0"/>
              <w:jc w:val="left"/>
              <w:rPr>
                <w:noProof/>
                <w:color w:val="000000"/>
                <w:szCs w:val="24"/>
              </w:rPr>
            </w:pPr>
            <w:r>
              <w:rPr>
                <w:noProof/>
                <w:color w:val="000000"/>
              </w:rPr>
              <w:t>Strategia antifraudă a Comisiei</w:t>
            </w:r>
          </w:p>
        </w:tc>
      </w:tr>
      <w:tr w:rsidR="00CF7811" w:rsidRPr="00A9447A" w14:paraId="3521EEDD" w14:textId="77777777" w:rsidTr="00A27EF6">
        <w:trPr>
          <w:trHeight w:val="315"/>
        </w:trPr>
        <w:tc>
          <w:tcPr>
            <w:tcW w:w="1400" w:type="dxa"/>
            <w:tcBorders>
              <w:top w:val="nil"/>
              <w:left w:val="nil"/>
              <w:bottom w:val="nil"/>
              <w:right w:val="nil"/>
            </w:tcBorders>
            <w:shd w:val="clear" w:color="auto" w:fill="auto"/>
            <w:noWrap/>
            <w:vAlign w:val="bottom"/>
          </w:tcPr>
          <w:p w14:paraId="6EC64C39" w14:textId="77777777" w:rsidR="00CF7811" w:rsidRPr="00A9447A" w:rsidRDefault="00CF7811" w:rsidP="00A27EF6">
            <w:pPr>
              <w:spacing w:after="0"/>
              <w:jc w:val="left"/>
              <w:rPr>
                <w:noProof/>
                <w:color w:val="000000"/>
                <w:szCs w:val="24"/>
              </w:rPr>
            </w:pPr>
            <w:r>
              <w:rPr>
                <w:noProof/>
                <w:color w:val="000000"/>
              </w:rPr>
              <w:t>CoSP</w:t>
            </w:r>
          </w:p>
        </w:tc>
        <w:tc>
          <w:tcPr>
            <w:tcW w:w="6964" w:type="dxa"/>
            <w:tcBorders>
              <w:top w:val="nil"/>
              <w:left w:val="nil"/>
              <w:bottom w:val="nil"/>
              <w:right w:val="nil"/>
            </w:tcBorders>
            <w:shd w:val="clear" w:color="auto" w:fill="auto"/>
            <w:noWrap/>
            <w:vAlign w:val="bottom"/>
          </w:tcPr>
          <w:p w14:paraId="486711C8" w14:textId="77777777" w:rsidR="00CF7811" w:rsidRPr="00A9447A" w:rsidRDefault="00CF7811" w:rsidP="00A27EF6">
            <w:pPr>
              <w:spacing w:after="0"/>
              <w:jc w:val="left"/>
              <w:rPr>
                <w:noProof/>
                <w:color w:val="000000"/>
                <w:szCs w:val="24"/>
              </w:rPr>
            </w:pPr>
            <w:r>
              <w:rPr>
                <w:noProof/>
                <w:color w:val="000000"/>
              </w:rPr>
              <w:t>Conferința statelor părți</w:t>
            </w:r>
          </w:p>
        </w:tc>
      </w:tr>
      <w:tr w:rsidR="00CF7811" w:rsidRPr="00A9447A" w14:paraId="1CF1E425" w14:textId="77777777" w:rsidTr="00A27EF6">
        <w:trPr>
          <w:trHeight w:val="315"/>
        </w:trPr>
        <w:tc>
          <w:tcPr>
            <w:tcW w:w="1400" w:type="dxa"/>
            <w:tcBorders>
              <w:top w:val="nil"/>
              <w:left w:val="nil"/>
              <w:bottom w:val="nil"/>
              <w:right w:val="nil"/>
            </w:tcBorders>
            <w:shd w:val="clear" w:color="auto" w:fill="auto"/>
            <w:noWrap/>
            <w:vAlign w:val="bottom"/>
          </w:tcPr>
          <w:p w14:paraId="71D55984" w14:textId="77777777" w:rsidR="00CF7811" w:rsidRPr="00A9447A" w:rsidRDefault="00CF7811" w:rsidP="00A27EF6">
            <w:pPr>
              <w:spacing w:after="0"/>
              <w:jc w:val="left"/>
              <w:rPr>
                <w:noProof/>
                <w:color w:val="000000"/>
                <w:szCs w:val="24"/>
              </w:rPr>
            </w:pPr>
            <w:r>
              <w:rPr>
                <w:noProof/>
                <w:color w:val="000000"/>
              </w:rPr>
              <w:t>DG</w:t>
            </w:r>
          </w:p>
        </w:tc>
        <w:tc>
          <w:tcPr>
            <w:tcW w:w="6964" w:type="dxa"/>
            <w:tcBorders>
              <w:top w:val="nil"/>
              <w:left w:val="nil"/>
              <w:bottom w:val="nil"/>
              <w:right w:val="nil"/>
            </w:tcBorders>
            <w:shd w:val="clear" w:color="auto" w:fill="auto"/>
            <w:noWrap/>
            <w:vAlign w:val="bottom"/>
          </w:tcPr>
          <w:p w14:paraId="20D816DD" w14:textId="77777777" w:rsidR="00CF7811" w:rsidRPr="00A9447A" w:rsidRDefault="00CF7811" w:rsidP="00A27EF6">
            <w:pPr>
              <w:spacing w:after="0"/>
              <w:jc w:val="left"/>
              <w:rPr>
                <w:noProof/>
                <w:color w:val="000000"/>
                <w:szCs w:val="24"/>
              </w:rPr>
            </w:pPr>
            <w:r>
              <w:rPr>
                <w:noProof/>
                <w:color w:val="000000"/>
              </w:rPr>
              <w:t>Direcție generală</w:t>
            </w:r>
          </w:p>
        </w:tc>
      </w:tr>
      <w:tr w:rsidR="00440F24" w:rsidRPr="00A9447A" w14:paraId="3404D990" w14:textId="77777777" w:rsidTr="00A27EF6">
        <w:trPr>
          <w:trHeight w:val="315"/>
        </w:trPr>
        <w:tc>
          <w:tcPr>
            <w:tcW w:w="1400" w:type="dxa"/>
            <w:tcBorders>
              <w:top w:val="nil"/>
              <w:left w:val="nil"/>
              <w:bottom w:val="nil"/>
              <w:right w:val="nil"/>
            </w:tcBorders>
            <w:shd w:val="clear" w:color="auto" w:fill="auto"/>
            <w:noWrap/>
            <w:vAlign w:val="bottom"/>
            <w:hideMark/>
          </w:tcPr>
          <w:p w14:paraId="06CA1A57" w14:textId="77777777" w:rsidR="00440F24" w:rsidRPr="00A9447A" w:rsidRDefault="00440F24" w:rsidP="00A27EF6">
            <w:pPr>
              <w:spacing w:after="0"/>
              <w:jc w:val="left"/>
              <w:rPr>
                <w:noProof/>
                <w:color w:val="000000"/>
                <w:szCs w:val="24"/>
              </w:rPr>
            </w:pPr>
            <w:r>
              <w:rPr>
                <w:noProof/>
                <w:color w:val="000000"/>
              </w:rPr>
              <w:t>CCE</w:t>
            </w:r>
          </w:p>
        </w:tc>
        <w:tc>
          <w:tcPr>
            <w:tcW w:w="6964" w:type="dxa"/>
            <w:tcBorders>
              <w:top w:val="nil"/>
              <w:left w:val="nil"/>
              <w:bottom w:val="nil"/>
              <w:right w:val="nil"/>
            </w:tcBorders>
            <w:shd w:val="clear" w:color="auto" w:fill="auto"/>
            <w:noWrap/>
            <w:vAlign w:val="bottom"/>
            <w:hideMark/>
          </w:tcPr>
          <w:p w14:paraId="1261263E" w14:textId="77777777" w:rsidR="00440F24" w:rsidRPr="00A9447A" w:rsidRDefault="00440F24" w:rsidP="00A27EF6">
            <w:pPr>
              <w:spacing w:after="0"/>
              <w:jc w:val="left"/>
              <w:rPr>
                <w:noProof/>
                <w:color w:val="000000"/>
                <w:szCs w:val="24"/>
              </w:rPr>
            </w:pPr>
            <w:r>
              <w:rPr>
                <w:noProof/>
                <w:color w:val="000000"/>
              </w:rPr>
              <w:t>Curtea de Conturi Europeană</w:t>
            </w:r>
          </w:p>
        </w:tc>
      </w:tr>
      <w:tr w:rsidR="00440F24" w:rsidRPr="00A9447A" w14:paraId="1299EC4E" w14:textId="77777777" w:rsidTr="00A27EF6">
        <w:trPr>
          <w:trHeight w:val="315"/>
        </w:trPr>
        <w:tc>
          <w:tcPr>
            <w:tcW w:w="1400" w:type="dxa"/>
            <w:tcBorders>
              <w:top w:val="nil"/>
              <w:left w:val="nil"/>
              <w:bottom w:val="nil"/>
              <w:right w:val="nil"/>
            </w:tcBorders>
            <w:shd w:val="clear" w:color="auto" w:fill="auto"/>
            <w:noWrap/>
            <w:vAlign w:val="bottom"/>
            <w:hideMark/>
          </w:tcPr>
          <w:p w14:paraId="391B3644" w14:textId="77777777" w:rsidR="00440F24" w:rsidRPr="00A9447A" w:rsidRDefault="00440F24" w:rsidP="00A27EF6">
            <w:pPr>
              <w:spacing w:after="0"/>
              <w:jc w:val="left"/>
              <w:rPr>
                <w:noProof/>
                <w:color w:val="000000"/>
                <w:szCs w:val="24"/>
              </w:rPr>
            </w:pPr>
            <w:r>
              <w:rPr>
                <w:noProof/>
                <w:color w:val="000000"/>
              </w:rPr>
              <w:t>EDES</w:t>
            </w:r>
          </w:p>
        </w:tc>
        <w:tc>
          <w:tcPr>
            <w:tcW w:w="6964" w:type="dxa"/>
            <w:tcBorders>
              <w:top w:val="nil"/>
              <w:left w:val="nil"/>
              <w:bottom w:val="nil"/>
              <w:right w:val="nil"/>
            </w:tcBorders>
            <w:shd w:val="clear" w:color="auto" w:fill="auto"/>
            <w:noWrap/>
            <w:vAlign w:val="bottom"/>
            <w:hideMark/>
          </w:tcPr>
          <w:p w14:paraId="63FD9715" w14:textId="77777777" w:rsidR="00440F24" w:rsidRPr="00A9447A" w:rsidRDefault="00440F24" w:rsidP="00A27EF6">
            <w:pPr>
              <w:spacing w:after="0"/>
              <w:jc w:val="left"/>
              <w:rPr>
                <w:noProof/>
                <w:color w:val="000000"/>
                <w:szCs w:val="24"/>
              </w:rPr>
            </w:pPr>
            <w:r>
              <w:rPr>
                <w:noProof/>
                <w:color w:val="000000"/>
              </w:rPr>
              <w:t>Sistemul de detectare timpurie și de excludere</w:t>
            </w:r>
          </w:p>
        </w:tc>
      </w:tr>
      <w:tr w:rsidR="00440F24" w:rsidRPr="00A9447A" w14:paraId="27B6D034" w14:textId="77777777" w:rsidTr="00A27EF6">
        <w:trPr>
          <w:trHeight w:val="315"/>
        </w:trPr>
        <w:tc>
          <w:tcPr>
            <w:tcW w:w="1400" w:type="dxa"/>
            <w:tcBorders>
              <w:top w:val="nil"/>
              <w:left w:val="nil"/>
              <w:bottom w:val="nil"/>
              <w:right w:val="nil"/>
            </w:tcBorders>
            <w:shd w:val="clear" w:color="auto" w:fill="auto"/>
            <w:noWrap/>
            <w:vAlign w:val="bottom"/>
            <w:hideMark/>
          </w:tcPr>
          <w:p w14:paraId="360B207D" w14:textId="77777777" w:rsidR="00440F24" w:rsidRPr="00A9447A" w:rsidRDefault="00440F24" w:rsidP="00A27EF6">
            <w:pPr>
              <w:spacing w:after="0"/>
              <w:jc w:val="left"/>
              <w:rPr>
                <w:noProof/>
                <w:color w:val="000000"/>
                <w:szCs w:val="24"/>
              </w:rPr>
            </w:pPr>
            <w:r>
              <w:rPr>
                <w:noProof/>
                <w:color w:val="000000"/>
              </w:rPr>
              <w:t>PE</w:t>
            </w:r>
          </w:p>
        </w:tc>
        <w:tc>
          <w:tcPr>
            <w:tcW w:w="6964" w:type="dxa"/>
            <w:tcBorders>
              <w:top w:val="nil"/>
              <w:left w:val="nil"/>
              <w:bottom w:val="nil"/>
              <w:right w:val="nil"/>
            </w:tcBorders>
            <w:shd w:val="clear" w:color="auto" w:fill="auto"/>
            <w:noWrap/>
            <w:vAlign w:val="bottom"/>
            <w:hideMark/>
          </w:tcPr>
          <w:p w14:paraId="63EA1F12" w14:textId="77777777" w:rsidR="00440F24" w:rsidRPr="00A9447A" w:rsidRDefault="00440F24" w:rsidP="00A27EF6">
            <w:pPr>
              <w:spacing w:after="0"/>
              <w:jc w:val="left"/>
              <w:rPr>
                <w:noProof/>
                <w:color w:val="000000"/>
                <w:szCs w:val="24"/>
              </w:rPr>
            </w:pPr>
            <w:r>
              <w:rPr>
                <w:noProof/>
                <w:color w:val="000000"/>
              </w:rPr>
              <w:t>Parlamentul European</w:t>
            </w:r>
          </w:p>
        </w:tc>
      </w:tr>
      <w:tr w:rsidR="00B06C44" w:rsidRPr="00A9447A" w14:paraId="0BFD82BB" w14:textId="77777777" w:rsidTr="00A27EF6">
        <w:trPr>
          <w:trHeight w:val="315"/>
        </w:trPr>
        <w:tc>
          <w:tcPr>
            <w:tcW w:w="1400" w:type="dxa"/>
            <w:tcBorders>
              <w:top w:val="nil"/>
              <w:left w:val="nil"/>
              <w:bottom w:val="nil"/>
              <w:right w:val="nil"/>
            </w:tcBorders>
            <w:shd w:val="clear" w:color="auto" w:fill="auto"/>
            <w:noWrap/>
            <w:vAlign w:val="bottom"/>
          </w:tcPr>
          <w:p w14:paraId="2B5E2C7D" w14:textId="77777777" w:rsidR="00B06C44" w:rsidRPr="00A9447A" w:rsidRDefault="00B06C44" w:rsidP="00A27EF6">
            <w:pPr>
              <w:spacing w:after="0"/>
              <w:jc w:val="left"/>
              <w:rPr>
                <w:noProof/>
                <w:color w:val="000000"/>
                <w:szCs w:val="24"/>
              </w:rPr>
            </w:pPr>
            <w:r>
              <w:rPr>
                <w:noProof/>
                <w:color w:val="000000"/>
              </w:rPr>
              <w:t>IEP</w:t>
            </w:r>
          </w:p>
        </w:tc>
        <w:tc>
          <w:tcPr>
            <w:tcW w:w="6964" w:type="dxa"/>
            <w:tcBorders>
              <w:top w:val="nil"/>
              <w:left w:val="nil"/>
              <w:bottom w:val="nil"/>
              <w:right w:val="nil"/>
            </w:tcBorders>
            <w:shd w:val="clear" w:color="auto" w:fill="auto"/>
            <w:noWrap/>
            <w:vAlign w:val="bottom"/>
          </w:tcPr>
          <w:p w14:paraId="56DD89D5" w14:textId="77777777" w:rsidR="00B06C44" w:rsidRPr="00A9447A" w:rsidRDefault="00B06C44" w:rsidP="00A27EF6">
            <w:pPr>
              <w:spacing w:after="0"/>
              <w:jc w:val="left"/>
              <w:rPr>
                <w:noProof/>
                <w:color w:val="000000"/>
                <w:szCs w:val="24"/>
              </w:rPr>
            </w:pPr>
            <w:r>
              <w:rPr>
                <w:noProof/>
                <w:color w:val="000000"/>
              </w:rPr>
              <w:t>Instrumentul european pentru pace</w:t>
            </w:r>
          </w:p>
        </w:tc>
      </w:tr>
      <w:tr w:rsidR="00440F24" w:rsidRPr="00A9447A" w14:paraId="68755A6A" w14:textId="77777777" w:rsidTr="00A27EF6">
        <w:trPr>
          <w:trHeight w:val="315"/>
        </w:trPr>
        <w:tc>
          <w:tcPr>
            <w:tcW w:w="1400" w:type="dxa"/>
            <w:tcBorders>
              <w:top w:val="nil"/>
              <w:left w:val="nil"/>
              <w:bottom w:val="nil"/>
              <w:right w:val="nil"/>
            </w:tcBorders>
            <w:shd w:val="clear" w:color="auto" w:fill="auto"/>
            <w:noWrap/>
            <w:vAlign w:val="bottom"/>
            <w:hideMark/>
          </w:tcPr>
          <w:p w14:paraId="178CE4F3" w14:textId="77777777" w:rsidR="00440F24" w:rsidRPr="00A9447A" w:rsidRDefault="00440F24" w:rsidP="00A27EF6">
            <w:pPr>
              <w:spacing w:after="0"/>
              <w:jc w:val="left"/>
              <w:rPr>
                <w:noProof/>
                <w:color w:val="000000"/>
                <w:szCs w:val="24"/>
              </w:rPr>
            </w:pPr>
            <w:r>
              <w:rPr>
                <w:noProof/>
                <w:color w:val="000000"/>
              </w:rPr>
              <w:t>EPPO</w:t>
            </w:r>
          </w:p>
        </w:tc>
        <w:tc>
          <w:tcPr>
            <w:tcW w:w="6964" w:type="dxa"/>
            <w:tcBorders>
              <w:top w:val="nil"/>
              <w:left w:val="nil"/>
              <w:bottom w:val="nil"/>
              <w:right w:val="nil"/>
            </w:tcBorders>
            <w:shd w:val="clear" w:color="auto" w:fill="auto"/>
            <w:noWrap/>
            <w:vAlign w:val="bottom"/>
            <w:hideMark/>
          </w:tcPr>
          <w:p w14:paraId="13380DC8" w14:textId="77777777" w:rsidR="00440F24" w:rsidRPr="00A9447A" w:rsidRDefault="00440F24" w:rsidP="00A27EF6">
            <w:pPr>
              <w:spacing w:after="0"/>
              <w:jc w:val="left"/>
              <w:rPr>
                <w:noProof/>
                <w:color w:val="000000"/>
                <w:szCs w:val="24"/>
              </w:rPr>
            </w:pPr>
            <w:r>
              <w:rPr>
                <w:noProof/>
                <w:color w:val="000000"/>
              </w:rPr>
              <w:t>Parchetul European</w:t>
            </w:r>
          </w:p>
        </w:tc>
      </w:tr>
      <w:tr w:rsidR="00440F24" w:rsidRPr="00A9447A" w14:paraId="32DFF86B" w14:textId="77777777" w:rsidTr="00A27EF6">
        <w:trPr>
          <w:trHeight w:val="315"/>
        </w:trPr>
        <w:tc>
          <w:tcPr>
            <w:tcW w:w="1400" w:type="dxa"/>
            <w:tcBorders>
              <w:top w:val="nil"/>
              <w:left w:val="nil"/>
              <w:bottom w:val="nil"/>
              <w:right w:val="nil"/>
            </w:tcBorders>
            <w:shd w:val="clear" w:color="auto" w:fill="auto"/>
            <w:noWrap/>
            <w:vAlign w:val="bottom"/>
            <w:hideMark/>
          </w:tcPr>
          <w:p w14:paraId="791A8D84" w14:textId="77777777" w:rsidR="00440F24" w:rsidRPr="00A9447A" w:rsidRDefault="00440F24" w:rsidP="00A27EF6">
            <w:pPr>
              <w:spacing w:after="0"/>
              <w:jc w:val="left"/>
              <w:rPr>
                <w:noProof/>
                <w:color w:val="000000"/>
                <w:szCs w:val="24"/>
              </w:rPr>
            </w:pPr>
            <w:r>
              <w:rPr>
                <w:noProof/>
                <w:color w:val="000000"/>
              </w:rPr>
              <w:t>Fondurile ESI</w:t>
            </w:r>
          </w:p>
        </w:tc>
        <w:tc>
          <w:tcPr>
            <w:tcW w:w="6964" w:type="dxa"/>
            <w:tcBorders>
              <w:top w:val="nil"/>
              <w:left w:val="nil"/>
              <w:bottom w:val="nil"/>
              <w:right w:val="nil"/>
            </w:tcBorders>
            <w:shd w:val="clear" w:color="auto" w:fill="auto"/>
            <w:noWrap/>
            <w:vAlign w:val="bottom"/>
            <w:hideMark/>
          </w:tcPr>
          <w:p w14:paraId="0AB3E835" w14:textId="77777777" w:rsidR="00440F24" w:rsidRPr="00A9447A" w:rsidRDefault="00440F24" w:rsidP="00A27EF6">
            <w:pPr>
              <w:spacing w:after="0"/>
              <w:jc w:val="left"/>
              <w:rPr>
                <w:noProof/>
                <w:color w:val="000000"/>
                <w:szCs w:val="24"/>
              </w:rPr>
            </w:pPr>
            <w:r>
              <w:rPr>
                <w:noProof/>
                <w:color w:val="000000"/>
              </w:rPr>
              <w:t>Fondurile structurale și de investiții europene</w:t>
            </w:r>
          </w:p>
        </w:tc>
      </w:tr>
      <w:tr w:rsidR="00440F24" w:rsidRPr="00A9447A" w14:paraId="2A20D2E3" w14:textId="77777777" w:rsidTr="00A27EF6">
        <w:trPr>
          <w:trHeight w:val="315"/>
        </w:trPr>
        <w:tc>
          <w:tcPr>
            <w:tcW w:w="1400" w:type="dxa"/>
            <w:tcBorders>
              <w:top w:val="nil"/>
              <w:left w:val="nil"/>
              <w:bottom w:val="nil"/>
              <w:right w:val="nil"/>
            </w:tcBorders>
            <w:shd w:val="clear" w:color="auto" w:fill="auto"/>
            <w:noWrap/>
            <w:vAlign w:val="bottom"/>
            <w:hideMark/>
          </w:tcPr>
          <w:p w14:paraId="5549FF6E" w14:textId="77777777" w:rsidR="00440F24" w:rsidRPr="00A9447A" w:rsidRDefault="00440F24" w:rsidP="00A27EF6">
            <w:pPr>
              <w:spacing w:after="0"/>
              <w:jc w:val="left"/>
              <w:rPr>
                <w:noProof/>
                <w:color w:val="000000"/>
                <w:szCs w:val="24"/>
              </w:rPr>
            </w:pPr>
            <w:r>
              <w:rPr>
                <w:noProof/>
                <w:color w:val="000000"/>
              </w:rPr>
              <w:t>UE</w:t>
            </w:r>
          </w:p>
        </w:tc>
        <w:tc>
          <w:tcPr>
            <w:tcW w:w="6964" w:type="dxa"/>
            <w:tcBorders>
              <w:top w:val="nil"/>
              <w:left w:val="nil"/>
              <w:bottom w:val="nil"/>
              <w:right w:val="nil"/>
            </w:tcBorders>
            <w:shd w:val="clear" w:color="auto" w:fill="auto"/>
            <w:noWrap/>
            <w:vAlign w:val="bottom"/>
            <w:hideMark/>
          </w:tcPr>
          <w:p w14:paraId="12D901A5" w14:textId="77777777" w:rsidR="00440F24" w:rsidRPr="00A9447A" w:rsidRDefault="00440F24" w:rsidP="00A27EF6">
            <w:pPr>
              <w:spacing w:after="0"/>
              <w:jc w:val="left"/>
              <w:rPr>
                <w:noProof/>
                <w:color w:val="000000"/>
                <w:szCs w:val="24"/>
              </w:rPr>
            </w:pPr>
            <w:r>
              <w:rPr>
                <w:noProof/>
                <w:color w:val="000000"/>
              </w:rPr>
              <w:t>Uniunea Europeană</w:t>
            </w:r>
          </w:p>
        </w:tc>
      </w:tr>
      <w:tr w:rsidR="00CF7811" w:rsidRPr="00A9447A" w14:paraId="15D52E9B" w14:textId="77777777" w:rsidTr="00A27EF6">
        <w:trPr>
          <w:trHeight w:val="315"/>
        </w:trPr>
        <w:tc>
          <w:tcPr>
            <w:tcW w:w="1400" w:type="dxa"/>
            <w:tcBorders>
              <w:top w:val="nil"/>
              <w:left w:val="nil"/>
              <w:bottom w:val="nil"/>
              <w:right w:val="nil"/>
            </w:tcBorders>
            <w:shd w:val="clear" w:color="auto" w:fill="auto"/>
            <w:noWrap/>
            <w:vAlign w:val="bottom"/>
          </w:tcPr>
          <w:p w14:paraId="48470DEE" w14:textId="77777777" w:rsidR="00CF7811" w:rsidRPr="00A9447A" w:rsidRDefault="00CF7811" w:rsidP="00A27EF6">
            <w:pPr>
              <w:spacing w:after="0"/>
              <w:jc w:val="left"/>
              <w:rPr>
                <w:noProof/>
                <w:color w:val="000000"/>
                <w:szCs w:val="24"/>
              </w:rPr>
            </w:pPr>
            <w:r>
              <w:rPr>
                <w:noProof/>
                <w:color w:val="000000"/>
              </w:rPr>
              <w:t>EUBAM</w:t>
            </w:r>
          </w:p>
        </w:tc>
        <w:tc>
          <w:tcPr>
            <w:tcW w:w="6964" w:type="dxa"/>
            <w:tcBorders>
              <w:top w:val="nil"/>
              <w:left w:val="nil"/>
              <w:bottom w:val="nil"/>
              <w:right w:val="nil"/>
            </w:tcBorders>
            <w:shd w:val="clear" w:color="auto" w:fill="auto"/>
            <w:noWrap/>
            <w:vAlign w:val="bottom"/>
          </w:tcPr>
          <w:p w14:paraId="68EE3787" w14:textId="77777777" w:rsidR="00CF7811" w:rsidRPr="00A9447A" w:rsidRDefault="00CF7811" w:rsidP="00A27EF6">
            <w:pPr>
              <w:spacing w:after="0"/>
              <w:jc w:val="left"/>
              <w:rPr>
                <w:noProof/>
                <w:color w:val="000000"/>
                <w:szCs w:val="24"/>
              </w:rPr>
            </w:pPr>
            <w:r>
              <w:rPr>
                <w:noProof/>
                <w:color w:val="000000"/>
              </w:rPr>
              <w:t>Misiunea UE de asistență la frontieră în Moldova și Ucraina</w:t>
            </w:r>
          </w:p>
        </w:tc>
      </w:tr>
      <w:tr w:rsidR="00CF7811" w:rsidRPr="00A9447A" w14:paraId="2F3D8E26" w14:textId="77777777" w:rsidTr="00A27EF6">
        <w:trPr>
          <w:trHeight w:val="315"/>
        </w:trPr>
        <w:tc>
          <w:tcPr>
            <w:tcW w:w="1400" w:type="dxa"/>
            <w:tcBorders>
              <w:top w:val="nil"/>
              <w:left w:val="nil"/>
              <w:bottom w:val="nil"/>
              <w:right w:val="nil"/>
            </w:tcBorders>
            <w:shd w:val="clear" w:color="auto" w:fill="auto"/>
            <w:noWrap/>
            <w:vAlign w:val="bottom"/>
          </w:tcPr>
          <w:p w14:paraId="2E69ADC0" w14:textId="77777777" w:rsidR="00CF7811" w:rsidRPr="00A9447A" w:rsidRDefault="00CF7811" w:rsidP="00A27EF6">
            <w:pPr>
              <w:spacing w:after="0"/>
              <w:jc w:val="left"/>
              <w:rPr>
                <w:noProof/>
                <w:color w:val="000000"/>
                <w:szCs w:val="24"/>
              </w:rPr>
            </w:pPr>
            <w:r>
              <w:rPr>
                <w:noProof/>
                <w:color w:val="000000"/>
              </w:rPr>
              <w:t>CCCT</w:t>
            </w:r>
          </w:p>
        </w:tc>
        <w:tc>
          <w:tcPr>
            <w:tcW w:w="6964" w:type="dxa"/>
            <w:tcBorders>
              <w:top w:val="nil"/>
              <w:left w:val="nil"/>
              <w:bottom w:val="nil"/>
              <w:right w:val="nil"/>
            </w:tcBorders>
            <w:shd w:val="clear" w:color="auto" w:fill="auto"/>
            <w:noWrap/>
            <w:vAlign w:val="bottom"/>
          </w:tcPr>
          <w:p w14:paraId="273B767E" w14:textId="77777777" w:rsidR="00CF7811" w:rsidRPr="00A9447A" w:rsidRDefault="00CF7811" w:rsidP="00A27EF6">
            <w:pPr>
              <w:spacing w:after="0"/>
              <w:jc w:val="left"/>
              <w:rPr>
                <w:noProof/>
                <w:color w:val="000000"/>
                <w:szCs w:val="24"/>
              </w:rPr>
            </w:pPr>
            <w:r>
              <w:rPr>
                <w:noProof/>
                <w:color w:val="000000"/>
              </w:rPr>
              <w:t>Convenția-cadru pentru controlul tutunului</w:t>
            </w:r>
          </w:p>
        </w:tc>
      </w:tr>
      <w:tr w:rsidR="00CF7811" w:rsidRPr="00A9447A" w14:paraId="622EF4A4" w14:textId="77777777" w:rsidTr="00A27EF6">
        <w:trPr>
          <w:trHeight w:val="315"/>
        </w:trPr>
        <w:tc>
          <w:tcPr>
            <w:tcW w:w="1400" w:type="dxa"/>
            <w:tcBorders>
              <w:top w:val="nil"/>
              <w:left w:val="nil"/>
              <w:bottom w:val="nil"/>
              <w:right w:val="nil"/>
            </w:tcBorders>
            <w:shd w:val="clear" w:color="auto" w:fill="auto"/>
            <w:noWrap/>
            <w:vAlign w:val="bottom"/>
          </w:tcPr>
          <w:p w14:paraId="6783217E" w14:textId="77777777" w:rsidR="00CF7811" w:rsidRPr="00A9447A" w:rsidRDefault="00CF7811" w:rsidP="00A27EF6">
            <w:pPr>
              <w:spacing w:after="0"/>
              <w:jc w:val="left"/>
              <w:rPr>
                <w:noProof/>
                <w:color w:val="000000"/>
                <w:szCs w:val="24"/>
              </w:rPr>
            </w:pPr>
            <w:r>
              <w:rPr>
                <w:noProof/>
                <w:color w:val="000000"/>
              </w:rPr>
              <w:t>RDF</w:t>
            </w:r>
          </w:p>
        </w:tc>
        <w:tc>
          <w:tcPr>
            <w:tcW w:w="6964" w:type="dxa"/>
            <w:tcBorders>
              <w:top w:val="nil"/>
              <w:left w:val="nil"/>
              <w:bottom w:val="nil"/>
              <w:right w:val="nil"/>
            </w:tcBorders>
            <w:shd w:val="clear" w:color="auto" w:fill="auto"/>
            <w:noWrap/>
            <w:vAlign w:val="bottom"/>
          </w:tcPr>
          <w:p w14:paraId="2CA8C8E0" w14:textId="77777777" w:rsidR="00CF7811" w:rsidRPr="00A9447A" w:rsidRDefault="00CF7811" w:rsidP="00A27EF6">
            <w:pPr>
              <w:spacing w:after="0"/>
              <w:jc w:val="left"/>
              <w:rPr>
                <w:noProof/>
                <w:color w:val="000000"/>
                <w:szCs w:val="24"/>
              </w:rPr>
            </w:pPr>
            <w:r>
              <w:rPr>
                <w:noProof/>
                <w:color w:val="000000"/>
              </w:rPr>
              <w:t>Rata de detectare a fraudei</w:t>
            </w:r>
          </w:p>
        </w:tc>
      </w:tr>
      <w:tr w:rsidR="00440F24" w:rsidRPr="00A9447A" w14:paraId="30D0C0F2" w14:textId="77777777" w:rsidTr="00A27EF6">
        <w:trPr>
          <w:trHeight w:val="315"/>
        </w:trPr>
        <w:tc>
          <w:tcPr>
            <w:tcW w:w="1400" w:type="dxa"/>
            <w:tcBorders>
              <w:top w:val="nil"/>
              <w:left w:val="nil"/>
              <w:bottom w:val="nil"/>
              <w:right w:val="nil"/>
            </w:tcBorders>
            <w:shd w:val="clear" w:color="auto" w:fill="auto"/>
            <w:noWrap/>
            <w:vAlign w:val="bottom"/>
            <w:hideMark/>
          </w:tcPr>
          <w:p w14:paraId="3E6C2B6B" w14:textId="77777777" w:rsidR="00440F24" w:rsidRPr="00A9447A" w:rsidRDefault="00440F24" w:rsidP="00A27EF6">
            <w:pPr>
              <w:spacing w:after="0"/>
              <w:jc w:val="left"/>
              <w:rPr>
                <w:noProof/>
                <w:color w:val="000000"/>
                <w:szCs w:val="24"/>
              </w:rPr>
            </w:pPr>
            <w:r>
              <w:rPr>
                <w:noProof/>
                <w:color w:val="000000"/>
              </w:rPr>
              <w:t>HFC</w:t>
            </w:r>
          </w:p>
        </w:tc>
        <w:tc>
          <w:tcPr>
            <w:tcW w:w="6964" w:type="dxa"/>
            <w:tcBorders>
              <w:top w:val="nil"/>
              <w:left w:val="nil"/>
              <w:bottom w:val="nil"/>
              <w:right w:val="nil"/>
            </w:tcBorders>
            <w:shd w:val="clear" w:color="auto" w:fill="auto"/>
            <w:noWrap/>
            <w:vAlign w:val="bottom"/>
            <w:hideMark/>
          </w:tcPr>
          <w:p w14:paraId="56CA7AAA" w14:textId="7CB08F88" w:rsidR="00440F24" w:rsidRPr="00A9447A" w:rsidRDefault="00167262" w:rsidP="00167262">
            <w:pPr>
              <w:spacing w:after="0"/>
              <w:jc w:val="left"/>
              <w:rPr>
                <w:noProof/>
                <w:color w:val="000000"/>
                <w:szCs w:val="24"/>
              </w:rPr>
            </w:pPr>
            <w:r>
              <w:rPr>
                <w:noProof/>
                <w:color w:val="000000"/>
              </w:rPr>
              <w:t>Hidrofluorocarburi (gaze refrigerante)</w:t>
            </w:r>
          </w:p>
        </w:tc>
      </w:tr>
      <w:tr w:rsidR="00CF7811" w:rsidRPr="00A9447A" w14:paraId="2889599A" w14:textId="77777777" w:rsidTr="00A27EF6">
        <w:trPr>
          <w:trHeight w:val="315"/>
        </w:trPr>
        <w:tc>
          <w:tcPr>
            <w:tcW w:w="1400" w:type="dxa"/>
            <w:tcBorders>
              <w:top w:val="nil"/>
              <w:left w:val="nil"/>
              <w:bottom w:val="nil"/>
              <w:right w:val="nil"/>
            </w:tcBorders>
            <w:shd w:val="clear" w:color="auto" w:fill="auto"/>
            <w:noWrap/>
            <w:vAlign w:val="bottom"/>
          </w:tcPr>
          <w:p w14:paraId="5386E10D" w14:textId="77777777" w:rsidR="00CF7811" w:rsidRDefault="00CF7811" w:rsidP="00A27EF6">
            <w:pPr>
              <w:spacing w:after="0"/>
              <w:jc w:val="left"/>
              <w:rPr>
                <w:noProof/>
                <w:color w:val="000000"/>
                <w:szCs w:val="24"/>
              </w:rPr>
            </w:pPr>
            <w:r>
              <w:rPr>
                <w:noProof/>
                <w:color w:val="000000"/>
              </w:rPr>
              <w:t>RDN</w:t>
            </w:r>
          </w:p>
        </w:tc>
        <w:tc>
          <w:tcPr>
            <w:tcW w:w="6964" w:type="dxa"/>
            <w:tcBorders>
              <w:top w:val="nil"/>
              <w:left w:val="nil"/>
              <w:bottom w:val="nil"/>
              <w:right w:val="nil"/>
            </w:tcBorders>
            <w:shd w:val="clear" w:color="auto" w:fill="auto"/>
            <w:noWrap/>
            <w:vAlign w:val="bottom"/>
          </w:tcPr>
          <w:p w14:paraId="78748117" w14:textId="77777777" w:rsidR="00CF7811" w:rsidRDefault="00CF7811" w:rsidP="00CF7811">
            <w:pPr>
              <w:spacing w:after="0"/>
              <w:jc w:val="left"/>
              <w:rPr>
                <w:noProof/>
                <w:color w:val="000000"/>
                <w:szCs w:val="24"/>
              </w:rPr>
            </w:pPr>
            <w:r>
              <w:rPr>
                <w:noProof/>
                <w:color w:val="000000"/>
              </w:rPr>
              <w:t>Rata de detectare a neregulilor</w:t>
            </w:r>
          </w:p>
        </w:tc>
      </w:tr>
      <w:tr w:rsidR="00440F24" w:rsidRPr="00A9447A" w14:paraId="5618E674" w14:textId="77777777" w:rsidTr="00A27EF6">
        <w:trPr>
          <w:trHeight w:val="315"/>
        </w:trPr>
        <w:tc>
          <w:tcPr>
            <w:tcW w:w="1400" w:type="dxa"/>
            <w:tcBorders>
              <w:top w:val="nil"/>
              <w:left w:val="nil"/>
              <w:bottom w:val="nil"/>
              <w:right w:val="nil"/>
            </w:tcBorders>
            <w:shd w:val="clear" w:color="auto" w:fill="auto"/>
            <w:noWrap/>
            <w:vAlign w:val="bottom"/>
          </w:tcPr>
          <w:p w14:paraId="383F215E" w14:textId="77777777" w:rsidR="00440F24" w:rsidRPr="00A9447A" w:rsidRDefault="00440F24" w:rsidP="00A27EF6">
            <w:pPr>
              <w:spacing w:after="0"/>
              <w:jc w:val="left"/>
              <w:rPr>
                <w:noProof/>
                <w:color w:val="000000"/>
                <w:szCs w:val="24"/>
              </w:rPr>
            </w:pPr>
            <w:r>
              <w:rPr>
                <w:noProof/>
                <w:color w:val="000000"/>
              </w:rPr>
              <w:t>IMS</w:t>
            </w:r>
          </w:p>
        </w:tc>
        <w:tc>
          <w:tcPr>
            <w:tcW w:w="6964" w:type="dxa"/>
            <w:tcBorders>
              <w:top w:val="nil"/>
              <w:left w:val="nil"/>
              <w:bottom w:val="nil"/>
              <w:right w:val="nil"/>
            </w:tcBorders>
            <w:shd w:val="clear" w:color="auto" w:fill="auto"/>
            <w:noWrap/>
            <w:vAlign w:val="bottom"/>
          </w:tcPr>
          <w:p w14:paraId="68EFE45E" w14:textId="77777777" w:rsidR="00440F24" w:rsidRPr="00A9447A" w:rsidRDefault="00440F24" w:rsidP="00A27EF6">
            <w:pPr>
              <w:spacing w:after="0"/>
              <w:jc w:val="left"/>
              <w:rPr>
                <w:noProof/>
                <w:color w:val="000000"/>
                <w:szCs w:val="24"/>
              </w:rPr>
            </w:pPr>
            <w:r>
              <w:rPr>
                <w:noProof/>
                <w:color w:val="000000"/>
              </w:rPr>
              <w:t>Sistemul de gestionare a neregulilor</w:t>
            </w:r>
          </w:p>
        </w:tc>
      </w:tr>
      <w:tr w:rsidR="00CF7811" w:rsidRPr="00A9447A" w14:paraId="306DD4D1" w14:textId="77777777" w:rsidTr="00A27EF6">
        <w:trPr>
          <w:trHeight w:val="315"/>
        </w:trPr>
        <w:tc>
          <w:tcPr>
            <w:tcW w:w="1400" w:type="dxa"/>
            <w:tcBorders>
              <w:top w:val="nil"/>
              <w:left w:val="nil"/>
              <w:bottom w:val="nil"/>
              <w:right w:val="nil"/>
            </w:tcBorders>
            <w:shd w:val="clear" w:color="auto" w:fill="auto"/>
            <w:noWrap/>
            <w:vAlign w:val="bottom"/>
          </w:tcPr>
          <w:p w14:paraId="144DD718" w14:textId="77777777" w:rsidR="00CF7811" w:rsidRPr="00A9447A" w:rsidRDefault="00CF7811" w:rsidP="00A27EF6">
            <w:pPr>
              <w:spacing w:after="0"/>
              <w:jc w:val="left"/>
              <w:rPr>
                <w:noProof/>
                <w:color w:val="000000"/>
                <w:szCs w:val="24"/>
              </w:rPr>
            </w:pPr>
            <w:r>
              <w:rPr>
                <w:noProof/>
                <w:color w:val="000000"/>
              </w:rPr>
              <w:t>JIT</w:t>
            </w:r>
          </w:p>
        </w:tc>
        <w:tc>
          <w:tcPr>
            <w:tcW w:w="6964" w:type="dxa"/>
            <w:tcBorders>
              <w:top w:val="nil"/>
              <w:left w:val="nil"/>
              <w:bottom w:val="nil"/>
              <w:right w:val="nil"/>
            </w:tcBorders>
            <w:shd w:val="clear" w:color="auto" w:fill="auto"/>
            <w:noWrap/>
            <w:vAlign w:val="bottom"/>
          </w:tcPr>
          <w:p w14:paraId="09417D3A" w14:textId="77777777" w:rsidR="00CF7811" w:rsidRPr="00A9447A" w:rsidRDefault="00CF7811" w:rsidP="00CF7811">
            <w:pPr>
              <w:spacing w:after="0"/>
              <w:jc w:val="left"/>
              <w:rPr>
                <w:noProof/>
                <w:color w:val="000000"/>
                <w:szCs w:val="24"/>
              </w:rPr>
            </w:pPr>
            <w:r>
              <w:rPr>
                <w:noProof/>
                <w:color w:val="000000"/>
              </w:rPr>
              <w:t>Echipă comună de anchetă</w:t>
            </w:r>
          </w:p>
        </w:tc>
      </w:tr>
      <w:tr w:rsidR="00440F24" w:rsidRPr="00A9447A" w14:paraId="4B360301" w14:textId="77777777" w:rsidTr="00A27EF6">
        <w:trPr>
          <w:trHeight w:val="315"/>
        </w:trPr>
        <w:tc>
          <w:tcPr>
            <w:tcW w:w="1400" w:type="dxa"/>
            <w:tcBorders>
              <w:top w:val="nil"/>
              <w:left w:val="nil"/>
              <w:bottom w:val="nil"/>
              <w:right w:val="nil"/>
            </w:tcBorders>
            <w:shd w:val="clear" w:color="auto" w:fill="auto"/>
            <w:noWrap/>
            <w:vAlign w:val="bottom"/>
            <w:hideMark/>
          </w:tcPr>
          <w:p w14:paraId="008A18FE" w14:textId="77777777" w:rsidR="00440F24" w:rsidRPr="00A9447A" w:rsidRDefault="00440F24" w:rsidP="00A27EF6">
            <w:pPr>
              <w:spacing w:after="0"/>
              <w:jc w:val="left"/>
              <w:rPr>
                <w:noProof/>
                <w:color w:val="000000"/>
                <w:szCs w:val="24"/>
              </w:rPr>
            </w:pPr>
            <w:r>
              <w:rPr>
                <w:noProof/>
                <w:color w:val="000000"/>
              </w:rPr>
              <w:t>CFM</w:t>
            </w:r>
          </w:p>
        </w:tc>
        <w:tc>
          <w:tcPr>
            <w:tcW w:w="6964" w:type="dxa"/>
            <w:tcBorders>
              <w:top w:val="nil"/>
              <w:left w:val="nil"/>
              <w:bottom w:val="nil"/>
              <w:right w:val="nil"/>
            </w:tcBorders>
            <w:shd w:val="clear" w:color="auto" w:fill="auto"/>
            <w:noWrap/>
            <w:vAlign w:val="bottom"/>
            <w:hideMark/>
          </w:tcPr>
          <w:p w14:paraId="4CED6B31" w14:textId="77777777" w:rsidR="00440F24" w:rsidRPr="00A9447A" w:rsidRDefault="00440F24" w:rsidP="00A27EF6">
            <w:pPr>
              <w:spacing w:after="0"/>
              <w:jc w:val="left"/>
              <w:rPr>
                <w:noProof/>
                <w:color w:val="000000"/>
                <w:szCs w:val="24"/>
              </w:rPr>
            </w:pPr>
            <w:r>
              <w:rPr>
                <w:noProof/>
                <w:color w:val="000000"/>
              </w:rPr>
              <w:t>Cadrul financiar multianual</w:t>
            </w:r>
          </w:p>
        </w:tc>
      </w:tr>
      <w:tr w:rsidR="00440F24" w:rsidRPr="00A9447A" w14:paraId="023BF32D" w14:textId="77777777" w:rsidTr="00A27EF6">
        <w:trPr>
          <w:trHeight w:val="315"/>
        </w:trPr>
        <w:tc>
          <w:tcPr>
            <w:tcW w:w="1400" w:type="dxa"/>
            <w:tcBorders>
              <w:top w:val="nil"/>
              <w:left w:val="nil"/>
              <w:bottom w:val="nil"/>
              <w:right w:val="nil"/>
            </w:tcBorders>
            <w:shd w:val="clear" w:color="auto" w:fill="auto"/>
            <w:noWrap/>
            <w:vAlign w:val="bottom"/>
            <w:hideMark/>
          </w:tcPr>
          <w:p w14:paraId="721E1840" w14:textId="77777777" w:rsidR="00440F24" w:rsidRPr="00A9447A" w:rsidRDefault="00440F24" w:rsidP="00A27EF6">
            <w:pPr>
              <w:spacing w:after="0"/>
              <w:jc w:val="left"/>
              <w:rPr>
                <w:noProof/>
                <w:color w:val="000000"/>
                <w:szCs w:val="24"/>
              </w:rPr>
            </w:pPr>
            <w:r>
              <w:rPr>
                <w:noProof/>
                <w:color w:val="000000"/>
              </w:rPr>
              <w:t>NGEU</w:t>
            </w:r>
          </w:p>
        </w:tc>
        <w:tc>
          <w:tcPr>
            <w:tcW w:w="6964" w:type="dxa"/>
            <w:tcBorders>
              <w:top w:val="nil"/>
              <w:left w:val="nil"/>
              <w:bottom w:val="nil"/>
              <w:right w:val="nil"/>
            </w:tcBorders>
            <w:shd w:val="clear" w:color="auto" w:fill="auto"/>
            <w:noWrap/>
            <w:vAlign w:val="bottom"/>
            <w:hideMark/>
          </w:tcPr>
          <w:p w14:paraId="079535C1" w14:textId="77777777" w:rsidR="00440F24" w:rsidRPr="00A9447A" w:rsidRDefault="00440F24" w:rsidP="00A27EF6">
            <w:pPr>
              <w:spacing w:after="0"/>
              <w:jc w:val="left"/>
              <w:rPr>
                <w:noProof/>
                <w:color w:val="000000"/>
                <w:szCs w:val="24"/>
              </w:rPr>
            </w:pPr>
            <w:r>
              <w:rPr>
                <w:noProof/>
                <w:color w:val="000000"/>
              </w:rPr>
              <w:t>NextGenerationEU (Instrumentul de redresare al Uniunii Europene)</w:t>
            </w:r>
          </w:p>
        </w:tc>
      </w:tr>
      <w:tr w:rsidR="00EB636F" w:rsidRPr="00A9447A" w14:paraId="0B315FD8" w14:textId="77777777" w:rsidTr="00A27EF6">
        <w:trPr>
          <w:trHeight w:val="315"/>
        </w:trPr>
        <w:tc>
          <w:tcPr>
            <w:tcW w:w="1400" w:type="dxa"/>
            <w:tcBorders>
              <w:top w:val="nil"/>
              <w:left w:val="nil"/>
              <w:bottom w:val="nil"/>
              <w:right w:val="nil"/>
            </w:tcBorders>
            <w:shd w:val="clear" w:color="auto" w:fill="auto"/>
            <w:noWrap/>
            <w:vAlign w:val="bottom"/>
          </w:tcPr>
          <w:p w14:paraId="50ECB274" w14:textId="77777777" w:rsidR="00EB636F" w:rsidRPr="00A9447A" w:rsidRDefault="00EB636F" w:rsidP="00A27EF6">
            <w:pPr>
              <w:spacing w:after="0"/>
              <w:jc w:val="left"/>
              <w:rPr>
                <w:noProof/>
                <w:color w:val="000000"/>
                <w:szCs w:val="24"/>
              </w:rPr>
            </w:pPr>
            <w:r>
              <w:rPr>
                <w:noProof/>
                <w:color w:val="000000"/>
              </w:rPr>
              <w:t>OFIS</w:t>
            </w:r>
          </w:p>
        </w:tc>
        <w:tc>
          <w:tcPr>
            <w:tcW w:w="6964" w:type="dxa"/>
            <w:tcBorders>
              <w:top w:val="nil"/>
              <w:left w:val="nil"/>
              <w:bottom w:val="nil"/>
              <w:right w:val="nil"/>
            </w:tcBorders>
            <w:shd w:val="clear" w:color="auto" w:fill="auto"/>
            <w:noWrap/>
            <w:vAlign w:val="bottom"/>
          </w:tcPr>
          <w:p w14:paraId="2386F352" w14:textId="77777777" w:rsidR="00EB636F" w:rsidRPr="00A9447A" w:rsidRDefault="00EB636F" w:rsidP="00A27EF6">
            <w:pPr>
              <w:spacing w:after="0"/>
              <w:jc w:val="left"/>
              <w:rPr>
                <w:noProof/>
                <w:color w:val="000000"/>
                <w:szCs w:val="24"/>
              </w:rPr>
            </w:pPr>
            <w:r>
              <w:rPr>
                <w:noProof/>
                <w:color w:val="000000"/>
              </w:rPr>
              <w:t>Sistemul de informații privind agricultura ecologică</w:t>
            </w:r>
          </w:p>
        </w:tc>
      </w:tr>
      <w:tr w:rsidR="00440F24" w:rsidRPr="00A9447A" w14:paraId="3D37FB8C" w14:textId="77777777" w:rsidTr="00A27EF6">
        <w:trPr>
          <w:trHeight w:val="315"/>
        </w:trPr>
        <w:tc>
          <w:tcPr>
            <w:tcW w:w="1400" w:type="dxa"/>
            <w:tcBorders>
              <w:top w:val="nil"/>
              <w:left w:val="nil"/>
              <w:bottom w:val="nil"/>
              <w:right w:val="nil"/>
            </w:tcBorders>
            <w:shd w:val="clear" w:color="auto" w:fill="auto"/>
            <w:noWrap/>
            <w:vAlign w:val="bottom"/>
            <w:hideMark/>
          </w:tcPr>
          <w:p w14:paraId="003686CA" w14:textId="77777777" w:rsidR="00440F24" w:rsidRPr="00A9447A" w:rsidRDefault="00440F24" w:rsidP="00A27EF6">
            <w:pPr>
              <w:spacing w:after="0"/>
              <w:jc w:val="left"/>
              <w:rPr>
                <w:noProof/>
                <w:color w:val="000000"/>
                <w:szCs w:val="24"/>
              </w:rPr>
            </w:pPr>
            <w:r>
              <w:rPr>
                <w:noProof/>
                <w:color w:val="000000"/>
              </w:rPr>
              <w:t>OLAF</w:t>
            </w:r>
          </w:p>
        </w:tc>
        <w:tc>
          <w:tcPr>
            <w:tcW w:w="6964" w:type="dxa"/>
            <w:tcBorders>
              <w:top w:val="nil"/>
              <w:left w:val="nil"/>
              <w:bottom w:val="nil"/>
              <w:right w:val="nil"/>
            </w:tcBorders>
            <w:shd w:val="clear" w:color="auto" w:fill="auto"/>
            <w:noWrap/>
            <w:vAlign w:val="bottom"/>
            <w:hideMark/>
          </w:tcPr>
          <w:p w14:paraId="46DD9207" w14:textId="77777777" w:rsidR="00440F24" w:rsidRPr="00A9447A" w:rsidRDefault="00440F24" w:rsidP="00A27EF6">
            <w:pPr>
              <w:spacing w:after="0"/>
              <w:jc w:val="left"/>
              <w:rPr>
                <w:noProof/>
                <w:color w:val="000000"/>
                <w:szCs w:val="24"/>
              </w:rPr>
            </w:pPr>
            <w:r>
              <w:rPr>
                <w:noProof/>
                <w:color w:val="000000"/>
              </w:rPr>
              <w:t>Oficiul European de Luptă Antifraudă</w:t>
            </w:r>
          </w:p>
        </w:tc>
      </w:tr>
      <w:tr w:rsidR="00440F24" w:rsidRPr="00A9447A" w14:paraId="151196BD" w14:textId="77777777" w:rsidTr="00A27EF6">
        <w:trPr>
          <w:trHeight w:val="315"/>
        </w:trPr>
        <w:tc>
          <w:tcPr>
            <w:tcW w:w="1400" w:type="dxa"/>
            <w:tcBorders>
              <w:top w:val="nil"/>
              <w:left w:val="nil"/>
              <w:bottom w:val="nil"/>
              <w:right w:val="nil"/>
            </w:tcBorders>
            <w:shd w:val="clear" w:color="auto" w:fill="auto"/>
            <w:noWrap/>
            <w:vAlign w:val="bottom"/>
            <w:hideMark/>
          </w:tcPr>
          <w:p w14:paraId="27BA0C64" w14:textId="77777777" w:rsidR="00440F24" w:rsidRPr="00A9447A" w:rsidRDefault="00440F24" w:rsidP="00A27EF6">
            <w:pPr>
              <w:spacing w:after="0"/>
              <w:jc w:val="left"/>
              <w:rPr>
                <w:noProof/>
                <w:color w:val="000000"/>
                <w:szCs w:val="24"/>
              </w:rPr>
            </w:pPr>
            <w:r>
              <w:rPr>
                <w:noProof/>
                <w:color w:val="000000"/>
              </w:rPr>
              <w:t>PIF</w:t>
            </w:r>
          </w:p>
        </w:tc>
        <w:tc>
          <w:tcPr>
            <w:tcW w:w="6964" w:type="dxa"/>
            <w:tcBorders>
              <w:top w:val="nil"/>
              <w:left w:val="nil"/>
              <w:bottom w:val="nil"/>
              <w:right w:val="nil"/>
            </w:tcBorders>
            <w:shd w:val="clear" w:color="auto" w:fill="auto"/>
            <w:noWrap/>
            <w:vAlign w:val="bottom"/>
            <w:hideMark/>
          </w:tcPr>
          <w:p w14:paraId="277A2CB3" w14:textId="77777777" w:rsidR="00440F24" w:rsidRPr="00A9447A" w:rsidRDefault="00440F24" w:rsidP="00A27EF6">
            <w:pPr>
              <w:spacing w:after="0"/>
              <w:jc w:val="left"/>
              <w:rPr>
                <w:noProof/>
                <w:color w:val="000000"/>
                <w:szCs w:val="24"/>
              </w:rPr>
            </w:pPr>
            <w:r>
              <w:rPr>
                <w:noProof/>
                <w:color w:val="000000"/>
              </w:rPr>
              <w:t>Protejarea intereselor financiare</w:t>
            </w:r>
          </w:p>
        </w:tc>
      </w:tr>
      <w:tr w:rsidR="00440F24" w:rsidRPr="00A9447A" w14:paraId="044926DF" w14:textId="77777777" w:rsidTr="00A27EF6">
        <w:trPr>
          <w:trHeight w:val="315"/>
        </w:trPr>
        <w:tc>
          <w:tcPr>
            <w:tcW w:w="1400" w:type="dxa"/>
            <w:tcBorders>
              <w:top w:val="nil"/>
              <w:left w:val="nil"/>
              <w:bottom w:val="nil"/>
              <w:right w:val="nil"/>
            </w:tcBorders>
            <w:shd w:val="clear" w:color="auto" w:fill="auto"/>
            <w:noWrap/>
            <w:vAlign w:val="bottom"/>
            <w:hideMark/>
          </w:tcPr>
          <w:p w14:paraId="5ED07D9E" w14:textId="77777777" w:rsidR="00440F24" w:rsidRPr="00A9447A" w:rsidRDefault="00440F24" w:rsidP="00A27EF6">
            <w:pPr>
              <w:spacing w:after="0"/>
              <w:jc w:val="left"/>
              <w:rPr>
                <w:noProof/>
                <w:color w:val="000000"/>
                <w:szCs w:val="24"/>
              </w:rPr>
            </w:pPr>
            <w:r>
              <w:rPr>
                <w:noProof/>
                <w:color w:val="000000"/>
              </w:rPr>
              <w:t>MRR</w:t>
            </w:r>
          </w:p>
        </w:tc>
        <w:tc>
          <w:tcPr>
            <w:tcW w:w="6964" w:type="dxa"/>
            <w:tcBorders>
              <w:top w:val="nil"/>
              <w:left w:val="nil"/>
              <w:bottom w:val="nil"/>
              <w:right w:val="nil"/>
            </w:tcBorders>
            <w:shd w:val="clear" w:color="auto" w:fill="auto"/>
            <w:noWrap/>
            <w:vAlign w:val="bottom"/>
            <w:hideMark/>
          </w:tcPr>
          <w:p w14:paraId="7F6FEFA2" w14:textId="77777777" w:rsidR="00440F24" w:rsidRPr="00A9447A" w:rsidRDefault="00440F24" w:rsidP="00A27EF6">
            <w:pPr>
              <w:spacing w:after="0"/>
              <w:jc w:val="left"/>
              <w:rPr>
                <w:noProof/>
                <w:color w:val="000000"/>
                <w:szCs w:val="24"/>
              </w:rPr>
            </w:pPr>
            <w:r>
              <w:rPr>
                <w:noProof/>
                <w:color w:val="000000"/>
              </w:rPr>
              <w:t>Mecanismul de redresare și reziliență</w:t>
            </w:r>
          </w:p>
        </w:tc>
      </w:tr>
      <w:tr w:rsidR="00CF7811" w:rsidRPr="00A9447A" w14:paraId="3A061454" w14:textId="77777777" w:rsidTr="00A27EF6">
        <w:trPr>
          <w:trHeight w:val="315"/>
        </w:trPr>
        <w:tc>
          <w:tcPr>
            <w:tcW w:w="1400" w:type="dxa"/>
            <w:tcBorders>
              <w:top w:val="nil"/>
              <w:left w:val="nil"/>
              <w:bottom w:val="nil"/>
              <w:right w:val="nil"/>
            </w:tcBorders>
            <w:shd w:val="clear" w:color="auto" w:fill="auto"/>
            <w:noWrap/>
            <w:vAlign w:val="bottom"/>
          </w:tcPr>
          <w:p w14:paraId="0564E6CC" w14:textId="77777777" w:rsidR="00CF7811" w:rsidRPr="00A9447A" w:rsidRDefault="00CF7811" w:rsidP="00A27EF6">
            <w:pPr>
              <w:spacing w:after="0"/>
              <w:jc w:val="left"/>
              <w:rPr>
                <w:noProof/>
                <w:color w:val="000000"/>
                <w:szCs w:val="24"/>
              </w:rPr>
            </w:pPr>
            <w:r>
              <w:rPr>
                <w:noProof/>
                <w:color w:val="000000"/>
              </w:rPr>
              <w:t>OSC</w:t>
            </w:r>
          </w:p>
        </w:tc>
        <w:tc>
          <w:tcPr>
            <w:tcW w:w="6964" w:type="dxa"/>
            <w:tcBorders>
              <w:top w:val="nil"/>
              <w:left w:val="nil"/>
              <w:bottom w:val="nil"/>
              <w:right w:val="nil"/>
            </w:tcBorders>
            <w:shd w:val="clear" w:color="auto" w:fill="auto"/>
            <w:noWrap/>
            <w:vAlign w:val="bottom"/>
          </w:tcPr>
          <w:p w14:paraId="0AF6D2EA" w14:textId="77777777" w:rsidR="00CF7811" w:rsidRPr="00A9447A" w:rsidRDefault="00CF7811" w:rsidP="00A27EF6">
            <w:pPr>
              <w:spacing w:after="0"/>
              <w:jc w:val="left"/>
              <w:rPr>
                <w:noProof/>
                <w:color w:val="000000"/>
                <w:szCs w:val="24"/>
              </w:rPr>
            </w:pPr>
            <w:r>
              <w:rPr>
                <w:noProof/>
                <w:color w:val="000000"/>
              </w:rPr>
              <w:t>Opțiuni simplificate în materie de costuri</w:t>
            </w:r>
          </w:p>
        </w:tc>
      </w:tr>
      <w:tr w:rsidR="00440F24" w:rsidRPr="00A9447A" w14:paraId="7510D3D6" w14:textId="77777777" w:rsidTr="00A27EF6">
        <w:trPr>
          <w:trHeight w:val="315"/>
        </w:trPr>
        <w:tc>
          <w:tcPr>
            <w:tcW w:w="1400" w:type="dxa"/>
            <w:tcBorders>
              <w:top w:val="nil"/>
              <w:left w:val="nil"/>
              <w:bottom w:val="nil"/>
              <w:right w:val="nil"/>
            </w:tcBorders>
            <w:shd w:val="clear" w:color="auto" w:fill="auto"/>
            <w:noWrap/>
            <w:vAlign w:val="bottom"/>
            <w:hideMark/>
          </w:tcPr>
          <w:p w14:paraId="1646B2A2" w14:textId="77777777" w:rsidR="00440F24" w:rsidRPr="00A9447A" w:rsidRDefault="00440F24" w:rsidP="00A27EF6">
            <w:pPr>
              <w:spacing w:after="0"/>
              <w:jc w:val="left"/>
              <w:rPr>
                <w:noProof/>
                <w:color w:val="000000"/>
                <w:szCs w:val="24"/>
              </w:rPr>
            </w:pPr>
            <w:r>
              <w:rPr>
                <w:noProof/>
                <w:color w:val="000000"/>
              </w:rPr>
              <w:t>TFUE</w:t>
            </w:r>
          </w:p>
        </w:tc>
        <w:tc>
          <w:tcPr>
            <w:tcW w:w="6964" w:type="dxa"/>
            <w:tcBorders>
              <w:top w:val="nil"/>
              <w:left w:val="nil"/>
              <w:bottom w:val="nil"/>
              <w:right w:val="nil"/>
            </w:tcBorders>
            <w:shd w:val="clear" w:color="auto" w:fill="auto"/>
            <w:noWrap/>
            <w:vAlign w:val="bottom"/>
            <w:hideMark/>
          </w:tcPr>
          <w:p w14:paraId="313FBBB5" w14:textId="77777777" w:rsidR="00440F24" w:rsidRPr="00A9447A" w:rsidRDefault="00440F24" w:rsidP="00A27EF6">
            <w:pPr>
              <w:spacing w:after="0"/>
              <w:jc w:val="left"/>
              <w:rPr>
                <w:noProof/>
                <w:color w:val="000000"/>
                <w:szCs w:val="24"/>
              </w:rPr>
            </w:pPr>
            <w:r>
              <w:rPr>
                <w:noProof/>
                <w:color w:val="000000"/>
              </w:rPr>
              <w:t xml:space="preserve">Tratatul privind funcționarea Uniunii Europene </w:t>
            </w:r>
          </w:p>
        </w:tc>
      </w:tr>
      <w:tr w:rsidR="00440F24" w:rsidRPr="00A9447A" w14:paraId="18F09E47" w14:textId="77777777" w:rsidTr="00A27EF6">
        <w:trPr>
          <w:trHeight w:val="315"/>
        </w:trPr>
        <w:tc>
          <w:tcPr>
            <w:tcW w:w="1400" w:type="dxa"/>
            <w:tcBorders>
              <w:top w:val="nil"/>
              <w:left w:val="nil"/>
              <w:bottom w:val="nil"/>
              <w:right w:val="nil"/>
            </w:tcBorders>
            <w:shd w:val="clear" w:color="auto" w:fill="auto"/>
            <w:noWrap/>
            <w:vAlign w:val="bottom"/>
            <w:hideMark/>
          </w:tcPr>
          <w:p w14:paraId="219BA4B7" w14:textId="77777777" w:rsidR="00440F24" w:rsidRPr="00A9447A" w:rsidRDefault="00440F24" w:rsidP="00A27EF6">
            <w:pPr>
              <w:spacing w:after="0"/>
              <w:jc w:val="left"/>
              <w:rPr>
                <w:noProof/>
                <w:color w:val="000000"/>
                <w:szCs w:val="24"/>
              </w:rPr>
            </w:pPr>
            <w:r>
              <w:rPr>
                <w:noProof/>
                <w:color w:val="000000"/>
              </w:rPr>
              <w:t>RPT</w:t>
            </w:r>
          </w:p>
        </w:tc>
        <w:tc>
          <w:tcPr>
            <w:tcW w:w="6964" w:type="dxa"/>
            <w:tcBorders>
              <w:top w:val="nil"/>
              <w:left w:val="nil"/>
              <w:bottom w:val="nil"/>
              <w:right w:val="nil"/>
            </w:tcBorders>
            <w:shd w:val="clear" w:color="auto" w:fill="auto"/>
            <w:noWrap/>
            <w:vAlign w:val="bottom"/>
            <w:hideMark/>
          </w:tcPr>
          <w:p w14:paraId="6B0AD094" w14:textId="77777777" w:rsidR="00440F24" w:rsidRPr="00A9447A" w:rsidRDefault="00440F24" w:rsidP="00A27EF6">
            <w:pPr>
              <w:spacing w:after="0"/>
              <w:jc w:val="left"/>
              <w:rPr>
                <w:noProof/>
                <w:color w:val="000000"/>
                <w:szCs w:val="24"/>
              </w:rPr>
            </w:pPr>
            <w:r>
              <w:rPr>
                <w:noProof/>
                <w:color w:val="000000"/>
              </w:rPr>
              <w:t>Resurse proprii tradiționale</w:t>
            </w:r>
          </w:p>
        </w:tc>
      </w:tr>
      <w:tr w:rsidR="00F90561" w:rsidRPr="00A9447A" w14:paraId="279A2BAD" w14:textId="77777777" w:rsidTr="00A27EF6">
        <w:trPr>
          <w:trHeight w:val="315"/>
        </w:trPr>
        <w:tc>
          <w:tcPr>
            <w:tcW w:w="1400" w:type="dxa"/>
            <w:tcBorders>
              <w:top w:val="nil"/>
              <w:left w:val="nil"/>
              <w:bottom w:val="nil"/>
              <w:right w:val="nil"/>
            </w:tcBorders>
            <w:shd w:val="clear" w:color="auto" w:fill="auto"/>
            <w:noWrap/>
            <w:vAlign w:val="bottom"/>
          </w:tcPr>
          <w:p w14:paraId="61F4BB78" w14:textId="77777777" w:rsidR="00F90561" w:rsidRDefault="00F90561" w:rsidP="00A27EF6">
            <w:pPr>
              <w:spacing w:after="0"/>
              <w:jc w:val="left"/>
              <w:rPr>
                <w:noProof/>
                <w:color w:val="000000"/>
                <w:szCs w:val="24"/>
              </w:rPr>
            </w:pPr>
            <w:r>
              <w:rPr>
                <w:noProof/>
                <w:color w:val="000000"/>
              </w:rPr>
              <w:t>UNCAC</w:t>
            </w:r>
          </w:p>
        </w:tc>
        <w:tc>
          <w:tcPr>
            <w:tcW w:w="6964" w:type="dxa"/>
            <w:tcBorders>
              <w:top w:val="nil"/>
              <w:left w:val="nil"/>
              <w:bottom w:val="nil"/>
              <w:right w:val="nil"/>
            </w:tcBorders>
            <w:shd w:val="clear" w:color="auto" w:fill="auto"/>
            <w:noWrap/>
            <w:vAlign w:val="bottom"/>
          </w:tcPr>
          <w:p w14:paraId="04C8D4D9" w14:textId="77777777" w:rsidR="00F90561" w:rsidRDefault="00F90561" w:rsidP="00F90561">
            <w:pPr>
              <w:spacing w:after="0"/>
              <w:jc w:val="left"/>
              <w:rPr>
                <w:noProof/>
                <w:color w:val="000000"/>
                <w:szCs w:val="24"/>
              </w:rPr>
            </w:pPr>
            <w:r>
              <w:rPr>
                <w:noProof/>
                <w:color w:val="000000"/>
              </w:rPr>
              <w:t>Convenția Organizației Națiunilor Unite împotriva corupției</w:t>
            </w:r>
          </w:p>
        </w:tc>
      </w:tr>
      <w:tr w:rsidR="00440F24" w:rsidRPr="00A9447A" w14:paraId="283D9421" w14:textId="77777777" w:rsidTr="00A27EF6">
        <w:trPr>
          <w:trHeight w:val="315"/>
        </w:trPr>
        <w:tc>
          <w:tcPr>
            <w:tcW w:w="1400" w:type="dxa"/>
            <w:tcBorders>
              <w:top w:val="nil"/>
              <w:left w:val="nil"/>
              <w:bottom w:val="nil"/>
              <w:right w:val="nil"/>
            </w:tcBorders>
            <w:shd w:val="clear" w:color="auto" w:fill="auto"/>
            <w:noWrap/>
            <w:vAlign w:val="bottom"/>
          </w:tcPr>
          <w:p w14:paraId="608A5114" w14:textId="77777777" w:rsidR="00440F24" w:rsidRPr="00A9447A" w:rsidRDefault="00440F24" w:rsidP="00A27EF6">
            <w:pPr>
              <w:spacing w:after="0"/>
              <w:jc w:val="left"/>
              <w:rPr>
                <w:noProof/>
                <w:color w:val="000000"/>
                <w:szCs w:val="24"/>
              </w:rPr>
            </w:pPr>
            <w:r>
              <w:rPr>
                <w:noProof/>
                <w:color w:val="000000"/>
              </w:rPr>
              <w:t>TVA</w:t>
            </w:r>
          </w:p>
        </w:tc>
        <w:tc>
          <w:tcPr>
            <w:tcW w:w="6964" w:type="dxa"/>
            <w:tcBorders>
              <w:top w:val="nil"/>
              <w:left w:val="nil"/>
              <w:bottom w:val="nil"/>
              <w:right w:val="nil"/>
            </w:tcBorders>
            <w:shd w:val="clear" w:color="auto" w:fill="auto"/>
            <w:noWrap/>
            <w:vAlign w:val="bottom"/>
          </w:tcPr>
          <w:p w14:paraId="3555662D" w14:textId="77777777" w:rsidR="00440F24" w:rsidRPr="00A9447A" w:rsidRDefault="00440F24" w:rsidP="00A27EF6">
            <w:pPr>
              <w:spacing w:after="0"/>
              <w:jc w:val="left"/>
              <w:rPr>
                <w:noProof/>
                <w:color w:val="000000"/>
                <w:szCs w:val="24"/>
              </w:rPr>
            </w:pPr>
            <w:r>
              <w:rPr>
                <w:noProof/>
                <w:color w:val="000000"/>
              </w:rPr>
              <w:t>Taxa pe valoarea adăugată</w:t>
            </w:r>
          </w:p>
        </w:tc>
      </w:tr>
      <w:tr w:rsidR="00440F24" w:rsidRPr="00A9447A" w14:paraId="67EF79AB" w14:textId="77777777" w:rsidTr="00A27EF6">
        <w:trPr>
          <w:trHeight w:val="315"/>
        </w:trPr>
        <w:tc>
          <w:tcPr>
            <w:tcW w:w="1400" w:type="dxa"/>
            <w:tcBorders>
              <w:top w:val="nil"/>
              <w:left w:val="nil"/>
              <w:bottom w:val="nil"/>
              <w:right w:val="nil"/>
            </w:tcBorders>
            <w:shd w:val="clear" w:color="auto" w:fill="auto"/>
            <w:noWrap/>
            <w:vAlign w:val="bottom"/>
            <w:hideMark/>
          </w:tcPr>
          <w:p w14:paraId="5D689047" w14:textId="77777777" w:rsidR="00440F24" w:rsidRPr="00A9447A" w:rsidRDefault="00440F24" w:rsidP="00A27EF6">
            <w:pPr>
              <w:spacing w:after="0"/>
              <w:jc w:val="left"/>
              <w:rPr>
                <w:noProof/>
                <w:color w:val="000000"/>
                <w:szCs w:val="24"/>
              </w:rPr>
            </w:pPr>
            <w:r>
              <w:rPr>
                <w:noProof/>
                <w:color w:val="000000"/>
              </w:rPr>
              <w:t>VOCU</w:t>
            </w:r>
          </w:p>
        </w:tc>
        <w:tc>
          <w:tcPr>
            <w:tcW w:w="6964" w:type="dxa"/>
            <w:tcBorders>
              <w:top w:val="nil"/>
              <w:left w:val="nil"/>
              <w:bottom w:val="nil"/>
              <w:right w:val="nil"/>
            </w:tcBorders>
            <w:shd w:val="clear" w:color="auto" w:fill="auto"/>
            <w:noWrap/>
            <w:vAlign w:val="bottom"/>
            <w:hideMark/>
          </w:tcPr>
          <w:p w14:paraId="0F73C8EA" w14:textId="77777777" w:rsidR="00440F24" w:rsidRPr="00A9447A" w:rsidRDefault="00440F24" w:rsidP="00A27EF6">
            <w:pPr>
              <w:spacing w:after="0"/>
              <w:jc w:val="left"/>
              <w:rPr>
                <w:noProof/>
                <w:color w:val="000000"/>
                <w:szCs w:val="24"/>
              </w:rPr>
            </w:pPr>
            <w:r>
              <w:rPr>
                <w:noProof/>
                <w:color w:val="000000"/>
              </w:rPr>
              <w:t xml:space="preserve">Unitatea de coordonare a operațiunilor virtuale </w:t>
            </w:r>
          </w:p>
        </w:tc>
      </w:tr>
      <w:tr w:rsidR="00440F24" w:rsidRPr="00A9447A" w14:paraId="69465DB5" w14:textId="77777777" w:rsidTr="00A27EF6">
        <w:trPr>
          <w:trHeight w:val="315"/>
        </w:trPr>
        <w:tc>
          <w:tcPr>
            <w:tcW w:w="1400" w:type="dxa"/>
            <w:tcBorders>
              <w:top w:val="nil"/>
              <w:left w:val="nil"/>
              <w:bottom w:val="nil"/>
              <w:right w:val="nil"/>
            </w:tcBorders>
            <w:shd w:val="clear" w:color="auto" w:fill="auto"/>
            <w:noWrap/>
            <w:vAlign w:val="bottom"/>
            <w:hideMark/>
          </w:tcPr>
          <w:p w14:paraId="691B8BF5" w14:textId="77777777" w:rsidR="00440F24" w:rsidRPr="00A9447A" w:rsidRDefault="00440F24" w:rsidP="00A27EF6">
            <w:pPr>
              <w:spacing w:after="0"/>
              <w:jc w:val="left"/>
              <w:rPr>
                <w:noProof/>
                <w:color w:val="000000"/>
                <w:szCs w:val="24"/>
              </w:rPr>
            </w:pPr>
            <w:r>
              <w:rPr>
                <w:noProof/>
                <w:color w:val="000000"/>
              </w:rPr>
              <w:t>OMV</w:t>
            </w:r>
          </w:p>
        </w:tc>
        <w:tc>
          <w:tcPr>
            <w:tcW w:w="6964" w:type="dxa"/>
            <w:tcBorders>
              <w:top w:val="nil"/>
              <w:left w:val="nil"/>
              <w:bottom w:val="nil"/>
              <w:right w:val="nil"/>
            </w:tcBorders>
            <w:shd w:val="clear" w:color="auto" w:fill="auto"/>
            <w:noWrap/>
            <w:vAlign w:val="bottom"/>
            <w:hideMark/>
          </w:tcPr>
          <w:p w14:paraId="60D512FD" w14:textId="389DF73A" w:rsidR="00440F24" w:rsidRPr="00A9447A" w:rsidRDefault="00440F24" w:rsidP="00167262">
            <w:pPr>
              <w:spacing w:after="0"/>
              <w:jc w:val="left"/>
              <w:rPr>
                <w:noProof/>
                <w:color w:val="000000"/>
                <w:szCs w:val="24"/>
              </w:rPr>
            </w:pPr>
            <w:r>
              <w:rPr>
                <w:noProof/>
                <w:color w:val="000000"/>
              </w:rPr>
              <w:t>Organizația Mondială a Vămilor</w:t>
            </w:r>
          </w:p>
        </w:tc>
      </w:tr>
    </w:tbl>
    <w:p w14:paraId="4B85D4E0" w14:textId="77777777" w:rsidR="00440F24" w:rsidRPr="00261B88" w:rsidRDefault="00440F24">
      <w:pPr>
        <w:rPr>
          <w:b/>
          <w:noProof/>
        </w:rPr>
      </w:pPr>
    </w:p>
    <w:p w14:paraId="68447355" w14:textId="77777777" w:rsidR="00440F24" w:rsidRDefault="00440F24" w:rsidP="00440F24">
      <w:pPr>
        <w:rPr>
          <w:noProof/>
        </w:rPr>
      </w:pPr>
      <w:r>
        <w:rPr>
          <w:noProof/>
        </w:rPr>
        <w:br w:type="page"/>
      </w:r>
    </w:p>
    <w:p w14:paraId="25097B8B" w14:textId="77777777" w:rsidR="00190177" w:rsidRPr="00261B88" w:rsidRDefault="0048430C" w:rsidP="0048430C">
      <w:pPr>
        <w:pStyle w:val="Heading1"/>
        <w:rPr>
          <w:noProof/>
        </w:rPr>
      </w:pPr>
      <w:bookmarkStart w:id="3" w:name="_Toc116029499"/>
      <w:r w:rsidRPr="00261B88">
        <w:rPr>
          <w:noProof/>
        </w:rPr>
        <w:t>Introducere</w:t>
      </w:r>
      <w:bookmarkEnd w:id="3"/>
    </w:p>
    <w:p w14:paraId="77D53A0A" w14:textId="51BFEDC1" w:rsidR="0048430C" w:rsidRDefault="0048430C" w:rsidP="0048430C">
      <w:pPr>
        <w:rPr>
          <w:noProof/>
        </w:rPr>
      </w:pPr>
      <w:r>
        <w:rPr>
          <w:noProof/>
        </w:rPr>
        <w:t>UE și statele membre ale acesteia au responsabilitatea comună de a proteja interesele financiare ale Uniunii și de a combate frauda. Autoritățile statelor membre gestionează cea mai mare parte a cheltuielilor UE și colectează resursele proprii tradiționale (RPT). Comisia supraveghează ambele domenii, stabilește standarde și verifică respectarea acestora. În conformitate cu articolul </w:t>
      </w:r>
      <w:r w:rsidRPr="00D17A39">
        <w:rPr>
          <w:noProof/>
        </w:rPr>
        <w:t>325</w:t>
      </w:r>
      <w:r>
        <w:rPr>
          <w:noProof/>
        </w:rPr>
        <w:t xml:space="preserve"> alineatul (</w:t>
      </w:r>
      <w:r w:rsidRPr="00D17A39">
        <w:rPr>
          <w:noProof/>
        </w:rPr>
        <w:t>5</w:t>
      </w:r>
      <w:r>
        <w:rPr>
          <w:noProof/>
        </w:rPr>
        <w:t>) din Tratatul privind funcționarea Uniunii Europene (TFUE), Comisia, în cooperare cu statele membre, are obligația de a prezenta Parlamentului European și Consiliului un raport anual privind măsurile adoptate pentru combaterea fraudei și a oricăror alte activități ilegale care aduc atingere intereselor financiare ale UE („raportul PIF”</w:t>
      </w:r>
      <w:r>
        <w:rPr>
          <w:rStyle w:val="FootnoteReference"/>
          <w:noProof/>
        </w:rPr>
        <w:footnoteReference w:id="1"/>
      </w:r>
      <w:r>
        <w:rPr>
          <w:noProof/>
        </w:rPr>
        <w:t xml:space="preserve">). Pentru </w:t>
      </w:r>
      <w:r w:rsidRPr="00D17A39">
        <w:rPr>
          <w:noProof/>
        </w:rPr>
        <w:t>2021</w:t>
      </w:r>
      <w:r>
        <w:rPr>
          <w:noProof/>
        </w:rPr>
        <w:t>, prezentul raport și documentele care îl însoțesc îndeplinesc această obligație.</w:t>
      </w:r>
    </w:p>
    <w:p w14:paraId="4A209AD4" w14:textId="4BC00DA0" w:rsidR="0048430C" w:rsidRDefault="0048430C" w:rsidP="0048430C">
      <w:pPr>
        <w:rPr>
          <w:noProof/>
        </w:rPr>
      </w:pPr>
      <w:r>
        <w:rPr>
          <w:noProof/>
        </w:rPr>
        <w:t>Raportul PIF </w:t>
      </w:r>
      <w:r w:rsidRPr="00D17A39">
        <w:rPr>
          <w:noProof/>
        </w:rPr>
        <w:t>2021</w:t>
      </w:r>
      <w:r>
        <w:rPr>
          <w:noProof/>
        </w:rPr>
        <w:t xml:space="preserve"> cuprinde:</w:t>
      </w:r>
    </w:p>
    <w:p w14:paraId="3277A690" w14:textId="6783B7AA" w:rsidR="00FB11CB" w:rsidRDefault="00167262" w:rsidP="009701A5">
      <w:pPr>
        <w:pStyle w:val="ListNumber"/>
        <w:numPr>
          <w:ilvl w:val="0"/>
          <w:numId w:val="8"/>
        </w:numPr>
        <w:rPr>
          <w:noProof/>
        </w:rPr>
      </w:pPr>
      <w:r>
        <w:rPr>
          <w:noProof/>
        </w:rPr>
        <w:t>o prezentare generală a intereselor financiare ale UE, a principalelor acte juridice adoptate pentru protejarea acestora și a jurisprudenței relevante a Curții de Justiție;</w:t>
      </w:r>
    </w:p>
    <w:p w14:paraId="42C08EA6" w14:textId="4BCEDC0E" w:rsidR="00677134" w:rsidRDefault="00167262" w:rsidP="008A6DCE">
      <w:pPr>
        <w:pStyle w:val="ListNumber"/>
        <w:numPr>
          <w:ilvl w:val="0"/>
          <w:numId w:val="8"/>
        </w:numPr>
        <w:rPr>
          <w:noProof/>
        </w:rPr>
      </w:pPr>
      <w:r>
        <w:rPr>
          <w:noProof/>
        </w:rPr>
        <w:t>cele mai importante evoluții din domeniul luptei antifraudă din UE în ansamblu și din statele membre;</w:t>
      </w:r>
    </w:p>
    <w:p w14:paraId="702D4700" w14:textId="59DCDB1A" w:rsidR="00677134" w:rsidRDefault="00167262" w:rsidP="008A6DCE">
      <w:pPr>
        <w:pStyle w:val="ListNumber"/>
        <w:numPr>
          <w:ilvl w:val="0"/>
          <w:numId w:val="8"/>
        </w:numPr>
        <w:rPr>
          <w:noProof/>
        </w:rPr>
      </w:pPr>
      <w:r>
        <w:rPr>
          <w:noProof/>
        </w:rPr>
        <w:t>cooperarea antifraudă;</w:t>
      </w:r>
    </w:p>
    <w:p w14:paraId="1409BCE5" w14:textId="56C9C3E3" w:rsidR="00677134" w:rsidRDefault="00677134" w:rsidP="008A6DCE">
      <w:pPr>
        <w:pStyle w:val="ListNumber"/>
        <w:numPr>
          <w:ilvl w:val="0"/>
          <w:numId w:val="8"/>
        </w:numPr>
        <w:rPr>
          <w:noProof/>
        </w:rPr>
      </w:pPr>
      <w:r>
        <w:rPr>
          <w:noProof/>
        </w:rPr>
        <w:t>domeniile-cheie pentru protejarea consecventă și armonizată a intereselor financiare ale UE;</w:t>
      </w:r>
    </w:p>
    <w:p w14:paraId="54A05443" w14:textId="156CC172" w:rsidR="00677134" w:rsidRDefault="00167262" w:rsidP="008A6DCE">
      <w:pPr>
        <w:pStyle w:val="ListNumber"/>
        <w:numPr>
          <w:ilvl w:val="0"/>
          <w:numId w:val="8"/>
        </w:numPr>
        <w:rPr>
          <w:noProof/>
        </w:rPr>
      </w:pPr>
      <w:r>
        <w:rPr>
          <w:noProof/>
        </w:rPr>
        <w:t>statistici și date privind frauda și neregulile care afectează bugetul UE și analiza acestora;</w:t>
      </w:r>
    </w:p>
    <w:p w14:paraId="570AFCE3" w14:textId="12686D3D" w:rsidR="00677134" w:rsidRDefault="0010609B" w:rsidP="00FB11CB">
      <w:pPr>
        <w:pStyle w:val="ListNumber"/>
        <w:numPr>
          <w:ilvl w:val="0"/>
          <w:numId w:val="8"/>
        </w:numPr>
        <w:rPr>
          <w:noProof/>
        </w:rPr>
      </w:pPr>
      <w:r>
        <w:rPr>
          <w:noProof/>
        </w:rPr>
        <w:t xml:space="preserve">o perspectivă pentru </w:t>
      </w:r>
      <w:r w:rsidRPr="00D17A39">
        <w:rPr>
          <w:noProof/>
        </w:rPr>
        <w:t>2022</w:t>
      </w:r>
      <w:r>
        <w:rPr>
          <w:noProof/>
        </w:rPr>
        <w:t>, concluzii și recomandări.</w:t>
      </w:r>
    </w:p>
    <w:p w14:paraId="5B9470AC" w14:textId="77777777" w:rsidR="0048430C" w:rsidRPr="00261B88" w:rsidRDefault="000B4633" w:rsidP="0048430C">
      <w:pPr>
        <w:pStyle w:val="Heading2"/>
        <w:rPr>
          <w:noProof/>
        </w:rPr>
      </w:pPr>
      <w:bookmarkStart w:id="4" w:name="_Toc116029500"/>
      <w:r w:rsidRPr="00261B88">
        <w:rPr>
          <w:noProof/>
        </w:rPr>
        <w:t>Concepte-cheie</w:t>
      </w:r>
      <w:bookmarkEnd w:id="4"/>
    </w:p>
    <w:p w14:paraId="68B35903" w14:textId="77777777" w:rsidR="0048430C" w:rsidRDefault="000B4633" w:rsidP="0048430C">
      <w:pPr>
        <w:rPr>
          <w:noProof/>
        </w:rPr>
      </w:pPr>
      <w:r>
        <w:rPr>
          <w:noProof/>
        </w:rPr>
        <w:t xml:space="preserve">Cei mai importanți termeni utilizați în Raportul PIF sunt sintetizați în </w:t>
      </w:r>
      <w:r w:rsidRPr="00261B88">
        <w:rPr>
          <w:b/>
          <w:i/>
          <w:noProof/>
        </w:rPr>
        <w:t>caseta 1</w:t>
      </w:r>
      <w:r>
        <w:rPr>
          <w:noProof/>
        </w:rPr>
        <w:t xml:space="preserve">. </w:t>
      </w:r>
    </w:p>
    <w:p w14:paraId="436AC2D3" w14:textId="2C833D2B" w:rsidR="000B4633" w:rsidRPr="00261B88" w:rsidRDefault="000B4633" w:rsidP="00242925">
      <w:pPr>
        <w:pStyle w:val="Caption"/>
        <w:pBdr>
          <w:top w:val="single" w:sz="4" w:space="1" w:color="auto"/>
          <w:left w:val="single" w:sz="4" w:space="4" w:color="auto"/>
          <w:bottom w:val="single" w:sz="4" w:space="1" w:color="auto"/>
          <w:right w:val="single" w:sz="4" w:space="4" w:color="auto"/>
        </w:pBdr>
        <w:shd w:val="clear" w:color="auto" w:fill="E2EFD9" w:themeFill="accent6" w:themeFillTint="33"/>
        <w:rPr>
          <w:noProof/>
        </w:rPr>
      </w:pPr>
      <w:bookmarkStart w:id="5" w:name="_Toc106662322"/>
      <w:r w:rsidRPr="00261B88">
        <w:rPr>
          <w:noProof/>
        </w:rPr>
        <w:t xml:space="preserve">Caseta </w:t>
      </w:r>
      <w:r w:rsidR="00FD11F8">
        <w:rPr>
          <w:noProof/>
        </w:rPr>
        <w:fldChar w:fldCharType="begin"/>
      </w:r>
      <w:r w:rsidR="00FD11F8">
        <w:rPr>
          <w:noProof/>
        </w:rPr>
        <w:instrText xml:space="preserve"> SEQ Box \* ARABIC </w:instrText>
      </w:r>
      <w:r w:rsidR="00FD11F8">
        <w:rPr>
          <w:noProof/>
        </w:rPr>
        <w:fldChar w:fldCharType="separate"/>
      </w:r>
      <w:r w:rsidRPr="00261B88">
        <w:rPr>
          <w:noProof/>
        </w:rPr>
        <w:t>1</w:t>
      </w:r>
      <w:r w:rsidR="00FD11F8">
        <w:rPr>
          <w:noProof/>
        </w:rPr>
        <w:fldChar w:fldCharType="end"/>
      </w:r>
      <w:r w:rsidRPr="00261B88">
        <w:rPr>
          <w:noProof/>
        </w:rPr>
        <w:t>: Definițiile aplicabile</w:t>
      </w:r>
      <w:bookmarkEnd w:id="5"/>
    </w:p>
    <w:p w14:paraId="71C0E05B" w14:textId="53522CC0" w:rsidR="00131B72" w:rsidRPr="00131B72" w:rsidRDefault="00131B72" w:rsidP="00242925">
      <w:pPr>
        <w:pBdr>
          <w:top w:val="single" w:sz="4" w:space="1" w:color="auto"/>
          <w:left w:val="single" w:sz="4" w:space="4" w:color="auto"/>
          <w:bottom w:val="single" w:sz="4" w:space="1" w:color="auto"/>
          <w:right w:val="single" w:sz="4" w:space="4" w:color="auto"/>
        </w:pBdr>
        <w:shd w:val="clear" w:color="auto" w:fill="E2EFD9" w:themeFill="accent6" w:themeFillTint="33"/>
        <w:rPr>
          <w:noProof/>
        </w:rPr>
      </w:pPr>
      <w:r>
        <w:rPr>
          <w:noProof/>
        </w:rPr>
        <w:t xml:space="preserve">Pentru o descriere completă a </w:t>
      </w:r>
      <w:r w:rsidRPr="00261B88">
        <w:rPr>
          <w:b/>
          <w:noProof/>
        </w:rPr>
        <w:t>intereselor financiare ale UE</w:t>
      </w:r>
      <w:r>
        <w:rPr>
          <w:noProof/>
        </w:rPr>
        <w:t xml:space="preserve">, a se vedea </w:t>
      </w:r>
      <w:r w:rsidRPr="00261B88">
        <w:rPr>
          <w:b/>
          <w:noProof/>
        </w:rPr>
        <w:t>secțiunea 1.2</w:t>
      </w:r>
      <w:r>
        <w:rPr>
          <w:noProof/>
        </w:rPr>
        <w:t>.</w:t>
      </w:r>
    </w:p>
    <w:p w14:paraId="0F6BFCBF" w14:textId="6EDF647B" w:rsidR="000B4633" w:rsidRDefault="000B4633" w:rsidP="00242925">
      <w:pPr>
        <w:pBdr>
          <w:top w:val="single" w:sz="4" w:space="1" w:color="auto"/>
          <w:left w:val="single" w:sz="4" w:space="4" w:color="auto"/>
          <w:bottom w:val="single" w:sz="4" w:space="1" w:color="auto"/>
          <w:right w:val="single" w:sz="4" w:space="4" w:color="auto"/>
        </w:pBdr>
        <w:shd w:val="clear" w:color="auto" w:fill="E2EFD9" w:themeFill="accent6" w:themeFillTint="33"/>
        <w:rPr>
          <w:noProof/>
        </w:rPr>
      </w:pPr>
      <w:r w:rsidRPr="00261B88">
        <w:rPr>
          <w:b/>
          <w:noProof/>
        </w:rPr>
        <w:t xml:space="preserve">Neregulă </w:t>
      </w:r>
      <w:r>
        <w:rPr>
          <w:noProof/>
        </w:rPr>
        <w:t>înseamnă orice încălcare a dreptului Uniunii sau a dreptului național în legătură cu aplicarea sa care rezultă dintr-un act sau dintr-o omisiune a unui operator economic, care are sau ar putea avea ca efect un prejudiciu la adresa bugetului Uniunii, fie prin diminuarea sau pierderea veniturilor acumulate din resurse proprii, colectate direct în numele Uniunii, fie prin imputarea unei cheltuieli necorespunzătoare bugetului Uniunii</w:t>
      </w:r>
      <w:r>
        <w:rPr>
          <w:rStyle w:val="FootnoteReference"/>
          <w:noProof/>
        </w:rPr>
        <w:footnoteReference w:id="2"/>
      </w:r>
      <w:r>
        <w:rPr>
          <w:noProof/>
        </w:rPr>
        <w:t>.</w:t>
      </w:r>
    </w:p>
    <w:p w14:paraId="3CCBDE43" w14:textId="0B1EBFBE" w:rsidR="00DF51DB" w:rsidRDefault="00131B72" w:rsidP="00242925">
      <w:pPr>
        <w:pBdr>
          <w:top w:val="single" w:sz="4" w:space="1" w:color="auto"/>
          <w:left w:val="single" w:sz="4" w:space="4" w:color="auto"/>
          <w:bottom w:val="single" w:sz="4" w:space="1" w:color="auto"/>
          <w:right w:val="single" w:sz="4" w:space="4" w:color="auto"/>
        </w:pBdr>
        <w:shd w:val="clear" w:color="auto" w:fill="E2EFD9" w:themeFill="accent6" w:themeFillTint="33"/>
        <w:rPr>
          <w:noProof/>
        </w:rPr>
      </w:pPr>
      <w:r>
        <w:rPr>
          <w:noProof/>
        </w:rPr>
        <w:t>În urma adoptării Directivei (UE) </w:t>
      </w:r>
      <w:r w:rsidRPr="00D17A39">
        <w:rPr>
          <w:noProof/>
        </w:rPr>
        <w:t>2017</w:t>
      </w:r>
      <w:r>
        <w:rPr>
          <w:noProof/>
        </w:rPr>
        <w:t>/</w:t>
      </w:r>
      <w:r w:rsidRPr="00D17A39">
        <w:rPr>
          <w:noProof/>
        </w:rPr>
        <w:t>1371</w:t>
      </w:r>
      <w:r>
        <w:rPr>
          <w:noProof/>
        </w:rPr>
        <w:t xml:space="preserve"> („Directiva PIF”), orice acțiune sau inacțiune intenționată care aduce atingere intereselor financiare ale UE, inclusiv utilizarea sau prezentarea de declarații sau documente false, incorecte sau incomplete sau nedivulgarea de informații în pofida unei obligații specifice în acest sens sau utilizarea necorespunzătoare a fondurilor sau a beneficiilor constituie </w:t>
      </w:r>
      <w:r w:rsidRPr="00261B88">
        <w:rPr>
          <w:b/>
          <w:noProof/>
        </w:rPr>
        <w:t>fraudă</w:t>
      </w:r>
      <w:r>
        <w:rPr>
          <w:noProof/>
        </w:rPr>
        <w:t>.</w:t>
      </w:r>
      <w:r w:rsidRPr="00261B88">
        <w:rPr>
          <w:b/>
          <w:noProof/>
        </w:rPr>
        <w:t xml:space="preserve"> </w:t>
      </w:r>
      <w:r>
        <w:rPr>
          <w:noProof/>
        </w:rPr>
        <w:t>Directiva PIF face, de asemenea, distincție între frauda în legătură cu:</w:t>
      </w:r>
    </w:p>
    <w:p w14:paraId="741A96FD" w14:textId="35AE95A5" w:rsidR="00DF51DB" w:rsidRDefault="0045480B" w:rsidP="00242925">
      <w:pPr>
        <w:pStyle w:val="ListNumber"/>
        <w:pBdr>
          <w:top w:val="single" w:sz="4" w:space="1" w:color="auto"/>
          <w:left w:val="single" w:sz="4" w:space="4" w:color="auto"/>
          <w:bottom w:val="single" w:sz="4" w:space="1" w:color="auto"/>
          <w:right w:val="single" w:sz="4" w:space="4" w:color="auto"/>
        </w:pBdr>
        <w:shd w:val="clear" w:color="auto" w:fill="E2EFD9" w:themeFill="accent6" w:themeFillTint="33"/>
        <w:rPr>
          <w:noProof/>
        </w:rPr>
      </w:pPr>
      <w:r>
        <w:rPr>
          <w:noProof/>
        </w:rPr>
        <w:t>cheltuielile care nu sunt aferente achizițiilor;</w:t>
      </w:r>
    </w:p>
    <w:p w14:paraId="3B1F6245" w14:textId="05AFA892" w:rsidR="00DF51DB" w:rsidRDefault="0045480B" w:rsidP="00242925">
      <w:pPr>
        <w:pStyle w:val="ListNumber"/>
        <w:pBdr>
          <w:top w:val="single" w:sz="4" w:space="1" w:color="auto"/>
          <w:left w:val="single" w:sz="4" w:space="4" w:color="auto"/>
          <w:bottom w:val="single" w:sz="4" w:space="1" w:color="auto"/>
          <w:right w:val="single" w:sz="4" w:space="4" w:color="auto"/>
        </w:pBdr>
        <w:shd w:val="clear" w:color="auto" w:fill="E2EFD9" w:themeFill="accent6" w:themeFillTint="33"/>
        <w:rPr>
          <w:noProof/>
        </w:rPr>
      </w:pPr>
      <w:r>
        <w:rPr>
          <w:noProof/>
        </w:rPr>
        <w:t>cheltuielile aferente achizițiilor;</w:t>
      </w:r>
    </w:p>
    <w:p w14:paraId="3E09BC5F" w14:textId="3EE2A369" w:rsidR="00DF51DB" w:rsidRDefault="0045480B" w:rsidP="00242925">
      <w:pPr>
        <w:pStyle w:val="ListNumber"/>
        <w:pBdr>
          <w:top w:val="single" w:sz="4" w:space="1" w:color="auto"/>
          <w:left w:val="single" w:sz="4" w:space="4" w:color="auto"/>
          <w:bottom w:val="single" w:sz="4" w:space="1" w:color="auto"/>
          <w:right w:val="single" w:sz="4" w:space="4" w:color="auto"/>
        </w:pBdr>
        <w:shd w:val="clear" w:color="auto" w:fill="E2EFD9" w:themeFill="accent6" w:themeFillTint="33"/>
        <w:rPr>
          <w:noProof/>
        </w:rPr>
      </w:pPr>
      <w:r>
        <w:rPr>
          <w:noProof/>
        </w:rPr>
        <w:t>alte venituri decât cele obținute din propriile resurse de TVA;</w:t>
      </w:r>
    </w:p>
    <w:p w14:paraId="168C510C" w14:textId="17A3B9BB" w:rsidR="00DF51DB" w:rsidRDefault="0045480B" w:rsidP="00242925">
      <w:pPr>
        <w:pStyle w:val="ListNumber"/>
        <w:pBdr>
          <w:top w:val="single" w:sz="4" w:space="1" w:color="auto"/>
          <w:left w:val="single" w:sz="4" w:space="4" w:color="auto"/>
          <w:bottom w:val="single" w:sz="4" w:space="1" w:color="auto"/>
          <w:right w:val="single" w:sz="4" w:space="4" w:color="auto"/>
        </w:pBdr>
        <w:shd w:val="clear" w:color="auto" w:fill="E2EFD9" w:themeFill="accent6" w:themeFillTint="33"/>
        <w:rPr>
          <w:noProof/>
        </w:rPr>
      </w:pPr>
      <w:r>
        <w:rPr>
          <w:noProof/>
        </w:rPr>
        <w:t>veniturile provenite din propriile resurse de TVA.</w:t>
      </w:r>
    </w:p>
    <w:p w14:paraId="200DE63E" w14:textId="389C9869" w:rsidR="00292801" w:rsidRDefault="00292801" w:rsidP="00242925">
      <w:pPr>
        <w:pBdr>
          <w:top w:val="single" w:sz="4" w:space="1" w:color="auto"/>
          <w:left w:val="single" w:sz="4" w:space="4" w:color="auto"/>
          <w:bottom w:val="single" w:sz="4" w:space="1" w:color="auto"/>
          <w:right w:val="single" w:sz="4" w:space="4" w:color="auto"/>
        </w:pBdr>
        <w:shd w:val="clear" w:color="auto" w:fill="E2EFD9" w:themeFill="accent6" w:themeFillTint="33"/>
        <w:rPr>
          <w:noProof/>
        </w:rPr>
      </w:pPr>
      <w:r>
        <w:rPr>
          <w:noProof/>
        </w:rPr>
        <w:t xml:space="preserve">Regulamentele sectoriale privind raportarea neregulilor în cadrul gestiunii partajate introduc conceptul de </w:t>
      </w:r>
      <w:r w:rsidRPr="00261B88">
        <w:rPr>
          <w:b/>
          <w:noProof/>
        </w:rPr>
        <w:t>suspiciune de fraudă</w:t>
      </w:r>
      <w:r>
        <w:rPr>
          <w:noProof/>
        </w:rPr>
        <w:t>, definit ca „o neregulă care determină inițierea unei proceduri administrative sau judiciare la nivel național în vederea stabilirii existenței unui comportament intenționat, în special a unei fraude”</w:t>
      </w:r>
      <w:r>
        <w:rPr>
          <w:rStyle w:val="FootnoteReference"/>
          <w:noProof/>
        </w:rPr>
        <w:footnoteReference w:id="3"/>
      </w:r>
      <w:r>
        <w:rPr>
          <w:noProof/>
        </w:rPr>
        <w:t>.</w:t>
      </w:r>
    </w:p>
    <w:p w14:paraId="5046AACB" w14:textId="6A8FD6AC" w:rsidR="00B7631B" w:rsidRDefault="0045480B" w:rsidP="00242925">
      <w:pPr>
        <w:pBdr>
          <w:top w:val="single" w:sz="4" w:space="1" w:color="auto"/>
          <w:left w:val="single" w:sz="4" w:space="4" w:color="auto"/>
          <w:bottom w:val="single" w:sz="4" w:space="1" w:color="auto"/>
          <w:right w:val="single" w:sz="4" w:space="4" w:color="auto"/>
        </w:pBdr>
        <w:shd w:val="clear" w:color="auto" w:fill="E2EFD9" w:themeFill="accent6" w:themeFillTint="33"/>
        <w:rPr>
          <w:noProof/>
        </w:rPr>
      </w:pPr>
      <w:r>
        <w:rPr>
          <w:noProof/>
        </w:rPr>
        <w:t xml:space="preserve">Frauda este considerată </w:t>
      </w:r>
      <w:r w:rsidRPr="00261B88">
        <w:rPr>
          <w:b/>
          <w:noProof/>
        </w:rPr>
        <w:t>fraudă constatată</w:t>
      </w:r>
      <w:r>
        <w:rPr>
          <w:noProof/>
        </w:rPr>
        <w:t xml:space="preserve"> odată ce un organism competent a luat o decizie definitivă (judiciară sau administrativă) prin care se stabilește existența unui comportament intenționat.</w:t>
      </w:r>
    </w:p>
    <w:p w14:paraId="42131885" w14:textId="59FD743C" w:rsidR="00B7631B" w:rsidRPr="00B7631B" w:rsidRDefault="0045480B" w:rsidP="00242925">
      <w:pPr>
        <w:pBdr>
          <w:top w:val="single" w:sz="4" w:space="1" w:color="auto"/>
          <w:left w:val="single" w:sz="4" w:space="4" w:color="auto"/>
          <w:bottom w:val="single" w:sz="4" w:space="1" w:color="auto"/>
          <w:right w:val="single" w:sz="4" w:space="4" w:color="auto"/>
        </w:pBdr>
        <w:shd w:val="clear" w:color="auto" w:fill="E2EFD9" w:themeFill="accent6" w:themeFillTint="33"/>
        <w:rPr>
          <w:noProof/>
        </w:rPr>
      </w:pPr>
      <w:r w:rsidRPr="00261B88">
        <w:rPr>
          <w:b/>
          <w:noProof/>
        </w:rPr>
        <w:t xml:space="preserve">Caseta 2 </w:t>
      </w:r>
      <w:r>
        <w:rPr>
          <w:noProof/>
        </w:rPr>
        <w:t xml:space="preserve">explică modul în care sunt utilizate conceptele de </w:t>
      </w:r>
      <w:r w:rsidRPr="00261B88">
        <w:rPr>
          <w:b/>
          <w:noProof/>
        </w:rPr>
        <w:t>suspiciune de fraudă</w:t>
      </w:r>
      <w:r>
        <w:rPr>
          <w:noProof/>
        </w:rPr>
        <w:t xml:space="preserve"> și </w:t>
      </w:r>
      <w:r w:rsidRPr="00261B88">
        <w:rPr>
          <w:b/>
          <w:noProof/>
        </w:rPr>
        <w:t>fraudă constatată</w:t>
      </w:r>
      <w:r>
        <w:rPr>
          <w:noProof/>
        </w:rPr>
        <w:t xml:space="preserve"> în legătură cu statisticile publicate în prezentul raport.</w:t>
      </w:r>
      <w:r w:rsidRPr="00261B88">
        <w:rPr>
          <w:b/>
          <w:noProof/>
        </w:rPr>
        <w:t xml:space="preserve"> </w:t>
      </w:r>
    </w:p>
    <w:p w14:paraId="71A079EF" w14:textId="6B610872" w:rsidR="00131B72" w:rsidRDefault="00DF51DB" w:rsidP="00242925">
      <w:pPr>
        <w:pBdr>
          <w:top w:val="single" w:sz="4" w:space="1" w:color="auto"/>
          <w:left w:val="single" w:sz="4" w:space="4" w:color="auto"/>
          <w:bottom w:val="single" w:sz="4" w:space="1" w:color="auto"/>
          <w:right w:val="single" w:sz="4" w:space="4" w:color="auto"/>
        </w:pBdr>
        <w:shd w:val="clear" w:color="auto" w:fill="E2EFD9" w:themeFill="accent6" w:themeFillTint="33"/>
        <w:rPr>
          <w:noProof/>
        </w:rPr>
      </w:pPr>
      <w:r w:rsidRPr="00261B88">
        <w:rPr>
          <w:b/>
          <w:noProof/>
        </w:rPr>
        <w:t xml:space="preserve">Corupția </w:t>
      </w:r>
      <w:r>
        <w:rPr>
          <w:noProof/>
        </w:rPr>
        <w:t>se referă la orice abuz de putere din partea unui funcționar public în scopul obținerii unor foloase în beneficiul propriu, care are ca efect prejudicierea intereselor financiare ale UE.</w:t>
      </w:r>
    </w:p>
    <w:p w14:paraId="3472BAF0" w14:textId="77777777" w:rsidR="0048430C" w:rsidRPr="00261B88" w:rsidRDefault="0048430C" w:rsidP="0048430C">
      <w:pPr>
        <w:pStyle w:val="Heading2"/>
        <w:rPr>
          <w:noProof/>
        </w:rPr>
      </w:pPr>
      <w:bookmarkStart w:id="6" w:name="_Toc116029501"/>
      <w:r w:rsidRPr="00261B88">
        <w:rPr>
          <w:noProof/>
        </w:rPr>
        <w:t>Interesele financiare ale UE în 2021</w:t>
      </w:r>
      <w:bookmarkEnd w:id="6"/>
    </w:p>
    <w:p w14:paraId="307A5F6E" w14:textId="72FEF053" w:rsidR="00DC489A" w:rsidRDefault="00DC489A" w:rsidP="00DC489A">
      <w:pPr>
        <w:rPr>
          <w:noProof/>
        </w:rPr>
      </w:pPr>
      <w:r>
        <w:rPr>
          <w:noProof/>
        </w:rPr>
        <w:t>Interesele financiare ale UE includ veniturile, cheltuielile și activele cuprinse în bugetul UE, precum și pe cele cuprinse în bugetele instituțiilor, organelor, oficiilor și agențiilor UE și în bugetele pe care acestea le gestionează și le monitorizează</w:t>
      </w:r>
      <w:r>
        <w:rPr>
          <w:rStyle w:val="FootnoteReference"/>
          <w:noProof/>
        </w:rPr>
        <w:footnoteReference w:id="4"/>
      </w:r>
      <w:r>
        <w:rPr>
          <w:noProof/>
        </w:rPr>
        <w:t>.</w:t>
      </w:r>
    </w:p>
    <w:p w14:paraId="61ABDB6C" w14:textId="5D314D6C" w:rsidR="0048430C" w:rsidRDefault="00DC489A" w:rsidP="00DC489A">
      <w:pPr>
        <w:rPr>
          <w:noProof/>
        </w:rPr>
      </w:pPr>
      <w:r>
        <w:rPr>
          <w:noProof/>
        </w:rPr>
        <w:t>Partea de venituri a bugetului este formată din resursele proprii tradiționale (RPT)</w:t>
      </w:r>
      <w:r>
        <w:rPr>
          <w:rStyle w:val="FootnoteReference"/>
          <w:noProof/>
        </w:rPr>
        <w:footnoteReference w:id="5"/>
      </w:r>
      <w:r>
        <w:rPr>
          <w:noProof/>
        </w:rPr>
        <w:t>, taxa pe valoarea adăugată, resursa proprie bazată pe deșeurile de ambalaje din plastic și o parte din venitul național brut al statelor membre.</w:t>
      </w:r>
    </w:p>
    <w:p w14:paraId="190D9D9F" w14:textId="77777777" w:rsidR="00DC489A" w:rsidRPr="00DC489A" w:rsidRDefault="00DC489A" w:rsidP="00DC489A">
      <w:pPr>
        <w:rPr>
          <w:noProof/>
        </w:rPr>
      </w:pPr>
      <w:r w:rsidRPr="00261B88">
        <w:rPr>
          <w:b/>
          <w:noProof/>
        </w:rPr>
        <w:t>Figura 1</w:t>
      </w:r>
      <w:r>
        <w:rPr>
          <w:noProof/>
        </w:rPr>
        <w:t xml:space="preserve"> prezintă resursele de care dispune UE în </w:t>
      </w:r>
      <w:r w:rsidRPr="00D17A39">
        <w:rPr>
          <w:noProof/>
        </w:rPr>
        <w:t>2021</w:t>
      </w:r>
      <w:r>
        <w:rPr>
          <w:noProof/>
        </w:rPr>
        <w:t>.</w:t>
      </w:r>
    </w:p>
    <w:p w14:paraId="3A649901" w14:textId="5DD46608" w:rsidR="00DC489A" w:rsidRPr="00261B88" w:rsidRDefault="00DC489A" w:rsidP="00DC489A">
      <w:pPr>
        <w:pStyle w:val="Caption"/>
        <w:keepNext/>
        <w:rPr>
          <w:noProof/>
        </w:rPr>
      </w:pPr>
      <w:r w:rsidRPr="00261B88">
        <w:rPr>
          <w:noProof/>
        </w:rPr>
        <w:t>Figura </w:t>
      </w:r>
      <w:r w:rsidR="00FD11F8">
        <w:rPr>
          <w:noProof/>
        </w:rPr>
        <w:fldChar w:fldCharType="begin"/>
      </w:r>
      <w:r w:rsidR="00FD11F8">
        <w:rPr>
          <w:noProof/>
        </w:rPr>
        <w:instrText xml:space="preserve"> SEQ Figure \* ARABIC </w:instrText>
      </w:r>
      <w:r w:rsidR="00FD11F8">
        <w:rPr>
          <w:noProof/>
        </w:rPr>
        <w:fldChar w:fldCharType="separate"/>
      </w:r>
      <w:r w:rsidRPr="00261B88">
        <w:rPr>
          <w:noProof/>
        </w:rPr>
        <w:t>1</w:t>
      </w:r>
      <w:r w:rsidR="00FD11F8">
        <w:rPr>
          <w:noProof/>
        </w:rPr>
        <w:fldChar w:fldCharType="end"/>
      </w:r>
      <w:r w:rsidRPr="00261B88">
        <w:rPr>
          <w:noProof/>
        </w:rPr>
        <w:t> – Veniturile UE în 2021</w:t>
      </w:r>
    </w:p>
    <w:p w14:paraId="404E96B4" w14:textId="6F42D660" w:rsidR="00DC489A" w:rsidRDefault="0065052A" w:rsidP="00DC489A">
      <w:pPr>
        <w:rPr>
          <w:noProof/>
        </w:rPr>
      </w:pPr>
      <w:r w:rsidRPr="0065052A">
        <w:rPr>
          <w:noProof/>
          <w:lang w:val="en-GB"/>
        </w:rPr>
        <w:drawing>
          <wp:inline distT="0" distB="0" distL="0" distR="0" wp14:anchorId="72272618" wp14:editId="4E0CC40B">
            <wp:extent cx="5472430" cy="35509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72430" cy="3550920"/>
                    </a:xfrm>
                    <a:prstGeom prst="rect">
                      <a:avLst/>
                    </a:prstGeom>
                  </pic:spPr>
                </pic:pic>
              </a:graphicData>
            </a:graphic>
          </wp:inline>
        </w:drawing>
      </w:r>
    </w:p>
    <w:p w14:paraId="21F83AFA" w14:textId="47741DB9" w:rsidR="00623B82" w:rsidRDefault="000A2ED7" w:rsidP="00DC489A">
      <w:pPr>
        <w:rPr>
          <w:noProof/>
        </w:rPr>
      </w:pPr>
      <w:r>
        <w:rPr>
          <w:noProof/>
        </w:rPr>
        <w:t xml:space="preserve">UE își finanțează politicile utilizând aceste resurse (a se vedea </w:t>
      </w:r>
      <w:r w:rsidRPr="00261B88">
        <w:rPr>
          <w:b/>
          <w:noProof/>
        </w:rPr>
        <w:t>Figura 2</w:t>
      </w:r>
      <w:r>
        <w:rPr>
          <w:noProof/>
        </w:rPr>
        <w:t>).</w:t>
      </w:r>
    </w:p>
    <w:p w14:paraId="4AFB5C84" w14:textId="18FAA921" w:rsidR="00623B82" w:rsidRPr="00261B88" w:rsidRDefault="00623B82" w:rsidP="00623B82">
      <w:pPr>
        <w:pStyle w:val="Caption"/>
        <w:keepNext/>
        <w:rPr>
          <w:noProof/>
        </w:rPr>
      </w:pPr>
      <w:r w:rsidRPr="00261B88">
        <w:rPr>
          <w:noProof/>
        </w:rPr>
        <w:t>Figura </w:t>
      </w:r>
      <w:r w:rsidR="00FD11F8">
        <w:rPr>
          <w:noProof/>
        </w:rPr>
        <w:fldChar w:fldCharType="begin"/>
      </w:r>
      <w:r w:rsidR="00FD11F8">
        <w:rPr>
          <w:noProof/>
        </w:rPr>
        <w:instrText xml:space="preserve"> SEQ Figure \* ARABIC </w:instrText>
      </w:r>
      <w:r w:rsidR="00FD11F8">
        <w:rPr>
          <w:noProof/>
        </w:rPr>
        <w:fldChar w:fldCharType="separate"/>
      </w:r>
      <w:r w:rsidRPr="00261B88">
        <w:rPr>
          <w:noProof/>
        </w:rPr>
        <w:t>2</w:t>
      </w:r>
      <w:r w:rsidR="00FD11F8">
        <w:rPr>
          <w:noProof/>
        </w:rPr>
        <w:fldChar w:fldCharType="end"/>
      </w:r>
      <w:r w:rsidRPr="00261B88">
        <w:rPr>
          <w:noProof/>
        </w:rPr>
        <w:t> – Cheltuielile UE în 2021</w:t>
      </w:r>
    </w:p>
    <w:p w14:paraId="281909AC" w14:textId="3103590A" w:rsidR="00623B82" w:rsidRDefault="0065052A" w:rsidP="00623B82">
      <w:pPr>
        <w:rPr>
          <w:noProof/>
        </w:rPr>
      </w:pPr>
      <w:r w:rsidRPr="0065052A">
        <w:rPr>
          <w:noProof/>
          <w:lang w:val="en-GB"/>
        </w:rPr>
        <w:drawing>
          <wp:inline distT="0" distB="0" distL="0" distR="0" wp14:anchorId="687BAED8" wp14:editId="354A6312">
            <wp:extent cx="5472430" cy="355536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472430" cy="3555365"/>
                    </a:xfrm>
                    <a:prstGeom prst="rect">
                      <a:avLst/>
                    </a:prstGeom>
                  </pic:spPr>
                </pic:pic>
              </a:graphicData>
            </a:graphic>
          </wp:inline>
        </w:drawing>
      </w:r>
    </w:p>
    <w:p w14:paraId="6394DD87" w14:textId="76E50EFC" w:rsidR="00623B82" w:rsidRPr="00623B82" w:rsidRDefault="00623B82" w:rsidP="00623B82">
      <w:pPr>
        <w:rPr>
          <w:noProof/>
        </w:rPr>
      </w:pPr>
      <w:r>
        <w:rPr>
          <w:noProof/>
        </w:rPr>
        <w:t>Deși bugetul este executat anual</w:t>
      </w:r>
      <w:r>
        <w:rPr>
          <w:rStyle w:val="FootnoteReference"/>
          <w:noProof/>
        </w:rPr>
        <w:footnoteReference w:id="6"/>
      </w:r>
      <w:r>
        <w:rPr>
          <w:noProof/>
        </w:rPr>
        <w:t>, acesta face parte din bugetul pe termen lung al UE, cadrul financiar multianual (CFM), care prevede limitele pentru cheltuieli pe o perioadă de șapte ani.</w:t>
      </w:r>
    </w:p>
    <w:p w14:paraId="61038046" w14:textId="77777777" w:rsidR="0048430C" w:rsidRPr="00261B88" w:rsidRDefault="0048430C" w:rsidP="0048430C">
      <w:pPr>
        <w:pStyle w:val="Heading1"/>
        <w:rPr>
          <w:noProof/>
        </w:rPr>
      </w:pPr>
      <w:bookmarkStart w:id="7" w:name="_Toc116029502"/>
      <w:r w:rsidRPr="00261B88">
        <w:rPr>
          <w:noProof/>
        </w:rPr>
        <w:t>Momente importante în 2021</w:t>
      </w:r>
      <w:bookmarkEnd w:id="7"/>
    </w:p>
    <w:p w14:paraId="5E5CDD69" w14:textId="1D8C1B2A" w:rsidR="0048430C" w:rsidRDefault="00FD4ACD" w:rsidP="0048430C">
      <w:pPr>
        <w:rPr>
          <w:noProof/>
        </w:rPr>
      </w:pPr>
      <w:r>
        <w:rPr>
          <w:noProof/>
        </w:rPr>
        <w:t xml:space="preserve">Prezenta secțiune rezumă principalele acte adoptate și jurisprudența Curții de Justiție a Uniunii Europene în materie de PIF în </w:t>
      </w:r>
      <w:r w:rsidRPr="00D17A39">
        <w:rPr>
          <w:noProof/>
        </w:rPr>
        <w:t>2021</w:t>
      </w:r>
      <w:r>
        <w:rPr>
          <w:noProof/>
        </w:rPr>
        <w:t>.</w:t>
      </w:r>
    </w:p>
    <w:p w14:paraId="2BA6F923" w14:textId="77777777" w:rsidR="0048430C" w:rsidRPr="00261B88" w:rsidRDefault="00FE789E" w:rsidP="00FE789E">
      <w:pPr>
        <w:pStyle w:val="Heading2"/>
        <w:rPr>
          <w:noProof/>
        </w:rPr>
      </w:pPr>
      <w:bookmarkStart w:id="8" w:name="_Toc116029503"/>
      <w:r w:rsidRPr="00261B88">
        <w:rPr>
          <w:noProof/>
        </w:rPr>
        <w:t>Principalele acte adoptate</w:t>
      </w:r>
      <w:bookmarkEnd w:id="8"/>
    </w:p>
    <w:p w14:paraId="3FB06E16" w14:textId="765CFB5A" w:rsidR="00A83949" w:rsidRDefault="00A83949" w:rsidP="00FE789E">
      <w:pPr>
        <w:rPr>
          <w:noProof/>
        </w:rPr>
      </w:pPr>
      <w:r w:rsidRPr="00261B88">
        <w:rPr>
          <w:b/>
          <w:noProof/>
        </w:rPr>
        <w:t>Tabelul 1</w:t>
      </w:r>
      <w:r>
        <w:rPr>
          <w:noProof/>
        </w:rPr>
        <w:t xml:space="preserve"> prezintă principalele acte legislative adoptate în </w:t>
      </w:r>
      <w:r w:rsidRPr="00D17A39">
        <w:rPr>
          <w:noProof/>
        </w:rPr>
        <w:t>2021</w:t>
      </w:r>
      <w:r>
        <w:rPr>
          <w:noProof/>
        </w:rPr>
        <w:t xml:space="preserve">. În cursul acestui an, au fost adoptate o gamă largă de regulamente privind programele de cheltuieli pentru perioada </w:t>
      </w:r>
      <w:r w:rsidRPr="00D17A39">
        <w:rPr>
          <w:noProof/>
        </w:rPr>
        <w:t>2021</w:t>
      </w:r>
      <w:r w:rsidR="00D17A39">
        <w:rPr>
          <w:rFonts w:ascii="Arial" w:hAnsi="Arial" w:cs="Arial"/>
          <w:noProof/>
        </w:rPr>
        <w:t>˗</w:t>
      </w:r>
      <w:r w:rsidRPr="00D17A39">
        <w:rPr>
          <w:noProof/>
        </w:rPr>
        <w:t>2027</w:t>
      </w:r>
      <w:r>
        <w:rPr>
          <w:noProof/>
        </w:rPr>
        <w:t xml:space="preserve">. Ele conțin dispoziții specifice care reiterează competența Oficiului European de Luptă Antifraudă (OLAF) și a Parchetului European (EPPO) de a proteja interesele financiare ale UE și impun țărilor terțe care participă la programe să acorde Comisiei, OLAF și Curții de Conturi Europene (CCE) drepturile și accesul necesare pentru a-și exercita pe deplin competențele care le revin. </w:t>
      </w:r>
    </w:p>
    <w:p w14:paraId="77BE926F" w14:textId="18C3046B" w:rsidR="009701A5" w:rsidRDefault="009701A5" w:rsidP="00FE789E">
      <w:pPr>
        <w:rPr>
          <w:noProof/>
        </w:rPr>
      </w:pPr>
      <w:r>
        <w:rPr>
          <w:noProof/>
        </w:rPr>
        <w:t>Trimiterea la aceste regulamente nu a fost introdusă în tabel.</w:t>
      </w:r>
    </w:p>
    <w:p w14:paraId="6E7C0892" w14:textId="421AA327" w:rsidR="00A83949" w:rsidRPr="00261B88" w:rsidRDefault="00A83949" w:rsidP="008A6DCE">
      <w:pPr>
        <w:pStyle w:val="Caption"/>
        <w:rPr>
          <w:noProof/>
        </w:rPr>
      </w:pPr>
      <w:bookmarkStart w:id="9" w:name="_Toc106662325"/>
      <w:r w:rsidRPr="00261B88">
        <w:rPr>
          <w:noProof/>
        </w:rPr>
        <w:t>Tabelul </w:t>
      </w:r>
      <w:r w:rsidR="00FD11F8">
        <w:rPr>
          <w:noProof/>
        </w:rPr>
        <w:fldChar w:fldCharType="begin"/>
      </w:r>
      <w:r w:rsidR="00FD11F8">
        <w:rPr>
          <w:noProof/>
        </w:rPr>
        <w:instrText xml:space="preserve"> SEQ Table \* ARABIC </w:instrText>
      </w:r>
      <w:r w:rsidR="00FD11F8">
        <w:rPr>
          <w:noProof/>
        </w:rPr>
        <w:fldChar w:fldCharType="separate"/>
      </w:r>
      <w:r w:rsidRPr="00261B88">
        <w:rPr>
          <w:noProof/>
        </w:rPr>
        <w:t>1</w:t>
      </w:r>
      <w:r w:rsidR="00FD11F8">
        <w:rPr>
          <w:noProof/>
        </w:rPr>
        <w:fldChar w:fldCharType="end"/>
      </w:r>
      <w:r w:rsidRPr="00261B88">
        <w:rPr>
          <w:noProof/>
        </w:rPr>
        <w:t> – Principalele acte adoptate</w:t>
      </w:r>
      <w:bookmarkEnd w:id="9"/>
    </w:p>
    <w:tbl>
      <w:tblPr>
        <w:tblStyle w:val="GridTable4-Accent5"/>
        <w:tblW w:w="0" w:type="auto"/>
        <w:tblLook w:val="04A0" w:firstRow="1" w:lastRow="0" w:firstColumn="1" w:lastColumn="0" w:noHBand="0" w:noVBand="1"/>
      </w:tblPr>
      <w:tblGrid>
        <w:gridCol w:w="4219"/>
        <w:gridCol w:w="4536"/>
      </w:tblGrid>
      <w:tr w:rsidR="00A83949" w:rsidRPr="00064746" w14:paraId="114D8A86" w14:textId="77777777" w:rsidTr="002B1B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Pr>
          <w:p w14:paraId="2761CD4A" w14:textId="77777777" w:rsidR="00A83949" w:rsidRPr="002F6819" w:rsidRDefault="00A83949" w:rsidP="002B1B19">
            <w:pPr>
              <w:tabs>
                <w:tab w:val="left" w:pos="898"/>
              </w:tabs>
              <w:rPr>
                <w:noProof/>
                <w:sz w:val="20"/>
                <w:szCs w:val="24"/>
              </w:rPr>
            </w:pPr>
            <w:r w:rsidRPr="00261B88">
              <w:rPr>
                <w:noProof/>
                <w:sz w:val="20"/>
              </w:rPr>
              <w:t>Titlul</w:t>
            </w:r>
          </w:p>
        </w:tc>
        <w:tc>
          <w:tcPr>
            <w:tcW w:w="4536" w:type="dxa"/>
          </w:tcPr>
          <w:p w14:paraId="6E0D5A49" w14:textId="541F5EBE" w:rsidR="00A83949" w:rsidRPr="00261B88" w:rsidRDefault="00A83949" w:rsidP="0045480B">
            <w:pPr>
              <w:tabs>
                <w:tab w:val="left" w:pos="898"/>
              </w:tabs>
              <w:cnfStyle w:val="100000000000" w:firstRow="1" w:lastRow="0" w:firstColumn="0" w:lastColumn="0" w:oddVBand="0" w:evenVBand="0" w:oddHBand="0" w:evenHBand="0" w:firstRowFirstColumn="0" w:firstRowLastColumn="0" w:lastRowFirstColumn="0" w:lastRowLastColumn="0"/>
              <w:rPr>
                <w:noProof/>
                <w:sz w:val="20"/>
                <w:szCs w:val="24"/>
              </w:rPr>
            </w:pPr>
            <w:r w:rsidRPr="00261B88">
              <w:rPr>
                <w:noProof/>
                <w:sz w:val="20"/>
              </w:rPr>
              <w:t xml:space="preserve">Descrierea modului în care actul protejează interesele financiare ale UE </w:t>
            </w:r>
          </w:p>
        </w:tc>
      </w:tr>
      <w:tr w:rsidR="00A83949" w:rsidRPr="00064746" w14:paraId="7503BFB8" w14:textId="77777777" w:rsidTr="002B1B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Pr>
          <w:p w14:paraId="66C7EEA6" w14:textId="77777777" w:rsidR="00A83949" w:rsidRPr="00261B88" w:rsidRDefault="00A83949" w:rsidP="002B1B19">
            <w:pPr>
              <w:tabs>
                <w:tab w:val="left" w:pos="898"/>
              </w:tabs>
              <w:rPr>
                <w:noProof/>
                <w:sz w:val="20"/>
                <w:szCs w:val="24"/>
              </w:rPr>
            </w:pPr>
            <w:r w:rsidRPr="00261B88">
              <w:rPr>
                <w:noProof/>
                <w:sz w:val="20"/>
              </w:rPr>
              <w:t>Regulamentul (UE) 2021/241 al Parlamentului European și al Consiliului din 12 februarie 2021 de instituire a Mecanismului de redresare și reziliență</w:t>
            </w:r>
            <w:r w:rsidRPr="00261B88">
              <w:rPr>
                <w:rStyle w:val="FootnoteReference"/>
                <w:noProof/>
                <w:sz w:val="20"/>
                <w:szCs w:val="24"/>
                <w:lang w:val="en-IE"/>
              </w:rPr>
              <w:footnoteReference w:id="7"/>
            </w:r>
          </w:p>
        </w:tc>
        <w:tc>
          <w:tcPr>
            <w:tcW w:w="4536" w:type="dxa"/>
          </w:tcPr>
          <w:p w14:paraId="1F1B4A72" w14:textId="10B27B12" w:rsidR="00A83949" w:rsidRPr="002F6819" w:rsidRDefault="00A83949" w:rsidP="001576E8">
            <w:pPr>
              <w:tabs>
                <w:tab w:val="left" w:pos="898"/>
              </w:tabs>
              <w:cnfStyle w:val="000000100000" w:firstRow="0" w:lastRow="0" w:firstColumn="0" w:lastColumn="0" w:oddVBand="0" w:evenVBand="0" w:oddHBand="1" w:evenHBand="0" w:firstRowFirstColumn="0" w:firstRowLastColumn="0" w:lastRowFirstColumn="0" w:lastRowLastColumn="0"/>
              <w:rPr>
                <w:noProof/>
                <w:sz w:val="20"/>
                <w:szCs w:val="24"/>
              </w:rPr>
            </w:pPr>
            <w:r>
              <w:rPr>
                <w:noProof/>
                <w:sz w:val="20"/>
              </w:rPr>
              <w:t>„Regulamentul MRR”. Articolul </w:t>
            </w:r>
            <w:r w:rsidRPr="00D17A39">
              <w:rPr>
                <w:noProof/>
                <w:sz w:val="20"/>
              </w:rPr>
              <w:t>22</w:t>
            </w:r>
            <w:r>
              <w:rPr>
                <w:noProof/>
                <w:sz w:val="20"/>
              </w:rPr>
              <w:t xml:space="preserve"> conține dispoziții privind protejarea intereselor financiare ale UE</w:t>
            </w:r>
            <w:r>
              <w:rPr>
                <w:rStyle w:val="FootnoteReference"/>
                <w:noProof/>
                <w:sz w:val="20"/>
                <w:szCs w:val="24"/>
                <w:lang w:val="en-IE"/>
              </w:rPr>
              <w:footnoteReference w:id="8"/>
            </w:r>
            <w:r>
              <w:rPr>
                <w:noProof/>
                <w:sz w:val="20"/>
              </w:rPr>
              <w:t>.</w:t>
            </w:r>
          </w:p>
        </w:tc>
      </w:tr>
      <w:tr w:rsidR="001576E8" w:rsidRPr="00064746" w14:paraId="3B401180" w14:textId="77777777" w:rsidTr="002B1B19">
        <w:tc>
          <w:tcPr>
            <w:cnfStyle w:val="001000000000" w:firstRow="0" w:lastRow="0" w:firstColumn="1" w:lastColumn="0" w:oddVBand="0" w:evenVBand="0" w:oddHBand="0" w:evenHBand="0" w:firstRowFirstColumn="0" w:firstRowLastColumn="0" w:lastRowFirstColumn="0" w:lastRowLastColumn="0"/>
            <w:tcW w:w="4219" w:type="dxa"/>
          </w:tcPr>
          <w:p w14:paraId="2E8037D1" w14:textId="1CE7EF22" w:rsidR="001576E8" w:rsidRPr="00261B88" w:rsidRDefault="001576E8" w:rsidP="00A83949">
            <w:pPr>
              <w:tabs>
                <w:tab w:val="left" w:pos="898"/>
              </w:tabs>
              <w:rPr>
                <w:noProof/>
                <w:sz w:val="20"/>
              </w:rPr>
            </w:pPr>
            <w:r w:rsidRPr="00261B88">
              <w:rPr>
                <w:noProof/>
                <w:sz w:val="20"/>
              </w:rPr>
              <w:t>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r w:rsidRPr="00261B88">
              <w:rPr>
                <w:rStyle w:val="FootnoteReference"/>
                <w:noProof/>
                <w:sz w:val="20"/>
              </w:rPr>
              <w:footnoteReference w:id="9"/>
            </w:r>
          </w:p>
        </w:tc>
        <w:tc>
          <w:tcPr>
            <w:tcW w:w="4536" w:type="dxa"/>
          </w:tcPr>
          <w:p w14:paraId="0D51244D" w14:textId="2C422B1A" w:rsidR="001576E8" w:rsidRDefault="001576E8" w:rsidP="001576E8">
            <w:pPr>
              <w:tabs>
                <w:tab w:val="left" w:pos="898"/>
              </w:tabs>
              <w:cnfStyle w:val="000000000000" w:firstRow="0" w:lastRow="0" w:firstColumn="0" w:lastColumn="0" w:oddVBand="0" w:evenVBand="0" w:oddHBand="0" w:evenHBand="0" w:firstRowFirstColumn="0" w:firstRowLastColumn="0" w:lastRowFirstColumn="0" w:lastRowLastColumn="0"/>
              <w:rPr>
                <w:noProof/>
                <w:sz w:val="20"/>
                <w:szCs w:val="24"/>
              </w:rPr>
            </w:pPr>
            <w:r>
              <w:rPr>
                <w:noProof/>
                <w:sz w:val="20"/>
              </w:rPr>
              <w:t>Considerentul </w:t>
            </w:r>
            <w:r w:rsidRPr="00D17A39">
              <w:rPr>
                <w:noProof/>
                <w:sz w:val="20"/>
              </w:rPr>
              <w:t>71</w:t>
            </w:r>
            <w:r>
              <w:rPr>
                <w:noProof/>
                <w:sz w:val="20"/>
              </w:rPr>
              <w:t xml:space="preserve"> reiterează competența OLAF și a EPPO de a proteja interesele financiare ale UE pentru programele aferente.</w:t>
            </w:r>
          </w:p>
          <w:p w14:paraId="2E4C96A4" w14:textId="17D1B44C" w:rsidR="001576E8" w:rsidRDefault="001576E8" w:rsidP="001576E8">
            <w:pPr>
              <w:tabs>
                <w:tab w:val="left" w:pos="898"/>
              </w:tabs>
              <w:cnfStyle w:val="000000000000" w:firstRow="0" w:lastRow="0" w:firstColumn="0" w:lastColumn="0" w:oddVBand="0" w:evenVBand="0" w:oddHBand="0" w:evenHBand="0" w:firstRowFirstColumn="0" w:firstRowLastColumn="0" w:lastRowFirstColumn="0" w:lastRowLastColumn="0"/>
              <w:rPr>
                <w:noProof/>
                <w:sz w:val="20"/>
                <w:szCs w:val="24"/>
              </w:rPr>
            </w:pPr>
            <w:r>
              <w:rPr>
                <w:noProof/>
                <w:sz w:val="20"/>
              </w:rPr>
              <w:t>Articolul </w:t>
            </w:r>
            <w:r w:rsidRPr="00D17A39">
              <w:rPr>
                <w:noProof/>
                <w:sz w:val="20"/>
              </w:rPr>
              <w:t>69</w:t>
            </w:r>
            <w:r>
              <w:rPr>
                <w:noProof/>
                <w:sz w:val="20"/>
              </w:rPr>
              <w:t xml:space="preserve"> prevede obligația statelor membre de a asigura legalitatea și regularitatea cheltuielilor și de a întreprinde măsuri pentru a preveni, a depista și a corecta neregulile, inclusiv fraudele, și a le raporta. De asemenea, acesta asigură accesul necesar al Comisiei, al OLAF și al CCE la informațiile privind beneficiarii reali ai fondurilor UE.</w:t>
            </w:r>
          </w:p>
          <w:p w14:paraId="646FBCCE" w14:textId="77777777" w:rsidR="001576E8" w:rsidRDefault="001576E8" w:rsidP="001576E8">
            <w:pPr>
              <w:tabs>
                <w:tab w:val="left" w:pos="898"/>
              </w:tabs>
              <w:cnfStyle w:val="000000000000" w:firstRow="0" w:lastRow="0" w:firstColumn="0" w:lastColumn="0" w:oddVBand="0" w:evenVBand="0" w:oddHBand="0" w:evenHBand="0" w:firstRowFirstColumn="0" w:firstRowLastColumn="0" w:lastRowFirstColumn="0" w:lastRowLastColumn="0"/>
              <w:rPr>
                <w:noProof/>
                <w:sz w:val="20"/>
                <w:szCs w:val="24"/>
              </w:rPr>
            </w:pPr>
            <w:r>
              <w:rPr>
                <w:noProof/>
                <w:sz w:val="20"/>
              </w:rPr>
              <w:t>În temeiul articolului </w:t>
            </w:r>
            <w:r w:rsidRPr="00D17A39">
              <w:rPr>
                <w:noProof/>
                <w:sz w:val="20"/>
              </w:rPr>
              <w:t>74</w:t>
            </w:r>
            <w:r>
              <w:rPr>
                <w:noProof/>
                <w:sz w:val="20"/>
              </w:rPr>
              <w:t>, autorităților de management li se solicită să dispună măsuri și proceduri antifraudă eficace și proporționale, luând în considerare riscurile identificate.</w:t>
            </w:r>
          </w:p>
          <w:p w14:paraId="07EA1BFB" w14:textId="36BB443B" w:rsidR="001576E8" w:rsidRPr="00A83949" w:rsidRDefault="001576E8" w:rsidP="001576E8">
            <w:pPr>
              <w:tabs>
                <w:tab w:val="left" w:pos="898"/>
              </w:tabs>
              <w:cnfStyle w:val="000000000000" w:firstRow="0" w:lastRow="0" w:firstColumn="0" w:lastColumn="0" w:oddVBand="0" w:evenVBand="0" w:oddHBand="0" w:evenHBand="0" w:firstRowFirstColumn="0" w:firstRowLastColumn="0" w:lastRowFirstColumn="0" w:lastRowLastColumn="0"/>
              <w:rPr>
                <w:noProof/>
                <w:sz w:val="20"/>
                <w:szCs w:val="24"/>
              </w:rPr>
            </w:pPr>
            <w:r>
              <w:rPr>
                <w:noProof/>
                <w:sz w:val="20"/>
              </w:rPr>
              <w:t>Anexa XII stabilește normele detaliate și modelul pentru raportarea neregulilor.</w:t>
            </w:r>
          </w:p>
        </w:tc>
      </w:tr>
      <w:tr w:rsidR="008A17E3" w:rsidRPr="00064746" w14:paraId="6684BD59" w14:textId="77777777" w:rsidTr="002B1B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Pr>
          <w:p w14:paraId="0DFF6DBB" w14:textId="77777777" w:rsidR="008A17E3" w:rsidRPr="00261B88" w:rsidRDefault="008A17E3" w:rsidP="002B1B19">
            <w:pPr>
              <w:tabs>
                <w:tab w:val="left" w:pos="898"/>
              </w:tabs>
              <w:rPr>
                <w:noProof/>
                <w:sz w:val="20"/>
                <w:szCs w:val="24"/>
              </w:rPr>
            </w:pPr>
            <w:r w:rsidRPr="00261B88">
              <w:rPr>
                <w:noProof/>
                <w:sz w:val="20"/>
              </w:rPr>
              <w:t>Regulamentul (UE) 2021/785 al Parlamentului European și al Consiliului din 29 aprilie 2021 de instituire a Programului Uniunii de luptă antifraudă și de abrogare a Regulamentului (UE) nr. 250/2014</w:t>
            </w:r>
            <w:r w:rsidRPr="00261B88">
              <w:rPr>
                <w:rStyle w:val="FootnoteReference"/>
                <w:noProof/>
                <w:sz w:val="20"/>
                <w:szCs w:val="24"/>
                <w:lang w:val="en-IE"/>
              </w:rPr>
              <w:footnoteReference w:id="10"/>
            </w:r>
          </w:p>
        </w:tc>
        <w:tc>
          <w:tcPr>
            <w:tcW w:w="4536" w:type="dxa"/>
          </w:tcPr>
          <w:p w14:paraId="1B2145F0" w14:textId="55CE714E" w:rsidR="008A17E3" w:rsidRDefault="008A17E3" w:rsidP="0045480B">
            <w:pPr>
              <w:tabs>
                <w:tab w:val="left" w:pos="898"/>
              </w:tabs>
              <w:cnfStyle w:val="000000100000" w:firstRow="0" w:lastRow="0" w:firstColumn="0" w:lastColumn="0" w:oddVBand="0" w:evenVBand="0" w:oddHBand="1" w:evenHBand="0" w:firstRowFirstColumn="0" w:firstRowLastColumn="0" w:lastRowFirstColumn="0" w:lastRowLastColumn="0"/>
              <w:rPr>
                <w:noProof/>
                <w:sz w:val="20"/>
                <w:szCs w:val="24"/>
              </w:rPr>
            </w:pPr>
            <w:r>
              <w:rPr>
                <w:noProof/>
                <w:sz w:val="20"/>
              </w:rPr>
              <w:t>Programul Uniunii de luptă antifraudă, succesorul programului Hercule III, finanțează activități de combatere a fraudei și a oricărei alte activități ilegale care afectează interesele financiare ale UE</w:t>
            </w:r>
            <w:r>
              <w:rPr>
                <w:rStyle w:val="FootnoteReference"/>
                <w:noProof/>
                <w:sz w:val="20"/>
                <w:szCs w:val="24"/>
                <w:lang w:val="en-IE"/>
              </w:rPr>
              <w:footnoteReference w:id="11"/>
            </w:r>
            <w:r>
              <w:rPr>
                <w:noProof/>
                <w:sz w:val="20"/>
              </w:rPr>
              <w:t>.</w:t>
            </w:r>
          </w:p>
        </w:tc>
      </w:tr>
    </w:tbl>
    <w:p w14:paraId="0D60E786" w14:textId="77777777" w:rsidR="00FE789E" w:rsidRPr="00261B88" w:rsidRDefault="00FE789E" w:rsidP="00FE789E">
      <w:pPr>
        <w:pStyle w:val="Heading2"/>
        <w:rPr>
          <w:noProof/>
        </w:rPr>
      </w:pPr>
      <w:bookmarkStart w:id="10" w:name="_Toc116029504"/>
      <w:r w:rsidRPr="00261B88">
        <w:rPr>
          <w:noProof/>
        </w:rPr>
        <w:t>Jurisprudența în materie de PIF</w:t>
      </w:r>
      <w:bookmarkEnd w:id="10"/>
    </w:p>
    <w:p w14:paraId="599EB5ED" w14:textId="6BDD9E4A" w:rsidR="00FE789E" w:rsidRDefault="002F71B1" w:rsidP="00FE789E">
      <w:pPr>
        <w:rPr>
          <w:noProof/>
        </w:rPr>
      </w:pPr>
      <w:r>
        <w:rPr>
          <w:noProof/>
        </w:rPr>
        <w:t xml:space="preserve">Curtea de Justiție a Uniunii Europene asigură aplicarea și interpretarea uniformă a dreptului Uniunii. În </w:t>
      </w:r>
      <w:r w:rsidRPr="00D17A39">
        <w:rPr>
          <w:noProof/>
        </w:rPr>
        <w:t>2021</w:t>
      </w:r>
      <w:r>
        <w:rPr>
          <w:noProof/>
        </w:rPr>
        <w:t>, Curtea a pronunțat trei hotărâri privind protejarea intereselor financiare ale UE.</w:t>
      </w:r>
    </w:p>
    <w:tbl>
      <w:tblPr>
        <w:tblStyle w:val="GridTable4-Accent1"/>
        <w:tblW w:w="0" w:type="auto"/>
        <w:tblLook w:val="04A0" w:firstRow="1" w:lastRow="0" w:firstColumn="1" w:lastColumn="0" w:noHBand="0" w:noVBand="1"/>
      </w:tblPr>
      <w:tblGrid>
        <w:gridCol w:w="8834"/>
      </w:tblGrid>
      <w:tr w:rsidR="002F71B1" w:rsidRPr="00064746" w14:paraId="40B90D3C" w14:textId="77777777" w:rsidTr="00A27E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4" w:type="dxa"/>
          </w:tcPr>
          <w:p w14:paraId="38B6326B" w14:textId="77777777" w:rsidR="002F71B1" w:rsidRPr="00261B88" w:rsidRDefault="002F71B1" w:rsidP="00A27EF6">
            <w:pPr>
              <w:tabs>
                <w:tab w:val="left" w:pos="898"/>
              </w:tabs>
              <w:rPr>
                <w:noProof/>
                <w:sz w:val="20"/>
                <w:szCs w:val="24"/>
              </w:rPr>
            </w:pPr>
            <w:r w:rsidRPr="00261B88">
              <w:rPr>
                <w:noProof/>
                <w:sz w:val="20"/>
              </w:rPr>
              <w:t>Numărul și descrierea cauzei</w:t>
            </w:r>
          </w:p>
        </w:tc>
      </w:tr>
      <w:tr w:rsidR="002F71B1" w:rsidRPr="00064746" w14:paraId="44D0DC93" w14:textId="77777777" w:rsidTr="00A27E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4" w:type="dxa"/>
          </w:tcPr>
          <w:p w14:paraId="163D92E3" w14:textId="77777777" w:rsidR="002F71B1" w:rsidRPr="002F6819" w:rsidRDefault="002F71B1" w:rsidP="00DC1244">
            <w:pPr>
              <w:tabs>
                <w:tab w:val="left" w:pos="898"/>
              </w:tabs>
              <w:spacing w:before="120"/>
              <w:rPr>
                <w:b w:val="0"/>
                <w:noProof/>
                <w:sz w:val="20"/>
                <w:szCs w:val="24"/>
              </w:rPr>
            </w:pPr>
            <w:r w:rsidRPr="00261B88">
              <w:rPr>
                <w:noProof/>
                <w:sz w:val="20"/>
              </w:rPr>
              <w:t>C-130/19</w:t>
            </w:r>
            <w:r w:rsidRPr="00261B88">
              <w:rPr>
                <w:rStyle w:val="FootnoteReference"/>
                <w:noProof/>
                <w:sz w:val="20"/>
                <w:szCs w:val="24"/>
                <w:lang w:val="en-IE"/>
              </w:rPr>
              <w:footnoteReference w:id="12"/>
            </w:r>
            <w:r w:rsidRPr="00261B88">
              <w:rPr>
                <w:noProof/>
                <w:sz w:val="20"/>
              </w:rPr>
              <w:t>, Curtea de Conturi/Pinxten</w:t>
            </w:r>
          </w:p>
          <w:p w14:paraId="5338CB02" w14:textId="3ECBB69A" w:rsidR="002F71B1" w:rsidRPr="002F6819" w:rsidRDefault="002F71B1">
            <w:pPr>
              <w:tabs>
                <w:tab w:val="left" w:pos="898"/>
              </w:tabs>
              <w:rPr>
                <w:b w:val="0"/>
                <w:noProof/>
                <w:sz w:val="20"/>
                <w:szCs w:val="24"/>
              </w:rPr>
            </w:pPr>
            <w:r>
              <w:rPr>
                <w:b w:val="0"/>
                <w:noProof/>
                <w:sz w:val="20"/>
              </w:rPr>
              <w:t>În această cauză, Curtea de Justiție a declarat că un fost membru al CCE a încălcat obligațiile care decurg din funcția sa de membru al CCE prin faptul că a întreprins o serie de acte, inclusiv utilizarea abuzivă a resurselor CCE pentru finanțarea unor activități care nu au legătură cu sarcinile sale și utilizarea unui card de carburant furnizat de Curte pentru cumpărarea de carburanți destinați unor vehicule aparținând unor terți. Curtea l-a decăzut pe fostul membru din două treimi din dreptul său la pensie. În hotărârea sa, Curtea de Justiție a subliniat că este necesar ca membrii Curții de Conturi să respecte cele mai riguroase norme în materie de comportament și să acorde prioritate în orice moment interesului general al Uniunii nu numai față de interesele naționale, ci și față de interesele personale. În această privință, Curtea de Justiție a concluzionat că, deși persoanele cărora le sunt încredințate funcții înalte în instituțiile și organismele UE trebuie să respecte cele mai riguroase norme în materie de comportament, funcția specifică ce revine Curții de Conturi – verificarea regularității cheltuielilor UE și a bunei gestiuni financiare – sporește gravitatea neregulilor săvârșite de fostul membru.</w:t>
            </w:r>
          </w:p>
        </w:tc>
      </w:tr>
      <w:tr w:rsidR="002F71B1" w:rsidRPr="00064746" w14:paraId="64F5B279" w14:textId="77777777" w:rsidTr="00A27EF6">
        <w:tc>
          <w:tcPr>
            <w:cnfStyle w:val="001000000000" w:firstRow="0" w:lastRow="0" w:firstColumn="1" w:lastColumn="0" w:oddVBand="0" w:evenVBand="0" w:oddHBand="0" w:evenHBand="0" w:firstRowFirstColumn="0" w:firstRowLastColumn="0" w:lastRowFirstColumn="0" w:lastRowLastColumn="0"/>
            <w:tcW w:w="8834" w:type="dxa"/>
          </w:tcPr>
          <w:p w14:paraId="028235D9" w14:textId="77777777" w:rsidR="002F71B1" w:rsidRPr="002F6819" w:rsidRDefault="002F71B1" w:rsidP="00DC1244">
            <w:pPr>
              <w:tabs>
                <w:tab w:val="left" w:pos="898"/>
              </w:tabs>
              <w:spacing w:before="120"/>
              <w:rPr>
                <w:b w:val="0"/>
                <w:noProof/>
                <w:sz w:val="20"/>
                <w:szCs w:val="24"/>
              </w:rPr>
            </w:pPr>
            <w:r w:rsidRPr="00261B88">
              <w:rPr>
                <w:noProof/>
                <w:sz w:val="20"/>
              </w:rPr>
              <w:t>C-360/20</w:t>
            </w:r>
            <w:r w:rsidRPr="00261B88">
              <w:rPr>
                <w:rStyle w:val="FootnoteReference"/>
                <w:noProof/>
                <w:sz w:val="20"/>
                <w:szCs w:val="24"/>
                <w:lang w:val="en-IE"/>
              </w:rPr>
              <w:footnoteReference w:id="13"/>
            </w:r>
            <w:r w:rsidRPr="00261B88">
              <w:rPr>
                <w:noProof/>
                <w:sz w:val="20"/>
              </w:rPr>
              <w:t>, Ministerul Lucrărilor Publice, Dezvoltării și Administrației</w:t>
            </w:r>
          </w:p>
          <w:p w14:paraId="58586719" w14:textId="60F9CC11" w:rsidR="002F71B1" w:rsidRDefault="002F71B1" w:rsidP="00A27EF6">
            <w:pPr>
              <w:tabs>
                <w:tab w:val="left" w:pos="898"/>
              </w:tabs>
              <w:rPr>
                <w:b w:val="0"/>
                <w:noProof/>
                <w:sz w:val="20"/>
                <w:szCs w:val="24"/>
              </w:rPr>
            </w:pPr>
            <w:r>
              <w:rPr>
                <w:b w:val="0"/>
                <w:noProof/>
                <w:sz w:val="20"/>
              </w:rPr>
              <w:t>În această hotărâre, Curtea a considerat că noțiunea de „fraudă care aduce atingere intereselor financiare ale Uniunii”, în sensul articolul </w:t>
            </w:r>
            <w:r w:rsidRPr="00D17A39">
              <w:rPr>
                <w:b w:val="0"/>
                <w:noProof/>
                <w:sz w:val="20"/>
              </w:rPr>
              <w:t>1</w:t>
            </w:r>
            <w:r>
              <w:rPr>
                <w:b w:val="0"/>
                <w:noProof/>
                <w:sz w:val="20"/>
              </w:rPr>
              <w:t xml:space="preserve"> alineatul (</w:t>
            </w:r>
            <w:r w:rsidRPr="00D17A39">
              <w:rPr>
                <w:b w:val="0"/>
                <w:noProof/>
                <w:sz w:val="20"/>
              </w:rPr>
              <w:t>1</w:t>
            </w:r>
            <w:r>
              <w:rPr>
                <w:b w:val="0"/>
                <w:noProof/>
                <w:sz w:val="20"/>
              </w:rPr>
              <w:t>) litera (a) din Convenția PIF</w:t>
            </w:r>
            <w:r>
              <w:rPr>
                <w:rStyle w:val="FootnoteReference"/>
                <w:b w:val="0"/>
                <w:noProof/>
                <w:sz w:val="20"/>
                <w:szCs w:val="24"/>
                <w:lang w:val="en-IE"/>
              </w:rPr>
              <w:footnoteReference w:id="14"/>
            </w:r>
            <w:r>
              <w:rPr>
                <w:b w:val="0"/>
                <w:noProof/>
                <w:sz w:val="20"/>
              </w:rPr>
              <w:t>, include nu numai perceperea ilegală de fonduri de la bugetul UE, ci și reținerea ilegală a acestora. Astfel, frauda poate lua forma unei nerespectări a obligațiilor de raportare după obținerea acestor fonduri. În consecință, frauda în sensul articolul </w:t>
            </w:r>
            <w:r w:rsidRPr="00D17A39">
              <w:rPr>
                <w:b w:val="0"/>
                <w:noProof/>
                <w:sz w:val="20"/>
              </w:rPr>
              <w:t>1</w:t>
            </w:r>
            <w:r>
              <w:rPr>
                <w:b w:val="0"/>
                <w:noProof/>
                <w:sz w:val="20"/>
              </w:rPr>
              <w:t xml:space="preserve"> alineatul (</w:t>
            </w:r>
            <w:r w:rsidRPr="00D17A39">
              <w:rPr>
                <w:b w:val="0"/>
                <w:noProof/>
                <w:sz w:val="20"/>
              </w:rPr>
              <w:t>1</w:t>
            </w:r>
            <w:r>
              <w:rPr>
                <w:b w:val="0"/>
                <w:noProof/>
                <w:sz w:val="20"/>
              </w:rPr>
              <w:t>) litera (a) din Convenția PIF include folosirea cu intenție a unor declarații false sau incorecte prezentate ulterior executării unui proiect finanțat de UE pentru a crea aparența de respectare a obligațiilor care decurg din contractul de finanțare în perioada de sustenabilitate a proiectului, în scopul reținerii pe nedrept a unor fonduri care provin din bugetul Uniunii.</w:t>
            </w:r>
          </w:p>
          <w:p w14:paraId="52781CCC" w14:textId="71DF675F" w:rsidR="00C458DD" w:rsidRPr="002F6819" w:rsidRDefault="00C458DD" w:rsidP="007C19BE">
            <w:pPr>
              <w:tabs>
                <w:tab w:val="left" w:pos="898"/>
              </w:tabs>
              <w:rPr>
                <w:b w:val="0"/>
                <w:noProof/>
                <w:sz w:val="20"/>
                <w:szCs w:val="24"/>
              </w:rPr>
            </w:pPr>
            <w:r>
              <w:rPr>
                <w:b w:val="0"/>
                <w:noProof/>
                <w:sz w:val="20"/>
              </w:rPr>
              <w:t>Curtea de Justiție a adăugat că legislația națională în temeiul căreia o persoană nu poate fi urmărită penal pentru astfel de declarații decât atunci când au fost făcute cu ocazia executării proiectului este incompatibilă cu articolul </w:t>
            </w:r>
            <w:r w:rsidRPr="00D17A39">
              <w:rPr>
                <w:b w:val="0"/>
                <w:noProof/>
                <w:sz w:val="20"/>
              </w:rPr>
              <w:t>325</w:t>
            </w:r>
            <w:r>
              <w:rPr>
                <w:b w:val="0"/>
                <w:noProof/>
                <w:sz w:val="20"/>
              </w:rPr>
              <w:t xml:space="preserve"> din TFUE. Cu toate acestea, pentru a respecta drepturile fundamentale ale persoanelor vizate, instanțele naționale nu vor fi obligate să interpreteze legislația națională respectivă în sensul aplicabilității sale în ceea ce privește declarațiile făcute după executarea proiectului în cazul în care acest lucru ar conduce la o încălcare a principiului legalității infracțiunilor și a pedepselor. În cazul unei eventuale încălcări, legiuitorul național este cel căruia îi va reveni obligația de a lua măsurile corespunzătoare.</w:t>
            </w:r>
          </w:p>
        </w:tc>
      </w:tr>
      <w:tr w:rsidR="002F71B1" w:rsidRPr="00064746" w14:paraId="47E299D9" w14:textId="77777777" w:rsidTr="00A27E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4" w:type="dxa"/>
          </w:tcPr>
          <w:p w14:paraId="0682AEF7" w14:textId="77777777" w:rsidR="002F71B1" w:rsidRPr="002F6819" w:rsidRDefault="00C458DD" w:rsidP="00DC1244">
            <w:pPr>
              <w:tabs>
                <w:tab w:val="left" w:pos="898"/>
              </w:tabs>
              <w:spacing w:before="120"/>
              <w:rPr>
                <w:b w:val="0"/>
                <w:noProof/>
                <w:sz w:val="20"/>
                <w:szCs w:val="24"/>
              </w:rPr>
            </w:pPr>
            <w:r w:rsidRPr="00261B88">
              <w:rPr>
                <w:noProof/>
                <w:sz w:val="20"/>
              </w:rPr>
              <w:t>C-357/19, C-379/19, C-547/19, C-811/19 și C-840/19</w:t>
            </w:r>
            <w:r w:rsidRPr="00261B88">
              <w:rPr>
                <w:rStyle w:val="FootnoteReference"/>
                <w:noProof/>
                <w:sz w:val="20"/>
                <w:szCs w:val="24"/>
                <w:lang w:val="en-IE"/>
              </w:rPr>
              <w:footnoteReference w:id="15"/>
            </w:r>
            <w:r w:rsidRPr="00261B88">
              <w:rPr>
                <w:noProof/>
                <w:sz w:val="20"/>
              </w:rPr>
              <w:t>, Euro Box Promotion și alții</w:t>
            </w:r>
          </w:p>
          <w:p w14:paraId="5E7EF320" w14:textId="0506527E" w:rsidR="002F71B1" w:rsidRDefault="00FA7F41" w:rsidP="00A27EF6">
            <w:pPr>
              <w:tabs>
                <w:tab w:val="left" w:pos="898"/>
              </w:tabs>
              <w:rPr>
                <w:b w:val="0"/>
                <w:noProof/>
                <w:sz w:val="20"/>
                <w:szCs w:val="24"/>
              </w:rPr>
            </w:pPr>
            <w:r>
              <w:rPr>
                <w:b w:val="0"/>
                <w:noProof/>
                <w:sz w:val="20"/>
              </w:rPr>
              <w:t xml:space="preserve">Curții de Justiție i s-a solicitat să se pronunțe cu privire la compatibilitatea cu dreptul Uniunii a jurisprudenței Curții Constituționale a României privind normele de procedură penală aplicabile procedurilor în materie de fraudă și corupție. În </w:t>
            </w:r>
            <w:r w:rsidRPr="00D17A39">
              <w:rPr>
                <w:b w:val="0"/>
                <w:noProof/>
                <w:sz w:val="20"/>
              </w:rPr>
              <w:t>2018</w:t>
            </w:r>
            <w:r>
              <w:rPr>
                <w:b w:val="0"/>
                <w:noProof/>
                <w:sz w:val="20"/>
              </w:rPr>
              <w:t>, Curtea Constituțională a României a anulat hotărârile Înaltei Curți de Casație și Justiție a României prin care au fost condamnate mai multe persoane pentru fraudă în domeniul TVA, corupție și exercitare a influenței în legătură cu gestionarea fondurilor UE, afirmând, în esență, că respectivele complete de judecată care au audiat cauzele au fost constituite în mod neregulamentar. O instanță inferioară din România a sesizat Curtea de Justiție cu o trimitere preliminară cu privire, printre altele, la întrebarea dacă jurisprudența Curții Constituționale a generat un risc sistemic de impunitate în materie de luptă împotriva fraudei și a corupției, în special având în vedere că infracțiunile urmau să rămână nepedepsite prin intervenirea prescripției.</w:t>
            </w:r>
          </w:p>
          <w:p w14:paraId="4741F1B5" w14:textId="05BB55CE" w:rsidR="00C458DD" w:rsidRPr="002F6819" w:rsidRDefault="00C458DD">
            <w:pPr>
              <w:tabs>
                <w:tab w:val="left" w:pos="898"/>
              </w:tabs>
              <w:rPr>
                <w:b w:val="0"/>
                <w:noProof/>
                <w:sz w:val="20"/>
                <w:szCs w:val="24"/>
              </w:rPr>
            </w:pPr>
            <w:r>
              <w:rPr>
                <w:b w:val="0"/>
                <w:noProof/>
                <w:sz w:val="20"/>
              </w:rPr>
              <w:t>În hotărârea sa, Curtea de Justiție a statuat că, deși normele care reglementează organizarea sistemului judiciar al statelor membre sunt, în principiu, de competența statelor membre, aceste norme trebuie totuși să corespundă obligațiilor care le revin acestora în temeiul dreptului Uniunii. Astfel de obligații includ combaterea activităților ilegale, inclusiv a infracțiunilor de corupție, ce aduc atingere intereselor financiare ale UE prin intermediul unor măsuri efective și disuasive. Cerința de efectivitate se extinde atât la proceduri, cât și la sancționarea acestor infracțiuni, precum și la punerea în aplicare a pedepselor dispuse. Legiuitorului național îi revine în primul rând sarcina de a garanta că regimul procedural aplicabil acestor infracțiuni nu prezintă un risc sistemic de impunitate. La rândul lor, instanțele naționale nu trebuie să aplice dispoziții interne care împiedică aplicarea unor sancțiuni efective și disuasive. În cazul de față, consecința aplicării jurisprudenței Curții Constituționale a României este că respectivele cazuri de fraudă și corupție trebuie rejudecate, dacă este necesar în mai multe rânduri, în primă instanță și/sau în apel. Acest lucru poate conduce la prescrierea lor, ceea ce are drept consecință faptul că persoane care ocupă cele mai importante poziții în statul român și care au fost condamnate pentru fraudă sau corupție nu sunt sancționate în mod efectiv și disuasiv. Riscul de impunitate ar deveni sistemic față de această categorie de persoane și ar pune în discuție obiectivul de combatere a corupției la nivel înalt. În consecință, Curtea de Justiție a declarat că articolul </w:t>
            </w:r>
            <w:r w:rsidRPr="00D17A39">
              <w:rPr>
                <w:b w:val="0"/>
                <w:noProof/>
                <w:sz w:val="20"/>
              </w:rPr>
              <w:t>325</w:t>
            </w:r>
            <w:r>
              <w:rPr>
                <w:b w:val="0"/>
                <w:noProof/>
                <w:sz w:val="20"/>
              </w:rPr>
              <w:t xml:space="preserve"> din TFUE și articolul </w:t>
            </w:r>
            <w:r w:rsidRPr="00D17A39">
              <w:rPr>
                <w:b w:val="0"/>
                <w:noProof/>
                <w:sz w:val="20"/>
              </w:rPr>
              <w:t>2</w:t>
            </w:r>
            <w:r>
              <w:rPr>
                <w:b w:val="0"/>
                <w:noProof/>
                <w:sz w:val="20"/>
              </w:rPr>
              <w:t xml:space="preserve"> din Convenția PIF se opun reglementărilor sau practicilor naționale în temeiul cărora nu s-au pronunțat hotărâri în cauze de corupție și de fraudă în domeniul TVA ca urmare a compunerii neregulamentare a unor completuri de judecată în cazul în care acest lucru conduce la un risc sistemic de impunitate a faptelor ce constituie infracțiuni grave de fraudă care aduce atingere intereselor financiare ale UE sau de corupție în general. Curtea de Justiție a adăugat că instanța de trimitere trebuie să verifice compatibilitatea unei astfel de abordări cu dreptul inculpatului la un proces echitabil în temeiul articolului </w:t>
            </w:r>
            <w:r w:rsidRPr="00D17A39">
              <w:rPr>
                <w:b w:val="0"/>
                <w:noProof/>
                <w:sz w:val="20"/>
              </w:rPr>
              <w:t>47</w:t>
            </w:r>
            <w:r>
              <w:rPr>
                <w:b w:val="0"/>
                <w:noProof/>
                <w:sz w:val="20"/>
              </w:rPr>
              <w:t xml:space="preserve"> din Carta drepturilor fundamentale.</w:t>
            </w:r>
          </w:p>
        </w:tc>
      </w:tr>
    </w:tbl>
    <w:p w14:paraId="5B3505A7" w14:textId="77777777" w:rsidR="00FE789E" w:rsidRPr="00261B88" w:rsidRDefault="00FE789E" w:rsidP="00FE789E">
      <w:pPr>
        <w:pStyle w:val="Heading1"/>
        <w:rPr>
          <w:noProof/>
        </w:rPr>
      </w:pPr>
      <w:bookmarkStart w:id="11" w:name="_Toc116029505"/>
      <w:r w:rsidRPr="00261B88">
        <w:rPr>
          <w:noProof/>
        </w:rPr>
        <w:t>Arhitectura antifraudă a UE</w:t>
      </w:r>
      <w:bookmarkEnd w:id="11"/>
    </w:p>
    <w:p w14:paraId="1C26C01F" w14:textId="048A5D9D" w:rsidR="006C1E6D" w:rsidRPr="006C1E6D" w:rsidRDefault="004D2B33" w:rsidP="006C1E6D">
      <w:pPr>
        <w:rPr>
          <w:noProof/>
        </w:rPr>
      </w:pPr>
      <w:r>
        <w:rPr>
          <w:noProof/>
        </w:rPr>
        <w:t>Arhitectura legislativă și organizațională complexă instituită pentru a proteja interesele financiare ale UE este rezultatul unui proces continuu, care durează de peste trei decenii</w:t>
      </w:r>
      <w:r>
        <w:rPr>
          <w:rStyle w:val="FootnoteReference"/>
          <w:noProof/>
        </w:rPr>
        <w:footnoteReference w:id="16"/>
      </w:r>
      <w:r>
        <w:rPr>
          <w:noProof/>
        </w:rPr>
        <w:t xml:space="preserve">. Această secțiune prezintă cele mai importante evoluții din acest domeniu în </w:t>
      </w:r>
      <w:r w:rsidRPr="00D17A39">
        <w:rPr>
          <w:noProof/>
        </w:rPr>
        <w:t>2021</w:t>
      </w:r>
      <w:r>
        <w:rPr>
          <w:rStyle w:val="FootnoteReference"/>
          <w:noProof/>
        </w:rPr>
        <w:footnoteReference w:id="17"/>
      </w:r>
      <w:r>
        <w:rPr>
          <w:noProof/>
        </w:rPr>
        <w:t xml:space="preserve">. </w:t>
      </w:r>
    </w:p>
    <w:p w14:paraId="15A520AF" w14:textId="77777777" w:rsidR="00FE789E" w:rsidRPr="00261B88" w:rsidRDefault="00FE789E" w:rsidP="00FE789E">
      <w:pPr>
        <w:pStyle w:val="Heading2"/>
        <w:rPr>
          <w:noProof/>
        </w:rPr>
      </w:pPr>
      <w:bookmarkStart w:id="12" w:name="_Toc116029506"/>
      <w:r w:rsidRPr="00261B88">
        <w:rPr>
          <w:noProof/>
        </w:rPr>
        <w:t>La nivel european</w:t>
      </w:r>
      <w:bookmarkEnd w:id="12"/>
    </w:p>
    <w:p w14:paraId="7AE38E9F" w14:textId="77777777" w:rsidR="00FE789E" w:rsidRPr="00261B88" w:rsidRDefault="00FE789E" w:rsidP="00CD7B44">
      <w:pPr>
        <w:pStyle w:val="Heading3"/>
        <w:rPr>
          <w:noProof/>
        </w:rPr>
      </w:pPr>
      <w:bookmarkStart w:id="13" w:name="_Toc116029507"/>
      <w:r w:rsidRPr="00261B88">
        <w:rPr>
          <w:noProof/>
        </w:rPr>
        <w:t>Parlamentul European</w:t>
      </w:r>
      <w:bookmarkEnd w:id="13"/>
    </w:p>
    <w:p w14:paraId="06E35AAF" w14:textId="10479E69" w:rsidR="00FE789E" w:rsidRDefault="00AD5A9B" w:rsidP="00FE789E">
      <w:pPr>
        <w:rPr>
          <w:noProof/>
        </w:rPr>
      </w:pPr>
      <w:r>
        <w:rPr>
          <w:noProof/>
        </w:rPr>
        <w:t xml:space="preserve">Pe lângă activitățile sale legislative, </w:t>
      </w:r>
      <w:r w:rsidRPr="00261B88">
        <w:rPr>
          <w:b/>
          <w:noProof/>
        </w:rPr>
        <w:t xml:space="preserve">Parlamentul European </w:t>
      </w:r>
      <w:r>
        <w:rPr>
          <w:noProof/>
        </w:rPr>
        <w:t xml:space="preserve">(PE) examinează execuția bugetului UE de către Comisie (și de către alte instituții și organisme) prin intermediul unei proceduri cunoscute sub denumirea de „descărcare de gestiune”. În </w:t>
      </w:r>
      <w:r w:rsidRPr="00D17A39">
        <w:rPr>
          <w:noProof/>
        </w:rPr>
        <w:t>2021</w:t>
      </w:r>
      <w:r>
        <w:rPr>
          <w:noProof/>
        </w:rPr>
        <w:t xml:space="preserve">, PE a acordat descărcarea de gestiune pentru exercițiul financiar </w:t>
      </w:r>
      <w:r w:rsidRPr="00D17A39">
        <w:rPr>
          <w:noProof/>
        </w:rPr>
        <w:t>2019</w:t>
      </w:r>
      <w:r>
        <w:rPr>
          <w:rStyle w:val="FootnoteReference"/>
          <w:noProof/>
        </w:rPr>
        <w:footnoteReference w:id="18"/>
      </w:r>
      <w:r>
        <w:rPr>
          <w:noProof/>
        </w:rPr>
        <w:t xml:space="preserve"> și a început procedura pentru exercițiul financiar </w:t>
      </w:r>
      <w:r w:rsidRPr="00D17A39">
        <w:rPr>
          <w:noProof/>
        </w:rPr>
        <w:t>2020</w:t>
      </w:r>
      <w:r>
        <w:rPr>
          <w:rStyle w:val="FootnoteReference"/>
          <w:noProof/>
        </w:rPr>
        <w:footnoteReference w:id="19"/>
      </w:r>
      <w:r>
        <w:rPr>
          <w:noProof/>
        </w:rPr>
        <w:t xml:space="preserve">. </w:t>
      </w:r>
      <w:r w:rsidRPr="00261B88">
        <w:rPr>
          <w:b/>
          <w:noProof/>
        </w:rPr>
        <w:t>Comisia pentru control bugetar</w:t>
      </w:r>
      <w:r>
        <w:rPr>
          <w:noProof/>
        </w:rPr>
        <w:t xml:space="preserve"> (CONT) este esențială pentru procedura de descărcare de gestiune și elaborează, de asemenea, un raport anual privind protejarea intereselor financiare ale UE. Odată adoptat sub forma unei rezoluții în plenul Parlamentului, raportul oferă orientări de politică statelor membre și Comisiei. În </w:t>
      </w:r>
      <w:r w:rsidRPr="00D17A39">
        <w:rPr>
          <w:noProof/>
        </w:rPr>
        <w:t>2021</w:t>
      </w:r>
      <w:r>
        <w:rPr>
          <w:noProof/>
        </w:rPr>
        <w:t>, mai multe reuniuni ale comisiei CONT s-au axat pe activitățile OLAF, oficiul fiind invitat să își prezinte rezultatele.</w:t>
      </w:r>
    </w:p>
    <w:p w14:paraId="5B1A94DC" w14:textId="4CCBCC28" w:rsidR="000A022B" w:rsidRPr="00261B88" w:rsidRDefault="000A022B" w:rsidP="005440DB">
      <w:pPr>
        <w:pStyle w:val="Caption"/>
        <w:pBdr>
          <w:top w:val="single" w:sz="4" w:space="1" w:color="auto"/>
          <w:left w:val="single" w:sz="4" w:space="4" w:color="auto"/>
          <w:bottom w:val="single" w:sz="4" w:space="1" w:color="auto"/>
          <w:right w:val="single" w:sz="4" w:space="4" w:color="auto"/>
        </w:pBdr>
        <w:shd w:val="clear" w:color="auto" w:fill="DEEAF6" w:themeFill="accent1" w:themeFillTint="33"/>
        <w:rPr>
          <w:noProof/>
        </w:rPr>
      </w:pPr>
      <w:bookmarkStart w:id="14" w:name="_Toc105777766"/>
      <w:bookmarkStart w:id="15" w:name="_Toc110444009"/>
      <w:r w:rsidRPr="00261B88">
        <w:rPr>
          <w:noProof/>
        </w:rPr>
        <w:t>Instantaneul </w:t>
      </w:r>
      <w:r w:rsidR="00FD11F8">
        <w:rPr>
          <w:noProof/>
        </w:rPr>
        <w:fldChar w:fldCharType="begin"/>
      </w:r>
      <w:r w:rsidR="00FD11F8">
        <w:rPr>
          <w:noProof/>
        </w:rPr>
        <w:instrText xml:space="preserve"> SEQ Snapshot \* ARABIC </w:instrText>
      </w:r>
      <w:r w:rsidR="00FD11F8">
        <w:rPr>
          <w:noProof/>
        </w:rPr>
        <w:fldChar w:fldCharType="separate"/>
      </w:r>
      <w:r w:rsidRPr="00261B88">
        <w:rPr>
          <w:noProof/>
        </w:rPr>
        <w:t>1</w:t>
      </w:r>
      <w:r w:rsidR="00FD11F8">
        <w:rPr>
          <w:noProof/>
        </w:rPr>
        <w:fldChar w:fldCharType="end"/>
      </w:r>
      <w:r w:rsidRPr="00261B88">
        <w:rPr>
          <w:noProof/>
        </w:rPr>
        <w:t> – Rezoluția PE referitoare la protecția intereselor financiare ale Uniunii Europene pentru 2019</w:t>
      </w:r>
      <w:bookmarkEnd w:id="14"/>
      <w:bookmarkEnd w:id="15"/>
      <w:r w:rsidRPr="00261B88">
        <w:rPr>
          <w:noProof/>
        </w:rPr>
        <w:t xml:space="preserve"> </w:t>
      </w:r>
    </w:p>
    <w:p w14:paraId="25CD98FC" w14:textId="6580A668" w:rsidR="00CA08E5" w:rsidRDefault="00CA08E5" w:rsidP="005440DB">
      <w:pPr>
        <w:pBdr>
          <w:top w:val="single" w:sz="4" w:space="1" w:color="auto"/>
          <w:left w:val="single" w:sz="4" w:space="4" w:color="auto"/>
          <w:bottom w:val="single" w:sz="4" w:space="1" w:color="auto"/>
          <w:right w:val="single" w:sz="4" w:space="4" w:color="auto"/>
        </w:pBdr>
        <w:shd w:val="clear" w:color="auto" w:fill="DEEAF6" w:themeFill="accent1" w:themeFillTint="33"/>
        <w:rPr>
          <w:noProof/>
        </w:rPr>
      </w:pPr>
      <w:r>
        <w:rPr>
          <w:noProof/>
        </w:rPr>
        <w:t xml:space="preserve">Rezoluția PE pentru </w:t>
      </w:r>
      <w:r w:rsidRPr="00D17A39">
        <w:rPr>
          <w:noProof/>
        </w:rPr>
        <w:t>2019</w:t>
      </w:r>
      <w:r>
        <w:rPr>
          <w:noProof/>
        </w:rPr>
        <w:t xml:space="preserve"> a fost adoptată în sesiunea sa plenară din </w:t>
      </w:r>
      <w:r w:rsidRPr="00D17A39">
        <w:rPr>
          <w:noProof/>
        </w:rPr>
        <w:t>7</w:t>
      </w:r>
      <w:r>
        <w:rPr>
          <w:noProof/>
        </w:rPr>
        <w:t> iulie </w:t>
      </w:r>
      <w:r w:rsidRPr="00D17A39">
        <w:rPr>
          <w:noProof/>
        </w:rPr>
        <w:t>2021</w:t>
      </w:r>
      <w:r>
        <w:rPr>
          <w:noProof/>
        </w:rPr>
        <w:t xml:space="preserve">, în urma votului favorabil al comisiei CONT din </w:t>
      </w:r>
      <w:r w:rsidRPr="00D17A39">
        <w:rPr>
          <w:noProof/>
        </w:rPr>
        <w:t>21</w:t>
      </w:r>
      <w:r>
        <w:rPr>
          <w:noProof/>
        </w:rPr>
        <w:t> iunie </w:t>
      </w:r>
      <w:r w:rsidRPr="00D17A39">
        <w:rPr>
          <w:noProof/>
        </w:rPr>
        <w:t>2021</w:t>
      </w:r>
      <w:r>
        <w:rPr>
          <w:rStyle w:val="FootnoteReference"/>
          <w:noProof/>
        </w:rPr>
        <w:footnoteReference w:id="20"/>
      </w:r>
      <w:r>
        <w:rPr>
          <w:noProof/>
        </w:rPr>
        <w:t>.</w:t>
      </w:r>
    </w:p>
    <w:p w14:paraId="5B72C5F3" w14:textId="2A63F872" w:rsidR="00101327" w:rsidRPr="00B358B1" w:rsidRDefault="00101327" w:rsidP="005440DB">
      <w:pPr>
        <w:pBdr>
          <w:top w:val="single" w:sz="4" w:space="1" w:color="auto"/>
          <w:left w:val="single" w:sz="4" w:space="4" w:color="auto"/>
          <w:bottom w:val="single" w:sz="4" w:space="1" w:color="auto"/>
          <w:right w:val="single" w:sz="4" w:space="4" w:color="auto"/>
        </w:pBdr>
        <w:shd w:val="clear" w:color="auto" w:fill="DEEAF6" w:themeFill="accent1" w:themeFillTint="33"/>
        <w:spacing w:after="100" w:afterAutospacing="1"/>
        <w:rPr>
          <w:noProof/>
        </w:rPr>
      </w:pPr>
      <w:r>
        <w:rPr>
          <w:noProof/>
        </w:rPr>
        <w:t xml:space="preserve">Rezoluția are un ton în mare parte pozitiv, recomandând totodată acțiuni suplimentare ale Comisiei într-o varietate de domenii legate de lupta împotriva fraudei. Aceasta ia act de scăderea numărului de nereguli de natură frauduloasă și nefrauduloasă raportate în </w:t>
      </w:r>
      <w:r w:rsidRPr="00D17A39">
        <w:rPr>
          <w:noProof/>
        </w:rPr>
        <w:t>2019</w:t>
      </w:r>
      <w:r>
        <w:rPr>
          <w:noProof/>
        </w:rPr>
        <w:t xml:space="preserve"> și solicită o cooperare mai strânsă a statelor membre în ceea ce privește schimbul de informații. Rezoluția recunoaște eforturile Comisiei de a reforma peisajul antifraudă și solicită asigurarea unor resurse adecvate pentru OLAF și EPPO. Rezoluția subliniază rolul esențial al capacității de detectare și invită Comisia să sprijine în continuare statele membre pentru a se asigura o creștere atât a calității controalelor, cât și a numărului acestora. PE solicită Comisiei, în special:</w:t>
      </w:r>
    </w:p>
    <w:p w14:paraId="5D20E347" w14:textId="5EC8CA57" w:rsidR="00101327" w:rsidRPr="00602423" w:rsidRDefault="005440DB" w:rsidP="005440DB">
      <w:pPr>
        <w:pStyle w:val="ListParagraph"/>
        <w:numPr>
          <w:ilvl w:val="0"/>
          <w:numId w:val="15"/>
        </w:numPr>
        <w:pBdr>
          <w:top w:val="single" w:sz="4" w:space="1" w:color="auto"/>
          <w:left w:val="single" w:sz="4" w:space="4" w:color="auto"/>
          <w:bottom w:val="single" w:sz="4" w:space="1" w:color="auto"/>
          <w:right w:val="single" w:sz="4" w:space="4" w:color="auto"/>
        </w:pBdr>
        <w:shd w:val="clear" w:color="auto" w:fill="DEEAF6" w:themeFill="accent1" w:themeFillTint="33"/>
        <w:spacing w:after="100" w:afterAutospacing="1"/>
        <w:jc w:val="both"/>
        <w:rPr>
          <w:rFonts w:ascii="Times New Roman" w:hAnsi="Times New Roman"/>
          <w:noProof/>
        </w:rPr>
      </w:pPr>
      <w:r>
        <w:rPr>
          <w:rFonts w:ascii="Times New Roman" w:hAnsi="Times New Roman"/>
          <w:noProof/>
        </w:rPr>
        <w:t>să creeze un sistem interoperabil de raportare și monitorizare digitală pentru raportarea la timp, uniformă și standardizată de către statele membre în domeniul gestiunii partajate;</w:t>
      </w:r>
    </w:p>
    <w:p w14:paraId="51BBF920" w14:textId="521C8ED9" w:rsidR="00101327" w:rsidRPr="00602423" w:rsidRDefault="00101327" w:rsidP="00505DEA">
      <w:pPr>
        <w:pStyle w:val="ListParagraph"/>
        <w:numPr>
          <w:ilvl w:val="0"/>
          <w:numId w:val="15"/>
        </w:numPr>
        <w:pBdr>
          <w:top w:val="single" w:sz="4" w:space="1" w:color="auto"/>
          <w:left w:val="single" w:sz="4" w:space="4" w:color="auto"/>
          <w:bottom w:val="single" w:sz="4" w:space="1" w:color="auto"/>
          <w:right w:val="single" w:sz="4" w:space="4" w:color="auto"/>
        </w:pBdr>
        <w:shd w:val="clear" w:color="auto" w:fill="DEEAF6" w:themeFill="accent1" w:themeFillTint="33"/>
        <w:spacing w:after="100" w:afterAutospacing="1"/>
        <w:jc w:val="both"/>
        <w:rPr>
          <w:rFonts w:ascii="Times New Roman" w:hAnsi="Times New Roman"/>
          <w:noProof/>
        </w:rPr>
      </w:pPr>
      <w:r>
        <w:rPr>
          <w:rFonts w:ascii="Times New Roman" w:hAnsi="Times New Roman"/>
          <w:noProof/>
        </w:rPr>
        <w:t>să adopte o strategie antifraudă care să includă statele membre;</w:t>
      </w:r>
    </w:p>
    <w:p w14:paraId="335134C4" w14:textId="77777777" w:rsidR="00101327" w:rsidRPr="00602423" w:rsidRDefault="00101327" w:rsidP="005440DB">
      <w:pPr>
        <w:pStyle w:val="ListParagraph"/>
        <w:numPr>
          <w:ilvl w:val="0"/>
          <w:numId w:val="15"/>
        </w:numPr>
        <w:pBdr>
          <w:top w:val="single" w:sz="4" w:space="1" w:color="auto"/>
          <w:left w:val="single" w:sz="4" w:space="4" w:color="auto"/>
          <w:bottom w:val="single" w:sz="4" w:space="1" w:color="auto"/>
          <w:right w:val="single" w:sz="4" w:space="4" w:color="auto"/>
        </w:pBdr>
        <w:shd w:val="clear" w:color="auto" w:fill="DEEAF6" w:themeFill="accent1" w:themeFillTint="33"/>
        <w:spacing w:after="100" w:afterAutospacing="1"/>
        <w:jc w:val="both"/>
        <w:rPr>
          <w:rFonts w:ascii="Times New Roman" w:hAnsi="Times New Roman"/>
          <w:noProof/>
        </w:rPr>
      </w:pPr>
      <w:r>
        <w:rPr>
          <w:rFonts w:ascii="Times New Roman" w:hAnsi="Times New Roman"/>
          <w:noProof/>
        </w:rPr>
        <w:t>să prezinte o propunere legislativă privind asistența administrativă reciprocă în domeniul cheltuielilor UE;</w:t>
      </w:r>
    </w:p>
    <w:p w14:paraId="4D620B82" w14:textId="2CA0FCB1" w:rsidR="00101327" w:rsidRPr="00602423" w:rsidRDefault="00101327" w:rsidP="005440DB">
      <w:pPr>
        <w:pStyle w:val="ListParagraph"/>
        <w:numPr>
          <w:ilvl w:val="0"/>
          <w:numId w:val="15"/>
        </w:numPr>
        <w:pBdr>
          <w:top w:val="single" w:sz="4" w:space="1" w:color="auto"/>
          <w:left w:val="single" w:sz="4" w:space="4" w:color="auto"/>
          <w:bottom w:val="single" w:sz="4" w:space="1" w:color="auto"/>
          <w:right w:val="single" w:sz="4" w:space="4" w:color="auto"/>
        </w:pBdr>
        <w:shd w:val="clear" w:color="auto" w:fill="DEEAF6" w:themeFill="accent1" w:themeFillTint="33"/>
        <w:spacing w:after="100" w:afterAutospacing="1"/>
        <w:jc w:val="both"/>
        <w:rPr>
          <w:rFonts w:ascii="Times New Roman" w:hAnsi="Times New Roman"/>
          <w:noProof/>
        </w:rPr>
      </w:pPr>
      <w:r>
        <w:rPr>
          <w:rFonts w:ascii="Times New Roman" w:hAnsi="Times New Roman"/>
          <w:noProof/>
        </w:rPr>
        <w:t>să includă propuneri de plafoane pentru fiecare persoană fizică pentru beneficiarii politicii agricole a Comisiei (PAC) și ai fondurilor de coeziune în propunerea sa de revizuire a Regulamentului financiar;</w:t>
      </w:r>
    </w:p>
    <w:p w14:paraId="45605EEE" w14:textId="48562BDF" w:rsidR="00101327" w:rsidRPr="00602423" w:rsidRDefault="00101327" w:rsidP="005440DB">
      <w:pPr>
        <w:pStyle w:val="ListParagraph"/>
        <w:numPr>
          <w:ilvl w:val="0"/>
          <w:numId w:val="15"/>
        </w:numPr>
        <w:pBdr>
          <w:top w:val="single" w:sz="4" w:space="1" w:color="auto"/>
          <w:left w:val="single" w:sz="4" w:space="4" w:color="auto"/>
          <w:bottom w:val="single" w:sz="4" w:space="1" w:color="auto"/>
          <w:right w:val="single" w:sz="4" w:space="4" w:color="auto"/>
        </w:pBdr>
        <w:shd w:val="clear" w:color="auto" w:fill="DEEAF6" w:themeFill="accent1" w:themeFillTint="33"/>
        <w:spacing w:after="100" w:afterAutospacing="1"/>
        <w:jc w:val="both"/>
        <w:rPr>
          <w:rFonts w:ascii="Times New Roman" w:hAnsi="Times New Roman"/>
          <w:noProof/>
        </w:rPr>
      </w:pPr>
      <w:r>
        <w:rPr>
          <w:rFonts w:ascii="Times New Roman" w:hAnsi="Times New Roman"/>
          <w:noProof/>
        </w:rPr>
        <w:t>să extindă sistemul de detectare timpurie și de excludere (EDES) la gestiunea partajată și</w:t>
      </w:r>
    </w:p>
    <w:p w14:paraId="1D26AF19" w14:textId="370ACE52" w:rsidR="00101327" w:rsidRPr="00602423" w:rsidRDefault="009741DA" w:rsidP="005440DB">
      <w:pPr>
        <w:pStyle w:val="ListParagraph"/>
        <w:numPr>
          <w:ilvl w:val="0"/>
          <w:numId w:val="15"/>
        </w:numPr>
        <w:pBdr>
          <w:top w:val="single" w:sz="4" w:space="1" w:color="auto"/>
          <w:left w:val="single" w:sz="4" w:space="4" w:color="auto"/>
          <w:bottom w:val="single" w:sz="4" w:space="1" w:color="auto"/>
          <w:right w:val="single" w:sz="4" w:space="4" w:color="auto"/>
        </w:pBdr>
        <w:shd w:val="clear" w:color="auto" w:fill="DEEAF6" w:themeFill="accent1" w:themeFillTint="33"/>
        <w:spacing w:after="100" w:afterAutospacing="1"/>
        <w:jc w:val="both"/>
        <w:rPr>
          <w:rFonts w:ascii="Times New Roman" w:hAnsi="Times New Roman"/>
          <w:noProof/>
        </w:rPr>
      </w:pPr>
      <w:r>
        <w:rPr>
          <w:rFonts w:ascii="Times New Roman" w:hAnsi="Times New Roman"/>
          <w:noProof/>
        </w:rPr>
        <w:t>să sprijine și să protejeze jurnalismul de investigație.</w:t>
      </w:r>
    </w:p>
    <w:p w14:paraId="7018155D" w14:textId="77777777" w:rsidR="00242925" w:rsidRPr="00261B88" w:rsidRDefault="00242925" w:rsidP="00CD7B44">
      <w:pPr>
        <w:pStyle w:val="Heading3"/>
        <w:rPr>
          <w:noProof/>
        </w:rPr>
      </w:pPr>
      <w:bookmarkStart w:id="16" w:name="_Toc116029508"/>
      <w:r w:rsidRPr="00261B88">
        <w:rPr>
          <w:noProof/>
        </w:rPr>
        <w:t>Consiliul</w:t>
      </w:r>
      <w:bookmarkEnd w:id="16"/>
    </w:p>
    <w:p w14:paraId="66F89555" w14:textId="1DB2BF3B" w:rsidR="00242925" w:rsidRDefault="00242925" w:rsidP="008A6DCE">
      <w:pPr>
        <w:rPr>
          <w:noProof/>
        </w:rPr>
      </w:pPr>
      <w:r w:rsidRPr="00261B88">
        <w:rPr>
          <w:b/>
          <w:noProof/>
        </w:rPr>
        <w:t>Grupul de lucru pentru combaterea fraudei al Consiliului</w:t>
      </w:r>
      <w:r>
        <w:rPr>
          <w:noProof/>
        </w:rPr>
        <w:t xml:space="preserve"> se ocupă de chestiuni legate de protejarea intereselor financiare ale UE și de lupta împotriva fraudei și a altor activități ilegale care aduc atingere acestor interese. De asemenea, acesta gestionează aspecte legate de OLAF și de Comitetul de supraveghere a acestuia.</w:t>
      </w:r>
    </w:p>
    <w:p w14:paraId="6985C427" w14:textId="42A97256" w:rsidR="009A107F" w:rsidRDefault="009A107F" w:rsidP="008A6DCE">
      <w:pPr>
        <w:rPr>
          <w:noProof/>
        </w:rPr>
      </w:pPr>
      <w:r>
        <w:rPr>
          <w:noProof/>
        </w:rPr>
        <w:t>Grupul de lucru este responsabil cu examinarea:</w:t>
      </w:r>
    </w:p>
    <w:p w14:paraId="4BC30A0C" w14:textId="3F62AB40" w:rsidR="009A107F" w:rsidRDefault="00CF5F78" w:rsidP="008A6DCE">
      <w:pPr>
        <w:pStyle w:val="ListBullet"/>
        <w:numPr>
          <w:ilvl w:val="0"/>
          <w:numId w:val="9"/>
        </w:numPr>
        <w:rPr>
          <w:noProof/>
        </w:rPr>
      </w:pPr>
      <w:r>
        <w:rPr>
          <w:noProof/>
        </w:rPr>
        <w:t>propunerilor legislative privind combaterea fraudei și activitățile OLAF;</w:t>
      </w:r>
    </w:p>
    <w:p w14:paraId="14654E32" w14:textId="77777777" w:rsidR="009A107F" w:rsidRDefault="009A107F" w:rsidP="008A6DCE">
      <w:pPr>
        <w:pStyle w:val="ListBullet"/>
        <w:numPr>
          <w:ilvl w:val="0"/>
          <w:numId w:val="9"/>
        </w:numPr>
        <w:rPr>
          <w:noProof/>
        </w:rPr>
      </w:pPr>
      <w:r>
        <w:rPr>
          <w:noProof/>
        </w:rPr>
        <w:t>rapoartelor anuale privind protejarea intereselor financiare ale UE.</w:t>
      </w:r>
    </w:p>
    <w:p w14:paraId="0D7593DB" w14:textId="47509BED" w:rsidR="00CF1D95" w:rsidRPr="00242925" w:rsidRDefault="00CF1D95" w:rsidP="008A6DCE">
      <w:pPr>
        <w:rPr>
          <w:noProof/>
        </w:rPr>
      </w:pPr>
      <w:r>
        <w:rPr>
          <w:noProof/>
        </w:rPr>
        <w:t>OLAF a reprezentat Comisia în cadrul mai multor grupuri de lucru ale Consiliului, în special în cadrul Grupului de lucru pentru combaterea fraudei.</w:t>
      </w:r>
    </w:p>
    <w:p w14:paraId="72B5FB2B" w14:textId="77777777" w:rsidR="00FE789E" w:rsidRPr="00261B88" w:rsidRDefault="00FE789E" w:rsidP="00CD7B44">
      <w:pPr>
        <w:pStyle w:val="Heading3"/>
        <w:rPr>
          <w:noProof/>
        </w:rPr>
      </w:pPr>
      <w:bookmarkStart w:id="17" w:name="_Toc116029509"/>
      <w:r w:rsidRPr="00261B88">
        <w:rPr>
          <w:noProof/>
        </w:rPr>
        <w:t>Comisia Europeană</w:t>
      </w:r>
      <w:bookmarkEnd w:id="17"/>
    </w:p>
    <w:p w14:paraId="4A718CD1" w14:textId="10BAFEA6" w:rsidR="00D83BC8" w:rsidRDefault="00D83BC8" w:rsidP="00FE789E">
      <w:pPr>
        <w:rPr>
          <w:noProof/>
        </w:rPr>
      </w:pPr>
      <w:r w:rsidRPr="00261B88">
        <w:rPr>
          <w:b/>
          <w:noProof/>
        </w:rPr>
        <w:t>Comisia Europeană</w:t>
      </w:r>
      <w:r>
        <w:rPr>
          <w:noProof/>
        </w:rPr>
        <w:t xml:space="preserve"> definește strategiile și transpune în politici și inițiative obiectivele politice generale elaborate în mod colectiv de instituțiile UE. Direcțiile generale (DG) ale Comisiei gestionează politici specifice și programele de cheltuieli aferente care le sprijină. Pentru a proteja mai bine bugetul UE, în </w:t>
      </w:r>
      <w:r w:rsidRPr="00D17A39">
        <w:rPr>
          <w:noProof/>
        </w:rPr>
        <w:t>2019</w:t>
      </w:r>
      <w:r>
        <w:rPr>
          <w:noProof/>
        </w:rPr>
        <w:t>, Comisia a adoptat strategia sa antifraudă [strategia antifraudă a Comisiei (SAFC)], care este însoțită de un plan de acțiune.</w:t>
      </w:r>
    </w:p>
    <w:p w14:paraId="013412DC" w14:textId="33135544" w:rsidR="00D83BC8" w:rsidRPr="00261B88" w:rsidRDefault="00D83BC8" w:rsidP="008A4E1B">
      <w:pPr>
        <w:pStyle w:val="Caption"/>
        <w:pBdr>
          <w:top w:val="single" w:sz="4" w:space="1" w:color="auto"/>
          <w:left w:val="single" w:sz="4" w:space="1" w:color="auto"/>
          <w:bottom w:val="single" w:sz="4" w:space="1" w:color="auto"/>
          <w:right w:val="single" w:sz="4" w:space="1" w:color="auto"/>
        </w:pBdr>
        <w:shd w:val="clear" w:color="auto" w:fill="D9E2F3" w:themeFill="accent5" w:themeFillTint="33"/>
        <w:rPr>
          <w:noProof/>
        </w:rPr>
      </w:pPr>
      <w:bookmarkStart w:id="18" w:name="_Toc105777767"/>
      <w:bookmarkStart w:id="19" w:name="_Toc110444010"/>
      <w:r w:rsidRPr="00261B88">
        <w:rPr>
          <w:noProof/>
        </w:rPr>
        <w:t>Instantaneul </w:t>
      </w:r>
      <w:r w:rsidR="00FD11F8">
        <w:rPr>
          <w:noProof/>
        </w:rPr>
        <w:fldChar w:fldCharType="begin"/>
      </w:r>
      <w:r w:rsidR="00FD11F8">
        <w:rPr>
          <w:noProof/>
        </w:rPr>
        <w:instrText xml:space="preserve"> SEQ Snapshot \* ARABIC </w:instrText>
      </w:r>
      <w:r w:rsidR="00FD11F8">
        <w:rPr>
          <w:noProof/>
        </w:rPr>
        <w:fldChar w:fldCharType="separate"/>
      </w:r>
      <w:r w:rsidRPr="00261B88">
        <w:rPr>
          <w:noProof/>
        </w:rPr>
        <w:t>2</w:t>
      </w:r>
      <w:r w:rsidR="00FD11F8">
        <w:rPr>
          <w:noProof/>
        </w:rPr>
        <w:fldChar w:fldCharType="end"/>
      </w:r>
      <w:r w:rsidRPr="00261B88">
        <w:rPr>
          <w:noProof/>
        </w:rPr>
        <w:t> – Situația actuală a punerii în aplicare a planului de acțiune care însoțește SAFC</w:t>
      </w:r>
      <w:bookmarkEnd w:id="18"/>
      <w:bookmarkEnd w:id="19"/>
    </w:p>
    <w:p w14:paraId="45C428BC" w14:textId="56AB135A" w:rsidR="00B06C44" w:rsidRDefault="002B1B19" w:rsidP="008A4E1B">
      <w:pPr>
        <w:pBdr>
          <w:top w:val="single" w:sz="4" w:space="1" w:color="auto"/>
          <w:left w:val="single" w:sz="4" w:space="1" w:color="auto"/>
          <w:bottom w:val="single" w:sz="4" w:space="1" w:color="auto"/>
          <w:right w:val="single" w:sz="4" w:space="1" w:color="auto"/>
        </w:pBdr>
        <w:shd w:val="clear" w:color="auto" w:fill="D9E2F3" w:themeFill="accent5" w:themeFillTint="33"/>
        <w:rPr>
          <w:noProof/>
        </w:rPr>
      </w:pPr>
      <w:r>
        <w:rPr>
          <w:noProof/>
        </w:rPr>
        <w:t xml:space="preserve">Strategia antifraudă a Comisiei (SAFC) și planul de acțiune aferent, care cuprinde </w:t>
      </w:r>
      <w:r w:rsidRPr="00D17A39">
        <w:rPr>
          <w:noProof/>
        </w:rPr>
        <w:t>63</w:t>
      </w:r>
      <w:r>
        <w:rPr>
          <w:noProof/>
        </w:rPr>
        <w:t xml:space="preserve"> de acțiuni, joacă un rol semnificativ în prevenirea unei posibile deturnări a fondurilor UE. Sub coordonarea OLAF, departamentele responsabile ale Comisiei au înregistrat progrese foarte bune în ceea ce privește punerea în aplicare a acțiunilor, plasându-le pe traiectoria respectării termenului de finalizare stabilit pentru decembrie </w:t>
      </w:r>
      <w:r w:rsidRPr="00D17A39">
        <w:rPr>
          <w:noProof/>
        </w:rPr>
        <w:t>2021</w:t>
      </w:r>
      <w:r>
        <w:rPr>
          <w:noProof/>
        </w:rPr>
        <w:t xml:space="preserve">. Până în iunie </w:t>
      </w:r>
      <w:r w:rsidRPr="00D17A39">
        <w:rPr>
          <w:noProof/>
        </w:rPr>
        <w:t>2022</w:t>
      </w:r>
      <w:r>
        <w:rPr>
          <w:noProof/>
        </w:rPr>
        <w:t xml:space="preserve">, </w:t>
      </w:r>
      <w:r w:rsidRPr="00D17A39">
        <w:rPr>
          <w:noProof/>
        </w:rPr>
        <w:t>59</w:t>
      </w:r>
      <w:r>
        <w:rPr>
          <w:noProof/>
        </w:rPr>
        <w:t xml:space="preserve"> dintre cele </w:t>
      </w:r>
      <w:r w:rsidRPr="00D17A39">
        <w:rPr>
          <w:noProof/>
        </w:rPr>
        <w:t>63</w:t>
      </w:r>
      <w:r>
        <w:rPr>
          <w:noProof/>
        </w:rPr>
        <w:t xml:space="preserve"> de acțiuni – aproximativ </w:t>
      </w:r>
      <w:r w:rsidRPr="00D17A39">
        <w:rPr>
          <w:noProof/>
        </w:rPr>
        <w:t>94</w:t>
      </w:r>
      <w:r>
        <w:rPr>
          <w:noProof/>
        </w:rPr>
        <w:t> % – fuseseră finalizate</w:t>
      </w:r>
      <w:r>
        <w:rPr>
          <w:rStyle w:val="FootnoteReference"/>
          <w:noProof/>
          <w:lang w:eastAsia="zh-CN"/>
        </w:rPr>
        <w:footnoteReference w:id="21"/>
      </w:r>
      <w:r>
        <w:rPr>
          <w:noProof/>
        </w:rPr>
        <w:t>.</w:t>
      </w:r>
    </w:p>
    <w:p w14:paraId="115B9196" w14:textId="54EEA392" w:rsidR="008A4E1B" w:rsidRPr="00B1353F" w:rsidRDefault="008A4E1B" w:rsidP="008A4E1B">
      <w:pPr>
        <w:pBdr>
          <w:top w:val="single" w:sz="4" w:space="1" w:color="auto"/>
          <w:left w:val="single" w:sz="4" w:space="1" w:color="auto"/>
          <w:bottom w:val="single" w:sz="4" w:space="1" w:color="auto"/>
          <w:right w:val="single" w:sz="4" w:space="1" w:color="auto"/>
        </w:pBdr>
        <w:shd w:val="clear" w:color="auto" w:fill="D9E2F3" w:themeFill="accent5" w:themeFillTint="33"/>
        <w:rPr>
          <w:noProof/>
        </w:rPr>
      </w:pPr>
      <w:r>
        <w:rPr>
          <w:noProof/>
        </w:rPr>
        <w:t xml:space="preserve">Strategia are două obiective principale, care urmăresc îmbunătățirea: (i) colectării și a analizării datelor și (ii) a coordonării, a cooperării și a proceselor. </w:t>
      </w:r>
    </w:p>
    <w:p w14:paraId="00ECEBE8" w14:textId="2896BBBF" w:rsidR="008A4E1B" w:rsidRPr="00B1353F" w:rsidRDefault="008A4E1B" w:rsidP="008A4E1B">
      <w:pPr>
        <w:pBdr>
          <w:top w:val="single" w:sz="4" w:space="1" w:color="auto"/>
          <w:left w:val="single" w:sz="4" w:space="1" w:color="auto"/>
          <w:bottom w:val="single" w:sz="4" w:space="1" w:color="auto"/>
          <w:right w:val="single" w:sz="4" w:space="1" w:color="auto"/>
        </w:pBdr>
        <w:shd w:val="clear" w:color="auto" w:fill="D9E2F3" w:themeFill="accent5" w:themeFillTint="33"/>
        <w:autoSpaceDE w:val="0"/>
        <w:autoSpaceDN w:val="0"/>
        <w:rPr>
          <w:noProof/>
          <w:sz w:val="20"/>
        </w:rPr>
      </w:pPr>
      <w:r>
        <w:rPr>
          <w:noProof/>
        </w:rPr>
        <w:t xml:space="preserve">În conformitate cu primul obiectiv, OLAF și-a intensificat activitatea analitică, în special prin dezvoltarea unui </w:t>
      </w:r>
      <w:r>
        <w:rPr>
          <w:rStyle w:val="normaltextrun"/>
          <w:noProof/>
        </w:rPr>
        <w:t>cadru de risc pentru Mecanismul de redresare și reziliență (MRR), care să acopere potențialele nereguli grave – frauda, corupția și conflictele de interese – care apar în punerea în aplicare a MRR</w:t>
      </w:r>
      <w:r>
        <w:rPr>
          <w:noProof/>
        </w:rPr>
        <w:t>.</w:t>
      </w:r>
      <w:r>
        <w:rPr>
          <w:rStyle w:val="normaltextrun"/>
          <w:noProof/>
        </w:rPr>
        <w:t xml:space="preserve"> De asemenea, acesta a lansat un studiu privind dezvoltarea viitoare a sistemului de gestionare a neregulilor (IMS) pentru a aborda aspecte legate de interoperabilitate și pentru a îmbunătăți raportarea de către statele membre.</w:t>
      </w:r>
    </w:p>
    <w:p w14:paraId="1C22D08A" w14:textId="4F6BE081" w:rsidR="008A4E1B" w:rsidRPr="00B1353F" w:rsidRDefault="008A4E1B" w:rsidP="008A4E1B">
      <w:pPr>
        <w:pBdr>
          <w:top w:val="single" w:sz="4" w:space="1" w:color="auto"/>
          <w:left w:val="single" w:sz="4" w:space="1" w:color="auto"/>
          <w:bottom w:val="single" w:sz="4" w:space="1" w:color="auto"/>
          <w:right w:val="single" w:sz="4" w:space="1" w:color="auto"/>
        </w:pBdr>
        <w:shd w:val="clear" w:color="auto" w:fill="D9E2F3" w:themeFill="accent5" w:themeFillTint="33"/>
        <w:rPr>
          <w:noProof/>
        </w:rPr>
      </w:pPr>
      <w:r>
        <w:rPr>
          <w:noProof/>
        </w:rPr>
        <w:t xml:space="preserve">În conformitate cu cel de al doilea obiectiv al SAFC, s-au înregistrat în continuare progrese cu privire la o serie de acțiuni menite să încurajeze coordonarea și cooperarea dintre departamentele Comisiei și să ofere Comisiei un sistem mai eficace de supraveghere antifraudă. Contactele și cooperarea dintre departamentele Comisiei s-au intensificat, în special prin reuniuni periodice ale grupurilor de reprezentanți ai Comisiei – înființate în funcție de modul de gestiune sau de temă – sub egida rețelei de prevenire și detectare a fraudei (FPDNet) conduse de OLAF. </w:t>
      </w:r>
    </w:p>
    <w:p w14:paraId="7EA70CE1" w14:textId="7187B766" w:rsidR="008A4E1B" w:rsidRPr="00B1353F" w:rsidRDefault="008A4E1B" w:rsidP="008A4E1B">
      <w:pPr>
        <w:pBdr>
          <w:top w:val="single" w:sz="4" w:space="1" w:color="auto"/>
          <w:left w:val="single" w:sz="4" w:space="1" w:color="auto"/>
          <w:bottom w:val="single" w:sz="4" w:space="1" w:color="auto"/>
          <w:right w:val="single" w:sz="4" w:space="1" w:color="auto"/>
        </w:pBdr>
        <w:shd w:val="clear" w:color="auto" w:fill="D9E2F3" w:themeFill="accent5" w:themeFillTint="33"/>
        <w:rPr>
          <w:noProof/>
        </w:rPr>
      </w:pPr>
      <w:r>
        <w:rPr>
          <w:noProof/>
        </w:rPr>
        <w:t xml:space="preserve">Comisia s-a angajat, de asemenea, să îmbunătățească monitorizarea acțiunilor întreprinse în urma recomandărilor OLAF, o parte esențială a eforturilor de a reintegra fondurile cheltuite necorespunzător în bugetul UE. Comisia și OLAF au depus eforturi concertate pentru a spori eficiența acestei monitorizări și au trecut în revistă aproximativ </w:t>
      </w:r>
      <w:r w:rsidRPr="00D17A39">
        <w:rPr>
          <w:noProof/>
        </w:rPr>
        <w:t>1</w:t>
      </w:r>
      <w:r>
        <w:rPr>
          <w:noProof/>
        </w:rPr>
        <w:t> </w:t>
      </w:r>
      <w:r w:rsidRPr="00D17A39">
        <w:rPr>
          <w:noProof/>
        </w:rPr>
        <w:t>700</w:t>
      </w:r>
      <w:r>
        <w:rPr>
          <w:noProof/>
        </w:rPr>
        <w:t xml:space="preserve"> de recomandări financiare adresate departamentelor și agențiilor executive ale Comisiei în perioada </w:t>
      </w:r>
      <w:r w:rsidRPr="00D17A39">
        <w:rPr>
          <w:noProof/>
        </w:rPr>
        <w:t>2012</w:t>
      </w:r>
      <w:r>
        <w:rPr>
          <w:noProof/>
        </w:rPr>
        <w:t>-</w:t>
      </w:r>
      <w:r w:rsidRPr="00D17A39">
        <w:rPr>
          <w:noProof/>
        </w:rPr>
        <w:t>2020</w:t>
      </w:r>
      <w:r>
        <w:rPr>
          <w:noProof/>
        </w:rPr>
        <w:t xml:space="preserve">. În total, cuantumul sumelor a căror recuperare a fost recomandată pentru perioada </w:t>
      </w:r>
      <w:r w:rsidRPr="00D17A39">
        <w:rPr>
          <w:noProof/>
        </w:rPr>
        <w:t>2012</w:t>
      </w:r>
      <w:r>
        <w:rPr>
          <w:noProof/>
        </w:rPr>
        <w:t>-</w:t>
      </w:r>
      <w:r w:rsidRPr="00D17A39">
        <w:rPr>
          <w:noProof/>
        </w:rPr>
        <w:t>2020</w:t>
      </w:r>
      <w:r>
        <w:rPr>
          <w:noProof/>
        </w:rPr>
        <w:t xml:space="preserve"> este echivalent cu peste </w:t>
      </w:r>
      <w:r w:rsidRPr="00D17A39">
        <w:rPr>
          <w:noProof/>
        </w:rPr>
        <w:t>7</w:t>
      </w:r>
      <w:r>
        <w:rPr>
          <w:noProof/>
        </w:rPr>
        <w:t xml:space="preserve"> miliarde EUR, mai mult de </w:t>
      </w:r>
      <w:r w:rsidRPr="00D17A39">
        <w:rPr>
          <w:noProof/>
        </w:rPr>
        <w:t>40</w:t>
      </w:r>
      <w:r>
        <w:rPr>
          <w:noProof/>
        </w:rPr>
        <w:t> % fiind legate de cinci cazuri majore de subevaluarea vamală</w:t>
      </w:r>
      <w:r>
        <w:rPr>
          <w:rStyle w:val="FootnoteReference"/>
          <w:noProof/>
        </w:rPr>
        <w:footnoteReference w:id="22"/>
      </w:r>
      <w:r>
        <w:rPr>
          <w:noProof/>
        </w:rPr>
        <w:t>.</w:t>
      </w:r>
    </w:p>
    <w:p w14:paraId="69A61BC5" w14:textId="21F6DF2F" w:rsidR="00B06C44" w:rsidRDefault="008A4E1B" w:rsidP="008A4E1B">
      <w:pPr>
        <w:pBdr>
          <w:top w:val="single" w:sz="4" w:space="1" w:color="auto"/>
          <w:left w:val="single" w:sz="4" w:space="1" w:color="auto"/>
          <w:bottom w:val="single" w:sz="4" w:space="1" w:color="auto"/>
          <w:right w:val="single" w:sz="4" w:space="1" w:color="auto"/>
        </w:pBdr>
        <w:shd w:val="clear" w:color="auto" w:fill="D9E2F3" w:themeFill="accent5" w:themeFillTint="33"/>
        <w:rPr>
          <w:noProof/>
        </w:rPr>
      </w:pPr>
      <w:r>
        <w:rPr>
          <w:noProof/>
        </w:rPr>
        <w:t xml:space="preserve">Pentru a asigura eforturi antifraudă susținute în cadrul Comisiei și pentru a aborda atât acțiunile rămase din planul de acțiune SAFC din </w:t>
      </w:r>
      <w:r w:rsidRPr="00D17A39">
        <w:rPr>
          <w:noProof/>
        </w:rPr>
        <w:t>2019</w:t>
      </w:r>
      <w:r>
        <w:rPr>
          <w:noProof/>
        </w:rPr>
        <w:t xml:space="preserve">, cât și noile priorități ale Comisiei, OLAF are în vedere o revizuire specifică a planului. Principalele obiective și principii de bază ale SAFC rămân valabile, iar accentul preconizat al unui plan de acțiune revizuit se va pune pe prioritățile Comisiei, cum ar fi noul CFM, MRR, cooperarea cu EPPO și rolul digitalizării în lupta împotriva fraudei. </w:t>
      </w:r>
    </w:p>
    <w:p w14:paraId="248438BF" w14:textId="77777777" w:rsidR="00FE789E" w:rsidRPr="00261B88" w:rsidRDefault="00FE789E" w:rsidP="00CD7B44">
      <w:pPr>
        <w:pStyle w:val="Heading3"/>
        <w:rPr>
          <w:noProof/>
        </w:rPr>
      </w:pPr>
      <w:bookmarkStart w:id="20" w:name="_Toc116029510"/>
      <w:r w:rsidRPr="00261B88">
        <w:rPr>
          <w:noProof/>
        </w:rPr>
        <w:t>Oficiul European de Luptă Antifraudă (OLAF)</w:t>
      </w:r>
      <w:bookmarkEnd w:id="20"/>
    </w:p>
    <w:p w14:paraId="7F81CB9A" w14:textId="4B679C50" w:rsidR="00FE789E" w:rsidRDefault="00B06C44" w:rsidP="00FE789E">
      <w:pPr>
        <w:rPr>
          <w:noProof/>
          <w:szCs w:val="24"/>
        </w:rPr>
      </w:pPr>
      <w:r w:rsidRPr="00261B88">
        <w:rPr>
          <w:b/>
          <w:noProof/>
        </w:rPr>
        <w:t xml:space="preserve">Oficiul European de Luptă Antifraudă </w:t>
      </w:r>
      <w:r>
        <w:rPr>
          <w:noProof/>
        </w:rPr>
        <w:t>(OLAF) desfășoară investigații independente privind frauda și corupția care implică fonduri ale UE și elaborează politica antifraudă a UE pentru a combate frauda, corupția și orice alte activități ilegale care afectează interesele financiare ale UE.</w:t>
      </w:r>
    </w:p>
    <w:p w14:paraId="316CD971" w14:textId="289089E5" w:rsidR="000A2CB4" w:rsidRPr="00261B88" w:rsidRDefault="000A2CB4" w:rsidP="009542F2">
      <w:pPr>
        <w:pStyle w:val="Caption"/>
        <w:keepNext/>
        <w:pBdr>
          <w:top w:val="single" w:sz="4" w:space="1" w:color="auto"/>
          <w:left w:val="single" w:sz="4" w:space="4" w:color="auto"/>
          <w:bottom w:val="single" w:sz="4" w:space="1" w:color="auto"/>
          <w:right w:val="single" w:sz="4" w:space="4" w:color="auto"/>
        </w:pBdr>
        <w:shd w:val="clear" w:color="auto" w:fill="D9E2F3" w:themeFill="accent5" w:themeFillTint="33"/>
        <w:rPr>
          <w:noProof/>
        </w:rPr>
      </w:pPr>
      <w:bookmarkStart w:id="21" w:name="_Toc105777768"/>
      <w:bookmarkStart w:id="22" w:name="_Toc110444011"/>
      <w:r w:rsidRPr="00261B88">
        <w:rPr>
          <w:noProof/>
        </w:rPr>
        <w:t>Instantaneul </w:t>
      </w:r>
      <w:r w:rsidR="00FD11F8">
        <w:rPr>
          <w:noProof/>
        </w:rPr>
        <w:fldChar w:fldCharType="begin"/>
      </w:r>
      <w:r w:rsidR="00FD11F8">
        <w:rPr>
          <w:noProof/>
        </w:rPr>
        <w:instrText xml:space="preserve"> SEQ Snapshot \* ARABIC </w:instrText>
      </w:r>
      <w:r w:rsidR="00FD11F8">
        <w:rPr>
          <w:noProof/>
        </w:rPr>
        <w:fldChar w:fldCharType="separate"/>
      </w:r>
      <w:r w:rsidRPr="00261B88">
        <w:rPr>
          <w:noProof/>
        </w:rPr>
        <w:t>3</w:t>
      </w:r>
      <w:r w:rsidR="00FD11F8">
        <w:rPr>
          <w:noProof/>
        </w:rPr>
        <w:fldChar w:fldCharType="end"/>
      </w:r>
      <w:r w:rsidRPr="00261B88">
        <w:rPr>
          <w:noProof/>
        </w:rPr>
        <w:t> – activitățile OLAF în 2021</w:t>
      </w:r>
      <w:bookmarkEnd w:id="21"/>
      <w:bookmarkEnd w:id="22"/>
    </w:p>
    <w:p w14:paraId="37DE9FB0" w14:textId="7DC482B6" w:rsidR="000A2CB4" w:rsidRDefault="000A2CB4" w:rsidP="000A2CB4">
      <w:pPr>
        <w:pBdr>
          <w:top w:val="single" w:sz="4" w:space="1" w:color="auto"/>
          <w:left w:val="single" w:sz="4" w:space="4" w:color="auto"/>
          <w:bottom w:val="single" w:sz="4" w:space="1" w:color="auto"/>
          <w:right w:val="single" w:sz="4" w:space="4" w:color="auto"/>
        </w:pBdr>
        <w:shd w:val="clear" w:color="auto" w:fill="D9E2F3" w:themeFill="accent5" w:themeFillTint="33"/>
        <w:rPr>
          <w:noProof/>
        </w:rPr>
      </w:pPr>
      <w:r>
        <w:rPr>
          <w:noProof/>
        </w:rPr>
        <w:t xml:space="preserve">În cursul anului, s-au efectuat aproximativ </w:t>
      </w:r>
      <w:r w:rsidRPr="00D17A39">
        <w:rPr>
          <w:noProof/>
        </w:rPr>
        <w:t>1</w:t>
      </w:r>
      <w:r>
        <w:rPr>
          <w:noProof/>
        </w:rPr>
        <w:t> </w:t>
      </w:r>
      <w:r w:rsidRPr="00D17A39">
        <w:rPr>
          <w:noProof/>
        </w:rPr>
        <w:t>100</w:t>
      </w:r>
      <w:r>
        <w:rPr>
          <w:noProof/>
        </w:rPr>
        <w:t xml:space="preserve"> de selecții, ceea ce a dus la deschiderea a </w:t>
      </w:r>
      <w:r w:rsidRPr="00D17A39">
        <w:rPr>
          <w:noProof/>
        </w:rPr>
        <w:t>234</w:t>
      </w:r>
      <w:r>
        <w:rPr>
          <w:noProof/>
        </w:rPr>
        <w:t xml:space="preserve"> de investigații noi. În total, </w:t>
      </w:r>
      <w:r w:rsidRPr="00D17A39">
        <w:rPr>
          <w:noProof/>
        </w:rPr>
        <w:t>212</w:t>
      </w:r>
      <w:r>
        <w:rPr>
          <w:noProof/>
        </w:rPr>
        <w:t xml:space="preserve"> investigații s-au finalizat cu succes în cursul anului, ceea ce a condus la emiterea de către OLAF a </w:t>
      </w:r>
      <w:r w:rsidRPr="00D17A39">
        <w:rPr>
          <w:noProof/>
        </w:rPr>
        <w:t>294</w:t>
      </w:r>
      <w:r>
        <w:rPr>
          <w:noProof/>
        </w:rPr>
        <w:t xml:space="preserve"> de recomandări financiare, judiciare, disciplinare și administrative adresate autorităților UE și naționale competente. Majoritatea acestor recomandări au vizat recuperarea fondurilor UE de către UE și autoritățile naționale în cauză – </w:t>
      </w:r>
      <w:r w:rsidRPr="00D17A39">
        <w:rPr>
          <w:noProof/>
        </w:rPr>
        <w:t>527</w:t>
      </w:r>
      <w:r>
        <w:rPr>
          <w:noProof/>
        </w:rPr>
        <w:t>,</w:t>
      </w:r>
      <w:r w:rsidRPr="00D17A39">
        <w:rPr>
          <w:noProof/>
        </w:rPr>
        <w:t>4</w:t>
      </w:r>
      <w:r>
        <w:rPr>
          <w:noProof/>
        </w:rPr>
        <w:t xml:space="preserve"> milioane EUR în </w:t>
      </w:r>
      <w:r w:rsidRPr="00D17A39">
        <w:rPr>
          <w:noProof/>
        </w:rPr>
        <w:t>2021</w:t>
      </w:r>
      <w:r>
        <w:rPr>
          <w:noProof/>
        </w:rPr>
        <w:t xml:space="preserve">. Datorită activității OLAF, s-a împiedicat realizarea în mod necuvenit a unor cheltuieli în valoare de peste </w:t>
      </w:r>
      <w:r w:rsidRPr="00D17A39">
        <w:rPr>
          <w:noProof/>
        </w:rPr>
        <w:t>340</w:t>
      </w:r>
      <w:r>
        <w:rPr>
          <w:noProof/>
        </w:rPr>
        <w:t> de milioane EUR.</w:t>
      </w:r>
    </w:p>
    <w:p w14:paraId="72A10265" w14:textId="77777777" w:rsidR="000A2CB4" w:rsidRDefault="000A2CB4" w:rsidP="000A2CB4">
      <w:pPr>
        <w:pBdr>
          <w:top w:val="single" w:sz="4" w:space="1" w:color="auto"/>
          <w:left w:val="single" w:sz="4" w:space="4" w:color="auto"/>
          <w:bottom w:val="single" w:sz="4" w:space="1" w:color="auto"/>
          <w:right w:val="single" w:sz="4" w:space="4" w:color="auto"/>
        </w:pBdr>
        <w:shd w:val="clear" w:color="auto" w:fill="D9E2F3" w:themeFill="accent5" w:themeFillTint="33"/>
        <w:rPr>
          <w:noProof/>
        </w:rPr>
      </w:pPr>
      <w:r>
        <w:rPr>
          <w:noProof/>
        </w:rPr>
        <w:t>Investigațiile OLAF au indicat o serie de noi tendințe în activitatea frauduloasă, cum ar fi frauda legată de COVID-</w:t>
      </w:r>
      <w:r w:rsidRPr="00D17A39">
        <w:rPr>
          <w:noProof/>
        </w:rPr>
        <w:t>19</w:t>
      </w:r>
      <w:r>
        <w:rPr>
          <w:noProof/>
        </w:rPr>
        <w:t>, tranziția verde și gestionarea deșeurilor.</w:t>
      </w:r>
    </w:p>
    <w:p w14:paraId="25E5C644" w14:textId="47FE4FC5" w:rsidR="000A2CB4" w:rsidRDefault="00BE6084" w:rsidP="00BE6084">
      <w:pPr>
        <w:pBdr>
          <w:top w:val="single" w:sz="4" w:space="1" w:color="auto"/>
          <w:left w:val="single" w:sz="4" w:space="4" w:color="auto"/>
          <w:bottom w:val="single" w:sz="4" w:space="1" w:color="auto"/>
          <w:right w:val="single" w:sz="4" w:space="4" w:color="auto"/>
        </w:pBdr>
        <w:shd w:val="clear" w:color="auto" w:fill="D9E2F3" w:themeFill="accent5" w:themeFillTint="33"/>
        <w:rPr>
          <w:noProof/>
        </w:rPr>
      </w:pPr>
      <w:r>
        <w:rPr>
          <w:noProof/>
        </w:rPr>
        <w:t xml:space="preserve">La </w:t>
      </w:r>
      <w:r w:rsidRPr="00D17A39">
        <w:rPr>
          <w:noProof/>
        </w:rPr>
        <w:t>5</w:t>
      </w:r>
      <w:r>
        <w:rPr>
          <w:noProof/>
        </w:rPr>
        <w:t> iulie </w:t>
      </w:r>
      <w:r w:rsidRPr="00D17A39">
        <w:rPr>
          <w:noProof/>
        </w:rPr>
        <w:t>2021</w:t>
      </w:r>
      <w:r>
        <w:rPr>
          <w:noProof/>
        </w:rPr>
        <w:t xml:space="preserve">, OLAF și EPPO au semnat un acord de lucru în vederea optimizării cooperării operaționale. Această cooperare produce deja rezultate tangibile. În </w:t>
      </w:r>
      <w:r w:rsidRPr="00D17A39">
        <w:rPr>
          <w:noProof/>
        </w:rPr>
        <w:t>2021</w:t>
      </w:r>
      <w:r>
        <w:rPr>
          <w:noProof/>
        </w:rPr>
        <w:t>, OLAF a reprezentat o sursă semnificativă de informații pentru EPPO</w:t>
      </w:r>
      <w:r>
        <w:rPr>
          <w:rStyle w:val="FootnoteReference"/>
          <w:noProof/>
        </w:rPr>
        <w:footnoteReference w:id="23"/>
      </w:r>
      <w:r>
        <w:rPr>
          <w:noProof/>
        </w:rPr>
        <w:t xml:space="preserve">: </w:t>
      </w:r>
      <w:r w:rsidRPr="00D17A39">
        <w:rPr>
          <w:noProof/>
        </w:rPr>
        <w:t>85</w:t>
      </w:r>
      <w:r>
        <w:rPr>
          <w:noProof/>
        </w:rPr>
        <w:t xml:space="preserve"> dintre investigațiile sale penale s-au bazat pe rapoartele de investigație ale OLAF. Prejudiciul total posibil adus bugetului UE ca urmare a faptelor care fac obiectul investigațiilor raportate de OLAF în </w:t>
      </w:r>
      <w:r w:rsidRPr="00D17A39">
        <w:rPr>
          <w:noProof/>
        </w:rPr>
        <w:t>2021</w:t>
      </w:r>
      <w:r>
        <w:rPr>
          <w:noProof/>
        </w:rPr>
        <w:t xml:space="preserve"> a fost estimat la </w:t>
      </w:r>
      <w:r w:rsidRPr="00D17A39">
        <w:rPr>
          <w:noProof/>
        </w:rPr>
        <w:t>2</w:t>
      </w:r>
      <w:r>
        <w:rPr>
          <w:noProof/>
        </w:rPr>
        <w:t>,</w:t>
      </w:r>
      <w:r w:rsidRPr="00D17A39">
        <w:rPr>
          <w:noProof/>
        </w:rPr>
        <w:t>2</w:t>
      </w:r>
      <w:r>
        <w:rPr>
          <w:noProof/>
        </w:rPr>
        <w:t> miliarde EUR</w:t>
      </w:r>
      <w:r>
        <w:rPr>
          <w:rStyle w:val="FootnoteReference"/>
          <w:noProof/>
        </w:rPr>
        <w:footnoteReference w:id="24"/>
      </w:r>
      <w:r>
        <w:rPr>
          <w:noProof/>
        </w:rPr>
        <w:t>. Investigatorii și analiștii criminaliști ai OLAF au oferit, de asemenea, un sprijin substanțial investigațiilor EPPO, participând la interviuri cu martori în calitate de experți și furnizând analize detaliate asupra aspectelor vamale. OLAF a deschis mai multe investigații complementare. Acestea au generat unele rezultate semnificative în ceea ce privește justiția financiară și penală.</w:t>
      </w:r>
    </w:p>
    <w:p w14:paraId="7AF3F5FE" w14:textId="77777777" w:rsidR="00FE789E" w:rsidRPr="00261B88" w:rsidRDefault="00FE789E" w:rsidP="00CD7B44">
      <w:pPr>
        <w:pStyle w:val="Heading3"/>
        <w:rPr>
          <w:noProof/>
        </w:rPr>
      </w:pPr>
      <w:bookmarkStart w:id="23" w:name="_Toc116029511"/>
      <w:r w:rsidRPr="00261B88">
        <w:rPr>
          <w:noProof/>
        </w:rPr>
        <w:t>Parchetul European (EPPO)</w:t>
      </w:r>
      <w:bookmarkEnd w:id="23"/>
    </w:p>
    <w:p w14:paraId="7C310290" w14:textId="52087F4E" w:rsidR="00FE789E" w:rsidRDefault="00262A80" w:rsidP="00FE789E">
      <w:pPr>
        <w:rPr>
          <w:noProof/>
        </w:rPr>
      </w:pPr>
      <w:r w:rsidRPr="00261B88">
        <w:rPr>
          <w:b/>
          <w:noProof/>
        </w:rPr>
        <w:t>Parchetul European</w:t>
      </w:r>
      <w:r>
        <w:rPr>
          <w:noProof/>
        </w:rPr>
        <w:t xml:space="preserve"> (EPPO), în calitate de primă autoritate supranațională de urmărire penală, are competența de a investiga și de a urmări penal infracțiunile care aduc atingere intereselor financiare ale UE în cele </w:t>
      </w:r>
      <w:r w:rsidRPr="00D17A39">
        <w:rPr>
          <w:noProof/>
        </w:rPr>
        <w:t>22</w:t>
      </w:r>
      <w:r>
        <w:rPr>
          <w:noProof/>
        </w:rPr>
        <w:t> de state membre ale UE participante</w:t>
      </w:r>
      <w:r>
        <w:rPr>
          <w:rStyle w:val="FootnoteReference"/>
          <w:noProof/>
        </w:rPr>
        <w:footnoteReference w:id="25"/>
      </w:r>
      <w:r>
        <w:rPr>
          <w:noProof/>
        </w:rPr>
        <w:t xml:space="preserve">. </w:t>
      </w:r>
    </w:p>
    <w:p w14:paraId="7F3C40B9" w14:textId="0ED6A1BC" w:rsidR="00262A80" w:rsidRPr="00261B88" w:rsidRDefault="00262A80" w:rsidP="00262A80">
      <w:pPr>
        <w:pStyle w:val="Caption"/>
        <w:keepNext/>
        <w:pBdr>
          <w:top w:val="single" w:sz="4" w:space="1" w:color="auto"/>
          <w:left w:val="single" w:sz="4" w:space="1" w:color="auto"/>
          <w:bottom w:val="single" w:sz="4" w:space="1" w:color="auto"/>
          <w:right w:val="single" w:sz="4" w:space="1" w:color="auto"/>
        </w:pBdr>
        <w:shd w:val="clear" w:color="auto" w:fill="D9E2F3" w:themeFill="accent5" w:themeFillTint="33"/>
        <w:rPr>
          <w:noProof/>
        </w:rPr>
      </w:pPr>
      <w:bookmarkStart w:id="24" w:name="_Toc105777769"/>
      <w:bookmarkStart w:id="25" w:name="_Toc110444012"/>
      <w:r w:rsidRPr="00261B88">
        <w:rPr>
          <w:noProof/>
        </w:rPr>
        <w:t>Instantaneul </w:t>
      </w:r>
      <w:r w:rsidR="00FD11F8">
        <w:rPr>
          <w:noProof/>
        </w:rPr>
        <w:fldChar w:fldCharType="begin"/>
      </w:r>
      <w:r w:rsidR="00FD11F8">
        <w:rPr>
          <w:noProof/>
        </w:rPr>
        <w:instrText xml:space="preserve"> SEQ Snapshot \* ARABIC </w:instrText>
      </w:r>
      <w:r w:rsidR="00FD11F8">
        <w:rPr>
          <w:noProof/>
        </w:rPr>
        <w:fldChar w:fldCharType="separate"/>
      </w:r>
      <w:r w:rsidRPr="00261B88">
        <w:rPr>
          <w:noProof/>
        </w:rPr>
        <w:t>4</w:t>
      </w:r>
      <w:r w:rsidR="00FD11F8">
        <w:rPr>
          <w:noProof/>
        </w:rPr>
        <w:fldChar w:fldCharType="end"/>
      </w:r>
      <w:r w:rsidRPr="00261B88">
        <w:rPr>
          <w:noProof/>
        </w:rPr>
        <w:t> – primele șapte luni de activitate operațională a EPPO în cifre</w:t>
      </w:r>
      <w:bookmarkEnd w:id="24"/>
      <w:bookmarkEnd w:id="25"/>
    </w:p>
    <w:p w14:paraId="458C077F" w14:textId="1EB8A3D8" w:rsidR="00262A80" w:rsidRPr="00573D60" w:rsidRDefault="00A50740" w:rsidP="00262A80">
      <w:pPr>
        <w:pBdr>
          <w:top w:val="single" w:sz="4" w:space="1" w:color="auto"/>
          <w:left w:val="single" w:sz="4" w:space="1" w:color="auto"/>
          <w:bottom w:val="single" w:sz="4" w:space="1" w:color="auto"/>
          <w:right w:val="single" w:sz="4" w:space="1" w:color="auto"/>
        </w:pBdr>
        <w:shd w:val="clear" w:color="auto" w:fill="D9E2F3" w:themeFill="accent5" w:themeFillTint="33"/>
        <w:spacing w:line="240" w:lineRule="auto"/>
        <w:rPr>
          <w:noProof/>
        </w:rPr>
      </w:pPr>
      <w:r>
        <w:rPr>
          <w:noProof/>
        </w:rPr>
        <w:t xml:space="preserve">EPPO și-a început activitatea la </w:t>
      </w:r>
      <w:r w:rsidRPr="00D17A39">
        <w:rPr>
          <w:noProof/>
        </w:rPr>
        <w:t>1</w:t>
      </w:r>
      <w:r>
        <w:rPr>
          <w:noProof/>
        </w:rPr>
        <w:t> iunie </w:t>
      </w:r>
      <w:r w:rsidRPr="00D17A39">
        <w:rPr>
          <w:noProof/>
        </w:rPr>
        <w:t>2021</w:t>
      </w:r>
      <w:r>
        <w:rPr>
          <w:noProof/>
        </w:rPr>
        <w:t xml:space="preserve">. În total, acesta a primit </w:t>
      </w:r>
      <w:r w:rsidRPr="00D17A39">
        <w:rPr>
          <w:noProof/>
        </w:rPr>
        <w:t>2</w:t>
      </w:r>
      <w:r>
        <w:rPr>
          <w:noProof/>
        </w:rPr>
        <w:t> </w:t>
      </w:r>
      <w:r w:rsidRPr="00D17A39">
        <w:rPr>
          <w:noProof/>
        </w:rPr>
        <w:t>832</w:t>
      </w:r>
      <w:r>
        <w:rPr>
          <w:noProof/>
        </w:rPr>
        <w:t xml:space="preserve"> de rapoarte și a deschis </w:t>
      </w:r>
      <w:r w:rsidRPr="00D17A39">
        <w:rPr>
          <w:noProof/>
        </w:rPr>
        <w:t>576</w:t>
      </w:r>
      <w:r>
        <w:rPr>
          <w:noProof/>
        </w:rPr>
        <w:t xml:space="preserve"> de investigații până la sfârșitul anului </w:t>
      </w:r>
      <w:r w:rsidRPr="00D17A39">
        <w:rPr>
          <w:noProof/>
        </w:rPr>
        <w:t>2021</w:t>
      </w:r>
      <w:r>
        <w:rPr>
          <w:noProof/>
        </w:rPr>
        <w:t xml:space="preserve"> (</w:t>
      </w:r>
      <w:r w:rsidRPr="00D17A39">
        <w:rPr>
          <w:noProof/>
        </w:rPr>
        <w:t>515</w:t>
      </w:r>
      <w:r>
        <w:rPr>
          <w:noProof/>
        </w:rPr>
        <w:t xml:space="preserve"> investigații active până la </w:t>
      </w:r>
      <w:r w:rsidRPr="00D17A39">
        <w:rPr>
          <w:noProof/>
        </w:rPr>
        <w:t>31</w:t>
      </w:r>
      <w:r>
        <w:rPr>
          <w:noProof/>
        </w:rPr>
        <w:t> decembrie </w:t>
      </w:r>
      <w:r w:rsidRPr="00D17A39">
        <w:rPr>
          <w:noProof/>
        </w:rPr>
        <w:t>2021</w:t>
      </w:r>
      <w:r>
        <w:rPr>
          <w:noProof/>
        </w:rPr>
        <w:t>)</w:t>
      </w:r>
      <w:r>
        <w:rPr>
          <w:rStyle w:val="FootnoteReference"/>
          <w:noProof/>
        </w:rPr>
        <w:footnoteReference w:id="26"/>
      </w:r>
      <w:r>
        <w:rPr>
          <w:noProof/>
        </w:rPr>
        <w:t xml:space="preserve">. </w:t>
      </w:r>
    </w:p>
    <w:p w14:paraId="28086A94" w14:textId="2C726831" w:rsidR="00262A80" w:rsidRPr="00573D60" w:rsidRDefault="00262A80" w:rsidP="00262A80">
      <w:pPr>
        <w:pBdr>
          <w:top w:val="single" w:sz="4" w:space="1" w:color="auto"/>
          <w:left w:val="single" w:sz="4" w:space="1" w:color="auto"/>
          <w:bottom w:val="single" w:sz="4" w:space="1" w:color="auto"/>
          <w:right w:val="single" w:sz="4" w:space="1" w:color="auto"/>
        </w:pBdr>
        <w:shd w:val="clear" w:color="auto" w:fill="D9E2F3" w:themeFill="accent5" w:themeFillTint="33"/>
        <w:spacing w:line="240" w:lineRule="auto"/>
        <w:rPr>
          <w:noProof/>
        </w:rPr>
      </w:pPr>
      <w:r>
        <w:rPr>
          <w:noProof/>
        </w:rPr>
        <w:t>Rapoartele au provenit în principal de la autoritățile naționale sau de la părți private.</w:t>
      </w:r>
    </w:p>
    <w:p w14:paraId="65ED88A1" w14:textId="3C13E7A8" w:rsidR="00262A80" w:rsidRPr="00573D60" w:rsidRDefault="0069243F" w:rsidP="00262A80">
      <w:pPr>
        <w:pBdr>
          <w:top w:val="single" w:sz="4" w:space="1" w:color="auto"/>
          <w:left w:val="single" w:sz="4" w:space="1" w:color="auto"/>
          <w:bottom w:val="single" w:sz="4" w:space="1" w:color="auto"/>
          <w:right w:val="single" w:sz="4" w:space="1" w:color="auto"/>
        </w:pBdr>
        <w:shd w:val="clear" w:color="auto" w:fill="D9E2F3" w:themeFill="accent5" w:themeFillTint="33"/>
        <w:spacing w:line="240" w:lineRule="auto"/>
        <w:rPr>
          <w:noProof/>
          <w:sz w:val="23"/>
          <w:szCs w:val="23"/>
        </w:rPr>
      </w:pPr>
      <w:r>
        <w:rPr>
          <w:noProof/>
        </w:rPr>
        <w:t>EPPO a încheiat un acord de lucru cu Parchetul General din Ungaria, iar negocierile privind încheierea unui acord de lucru cu Polonia, Irlanda și Danemarca sunt în desfășurare.</w:t>
      </w:r>
    </w:p>
    <w:p w14:paraId="649F72A9" w14:textId="18C7C85D" w:rsidR="00262A80" w:rsidRDefault="00262A80" w:rsidP="00262A80">
      <w:pPr>
        <w:pBdr>
          <w:top w:val="single" w:sz="4" w:space="1" w:color="auto"/>
          <w:left w:val="single" w:sz="4" w:space="1" w:color="auto"/>
          <w:bottom w:val="single" w:sz="4" w:space="1" w:color="auto"/>
          <w:right w:val="single" w:sz="4" w:space="1" w:color="auto"/>
        </w:pBdr>
        <w:shd w:val="clear" w:color="auto" w:fill="D9E2F3" w:themeFill="accent5" w:themeFillTint="33"/>
        <w:rPr>
          <w:noProof/>
        </w:rPr>
      </w:pPr>
      <w:r>
        <w:rPr>
          <w:noProof/>
        </w:rPr>
        <w:t xml:space="preserve">În ceea ce privește recuperarea produselor provenite din activități infracționale, </w:t>
      </w:r>
      <w:r w:rsidRPr="00D17A39">
        <w:rPr>
          <w:noProof/>
        </w:rPr>
        <w:t>81</w:t>
      </w:r>
      <w:r>
        <w:rPr>
          <w:noProof/>
        </w:rPr>
        <w:t xml:space="preserve"> de acțiuni de recuperare au avut loc în </w:t>
      </w:r>
      <w:r w:rsidRPr="00D17A39">
        <w:rPr>
          <w:noProof/>
        </w:rPr>
        <w:t>12</w:t>
      </w:r>
      <w:r>
        <w:rPr>
          <w:noProof/>
        </w:rPr>
        <w:t xml:space="preserve"> dintre statele membre participante (Italia, Belgia, Germania, România, Cehia, Croația, Finlanda, Letonia, Luxemburg, Spania, Lituania și Portugalia). În total, EPPO a solicitat confiscarea a peste </w:t>
      </w:r>
      <w:r w:rsidRPr="00D17A39">
        <w:rPr>
          <w:noProof/>
        </w:rPr>
        <w:t>152</w:t>
      </w:r>
      <w:r>
        <w:rPr>
          <w:noProof/>
        </w:rPr>
        <w:t xml:space="preserve"> de milioane EUR, iar aceasta a fost aprobată pentru peste </w:t>
      </w:r>
      <w:r w:rsidRPr="00D17A39">
        <w:rPr>
          <w:noProof/>
        </w:rPr>
        <w:t>147</w:t>
      </w:r>
      <w:r>
        <w:rPr>
          <w:noProof/>
        </w:rPr>
        <w:t xml:space="preserve"> de milioane EUR. </w:t>
      </w:r>
    </w:p>
    <w:p w14:paraId="53FEA5FE" w14:textId="7ED244FC" w:rsidR="00262A80" w:rsidRDefault="00A169C9" w:rsidP="00262A80">
      <w:pPr>
        <w:rPr>
          <w:noProof/>
        </w:rPr>
      </w:pPr>
      <w:r>
        <w:rPr>
          <w:noProof/>
        </w:rPr>
        <w:t xml:space="preserve">În conformitate cu principiul legalității, EPPO este obligat să inițieze investigații ori de câte ori există motive întemeiate să se considere că se săvârșește sau s-a săvârșit o infracțiune care intră în sfera sa de competență. Autoritățile naționale sunt obligate din punct de vedere juridic să raporteze EPPO orice comportament infracțional cu privire la care EPPO și-ar putea exercita competența. În cazul în care autoritățile naționale au început investigarea unei infracțiuni care intră în sfera de competență a EPPO, iar EPPO decide să își exercite dreptul de evocare, acestea sunt obligate să îi predea cazurile. Investigațiile sunt inițiate de procurorii europeni delegați din statele membre participante și sunt supravegheate de </w:t>
      </w:r>
      <w:r w:rsidRPr="00D17A39">
        <w:rPr>
          <w:noProof/>
        </w:rPr>
        <w:t>22</w:t>
      </w:r>
      <w:r>
        <w:rPr>
          <w:noProof/>
        </w:rPr>
        <w:t xml:space="preserve"> de procurori europeni și de procurorul-șef european din Luxemburg. Procurorii europeni delegați sunt integrați în parchetele naționale sau în sistemele judiciare naționale. Totuși, acestora li se pot da instrucțiuni în ceea ce privește activitatea lor operațională numai de către sediul EPPO, fie prin intermediul celor </w:t>
      </w:r>
      <w:r w:rsidRPr="00D17A39">
        <w:rPr>
          <w:noProof/>
        </w:rPr>
        <w:t>15</w:t>
      </w:r>
      <w:r>
        <w:rPr>
          <w:noProof/>
        </w:rPr>
        <w:t xml:space="preserve"> camere permanente, fie al celor </w:t>
      </w:r>
      <w:r w:rsidRPr="00D17A39">
        <w:rPr>
          <w:noProof/>
        </w:rPr>
        <w:t>22</w:t>
      </w:r>
      <w:r>
        <w:rPr>
          <w:noProof/>
        </w:rPr>
        <w:t xml:space="preserve"> de procurori europeni. În </w:t>
      </w:r>
      <w:r w:rsidRPr="00D17A39">
        <w:rPr>
          <w:noProof/>
        </w:rPr>
        <w:t>2021</w:t>
      </w:r>
      <w:r>
        <w:rPr>
          <w:noProof/>
        </w:rPr>
        <w:t xml:space="preserve">, au fost activi </w:t>
      </w:r>
      <w:r w:rsidRPr="00D17A39">
        <w:rPr>
          <w:noProof/>
        </w:rPr>
        <w:t>95</w:t>
      </w:r>
      <w:r>
        <w:rPr>
          <w:noProof/>
        </w:rPr>
        <w:t xml:space="preserve"> de procurori europeni delegați, intenționându-se numirea a </w:t>
      </w:r>
      <w:r w:rsidRPr="00D17A39">
        <w:rPr>
          <w:noProof/>
        </w:rPr>
        <w:t>140</w:t>
      </w:r>
      <w:r>
        <w:rPr>
          <w:noProof/>
        </w:rPr>
        <w:t xml:space="preserve">. Colegiul EPPO s-a reunit de </w:t>
      </w:r>
      <w:r w:rsidRPr="00D17A39">
        <w:rPr>
          <w:noProof/>
        </w:rPr>
        <w:t>34</w:t>
      </w:r>
      <w:r>
        <w:rPr>
          <w:noProof/>
        </w:rPr>
        <w:t xml:space="preserve"> de ori și a adoptat </w:t>
      </w:r>
      <w:r w:rsidRPr="00D17A39">
        <w:rPr>
          <w:noProof/>
        </w:rPr>
        <w:t>125</w:t>
      </w:r>
      <w:r>
        <w:rPr>
          <w:noProof/>
        </w:rPr>
        <w:t> de decizii. Acesta a modificat și a completat unele decizii pe baza primelor lecții învățate, de exemplu în ceea ce privește alocarea cazurilor către camerele permanente sau verificarea informațiilor înregistrate pentru a evalua competența EPPO.</w:t>
      </w:r>
    </w:p>
    <w:p w14:paraId="6B32F0FD" w14:textId="280EA90B" w:rsidR="00CF1D95" w:rsidRPr="00261B88" w:rsidRDefault="00CF1D95" w:rsidP="008A6DCE">
      <w:pPr>
        <w:pStyle w:val="Caption"/>
        <w:pBdr>
          <w:top w:val="single" w:sz="4" w:space="1" w:color="auto"/>
          <w:left w:val="single" w:sz="4" w:space="4" w:color="auto"/>
          <w:bottom w:val="single" w:sz="4" w:space="1" w:color="auto"/>
          <w:right w:val="single" w:sz="4" w:space="4" w:color="auto"/>
        </w:pBdr>
        <w:shd w:val="clear" w:color="auto" w:fill="D9E2F3" w:themeFill="accent5" w:themeFillTint="33"/>
        <w:rPr>
          <w:noProof/>
        </w:rPr>
      </w:pPr>
      <w:bookmarkStart w:id="26" w:name="_Toc105777770"/>
      <w:bookmarkStart w:id="27" w:name="_Toc110444013"/>
      <w:r w:rsidRPr="00261B88">
        <w:rPr>
          <w:noProof/>
        </w:rPr>
        <w:t>Instantaneul </w:t>
      </w:r>
      <w:r w:rsidR="00FD11F8">
        <w:rPr>
          <w:noProof/>
        </w:rPr>
        <w:fldChar w:fldCharType="begin"/>
      </w:r>
      <w:r w:rsidR="00FD11F8">
        <w:rPr>
          <w:noProof/>
        </w:rPr>
        <w:instrText xml:space="preserve"> SEQ Snapshot \* ARABIC </w:instrText>
      </w:r>
      <w:r w:rsidR="00FD11F8">
        <w:rPr>
          <w:noProof/>
        </w:rPr>
        <w:fldChar w:fldCharType="separate"/>
      </w:r>
      <w:r w:rsidRPr="00261B88">
        <w:rPr>
          <w:noProof/>
        </w:rPr>
        <w:t>5</w:t>
      </w:r>
      <w:r w:rsidR="00FD11F8">
        <w:rPr>
          <w:noProof/>
        </w:rPr>
        <w:fldChar w:fldCharType="end"/>
      </w:r>
      <w:r w:rsidRPr="00261B88">
        <w:rPr>
          <w:noProof/>
        </w:rPr>
        <w:t> – Acordul de stabilire a modalităților de cooperare dintre Comisie și EPPO</w:t>
      </w:r>
      <w:bookmarkEnd w:id="26"/>
      <w:bookmarkEnd w:id="27"/>
    </w:p>
    <w:p w14:paraId="524C5EA2" w14:textId="2B3AA54B" w:rsidR="00F7378C" w:rsidRDefault="00F7378C" w:rsidP="00F7378C">
      <w:pPr>
        <w:pBdr>
          <w:top w:val="single" w:sz="4" w:space="1" w:color="auto"/>
          <w:left w:val="single" w:sz="4" w:space="4" w:color="auto"/>
          <w:bottom w:val="single" w:sz="4" w:space="1" w:color="auto"/>
          <w:right w:val="single" w:sz="4" w:space="4" w:color="auto"/>
        </w:pBdr>
        <w:shd w:val="clear" w:color="auto" w:fill="D9E2F3" w:themeFill="accent5" w:themeFillTint="33"/>
        <w:rPr>
          <w:noProof/>
        </w:rPr>
      </w:pPr>
      <w:r>
        <w:rPr>
          <w:noProof/>
        </w:rPr>
        <w:t>Cadrul juridic care reglementează EPPO prevede că acesta instituie și menține o relație de cooperare cu Comisia în scopul protejării intereselor financiare ale UE. În acest sens, acestea au încheiat un acord de stabilire a modalităților de cooperare.</w:t>
      </w:r>
    </w:p>
    <w:p w14:paraId="5AB5674C" w14:textId="649AF635" w:rsidR="00F83AD7" w:rsidRDefault="00F7378C" w:rsidP="00F7378C">
      <w:pPr>
        <w:pBdr>
          <w:top w:val="single" w:sz="4" w:space="1" w:color="auto"/>
          <w:left w:val="single" w:sz="4" w:space="4" w:color="auto"/>
          <w:bottom w:val="single" w:sz="4" w:space="1" w:color="auto"/>
          <w:right w:val="single" w:sz="4" w:space="4" w:color="auto"/>
        </w:pBdr>
        <w:shd w:val="clear" w:color="auto" w:fill="D9E2F3" w:themeFill="accent5" w:themeFillTint="33"/>
        <w:rPr>
          <w:noProof/>
        </w:rPr>
      </w:pPr>
      <w:r>
        <w:rPr>
          <w:noProof/>
        </w:rPr>
        <w:t xml:space="preserve">Acordul, semnat la </w:t>
      </w:r>
      <w:r w:rsidRPr="00D17A39">
        <w:rPr>
          <w:noProof/>
        </w:rPr>
        <w:t>18</w:t>
      </w:r>
      <w:r>
        <w:rPr>
          <w:noProof/>
        </w:rPr>
        <w:t> iunie </w:t>
      </w:r>
      <w:r w:rsidRPr="00D17A39">
        <w:rPr>
          <w:noProof/>
        </w:rPr>
        <w:t>2021</w:t>
      </w:r>
      <w:r>
        <w:rPr>
          <w:noProof/>
        </w:rPr>
        <w:t>, detaliază acordurile administrative pentru punerea în aplicare a obligațiilor de informare și consultare reciprocă prevăzute în Regulamentul privind EPPO. Scopul acestora este, pe de o parte, de a permite EPPO să investigheze și să urmărească penal în mod eficace infracțiunile care afectează bugetul UE și, pe de altă parte, de a permite departamentelor Comisiei să asigure întreprinderea unor acțiuni de natură administrativă, financiară și disciplinară corespunzătoare în urma investigațiilor EPPO, inclusiv prin instituirea unor măsuri asigurătorii pentru a proteja bugetul UE.</w:t>
      </w:r>
    </w:p>
    <w:p w14:paraId="607AC7DD" w14:textId="01088503" w:rsidR="00CF1D95" w:rsidRPr="00CF1D95" w:rsidRDefault="00F7378C" w:rsidP="008A6DCE">
      <w:pPr>
        <w:pBdr>
          <w:top w:val="single" w:sz="4" w:space="1" w:color="auto"/>
          <w:left w:val="single" w:sz="4" w:space="4" w:color="auto"/>
          <w:bottom w:val="single" w:sz="4" w:space="1" w:color="auto"/>
          <w:right w:val="single" w:sz="4" w:space="4" w:color="auto"/>
        </w:pBdr>
        <w:shd w:val="clear" w:color="auto" w:fill="D9E2F3" w:themeFill="accent5" w:themeFillTint="33"/>
        <w:rPr>
          <w:noProof/>
        </w:rPr>
      </w:pPr>
      <w:r>
        <w:rPr>
          <w:noProof/>
        </w:rPr>
        <w:t>Acordul precizează, în special, a) tipurile specifice de informații sau consultări care trebuie transmise în fiecare caz; b) punctele de contact relevante; c) procedurile, instrumentele de comunicare, modelele și termenele aplicabile și d) condițiile în care EPPO poate accesa baze de date specifice relevante gestionate de Comisie. Acesta include, de asemenea, o trimitere la cooperarea strânsă și în timp util dintre Comisie și EPPO în ceea ce privește aplicarea Regulamentului (UE, Euratom) </w:t>
      </w:r>
      <w:r w:rsidRPr="00D17A39">
        <w:rPr>
          <w:noProof/>
        </w:rPr>
        <w:t>2020</w:t>
      </w:r>
      <w:r>
        <w:rPr>
          <w:noProof/>
        </w:rPr>
        <w:t>/</w:t>
      </w:r>
      <w:r w:rsidRPr="00D17A39">
        <w:rPr>
          <w:noProof/>
        </w:rPr>
        <w:t>2092</w:t>
      </w:r>
      <w:r>
        <w:rPr>
          <w:noProof/>
        </w:rPr>
        <w:t xml:space="preserve"> privind un regim general de condiționalitate pentru protecția bugetului Uniunii.</w:t>
      </w:r>
    </w:p>
    <w:p w14:paraId="6152661D" w14:textId="77777777" w:rsidR="00FE789E" w:rsidRPr="00261B88" w:rsidRDefault="00FE789E" w:rsidP="00CD7B44">
      <w:pPr>
        <w:pStyle w:val="Heading3"/>
        <w:rPr>
          <w:noProof/>
        </w:rPr>
      </w:pPr>
      <w:bookmarkStart w:id="28" w:name="_Toc116029512"/>
      <w:r w:rsidRPr="00261B88">
        <w:rPr>
          <w:noProof/>
        </w:rPr>
        <w:t>Curtea de Conturi Europeană (CCE)</w:t>
      </w:r>
      <w:bookmarkEnd w:id="28"/>
    </w:p>
    <w:p w14:paraId="312457E7" w14:textId="77777777" w:rsidR="00FE789E" w:rsidRDefault="0043307E" w:rsidP="00FE789E">
      <w:pPr>
        <w:rPr>
          <w:noProof/>
        </w:rPr>
      </w:pPr>
      <w:r w:rsidRPr="00261B88">
        <w:rPr>
          <w:b/>
          <w:noProof/>
        </w:rPr>
        <w:t>Curtea de Conturi Europeană</w:t>
      </w:r>
      <w:r>
        <w:rPr>
          <w:noProof/>
        </w:rPr>
        <w:t xml:space="preserve"> (CCE) evaluează economia, eficacitatea, eficiența, legalitatea și regularitatea acțiunilor UE menite să îmbunătățească responsabilitatea, transparența și gestiunea financiară.</w:t>
      </w:r>
    </w:p>
    <w:p w14:paraId="5A4D0BF0" w14:textId="052907D1" w:rsidR="0043307E" w:rsidRPr="00261B88" w:rsidRDefault="0043307E" w:rsidP="00A10036">
      <w:pPr>
        <w:pStyle w:val="Caption"/>
        <w:keepNext/>
        <w:pBdr>
          <w:top w:val="single" w:sz="4" w:space="1" w:color="auto"/>
          <w:left w:val="single" w:sz="4" w:space="1" w:color="auto"/>
          <w:bottom w:val="single" w:sz="4" w:space="1" w:color="auto"/>
          <w:right w:val="single" w:sz="4" w:space="1" w:color="auto"/>
        </w:pBdr>
        <w:shd w:val="clear" w:color="auto" w:fill="D9E2F3" w:themeFill="accent5" w:themeFillTint="33"/>
        <w:rPr>
          <w:noProof/>
        </w:rPr>
      </w:pPr>
      <w:bookmarkStart w:id="29" w:name="_Toc105777771"/>
      <w:bookmarkStart w:id="30" w:name="_Toc110444014"/>
      <w:r w:rsidRPr="00261B88">
        <w:rPr>
          <w:noProof/>
        </w:rPr>
        <w:t xml:space="preserve">Instantaneul </w:t>
      </w:r>
      <w:r w:rsidR="00FD11F8">
        <w:rPr>
          <w:noProof/>
        </w:rPr>
        <w:fldChar w:fldCharType="begin"/>
      </w:r>
      <w:r w:rsidR="00FD11F8">
        <w:rPr>
          <w:noProof/>
        </w:rPr>
        <w:instrText xml:space="preserve"> SEQ Snapshot \* ARABIC </w:instrText>
      </w:r>
      <w:r w:rsidR="00FD11F8">
        <w:rPr>
          <w:noProof/>
        </w:rPr>
        <w:fldChar w:fldCharType="separate"/>
      </w:r>
      <w:r w:rsidRPr="00261B88">
        <w:rPr>
          <w:noProof/>
        </w:rPr>
        <w:t>6</w:t>
      </w:r>
      <w:r w:rsidR="00FD11F8">
        <w:rPr>
          <w:noProof/>
        </w:rPr>
        <w:fldChar w:fldCharType="end"/>
      </w:r>
      <w:r w:rsidRPr="00261B88">
        <w:rPr>
          <w:noProof/>
        </w:rPr>
        <w:t> – Raportul anual al Curții de Conturi Europene</w:t>
      </w:r>
      <w:bookmarkEnd w:id="29"/>
      <w:bookmarkEnd w:id="30"/>
    </w:p>
    <w:p w14:paraId="58CFD9EA" w14:textId="36D94E13" w:rsidR="0043307E" w:rsidRPr="00B73A7A" w:rsidRDefault="0043307E" w:rsidP="0043307E">
      <w:pPr>
        <w:pBdr>
          <w:top w:val="single" w:sz="4" w:space="1" w:color="auto"/>
          <w:left w:val="single" w:sz="4" w:space="1" w:color="auto"/>
          <w:bottom w:val="single" w:sz="4" w:space="1" w:color="auto"/>
          <w:right w:val="single" w:sz="4" w:space="1" w:color="auto"/>
        </w:pBdr>
        <w:shd w:val="clear" w:color="auto" w:fill="D9E2F3" w:themeFill="accent5" w:themeFillTint="33"/>
        <w:rPr>
          <w:noProof/>
        </w:rPr>
      </w:pPr>
      <w:r>
        <w:rPr>
          <w:noProof/>
        </w:rPr>
        <w:t xml:space="preserve">În fiecare an, CCE auditează veniturile și cheltuielile bugetului UE și își exprimă opinia cu privire la măsura în care conturile anuale sunt fiabile, iar veniturile și cheltuielile respectă normele și reglementările în vigoare. Raportul anual pentru exercițiul financiar </w:t>
      </w:r>
      <w:r w:rsidRPr="00D17A39">
        <w:rPr>
          <w:noProof/>
        </w:rPr>
        <w:t>2020</w:t>
      </w:r>
      <w:r>
        <w:rPr>
          <w:noProof/>
        </w:rPr>
        <w:t xml:space="preserve"> a fost publicat la </w:t>
      </w:r>
      <w:r w:rsidRPr="00D17A39">
        <w:rPr>
          <w:noProof/>
        </w:rPr>
        <w:t>26</w:t>
      </w:r>
      <w:r>
        <w:rPr>
          <w:noProof/>
        </w:rPr>
        <w:t> octombrie </w:t>
      </w:r>
      <w:r w:rsidRPr="00D17A39">
        <w:rPr>
          <w:noProof/>
        </w:rPr>
        <w:t>2021</w:t>
      </w:r>
      <w:r>
        <w:rPr>
          <w:rStyle w:val="FootnoteReference"/>
          <w:noProof/>
        </w:rPr>
        <w:footnoteReference w:id="27"/>
      </w:r>
      <w:r>
        <w:rPr>
          <w:noProof/>
        </w:rPr>
        <w:t xml:space="preserve">. </w:t>
      </w:r>
    </w:p>
    <w:p w14:paraId="38E7DD25" w14:textId="24F23881" w:rsidR="0043307E" w:rsidRPr="0043307E" w:rsidRDefault="004C0757" w:rsidP="0043307E">
      <w:pPr>
        <w:pBdr>
          <w:top w:val="single" w:sz="4" w:space="1" w:color="auto"/>
          <w:left w:val="single" w:sz="4" w:space="1" w:color="auto"/>
          <w:bottom w:val="single" w:sz="4" w:space="1" w:color="auto"/>
          <w:right w:val="single" w:sz="4" w:space="1" w:color="auto"/>
        </w:pBdr>
        <w:shd w:val="clear" w:color="auto" w:fill="D9E2F3" w:themeFill="accent5" w:themeFillTint="33"/>
        <w:rPr>
          <w:noProof/>
        </w:rPr>
      </w:pPr>
      <w:r>
        <w:rPr>
          <w:noProof/>
        </w:rPr>
        <w:t xml:space="preserve">Potrivit concluziilor CCE, conturile nu au fost afectate de denaturări semnificative. În ceea ce privește regularitatea operațiunilor, Curtea a concluzionat că veniturile nu au fost afectate de un nivel semnificativ de eroare. În ceea ce privește cheltuielile, rezultatele auditului arată că nivelul de eroare estimat a rămas același precum în anul trecut, și anume </w:t>
      </w:r>
      <w:r w:rsidRPr="00D17A39">
        <w:rPr>
          <w:noProof/>
        </w:rPr>
        <w:t>2</w:t>
      </w:r>
      <w:r>
        <w:rPr>
          <w:noProof/>
        </w:rPr>
        <w:t>,</w:t>
      </w:r>
      <w:r w:rsidRPr="00D17A39">
        <w:rPr>
          <w:noProof/>
        </w:rPr>
        <w:t>7</w:t>
      </w:r>
      <w:r>
        <w:rPr>
          <w:noProof/>
        </w:rPr>
        <w:t xml:space="preserve"> %. Cheltuielile cu risc ridicat (bazate în principal pe rambursare) au fost afectate de un nivel semnificativ de eroare. În </w:t>
      </w:r>
      <w:r w:rsidRPr="00D17A39">
        <w:rPr>
          <w:noProof/>
        </w:rPr>
        <w:t>2021</w:t>
      </w:r>
      <w:r>
        <w:rPr>
          <w:noProof/>
        </w:rPr>
        <w:t>, au fost raportate către OLAF șase cazuri de suspiciune de fraudă.</w:t>
      </w:r>
    </w:p>
    <w:p w14:paraId="321BA6F0" w14:textId="77777777" w:rsidR="00FE789E" w:rsidRPr="00261B88" w:rsidRDefault="00FE789E" w:rsidP="00CD7B44">
      <w:pPr>
        <w:pStyle w:val="Heading3"/>
        <w:rPr>
          <w:noProof/>
        </w:rPr>
      </w:pPr>
      <w:bookmarkStart w:id="31" w:name="_Toc116029513"/>
      <w:r w:rsidRPr="00261B88">
        <w:rPr>
          <w:noProof/>
        </w:rPr>
        <w:t>Eurojust</w:t>
      </w:r>
      <w:bookmarkEnd w:id="31"/>
    </w:p>
    <w:p w14:paraId="69E01E80" w14:textId="0B22EB80" w:rsidR="00FE789E" w:rsidRDefault="0043307E" w:rsidP="00FE789E">
      <w:pPr>
        <w:rPr>
          <w:noProof/>
        </w:rPr>
      </w:pPr>
      <w:r w:rsidRPr="00261B88">
        <w:rPr>
          <w:b/>
          <w:noProof/>
        </w:rPr>
        <w:t>Eurojust</w:t>
      </w:r>
      <w:r>
        <w:rPr>
          <w:noProof/>
        </w:rPr>
        <w:t>, Agenția Uniunii Europene pentru Cooperare în Materie de Justiție Penală, coordonează activitatea autorităților naționale – din statele membre și din țările din afara UE – în ceea ce privește cercetarea și urmărirea penală a criminalității transfrontaliere. În ceea ce privește protejarea intereselor financiare ale UE, aceasta își îndeplinește în principal rolul în raport cu statele membre care nu participă la EPPO.</w:t>
      </w:r>
    </w:p>
    <w:p w14:paraId="55FF021E" w14:textId="273F7810" w:rsidR="0043307E" w:rsidRPr="00261B88" w:rsidRDefault="00C87DB6" w:rsidP="00C87DB6">
      <w:pPr>
        <w:pStyle w:val="Caption"/>
        <w:pBdr>
          <w:top w:val="single" w:sz="4" w:space="1" w:color="auto"/>
          <w:left w:val="single" w:sz="4" w:space="4" w:color="auto"/>
          <w:bottom w:val="single" w:sz="4" w:space="1" w:color="auto"/>
          <w:right w:val="single" w:sz="4" w:space="4" w:color="auto"/>
        </w:pBdr>
        <w:shd w:val="clear" w:color="auto" w:fill="D9E2F3" w:themeFill="accent5" w:themeFillTint="33"/>
        <w:rPr>
          <w:noProof/>
        </w:rPr>
      </w:pPr>
      <w:bookmarkStart w:id="32" w:name="_Toc105777772"/>
      <w:bookmarkStart w:id="33" w:name="_Toc110444015"/>
      <w:r w:rsidRPr="00261B88">
        <w:rPr>
          <w:noProof/>
        </w:rPr>
        <w:t>Instantaneul </w:t>
      </w:r>
      <w:r w:rsidR="00FD11F8">
        <w:rPr>
          <w:noProof/>
        </w:rPr>
        <w:fldChar w:fldCharType="begin"/>
      </w:r>
      <w:r w:rsidR="00FD11F8">
        <w:rPr>
          <w:noProof/>
        </w:rPr>
        <w:instrText xml:space="preserve"> SEQ Snapshot \* ARABIC </w:instrText>
      </w:r>
      <w:r w:rsidR="00FD11F8">
        <w:rPr>
          <w:noProof/>
        </w:rPr>
        <w:fldChar w:fldCharType="separate"/>
      </w:r>
      <w:r w:rsidRPr="00261B88">
        <w:rPr>
          <w:noProof/>
        </w:rPr>
        <w:t>7</w:t>
      </w:r>
      <w:r w:rsidR="00FD11F8">
        <w:rPr>
          <w:noProof/>
        </w:rPr>
        <w:fldChar w:fldCharType="end"/>
      </w:r>
      <w:r w:rsidRPr="00261B88">
        <w:rPr>
          <w:noProof/>
        </w:rPr>
        <w:t> – Momentele importante ale Eurojust în 2021</w:t>
      </w:r>
      <w:bookmarkEnd w:id="32"/>
      <w:bookmarkEnd w:id="33"/>
    </w:p>
    <w:p w14:paraId="33012F23" w14:textId="525AEB08" w:rsidR="00C87DB6" w:rsidRDefault="00EE2ED6" w:rsidP="00C87DB6">
      <w:pPr>
        <w:pBdr>
          <w:top w:val="single" w:sz="4" w:space="1" w:color="auto"/>
          <w:left w:val="single" w:sz="4" w:space="4" w:color="auto"/>
          <w:bottom w:val="single" w:sz="4" w:space="1" w:color="auto"/>
          <w:right w:val="single" w:sz="4" w:space="4" w:color="auto"/>
        </w:pBdr>
        <w:shd w:val="clear" w:color="auto" w:fill="D9E2F3" w:themeFill="accent5" w:themeFillTint="33"/>
        <w:rPr>
          <w:noProof/>
        </w:rPr>
      </w:pPr>
      <w:r>
        <w:rPr>
          <w:noProof/>
        </w:rPr>
        <w:t xml:space="preserve">În </w:t>
      </w:r>
      <w:r w:rsidRPr="00D17A39">
        <w:rPr>
          <w:noProof/>
        </w:rPr>
        <w:t>2021</w:t>
      </w:r>
      <w:r>
        <w:rPr>
          <w:noProof/>
        </w:rPr>
        <w:t xml:space="preserve">, Eurojust și-a continuat activitatea operațională de combatere a fraudei care aduce atingere bugetului UE și a altor infracțiuni PIF împreună cu EPPO, OLAF și Europol. Cooperarea în lupta împotriva fraudei a inclus implicarea Eurojust în operațiunea SENTINEL, care vizează protejarea fondurilor în legătură cu inițiativa NextGenerationEU împotriva fraudei, a corupției și a oricăror alte activități ilegale care afectează interesele financiare ale UE (a se vedea </w:t>
      </w:r>
      <w:r w:rsidRPr="00261B88">
        <w:rPr>
          <w:b/>
          <w:noProof/>
        </w:rPr>
        <w:t>Instantaneul 11</w:t>
      </w:r>
      <w:r>
        <w:rPr>
          <w:noProof/>
        </w:rPr>
        <w:t xml:space="preserve">). </w:t>
      </w:r>
    </w:p>
    <w:p w14:paraId="4F7A1D51" w14:textId="11244ACE" w:rsidR="00C87DB6" w:rsidRDefault="00EE2ED6" w:rsidP="00C87DB6">
      <w:pPr>
        <w:pBdr>
          <w:top w:val="single" w:sz="4" w:space="1" w:color="auto"/>
          <w:left w:val="single" w:sz="4" w:space="4" w:color="auto"/>
          <w:bottom w:val="single" w:sz="4" w:space="1" w:color="auto"/>
          <w:right w:val="single" w:sz="4" w:space="4" w:color="auto"/>
        </w:pBdr>
        <w:shd w:val="clear" w:color="auto" w:fill="D9E2F3" w:themeFill="accent5" w:themeFillTint="33"/>
        <w:rPr>
          <w:noProof/>
        </w:rPr>
      </w:pPr>
      <w:r>
        <w:rPr>
          <w:noProof/>
        </w:rPr>
        <w:t xml:space="preserve">Cooperarea Eurojust cu EPPO a început în </w:t>
      </w:r>
      <w:r w:rsidRPr="00D17A39">
        <w:rPr>
          <w:noProof/>
        </w:rPr>
        <w:t>2021</w:t>
      </w:r>
      <w:r>
        <w:rPr>
          <w:noProof/>
        </w:rPr>
        <w:t>. După semnarea acordului de lucru în februarie </w:t>
      </w:r>
      <w:r w:rsidRPr="00D17A39">
        <w:rPr>
          <w:noProof/>
        </w:rPr>
        <w:t>2021</w:t>
      </w:r>
      <w:r>
        <w:rPr>
          <w:noProof/>
        </w:rPr>
        <w:t xml:space="preserve">, Eurojust a început să coopereze cu EPPO în cadrul investigațiilor la scurt timp după ce EPPO și-a început activitatea operațională la </w:t>
      </w:r>
      <w:r w:rsidRPr="00D17A39">
        <w:rPr>
          <w:noProof/>
        </w:rPr>
        <w:t>1</w:t>
      </w:r>
      <w:r>
        <w:rPr>
          <w:noProof/>
        </w:rPr>
        <w:t> iunie </w:t>
      </w:r>
      <w:r w:rsidRPr="00D17A39">
        <w:rPr>
          <w:noProof/>
        </w:rPr>
        <w:t>2021</w:t>
      </w:r>
      <w:r>
        <w:rPr>
          <w:noProof/>
        </w:rPr>
        <w:t>.</w:t>
      </w:r>
    </w:p>
    <w:p w14:paraId="1AC390D5" w14:textId="572E18C0" w:rsidR="00C87DB6" w:rsidRPr="00C87DB6" w:rsidRDefault="00EE2ED6" w:rsidP="00C87DB6">
      <w:pPr>
        <w:pBdr>
          <w:top w:val="single" w:sz="4" w:space="1" w:color="auto"/>
          <w:left w:val="single" w:sz="4" w:space="4" w:color="auto"/>
          <w:bottom w:val="single" w:sz="4" w:space="1" w:color="auto"/>
          <w:right w:val="single" w:sz="4" w:space="4" w:color="auto"/>
        </w:pBdr>
        <w:shd w:val="clear" w:color="auto" w:fill="D9E2F3" w:themeFill="accent5" w:themeFillTint="33"/>
        <w:rPr>
          <w:noProof/>
        </w:rPr>
      </w:pPr>
      <w:r>
        <w:rPr>
          <w:noProof/>
        </w:rPr>
        <w:t xml:space="preserve">OLAF a rămas un partener operațional important pentru Eurojust în </w:t>
      </w:r>
      <w:r w:rsidRPr="00D17A39">
        <w:rPr>
          <w:noProof/>
        </w:rPr>
        <w:t>2021</w:t>
      </w:r>
      <w:r>
        <w:rPr>
          <w:noProof/>
        </w:rPr>
        <w:t xml:space="preserve">, participând la mai multe reuniuni de coordonare privind cazuri care afectează bugetul UE. Cele două organisme au instituit, de asemenea, un nou flux de lucru pentru o cooperare mai strânsă și au continuat să lucreze la evaluarea echipelor comune de anchetă (JIT) la care a participat OLAF. La fel ca în anii precedenți, Eurojust și OLAF au continuat să facă schimb de competențe specifice cu privire lupta împotriva fraudei. În urma seminarului Eurojust pentru investigatorii OLAF din </w:t>
      </w:r>
      <w:r w:rsidRPr="00D17A39">
        <w:rPr>
          <w:noProof/>
        </w:rPr>
        <w:t>2020</w:t>
      </w:r>
      <w:r>
        <w:rPr>
          <w:noProof/>
        </w:rPr>
        <w:t xml:space="preserve">, în </w:t>
      </w:r>
      <w:r w:rsidRPr="00D17A39">
        <w:rPr>
          <w:noProof/>
        </w:rPr>
        <w:t>2021</w:t>
      </w:r>
      <w:r>
        <w:rPr>
          <w:noProof/>
        </w:rPr>
        <w:t>, experții Eurojust au participat la prezentări din partea OLAF privind studii de caz, metode de analiză a datelor și cadrul juridic revizuit aplicabil investigațiilor OLAF.</w:t>
      </w:r>
    </w:p>
    <w:p w14:paraId="5B97FE23" w14:textId="77777777" w:rsidR="00FE789E" w:rsidRPr="00261B88" w:rsidRDefault="00FE789E" w:rsidP="00CD7B44">
      <w:pPr>
        <w:pStyle w:val="Heading3"/>
        <w:rPr>
          <w:noProof/>
        </w:rPr>
      </w:pPr>
      <w:bookmarkStart w:id="34" w:name="_Toc116029514"/>
      <w:r w:rsidRPr="00261B88">
        <w:rPr>
          <w:noProof/>
        </w:rPr>
        <w:t>Europol</w:t>
      </w:r>
      <w:bookmarkEnd w:id="34"/>
    </w:p>
    <w:p w14:paraId="70FD7ED8" w14:textId="045A8DEB" w:rsidR="00C87DB6" w:rsidRDefault="00C87DB6" w:rsidP="00C87DB6">
      <w:pPr>
        <w:rPr>
          <w:noProof/>
        </w:rPr>
      </w:pPr>
      <w:r w:rsidRPr="00261B88">
        <w:rPr>
          <w:b/>
          <w:noProof/>
        </w:rPr>
        <w:t>Europol</w:t>
      </w:r>
      <w:r>
        <w:rPr>
          <w:noProof/>
        </w:rPr>
        <w:t>, Agenția Uniunii Europene pentru Cooperare în Materie de Aplicare a Legii, servește drept centru de sprijin pentru operațiunile de aplicare a legii, centru de informare cu privire la activitățile infracționale și centru de competențe specifice în materie de aplicare a legii.</w:t>
      </w:r>
    </w:p>
    <w:p w14:paraId="47F82785" w14:textId="0B18F68A" w:rsidR="00C87DB6" w:rsidRPr="00261B88" w:rsidRDefault="00C87DB6" w:rsidP="00C87DB6">
      <w:pPr>
        <w:pStyle w:val="Caption"/>
        <w:keepNext/>
        <w:pBdr>
          <w:top w:val="single" w:sz="4" w:space="1" w:color="auto"/>
          <w:left w:val="single" w:sz="4" w:space="4" w:color="auto"/>
          <w:bottom w:val="single" w:sz="4" w:space="1" w:color="auto"/>
          <w:right w:val="single" w:sz="4" w:space="4" w:color="auto"/>
        </w:pBdr>
        <w:shd w:val="clear" w:color="auto" w:fill="D9E2F3" w:themeFill="accent5" w:themeFillTint="33"/>
        <w:rPr>
          <w:noProof/>
        </w:rPr>
      </w:pPr>
      <w:bookmarkStart w:id="35" w:name="_Toc105777773"/>
      <w:bookmarkStart w:id="36" w:name="_Toc110444016"/>
      <w:r w:rsidRPr="00261B88">
        <w:rPr>
          <w:noProof/>
        </w:rPr>
        <w:t>Instantaneul </w:t>
      </w:r>
      <w:r w:rsidR="00FD11F8">
        <w:rPr>
          <w:noProof/>
        </w:rPr>
        <w:fldChar w:fldCharType="begin"/>
      </w:r>
      <w:r w:rsidR="00FD11F8">
        <w:rPr>
          <w:noProof/>
        </w:rPr>
        <w:instrText xml:space="preserve"> SEQ Snapshot \* ARABIC </w:instrText>
      </w:r>
      <w:r w:rsidR="00FD11F8">
        <w:rPr>
          <w:noProof/>
        </w:rPr>
        <w:fldChar w:fldCharType="separate"/>
      </w:r>
      <w:r w:rsidRPr="00261B88">
        <w:rPr>
          <w:noProof/>
        </w:rPr>
        <w:t>8</w:t>
      </w:r>
      <w:r w:rsidR="00FD11F8">
        <w:rPr>
          <w:noProof/>
        </w:rPr>
        <w:fldChar w:fldCharType="end"/>
      </w:r>
      <w:r w:rsidRPr="00261B88">
        <w:rPr>
          <w:noProof/>
        </w:rPr>
        <w:t xml:space="preserve"> – Europol în </w:t>
      </w:r>
      <w:bookmarkEnd w:id="35"/>
      <w:r w:rsidRPr="00261B88">
        <w:rPr>
          <w:noProof/>
        </w:rPr>
        <w:t>2021</w:t>
      </w:r>
      <w:bookmarkEnd w:id="36"/>
    </w:p>
    <w:p w14:paraId="1610E752" w14:textId="16313216" w:rsidR="00C87DB6" w:rsidRDefault="00C87DB6" w:rsidP="00C87DB6">
      <w:pPr>
        <w:pBdr>
          <w:top w:val="single" w:sz="4" w:space="1" w:color="auto"/>
          <w:left w:val="single" w:sz="4" w:space="4" w:color="auto"/>
          <w:bottom w:val="single" w:sz="4" w:space="1" w:color="auto"/>
          <w:right w:val="single" w:sz="4" w:space="4" w:color="auto"/>
        </w:pBdr>
        <w:shd w:val="clear" w:color="auto" w:fill="D9E2F3" w:themeFill="accent5" w:themeFillTint="33"/>
        <w:rPr>
          <w:noProof/>
        </w:rPr>
      </w:pPr>
      <w:r>
        <w:rPr>
          <w:noProof/>
        </w:rPr>
        <w:t>În septembrie </w:t>
      </w:r>
      <w:r w:rsidRPr="00D17A39">
        <w:rPr>
          <w:noProof/>
        </w:rPr>
        <w:t>2021</w:t>
      </w:r>
      <w:r>
        <w:rPr>
          <w:noProof/>
        </w:rPr>
        <w:t>, Centrul european de combatere a criminalității financiare și economice (EFECC) al Europol, în cooperare cu autoritățile italiene, a organizat la Roma o reuniune la nivel înalt a autorităților de aplicare a legii și a convenit asupra următorului principiu: orice amenințare la adresa MRR afectează bunăstarea financiară a UE.</w:t>
      </w:r>
    </w:p>
    <w:p w14:paraId="2186EBA4" w14:textId="1A4B1BAA" w:rsidR="00C87DB6" w:rsidRPr="00C87DB6" w:rsidRDefault="00CA7457" w:rsidP="00C87DB6">
      <w:pPr>
        <w:pBdr>
          <w:top w:val="single" w:sz="4" w:space="1" w:color="auto"/>
          <w:left w:val="single" w:sz="4" w:space="4" w:color="auto"/>
          <w:bottom w:val="single" w:sz="4" w:space="1" w:color="auto"/>
          <w:right w:val="single" w:sz="4" w:space="4" w:color="auto"/>
        </w:pBdr>
        <w:shd w:val="clear" w:color="auto" w:fill="D9E2F3" w:themeFill="accent5" w:themeFillTint="33"/>
        <w:rPr>
          <w:noProof/>
        </w:rPr>
      </w:pPr>
      <w:r>
        <w:rPr>
          <w:noProof/>
        </w:rPr>
        <w:t>Tot în septembrie </w:t>
      </w:r>
      <w:r w:rsidRPr="00D17A39">
        <w:rPr>
          <w:noProof/>
        </w:rPr>
        <w:t>2021</w:t>
      </w:r>
      <w:r>
        <w:rPr>
          <w:noProof/>
        </w:rPr>
        <w:t xml:space="preserve">, Europol, OLAF, EPPO, Eurojust și </w:t>
      </w:r>
      <w:r w:rsidRPr="00D17A39">
        <w:rPr>
          <w:noProof/>
        </w:rPr>
        <w:t>21</w:t>
      </w:r>
      <w:r>
        <w:rPr>
          <w:noProof/>
        </w:rPr>
        <w:t xml:space="preserve"> de state membre și-au unit forțele în cadrul operațiunii SENTINEL (a se vedea </w:t>
      </w:r>
      <w:r w:rsidRPr="00261B88">
        <w:rPr>
          <w:b/>
          <w:noProof/>
        </w:rPr>
        <w:t>Instantaneul 11</w:t>
      </w:r>
      <w:r>
        <w:rPr>
          <w:noProof/>
        </w:rPr>
        <w:t>).</w:t>
      </w:r>
    </w:p>
    <w:p w14:paraId="500AA48E" w14:textId="4E711363" w:rsidR="00FE789E" w:rsidRPr="00261B88" w:rsidRDefault="00FE789E" w:rsidP="00FE789E">
      <w:pPr>
        <w:pStyle w:val="Heading2"/>
        <w:rPr>
          <w:noProof/>
        </w:rPr>
      </w:pPr>
      <w:bookmarkStart w:id="37" w:name="_Toc116029515"/>
      <w:r w:rsidRPr="00261B88">
        <w:rPr>
          <w:noProof/>
        </w:rPr>
        <w:t>La nivelul statelor membre</w:t>
      </w:r>
      <w:bookmarkEnd w:id="37"/>
    </w:p>
    <w:p w14:paraId="4357BB58" w14:textId="77777777" w:rsidR="008324C8" w:rsidRPr="00261B88" w:rsidRDefault="00A27EF6" w:rsidP="00CD7B44">
      <w:pPr>
        <w:pStyle w:val="Heading3"/>
        <w:rPr>
          <w:noProof/>
        </w:rPr>
      </w:pPr>
      <w:bookmarkStart w:id="38" w:name="_Toc116029516"/>
      <w:r w:rsidRPr="00261B88">
        <w:rPr>
          <w:noProof/>
        </w:rPr>
        <w:t>Serviciile de coordonare antifraudă (AFCOS)</w:t>
      </w:r>
      <w:bookmarkEnd w:id="38"/>
    </w:p>
    <w:p w14:paraId="17BAFE0E" w14:textId="7FCECEB5" w:rsidR="00A27EF6" w:rsidRDefault="00A27EF6" w:rsidP="00A27EF6">
      <w:pPr>
        <w:rPr>
          <w:noProof/>
        </w:rPr>
      </w:pPr>
      <w:r>
        <w:rPr>
          <w:noProof/>
        </w:rPr>
        <w:t xml:space="preserve">Începând din </w:t>
      </w:r>
      <w:r w:rsidRPr="00D17A39">
        <w:rPr>
          <w:noProof/>
        </w:rPr>
        <w:t>2013</w:t>
      </w:r>
      <w:r>
        <w:rPr>
          <w:rStyle w:val="FootnoteReference"/>
          <w:noProof/>
        </w:rPr>
        <w:footnoteReference w:id="28"/>
      </w:r>
      <w:r>
        <w:rPr>
          <w:noProof/>
        </w:rPr>
        <w:t xml:space="preserve">, statele membre au obligația de a desemna un </w:t>
      </w:r>
      <w:r w:rsidRPr="00261B88">
        <w:rPr>
          <w:b/>
          <w:noProof/>
        </w:rPr>
        <w:t>serviciu de coordonare antifraudă</w:t>
      </w:r>
      <w:r>
        <w:rPr>
          <w:noProof/>
        </w:rPr>
        <w:t xml:space="preserve"> (AFCOS) pentru a facilita cooperarea efectivă și schimbul de informații, inclusiv informații de natură operațională, cu OLAF. Statele membre sunt libere să decidă asupra locului ocupat de AFCOS în structura lor administrativă națională, precum și asupra competențelor serviciului.</w:t>
      </w:r>
    </w:p>
    <w:p w14:paraId="7BB125D1" w14:textId="310D8904" w:rsidR="00A27EF6" w:rsidRDefault="00A27EF6" w:rsidP="00A27EF6">
      <w:pPr>
        <w:rPr>
          <w:noProof/>
        </w:rPr>
      </w:pPr>
      <w:r>
        <w:rPr>
          <w:noProof/>
        </w:rPr>
        <w:t>Mandatul AFCOS poate varia în funcție de circumstanțele specifice fiecărei țări. Cu toate acestea, în toate cazurile, mandatul său ar trebui să includă asigurarea cooperării cu OLAF și coordonarea, în statul membru în cauză, a obligațiilor și a activităților legislative, administrative și de investigare legate de protejarea intereselor financiare ale UE.</w:t>
      </w:r>
    </w:p>
    <w:p w14:paraId="5604AEBF" w14:textId="55154095" w:rsidR="00AB46D0" w:rsidRPr="00261B88" w:rsidRDefault="00AB46D0" w:rsidP="00AB46D0">
      <w:pPr>
        <w:pStyle w:val="Caption"/>
        <w:pBdr>
          <w:top w:val="single" w:sz="4" w:space="1" w:color="auto"/>
          <w:left w:val="single" w:sz="4" w:space="4" w:color="auto"/>
          <w:bottom w:val="single" w:sz="4" w:space="1" w:color="auto"/>
          <w:right w:val="single" w:sz="4" w:space="4" w:color="auto"/>
        </w:pBdr>
        <w:shd w:val="clear" w:color="auto" w:fill="D9E2F3" w:themeFill="accent5" w:themeFillTint="33"/>
        <w:rPr>
          <w:noProof/>
        </w:rPr>
      </w:pPr>
      <w:bookmarkStart w:id="39" w:name="_Toc105777774"/>
      <w:bookmarkStart w:id="40" w:name="_Toc110444017"/>
      <w:r w:rsidRPr="00261B88">
        <w:rPr>
          <w:noProof/>
        </w:rPr>
        <w:t>Instantaneul </w:t>
      </w:r>
      <w:r w:rsidR="00FD11F8">
        <w:rPr>
          <w:noProof/>
        </w:rPr>
        <w:fldChar w:fldCharType="begin"/>
      </w:r>
      <w:r w:rsidR="00FD11F8">
        <w:rPr>
          <w:noProof/>
        </w:rPr>
        <w:instrText xml:space="preserve"> SEQ Snapshot \* ARABIC </w:instrText>
      </w:r>
      <w:r w:rsidR="00FD11F8">
        <w:rPr>
          <w:noProof/>
        </w:rPr>
        <w:fldChar w:fldCharType="separate"/>
      </w:r>
      <w:r w:rsidRPr="00261B88">
        <w:rPr>
          <w:noProof/>
        </w:rPr>
        <w:t>9</w:t>
      </w:r>
      <w:r w:rsidR="00FD11F8">
        <w:rPr>
          <w:noProof/>
        </w:rPr>
        <w:fldChar w:fldCharType="end"/>
      </w:r>
      <w:r w:rsidRPr="00261B88">
        <w:rPr>
          <w:noProof/>
        </w:rPr>
        <w:t> – Măsuri adoptate de statele membre în 2021</w:t>
      </w:r>
      <w:r w:rsidRPr="00261B88">
        <w:rPr>
          <w:rStyle w:val="FootnoteReference"/>
          <w:noProof/>
        </w:rPr>
        <w:footnoteReference w:id="29"/>
      </w:r>
      <w:bookmarkEnd w:id="39"/>
      <w:bookmarkEnd w:id="40"/>
    </w:p>
    <w:p w14:paraId="0CB0BDEA" w14:textId="7DD748DA" w:rsidR="00AB46D0" w:rsidRDefault="00AB46D0" w:rsidP="00AB46D0">
      <w:pPr>
        <w:pBdr>
          <w:top w:val="single" w:sz="4" w:space="1" w:color="auto"/>
          <w:left w:val="single" w:sz="4" w:space="4" w:color="auto"/>
          <w:bottom w:val="single" w:sz="4" w:space="1" w:color="auto"/>
          <w:right w:val="single" w:sz="4" w:space="4" w:color="auto"/>
        </w:pBdr>
        <w:shd w:val="clear" w:color="auto" w:fill="D9E2F3" w:themeFill="accent5" w:themeFillTint="33"/>
        <w:rPr>
          <w:noProof/>
        </w:rPr>
      </w:pPr>
      <w:r>
        <w:rPr>
          <w:noProof/>
        </w:rPr>
        <w:t xml:space="preserve">Luxemburgul și Letonia și-au consolidat AFCOS. În </w:t>
      </w:r>
      <w:r w:rsidRPr="00261B88">
        <w:rPr>
          <w:b/>
          <w:noProof/>
        </w:rPr>
        <w:t>Luxemburg</w:t>
      </w:r>
      <w:r>
        <w:rPr>
          <w:noProof/>
        </w:rPr>
        <w:t xml:space="preserve">, echipa AFCOS a fost consolidată pentru a asigura o coordonare adecvată în lupta împotriva fraudei și protejarea intereselor financiare ale UE. </w:t>
      </w:r>
      <w:r w:rsidRPr="00261B88">
        <w:rPr>
          <w:b/>
          <w:noProof/>
        </w:rPr>
        <w:t>Letonia</w:t>
      </w:r>
      <w:r>
        <w:rPr>
          <w:noProof/>
        </w:rPr>
        <w:t xml:space="preserve"> a raportat adoptarea unei noi legi și a unui manual de procedură corespunzător pentru a se asigura că AFCOS are dreptul legal </w:t>
      </w:r>
      <w:r w:rsidRPr="00261B88">
        <w:rPr>
          <w:i/>
          <w:noProof/>
        </w:rPr>
        <w:t>(a)</w:t>
      </w:r>
      <w:r>
        <w:rPr>
          <w:noProof/>
        </w:rPr>
        <w:t xml:space="preserve"> de a participa la controalele la fața locului efectuate de OLAF, precum și de a oferi asistență în cadrul acestora, </w:t>
      </w:r>
      <w:r w:rsidRPr="00261B88">
        <w:rPr>
          <w:i/>
          <w:noProof/>
        </w:rPr>
        <w:t>(b)</w:t>
      </w:r>
      <w:r>
        <w:rPr>
          <w:noProof/>
        </w:rPr>
        <w:t xml:space="preserve"> de a solicita informații sau documente de la persoane fizice și </w:t>
      </w:r>
      <w:r w:rsidRPr="00261B88">
        <w:rPr>
          <w:i/>
          <w:noProof/>
        </w:rPr>
        <w:t>(c)</w:t>
      </w:r>
      <w:r>
        <w:rPr>
          <w:noProof/>
        </w:rPr>
        <w:t xml:space="preserve"> de a primi informații privind conturile bancare în cadrul investigațiilor administrative.</w:t>
      </w:r>
    </w:p>
    <w:p w14:paraId="73727C64" w14:textId="390DF8C0" w:rsidR="00AB46D0" w:rsidRPr="00AB46D0" w:rsidRDefault="00AB46D0" w:rsidP="00AB46D0">
      <w:pPr>
        <w:pBdr>
          <w:top w:val="single" w:sz="4" w:space="1" w:color="auto"/>
          <w:left w:val="single" w:sz="4" w:space="4" w:color="auto"/>
          <w:bottom w:val="single" w:sz="4" w:space="1" w:color="auto"/>
          <w:right w:val="single" w:sz="4" w:space="4" w:color="auto"/>
        </w:pBdr>
        <w:shd w:val="clear" w:color="auto" w:fill="D9E2F3" w:themeFill="accent5" w:themeFillTint="33"/>
        <w:rPr>
          <w:noProof/>
        </w:rPr>
      </w:pPr>
      <w:r w:rsidRPr="00261B88">
        <w:rPr>
          <w:b/>
          <w:noProof/>
        </w:rPr>
        <w:t>Grecia</w:t>
      </w:r>
      <w:r>
        <w:rPr>
          <w:noProof/>
        </w:rPr>
        <w:t xml:space="preserve">, </w:t>
      </w:r>
      <w:r w:rsidRPr="00261B88">
        <w:rPr>
          <w:b/>
          <w:noProof/>
        </w:rPr>
        <w:t>Spania</w:t>
      </w:r>
      <w:r>
        <w:rPr>
          <w:noProof/>
        </w:rPr>
        <w:t xml:space="preserve"> și </w:t>
      </w:r>
      <w:r w:rsidRPr="00261B88">
        <w:rPr>
          <w:b/>
          <w:noProof/>
        </w:rPr>
        <w:t>Suedia</w:t>
      </w:r>
      <w:r>
        <w:rPr>
          <w:noProof/>
        </w:rPr>
        <w:t xml:space="preserve"> au raportat măsurile luate de AFCOS pentru a ajuta autoritățile de management să raporteze mai bine eventualele fraude autorităților de aplicare a legii.</w:t>
      </w:r>
    </w:p>
    <w:p w14:paraId="0A1B05FD" w14:textId="77777777" w:rsidR="00FE789E" w:rsidRPr="00261B88" w:rsidRDefault="00FE789E" w:rsidP="00CD7B44">
      <w:pPr>
        <w:pStyle w:val="Heading3"/>
        <w:rPr>
          <w:noProof/>
        </w:rPr>
      </w:pPr>
      <w:bookmarkStart w:id="41" w:name="_Toc116029517"/>
      <w:r w:rsidRPr="00261B88">
        <w:rPr>
          <w:noProof/>
        </w:rPr>
        <w:t>Strategiile naționale antifraudă (SNAF)</w:t>
      </w:r>
      <w:bookmarkEnd w:id="41"/>
    </w:p>
    <w:p w14:paraId="49C15F8D" w14:textId="63CD3082" w:rsidR="00B844C4" w:rsidRDefault="00B844C4" w:rsidP="00B844C4">
      <w:pPr>
        <w:pStyle w:val="NormalWeb"/>
        <w:spacing w:before="0" w:beforeAutospacing="0" w:after="240" w:afterAutospacing="0"/>
        <w:jc w:val="both"/>
        <w:rPr>
          <w:noProof/>
          <w:sz w:val="22"/>
        </w:rPr>
      </w:pPr>
      <w:r>
        <w:rPr>
          <w:noProof/>
          <w:sz w:val="22"/>
        </w:rPr>
        <w:t xml:space="preserve">Încurajarea susținută de către Comisie a statelor membre de a adopta </w:t>
      </w:r>
      <w:r w:rsidRPr="00261B88">
        <w:rPr>
          <w:b/>
          <w:noProof/>
          <w:sz w:val="22"/>
        </w:rPr>
        <w:t xml:space="preserve">strategii naționale antifraudă (SNAF) </w:t>
      </w:r>
      <w:r>
        <w:rPr>
          <w:noProof/>
          <w:sz w:val="22"/>
        </w:rPr>
        <w:t>a dus la o creștere constantă a numărului de SNAF adoptate. Până la sfârșitul anului </w:t>
      </w:r>
      <w:r w:rsidRPr="00D17A39">
        <w:rPr>
          <w:noProof/>
          <w:sz w:val="22"/>
        </w:rPr>
        <w:t>2021</w:t>
      </w:r>
      <w:r>
        <w:rPr>
          <w:noProof/>
          <w:sz w:val="22"/>
        </w:rPr>
        <w:t xml:space="preserve">, </w:t>
      </w:r>
      <w:r w:rsidRPr="00D17A39">
        <w:rPr>
          <w:noProof/>
          <w:sz w:val="22"/>
        </w:rPr>
        <w:t>17</w:t>
      </w:r>
      <w:r>
        <w:rPr>
          <w:rStyle w:val="FootnoteReference"/>
          <w:noProof/>
          <w:sz w:val="22"/>
        </w:rPr>
        <w:footnoteReference w:id="30"/>
      </w:r>
      <w:r>
        <w:rPr>
          <w:noProof/>
          <w:sz w:val="22"/>
        </w:rPr>
        <w:t xml:space="preserve"> state membre adoptaseră sau actualizaseră o SNAF și, dintre cele </w:t>
      </w:r>
      <w:r w:rsidRPr="00D17A39">
        <w:rPr>
          <w:noProof/>
          <w:sz w:val="22"/>
        </w:rPr>
        <w:t>11</w:t>
      </w:r>
      <w:r>
        <w:rPr>
          <w:rStyle w:val="FootnoteReference"/>
          <w:noProof/>
          <w:sz w:val="22"/>
        </w:rPr>
        <w:footnoteReference w:id="31"/>
      </w:r>
      <w:r>
        <w:rPr>
          <w:noProof/>
          <w:sz w:val="22"/>
        </w:rPr>
        <w:t xml:space="preserve"> state membre care nu au adoptat încă o astfel de strategie, </w:t>
      </w:r>
      <w:r w:rsidRPr="00D17A39">
        <w:rPr>
          <w:noProof/>
          <w:sz w:val="22"/>
        </w:rPr>
        <w:t>4</w:t>
      </w:r>
      <w:r>
        <w:rPr>
          <w:rStyle w:val="FootnoteReference"/>
          <w:noProof/>
          <w:sz w:val="22"/>
        </w:rPr>
        <w:footnoteReference w:id="32"/>
      </w:r>
      <w:r>
        <w:rPr>
          <w:noProof/>
          <w:sz w:val="22"/>
        </w:rPr>
        <w:t xml:space="preserve"> au raportat că sunt în curs de elaborare sau aproape de adoptarea unei SNAF. </w:t>
      </w:r>
    </w:p>
    <w:p w14:paraId="1A7B773F" w14:textId="664378A2" w:rsidR="002654B3" w:rsidRPr="00261B88" w:rsidRDefault="00242925" w:rsidP="00FD11F8">
      <w:pPr>
        <w:pStyle w:val="Caption"/>
        <w:keepNext/>
        <w:keepLines/>
        <w:rPr>
          <w:noProof/>
        </w:rPr>
      </w:pPr>
      <w:r w:rsidRPr="00261B88">
        <w:rPr>
          <w:noProof/>
        </w:rPr>
        <w:t>Figura </w:t>
      </w:r>
      <w:r w:rsidR="00FD11F8">
        <w:rPr>
          <w:noProof/>
        </w:rPr>
        <w:fldChar w:fldCharType="begin"/>
      </w:r>
      <w:r w:rsidR="00FD11F8">
        <w:rPr>
          <w:noProof/>
        </w:rPr>
        <w:instrText xml:space="preserve"> SEQ Figure \* ARABIC </w:instrText>
      </w:r>
      <w:r w:rsidR="00FD11F8">
        <w:rPr>
          <w:noProof/>
        </w:rPr>
        <w:fldChar w:fldCharType="separate"/>
      </w:r>
      <w:r w:rsidRPr="00261B88">
        <w:rPr>
          <w:noProof/>
        </w:rPr>
        <w:t>3</w:t>
      </w:r>
      <w:r w:rsidR="00FD11F8">
        <w:rPr>
          <w:noProof/>
        </w:rPr>
        <w:fldChar w:fldCharType="end"/>
      </w:r>
      <w:r w:rsidRPr="00261B88">
        <w:rPr>
          <w:noProof/>
        </w:rPr>
        <w:t> – SNAF: situația actuală a adoptării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3"/>
        <w:gridCol w:w="467"/>
        <w:gridCol w:w="1364"/>
      </w:tblGrid>
      <w:tr w:rsidR="00666E75" w14:paraId="6F995EEB" w14:textId="77777777" w:rsidTr="00283EE7">
        <w:trPr>
          <w:jc w:val="center"/>
        </w:trPr>
        <w:tc>
          <w:tcPr>
            <w:tcW w:w="7003" w:type="dxa"/>
            <w:vMerge w:val="restart"/>
          </w:tcPr>
          <w:p w14:paraId="27D53369" w14:textId="76B48CD7" w:rsidR="00666E75" w:rsidRDefault="00666E75" w:rsidP="00242925">
            <w:pPr>
              <w:rPr>
                <w:noProof/>
              </w:rPr>
            </w:pPr>
            <w:r>
              <w:rPr>
                <w:noProof/>
                <w:lang w:val="en-GB"/>
              </w:rPr>
              <w:drawing>
                <wp:inline distT="0" distB="0" distL="0" distR="0" wp14:anchorId="078C00AE" wp14:editId="66CEB41B">
                  <wp:extent cx="4309745" cy="32670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AFS_final.png"/>
                          <pic:cNvPicPr/>
                        </pic:nvPicPr>
                        <pic:blipFill>
                          <a:blip r:embed="rId20">
                            <a:extLst>
                              <a:ext uri="{28A0092B-C50C-407E-A947-70E740481C1C}">
                                <a14:useLocalDpi xmlns:a14="http://schemas.microsoft.com/office/drawing/2010/main" val="0"/>
                              </a:ext>
                            </a:extLst>
                          </a:blip>
                          <a:stretch>
                            <a:fillRect/>
                          </a:stretch>
                        </pic:blipFill>
                        <pic:spPr>
                          <a:xfrm>
                            <a:off x="0" y="0"/>
                            <a:ext cx="4309745" cy="3267075"/>
                          </a:xfrm>
                          <a:prstGeom prst="rect">
                            <a:avLst/>
                          </a:prstGeom>
                        </pic:spPr>
                      </pic:pic>
                    </a:graphicData>
                  </a:graphic>
                </wp:inline>
              </w:drawing>
            </w:r>
          </w:p>
        </w:tc>
        <w:tc>
          <w:tcPr>
            <w:tcW w:w="1831" w:type="dxa"/>
            <w:gridSpan w:val="2"/>
          </w:tcPr>
          <w:p w14:paraId="69229ACB" w14:textId="31D73AE8" w:rsidR="00666E75" w:rsidRPr="00261B88" w:rsidRDefault="00666E75" w:rsidP="00242925">
            <w:pPr>
              <w:rPr>
                <w:b/>
                <w:noProof/>
                <w:sz w:val="20"/>
              </w:rPr>
            </w:pPr>
            <w:r w:rsidRPr="00261B88">
              <w:rPr>
                <w:b/>
                <w:noProof/>
                <w:sz w:val="20"/>
              </w:rPr>
              <w:t>Legendă</w:t>
            </w:r>
          </w:p>
        </w:tc>
      </w:tr>
      <w:tr w:rsidR="00666E75" w14:paraId="35A820C6" w14:textId="77777777" w:rsidTr="00283EE7">
        <w:trPr>
          <w:jc w:val="center"/>
        </w:trPr>
        <w:tc>
          <w:tcPr>
            <w:tcW w:w="7003" w:type="dxa"/>
            <w:vMerge/>
          </w:tcPr>
          <w:p w14:paraId="69DB6344" w14:textId="77777777" w:rsidR="00666E75" w:rsidRDefault="00666E75" w:rsidP="00242925">
            <w:pPr>
              <w:rPr>
                <w:noProof/>
              </w:rPr>
            </w:pPr>
          </w:p>
        </w:tc>
        <w:tc>
          <w:tcPr>
            <w:tcW w:w="467" w:type="dxa"/>
            <w:shd w:val="clear" w:color="auto" w:fill="1F4E79" w:themeFill="accent1" w:themeFillShade="80"/>
          </w:tcPr>
          <w:p w14:paraId="207C1853" w14:textId="774AF7C1" w:rsidR="00666E75" w:rsidRPr="00283EE7" w:rsidRDefault="00666E75" w:rsidP="00242925">
            <w:pPr>
              <w:rPr>
                <w:b/>
                <w:noProof/>
                <w:color w:val="FFFFFF" w:themeColor="background1"/>
                <w:sz w:val="20"/>
              </w:rPr>
            </w:pPr>
            <w:r w:rsidRPr="00261B88">
              <w:rPr>
                <w:b/>
                <w:noProof/>
                <w:sz w:val="20"/>
              </w:rPr>
              <w:t>5</w:t>
            </w:r>
          </w:p>
        </w:tc>
        <w:tc>
          <w:tcPr>
            <w:tcW w:w="1364" w:type="dxa"/>
          </w:tcPr>
          <w:p w14:paraId="53BDDBDA" w14:textId="4EFEBBDD" w:rsidR="00666E75" w:rsidRPr="00261B88" w:rsidRDefault="00666E75" w:rsidP="00666E75">
            <w:pPr>
              <w:rPr>
                <w:b/>
                <w:noProof/>
                <w:sz w:val="20"/>
              </w:rPr>
            </w:pPr>
            <w:r w:rsidRPr="00261B88">
              <w:rPr>
                <w:b/>
                <w:noProof/>
                <w:sz w:val="20"/>
              </w:rPr>
              <w:t>SNAF a fost adoptată sau actualizată și comunicată</w:t>
            </w:r>
          </w:p>
        </w:tc>
      </w:tr>
      <w:tr w:rsidR="00666E75" w14:paraId="530B4DC6" w14:textId="77777777" w:rsidTr="00283EE7">
        <w:trPr>
          <w:jc w:val="center"/>
        </w:trPr>
        <w:tc>
          <w:tcPr>
            <w:tcW w:w="7003" w:type="dxa"/>
            <w:vMerge/>
          </w:tcPr>
          <w:p w14:paraId="0DFE18F6" w14:textId="77777777" w:rsidR="00666E75" w:rsidRDefault="00666E75" w:rsidP="00242925">
            <w:pPr>
              <w:rPr>
                <w:noProof/>
              </w:rPr>
            </w:pPr>
          </w:p>
        </w:tc>
        <w:tc>
          <w:tcPr>
            <w:tcW w:w="467" w:type="dxa"/>
            <w:shd w:val="clear" w:color="auto" w:fill="2E74B5" w:themeFill="accent1" w:themeFillShade="BF"/>
          </w:tcPr>
          <w:p w14:paraId="68103E5A" w14:textId="30C109F1" w:rsidR="00666E75" w:rsidRPr="00283EE7" w:rsidRDefault="00666E75" w:rsidP="00242925">
            <w:pPr>
              <w:rPr>
                <w:b/>
                <w:noProof/>
                <w:sz w:val="20"/>
              </w:rPr>
            </w:pPr>
            <w:r w:rsidRPr="00261B88">
              <w:rPr>
                <w:b/>
                <w:noProof/>
                <w:sz w:val="20"/>
              </w:rPr>
              <w:t>4</w:t>
            </w:r>
          </w:p>
        </w:tc>
        <w:tc>
          <w:tcPr>
            <w:tcW w:w="1364" w:type="dxa"/>
          </w:tcPr>
          <w:p w14:paraId="5234EA3F" w14:textId="38B00D9A" w:rsidR="00666E75" w:rsidRPr="00261B88" w:rsidRDefault="00666E75" w:rsidP="00242925">
            <w:pPr>
              <w:rPr>
                <w:b/>
                <w:noProof/>
                <w:sz w:val="20"/>
              </w:rPr>
            </w:pPr>
            <w:r w:rsidRPr="00261B88">
              <w:rPr>
                <w:b/>
                <w:noProof/>
                <w:sz w:val="20"/>
              </w:rPr>
              <w:t>SNAF sectorială</w:t>
            </w:r>
          </w:p>
        </w:tc>
      </w:tr>
      <w:tr w:rsidR="00666E75" w14:paraId="397B6F96" w14:textId="77777777" w:rsidTr="00283EE7">
        <w:trPr>
          <w:jc w:val="center"/>
        </w:trPr>
        <w:tc>
          <w:tcPr>
            <w:tcW w:w="7003" w:type="dxa"/>
            <w:vMerge/>
          </w:tcPr>
          <w:p w14:paraId="73B38B6E" w14:textId="77777777" w:rsidR="00666E75" w:rsidRDefault="00666E75" w:rsidP="00242925">
            <w:pPr>
              <w:rPr>
                <w:noProof/>
              </w:rPr>
            </w:pPr>
          </w:p>
        </w:tc>
        <w:tc>
          <w:tcPr>
            <w:tcW w:w="467" w:type="dxa"/>
            <w:shd w:val="clear" w:color="auto" w:fill="9CC2E5" w:themeFill="accent1" w:themeFillTint="99"/>
          </w:tcPr>
          <w:p w14:paraId="49F8E762" w14:textId="6C7A1AC4" w:rsidR="00666E75" w:rsidRPr="00283EE7" w:rsidRDefault="00666E75" w:rsidP="00242925">
            <w:pPr>
              <w:rPr>
                <w:b/>
                <w:noProof/>
                <w:sz w:val="20"/>
              </w:rPr>
            </w:pPr>
            <w:r w:rsidRPr="00261B88">
              <w:rPr>
                <w:b/>
                <w:noProof/>
                <w:sz w:val="20"/>
              </w:rPr>
              <w:t>3</w:t>
            </w:r>
          </w:p>
        </w:tc>
        <w:tc>
          <w:tcPr>
            <w:tcW w:w="1364" w:type="dxa"/>
          </w:tcPr>
          <w:p w14:paraId="6CD16E25" w14:textId="2F7866A4" w:rsidR="00666E75" w:rsidRPr="00261B88" w:rsidRDefault="000842E0" w:rsidP="00242925">
            <w:pPr>
              <w:rPr>
                <w:b/>
                <w:noProof/>
                <w:sz w:val="20"/>
              </w:rPr>
            </w:pPr>
            <w:r w:rsidRPr="00261B88">
              <w:rPr>
                <w:b/>
                <w:noProof/>
                <w:sz w:val="20"/>
              </w:rPr>
              <w:t>SAF regională</w:t>
            </w:r>
          </w:p>
        </w:tc>
      </w:tr>
      <w:tr w:rsidR="00666E75" w14:paraId="07A069E3" w14:textId="77777777" w:rsidTr="00283EE7">
        <w:trPr>
          <w:jc w:val="center"/>
        </w:trPr>
        <w:tc>
          <w:tcPr>
            <w:tcW w:w="7003" w:type="dxa"/>
            <w:vMerge/>
          </w:tcPr>
          <w:p w14:paraId="4F74A7EE" w14:textId="77777777" w:rsidR="00666E75" w:rsidRDefault="00666E75" w:rsidP="00242925">
            <w:pPr>
              <w:rPr>
                <w:noProof/>
              </w:rPr>
            </w:pPr>
          </w:p>
        </w:tc>
        <w:tc>
          <w:tcPr>
            <w:tcW w:w="467" w:type="dxa"/>
            <w:shd w:val="clear" w:color="auto" w:fill="BDD6EE" w:themeFill="accent1" w:themeFillTint="66"/>
          </w:tcPr>
          <w:p w14:paraId="495B3884" w14:textId="5319DDDF" w:rsidR="00666E75" w:rsidRPr="00283EE7" w:rsidRDefault="00666E75" w:rsidP="00242925">
            <w:pPr>
              <w:rPr>
                <w:b/>
                <w:noProof/>
                <w:sz w:val="20"/>
              </w:rPr>
            </w:pPr>
            <w:r w:rsidRPr="00261B88">
              <w:rPr>
                <w:b/>
                <w:noProof/>
                <w:sz w:val="20"/>
              </w:rPr>
              <w:t>2</w:t>
            </w:r>
          </w:p>
        </w:tc>
        <w:tc>
          <w:tcPr>
            <w:tcW w:w="1364" w:type="dxa"/>
          </w:tcPr>
          <w:p w14:paraId="4B93FEBD" w14:textId="4CF811D6" w:rsidR="00666E75" w:rsidRPr="00261B88" w:rsidRDefault="000842E0" w:rsidP="00242925">
            <w:pPr>
              <w:rPr>
                <w:b/>
                <w:noProof/>
                <w:sz w:val="20"/>
              </w:rPr>
            </w:pPr>
            <w:r w:rsidRPr="00261B88">
              <w:rPr>
                <w:b/>
                <w:noProof/>
                <w:sz w:val="20"/>
              </w:rPr>
              <w:t>Elaborarea sau adoptarea SNAF este în curs</w:t>
            </w:r>
          </w:p>
        </w:tc>
      </w:tr>
      <w:tr w:rsidR="00666E75" w14:paraId="7E2289C3" w14:textId="77777777" w:rsidTr="00283EE7">
        <w:trPr>
          <w:jc w:val="center"/>
        </w:trPr>
        <w:tc>
          <w:tcPr>
            <w:tcW w:w="7003" w:type="dxa"/>
            <w:vMerge/>
          </w:tcPr>
          <w:p w14:paraId="300AD90C" w14:textId="77777777" w:rsidR="00666E75" w:rsidRDefault="00666E75" w:rsidP="00242925">
            <w:pPr>
              <w:rPr>
                <w:noProof/>
              </w:rPr>
            </w:pPr>
          </w:p>
        </w:tc>
        <w:tc>
          <w:tcPr>
            <w:tcW w:w="467" w:type="dxa"/>
            <w:shd w:val="clear" w:color="auto" w:fill="DEEAF6" w:themeFill="accent1" w:themeFillTint="33"/>
          </w:tcPr>
          <w:p w14:paraId="2B3561F3" w14:textId="384E4C83" w:rsidR="00666E75" w:rsidRPr="00283EE7" w:rsidRDefault="00666E75" w:rsidP="00242925">
            <w:pPr>
              <w:rPr>
                <w:b/>
                <w:noProof/>
                <w:sz w:val="20"/>
              </w:rPr>
            </w:pPr>
            <w:r w:rsidRPr="00261B88">
              <w:rPr>
                <w:b/>
                <w:noProof/>
                <w:sz w:val="20"/>
              </w:rPr>
              <w:t>1</w:t>
            </w:r>
          </w:p>
        </w:tc>
        <w:tc>
          <w:tcPr>
            <w:tcW w:w="1364" w:type="dxa"/>
          </w:tcPr>
          <w:p w14:paraId="39FB70C8" w14:textId="602617D2" w:rsidR="00666E75" w:rsidRPr="00261B88" w:rsidRDefault="000842E0" w:rsidP="00242925">
            <w:pPr>
              <w:rPr>
                <w:b/>
                <w:noProof/>
                <w:sz w:val="20"/>
              </w:rPr>
            </w:pPr>
            <w:r w:rsidRPr="00261B88">
              <w:rPr>
                <w:b/>
                <w:noProof/>
                <w:sz w:val="20"/>
              </w:rPr>
              <w:t>Nu există SNAF</w:t>
            </w:r>
          </w:p>
        </w:tc>
      </w:tr>
      <w:tr w:rsidR="00666E75" w14:paraId="6599F636" w14:textId="77777777" w:rsidTr="00283EE7">
        <w:trPr>
          <w:jc w:val="center"/>
        </w:trPr>
        <w:tc>
          <w:tcPr>
            <w:tcW w:w="7003" w:type="dxa"/>
            <w:vMerge/>
          </w:tcPr>
          <w:p w14:paraId="0E0BE744" w14:textId="77777777" w:rsidR="00666E75" w:rsidRDefault="00666E75" w:rsidP="00242925">
            <w:pPr>
              <w:rPr>
                <w:noProof/>
              </w:rPr>
            </w:pPr>
          </w:p>
        </w:tc>
        <w:tc>
          <w:tcPr>
            <w:tcW w:w="1831" w:type="dxa"/>
            <w:gridSpan w:val="2"/>
          </w:tcPr>
          <w:p w14:paraId="056743A0" w14:textId="77777777" w:rsidR="00666E75" w:rsidRPr="00261B88" w:rsidRDefault="00666E75" w:rsidP="00242925">
            <w:pPr>
              <w:rPr>
                <w:b/>
                <w:noProof/>
                <w:sz w:val="20"/>
              </w:rPr>
            </w:pPr>
          </w:p>
        </w:tc>
      </w:tr>
    </w:tbl>
    <w:p w14:paraId="0D9A6942" w14:textId="41683D0B" w:rsidR="00242925" w:rsidRPr="00242925" w:rsidRDefault="00242925" w:rsidP="00242925">
      <w:pPr>
        <w:rPr>
          <w:noProof/>
        </w:rPr>
      </w:pPr>
    </w:p>
    <w:p w14:paraId="77C4B362" w14:textId="0C43AB81" w:rsidR="00B844C4" w:rsidRPr="00B844C4" w:rsidRDefault="00B844C4" w:rsidP="00B844C4">
      <w:pPr>
        <w:rPr>
          <w:noProof/>
        </w:rPr>
      </w:pPr>
      <w:r>
        <w:rPr>
          <w:noProof/>
        </w:rPr>
        <w:t>Deși acoperirea și conținutul strategiilor continuă să varieze de la un stat membru la altul</w:t>
      </w:r>
      <w:r>
        <w:rPr>
          <w:rStyle w:val="FootnoteReference"/>
          <w:noProof/>
        </w:rPr>
        <w:footnoteReference w:id="33"/>
      </w:r>
      <w:r>
        <w:rPr>
          <w:noProof/>
        </w:rPr>
        <w:t xml:space="preserve">, iar unele strategii trebuie actualizate, situația generală s-a îmbunătățit comparativ cu </w:t>
      </w:r>
      <w:r w:rsidRPr="00D17A39">
        <w:rPr>
          <w:noProof/>
        </w:rPr>
        <w:t>2020</w:t>
      </w:r>
      <w:r>
        <w:rPr>
          <w:noProof/>
        </w:rPr>
        <w:t>. În urma recomandărilor Comisiei, mai multe</w:t>
      </w:r>
      <w:r>
        <w:rPr>
          <w:rStyle w:val="FootnoteReference"/>
          <w:noProof/>
        </w:rPr>
        <w:footnoteReference w:id="34"/>
      </w:r>
      <w:r>
        <w:rPr>
          <w:noProof/>
        </w:rPr>
        <w:t xml:space="preserve"> dintre strategiile existente au fost actualizate pentru a reflecta noi riscuri semnificative, cum ar fi cele asociate cu punerea în aplicare a Mecanismului de redresare și reziliență (MRR) și efectele pandemiei de COVID-</w:t>
      </w:r>
      <w:r w:rsidRPr="00D17A39">
        <w:rPr>
          <w:noProof/>
        </w:rPr>
        <w:t>19</w:t>
      </w:r>
      <w:r>
        <w:rPr>
          <w:noProof/>
        </w:rPr>
        <w:t>.</w:t>
      </w:r>
    </w:p>
    <w:p w14:paraId="5022AF76" w14:textId="77777777" w:rsidR="00FE789E" w:rsidRPr="00261B88" w:rsidRDefault="00FE789E" w:rsidP="00CD7B44">
      <w:pPr>
        <w:pStyle w:val="Heading3"/>
        <w:rPr>
          <w:noProof/>
        </w:rPr>
      </w:pPr>
      <w:bookmarkStart w:id="42" w:name="_Toc116029518"/>
      <w:r w:rsidRPr="00261B88">
        <w:rPr>
          <w:noProof/>
        </w:rPr>
        <w:t>Punerea în aplicare a recomandărilor din 2020 de către statele membre</w:t>
      </w:r>
      <w:r w:rsidRPr="00261B88">
        <w:rPr>
          <w:rStyle w:val="FootnoteReference"/>
          <w:noProof/>
        </w:rPr>
        <w:footnoteReference w:id="35"/>
      </w:r>
      <w:bookmarkEnd w:id="42"/>
    </w:p>
    <w:p w14:paraId="5DB21B41" w14:textId="0E2733E5" w:rsidR="00471E85" w:rsidRDefault="008D394A" w:rsidP="00B844C4">
      <w:pPr>
        <w:rPr>
          <w:noProof/>
        </w:rPr>
      </w:pPr>
      <w:r>
        <w:rPr>
          <w:noProof/>
        </w:rPr>
        <w:t xml:space="preserve">În raportul său din </w:t>
      </w:r>
      <w:r w:rsidRPr="00D17A39">
        <w:rPr>
          <w:noProof/>
        </w:rPr>
        <w:t>2020</w:t>
      </w:r>
      <w:r>
        <w:rPr>
          <w:noProof/>
        </w:rPr>
        <w:t xml:space="preserve"> privind protejarea intereselor financiare ale Uniunii Europene, Comisia a formulat trei seturi de recomandări adresate statelor membre, cu referire la a) aspectele transversale ale luptei împotriva fraudei, b) venituri și c) cheltuieli. Aceste recomandări au vizat îmbunătățirea cooperării dintre UE și organismele naționale, sporirea coerenței și a consecvenței măsurilor naționale antifraudă, optimizarea funcționării uniunii vamale și a autorităților vamale ale statelor membre, consolidarea cadrelor de control intern și creșterea flexibilității și a rezilienței în perioade de criză.</w:t>
      </w:r>
    </w:p>
    <w:p w14:paraId="14CC8134" w14:textId="10972CEB" w:rsidR="00B844C4" w:rsidRDefault="0050564E" w:rsidP="00B844C4">
      <w:pPr>
        <w:rPr>
          <w:noProof/>
        </w:rPr>
      </w:pPr>
      <w:r>
        <w:rPr>
          <w:noProof/>
        </w:rPr>
        <w:t>În ceea ce privește aspectele transversale ale luptei împotriva fraudei, Comisia a recomandat ca statele membre care nu s-au alăturat EPPO să aibă în vedere acest lucru.</w:t>
      </w:r>
    </w:p>
    <w:p w14:paraId="048573A6" w14:textId="1A3CCC8F" w:rsidR="00B844C4" w:rsidRDefault="0050564E" w:rsidP="00B844C4">
      <w:pPr>
        <w:rPr>
          <w:noProof/>
        </w:rPr>
      </w:pPr>
      <w:r>
        <w:rPr>
          <w:noProof/>
        </w:rPr>
        <w:t xml:space="preserve">Dintre cele cinci state membre care nu fac încă parte din EPPO, </w:t>
      </w:r>
      <w:r w:rsidRPr="00261B88">
        <w:rPr>
          <w:b/>
          <w:noProof/>
        </w:rPr>
        <w:t>Suedia</w:t>
      </w:r>
      <w:r>
        <w:rPr>
          <w:noProof/>
        </w:rPr>
        <w:t xml:space="preserve"> și-a exprimat intenția de a adera la acesta în </w:t>
      </w:r>
      <w:r w:rsidRPr="00D17A39">
        <w:rPr>
          <w:noProof/>
        </w:rPr>
        <w:t>2023</w:t>
      </w:r>
      <w:r>
        <w:rPr>
          <w:noProof/>
        </w:rPr>
        <w:t xml:space="preserve">; </w:t>
      </w:r>
      <w:r w:rsidRPr="00261B88">
        <w:rPr>
          <w:b/>
          <w:noProof/>
        </w:rPr>
        <w:t>Danemarca</w:t>
      </w:r>
      <w:r>
        <w:rPr>
          <w:noProof/>
        </w:rPr>
        <w:t xml:space="preserve">, </w:t>
      </w:r>
      <w:r w:rsidRPr="00261B88">
        <w:rPr>
          <w:b/>
          <w:noProof/>
        </w:rPr>
        <w:t>Irlanda</w:t>
      </w:r>
      <w:r>
        <w:rPr>
          <w:noProof/>
        </w:rPr>
        <w:t xml:space="preserve">, </w:t>
      </w:r>
      <w:r w:rsidRPr="00261B88">
        <w:rPr>
          <w:b/>
          <w:noProof/>
        </w:rPr>
        <w:t>Ungaria</w:t>
      </w:r>
      <w:r>
        <w:rPr>
          <w:noProof/>
        </w:rPr>
        <w:t xml:space="preserve"> și </w:t>
      </w:r>
      <w:r w:rsidRPr="00261B88">
        <w:rPr>
          <w:b/>
          <w:noProof/>
        </w:rPr>
        <w:t>Polonia</w:t>
      </w:r>
      <w:r>
        <w:rPr>
          <w:noProof/>
        </w:rPr>
        <w:t xml:space="preserve"> au declarat că nu intenționeze să se alăture EPPO</w:t>
      </w:r>
      <w:r>
        <w:rPr>
          <w:rStyle w:val="FootnoteReference"/>
          <w:noProof/>
        </w:rPr>
        <w:footnoteReference w:id="36"/>
      </w:r>
      <w:r>
        <w:rPr>
          <w:noProof/>
        </w:rPr>
        <w:t>.</w:t>
      </w:r>
    </w:p>
    <w:p w14:paraId="0EB24CEC" w14:textId="3A4D4152" w:rsidR="00B844C4" w:rsidRPr="00B87D3E" w:rsidRDefault="00B844C4" w:rsidP="00B844C4">
      <w:pPr>
        <w:pStyle w:val="NormalWeb"/>
        <w:spacing w:before="0" w:beforeAutospacing="0" w:after="240" w:afterAutospacing="0"/>
        <w:jc w:val="both"/>
        <w:rPr>
          <w:noProof/>
          <w:sz w:val="22"/>
        </w:rPr>
      </w:pPr>
      <w:r>
        <w:rPr>
          <w:noProof/>
          <w:sz w:val="22"/>
        </w:rPr>
        <w:t xml:space="preserve">În domeniul veniturilor, </w:t>
      </w:r>
      <w:r w:rsidRPr="00D17A39">
        <w:rPr>
          <w:noProof/>
          <w:sz w:val="22"/>
        </w:rPr>
        <w:t>16</w:t>
      </w:r>
      <w:r>
        <w:rPr>
          <w:rStyle w:val="FootnoteReference"/>
          <w:noProof/>
          <w:sz w:val="22"/>
        </w:rPr>
        <w:footnoteReference w:id="37"/>
      </w:r>
      <w:r>
        <w:rPr>
          <w:noProof/>
          <w:sz w:val="22"/>
          <w:vertAlign w:val="superscript"/>
        </w:rPr>
        <w:t xml:space="preserve"> </w:t>
      </w:r>
      <w:r>
        <w:rPr>
          <w:noProof/>
          <w:sz w:val="22"/>
        </w:rPr>
        <w:t xml:space="preserve">state membre au răspuns că au pus în aplicare pe deplin recomandarea Comisiei de a evalua </w:t>
      </w:r>
      <w:r w:rsidRPr="00261B88">
        <w:rPr>
          <w:b/>
          <w:noProof/>
          <w:sz w:val="22"/>
        </w:rPr>
        <w:t>riscurile și deficiențele strategiilor lor naționale de control vamal</w:t>
      </w:r>
      <w:r>
        <w:rPr>
          <w:noProof/>
          <w:sz w:val="22"/>
        </w:rPr>
        <w:t xml:space="preserve"> evidențiate de pandemia de COVID-</w:t>
      </w:r>
      <w:r w:rsidRPr="00D17A39">
        <w:rPr>
          <w:noProof/>
          <w:sz w:val="22"/>
        </w:rPr>
        <w:t>19</w:t>
      </w:r>
      <w:r>
        <w:rPr>
          <w:noProof/>
          <w:sz w:val="22"/>
        </w:rPr>
        <w:t xml:space="preserve">, </w:t>
      </w:r>
      <w:r w:rsidRPr="00D17A39">
        <w:rPr>
          <w:noProof/>
          <w:sz w:val="22"/>
        </w:rPr>
        <w:t>4</w:t>
      </w:r>
      <w:r>
        <w:rPr>
          <w:rStyle w:val="FootnoteReference"/>
          <w:noProof/>
          <w:sz w:val="22"/>
        </w:rPr>
        <w:footnoteReference w:id="38"/>
      </w:r>
      <w:r>
        <w:rPr>
          <w:noProof/>
          <w:sz w:val="22"/>
        </w:rPr>
        <w:t xml:space="preserve"> au răspuns că au pus în aplicare parțial această recomandare, iar </w:t>
      </w:r>
      <w:r w:rsidRPr="00D17A39">
        <w:rPr>
          <w:noProof/>
          <w:sz w:val="22"/>
        </w:rPr>
        <w:t>6</w:t>
      </w:r>
      <w:r>
        <w:rPr>
          <w:rStyle w:val="FootnoteReference"/>
          <w:noProof/>
          <w:sz w:val="22"/>
        </w:rPr>
        <w:footnoteReference w:id="39"/>
      </w:r>
      <w:r>
        <w:rPr>
          <w:noProof/>
          <w:sz w:val="22"/>
        </w:rPr>
        <w:t xml:space="preserve"> au răspuns că nu au pus în aplicare recomandarea respectivă. Răspunsurile indică o serie de măsuri de succes, cum ar fi flexibilitatea controalelor și crearea de profiluri de risc, asigurându-se astfel că, în perioada marcată de pandemia de COVID-</w:t>
      </w:r>
      <w:r w:rsidRPr="00D17A39">
        <w:rPr>
          <w:noProof/>
          <w:sz w:val="22"/>
        </w:rPr>
        <w:t>19</w:t>
      </w:r>
      <w:r>
        <w:rPr>
          <w:noProof/>
          <w:sz w:val="22"/>
        </w:rPr>
        <w:t xml:space="preserve">, controalele au continuat să fie efectuate în mod eficient. </w:t>
      </w:r>
    </w:p>
    <w:p w14:paraId="693DB440" w14:textId="757235B3" w:rsidR="00B844C4" w:rsidRPr="00B87D3E" w:rsidRDefault="0050564E" w:rsidP="00B844C4">
      <w:pPr>
        <w:rPr>
          <w:noProof/>
          <w:szCs w:val="24"/>
        </w:rPr>
      </w:pPr>
      <w:r>
        <w:rPr>
          <w:noProof/>
        </w:rPr>
        <w:t xml:space="preserve">Ca răspuns la recomandarea de a </w:t>
      </w:r>
      <w:r w:rsidRPr="00261B88">
        <w:rPr>
          <w:b/>
          <w:noProof/>
        </w:rPr>
        <w:t>evalua riscurile care s-ar putea să nu fi fost abordate în 2020 și de a pune în aplicare măsuri de remediere pentru a le aborda</w:t>
      </w:r>
      <w:r>
        <w:rPr>
          <w:noProof/>
        </w:rPr>
        <w:t xml:space="preserve">, </w:t>
      </w:r>
      <w:r w:rsidRPr="00D17A39">
        <w:rPr>
          <w:noProof/>
        </w:rPr>
        <w:t>16</w:t>
      </w:r>
      <w:r>
        <w:rPr>
          <w:rStyle w:val="FootnoteReference"/>
          <w:noProof/>
          <w:szCs w:val="24"/>
        </w:rPr>
        <w:footnoteReference w:id="40"/>
      </w:r>
      <w:r>
        <w:rPr>
          <w:noProof/>
        </w:rPr>
        <w:t xml:space="preserve"> state membre au pus în aplicare pe deplin această recomandare, </w:t>
      </w:r>
      <w:r w:rsidRPr="00D17A39">
        <w:rPr>
          <w:noProof/>
        </w:rPr>
        <w:t>3</w:t>
      </w:r>
      <w:r>
        <w:rPr>
          <w:rStyle w:val="FootnoteReference"/>
          <w:noProof/>
          <w:szCs w:val="24"/>
        </w:rPr>
        <w:footnoteReference w:id="41"/>
      </w:r>
      <w:r>
        <w:rPr>
          <w:noProof/>
        </w:rPr>
        <w:t xml:space="preserve"> au pus-o în aplicare parțial, iar </w:t>
      </w:r>
      <w:r w:rsidRPr="00D17A39">
        <w:rPr>
          <w:noProof/>
        </w:rPr>
        <w:t>7</w:t>
      </w:r>
      <w:r>
        <w:rPr>
          <w:rStyle w:val="FootnoteReference"/>
          <w:noProof/>
          <w:szCs w:val="24"/>
        </w:rPr>
        <w:footnoteReference w:id="42"/>
      </w:r>
      <w:r>
        <w:rPr>
          <w:noProof/>
        </w:rPr>
        <w:t xml:space="preserve"> nu au pus-o în aplicare.</w:t>
      </w:r>
    </w:p>
    <w:p w14:paraId="7F38F621" w14:textId="7AD6BAC8" w:rsidR="00B844C4" w:rsidRPr="00B87D3E" w:rsidRDefault="00295D72" w:rsidP="00B844C4">
      <w:pPr>
        <w:spacing w:line="240" w:lineRule="auto"/>
        <w:rPr>
          <w:noProof/>
          <w:szCs w:val="24"/>
        </w:rPr>
      </w:pPr>
      <w:r>
        <w:rPr>
          <w:noProof/>
        </w:rPr>
        <w:t xml:space="preserve">În ceea ce privește recomandările privind cheltuielile, </w:t>
      </w:r>
      <w:r w:rsidRPr="00D17A39">
        <w:rPr>
          <w:noProof/>
        </w:rPr>
        <w:t>11</w:t>
      </w:r>
      <w:r>
        <w:rPr>
          <w:rStyle w:val="FootnoteReference"/>
          <w:noProof/>
          <w:szCs w:val="24"/>
        </w:rPr>
        <w:footnoteReference w:id="43"/>
      </w:r>
      <w:r>
        <w:rPr>
          <w:noProof/>
        </w:rPr>
        <w:t xml:space="preserve"> state membre au raportat că au lansat </w:t>
      </w:r>
      <w:r w:rsidRPr="00261B88">
        <w:rPr>
          <w:b/>
          <w:noProof/>
        </w:rPr>
        <w:t>exerciții specifice de gestionare a riscurilor legate de impactul COVID-19 și de</w:t>
      </w:r>
      <w:r>
        <w:rPr>
          <w:noProof/>
        </w:rPr>
        <w:t xml:space="preserve"> </w:t>
      </w:r>
      <w:r w:rsidRPr="00261B88">
        <w:rPr>
          <w:b/>
          <w:noProof/>
        </w:rPr>
        <w:t>viitoarea punere în aplicare a Mecanismului de redresare și reziliență</w:t>
      </w:r>
      <w:r>
        <w:rPr>
          <w:noProof/>
        </w:rPr>
        <w:t xml:space="preserve"> și că au pus în aplicare pe deplin recomandarea; </w:t>
      </w:r>
      <w:r w:rsidRPr="00D17A39">
        <w:rPr>
          <w:noProof/>
        </w:rPr>
        <w:t>11</w:t>
      </w:r>
      <w:r>
        <w:rPr>
          <w:rStyle w:val="FootnoteReference"/>
          <w:noProof/>
          <w:szCs w:val="24"/>
        </w:rPr>
        <w:footnoteReference w:id="44"/>
      </w:r>
      <w:r>
        <w:rPr>
          <w:noProof/>
        </w:rPr>
        <w:t xml:space="preserve"> state membre au pus în aplicare doar parțial această recomandare, în timp ce </w:t>
      </w:r>
      <w:r w:rsidRPr="00D17A39">
        <w:rPr>
          <w:noProof/>
        </w:rPr>
        <w:t>4</w:t>
      </w:r>
      <w:r>
        <w:rPr>
          <w:rStyle w:val="FootnoteReference"/>
          <w:noProof/>
          <w:szCs w:val="24"/>
        </w:rPr>
        <w:footnoteReference w:id="45"/>
      </w:r>
      <w:r>
        <w:rPr>
          <w:noProof/>
        </w:rPr>
        <w:t xml:space="preserve"> nu au pus-o în aplicare. </w:t>
      </w:r>
    </w:p>
    <w:p w14:paraId="47474BFF" w14:textId="67534712" w:rsidR="00B844C4" w:rsidRPr="00B87D3E" w:rsidRDefault="00295D72" w:rsidP="00B844C4">
      <w:pPr>
        <w:spacing w:line="240" w:lineRule="auto"/>
        <w:rPr>
          <w:noProof/>
          <w:szCs w:val="24"/>
        </w:rPr>
      </w:pPr>
      <w:r>
        <w:rPr>
          <w:noProof/>
        </w:rPr>
        <w:t xml:space="preserve">În ceea ce privește </w:t>
      </w:r>
      <w:r w:rsidRPr="00261B88">
        <w:rPr>
          <w:b/>
          <w:noProof/>
        </w:rPr>
        <w:t>îmbunătățirea modului în care sunt colectate și utilizate datele subiacente și datele referitoare la neregulile și fraudele detectate</w:t>
      </w:r>
      <w:r>
        <w:rPr>
          <w:noProof/>
        </w:rPr>
        <w:t xml:space="preserve">, </w:t>
      </w:r>
      <w:r w:rsidRPr="00D17A39">
        <w:rPr>
          <w:noProof/>
        </w:rPr>
        <w:t>14</w:t>
      </w:r>
      <w:r>
        <w:rPr>
          <w:rStyle w:val="FootnoteReference"/>
          <w:noProof/>
          <w:szCs w:val="24"/>
        </w:rPr>
        <w:footnoteReference w:id="46"/>
      </w:r>
      <w:r>
        <w:rPr>
          <w:noProof/>
        </w:rPr>
        <w:t xml:space="preserve"> state membre au raportat că au pus în aplicare pe deplin recomandarea, </w:t>
      </w:r>
      <w:r w:rsidRPr="00D17A39">
        <w:rPr>
          <w:noProof/>
        </w:rPr>
        <w:t>7</w:t>
      </w:r>
      <w:r>
        <w:rPr>
          <w:rStyle w:val="FootnoteReference"/>
          <w:noProof/>
          <w:szCs w:val="24"/>
        </w:rPr>
        <w:footnoteReference w:id="47"/>
      </w:r>
      <w:r>
        <w:rPr>
          <w:noProof/>
        </w:rPr>
        <w:t xml:space="preserve"> că au pus în aplicare parțial această recomandare și </w:t>
      </w:r>
      <w:r w:rsidRPr="00D17A39">
        <w:rPr>
          <w:noProof/>
        </w:rPr>
        <w:t>5</w:t>
      </w:r>
      <w:r>
        <w:rPr>
          <w:rStyle w:val="FootnoteReference"/>
          <w:noProof/>
          <w:szCs w:val="24"/>
        </w:rPr>
        <w:footnoteReference w:id="48"/>
      </w:r>
      <w:r>
        <w:rPr>
          <w:noProof/>
        </w:rPr>
        <w:t xml:space="preserve"> că nu au pus în aplicare recomandarea respectivă. Majoritatea statelor membre au raportat că și-au adaptat utilizarea sistemelor informatice, cum ar fi Sistemul de gestionare a neregulilor (IMS), Arachne</w:t>
      </w:r>
      <w:r>
        <w:rPr>
          <w:rStyle w:val="FootnoteReference"/>
          <w:noProof/>
        </w:rPr>
        <w:footnoteReference w:id="49"/>
      </w:r>
      <w:r>
        <w:rPr>
          <w:noProof/>
        </w:rPr>
        <w:t>, sistemul de detectare timpurie și de excludere (EDES)</w:t>
      </w:r>
      <w:r>
        <w:rPr>
          <w:rStyle w:val="FootnoteReference"/>
          <w:noProof/>
          <w:szCs w:val="24"/>
        </w:rPr>
        <w:footnoteReference w:id="50"/>
      </w:r>
      <w:r>
        <w:rPr>
          <w:noProof/>
        </w:rPr>
        <w:t xml:space="preserve">, precum și o varietate de instrumente informatice naționale pentru a îmbunătăți calitatea datelor cu care lucrează. </w:t>
      </w:r>
    </w:p>
    <w:p w14:paraId="153B40CB" w14:textId="1BABB546" w:rsidR="00B844C4" w:rsidRPr="00B844C4" w:rsidRDefault="00B844C4" w:rsidP="00B844C4">
      <w:pPr>
        <w:spacing w:after="0" w:line="240" w:lineRule="auto"/>
        <w:rPr>
          <w:noProof/>
          <w:szCs w:val="24"/>
        </w:rPr>
      </w:pPr>
      <w:r>
        <w:rPr>
          <w:noProof/>
        </w:rPr>
        <w:t xml:space="preserve">Ultima recomandare privind cheltuielile a încurajat statele membre să utilizeze </w:t>
      </w:r>
      <w:r w:rsidRPr="00261B88">
        <w:rPr>
          <w:b/>
          <w:noProof/>
        </w:rPr>
        <w:t>sistemul integrat și interoperabil de informare și monitorizare pe care Comisia îl va pune la dispoziție pentru MRR și pentru bugetul UE</w:t>
      </w:r>
      <w:r>
        <w:rPr>
          <w:noProof/>
        </w:rPr>
        <w:t xml:space="preserve">. </w:t>
      </w:r>
      <w:r w:rsidRPr="00D17A39">
        <w:rPr>
          <w:noProof/>
        </w:rPr>
        <w:t>19</w:t>
      </w:r>
      <w:r>
        <w:rPr>
          <w:rStyle w:val="FootnoteReference"/>
          <w:noProof/>
          <w:szCs w:val="24"/>
        </w:rPr>
        <w:footnoteReference w:id="51"/>
      </w:r>
      <w:r>
        <w:rPr>
          <w:noProof/>
        </w:rPr>
        <w:t xml:space="preserve"> state membre au raportat punerea în aplicare deplină a recomandării, </w:t>
      </w:r>
      <w:r w:rsidRPr="00D17A39">
        <w:rPr>
          <w:noProof/>
        </w:rPr>
        <w:t>4</w:t>
      </w:r>
      <w:r>
        <w:rPr>
          <w:rStyle w:val="FootnoteReference"/>
          <w:noProof/>
          <w:szCs w:val="24"/>
        </w:rPr>
        <w:footnoteReference w:id="52"/>
      </w:r>
      <w:r>
        <w:rPr>
          <w:noProof/>
        </w:rPr>
        <w:t xml:space="preserve"> punerea în aplicare parțială a acesteia, în timp ce </w:t>
      </w:r>
      <w:r w:rsidRPr="00D17A39">
        <w:rPr>
          <w:noProof/>
        </w:rPr>
        <w:t>3</w:t>
      </w:r>
      <w:r>
        <w:rPr>
          <w:rStyle w:val="FootnoteReference"/>
          <w:noProof/>
          <w:szCs w:val="24"/>
        </w:rPr>
        <w:footnoteReference w:id="53"/>
      </w:r>
      <w:r>
        <w:rPr>
          <w:noProof/>
        </w:rPr>
        <w:t xml:space="preserve"> state membre nu au pus în aplicare recomandarea.</w:t>
      </w:r>
    </w:p>
    <w:p w14:paraId="1D316658" w14:textId="77777777" w:rsidR="00FE789E" w:rsidRPr="00261B88" w:rsidRDefault="00FE789E" w:rsidP="00FE789E">
      <w:pPr>
        <w:pStyle w:val="Heading1"/>
        <w:rPr>
          <w:noProof/>
        </w:rPr>
      </w:pPr>
      <w:bookmarkStart w:id="43" w:name="_Toc116029519"/>
      <w:r w:rsidRPr="00261B88">
        <w:rPr>
          <w:noProof/>
        </w:rPr>
        <w:t>Cooperarea antifraudă</w:t>
      </w:r>
      <w:bookmarkEnd w:id="43"/>
    </w:p>
    <w:p w14:paraId="0B2FF319" w14:textId="6533572D" w:rsidR="00FE789E" w:rsidRDefault="00295D72" w:rsidP="00DC489A">
      <w:pPr>
        <w:rPr>
          <w:noProof/>
        </w:rPr>
      </w:pPr>
      <w:r>
        <w:rPr>
          <w:noProof/>
        </w:rPr>
        <w:t>Combaterea fraudei este esențială pentru UE, nu în ultimul rând având în vedere rolul pe care îl joacă pe scena mondială. Cooperarea este esențială pentru a asigura eficacitatea acestei lupte. Această secțiune prezintă cele mai importante evoluții din acest domeniu.</w:t>
      </w:r>
    </w:p>
    <w:p w14:paraId="498DB13E" w14:textId="77777777" w:rsidR="00DC489A" w:rsidRPr="00261B88" w:rsidRDefault="00DC489A" w:rsidP="00DC489A">
      <w:pPr>
        <w:pStyle w:val="Heading2"/>
        <w:rPr>
          <w:noProof/>
        </w:rPr>
      </w:pPr>
      <w:bookmarkStart w:id="44" w:name="_Toc116029520"/>
      <w:r w:rsidRPr="00261B88">
        <w:rPr>
          <w:noProof/>
        </w:rPr>
        <w:t>Cooperarea internațională</w:t>
      </w:r>
      <w:bookmarkEnd w:id="44"/>
    </w:p>
    <w:p w14:paraId="5BD562FA" w14:textId="77777777" w:rsidR="004F6F3F" w:rsidRPr="00261B88" w:rsidRDefault="00FF426C" w:rsidP="00CD7B44">
      <w:pPr>
        <w:pStyle w:val="Heading3"/>
        <w:rPr>
          <w:noProof/>
        </w:rPr>
      </w:pPr>
      <w:bookmarkStart w:id="45" w:name="_Toc116029521"/>
      <w:r w:rsidRPr="00261B88">
        <w:rPr>
          <w:noProof/>
        </w:rPr>
        <w:t>Cooperarea cu țările din afara UE, asistență reciprocă și dispoziții antifraudă în cadrul acordurilor internaționale</w:t>
      </w:r>
      <w:bookmarkEnd w:id="45"/>
    </w:p>
    <w:p w14:paraId="2442E74A" w14:textId="19052EEE" w:rsidR="00FF426C" w:rsidRDefault="00FF426C" w:rsidP="00C6311E">
      <w:pPr>
        <w:rPr>
          <w:noProof/>
        </w:rPr>
      </w:pPr>
      <w:r w:rsidRPr="00261B88">
        <w:rPr>
          <w:b/>
          <w:noProof/>
        </w:rPr>
        <w:t>Cooperarea cu partenerii internaționali</w:t>
      </w:r>
      <w:r>
        <w:rPr>
          <w:noProof/>
        </w:rPr>
        <w:t xml:space="preserve"> este esențială pentru a proteja fondurile UE cheltuite în afara Europei și partea de venituri a bugetului UE. În acest scop, în </w:t>
      </w:r>
      <w:r w:rsidRPr="00D17A39">
        <w:rPr>
          <w:noProof/>
        </w:rPr>
        <w:t>2021</w:t>
      </w:r>
      <w:r>
        <w:rPr>
          <w:noProof/>
        </w:rPr>
        <w:t xml:space="preserve">, OLAF – împreună cu departamentul competent al Comisiei – a continuat </w:t>
      </w:r>
      <w:r w:rsidRPr="00261B88">
        <w:rPr>
          <w:b/>
          <w:noProof/>
        </w:rPr>
        <w:t>să se asigure că acordurile de finanțare și alte contracte conțin dispoziții antifraudă solide</w:t>
      </w:r>
      <w:r>
        <w:rPr>
          <w:noProof/>
        </w:rPr>
        <w:t xml:space="preserve">, inclusiv posibilitatea de a efectua controale și investigații referitoare la fondurile executate în afara UE. OLAF a încheiat, de asemenea, acorduri de cooperare administrativă cu două autorități partenere internaționale, Biroul Procurorului General al Ucrainei și Organizația Mondială a Vămilor (OMV). Astfel de acorduri contribuie la promovarea unor relații strânse cu partenerii implicați în lupta împotriva fraudei, oferind un cadru orientativ pentru cooperarea practică, de exemplu schimbul de informații sau de bune practici. În </w:t>
      </w:r>
      <w:r w:rsidRPr="00D17A39">
        <w:rPr>
          <w:noProof/>
        </w:rPr>
        <w:t>2021</w:t>
      </w:r>
      <w:r>
        <w:rPr>
          <w:noProof/>
        </w:rPr>
        <w:t>, OLAF a organizat, de asemenea, evenimente de informare online pentru a stabili noi contacte operaționale cu autoritățile de investigare din țările din afara UE și pentru a încuraja raportarea fraudelor și a neregulilor prin intermediul delegațiilor Uniunii din întreaga lume.</w:t>
      </w:r>
    </w:p>
    <w:p w14:paraId="35AFCCE3" w14:textId="07ABE043" w:rsidR="00C6311E" w:rsidRDefault="00C6311E" w:rsidP="00C6311E">
      <w:pPr>
        <w:rPr>
          <w:noProof/>
        </w:rPr>
      </w:pPr>
      <w:r>
        <w:rPr>
          <w:noProof/>
        </w:rPr>
        <w:t xml:space="preserve">Cooperarea cu țări terțe pentru prevenirea, detectarea și combaterea încălcărilor legislației vamale se bazează pe </w:t>
      </w:r>
      <w:r w:rsidRPr="00261B88">
        <w:rPr>
          <w:b/>
          <w:noProof/>
        </w:rPr>
        <w:t>acorduri de asistență administrativă reciprocă</w:t>
      </w:r>
      <w:r>
        <w:rPr>
          <w:noProof/>
        </w:rPr>
        <w:t xml:space="preserve"> (AAR) în domeniul vamal. Astfel de acorduri aduc o contribuție esențială la protejarea intereselor financiare ale UE. În prezent, există acorduri cu peste </w:t>
      </w:r>
      <w:r w:rsidRPr="00D17A39">
        <w:rPr>
          <w:noProof/>
        </w:rPr>
        <w:t>87</w:t>
      </w:r>
      <w:r>
        <w:rPr>
          <w:noProof/>
        </w:rPr>
        <w:t xml:space="preserve"> de țări, inclusiv cu parteneri comerciali majori ai UE, precum Statele Unite, China și Japonia. În </w:t>
      </w:r>
      <w:r w:rsidRPr="00D17A39">
        <w:rPr>
          <w:noProof/>
        </w:rPr>
        <w:t>2021</w:t>
      </w:r>
      <w:r>
        <w:rPr>
          <w:noProof/>
        </w:rPr>
        <w:t>, s-au finalizat negocierile cu țările din Africa de Est și de Sud (ESA</w:t>
      </w:r>
      <w:r w:rsidRPr="00D17A39">
        <w:rPr>
          <w:noProof/>
        </w:rPr>
        <w:t>5</w:t>
      </w:r>
      <w:r>
        <w:rPr>
          <w:noProof/>
        </w:rPr>
        <w:t>)</w:t>
      </w:r>
      <w:r>
        <w:rPr>
          <w:rStyle w:val="FootnoteReference"/>
          <w:noProof/>
        </w:rPr>
        <w:footnoteReference w:id="54"/>
      </w:r>
      <w:r>
        <w:rPr>
          <w:noProof/>
        </w:rPr>
        <w:t xml:space="preserve"> și erau în curs negocieri cu Australia, Indonezia și Regatul Unit în ceea ce privește Gibraltarul.</w:t>
      </w:r>
    </w:p>
    <w:p w14:paraId="3453F37D" w14:textId="3FCBD6C5" w:rsidR="00C6311E" w:rsidRPr="00C6311E" w:rsidRDefault="00C6311E" w:rsidP="00C6311E">
      <w:pPr>
        <w:rPr>
          <w:noProof/>
        </w:rPr>
      </w:pPr>
      <w:r>
        <w:rPr>
          <w:noProof/>
        </w:rPr>
        <w:t xml:space="preserve">Acordurile de liber schimb conțin, de regulă, o clauză antifraudă care implică o retragere temporară a preferinței tarifare pentru un produs în cazul unei fraude vamale grave sau al unei lipse persistente de cooperare adecvată în vederea combaterii acesteia. O astfel de clauză este de fapt o condiție </w:t>
      </w:r>
      <w:r w:rsidRPr="00261B88">
        <w:rPr>
          <w:i/>
          <w:noProof/>
        </w:rPr>
        <w:t>sine qua non</w:t>
      </w:r>
      <w:r>
        <w:rPr>
          <w:noProof/>
        </w:rPr>
        <w:t xml:space="preserve"> pentru acordarea unei preferințe tarifare țărilor terțe. </w:t>
      </w:r>
    </w:p>
    <w:p w14:paraId="13B0BFC8" w14:textId="77777777" w:rsidR="004F6F3F" w:rsidRPr="00261B88" w:rsidRDefault="00F90561" w:rsidP="00CD7B44">
      <w:pPr>
        <w:pStyle w:val="Heading3"/>
        <w:rPr>
          <w:noProof/>
        </w:rPr>
      </w:pPr>
      <w:bookmarkStart w:id="46" w:name="_Toc116029522"/>
      <w:r w:rsidRPr="00261B88">
        <w:rPr>
          <w:noProof/>
        </w:rPr>
        <w:t>Cea de a noua sesiune a Conferinței statelor părți la Convenția Organizației Națiunilor Unite împotriva corupției și rezoluțiile promovate de UE</w:t>
      </w:r>
      <w:bookmarkEnd w:id="46"/>
    </w:p>
    <w:p w14:paraId="7EBA0610" w14:textId="2119FE02" w:rsidR="00AB46D0" w:rsidRDefault="00AB46D0" w:rsidP="00233792">
      <w:pPr>
        <w:rPr>
          <w:noProof/>
        </w:rPr>
      </w:pPr>
      <w:r w:rsidRPr="00261B88">
        <w:rPr>
          <w:b/>
          <w:noProof/>
        </w:rPr>
        <w:t>UE este parte la Convenția Organizației Națiunilor Unite împotriva corupției</w:t>
      </w:r>
      <w:r>
        <w:rPr>
          <w:noProof/>
        </w:rPr>
        <w:t xml:space="preserve"> (UNCAC), singurul instrument universal anticorupție obligatoriu din punct de vedere juridic. Comisia reprezintă UE în ceea ce privește toate procesele legate de UNCAC, inclusiv în ceea ce privește participarea la reuniunile grupului de examinare a punerii în aplicare și la grupurile de lucru deschise privind prevenirea corupției și recuperarea activelor.</w:t>
      </w:r>
    </w:p>
    <w:p w14:paraId="41878CAC" w14:textId="2C2AA34E" w:rsidR="001149B4" w:rsidRPr="00433EC7" w:rsidRDefault="001149B4" w:rsidP="00233792">
      <w:pPr>
        <w:rPr>
          <w:noProof/>
        </w:rPr>
      </w:pPr>
      <w:r>
        <w:rPr>
          <w:noProof/>
        </w:rPr>
        <w:t>Mecanismul de examinare a punerii în aplicare a convenției este obligatoriu pentru toate părțile la convenție, inclusiv pentru UE. În iunie </w:t>
      </w:r>
      <w:r w:rsidRPr="00D17A39">
        <w:rPr>
          <w:noProof/>
        </w:rPr>
        <w:t>2021</w:t>
      </w:r>
      <w:r>
        <w:rPr>
          <w:noProof/>
        </w:rPr>
        <w:t>, Comisia a comunicat Biroului Națiunilor Unite pentru Droguri și Criminalitate (UNODC) disponibilitatea sa de a parcurge procesul de examinare prevăzut în UNCAC</w:t>
      </w:r>
      <w:r>
        <w:rPr>
          <w:rStyle w:val="FootnoteReference"/>
          <w:noProof/>
        </w:rPr>
        <w:footnoteReference w:id="55"/>
      </w:r>
      <w:r>
        <w:rPr>
          <w:noProof/>
        </w:rPr>
        <w:t>. Procesul de examinare a punerii în aplicare a fost lansat oficial în iulie </w:t>
      </w:r>
      <w:r w:rsidRPr="00D17A39">
        <w:rPr>
          <w:noProof/>
        </w:rPr>
        <w:t>2021</w:t>
      </w:r>
      <w:r>
        <w:rPr>
          <w:noProof/>
        </w:rPr>
        <w:t>.</w:t>
      </w:r>
    </w:p>
    <w:p w14:paraId="082C7BE1" w14:textId="6BF4C82A" w:rsidR="00AB46D0" w:rsidRPr="00433EC7" w:rsidRDefault="00AB46D0" w:rsidP="00233792">
      <w:pPr>
        <w:rPr>
          <w:noProof/>
        </w:rPr>
      </w:pPr>
      <w:r>
        <w:rPr>
          <w:noProof/>
        </w:rPr>
        <w:t>În cadrul celei de a noua sesiuni a Conferinței statelor părți (CoSP), care a avut loc în Sharm el-Sheikh, Egipt, în decembrie </w:t>
      </w:r>
      <w:r w:rsidRPr="00D17A39">
        <w:rPr>
          <w:noProof/>
        </w:rPr>
        <w:t>2021</w:t>
      </w:r>
      <w:r>
        <w:rPr>
          <w:noProof/>
        </w:rPr>
        <w:t xml:space="preserve">, UE a subliniat eforturile sale continue și susținute de sprijinire a celei mai largi </w:t>
      </w:r>
      <w:r w:rsidRPr="00261B88">
        <w:rPr>
          <w:b/>
          <w:noProof/>
        </w:rPr>
        <w:t>participări a societății civile și a organizațiilor neguvernamentale relevante</w:t>
      </w:r>
      <w:r>
        <w:rPr>
          <w:noProof/>
        </w:rPr>
        <w:t xml:space="preserve"> la lupta împotriva corupției. </w:t>
      </w:r>
    </w:p>
    <w:p w14:paraId="2D990E9A" w14:textId="3C63F940" w:rsidR="00AB46D0" w:rsidRPr="00AB46D0" w:rsidRDefault="00AB46D0" w:rsidP="00AB46D0">
      <w:pPr>
        <w:rPr>
          <w:noProof/>
        </w:rPr>
      </w:pPr>
      <w:r>
        <w:rPr>
          <w:noProof/>
        </w:rPr>
        <w:t>În cadrul dezbaterii generale, UE a evidențiat rolul EPPO și OLAF în lupta împotriva corupției și a subliniat importanța pe care o au mass-media și jurnaliștii de investigație. Patru dintre cele opt rezoluții adoptate au fost promovate de UE, acestea vizând în special prevenirea corupției, consolidarea cooperării internaționale în situații de urgență, de răspuns la crize și de redresare, precum și lupta împotriva corupției la nivel regional</w:t>
      </w:r>
      <w:r>
        <w:rPr>
          <w:rStyle w:val="FootnoteReference"/>
          <w:noProof/>
        </w:rPr>
        <w:footnoteReference w:id="56"/>
      </w:r>
      <w:r>
        <w:rPr>
          <w:noProof/>
        </w:rPr>
        <w:t>.</w:t>
      </w:r>
    </w:p>
    <w:p w14:paraId="63D1F5B2" w14:textId="77777777" w:rsidR="00C6311E" w:rsidRPr="00261B88" w:rsidRDefault="00C6311E" w:rsidP="00CD7B44">
      <w:pPr>
        <w:pStyle w:val="Heading3"/>
        <w:rPr>
          <w:noProof/>
        </w:rPr>
      </w:pPr>
      <w:bookmarkStart w:id="47" w:name="_Toc116029523"/>
      <w:r w:rsidRPr="00261B88">
        <w:rPr>
          <w:noProof/>
        </w:rPr>
        <w:t>Combaterea comerțului ilicit cu produse din tutun</w:t>
      </w:r>
      <w:bookmarkEnd w:id="47"/>
    </w:p>
    <w:p w14:paraId="08CBA002" w14:textId="7F25BF1F" w:rsidR="00C6311E" w:rsidRDefault="00C6311E" w:rsidP="00C6311E">
      <w:pPr>
        <w:rPr>
          <w:noProof/>
        </w:rPr>
      </w:pPr>
      <w:r w:rsidRPr="00261B88">
        <w:rPr>
          <w:b/>
          <w:noProof/>
        </w:rPr>
        <w:t>Cel de al doilea plan de acțiune</w:t>
      </w:r>
      <w:r>
        <w:rPr>
          <w:noProof/>
        </w:rPr>
        <w:t xml:space="preserve"> </w:t>
      </w:r>
      <w:r w:rsidRPr="00261B88">
        <w:rPr>
          <w:b/>
          <w:noProof/>
        </w:rPr>
        <w:t>pentru combaterea comerțului ilicit cu tutun</w:t>
      </w:r>
      <w:r>
        <w:rPr>
          <w:noProof/>
        </w:rPr>
        <w:t xml:space="preserve"> (</w:t>
      </w:r>
      <w:r w:rsidRPr="00D17A39">
        <w:rPr>
          <w:noProof/>
        </w:rPr>
        <w:t>2018</w:t>
      </w:r>
      <w:r>
        <w:rPr>
          <w:noProof/>
        </w:rPr>
        <w:t>-</w:t>
      </w:r>
      <w:r w:rsidRPr="00D17A39">
        <w:rPr>
          <w:noProof/>
        </w:rPr>
        <w:t>2022</w:t>
      </w:r>
      <w:r>
        <w:rPr>
          <w:noProof/>
        </w:rPr>
        <w:t>), prezentat de Comisie în decembrie </w:t>
      </w:r>
      <w:r w:rsidRPr="00D17A39">
        <w:rPr>
          <w:noProof/>
        </w:rPr>
        <w:t>2018</w:t>
      </w:r>
      <w:r>
        <w:rPr>
          <w:noProof/>
        </w:rPr>
        <w:t xml:space="preserve"> și conținând atât măsuri operaționale de asigurare a aplicării legii, cât și măsuri de politică, a continuat să fie pus în aplicare pe parcursul anului </w:t>
      </w:r>
      <w:r w:rsidRPr="00D17A39">
        <w:rPr>
          <w:noProof/>
        </w:rPr>
        <w:t>2021</w:t>
      </w:r>
      <w:r>
        <w:rPr>
          <w:noProof/>
        </w:rPr>
        <w:t>, un număr mare de acțiuni-cheie fiind în desfășurare sau finalizate până la sfârșitul anului </w:t>
      </w:r>
      <w:r w:rsidRPr="00D17A39">
        <w:rPr>
          <w:noProof/>
        </w:rPr>
        <w:t>2021</w:t>
      </w:r>
      <w:r>
        <w:rPr>
          <w:noProof/>
        </w:rPr>
        <w:t>.</w:t>
      </w:r>
    </w:p>
    <w:p w14:paraId="06C62740" w14:textId="10FABB8A" w:rsidR="00C6311E" w:rsidRDefault="00C6311E" w:rsidP="00C6311E">
      <w:pPr>
        <w:rPr>
          <w:noProof/>
        </w:rPr>
      </w:pPr>
      <w:r>
        <w:rPr>
          <w:noProof/>
        </w:rPr>
        <w:t xml:space="preserve">Comisia joacă un rol de lider în acest domeniu la nivel multilateral și în relațiile bilaterale cu țările de origine și țările de tranzit. La nivel multilateral, </w:t>
      </w:r>
      <w:r w:rsidRPr="00261B88">
        <w:rPr>
          <w:b/>
          <w:noProof/>
        </w:rPr>
        <w:t>Protocolul pentru eliminarea comerțului ilicit cu produse din tutun la Convenția-cadru pentru controlul tutunului</w:t>
      </w:r>
      <w:r>
        <w:rPr>
          <w:noProof/>
        </w:rPr>
        <w:t xml:space="preserve"> (Protocolul CCCT) este un acord internațional care vizează reducerea semnificativă a comerțului ilicit cu tutun la nivel mondial. OLAF, în strânsă cooperare cu departamentele relevante ale Comisiei și cu statele membre, s-a implicat activ în activități legate de Protocolul CCCT. OLAF a reprezentat UE și statele membre participante la cea de a doua reuniune a părților, care a avut loc în noiembrie </w:t>
      </w:r>
      <w:r w:rsidRPr="00D17A39">
        <w:rPr>
          <w:noProof/>
        </w:rPr>
        <w:t>2021</w:t>
      </w:r>
      <w:r>
        <w:rPr>
          <w:noProof/>
        </w:rPr>
        <w:t>. În cursul acestei reuniuni, s-au aprobat concluziile a două grupuri de lucru (ale celui privind localizarea și urmărirea și ale celui pentru asistență și cooperare) și s-a propus o nouă strategie de asistență pentru a sprijini punerea în aplicare a protocolului. Toate părțile implicate au convenit, de asemenea, să continue să lucreze la un punct focal global de schimb de informații pentru a permite sistemelor de localizare și de urmărire să facă schimb de informații și să sprijine lupta împotriva comerțului ilicit cu tutun la nivel mondial.</w:t>
      </w:r>
    </w:p>
    <w:p w14:paraId="7ADC7067" w14:textId="0FB7F9E8" w:rsidR="004F6F3F" w:rsidRPr="00261B88" w:rsidRDefault="004F6F3F" w:rsidP="004F6F3F">
      <w:pPr>
        <w:pStyle w:val="Heading2"/>
        <w:rPr>
          <w:noProof/>
        </w:rPr>
      </w:pPr>
      <w:bookmarkStart w:id="48" w:name="_Toc116029524"/>
      <w:r w:rsidRPr="00261B88">
        <w:rPr>
          <w:noProof/>
        </w:rPr>
        <w:t>Cooperarea dintre UE și statelor membre</w:t>
      </w:r>
      <w:bookmarkEnd w:id="48"/>
    </w:p>
    <w:p w14:paraId="75D11B6C" w14:textId="70CDAFC3" w:rsidR="00CF1D95" w:rsidRPr="00261B88" w:rsidRDefault="00CF1D95" w:rsidP="00CD7B44">
      <w:pPr>
        <w:pStyle w:val="Heading3"/>
        <w:rPr>
          <w:noProof/>
        </w:rPr>
      </w:pPr>
      <w:bookmarkStart w:id="49" w:name="_Toc116029525"/>
      <w:r w:rsidRPr="00261B88">
        <w:rPr>
          <w:noProof/>
        </w:rPr>
        <w:t>Activitățile Comitetului consultativ pentru coordonarea în domeniul combaterii fraudei (COCOLAF)</w:t>
      </w:r>
      <w:bookmarkEnd w:id="49"/>
    </w:p>
    <w:p w14:paraId="7215EFBF" w14:textId="0442C4E3" w:rsidR="004F60DF" w:rsidRDefault="00CF1D95" w:rsidP="004F60DF">
      <w:pPr>
        <w:rPr>
          <w:noProof/>
        </w:rPr>
      </w:pPr>
      <w:r w:rsidRPr="00261B88">
        <w:rPr>
          <w:b/>
          <w:noProof/>
        </w:rPr>
        <w:t>Comitetul consultativ pentru coordonarea în domeniul combaterii fraudei</w:t>
      </w:r>
      <w:r>
        <w:rPr>
          <w:noProof/>
        </w:rPr>
        <w:t xml:space="preserve"> (COCOLAF) reunește Comisia (reprezentată de OLAF) și experți din statele membre. Acesta oferă un forum pentru discutarea principalelor evoluții în lupta împotriva fraudei și pentru pregătirea prezentului raport. Activitatea sa este structurată în jurul a patru grupuri de lucru și sesiuni plenare. </w:t>
      </w:r>
    </w:p>
    <w:p w14:paraId="4E9B79C8" w14:textId="7E1F46D8" w:rsidR="004F60DF" w:rsidRDefault="004F60DF" w:rsidP="004F60DF">
      <w:pPr>
        <w:rPr>
          <w:noProof/>
        </w:rPr>
      </w:pPr>
      <w:r>
        <w:rPr>
          <w:noProof/>
        </w:rPr>
        <w:t xml:space="preserve">În </w:t>
      </w:r>
      <w:r w:rsidRPr="00D17A39">
        <w:rPr>
          <w:noProof/>
        </w:rPr>
        <w:t>2021</w:t>
      </w:r>
      <w:r>
        <w:rPr>
          <w:noProof/>
        </w:rPr>
        <w:t xml:space="preserve">, s-au organizat două reuniuni plenare în iunie, respectiv decembrie, două reuniuni ale subgrupului privind raportarea și analiza fraudei și ale altor nereguli, precum și una a subgrupului pentru prevenirea fraudei. Aceste reuniuni au reprezentat bune oportunități de a discuta cele mai recente tendințe în materie de nereguli și fraudă, precum și instrumentele informatice utilizate pentru gestionarea fondurilor UE. De asemenea, ele au servit drept o legătură importantă între OLAF și partenerii săi în timpul pandemiei, menținând deschise liniile de comunicare și permițând participanților să facă schimb de informații și de bune practici. </w:t>
      </w:r>
    </w:p>
    <w:p w14:paraId="3D9BD030" w14:textId="5A01B75A" w:rsidR="004F60DF" w:rsidRDefault="004F60DF" w:rsidP="004F60DF">
      <w:pPr>
        <w:rPr>
          <w:noProof/>
        </w:rPr>
      </w:pPr>
      <w:r>
        <w:rPr>
          <w:noProof/>
        </w:rPr>
        <w:t>Reuniunea anuală a AFCOS ale statelor membre, desfășurată în mediul virtual, a avut loc în septembrie. Discuțiile s-au axat pe MRR. În decembrie, subgrupul pentru prevenirea fraudei a convenit asupra instituirii unui grup de experți dedicat utilizării instrumentelor informatice pentru a proteja resursele MRR.</w:t>
      </w:r>
    </w:p>
    <w:p w14:paraId="1D8E95CF" w14:textId="0EE3D210" w:rsidR="008A17E3" w:rsidRPr="00261B88" w:rsidRDefault="008A17E3" w:rsidP="00CD7B44">
      <w:pPr>
        <w:pStyle w:val="Heading3"/>
        <w:rPr>
          <w:noProof/>
        </w:rPr>
      </w:pPr>
      <w:bookmarkStart w:id="50" w:name="_Toc116029526"/>
      <w:r w:rsidRPr="00261B88">
        <w:rPr>
          <w:noProof/>
        </w:rPr>
        <w:t>Programul Uniunii de luptă antifraudă</w:t>
      </w:r>
      <w:bookmarkEnd w:id="50"/>
    </w:p>
    <w:p w14:paraId="0215EDE9" w14:textId="478B720A" w:rsidR="008A17E3" w:rsidRDefault="008A17E3" w:rsidP="008A6DCE">
      <w:pPr>
        <w:rPr>
          <w:noProof/>
        </w:rPr>
      </w:pPr>
      <w:r>
        <w:rPr>
          <w:noProof/>
        </w:rPr>
        <w:t xml:space="preserve">Programul Hercule III, care a oferit asistență pentru proiecte care sprijină lupta împotriva fraudei și protejarea intereselor financiare ale UE în temeiul cadrului financiar multianual (CFM) </w:t>
      </w:r>
      <w:r w:rsidRPr="00D17A39">
        <w:rPr>
          <w:noProof/>
        </w:rPr>
        <w:t>2014</w:t>
      </w:r>
      <w:r w:rsidR="00D17A39">
        <w:rPr>
          <w:rFonts w:ascii="Arial" w:hAnsi="Arial" w:cs="Arial"/>
          <w:noProof/>
        </w:rPr>
        <w:t>˗</w:t>
      </w:r>
      <w:r w:rsidRPr="00D17A39">
        <w:rPr>
          <w:noProof/>
        </w:rPr>
        <w:t>2020</w:t>
      </w:r>
      <w:r>
        <w:rPr>
          <w:noProof/>
        </w:rPr>
        <w:t xml:space="preserve">, a fost înlocuit cu noul </w:t>
      </w:r>
      <w:r w:rsidRPr="00261B88">
        <w:rPr>
          <w:b/>
          <w:noProof/>
        </w:rPr>
        <w:t>program al Uniunii de luptă antifraudă</w:t>
      </w:r>
      <w:r>
        <w:rPr>
          <w:noProof/>
        </w:rPr>
        <w:t xml:space="preserve"> (UAFP) odată cu adoptarea Regulamentului (UE) </w:t>
      </w:r>
      <w:r w:rsidRPr="00D17A39">
        <w:rPr>
          <w:noProof/>
        </w:rPr>
        <w:t>2021</w:t>
      </w:r>
      <w:r>
        <w:rPr>
          <w:noProof/>
        </w:rPr>
        <w:t>/</w:t>
      </w:r>
      <w:r w:rsidRPr="00D17A39">
        <w:rPr>
          <w:noProof/>
        </w:rPr>
        <w:t>785</w:t>
      </w:r>
      <w:r>
        <w:rPr>
          <w:noProof/>
        </w:rPr>
        <w:t>.</w:t>
      </w:r>
    </w:p>
    <w:p w14:paraId="1E54B09B" w14:textId="70FC7843" w:rsidR="008A17E3" w:rsidRDefault="008D394A" w:rsidP="008A6DCE">
      <w:pPr>
        <w:rPr>
          <w:noProof/>
        </w:rPr>
      </w:pPr>
      <w:r>
        <w:rPr>
          <w:noProof/>
        </w:rPr>
        <w:t xml:space="preserve">UAFP combină trei activități diferite care erau anterior separate, însă se bazează pe succesul programului Hercule III. UAFP reunește </w:t>
      </w:r>
      <w:r w:rsidRPr="00261B88">
        <w:rPr>
          <w:b/>
          <w:noProof/>
        </w:rPr>
        <w:t>într-un singur cadru</w:t>
      </w:r>
      <w:r>
        <w:rPr>
          <w:noProof/>
        </w:rPr>
        <w:t xml:space="preserve"> </w:t>
      </w:r>
      <w:r w:rsidRPr="00261B88">
        <w:rPr>
          <w:b/>
          <w:noProof/>
        </w:rPr>
        <w:t>partea de finanțare Hercule</w:t>
      </w:r>
      <w:r>
        <w:rPr>
          <w:noProof/>
        </w:rPr>
        <w:t xml:space="preserve">, finanțarea </w:t>
      </w:r>
      <w:r w:rsidRPr="00261B88">
        <w:rPr>
          <w:b/>
          <w:noProof/>
        </w:rPr>
        <w:t>Sistemului de informații antifraudă</w:t>
      </w:r>
      <w:r>
        <w:rPr>
          <w:noProof/>
        </w:rPr>
        <w:t xml:space="preserve"> (platforma AFIS) pentru a sprijini statele membre în ceea ce privește asistența reciprocă în domeniul vamal și în cel agricol și </w:t>
      </w:r>
      <w:r w:rsidRPr="00261B88">
        <w:rPr>
          <w:b/>
          <w:noProof/>
        </w:rPr>
        <w:t>Sistemul de gestionare a neregulilor</w:t>
      </w:r>
      <w:r>
        <w:rPr>
          <w:noProof/>
        </w:rPr>
        <w:t xml:space="preserve"> (IMS) pentru raportarea neregulilor, inclusiv a fraudei, în cazurile legate de fondurile cu gestiune partajată și de fondurile de asistență pentru preaderare.</w:t>
      </w:r>
    </w:p>
    <w:p w14:paraId="3207DD30" w14:textId="7CF76C78" w:rsidR="008D394A" w:rsidRDefault="008D394A" w:rsidP="008A6DCE">
      <w:pPr>
        <w:rPr>
          <w:noProof/>
        </w:rPr>
      </w:pPr>
      <w:r>
        <w:rPr>
          <w:noProof/>
        </w:rPr>
        <w:t xml:space="preserve">Acest lucru </w:t>
      </w:r>
      <w:r w:rsidRPr="00261B88">
        <w:rPr>
          <w:b/>
          <w:noProof/>
        </w:rPr>
        <w:t>sporește sinergiile</w:t>
      </w:r>
      <w:r>
        <w:rPr>
          <w:noProof/>
        </w:rPr>
        <w:t xml:space="preserve"> dintre diferitele componente și creează economii pentru resurse, inclusiv flexibilitatea financiară pentru realocarea finanțării în cadrul programului către o anumită arie de activitate, după cum este necesar.</w:t>
      </w:r>
    </w:p>
    <w:p w14:paraId="72BD51BA" w14:textId="13F4367A" w:rsidR="008D394A" w:rsidRDefault="008D394A" w:rsidP="008A6DCE">
      <w:pPr>
        <w:rPr>
          <w:noProof/>
        </w:rPr>
      </w:pPr>
      <w:r>
        <w:rPr>
          <w:noProof/>
        </w:rPr>
        <w:t>UAFP are două obiective generale</w:t>
      </w:r>
      <w:r>
        <w:rPr>
          <w:rStyle w:val="FootnoteReference"/>
          <w:noProof/>
        </w:rPr>
        <w:footnoteReference w:id="57"/>
      </w:r>
      <w:r>
        <w:rPr>
          <w:noProof/>
        </w:rPr>
        <w:t>. În primul rând, scopul său este de a proteja interesele financiare ale UE. În al doilea rând, aceasta urmărește să sprijine asistența reciprocă dintre autoritățile administrative ale statelor membre și cooperarea dintre acestea și Comisie pentru a asigura aplicarea corectă a legislației din domeniul vamal și din cel agricol.</w:t>
      </w:r>
    </w:p>
    <w:p w14:paraId="63F53DDC" w14:textId="2313F935" w:rsidR="008D394A" w:rsidRDefault="008D394A" w:rsidP="008A6DCE">
      <w:pPr>
        <w:keepNext/>
        <w:rPr>
          <w:noProof/>
        </w:rPr>
      </w:pPr>
      <w:r>
        <w:rPr>
          <w:noProof/>
        </w:rPr>
        <w:t>Programul are trei obiective specifice:</w:t>
      </w:r>
    </w:p>
    <w:p w14:paraId="52531356" w14:textId="504C25A4" w:rsidR="008D394A" w:rsidRDefault="008D394A" w:rsidP="008A6DCE">
      <w:pPr>
        <w:pStyle w:val="ListNumber"/>
        <w:numPr>
          <w:ilvl w:val="0"/>
          <w:numId w:val="21"/>
        </w:numPr>
        <w:rPr>
          <w:noProof/>
        </w:rPr>
      </w:pPr>
      <w:r>
        <w:rPr>
          <w:noProof/>
        </w:rPr>
        <w:t>prevenirea și combaterea fraudei, a corupției și a oricărei alte activități ilegale care afectează interesele financiare ale Uniunii;</w:t>
      </w:r>
    </w:p>
    <w:p w14:paraId="5819B217" w14:textId="144CF80C" w:rsidR="008D394A" w:rsidRDefault="008D394A" w:rsidP="008A6DCE">
      <w:pPr>
        <w:pStyle w:val="ListNumber"/>
        <w:numPr>
          <w:ilvl w:val="0"/>
          <w:numId w:val="21"/>
        </w:numPr>
        <w:rPr>
          <w:noProof/>
        </w:rPr>
      </w:pPr>
      <w:r>
        <w:rPr>
          <w:noProof/>
        </w:rPr>
        <w:t xml:space="preserve">sprijinirea raportării neregulilor, inclusiv a fraudelor, legate de fondurile cu gestiune partajată și de fondurile de asistență pentru preaderare din bugetul Uniunii; </w:t>
      </w:r>
    </w:p>
    <w:p w14:paraId="6CD2131D" w14:textId="614AA47E" w:rsidR="008D394A" w:rsidRDefault="008D394A" w:rsidP="008A6DCE">
      <w:pPr>
        <w:pStyle w:val="ListNumber"/>
        <w:numPr>
          <w:ilvl w:val="0"/>
          <w:numId w:val="21"/>
        </w:numPr>
        <w:rPr>
          <w:noProof/>
        </w:rPr>
      </w:pPr>
      <w:r>
        <w:rPr>
          <w:noProof/>
        </w:rPr>
        <w:t>punerea la dispoziție a unor instrumente pentru schimbul de informații și acordarea de sprijin pentru activitățile operaționale în materie de asistență administrativă reciprocă în domeniul vamal și în cel agricol.</w:t>
      </w:r>
    </w:p>
    <w:p w14:paraId="52343BEA" w14:textId="2D9CACE7" w:rsidR="00A86074" w:rsidRPr="00261B88" w:rsidRDefault="00A86074" w:rsidP="00DC1244">
      <w:pPr>
        <w:pStyle w:val="Caption"/>
        <w:keepNext/>
        <w:pBdr>
          <w:top w:val="single" w:sz="4" w:space="1" w:color="auto"/>
          <w:left w:val="single" w:sz="4" w:space="4" w:color="auto"/>
          <w:bottom w:val="single" w:sz="4" w:space="1" w:color="auto"/>
          <w:right w:val="single" w:sz="4" w:space="4" w:color="auto"/>
        </w:pBdr>
        <w:shd w:val="clear" w:color="auto" w:fill="D9E2F3" w:themeFill="accent5" w:themeFillTint="33"/>
        <w:rPr>
          <w:noProof/>
        </w:rPr>
      </w:pPr>
      <w:bookmarkStart w:id="51" w:name="_Toc110444018"/>
      <w:r w:rsidRPr="00261B88">
        <w:rPr>
          <w:noProof/>
        </w:rPr>
        <w:t>Instantaneul </w:t>
      </w:r>
      <w:r w:rsidR="00FD11F8">
        <w:rPr>
          <w:noProof/>
        </w:rPr>
        <w:fldChar w:fldCharType="begin"/>
      </w:r>
      <w:r w:rsidR="00FD11F8">
        <w:rPr>
          <w:noProof/>
        </w:rPr>
        <w:instrText xml:space="preserve"> SEQ Snapshot \* ARABIC </w:instrText>
      </w:r>
      <w:r w:rsidR="00FD11F8">
        <w:rPr>
          <w:noProof/>
        </w:rPr>
        <w:fldChar w:fldCharType="separate"/>
      </w:r>
      <w:r w:rsidRPr="00261B88">
        <w:rPr>
          <w:noProof/>
        </w:rPr>
        <w:t>10</w:t>
      </w:r>
      <w:r w:rsidR="00FD11F8">
        <w:rPr>
          <w:noProof/>
        </w:rPr>
        <w:fldChar w:fldCharType="end"/>
      </w:r>
      <w:r w:rsidRPr="00261B88">
        <w:rPr>
          <w:noProof/>
        </w:rPr>
        <w:t> – Plasarea accentului pe AFIS și IMS</w:t>
      </w:r>
      <w:bookmarkEnd w:id="51"/>
    </w:p>
    <w:p w14:paraId="38EB6DEE" w14:textId="2D985C53" w:rsidR="00A86074" w:rsidRDefault="00A86074" w:rsidP="00505DEA">
      <w:pPr>
        <w:pBdr>
          <w:top w:val="single" w:sz="4" w:space="1" w:color="auto"/>
          <w:left w:val="single" w:sz="4" w:space="4" w:color="auto"/>
          <w:bottom w:val="single" w:sz="4" w:space="1" w:color="auto"/>
          <w:right w:val="single" w:sz="4" w:space="4" w:color="auto"/>
        </w:pBdr>
        <w:shd w:val="clear" w:color="auto" w:fill="D9E2F3" w:themeFill="accent5" w:themeFillTint="33"/>
        <w:rPr>
          <w:noProof/>
        </w:rPr>
      </w:pPr>
      <w:r w:rsidRPr="00261B88">
        <w:rPr>
          <w:b/>
          <w:noProof/>
        </w:rPr>
        <w:t>AFIS</w:t>
      </w:r>
      <w:r>
        <w:rPr>
          <w:noProof/>
        </w:rPr>
        <w:t xml:space="preserve"> este un termen generic care desemnează un set de aplicații informatice antifraudă operate de OLAF cu ajutorul unei infrastructuri tehnice comune, al căror scop este </w:t>
      </w:r>
      <w:r w:rsidRPr="00261B88">
        <w:rPr>
          <w:b/>
          <w:noProof/>
        </w:rPr>
        <w:t>schimbul rapid și sigur de informații privind frauda</w:t>
      </w:r>
      <w:r>
        <w:rPr>
          <w:noProof/>
        </w:rPr>
        <w:t xml:space="preserve"> între administrațiile competente de la nivel național și de la nivelul UE, precum și stocarea și analiza datelor relevante. Portalul AFIS are peste </w:t>
      </w:r>
      <w:r w:rsidRPr="00D17A39">
        <w:rPr>
          <w:noProof/>
        </w:rPr>
        <w:t>8</w:t>
      </w:r>
      <w:r>
        <w:rPr>
          <w:noProof/>
        </w:rPr>
        <w:t> </w:t>
      </w:r>
      <w:r w:rsidRPr="00D17A39">
        <w:rPr>
          <w:noProof/>
        </w:rPr>
        <w:t>500</w:t>
      </w:r>
      <w:r>
        <w:rPr>
          <w:noProof/>
        </w:rPr>
        <w:t xml:space="preserve"> de utilizatori finali înregistrați în aproape </w:t>
      </w:r>
      <w:r w:rsidRPr="00D17A39">
        <w:rPr>
          <w:noProof/>
        </w:rPr>
        <w:t>1</w:t>
      </w:r>
      <w:r>
        <w:rPr>
          <w:noProof/>
        </w:rPr>
        <w:t> </w:t>
      </w:r>
      <w:r w:rsidRPr="00D17A39">
        <w:rPr>
          <w:noProof/>
        </w:rPr>
        <w:t>400</w:t>
      </w:r>
      <w:r>
        <w:rPr>
          <w:noProof/>
        </w:rPr>
        <w:t xml:space="preserve"> de servicii competente din statele membre, țări terțe partenere, organizații internaționale, precum și din cadrul Comisiei și al altor instituții ale Uniunii. Acesta face posibile economii de scară și sinergii substanțiale în ceea ce privește dezvoltarea, menținerea și exploatarea unui set atât de amplu și de divers de servicii și instrumente informatice.</w:t>
      </w:r>
    </w:p>
    <w:p w14:paraId="3AE508D8" w14:textId="2599F512" w:rsidR="00A86074" w:rsidRDefault="00A86074" w:rsidP="00505DEA">
      <w:pPr>
        <w:pBdr>
          <w:top w:val="single" w:sz="4" w:space="1" w:color="auto"/>
          <w:left w:val="single" w:sz="4" w:space="4" w:color="auto"/>
          <w:bottom w:val="single" w:sz="4" w:space="1" w:color="auto"/>
          <w:right w:val="single" w:sz="4" w:space="4" w:color="auto"/>
        </w:pBdr>
        <w:shd w:val="clear" w:color="auto" w:fill="D9E2F3" w:themeFill="accent5" w:themeFillTint="33"/>
        <w:rPr>
          <w:noProof/>
        </w:rPr>
      </w:pPr>
      <w:r>
        <w:rPr>
          <w:noProof/>
        </w:rPr>
        <w:t xml:space="preserve">AFIS sprijină </w:t>
      </w:r>
      <w:r w:rsidRPr="00261B88">
        <w:rPr>
          <w:b/>
          <w:noProof/>
        </w:rPr>
        <w:t>asistența reciprocă în domeniul vamal</w:t>
      </w:r>
      <w:r>
        <w:rPr>
          <w:noProof/>
        </w:rPr>
        <w:t xml:space="preserve"> cu instrumente de colaborare precum </w:t>
      </w:r>
      <w:r w:rsidRPr="00261B88">
        <w:rPr>
          <w:b/>
          <w:noProof/>
        </w:rPr>
        <w:t>VOCU</w:t>
      </w:r>
      <w:r>
        <w:rPr>
          <w:noProof/>
        </w:rPr>
        <w:t xml:space="preserve"> (Unitatea de coordonare a operațiunilor virtuale) pentru </w:t>
      </w:r>
      <w:r w:rsidRPr="00261B88">
        <w:rPr>
          <w:b/>
          <w:noProof/>
        </w:rPr>
        <w:t>operațiuni vamale comune</w:t>
      </w:r>
      <w:r>
        <w:rPr>
          <w:noProof/>
        </w:rPr>
        <w:t>, conturi de e-mail securizate (AFIS Mail) și module de schimb de informații specifice. Acesta oferă, de asemenea, sprijin prin intermediul unor baze de date precum SIV (Sistemul de informații al vămilor) și FIDE (baza de date pentru identificarea dosarelor de anchetă în domeniul vamal), repertoriul de mesaje privind starea containerului (MSC) și repertoriul privind importul, exportul și tranzitul (IET), precum și prin intermediul unor instrumente de analiză a datelor, cum ar fi IMA (Instrumentul de monitorizare automată), și al unor aplicații electronice ale fluxului de lucru, cum ar fi ToSMA (aplicația de gestionare a capturilor de tutun). Acțiuni suplimentare sunt în curs în vederea instituirii unei platforme analitice în AFIS pentru a sprijini analiza strategică și operațională.</w:t>
      </w:r>
    </w:p>
    <w:p w14:paraId="7F9127F2" w14:textId="1E5B8C1B" w:rsidR="00A86074" w:rsidRDefault="00A86074" w:rsidP="00505DEA">
      <w:pPr>
        <w:pBdr>
          <w:top w:val="single" w:sz="4" w:space="1" w:color="auto"/>
          <w:left w:val="single" w:sz="4" w:space="4" w:color="auto"/>
          <w:bottom w:val="single" w:sz="4" w:space="1" w:color="auto"/>
          <w:right w:val="single" w:sz="4" w:space="4" w:color="auto"/>
        </w:pBdr>
        <w:shd w:val="clear" w:color="auto" w:fill="D9E2F3" w:themeFill="accent5" w:themeFillTint="33"/>
        <w:rPr>
          <w:noProof/>
        </w:rPr>
      </w:pPr>
      <w:r>
        <w:rPr>
          <w:noProof/>
        </w:rPr>
        <w:t>Principalul temei juridic pentru funcționarea platformei AFIS este Regulamentul (CE) nr. </w:t>
      </w:r>
      <w:r w:rsidRPr="00D17A39">
        <w:rPr>
          <w:noProof/>
        </w:rPr>
        <w:t>515</w:t>
      </w:r>
      <w:r>
        <w:rPr>
          <w:noProof/>
        </w:rPr>
        <w:t>/</w:t>
      </w:r>
      <w:r w:rsidRPr="00D17A39">
        <w:rPr>
          <w:noProof/>
        </w:rPr>
        <w:t>97</w:t>
      </w:r>
      <w:r>
        <w:rPr>
          <w:noProof/>
        </w:rPr>
        <w:t xml:space="preserve"> al Consiliului privind asistența reciprocă între autoritățile administrative ale statelor membre și cooperarea dintre acestea și Comisie în vederea asigurării aplicării corespunzătoare a legislației din domeniile vamal și agricol</w:t>
      </w:r>
      <w:r>
        <w:rPr>
          <w:rStyle w:val="FootnoteReference"/>
          <w:noProof/>
        </w:rPr>
        <w:footnoteReference w:id="58"/>
      </w:r>
      <w:r>
        <w:rPr>
          <w:noProof/>
        </w:rPr>
        <w:t>.</w:t>
      </w:r>
    </w:p>
    <w:p w14:paraId="2B32F1AC" w14:textId="24E7326C" w:rsidR="008B454B" w:rsidRPr="00363877" w:rsidRDefault="008B454B" w:rsidP="00505DEA">
      <w:pPr>
        <w:pBdr>
          <w:top w:val="single" w:sz="4" w:space="1" w:color="auto"/>
          <w:left w:val="single" w:sz="4" w:space="4" w:color="auto"/>
          <w:bottom w:val="single" w:sz="4" w:space="1" w:color="auto"/>
          <w:right w:val="single" w:sz="4" w:space="4" w:color="auto"/>
        </w:pBdr>
        <w:shd w:val="clear" w:color="auto" w:fill="D9E2F3" w:themeFill="accent5" w:themeFillTint="33"/>
        <w:rPr>
          <w:noProof/>
        </w:rPr>
      </w:pPr>
      <w:r w:rsidRPr="00261B88">
        <w:rPr>
          <w:b/>
          <w:noProof/>
        </w:rPr>
        <w:t>IMS</w:t>
      </w:r>
      <w:r>
        <w:rPr>
          <w:noProof/>
        </w:rPr>
        <w:t xml:space="preserve"> este o aplicație pe platforma AFIS care facilitează </w:t>
      </w:r>
      <w:r w:rsidRPr="00261B88">
        <w:rPr>
          <w:b/>
          <w:noProof/>
        </w:rPr>
        <w:t>raportarea neregulilor și a fraudelor</w:t>
      </w:r>
      <w:r>
        <w:rPr>
          <w:noProof/>
        </w:rPr>
        <w:t xml:space="preserve"> detectate de autoritățile naționale în domeniul gestiunii partajate și al preaderării în conformitate cu reglementările sectoriale și acordurile de finanțare. În </w:t>
      </w:r>
      <w:r w:rsidRPr="00D17A39">
        <w:rPr>
          <w:noProof/>
        </w:rPr>
        <w:t>2021</w:t>
      </w:r>
      <w:r>
        <w:rPr>
          <w:noProof/>
        </w:rPr>
        <w:t>, s-a dispus realizarea unui studiu în vederea identificării eventualelor îmbunătățiri ce pot fi aduse sistemului pe baza nevoilor utilizatorilor și ale părților interesate și a explorării posibilității de a spori interoperabilitatea cu alte sisteme informatice antifraudă ale Comisiei, cum ar fi Arachne și EDES</w:t>
      </w:r>
      <w:r>
        <w:rPr>
          <w:rStyle w:val="FootnoteReference"/>
          <w:noProof/>
        </w:rPr>
        <w:footnoteReference w:id="59"/>
      </w:r>
      <w:r>
        <w:rPr>
          <w:noProof/>
        </w:rPr>
        <w:t>.</w:t>
      </w:r>
    </w:p>
    <w:p w14:paraId="39A06EC0" w14:textId="77777777" w:rsidR="00CF1D95" w:rsidRPr="00261B88" w:rsidRDefault="00CF1D95" w:rsidP="00CD7B44">
      <w:pPr>
        <w:pStyle w:val="Heading3"/>
        <w:rPr>
          <w:noProof/>
        </w:rPr>
      </w:pPr>
      <w:bookmarkStart w:id="52" w:name="_Toc116029527"/>
      <w:r w:rsidRPr="00261B88">
        <w:rPr>
          <w:noProof/>
        </w:rPr>
        <w:t>Cooperarea în domeniul veniturilor</w:t>
      </w:r>
      <w:bookmarkEnd w:id="52"/>
    </w:p>
    <w:p w14:paraId="5AC589E6" w14:textId="4F4C730C" w:rsidR="008A17E3" w:rsidRPr="00261B88" w:rsidRDefault="008A17E3" w:rsidP="008A6DCE">
      <w:pPr>
        <w:pStyle w:val="Heading4"/>
        <w:rPr>
          <w:noProof/>
        </w:rPr>
      </w:pPr>
      <w:bookmarkStart w:id="53" w:name="_Toc116029528"/>
      <w:r w:rsidRPr="00261B88">
        <w:rPr>
          <w:noProof/>
        </w:rPr>
        <w:t>Programul „Vamă”</w:t>
      </w:r>
      <w:bookmarkEnd w:id="53"/>
    </w:p>
    <w:p w14:paraId="674827B3" w14:textId="4BDDDA44" w:rsidR="00EB636F" w:rsidRDefault="00EB636F" w:rsidP="00EB636F">
      <w:pPr>
        <w:rPr>
          <w:noProof/>
        </w:rPr>
      </w:pPr>
      <w:r>
        <w:rPr>
          <w:noProof/>
        </w:rPr>
        <w:t xml:space="preserve">Deși nu abordează în mod direct lupta împotriva fraudei, </w:t>
      </w:r>
      <w:r w:rsidRPr="00261B88">
        <w:rPr>
          <w:b/>
          <w:noProof/>
        </w:rPr>
        <w:t>programul „Vamă”</w:t>
      </w:r>
      <w:r>
        <w:rPr>
          <w:noProof/>
        </w:rPr>
        <w:t xml:space="preserve"> [Regulamentul (UE) </w:t>
      </w:r>
      <w:r w:rsidRPr="00D17A39">
        <w:rPr>
          <w:noProof/>
        </w:rPr>
        <w:t>2021</w:t>
      </w:r>
      <w:r>
        <w:rPr>
          <w:noProof/>
        </w:rPr>
        <w:t>/</w:t>
      </w:r>
      <w:r w:rsidRPr="00D17A39">
        <w:rPr>
          <w:noProof/>
        </w:rPr>
        <w:t>444</w:t>
      </w:r>
      <w:r>
        <w:rPr>
          <w:noProof/>
        </w:rPr>
        <w:t xml:space="preserve">], este un partener important în protejarea intereselor financiare și economice ale UE și ale statelor membre. În calitatea lor de piloni ai programului, </w:t>
      </w:r>
      <w:r w:rsidRPr="00261B88">
        <w:rPr>
          <w:b/>
          <w:noProof/>
        </w:rPr>
        <w:t>sistemele informatice</w:t>
      </w:r>
      <w:r>
        <w:rPr>
          <w:noProof/>
        </w:rPr>
        <w:t xml:space="preserve"> ale acestuia joacă un rol esențial în facilitarea schimbului de informații și de date, inclusiv de informații privind riscurile, între statele membre, consolidând astfel colectarea diferitelor taxe (de exemplu, a taxelor vamale, a TVA și a accizelor la import). Programul sprijină, de asemenea, </w:t>
      </w:r>
      <w:r w:rsidRPr="00261B88">
        <w:rPr>
          <w:b/>
          <w:noProof/>
        </w:rPr>
        <w:t>acțiunile de colaborare</w:t>
      </w:r>
      <w:r>
        <w:rPr>
          <w:noProof/>
        </w:rPr>
        <w:t>, inclusiv grupurile de proiect, rețelele de experți, atelierele și activitățile de formare, precum și alte tipuri de sprijin pentru dezvoltarea competențelor umane, care permit autorităților statelor membre să facă schimb de bune practici și să îmbunătățească activitățile de control vamal și de colectare a taxelor. În plus, instrumentul nou-înființat de sprijin financiar pentru echipamente de control vamal [Regulamentul (UE) </w:t>
      </w:r>
      <w:r w:rsidRPr="00D17A39">
        <w:rPr>
          <w:noProof/>
        </w:rPr>
        <w:t>2021</w:t>
      </w:r>
      <w:r>
        <w:rPr>
          <w:noProof/>
        </w:rPr>
        <w:t>/</w:t>
      </w:r>
      <w:r w:rsidRPr="00D17A39">
        <w:rPr>
          <w:noProof/>
        </w:rPr>
        <w:t>1077</w:t>
      </w:r>
      <w:r>
        <w:rPr>
          <w:noProof/>
        </w:rPr>
        <w:t>] destinate a fi utilizate la toate tipurile de frontiere ar trebui să sprijine uniunea vamală și activitatea autorităților vamale, în special să le ajute să protejeze interesele financiare și economice ale UE, să garanteze securitatea și siguranța în UE și să protejeze Uniunea împotriva practicilor comerciale neloiale și ilegale, cum ar fi contrafacerea mărfurilor, facilitând în același timp activitățile economice legitime.</w:t>
      </w:r>
    </w:p>
    <w:p w14:paraId="5627F47D" w14:textId="77777777" w:rsidR="008A17E3" w:rsidRPr="00261B88" w:rsidRDefault="008A17E3" w:rsidP="008A6DCE">
      <w:pPr>
        <w:pStyle w:val="Heading4"/>
        <w:rPr>
          <w:noProof/>
        </w:rPr>
      </w:pPr>
      <w:bookmarkStart w:id="54" w:name="_Toc116029529"/>
      <w:r w:rsidRPr="00261B88">
        <w:rPr>
          <w:noProof/>
        </w:rPr>
        <w:t>Programul Fiscalis</w:t>
      </w:r>
      <w:bookmarkEnd w:id="54"/>
    </w:p>
    <w:p w14:paraId="55DB3FEB" w14:textId="2D48CCE7" w:rsidR="00EB636F" w:rsidRPr="00EB636F" w:rsidRDefault="00EB636F" w:rsidP="00EB636F">
      <w:pPr>
        <w:rPr>
          <w:noProof/>
        </w:rPr>
      </w:pPr>
      <w:r w:rsidRPr="00261B88">
        <w:rPr>
          <w:b/>
          <w:noProof/>
        </w:rPr>
        <w:t>Programul Fiscalis</w:t>
      </w:r>
      <w:r>
        <w:rPr>
          <w:noProof/>
        </w:rPr>
        <w:t xml:space="preserve"> [Regulamentul (UE) </w:t>
      </w:r>
      <w:r w:rsidRPr="00D17A39">
        <w:rPr>
          <w:noProof/>
        </w:rPr>
        <w:t>2021</w:t>
      </w:r>
      <w:r>
        <w:rPr>
          <w:noProof/>
        </w:rPr>
        <w:t>/</w:t>
      </w:r>
      <w:r w:rsidRPr="00D17A39">
        <w:rPr>
          <w:noProof/>
        </w:rPr>
        <w:t>847</w:t>
      </w:r>
      <w:r>
        <w:rPr>
          <w:noProof/>
        </w:rPr>
        <w:t xml:space="preserve">] cuprinde o gamă largă de acțiuni menite să sprijine colaborarea dintre autoritățile fiscale ale statelor membre în vederea protejării intereselor financiare și economice ale UE și ale statelor sale membre, inclusiv împotriva fraudei fiscale, a evaziunii fiscale și a practicilor de evitare a obligațiilor fiscale. Programul Fiscalis oferă, de asemenea, oportunități pentru autoritățile naționale de a coopera prin utilizarea </w:t>
      </w:r>
      <w:r w:rsidRPr="00261B88">
        <w:rPr>
          <w:b/>
          <w:noProof/>
        </w:rPr>
        <w:t>sistemelor informatice, prin activități de colaborare și prin acțiuni de dezvoltare a competențelor umane</w:t>
      </w:r>
      <w:r>
        <w:rPr>
          <w:noProof/>
        </w:rPr>
        <w:t>.</w:t>
      </w:r>
    </w:p>
    <w:p w14:paraId="572FF269" w14:textId="0491D0C9" w:rsidR="004F6F3F" w:rsidRPr="00261B88" w:rsidRDefault="00E73053" w:rsidP="008A6DCE">
      <w:pPr>
        <w:pStyle w:val="Heading4"/>
        <w:rPr>
          <w:noProof/>
        </w:rPr>
      </w:pPr>
      <w:bookmarkStart w:id="55" w:name="_Toc116029530"/>
      <w:r w:rsidRPr="00261B88">
        <w:rPr>
          <w:noProof/>
        </w:rPr>
        <w:t>Operațiuni vamale comune (OVC)</w:t>
      </w:r>
      <w:bookmarkEnd w:id="55"/>
    </w:p>
    <w:p w14:paraId="65739064" w14:textId="6A21B7A7" w:rsidR="00C6311E" w:rsidRDefault="00E73053" w:rsidP="00C6311E">
      <w:pPr>
        <w:rPr>
          <w:noProof/>
        </w:rPr>
      </w:pPr>
      <w:r w:rsidRPr="00261B88">
        <w:rPr>
          <w:b/>
          <w:noProof/>
        </w:rPr>
        <w:t>Operațiunile vamale comune</w:t>
      </w:r>
      <w:r>
        <w:rPr>
          <w:noProof/>
        </w:rPr>
        <w:t xml:space="preserve"> (OVC) sunt </w:t>
      </w:r>
      <w:r w:rsidRPr="00261B88">
        <w:rPr>
          <w:b/>
          <w:noProof/>
        </w:rPr>
        <w:t>acțiuni specifice cu durată limitată</w:t>
      </w:r>
      <w:r>
        <w:rPr>
          <w:noProof/>
        </w:rPr>
        <w:t xml:space="preserve"> întreprinse în vederea combaterii fraudei și a contrabandei cu bunuri sensibile în domenii de risc specifice și/sau pe rute comerciale identificate. </w:t>
      </w:r>
    </w:p>
    <w:p w14:paraId="0241ABCB" w14:textId="5908D67A" w:rsidR="00E73053" w:rsidRDefault="00E73053" w:rsidP="00C6311E">
      <w:pPr>
        <w:rPr>
          <w:noProof/>
        </w:rPr>
      </w:pPr>
      <w:r>
        <w:rPr>
          <w:noProof/>
        </w:rPr>
        <w:t xml:space="preserve">Pe lângă investigațiile sale privind cazurile de fraudă asupra veniturilor și de contrafacere, OLAF coordonează OVC la scară mare, implicând parteneri operaționali din UE și internaționali. Sprijinul oferit de OLAF este adaptat fiecărei OVC și poate include utilizarea infrastructurii sale tehnice permanente și a instrumentelor sale informatice și de comunicare, în special a VOCU pentru schimbul securizat de informații, precum și o analiză strategică și sprijin administrativ și financiar. În </w:t>
      </w:r>
      <w:r w:rsidRPr="00D17A39">
        <w:rPr>
          <w:noProof/>
        </w:rPr>
        <w:t>2021</w:t>
      </w:r>
      <w:r>
        <w:rPr>
          <w:noProof/>
        </w:rPr>
        <w:t>, OLAF a organizat sau a co-organizat două operațiuni privind măștile de protecție și produsele din tutun și a fost implicat în mai multe operațiuni inițiate de statele membre, Europol, Agenția Europeană pentru Poliția de Frontieră și Garda de Coastă (FRONTEX) sau OMV.</w:t>
      </w:r>
    </w:p>
    <w:p w14:paraId="2C6837EE" w14:textId="1703A9B1" w:rsidR="00E73053" w:rsidRPr="00261B88" w:rsidRDefault="00E73053" w:rsidP="00E73053">
      <w:pPr>
        <w:pStyle w:val="Caption"/>
        <w:rPr>
          <w:noProof/>
        </w:rPr>
      </w:pPr>
      <w:bookmarkStart w:id="56" w:name="_Toc106662326"/>
      <w:r w:rsidRPr="00261B88">
        <w:rPr>
          <w:noProof/>
        </w:rPr>
        <w:t>Tabelul </w:t>
      </w:r>
      <w:r w:rsidR="00FD11F8">
        <w:rPr>
          <w:noProof/>
        </w:rPr>
        <w:fldChar w:fldCharType="begin"/>
      </w:r>
      <w:r w:rsidR="00FD11F8">
        <w:rPr>
          <w:noProof/>
        </w:rPr>
        <w:instrText xml:space="preserve"> SEQ Table \* ARABIC </w:instrText>
      </w:r>
      <w:r w:rsidR="00FD11F8">
        <w:rPr>
          <w:noProof/>
        </w:rPr>
        <w:fldChar w:fldCharType="separate"/>
      </w:r>
      <w:r w:rsidRPr="00261B88">
        <w:rPr>
          <w:noProof/>
        </w:rPr>
        <w:t>2</w:t>
      </w:r>
      <w:r w:rsidR="00FD11F8">
        <w:rPr>
          <w:noProof/>
        </w:rPr>
        <w:fldChar w:fldCharType="end"/>
      </w:r>
      <w:r w:rsidRPr="00261B88">
        <w:rPr>
          <w:noProof/>
        </w:rPr>
        <w:t> – OVC în 2021</w:t>
      </w:r>
      <w:bookmarkEnd w:id="56"/>
    </w:p>
    <w:tbl>
      <w:tblPr>
        <w:tblStyle w:val="GridTable4-Accent1"/>
        <w:tblW w:w="0" w:type="auto"/>
        <w:tblLook w:val="04A0" w:firstRow="1" w:lastRow="0" w:firstColumn="1" w:lastColumn="0" w:noHBand="0" w:noVBand="1"/>
      </w:tblPr>
      <w:tblGrid>
        <w:gridCol w:w="1668"/>
        <w:gridCol w:w="7166"/>
      </w:tblGrid>
      <w:tr w:rsidR="00363877" w:rsidRPr="009909A5" w14:paraId="083621FB" w14:textId="77777777" w:rsidTr="001157C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8" w:type="dxa"/>
          </w:tcPr>
          <w:p w14:paraId="35366D3F" w14:textId="77777777" w:rsidR="00363877" w:rsidRPr="002F6819" w:rsidRDefault="00363877" w:rsidP="00A27EF6">
            <w:pPr>
              <w:spacing w:after="0"/>
              <w:rPr>
                <w:rFonts w:cstheme="minorHAnsi"/>
                <w:noProof/>
                <w:sz w:val="20"/>
              </w:rPr>
            </w:pPr>
            <w:r w:rsidRPr="00261B88">
              <w:rPr>
                <w:noProof/>
                <w:sz w:val="20"/>
              </w:rPr>
              <w:t>Operațiune</w:t>
            </w:r>
          </w:p>
        </w:tc>
        <w:tc>
          <w:tcPr>
            <w:tcW w:w="7166" w:type="dxa"/>
          </w:tcPr>
          <w:p w14:paraId="0409D4D2" w14:textId="77777777" w:rsidR="00363877" w:rsidRPr="00261B88" w:rsidRDefault="00363877" w:rsidP="00A27EF6">
            <w:pPr>
              <w:spacing w:after="0"/>
              <w:cnfStyle w:val="100000000000" w:firstRow="1" w:lastRow="0" w:firstColumn="0" w:lastColumn="0" w:oddVBand="0" w:evenVBand="0" w:oddHBand="0" w:evenHBand="0" w:firstRowFirstColumn="0" w:firstRowLastColumn="0" w:lastRowFirstColumn="0" w:lastRowLastColumn="0"/>
              <w:rPr>
                <w:rFonts w:cstheme="minorHAnsi"/>
                <w:noProof/>
                <w:sz w:val="20"/>
              </w:rPr>
            </w:pPr>
            <w:r w:rsidRPr="00261B88">
              <w:rPr>
                <w:noProof/>
                <w:sz w:val="20"/>
              </w:rPr>
              <w:t>Descriere</w:t>
            </w:r>
          </w:p>
        </w:tc>
      </w:tr>
      <w:tr w:rsidR="00363877" w:rsidRPr="009909A5" w14:paraId="043FA520" w14:textId="77777777" w:rsidTr="00A27E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1FC25BAC" w14:textId="77777777" w:rsidR="00363877" w:rsidRPr="00261B88" w:rsidRDefault="00363877" w:rsidP="00A27EF6">
            <w:pPr>
              <w:spacing w:after="0"/>
              <w:rPr>
                <w:rFonts w:cstheme="minorHAnsi"/>
                <w:noProof/>
                <w:sz w:val="20"/>
              </w:rPr>
            </w:pPr>
            <w:r w:rsidRPr="00261B88">
              <w:rPr>
                <w:noProof/>
                <w:sz w:val="20"/>
              </w:rPr>
              <w:t>S’CARE FACE</w:t>
            </w:r>
          </w:p>
        </w:tc>
        <w:tc>
          <w:tcPr>
            <w:tcW w:w="7166" w:type="dxa"/>
          </w:tcPr>
          <w:p w14:paraId="7E43A5E1" w14:textId="25AFD358" w:rsidR="00363877" w:rsidRPr="002F6819" w:rsidRDefault="00363877" w:rsidP="002F3A1F">
            <w:pPr>
              <w:spacing w:after="0"/>
              <w:cnfStyle w:val="000000100000" w:firstRow="0" w:lastRow="0" w:firstColumn="0" w:lastColumn="0" w:oddVBand="0" w:evenVBand="0" w:oddHBand="1" w:evenHBand="0" w:firstRowFirstColumn="0" w:firstRowLastColumn="0" w:lastRowFirstColumn="0" w:lastRowLastColumn="0"/>
              <w:rPr>
                <w:rFonts w:cstheme="minorHAnsi"/>
                <w:noProof/>
                <w:sz w:val="20"/>
              </w:rPr>
            </w:pPr>
            <w:r>
              <w:rPr>
                <w:noProof/>
                <w:sz w:val="20"/>
              </w:rPr>
              <w:t>Organizată de OLAF, în strânsă coordonare cu alte direcții generale (DG TAXUD, DG GROW, DG SANTE și DG JUST), pentru a îmbunătăți cunoștințele în întreaga UE cu privire la procesul de permitere a intrării unor măști de protecție pe piața UE. S’CARE FACE s-a derulat în perioada ianuarie-martie </w:t>
            </w:r>
            <w:r w:rsidRPr="00D17A39">
              <w:rPr>
                <w:noProof/>
                <w:sz w:val="20"/>
              </w:rPr>
              <w:t>2021</w:t>
            </w:r>
            <w:r>
              <w:rPr>
                <w:noProof/>
                <w:sz w:val="20"/>
              </w:rPr>
              <w:t xml:space="preserve">. În timpul operațiunii, statele membre participante au împiedicat intrarea pe piața UE a </w:t>
            </w:r>
            <w:r w:rsidRPr="00D17A39">
              <w:rPr>
                <w:noProof/>
                <w:sz w:val="20"/>
              </w:rPr>
              <w:t>49</w:t>
            </w:r>
            <w:r>
              <w:rPr>
                <w:noProof/>
                <w:sz w:val="20"/>
              </w:rPr>
              <w:t> de milioane de măști contrafăcute sau neconforme.</w:t>
            </w:r>
          </w:p>
        </w:tc>
      </w:tr>
      <w:tr w:rsidR="00363877" w:rsidRPr="009909A5" w14:paraId="09D6D5F8" w14:textId="77777777" w:rsidTr="00A27EF6">
        <w:tc>
          <w:tcPr>
            <w:cnfStyle w:val="001000000000" w:firstRow="0" w:lastRow="0" w:firstColumn="1" w:lastColumn="0" w:oddVBand="0" w:evenVBand="0" w:oddHBand="0" w:evenHBand="0" w:firstRowFirstColumn="0" w:firstRowLastColumn="0" w:lastRowFirstColumn="0" w:lastRowLastColumn="0"/>
            <w:tcW w:w="1668" w:type="dxa"/>
          </w:tcPr>
          <w:p w14:paraId="18AE5DD2" w14:textId="77777777" w:rsidR="00363877" w:rsidRPr="00261B88" w:rsidRDefault="00363877" w:rsidP="00A27EF6">
            <w:pPr>
              <w:spacing w:after="0"/>
              <w:rPr>
                <w:rFonts w:cstheme="minorHAnsi"/>
                <w:noProof/>
                <w:sz w:val="20"/>
              </w:rPr>
            </w:pPr>
            <w:r w:rsidRPr="00261B88">
              <w:rPr>
                <w:noProof/>
                <w:sz w:val="20"/>
              </w:rPr>
              <w:t>SCORPION II</w:t>
            </w:r>
          </w:p>
        </w:tc>
        <w:tc>
          <w:tcPr>
            <w:tcW w:w="7166" w:type="dxa"/>
          </w:tcPr>
          <w:p w14:paraId="745206AB" w14:textId="618211F1" w:rsidR="00363877" w:rsidRPr="002F6819" w:rsidRDefault="00A863FB" w:rsidP="002F3A1F">
            <w:pPr>
              <w:spacing w:after="0"/>
              <w:cnfStyle w:val="000000000000" w:firstRow="0" w:lastRow="0" w:firstColumn="0" w:lastColumn="0" w:oddVBand="0" w:evenVBand="0" w:oddHBand="0" w:evenHBand="0" w:firstRowFirstColumn="0" w:firstRowLastColumn="0" w:lastRowFirstColumn="0" w:lastRowLastColumn="0"/>
              <w:rPr>
                <w:rFonts w:cstheme="minorHAnsi"/>
                <w:noProof/>
                <w:sz w:val="20"/>
              </w:rPr>
            </w:pPr>
            <w:r>
              <w:rPr>
                <w:noProof/>
                <w:sz w:val="20"/>
              </w:rPr>
              <w:t xml:space="preserve">Organizată în comun de Misiunea UE de asistență la frontieră în Moldova și Ucraina (EUBAM) și de OLAF, această OVC, care a vizat contrabanda cu produse din tutun la frontiera de est a UE, a condus la confiscarea a </w:t>
            </w:r>
            <w:r w:rsidRPr="00D17A39">
              <w:rPr>
                <w:noProof/>
                <w:sz w:val="20"/>
              </w:rPr>
              <w:t>8</w:t>
            </w:r>
            <w:r>
              <w:rPr>
                <w:noProof/>
                <w:sz w:val="20"/>
              </w:rPr>
              <w:t>,</w:t>
            </w:r>
            <w:r w:rsidRPr="00D17A39">
              <w:rPr>
                <w:noProof/>
                <w:sz w:val="20"/>
              </w:rPr>
              <w:t>5</w:t>
            </w:r>
            <w:r>
              <w:rPr>
                <w:noProof/>
                <w:sz w:val="20"/>
              </w:rPr>
              <w:t> milioane de țigarete.</w:t>
            </w:r>
          </w:p>
        </w:tc>
      </w:tr>
      <w:tr w:rsidR="00363877" w:rsidRPr="009909A5" w14:paraId="09A779CC" w14:textId="77777777" w:rsidTr="00A27E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11DB4AB6" w14:textId="77777777" w:rsidR="00363877" w:rsidRPr="00261B88" w:rsidRDefault="00363877" w:rsidP="00A27EF6">
            <w:pPr>
              <w:spacing w:after="0"/>
              <w:rPr>
                <w:rFonts w:cstheme="minorHAnsi"/>
                <w:noProof/>
                <w:sz w:val="20"/>
              </w:rPr>
            </w:pPr>
            <w:r w:rsidRPr="00261B88">
              <w:rPr>
                <w:noProof/>
                <w:sz w:val="20"/>
              </w:rPr>
              <w:t>POSTBOX III</w:t>
            </w:r>
          </w:p>
        </w:tc>
        <w:tc>
          <w:tcPr>
            <w:tcW w:w="7166" w:type="dxa"/>
          </w:tcPr>
          <w:p w14:paraId="24CDE3C3" w14:textId="536298BC" w:rsidR="00363877" w:rsidRPr="002F6819" w:rsidRDefault="00A863FB" w:rsidP="0032188D">
            <w:pPr>
              <w:spacing w:after="0"/>
              <w:cnfStyle w:val="000000100000" w:firstRow="0" w:lastRow="0" w:firstColumn="0" w:lastColumn="0" w:oddVBand="0" w:evenVBand="0" w:oddHBand="1" w:evenHBand="0" w:firstRowFirstColumn="0" w:firstRowLastColumn="0" w:lastRowFirstColumn="0" w:lastRowLastColumn="0"/>
              <w:rPr>
                <w:rFonts w:cstheme="minorHAnsi"/>
                <w:noProof/>
                <w:sz w:val="20"/>
              </w:rPr>
            </w:pPr>
            <w:r>
              <w:rPr>
                <w:noProof/>
                <w:sz w:val="20"/>
              </w:rPr>
              <w:t xml:space="preserve">Organizată în comun de autoritățile vamale italiene și de Guardia di Finanza, cu sprijinul OLAF, cu colaborarea Europol și cu participarea a </w:t>
            </w:r>
            <w:r w:rsidRPr="00D17A39">
              <w:rPr>
                <w:noProof/>
                <w:sz w:val="20"/>
              </w:rPr>
              <w:t>20</w:t>
            </w:r>
            <w:r>
              <w:rPr>
                <w:noProof/>
                <w:sz w:val="20"/>
              </w:rPr>
              <w:t xml:space="preserve"> de state membre. Operațiunea s-a axat pe comerțul ilicit cu produse contrafăcute, produse farmaceutice și bunuri legate de COVID-</w:t>
            </w:r>
            <w:r w:rsidRPr="00D17A39">
              <w:rPr>
                <w:noProof/>
                <w:sz w:val="20"/>
              </w:rPr>
              <w:t>19</w:t>
            </w:r>
            <w:r>
              <w:rPr>
                <w:noProof/>
                <w:sz w:val="20"/>
              </w:rPr>
              <w:t xml:space="preserve">, droguri, specii de animale și plante pe cale de dispariție, precum și pe subevaluarea bunurilor utilizând atât internetul deschis, cât și internetul negru. Operațiunea a condus la reținerea a peste </w:t>
            </w:r>
            <w:r w:rsidRPr="00D17A39">
              <w:rPr>
                <w:noProof/>
                <w:sz w:val="20"/>
              </w:rPr>
              <w:t>1</w:t>
            </w:r>
            <w:r>
              <w:rPr>
                <w:noProof/>
                <w:sz w:val="20"/>
              </w:rPr>
              <w:t> </w:t>
            </w:r>
            <w:r w:rsidRPr="00D17A39">
              <w:rPr>
                <w:noProof/>
                <w:sz w:val="20"/>
              </w:rPr>
              <w:t>400</w:t>
            </w:r>
            <w:r>
              <w:rPr>
                <w:noProof/>
                <w:sz w:val="20"/>
              </w:rPr>
              <w:t xml:space="preserve"> de transporturi de bunuri ilicite, incluzând peste </w:t>
            </w:r>
            <w:r w:rsidRPr="00D17A39">
              <w:rPr>
                <w:noProof/>
                <w:sz w:val="20"/>
              </w:rPr>
              <w:t>35</w:t>
            </w:r>
            <w:r>
              <w:rPr>
                <w:noProof/>
                <w:sz w:val="20"/>
              </w:rPr>
              <w:t> </w:t>
            </w:r>
            <w:r w:rsidRPr="00D17A39">
              <w:rPr>
                <w:noProof/>
                <w:sz w:val="20"/>
              </w:rPr>
              <w:t>000</w:t>
            </w:r>
            <w:r>
              <w:rPr>
                <w:noProof/>
                <w:sz w:val="20"/>
              </w:rPr>
              <w:t xml:space="preserve"> de articole contrafăcute, bancnote falsificate cu o valoare aproximativă de </w:t>
            </w:r>
            <w:r w:rsidRPr="00D17A39">
              <w:rPr>
                <w:noProof/>
                <w:sz w:val="20"/>
              </w:rPr>
              <w:t>240</w:t>
            </w:r>
            <w:r>
              <w:rPr>
                <w:noProof/>
                <w:sz w:val="20"/>
              </w:rPr>
              <w:t> </w:t>
            </w:r>
            <w:r w:rsidRPr="00D17A39">
              <w:rPr>
                <w:noProof/>
                <w:sz w:val="20"/>
              </w:rPr>
              <w:t>000</w:t>
            </w:r>
            <w:r>
              <w:rPr>
                <w:noProof/>
                <w:sz w:val="20"/>
              </w:rPr>
              <w:t xml:space="preserve"> EUR, peste </w:t>
            </w:r>
            <w:r w:rsidRPr="00D17A39">
              <w:rPr>
                <w:noProof/>
                <w:sz w:val="20"/>
              </w:rPr>
              <w:t>1</w:t>
            </w:r>
            <w:r>
              <w:rPr>
                <w:noProof/>
                <w:sz w:val="20"/>
              </w:rPr>
              <w:t> </w:t>
            </w:r>
            <w:r w:rsidRPr="00D17A39">
              <w:rPr>
                <w:noProof/>
                <w:sz w:val="20"/>
              </w:rPr>
              <w:t>500</w:t>
            </w:r>
            <w:r>
              <w:rPr>
                <w:noProof/>
                <w:sz w:val="20"/>
              </w:rPr>
              <w:t xml:space="preserve"> de articole de materiale legate de COVID-</w:t>
            </w:r>
            <w:r w:rsidRPr="00D17A39">
              <w:rPr>
                <w:noProof/>
                <w:sz w:val="20"/>
              </w:rPr>
              <w:t>19</w:t>
            </w:r>
            <w:r>
              <w:rPr>
                <w:noProof/>
                <w:sz w:val="20"/>
              </w:rPr>
              <w:t xml:space="preserve">, </w:t>
            </w:r>
            <w:r w:rsidRPr="00D17A39">
              <w:rPr>
                <w:noProof/>
                <w:sz w:val="20"/>
              </w:rPr>
              <w:t>240</w:t>
            </w:r>
            <w:r>
              <w:rPr>
                <w:noProof/>
                <w:sz w:val="20"/>
              </w:rPr>
              <w:t xml:space="preserve"> kg de țigarete și tutun de contrabandă și peste </w:t>
            </w:r>
            <w:r w:rsidRPr="00D17A39">
              <w:rPr>
                <w:noProof/>
                <w:sz w:val="20"/>
              </w:rPr>
              <w:t>20</w:t>
            </w:r>
            <w:r>
              <w:rPr>
                <w:noProof/>
                <w:sz w:val="20"/>
              </w:rPr>
              <w:t> kg de canabis și marijuana.</w:t>
            </w:r>
          </w:p>
        </w:tc>
      </w:tr>
      <w:tr w:rsidR="00363877" w:rsidRPr="009909A5" w14:paraId="513A7116" w14:textId="77777777" w:rsidTr="00A27EF6">
        <w:tc>
          <w:tcPr>
            <w:cnfStyle w:val="001000000000" w:firstRow="0" w:lastRow="0" w:firstColumn="1" w:lastColumn="0" w:oddVBand="0" w:evenVBand="0" w:oddHBand="0" w:evenHBand="0" w:firstRowFirstColumn="0" w:firstRowLastColumn="0" w:lastRowFirstColumn="0" w:lastRowLastColumn="0"/>
            <w:tcW w:w="1668" w:type="dxa"/>
          </w:tcPr>
          <w:p w14:paraId="78F8454C" w14:textId="77777777" w:rsidR="00363877" w:rsidRPr="00261B88" w:rsidRDefault="00363877" w:rsidP="00A27EF6">
            <w:pPr>
              <w:spacing w:after="0"/>
              <w:rPr>
                <w:rFonts w:cstheme="minorHAnsi"/>
                <w:noProof/>
                <w:sz w:val="20"/>
              </w:rPr>
            </w:pPr>
            <w:r w:rsidRPr="00261B88">
              <w:rPr>
                <w:noProof/>
                <w:sz w:val="20"/>
              </w:rPr>
              <w:t>ATHENA V</w:t>
            </w:r>
          </w:p>
        </w:tc>
        <w:tc>
          <w:tcPr>
            <w:tcW w:w="7166" w:type="dxa"/>
          </w:tcPr>
          <w:p w14:paraId="67876BAB" w14:textId="6DA2E0F4" w:rsidR="00363877" w:rsidRPr="002F6819" w:rsidRDefault="0032188D" w:rsidP="0032188D">
            <w:pPr>
              <w:spacing w:after="0"/>
              <w:cnfStyle w:val="000000000000" w:firstRow="0" w:lastRow="0" w:firstColumn="0" w:lastColumn="0" w:oddVBand="0" w:evenVBand="0" w:oddHBand="0" w:evenHBand="0" w:firstRowFirstColumn="0" w:firstRowLastColumn="0" w:lastRowFirstColumn="0" w:lastRowLastColumn="0"/>
              <w:rPr>
                <w:rFonts w:cstheme="minorHAnsi"/>
                <w:noProof/>
                <w:sz w:val="20"/>
              </w:rPr>
            </w:pPr>
            <w:r>
              <w:rPr>
                <w:noProof/>
                <w:sz w:val="20"/>
              </w:rPr>
              <w:t xml:space="preserve">Operațiunea vizează contrabanda cu numerar în UE prin intermediul serviciilor de curierat, al serviciilor poștale și de coletărie. Aceasta a fost coordonată de administrația vamală spaniolă, cu sprijinul OLAF și cu implicarea a </w:t>
            </w:r>
            <w:r w:rsidRPr="00D17A39">
              <w:rPr>
                <w:noProof/>
                <w:sz w:val="20"/>
              </w:rPr>
              <w:t>13</w:t>
            </w:r>
            <w:r>
              <w:rPr>
                <w:noProof/>
                <w:sz w:val="20"/>
              </w:rPr>
              <w:t xml:space="preserve"> state membre și a Europol. În cursul operațiunii, au fost controlate peste </w:t>
            </w:r>
            <w:r w:rsidRPr="00D17A39">
              <w:rPr>
                <w:noProof/>
                <w:sz w:val="20"/>
              </w:rPr>
              <w:t>14</w:t>
            </w:r>
            <w:r>
              <w:rPr>
                <w:noProof/>
                <w:sz w:val="20"/>
              </w:rPr>
              <w:t> </w:t>
            </w:r>
            <w:r w:rsidRPr="00D17A39">
              <w:rPr>
                <w:noProof/>
                <w:sz w:val="20"/>
              </w:rPr>
              <w:t>000</w:t>
            </w:r>
            <w:r>
              <w:rPr>
                <w:noProof/>
                <w:sz w:val="20"/>
              </w:rPr>
              <w:t xml:space="preserve"> de colete. Evaluarea rezultatelor este în desfășurare.</w:t>
            </w:r>
          </w:p>
        </w:tc>
      </w:tr>
      <w:tr w:rsidR="00363877" w:rsidRPr="009909A5" w14:paraId="029009B3" w14:textId="77777777" w:rsidTr="00A27E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4A113D65" w14:textId="77777777" w:rsidR="00363877" w:rsidRPr="00261B88" w:rsidRDefault="00363877" w:rsidP="00A27EF6">
            <w:pPr>
              <w:spacing w:after="0"/>
              <w:rPr>
                <w:rFonts w:cstheme="minorHAnsi"/>
                <w:noProof/>
                <w:sz w:val="20"/>
              </w:rPr>
            </w:pPr>
            <w:r w:rsidRPr="00261B88">
              <w:rPr>
                <w:noProof/>
                <w:sz w:val="20"/>
              </w:rPr>
              <w:t>ARKTOS 3</w:t>
            </w:r>
          </w:p>
        </w:tc>
        <w:tc>
          <w:tcPr>
            <w:tcW w:w="7166" w:type="dxa"/>
          </w:tcPr>
          <w:p w14:paraId="126D34D2" w14:textId="1C9CE11C" w:rsidR="00363877" w:rsidRPr="002F6819" w:rsidRDefault="00363877" w:rsidP="0032188D">
            <w:pPr>
              <w:spacing w:after="0"/>
              <w:cnfStyle w:val="000000100000" w:firstRow="0" w:lastRow="0" w:firstColumn="0" w:lastColumn="0" w:oddVBand="0" w:evenVBand="0" w:oddHBand="1" w:evenHBand="0" w:firstRowFirstColumn="0" w:firstRowLastColumn="0" w:lastRowFirstColumn="0" w:lastRowLastColumn="0"/>
              <w:rPr>
                <w:rFonts w:cstheme="minorHAnsi"/>
                <w:noProof/>
                <w:sz w:val="20"/>
              </w:rPr>
            </w:pPr>
            <w:r>
              <w:rPr>
                <w:noProof/>
                <w:sz w:val="20"/>
              </w:rPr>
              <w:t xml:space="preserve">Acțiune comună condusă de FRONTEX, Agenția Europeană pentru Poliția de Frontieră și Garda de Coastă împreună cu Lituania și Polonia, sprijinită de Interpol, OLAF, Eurojust și Europol, alături de polițiști de frontieră, funcționari ai poliției și lucrători vamali din Estonia, Finlanda, Letonia, Slovacia și Suedia. Aceasta a vizat frauda cu produse accizabile, în special contrabanda cu tutun, fraudarea documentelor și introducerea ilegală de migranți la anumite puncte de trecere a frontierei de la frontierele terestre de este ale UE. Ca urmare a acțiunii, autoritățile de aplicare a legii au detectat peste </w:t>
            </w:r>
            <w:r w:rsidRPr="00D17A39">
              <w:rPr>
                <w:noProof/>
                <w:sz w:val="20"/>
              </w:rPr>
              <w:t>400</w:t>
            </w:r>
            <w:r>
              <w:rPr>
                <w:noProof/>
                <w:sz w:val="20"/>
              </w:rPr>
              <w:t xml:space="preserve"> de produse din tutun inovatoare, precum țigaretele electronice și lichidele de reumplere. Printre bunurile ilegale confiscate se numără </w:t>
            </w:r>
            <w:r w:rsidRPr="00D17A39">
              <w:rPr>
                <w:noProof/>
                <w:sz w:val="20"/>
              </w:rPr>
              <w:t>6</w:t>
            </w:r>
            <w:r>
              <w:rPr>
                <w:noProof/>
                <w:sz w:val="20"/>
              </w:rPr>
              <w:t>,</w:t>
            </w:r>
            <w:r w:rsidRPr="00D17A39">
              <w:rPr>
                <w:noProof/>
                <w:sz w:val="20"/>
              </w:rPr>
              <w:t>7</w:t>
            </w:r>
            <w:r>
              <w:rPr>
                <w:noProof/>
                <w:sz w:val="20"/>
              </w:rPr>
              <w:t xml:space="preserve"> milioane de țigări ilegale și </w:t>
            </w:r>
            <w:r w:rsidRPr="00D17A39">
              <w:rPr>
                <w:noProof/>
                <w:sz w:val="20"/>
              </w:rPr>
              <w:t>2</w:t>
            </w:r>
            <w:r>
              <w:rPr>
                <w:noProof/>
                <w:sz w:val="20"/>
              </w:rPr>
              <w:t>,</w:t>
            </w:r>
            <w:r w:rsidRPr="00D17A39">
              <w:rPr>
                <w:noProof/>
                <w:sz w:val="20"/>
              </w:rPr>
              <w:t>6</w:t>
            </w:r>
            <w:r>
              <w:rPr>
                <w:noProof/>
                <w:sz w:val="20"/>
              </w:rPr>
              <w:t xml:space="preserve"> tone de tutun brut, precum și jumătate de tonă de droguri ilicite. Cincisprezece traficanți au fost arestați și peste </w:t>
            </w:r>
            <w:r w:rsidRPr="00D17A39">
              <w:rPr>
                <w:noProof/>
                <w:sz w:val="20"/>
              </w:rPr>
              <w:t>200</w:t>
            </w:r>
            <w:r>
              <w:rPr>
                <w:noProof/>
                <w:sz w:val="20"/>
              </w:rPr>
              <w:t xml:space="preserve"> de documente falsificate au fost detectate.</w:t>
            </w:r>
          </w:p>
        </w:tc>
      </w:tr>
      <w:tr w:rsidR="00363877" w:rsidRPr="009909A5" w14:paraId="12B56116" w14:textId="77777777" w:rsidTr="00A27EF6">
        <w:tc>
          <w:tcPr>
            <w:cnfStyle w:val="001000000000" w:firstRow="0" w:lastRow="0" w:firstColumn="1" w:lastColumn="0" w:oddVBand="0" w:evenVBand="0" w:oddHBand="0" w:evenHBand="0" w:firstRowFirstColumn="0" w:firstRowLastColumn="0" w:lastRowFirstColumn="0" w:lastRowLastColumn="0"/>
            <w:tcW w:w="1668" w:type="dxa"/>
          </w:tcPr>
          <w:p w14:paraId="6AD0CE59" w14:textId="77777777" w:rsidR="00363877" w:rsidRPr="00261B88" w:rsidRDefault="00363877" w:rsidP="00A27EF6">
            <w:pPr>
              <w:spacing w:after="0"/>
              <w:rPr>
                <w:rFonts w:cstheme="minorHAnsi"/>
                <w:noProof/>
                <w:sz w:val="20"/>
              </w:rPr>
            </w:pPr>
            <w:r w:rsidRPr="00261B88">
              <w:rPr>
                <w:noProof/>
                <w:sz w:val="20"/>
              </w:rPr>
              <w:t>Activitatea comună CELBET 8</w:t>
            </w:r>
          </w:p>
        </w:tc>
        <w:tc>
          <w:tcPr>
            <w:tcW w:w="7166" w:type="dxa"/>
          </w:tcPr>
          <w:p w14:paraId="6789209F" w14:textId="1E45214D" w:rsidR="00363877" w:rsidRPr="002F6819" w:rsidRDefault="00A863FB" w:rsidP="0032188D">
            <w:pPr>
              <w:spacing w:after="0"/>
              <w:cnfStyle w:val="000000000000" w:firstRow="0" w:lastRow="0" w:firstColumn="0" w:lastColumn="0" w:oddVBand="0" w:evenVBand="0" w:oddHBand="0" w:evenHBand="0" w:firstRowFirstColumn="0" w:firstRowLastColumn="0" w:lastRowFirstColumn="0" w:lastRowLastColumn="0"/>
              <w:rPr>
                <w:rFonts w:cstheme="minorHAnsi"/>
                <w:noProof/>
                <w:sz w:val="20"/>
              </w:rPr>
            </w:pPr>
            <w:r>
              <w:rPr>
                <w:noProof/>
                <w:sz w:val="20"/>
              </w:rPr>
              <w:t>Organizată de echipa de experți vamali de la frontiera terestră de est și de sud-est (CELBET), cu sprijinul OLAF. Aceasta s-a axat pe controlul numerarului și pe detectarea țigărilor ilegale și a altor produse din tutun, precum și a părților componente contrafăcute ale vehiculelor, a îmbrăcămintei, a încălțămintei și produselor cosmetice contrafăcute care intră în UE prin frontiera sa estică.</w:t>
            </w:r>
          </w:p>
        </w:tc>
      </w:tr>
      <w:tr w:rsidR="00363877" w:rsidRPr="009909A5" w14:paraId="5FC78453" w14:textId="77777777" w:rsidTr="00A27E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535A3CFE" w14:textId="77777777" w:rsidR="00363877" w:rsidRPr="00261B88" w:rsidRDefault="00363877" w:rsidP="00A27EF6">
            <w:pPr>
              <w:spacing w:after="0"/>
              <w:rPr>
                <w:rFonts w:cstheme="minorHAnsi"/>
                <w:noProof/>
                <w:sz w:val="20"/>
              </w:rPr>
            </w:pPr>
            <w:r w:rsidRPr="00261B88">
              <w:rPr>
                <w:noProof/>
                <w:sz w:val="20"/>
              </w:rPr>
              <w:t>STOP II</w:t>
            </w:r>
          </w:p>
        </w:tc>
        <w:tc>
          <w:tcPr>
            <w:tcW w:w="7166" w:type="dxa"/>
          </w:tcPr>
          <w:p w14:paraId="47E2B85C" w14:textId="782E1189" w:rsidR="00363877" w:rsidRDefault="00A863FB" w:rsidP="0032188D">
            <w:pPr>
              <w:spacing w:after="0"/>
              <w:cnfStyle w:val="000000100000" w:firstRow="0" w:lastRow="0" w:firstColumn="0" w:lastColumn="0" w:oddVBand="0" w:evenVBand="0" w:oddHBand="1" w:evenHBand="0" w:firstRowFirstColumn="0" w:firstRowLastColumn="0" w:lastRowFirstColumn="0" w:lastRowLastColumn="0"/>
              <w:rPr>
                <w:rFonts w:cstheme="minorHAnsi"/>
                <w:noProof/>
                <w:sz w:val="20"/>
              </w:rPr>
            </w:pPr>
            <w:r>
              <w:rPr>
                <w:noProof/>
                <w:sz w:val="20"/>
              </w:rPr>
              <w:t xml:space="preserve">Organizată de OMV, aceasta a fost cea mai amplă operațiune mondială coordonată de autoritățile vamale, implicând </w:t>
            </w:r>
            <w:r w:rsidRPr="00D17A39">
              <w:rPr>
                <w:noProof/>
                <w:sz w:val="20"/>
              </w:rPr>
              <w:t>146</w:t>
            </w:r>
            <w:r>
              <w:rPr>
                <w:noProof/>
                <w:sz w:val="20"/>
              </w:rPr>
              <w:t xml:space="preserve"> de administrații vamale membre, cu sprijinul Europol, Interpol, al Biroului Națiunilor Unite pentru Droguri și Criminalitate (UNODC) și al Organizației Mondiale a Sănătății (OMS), alături de companii farmaceutice și alți actori din sectorul privat. Obiectivul operațiunii a fost comerțul ilicit cu medicamente, vaccinuri și dispozitive medicale legate de COVID-</w:t>
            </w:r>
            <w:r w:rsidRPr="00D17A39">
              <w:rPr>
                <w:noProof/>
                <w:sz w:val="20"/>
              </w:rPr>
              <w:t>19</w:t>
            </w:r>
            <w:r>
              <w:rPr>
                <w:noProof/>
                <w:sz w:val="20"/>
              </w:rPr>
              <w:t xml:space="preserve">. Operațiunea a condus la confiscarea a </w:t>
            </w:r>
            <w:r w:rsidRPr="00D17A39">
              <w:rPr>
                <w:noProof/>
                <w:sz w:val="20"/>
              </w:rPr>
              <w:t>365</w:t>
            </w:r>
            <w:r>
              <w:rPr>
                <w:noProof/>
                <w:sz w:val="20"/>
              </w:rPr>
              <w:t>,</w:t>
            </w:r>
            <w:r w:rsidRPr="00D17A39">
              <w:rPr>
                <w:noProof/>
                <w:sz w:val="20"/>
              </w:rPr>
              <w:t>7</w:t>
            </w:r>
            <w:r>
              <w:rPr>
                <w:noProof/>
                <w:sz w:val="20"/>
              </w:rPr>
              <w:t xml:space="preserve"> milioane de unități, dintre care </w:t>
            </w:r>
            <w:r w:rsidRPr="00D17A39">
              <w:rPr>
                <w:noProof/>
                <w:sz w:val="20"/>
              </w:rPr>
              <w:t>195</w:t>
            </w:r>
            <w:r>
              <w:rPr>
                <w:noProof/>
                <w:sz w:val="20"/>
              </w:rPr>
              <w:t>,</w:t>
            </w:r>
            <w:r w:rsidRPr="00D17A39">
              <w:rPr>
                <w:noProof/>
                <w:sz w:val="20"/>
              </w:rPr>
              <w:t>5</w:t>
            </w:r>
            <w:r>
              <w:rPr>
                <w:noProof/>
                <w:sz w:val="20"/>
              </w:rPr>
              <w:t> milioane de medicamente legate de COVID-</w:t>
            </w:r>
            <w:r w:rsidRPr="00D17A39">
              <w:rPr>
                <w:noProof/>
                <w:sz w:val="20"/>
              </w:rPr>
              <w:t>19</w:t>
            </w:r>
            <w:r>
              <w:rPr>
                <w:noProof/>
                <w:sz w:val="20"/>
              </w:rPr>
              <w:t xml:space="preserve">, </w:t>
            </w:r>
            <w:r w:rsidRPr="00D17A39">
              <w:rPr>
                <w:noProof/>
                <w:sz w:val="20"/>
              </w:rPr>
              <w:t>156</w:t>
            </w:r>
            <w:r>
              <w:rPr>
                <w:noProof/>
                <w:sz w:val="20"/>
              </w:rPr>
              <w:t>,</w:t>
            </w:r>
            <w:r w:rsidRPr="00D17A39">
              <w:rPr>
                <w:noProof/>
                <w:sz w:val="20"/>
              </w:rPr>
              <w:t>7</w:t>
            </w:r>
            <w:r>
              <w:rPr>
                <w:noProof/>
                <w:sz w:val="20"/>
              </w:rPr>
              <w:t> milioane de dispozitive medicale (precum kituri de testare pentru COVID-</w:t>
            </w:r>
            <w:r w:rsidRPr="00D17A39">
              <w:rPr>
                <w:noProof/>
                <w:sz w:val="20"/>
              </w:rPr>
              <w:t>19</w:t>
            </w:r>
            <w:r>
              <w:rPr>
                <w:noProof/>
                <w:sz w:val="20"/>
              </w:rPr>
              <w:t xml:space="preserve">, măști de protecție, mănuși utilizate, gel dezinfectant și tuburi de oxigen) și aproximativ </w:t>
            </w:r>
            <w:r w:rsidRPr="00D17A39">
              <w:rPr>
                <w:noProof/>
                <w:sz w:val="20"/>
              </w:rPr>
              <w:t>13</w:t>
            </w:r>
            <w:r>
              <w:rPr>
                <w:noProof/>
                <w:sz w:val="20"/>
              </w:rPr>
              <w:t>,</w:t>
            </w:r>
            <w:r w:rsidRPr="00D17A39">
              <w:rPr>
                <w:noProof/>
                <w:sz w:val="20"/>
              </w:rPr>
              <w:t>5</w:t>
            </w:r>
            <w:r>
              <w:rPr>
                <w:noProof/>
                <w:sz w:val="20"/>
              </w:rPr>
              <w:t> milioane de doze de vaccinuri împotriva COVID-</w:t>
            </w:r>
            <w:r w:rsidRPr="00D17A39">
              <w:rPr>
                <w:noProof/>
                <w:sz w:val="20"/>
              </w:rPr>
              <w:t>19</w:t>
            </w:r>
            <w:r>
              <w:rPr>
                <w:noProof/>
                <w:sz w:val="20"/>
              </w:rPr>
              <w:t>.</w:t>
            </w:r>
          </w:p>
        </w:tc>
      </w:tr>
      <w:tr w:rsidR="00363877" w:rsidRPr="009909A5" w14:paraId="58A9E471" w14:textId="77777777" w:rsidTr="00A27EF6">
        <w:tc>
          <w:tcPr>
            <w:cnfStyle w:val="001000000000" w:firstRow="0" w:lastRow="0" w:firstColumn="1" w:lastColumn="0" w:oddVBand="0" w:evenVBand="0" w:oddHBand="0" w:evenHBand="0" w:firstRowFirstColumn="0" w:firstRowLastColumn="0" w:lastRowFirstColumn="0" w:lastRowLastColumn="0"/>
            <w:tcW w:w="1668" w:type="dxa"/>
          </w:tcPr>
          <w:p w14:paraId="042C5B5E" w14:textId="77777777" w:rsidR="00363877" w:rsidRPr="002F6819" w:rsidRDefault="00363877" w:rsidP="00A27EF6">
            <w:pPr>
              <w:spacing w:after="0"/>
              <w:rPr>
                <w:rFonts w:cstheme="minorHAnsi"/>
                <w:b w:val="0"/>
                <w:noProof/>
                <w:sz w:val="20"/>
              </w:rPr>
            </w:pPr>
            <w:r w:rsidRPr="00261B88">
              <w:rPr>
                <w:noProof/>
                <w:sz w:val="20"/>
              </w:rPr>
              <w:t>LUDUS II</w:t>
            </w:r>
          </w:p>
        </w:tc>
        <w:tc>
          <w:tcPr>
            <w:tcW w:w="7166" w:type="dxa"/>
          </w:tcPr>
          <w:p w14:paraId="34B9D840" w14:textId="1A63A850" w:rsidR="00363877" w:rsidRPr="002F6819" w:rsidRDefault="00363877" w:rsidP="0032188D">
            <w:pPr>
              <w:spacing w:after="0"/>
              <w:cnfStyle w:val="000000000000" w:firstRow="0" w:lastRow="0" w:firstColumn="0" w:lastColumn="0" w:oddVBand="0" w:evenVBand="0" w:oddHBand="0" w:evenHBand="0" w:firstRowFirstColumn="0" w:firstRowLastColumn="0" w:lastRowFirstColumn="0" w:lastRowLastColumn="0"/>
              <w:rPr>
                <w:rFonts w:cstheme="minorHAnsi"/>
                <w:noProof/>
                <w:sz w:val="20"/>
              </w:rPr>
            </w:pPr>
            <w:r>
              <w:rPr>
                <w:noProof/>
                <w:sz w:val="20"/>
              </w:rPr>
              <w:t xml:space="preserve">Organizată de Europol, cu participarea OLAF, a Oficiului Uniunii Europene pentru Proprietate Intelectuală (EUIPO), a OMV și a </w:t>
            </w:r>
            <w:r w:rsidRPr="00D17A39">
              <w:rPr>
                <w:noProof/>
                <w:sz w:val="20"/>
              </w:rPr>
              <w:t>21</w:t>
            </w:r>
            <w:r>
              <w:rPr>
                <w:noProof/>
                <w:sz w:val="20"/>
              </w:rPr>
              <w:t xml:space="preserve"> de țări. Aceasta a dus la confiscarea a peste </w:t>
            </w:r>
            <w:r w:rsidRPr="00D17A39">
              <w:rPr>
                <w:noProof/>
                <w:sz w:val="20"/>
              </w:rPr>
              <w:t>5</w:t>
            </w:r>
            <w:r>
              <w:rPr>
                <w:noProof/>
                <w:sz w:val="20"/>
              </w:rPr>
              <w:t xml:space="preserve"> milioane de jucării contrafăcute și ilegale, cu o valoare de </w:t>
            </w:r>
            <w:r w:rsidRPr="00D17A39">
              <w:rPr>
                <w:noProof/>
                <w:sz w:val="20"/>
              </w:rPr>
              <w:t>18</w:t>
            </w:r>
            <w:r>
              <w:rPr>
                <w:noProof/>
                <w:sz w:val="20"/>
              </w:rPr>
              <w:t> milioane EUR. Produsele confiscate prezentau riscuri precum expunerea la substanțe chimice, strangulare, sufocare, șoc electric, vătămarea auzului și pericole de incendiu.</w:t>
            </w:r>
          </w:p>
        </w:tc>
      </w:tr>
      <w:tr w:rsidR="00363877" w:rsidRPr="009909A5" w14:paraId="3512547B" w14:textId="77777777" w:rsidTr="00A27E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08ADB10D" w14:textId="77777777" w:rsidR="00363877" w:rsidRPr="00261B88" w:rsidRDefault="00363877" w:rsidP="00A27EF6">
            <w:pPr>
              <w:spacing w:after="0"/>
              <w:rPr>
                <w:rFonts w:cstheme="minorHAnsi"/>
                <w:noProof/>
                <w:sz w:val="20"/>
              </w:rPr>
            </w:pPr>
            <w:r w:rsidRPr="00261B88">
              <w:rPr>
                <w:noProof/>
                <w:sz w:val="20"/>
              </w:rPr>
              <w:t>OPSON X</w:t>
            </w:r>
          </w:p>
        </w:tc>
        <w:tc>
          <w:tcPr>
            <w:tcW w:w="7166" w:type="dxa"/>
          </w:tcPr>
          <w:p w14:paraId="0A6DE5B7" w14:textId="7C3CBC22" w:rsidR="00363877" w:rsidRPr="00363877" w:rsidRDefault="00363877" w:rsidP="0032188D">
            <w:pPr>
              <w:spacing w:after="0"/>
              <w:cnfStyle w:val="000000100000" w:firstRow="0" w:lastRow="0" w:firstColumn="0" w:lastColumn="0" w:oddVBand="0" w:evenVBand="0" w:oddHBand="1" w:evenHBand="0" w:firstRowFirstColumn="0" w:firstRowLastColumn="0" w:lastRowFirstColumn="0" w:lastRowLastColumn="0"/>
              <w:rPr>
                <w:rFonts w:cstheme="minorHAnsi"/>
                <w:noProof/>
                <w:sz w:val="20"/>
              </w:rPr>
            </w:pPr>
            <w:r>
              <w:rPr>
                <w:noProof/>
                <w:sz w:val="20"/>
              </w:rPr>
              <w:t xml:space="preserve">Operațiune comună Europol/Interpol care vizează alimentele și băuturile contrafăcute și care nu corespund standardelor. OLAF a condus o acțiune specifică privind vinul și băuturile alcoolice și a coordonat activitatea a </w:t>
            </w:r>
            <w:r w:rsidRPr="00D17A39">
              <w:rPr>
                <w:noProof/>
                <w:sz w:val="20"/>
              </w:rPr>
              <w:t>19</w:t>
            </w:r>
            <w:r>
              <w:rPr>
                <w:noProof/>
                <w:sz w:val="20"/>
              </w:rPr>
              <w:t xml:space="preserve"> state membre și a </w:t>
            </w:r>
            <w:r w:rsidRPr="00D17A39">
              <w:rPr>
                <w:noProof/>
                <w:sz w:val="20"/>
              </w:rPr>
              <w:t>3</w:t>
            </w:r>
            <w:r>
              <w:rPr>
                <w:noProof/>
                <w:sz w:val="20"/>
              </w:rPr>
              <w:t xml:space="preserve"> țări din afara UE. Această acțiune a condus la confiscarea a aproape </w:t>
            </w:r>
            <w:r w:rsidRPr="00D17A39">
              <w:rPr>
                <w:noProof/>
                <w:sz w:val="20"/>
              </w:rPr>
              <w:t>1</w:t>
            </w:r>
            <w:r>
              <w:rPr>
                <w:noProof/>
                <w:sz w:val="20"/>
              </w:rPr>
              <w:t>,</w:t>
            </w:r>
            <w:r w:rsidRPr="00D17A39">
              <w:rPr>
                <w:noProof/>
                <w:sz w:val="20"/>
              </w:rPr>
              <w:t>8</w:t>
            </w:r>
            <w:r>
              <w:rPr>
                <w:noProof/>
                <w:sz w:val="20"/>
              </w:rPr>
              <w:t xml:space="preserve"> milioane de litri de vin și băuturi alcoolice de către autoritățile vamale și polițienești europene: </w:t>
            </w:r>
            <w:r w:rsidRPr="00D17A39">
              <w:rPr>
                <w:noProof/>
                <w:sz w:val="20"/>
              </w:rPr>
              <w:t>215</w:t>
            </w:r>
            <w:r>
              <w:rPr>
                <w:noProof/>
                <w:sz w:val="20"/>
              </w:rPr>
              <w:t> </w:t>
            </w:r>
            <w:r w:rsidRPr="00D17A39">
              <w:rPr>
                <w:noProof/>
                <w:sz w:val="20"/>
              </w:rPr>
              <w:t>000</w:t>
            </w:r>
            <w:r>
              <w:rPr>
                <w:noProof/>
                <w:sz w:val="20"/>
              </w:rPr>
              <w:t xml:space="preserve"> de litri de băuturi alcoolice contrafăcute, în principal vin și vodcă și </w:t>
            </w:r>
            <w:r w:rsidRPr="00D17A39">
              <w:rPr>
                <w:noProof/>
                <w:sz w:val="20"/>
              </w:rPr>
              <w:t>1</w:t>
            </w:r>
            <w:r>
              <w:rPr>
                <w:noProof/>
                <w:sz w:val="20"/>
              </w:rPr>
              <w:t> </w:t>
            </w:r>
            <w:r w:rsidRPr="00D17A39">
              <w:rPr>
                <w:noProof/>
                <w:sz w:val="20"/>
              </w:rPr>
              <w:t>550</w:t>
            </w:r>
            <w:r>
              <w:rPr>
                <w:noProof/>
                <w:sz w:val="20"/>
              </w:rPr>
              <w:t> </w:t>
            </w:r>
            <w:r w:rsidRPr="00D17A39">
              <w:rPr>
                <w:noProof/>
                <w:sz w:val="20"/>
              </w:rPr>
              <w:t>000</w:t>
            </w:r>
            <w:r>
              <w:rPr>
                <w:noProof/>
                <w:sz w:val="20"/>
              </w:rPr>
              <w:t xml:space="preserve"> de litri de diverse băuturi alcoolice, vin și bere, care încălcau regulile fiscale sau standardele de siguranță alimentară.</w:t>
            </w:r>
          </w:p>
        </w:tc>
      </w:tr>
      <w:tr w:rsidR="00363877" w:rsidRPr="009909A5" w14:paraId="7FB9F1E9" w14:textId="77777777" w:rsidTr="00A27EF6">
        <w:tc>
          <w:tcPr>
            <w:cnfStyle w:val="001000000000" w:firstRow="0" w:lastRow="0" w:firstColumn="1" w:lastColumn="0" w:oddVBand="0" w:evenVBand="0" w:oddHBand="0" w:evenHBand="0" w:firstRowFirstColumn="0" w:firstRowLastColumn="0" w:lastRowFirstColumn="0" w:lastRowLastColumn="0"/>
            <w:tcW w:w="1668" w:type="dxa"/>
          </w:tcPr>
          <w:p w14:paraId="1B3FB29A" w14:textId="77777777" w:rsidR="00363877" w:rsidRPr="00261B88" w:rsidRDefault="00363877" w:rsidP="00A27EF6">
            <w:pPr>
              <w:spacing w:after="0"/>
              <w:rPr>
                <w:rFonts w:cstheme="minorHAnsi"/>
                <w:noProof/>
                <w:sz w:val="20"/>
              </w:rPr>
            </w:pPr>
            <w:r w:rsidRPr="00261B88">
              <w:rPr>
                <w:noProof/>
                <w:sz w:val="20"/>
              </w:rPr>
              <w:t>SHIELD II</w:t>
            </w:r>
          </w:p>
        </w:tc>
        <w:tc>
          <w:tcPr>
            <w:tcW w:w="7166" w:type="dxa"/>
          </w:tcPr>
          <w:p w14:paraId="75B36F18" w14:textId="1D848B3B" w:rsidR="00363877" w:rsidRPr="00363877" w:rsidRDefault="00A863FB" w:rsidP="00363877">
            <w:pPr>
              <w:spacing w:after="0"/>
              <w:cnfStyle w:val="000000000000" w:firstRow="0" w:lastRow="0" w:firstColumn="0" w:lastColumn="0" w:oddVBand="0" w:evenVBand="0" w:oddHBand="0" w:evenHBand="0" w:firstRowFirstColumn="0" w:firstRowLastColumn="0" w:lastRowFirstColumn="0" w:lastRowLastColumn="0"/>
              <w:rPr>
                <w:rFonts w:cstheme="minorHAnsi"/>
                <w:noProof/>
                <w:sz w:val="20"/>
              </w:rPr>
            </w:pPr>
            <w:r>
              <w:rPr>
                <w:noProof/>
                <w:sz w:val="20"/>
              </w:rPr>
              <w:t xml:space="preserve">Organizată de Europol. OLAF a condus o acțiune specifică, alături de </w:t>
            </w:r>
            <w:r w:rsidRPr="00D17A39">
              <w:rPr>
                <w:noProof/>
                <w:sz w:val="20"/>
              </w:rPr>
              <w:t>17</w:t>
            </w:r>
            <w:r>
              <w:rPr>
                <w:noProof/>
                <w:sz w:val="20"/>
              </w:rPr>
              <w:t xml:space="preserve"> state membre, împotriva substanțelor contrafăcute și hormonale, a suplimentelor alimentare și a medicamentelor pentru disfuncție erectilă, împiedicând în total intrarea în UE a </w:t>
            </w:r>
            <w:r w:rsidRPr="00D17A39">
              <w:rPr>
                <w:noProof/>
                <w:sz w:val="20"/>
              </w:rPr>
              <w:t>254</w:t>
            </w:r>
            <w:r>
              <w:rPr>
                <w:noProof/>
                <w:sz w:val="20"/>
              </w:rPr>
              <w:t> </w:t>
            </w:r>
            <w:r w:rsidRPr="00D17A39">
              <w:rPr>
                <w:noProof/>
                <w:sz w:val="20"/>
              </w:rPr>
              <w:t>731</w:t>
            </w:r>
            <w:r>
              <w:rPr>
                <w:noProof/>
                <w:sz w:val="20"/>
              </w:rPr>
              <w:t xml:space="preserve"> de comprimate, a </w:t>
            </w:r>
            <w:r w:rsidRPr="00D17A39">
              <w:rPr>
                <w:noProof/>
                <w:sz w:val="20"/>
              </w:rPr>
              <w:t>131</w:t>
            </w:r>
            <w:r>
              <w:rPr>
                <w:noProof/>
                <w:sz w:val="20"/>
              </w:rPr>
              <w:t> </w:t>
            </w:r>
            <w:r w:rsidRPr="00D17A39">
              <w:rPr>
                <w:noProof/>
                <w:sz w:val="20"/>
              </w:rPr>
              <w:t>027</w:t>
            </w:r>
            <w:r>
              <w:rPr>
                <w:noProof/>
                <w:sz w:val="20"/>
              </w:rPr>
              <w:t xml:space="preserve"> de flacoane de diverse medicamente și a </w:t>
            </w:r>
            <w:r w:rsidRPr="00D17A39">
              <w:rPr>
                <w:noProof/>
                <w:sz w:val="20"/>
              </w:rPr>
              <w:t>278</w:t>
            </w:r>
            <w:r>
              <w:rPr>
                <w:noProof/>
                <w:sz w:val="20"/>
              </w:rPr>
              <w:t> kg de suplimente alimentare.</w:t>
            </w:r>
          </w:p>
        </w:tc>
      </w:tr>
      <w:tr w:rsidR="00363877" w:rsidRPr="009909A5" w14:paraId="0EC59132" w14:textId="77777777" w:rsidTr="00A27E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1B828423" w14:textId="77777777" w:rsidR="00363877" w:rsidRPr="00261B88" w:rsidRDefault="00363877" w:rsidP="00A27EF6">
            <w:pPr>
              <w:spacing w:after="0"/>
              <w:rPr>
                <w:rFonts w:cstheme="minorHAnsi"/>
                <w:noProof/>
                <w:sz w:val="20"/>
              </w:rPr>
            </w:pPr>
            <w:r w:rsidRPr="00261B88">
              <w:rPr>
                <w:noProof/>
                <w:sz w:val="20"/>
              </w:rPr>
              <w:t>DEMETER VII</w:t>
            </w:r>
          </w:p>
        </w:tc>
        <w:tc>
          <w:tcPr>
            <w:tcW w:w="7166" w:type="dxa"/>
          </w:tcPr>
          <w:p w14:paraId="7913FC5E" w14:textId="5D1BB2DB" w:rsidR="00363877" w:rsidRPr="00363877" w:rsidRDefault="00A863FB" w:rsidP="0032188D">
            <w:pPr>
              <w:spacing w:after="0"/>
              <w:cnfStyle w:val="000000100000" w:firstRow="0" w:lastRow="0" w:firstColumn="0" w:lastColumn="0" w:oddVBand="0" w:evenVBand="0" w:oddHBand="1" w:evenHBand="0" w:firstRowFirstColumn="0" w:firstRowLastColumn="0" w:lastRowFirstColumn="0" w:lastRowLastColumn="0"/>
              <w:rPr>
                <w:rFonts w:cstheme="minorHAnsi"/>
                <w:noProof/>
                <w:sz w:val="20"/>
              </w:rPr>
            </w:pPr>
            <w:r>
              <w:rPr>
                <w:noProof/>
                <w:sz w:val="20"/>
              </w:rPr>
              <w:t xml:space="preserve">Coordonată de OMV pentru a combate traficul de deșeuri, de substanțe care diminuează stratul de ozon (ODS) și de hidrofluorocarburi (HFC). La această operațiune au participat în total </w:t>
            </w:r>
            <w:r w:rsidRPr="00D17A39">
              <w:rPr>
                <w:noProof/>
                <w:sz w:val="20"/>
              </w:rPr>
              <w:t>102</w:t>
            </w:r>
            <w:r>
              <w:rPr>
                <w:noProof/>
                <w:sz w:val="20"/>
              </w:rPr>
              <w:t xml:space="preserve"> autorități de aplicare a legii. Rolul OLAF a fost de a asigura legătura între UE și țările din afara acesteia pentru a obține informații și date operative, ceea ce a condus la detectarea și confiscarea a peste </w:t>
            </w:r>
            <w:r w:rsidRPr="00D17A39">
              <w:rPr>
                <w:noProof/>
                <w:sz w:val="20"/>
              </w:rPr>
              <w:t>4</w:t>
            </w:r>
            <w:r>
              <w:rPr>
                <w:noProof/>
                <w:sz w:val="20"/>
              </w:rPr>
              <w:t> </w:t>
            </w:r>
            <w:r w:rsidRPr="00D17A39">
              <w:rPr>
                <w:noProof/>
                <w:sz w:val="20"/>
              </w:rPr>
              <w:t>000</w:t>
            </w:r>
            <w:r>
              <w:rPr>
                <w:noProof/>
                <w:sz w:val="20"/>
              </w:rPr>
              <w:t xml:space="preserve"> de tone de deșeuri (de exemplu, articole electronice uzate, deșeuri de baterii, vehicule uzate, mașini de tipărit) și a </w:t>
            </w:r>
            <w:r w:rsidRPr="00D17A39">
              <w:rPr>
                <w:noProof/>
                <w:sz w:val="20"/>
              </w:rPr>
              <w:t>493</w:t>
            </w:r>
            <w:r>
              <w:rPr>
                <w:noProof/>
                <w:sz w:val="20"/>
              </w:rPr>
              <w:t> de articole de substanțe care diminuează stratul de ozon și hidrofluorocarburi.</w:t>
            </w:r>
          </w:p>
        </w:tc>
      </w:tr>
      <w:tr w:rsidR="00363877" w:rsidRPr="009909A5" w14:paraId="7856CCB4" w14:textId="77777777" w:rsidTr="00A27EF6">
        <w:tc>
          <w:tcPr>
            <w:cnfStyle w:val="001000000000" w:firstRow="0" w:lastRow="0" w:firstColumn="1" w:lastColumn="0" w:oddVBand="0" w:evenVBand="0" w:oddHBand="0" w:evenHBand="0" w:firstRowFirstColumn="0" w:firstRowLastColumn="0" w:lastRowFirstColumn="0" w:lastRowLastColumn="0"/>
            <w:tcW w:w="1668" w:type="dxa"/>
          </w:tcPr>
          <w:p w14:paraId="4C5FE622" w14:textId="77777777" w:rsidR="00363877" w:rsidRPr="00261B88" w:rsidRDefault="00363877" w:rsidP="00A27EF6">
            <w:pPr>
              <w:spacing w:after="0"/>
              <w:rPr>
                <w:rFonts w:cstheme="minorHAnsi"/>
                <w:noProof/>
                <w:sz w:val="20"/>
              </w:rPr>
            </w:pPr>
            <w:r w:rsidRPr="00261B88">
              <w:rPr>
                <w:noProof/>
                <w:sz w:val="20"/>
              </w:rPr>
              <w:t>SILVER AXE V</w:t>
            </w:r>
          </w:p>
        </w:tc>
        <w:tc>
          <w:tcPr>
            <w:tcW w:w="7166" w:type="dxa"/>
          </w:tcPr>
          <w:p w14:paraId="160C7E52" w14:textId="71143C48" w:rsidR="00363877" w:rsidRPr="00363877" w:rsidRDefault="00A863FB" w:rsidP="00296A29">
            <w:pPr>
              <w:spacing w:after="0"/>
              <w:cnfStyle w:val="000000000000" w:firstRow="0" w:lastRow="0" w:firstColumn="0" w:lastColumn="0" w:oddVBand="0" w:evenVBand="0" w:oddHBand="0" w:evenHBand="0" w:firstRowFirstColumn="0" w:firstRowLastColumn="0" w:lastRowFirstColumn="0" w:lastRowLastColumn="0"/>
              <w:rPr>
                <w:rFonts w:cstheme="minorHAnsi"/>
                <w:noProof/>
                <w:sz w:val="20"/>
              </w:rPr>
            </w:pPr>
            <w:r>
              <w:rPr>
                <w:noProof/>
                <w:sz w:val="20"/>
              </w:rPr>
              <w:t xml:space="preserve">Operațiune anuală condusă de Europol. OLAF a participat prin asigurarea competențelor specifice în identificarea și urmărirea transporturilor suspecte. În cadrul operațiunii, care a implicat </w:t>
            </w:r>
            <w:r w:rsidRPr="00D17A39">
              <w:rPr>
                <w:noProof/>
                <w:sz w:val="20"/>
              </w:rPr>
              <w:t>35</w:t>
            </w:r>
            <w:r>
              <w:rPr>
                <w:noProof/>
                <w:sz w:val="20"/>
              </w:rPr>
              <w:t xml:space="preserve"> de țări diferite, au fost confiscate peste </w:t>
            </w:r>
            <w:r w:rsidRPr="00D17A39">
              <w:rPr>
                <w:noProof/>
                <w:sz w:val="20"/>
              </w:rPr>
              <w:t>1</w:t>
            </w:r>
            <w:r>
              <w:rPr>
                <w:noProof/>
                <w:sz w:val="20"/>
              </w:rPr>
              <w:t> </w:t>
            </w:r>
            <w:r w:rsidRPr="00D17A39">
              <w:rPr>
                <w:noProof/>
                <w:sz w:val="20"/>
              </w:rPr>
              <w:t>200</w:t>
            </w:r>
            <w:r>
              <w:rPr>
                <w:noProof/>
                <w:sz w:val="20"/>
              </w:rPr>
              <w:t xml:space="preserve"> de tone de pesticide ilegale. Aceasta a dus la confiscarea de produse ilegale și contrafăcute cu o valoare estimată la </w:t>
            </w:r>
            <w:r w:rsidRPr="00D17A39">
              <w:rPr>
                <w:noProof/>
                <w:sz w:val="20"/>
              </w:rPr>
              <w:t>80</w:t>
            </w:r>
            <w:r>
              <w:rPr>
                <w:noProof/>
                <w:sz w:val="20"/>
              </w:rPr>
              <w:t xml:space="preserve"> de milioane EUR. OLAF a făcut schimb de informații operaționale cu autoritățile vamale ale statelor membre și ale Chinei, Ucrainei, Rusiei și Columbiei. Acesta a urmărit transporturile suspecte de pesticide ilegale, ceea ce a condus, în total, la confiscarea a aproximativ </w:t>
            </w:r>
            <w:r w:rsidRPr="00D17A39">
              <w:rPr>
                <w:noProof/>
                <w:sz w:val="20"/>
              </w:rPr>
              <w:t>39</w:t>
            </w:r>
            <w:r>
              <w:rPr>
                <w:noProof/>
                <w:sz w:val="20"/>
              </w:rPr>
              <w:t> de tone de astfel de produse.</w:t>
            </w:r>
          </w:p>
        </w:tc>
      </w:tr>
    </w:tbl>
    <w:p w14:paraId="34F80915" w14:textId="7879D2B3" w:rsidR="00FB5CF5" w:rsidRPr="00261B88" w:rsidRDefault="00C27139" w:rsidP="00FB5CF5">
      <w:pPr>
        <w:pStyle w:val="Heading1"/>
        <w:rPr>
          <w:noProof/>
        </w:rPr>
      </w:pPr>
      <w:bookmarkStart w:id="57" w:name="_Toc116029531"/>
      <w:r w:rsidRPr="00261B88">
        <w:rPr>
          <w:noProof/>
        </w:rPr>
        <w:t>Măsuri-cheie pentru protejarea intereselor financiare ale UE și lupta împotriva fraudei</w:t>
      </w:r>
      <w:bookmarkEnd w:id="57"/>
    </w:p>
    <w:p w14:paraId="2A812F7D" w14:textId="77777777" w:rsidR="00071FAB" w:rsidRPr="00261B88" w:rsidRDefault="00071FAB" w:rsidP="00FB5CF5">
      <w:pPr>
        <w:pStyle w:val="Heading2"/>
        <w:rPr>
          <w:noProof/>
        </w:rPr>
      </w:pPr>
      <w:bookmarkStart w:id="58" w:name="_Toc116029532"/>
      <w:r w:rsidRPr="00261B88">
        <w:rPr>
          <w:noProof/>
        </w:rPr>
        <w:t>Transpunerea Directivei PIF</w:t>
      </w:r>
      <w:bookmarkEnd w:id="58"/>
    </w:p>
    <w:p w14:paraId="3907A57A" w14:textId="2EC47C41" w:rsidR="00071FAB" w:rsidRDefault="00071FAB" w:rsidP="00071FAB">
      <w:pPr>
        <w:rPr>
          <w:noProof/>
        </w:rPr>
      </w:pPr>
      <w:r>
        <w:rPr>
          <w:noProof/>
        </w:rPr>
        <w:t>Directiva (UE) </w:t>
      </w:r>
      <w:r w:rsidRPr="00D17A39">
        <w:rPr>
          <w:noProof/>
        </w:rPr>
        <w:t>2017</w:t>
      </w:r>
      <w:r>
        <w:rPr>
          <w:noProof/>
        </w:rPr>
        <w:t>/</w:t>
      </w:r>
      <w:r w:rsidRPr="00D17A39">
        <w:rPr>
          <w:noProof/>
        </w:rPr>
        <w:t>1371</w:t>
      </w:r>
      <w:r>
        <w:rPr>
          <w:noProof/>
        </w:rPr>
        <w:t xml:space="preserve"> privind combaterea fraudelor îndreptate împotriva intereselor financiare ale Uniunii prin mijloace de drept penal (Directiva PIF) a intrat în vigoare la </w:t>
      </w:r>
      <w:r w:rsidRPr="00D17A39">
        <w:rPr>
          <w:noProof/>
        </w:rPr>
        <w:t>5</w:t>
      </w:r>
      <w:r>
        <w:rPr>
          <w:noProof/>
        </w:rPr>
        <w:t> iulie </w:t>
      </w:r>
      <w:r w:rsidRPr="00D17A39">
        <w:rPr>
          <w:noProof/>
        </w:rPr>
        <w:t>2017</w:t>
      </w:r>
      <w:r>
        <w:rPr>
          <w:noProof/>
        </w:rPr>
        <w:t xml:space="preserve">. Termenul de transpunere a directivei în dreptul intern a expirat la </w:t>
      </w:r>
      <w:r w:rsidRPr="00D17A39">
        <w:rPr>
          <w:noProof/>
        </w:rPr>
        <w:t>6</w:t>
      </w:r>
      <w:r>
        <w:rPr>
          <w:noProof/>
        </w:rPr>
        <w:t> iulie </w:t>
      </w:r>
      <w:r w:rsidRPr="00D17A39">
        <w:rPr>
          <w:noProof/>
        </w:rPr>
        <w:t>2019</w:t>
      </w:r>
      <w:r>
        <w:rPr>
          <w:noProof/>
        </w:rPr>
        <w:t>.</w:t>
      </w:r>
    </w:p>
    <w:p w14:paraId="756415B4" w14:textId="3706C831" w:rsidR="00071FAB" w:rsidRDefault="00071FAB" w:rsidP="00071FAB">
      <w:pPr>
        <w:rPr>
          <w:noProof/>
        </w:rPr>
      </w:pPr>
      <w:r>
        <w:rPr>
          <w:noProof/>
        </w:rPr>
        <w:t xml:space="preserve">La </w:t>
      </w:r>
      <w:r w:rsidRPr="00D17A39">
        <w:rPr>
          <w:noProof/>
        </w:rPr>
        <w:t>6</w:t>
      </w:r>
      <w:r>
        <w:rPr>
          <w:noProof/>
        </w:rPr>
        <w:t> septembrie </w:t>
      </w:r>
      <w:r w:rsidRPr="00D17A39">
        <w:rPr>
          <w:noProof/>
        </w:rPr>
        <w:t>2021</w:t>
      </w:r>
      <w:r>
        <w:rPr>
          <w:noProof/>
        </w:rPr>
        <w:t xml:space="preserve">, Comisia a publicat primul dintre cele trei </w:t>
      </w:r>
      <w:r w:rsidRPr="00261B88">
        <w:rPr>
          <w:b/>
          <w:noProof/>
        </w:rPr>
        <w:t>rapoarte privind transpunerea directivei</w:t>
      </w:r>
      <w:r>
        <w:rPr>
          <w:noProof/>
        </w:rPr>
        <w:t>, astfel cum se prevede la articolul </w:t>
      </w:r>
      <w:r w:rsidRPr="00D17A39">
        <w:rPr>
          <w:noProof/>
        </w:rPr>
        <w:t>18</w:t>
      </w:r>
      <w:r>
        <w:rPr>
          <w:noProof/>
        </w:rPr>
        <w:t xml:space="preserve"> din aceasta. Raportul concluzionează că, deși toate statele membre au transpus directiva, </w:t>
      </w:r>
      <w:r w:rsidRPr="00261B88">
        <w:rPr>
          <w:b/>
          <w:noProof/>
        </w:rPr>
        <w:t>sunt necesare acțiuni suplimentare pentru a aborda problemele de conformitate nerezolvate</w:t>
      </w:r>
      <w:r>
        <w:rPr>
          <w:noProof/>
        </w:rPr>
        <w:t xml:space="preserve">. Acesta subliniază că este necesară o transpunere adecvată a definițiilor, a sancțiunilor, a normelor privind competența și a termenelor de prescripție prevăzute în Directiva PIF pentru fraudă și alte infracțiuni care aduc atingere intereselor financiare ale UE pentru a permite EPPO să efectueze investigații și urmăriri penale eficace. Raportul subliniază, de asemenea, caracterul esențial al cooperării dintre EPPO și statele membre. </w:t>
      </w:r>
    </w:p>
    <w:p w14:paraId="1BA1992C" w14:textId="4EC723A9" w:rsidR="00071FAB" w:rsidRDefault="00071FAB" w:rsidP="00071FAB">
      <w:pPr>
        <w:rPr>
          <w:noProof/>
        </w:rPr>
      </w:pPr>
      <w:r>
        <w:rPr>
          <w:noProof/>
        </w:rPr>
        <w:t>În decembrie </w:t>
      </w:r>
      <w:r w:rsidRPr="00D17A39">
        <w:rPr>
          <w:noProof/>
        </w:rPr>
        <w:t>2021</w:t>
      </w:r>
      <w:r>
        <w:rPr>
          <w:noProof/>
        </w:rPr>
        <w:t xml:space="preserve">, Comisia a decis să inițieze </w:t>
      </w:r>
      <w:r w:rsidRPr="00261B88">
        <w:rPr>
          <w:b/>
          <w:noProof/>
        </w:rPr>
        <w:t>acțiuni în constatarea neîndeplinirii obligațiilor</w:t>
      </w:r>
      <w:r>
        <w:rPr>
          <w:noProof/>
        </w:rPr>
        <w:t xml:space="preserve"> împotriva a opt state membre</w:t>
      </w:r>
      <w:r>
        <w:rPr>
          <w:rStyle w:val="FootnoteReference"/>
          <w:noProof/>
        </w:rPr>
        <w:footnoteReference w:id="60"/>
      </w:r>
      <w:r>
        <w:rPr>
          <w:noProof/>
        </w:rPr>
        <w:t xml:space="preserve"> pentru transpunerea incorectă a Directivei PIF. În februarie </w:t>
      </w:r>
      <w:r w:rsidRPr="00D17A39">
        <w:rPr>
          <w:noProof/>
        </w:rPr>
        <w:t>2022</w:t>
      </w:r>
      <w:r>
        <w:rPr>
          <w:noProof/>
        </w:rPr>
        <w:t>, Comisia a inițiat acțiuni în constatarea neîndeplinirii obligațiilor împotriva altor cinci state membre</w:t>
      </w:r>
      <w:r>
        <w:rPr>
          <w:rStyle w:val="FootnoteReference"/>
          <w:noProof/>
        </w:rPr>
        <w:footnoteReference w:id="61"/>
      </w:r>
      <w:r>
        <w:rPr>
          <w:noProof/>
        </w:rPr>
        <w:t>. În mai </w:t>
      </w:r>
      <w:r w:rsidRPr="00D17A39">
        <w:rPr>
          <w:noProof/>
        </w:rPr>
        <w:t>2022</w:t>
      </w:r>
      <w:r>
        <w:rPr>
          <w:noProof/>
        </w:rPr>
        <w:t>, Comisia a inițiat acțiuni în constatarea neîndeplinirii obligațiilor împotriva a încă patru state membre</w:t>
      </w:r>
      <w:r>
        <w:rPr>
          <w:rStyle w:val="FootnoteReference"/>
          <w:noProof/>
        </w:rPr>
        <w:footnoteReference w:id="62"/>
      </w:r>
      <w:r>
        <w:rPr>
          <w:noProof/>
        </w:rPr>
        <w:t>.</w:t>
      </w:r>
    </w:p>
    <w:p w14:paraId="217DED5A" w14:textId="0ECAD39F" w:rsidR="00071FAB" w:rsidRDefault="00071FAB" w:rsidP="00071FAB">
      <w:pPr>
        <w:rPr>
          <w:noProof/>
        </w:rPr>
      </w:pPr>
      <w:r>
        <w:rPr>
          <w:noProof/>
        </w:rPr>
        <w:t>Comisia va continua să ia toate măsurile necesare pentru a asigura transpunerea corectă și cuprinzătoare a Directivei PIF, inclusiv să inițieze și alte acțiuni în constatarea neîndeplinirii obligațiilor, dacă este necesar.</w:t>
      </w:r>
    </w:p>
    <w:p w14:paraId="77074A4B" w14:textId="2BD6070C" w:rsidR="00071FAB" w:rsidRPr="00071FAB" w:rsidRDefault="00071FAB" w:rsidP="00071FAB">
      <w:pPr>
        <w:rPr>
          <w:noProof/>
        </w:rPr>
      </w:pPr>
      <w:r>
        <w:rPr>
          <w:noProof/>
        </w:rPr>
        <w:t xml:space="preserve">Comisia pregătește un al doilea raport privind transpunerea Directivei PIF, care trebuie prezentat în al treilea trimestru al anului </w:t>
      </w:r>
      <w:r w:rsidRPr="00D17A39">
        <w:rPr>
          <w:noProof/>
        </w:rPr>
        <w:t>2022</w:t>
      </w:r>
      <w:r>
        <w:rPr>
          <w:noProof/>
        </w:rPr>
        <w:t xml:space="preserve">. Acest raport se va axa pe caracterul adecvat al pragului de TVA de </w:t>
      </w:r>
      <w:r w:rsidRPr="00D17A39">
        <w:rPr>
          <w:noProof/>
        </w:rPr>
        <w:t>10</w:t>
      </w:r>
      <w:r>
        <w:rPr>
          <w:noProof/>
        </w:rPr>
        <w:t> milioane EUR și pe eficacitatea dispozițiilor directivei care vizează frauda în domeniul achizițiilor publice și termenele de prescripție.</w:t>
      </w:r>
    </w:p>
    <w:p w14:paraId="6DBA0CB7" w14:textId="77777777" w:rsidR="00BB743B" w:rsidRPr="00261B88" w:rsidRDefault="00BB743B" w:rsidP="00FB5CF5">
      <w:pPr>
        <w:pStyle w:val="Heading2"/>
        <w:rPr>
          <w:noProof/>
        </w:rPr>
      </w:pPr>
      <w:bookmarkStart w:id="59" w:name="_Toc116029533"/>
      <w:r w:rsidRPr="00261B88">
        <w:rPr>
          <w:noProof/>
        </w:rPr>
        <w:t>Combaterea spălării banilor</w:t>
      </w:r>
      <w:bookmarkEnd w:id="59"/>
    </w:p>
    <w:p w14:paraId="1586B0DC" w14:textId="77777777" w:rsidR="00BB743B" w:rsidRDefault="00BB743B" w:rsidP="00BB743B">
      <w:pPr>
        <w:rPr>
          <w:noProof/>
        </w:rPr>
      </w:pPr>
      <w:r>
        <w:rPr>
          <w:noProof/>
        </w:rPr>
        <w:t xml:space="preserve">Frauda îndreptată împotriva bugetului UE poate fi, de asemenea, </w:t>
      </w:r>
      <w:r w:rsidRPr="00261B88">
        <w:rPr>
          <w:b/>
          <w:noProof/>
        </w:rPr>
        <w:t>precursoarea altor infracțiuni</w:t>
      </w:r>
      <w:r>
        <w:rPr>
          <w:noProof/>
        </w:rPr>
        <w:t xml:space="preserve"> (și anume, poate fi o infracțiune principală). Astfel, chiar dacă nu are o legătură directă cu protejarea bugetului UE, cadrul juridic al UE privind combaterea spălării banilor și a finanțării terorismului este relevant în acest context. </w:t>
      </w:r>
    </w:p>
    <w:p w14:paraId="6B3B9C72" w14:textId="02868D15" w:rsidR="00BB743B" w:rsidRPr="00BB743B" w:rsidRDefault="00C829C4" w:rsidP="00CA6A5F">
      <w:pPr>
        <w:rPr>
          <w:noProof/>
        </w:rPr>
      </w:pPr>
      <w:r>
        <w:rPr>
          <w:noProof/>
        </w:rPr>
        <w:t>Toate statele membre au raportat transpunerea deplină a celei de a cincea directive în domeniul combaterii spălării banilor</w:t>
      </w:r>
      <w:r>
        <w:rPr>
          <w:rStyle w:val="FootnoteReference"/>
          <w:noProof/>
        </w:rPr>
        <w:footnoteReference w:id="63"/>
      </w:r>
      <w:r>
        <w:rPr>
          <w:noProof/>
        </w:rPr>
        <w:t xml:space="preserve"> privind prevenirea utilizării sistemului financiar în scopul spălării banilor sau finanțării terorismului</w:t>
      </w:r>
      <w:r>
        <w:rPr>
          <w:rStyle w:val="FootnoteReference"/>
          <w:noProof/>
        </w:rPr>
        <w:footnoteReference w:id="64"/>
      </w:r>
      <w:r>
        <w:rPr>
          <w:noProof/>
        </w:rPr>
        <w:t xml:space="preserve">. </w:t>
      </w:r>
    </w:p>
    <w:p w14:paraId="68EDA7EA" w14:textId="77777777" w:rsidR="00FB5CF5" w:rsidRPr="00261B88" w:rsidRDefault="00FB5CF5" w:rsidP="00FB5CF5">
      <w:pPr>
        <w:pStyle w:val="Heading2"/>
        <w:rPr>
          <w:noProof/>
        </w:rPr>
      </w:pPr>
      <w:bookmarkStart w:id="60" w:name="_Toc116029534"/>
      <w:r w:rsidRPr="00261B88">
        <w:rPr>
          <w:noProof/>
        </w:rPr>
        <w:t>Mecanismul de redresare și reziliență</w:t>
      </w:r>
      <w:bookmarkEnd w:id="60"/>
    </w:p>
    <w:p w14:paraId="004FA86F" w14:textId="27CBB430" w:rsidR="00E37566" w:rsidRDefault="00E37566" w:rsidP="00E37566">
      <w:pPr>
        <w:rPr>
          <w:noProof/>
        </w:rPr>
      </w:pPr>
      <w:r>
        <w:rPr>
          <w:noProof/>
        </w:rPr>
        <w:t xml:space="preserve">Regulamentul privind </w:t>
      </w:r>
      <w:r w:rsidRPr="00261B88">
        <w:rPr>
          <w:b/>
          <w:noProof/>
        </w:rPr>
        <w:t>Mecanismul de redresare și reziliență</w:t>
      </w:r>
      <w:r>
        <w:rPr>
          <w:noProof/>
        </w:rPr>
        <w:t xml:space="preserve"> (MRR) a intrat în vigoare la </w:t>
      </w:r>
      <w:r w:rsidRPr="00D17A39">
        <w:rPr>
          <w:noProof/>
        </w:rPr>
        <w:t>19</w:t>
      </w:r>
      <w:r>
        <w:rPr>
          <w:noProof/>
        </w:rPr>
        <w:t> februarie </w:t>
      </w:r>
      <w:r w:rsidRPr="00D17A39">
        <w:rPr>
          <w:noProof/>
        </w:rPr>
        <w:t>2021</w:t>
      </w:r>
      <w:r>
        <w:rPr>
          <w:noProof/>
        </w:rPr>
        <w:t>. MRR finanțează reforme și investiții în statele membre de la începutul pandemiei în februarie </w:t>
      </w:r>
      <w:r w:rsidRPr="00D17A39">
        <w:rPr>
          <w:noProof/>
        </w:rPr>
        <w:t>2020</w:t>
      </w:r>
      <w:r>
        <w:rPr>
          <w:noProof/>
        </w:rPr>
        <w:t xml:space="preserve"> până la </w:t>
      </w:r>
      <w:r w:rsidRPr="00D17A39">
        <w:rPr>
          <w:noProof/>
        </w:rPr>
        <w:t>31</w:t>
      </w:r>
      <w:r>
        <w:rPr>
          <w:noProof/>
        </w:rPr>
        <w:t> decembrie </w:t>
      </w:r>
      <w:r w:rsidRPr="00D17A39">
        <w:rPr>
          <w:noProof/>
        </w:rPr>
        <w:t>2026</w:t>
      </w:r>
      <w:r>
        <w:rPr>
          <w:noProof/>
        </w:rPr>
        <w:t xml:space="preserve">. Pentru a beneficia de MRR, statele membre trebuie să transmită Comisiei Europene </w:t>
      </w:r>
      <w:r w:rsidRPr="00261B88">
        <w:rPr>
          <w:b/>
          <w:noProof/>
        </w:rPr>
        <w:t>planurile lor naționale de redresare și reziliență</w:t>
      </w:r>
      <w:r>
        <w:rPr>
          <w:noProof/>
        </w:rPr>
        <w:t xml:space="preserve">. Fiecare plan stabilește reformele și investițiile care urmează să fie puse în aplicare până la sfârșitul anului </w:t>
      </w:r>
      <w:r w:rsidRPr="00D17A39">
        <w:rPr>
          <w:noProof/>
        </w:rPr>
        <w:t>2026</w:t>
      </w:r>
      <w:r>
        <w:rPr>
          <w:noProof/>
        </w:rPr>
        <w:t>, permițând statelor membre să primească finanțare până la o alocare convenită anterior.</w:t>
      </w:r>
    </w:p>
    <w:p w14:paraId="0AFD576F" w14:textId="4CCC6948" w:rsidR="00E37566" w:rsidRDefault="00E37566" w:rsidP="00E37566">
      <w:pPr>
        <w:rPr>
          <w:noProof/>
        </w:rPr>
      </w:pPr>
      <w:r>
        <w:rPr>
          <w:noProof/>
        </w:rPr>
        <w:t>Fiecare plan ar trebui să abordeze provocările identificate în cadrul semestrului european</w:t>
      </w:r>
      <w:r>
        <w:rPr>
          <w:rStyle w:val="FootnoteReference"/>
          <w:noProof/>
        </w:rPr>
        <w:footnoteReference w:id="65"/>
      </w:r>
      <w:r>
        <w:rPr>
          <w:noProof/>
        </w:rPr>
        <w:t>, în special recomandările specifice fiecărei țări</w:t>
      </w:r>
      <w:r>
        <w:rPr>
          <w:rStyle w:val="FootnoteReference"/>
          <w:noProof/>
        </w:rPr>
        <w:footnoteReference w:id="66"/>
      </w:r>
      <w:r>
        <w:rPr>
          <w:noProof/>
        </w:rPr>
        <w:t xml:space="preserve"> din </w:t>
      </w:r>
      <w:r w:rsidRPr="00D17A39">
        <w:rPr>
          <w:noProof/>
        </w:rPr>
        <w:t>2019</w:t>
      </w:r>
      <w:r>
        <w:rPr>
          <w:noProof/>
        </w:rPr>
        <w:t xml:space="preserve"> și </w:t>
      </w:r>
      <w:r w:rsidRPr="00D17A39">
        <w:rPr>
          <w:noProof/>
        </w:rPr>
        <w:t>2020</w:t>
      </w:r>
      <w:r>
        <w:rPr>
          <w:noProof/>
        </w:rPr>
        <w:t xml:space="preserve"> adoptate de Consiliu. De asemenea, ar trebui să promoveze tranziția verde și cea digitală și să sporească reziliența economiilor și a societăților statelor membre. Investițiile trebuie să respecte principiul de „a nu prejudicia în mod semnificativ”</w:t>
      </w:r>
      <w:r>
        <w:rPr>
          <w:rStyle w:val="FootnoteReference"/>
          <w:noProof/>
        </w:rPr>
        <w:footnoteReference w:id="67"/>
      </w:r>
      <w:r>
        <w:rPr>
          <w:noProof/>
        </w:rPr>
        <w:t>.</w:t>
      </w:r>
    </w:p>
    <w:p w14:paraId="340FFE24" w14:textId="361D6B25" w:rsidR="00E37566" w:rsidRDefault="00E37566" w:rsidP="00E37566">
      <w:pPr>
        <w:rPr>
          <w:noProof/>
        </w:rPr>
      </w:pPr>
      <w:r>
        <w:rPr>
          <w:noProof/>
        </w:rPr>
        <w:t xml:space="preserve">MRR este un </w:t>
      </w:r>
      <w:r w:rsidRPr="00261B88">
        <w:rPr>
          <w:b/>
          <w:noProof/>
        </w:rPr>
        <w:t>instrument bazat pe performanță</w:t>
      </w:r>
      <w:r>
        <w:rPr>
          <w:noProof/>
        </w:rPr>
        <w:t xml:space="preserve">. Îndeplinirea jaloanelor și a țintelor convenite în vederea realizării reformelor și a investițiilor incluse în planuri permite efectuarea de plăți aferente granturilor și împrumuturilor către statul membru. </w:t>
      </w:r>
    </w:p>
    <w:p w14:paraId="64957180" w14:textId="21A43539" w:rsidR="00400194" w:rsidRDefault="00400194" w:rsidP="00E37566">
      <w:pPr>
        <w:rPr>
          <w:noProof/>
        </w:rPr>
      </w:pPr>
      <w:r>
        <w:rPr>
          <w:noProof/>
        </w:rPr>
        <w:t>Regulamentul MRR</w:t>
      </w:r>
      <w:r>
        <w:rPr>
          <w:rStyle w:val="FootnoteReference"/>
          <w:noProof/>
        </w:rPr>
        <w:footnoteReference w:id="68"/>
      </w:r>
      <w:r>
        <w:rPr>
          <w:noProof/>
        </w:rPr>
        <w:t xml:space="preserve"> prevede că statele membre trebuie să ia toate măsurile adecvate pentru a proteja interesele financiare ale Uniunii și pentru a se asigura că </w:t>
      </w:r>
      <w:r w:rsidRPr="00261B88">
        <w:rPr>
          <w:b/>
          <w:noProof/>
        </w:rPr>
        <w:t>utilizarea fondurilor respectă normele aplicabile din dreptul Uniunii și din dreptul intern</w:t>
      </w:r>
      <w:r>
        <w:rPr>
          <w:noProof/>
        </w:rPr>
        <w:t xml:space="preserve">. În acest scop, statele membre trebuie să prevadă un sistem de control intern eficace și eficient și recuperarea cuantumurilor plătite în mod necuvenit sau utilizate în mod incorect. Acest </w:t>
      </w:r>
      <w:r w:rsidRPr="00261B88">
        <w:rPr>
          <w:b/>
          <w:noProof/>
        </w:rPr>
        <w:t>nou model de performanță</w:t>
      </w:r>
      <w:r>
        <w:rPr>
          <w:noProof/>
        </w:rPr>
        <w:t xml:space="preserve"> conferă statelor membre o responsabilitate majoră în ceea ce privește asigurarea faptului că aceste resurse sunt protejate împotriva fraudei, a corupției, a conflictelor de interese (definite ca „nereguli grave”) și a dublei finanțări.</w:t>
      </w:r>
    </w:p>
    <w:p w14:paraId="54302290" w14:textId="6400F88C" w:rsidR="00E37566" w:rsidRPr="00261B88" w:rsidRDefault="005E5525" w:rsidP="00505DEA">
      <w:pPr>
        <w:pStyle w:val="Caption"/>
        <w:keepNext/>
        <w:rPr>
          <w:noProof/>
        </w:rPr>
      </w:pPr>
      <w:r w:rsidRPr="00261B88">
        <w:rPr>
          <w:noProof/>
        </w:rPr>
        <w:t>Figura </w:t>
      </w:r>
      <w:r w:rsidR="00FD11F8">
        <w:rPr>
          <w:noProof/>
        </w:rPr>
        <w:fldChar w:fldCharType="begin"/>
      </w:r>
      <w:r w:rsidR="00FD11F8">
        <w:rPr>
          <w:noProof/>
        </w:rPr>
        <w:instrText xml:space="preserve"> SEQ Figure \* ARABIC </w:instrText>
      </w:r>
      <w:r w:rsidR="00FD11F8">
        <w:rPr>
          <w:noProof/>
        </w:rPr>
        <w:fldChar w:fldCharType="separate"/>
      </w:r>
      <w:r w:rsidRPr="00261B88">
        <w:rPr>
          <w:noProof/>
        </w:rPr>
        <w:t>4</w:t>
      </w:r>
      <w:r w:rsidR="00FD11F8">
        <w:rPr>
          <w:noProof/>
        </w:rPr>
        <w:fldChar w:fldCharType="end"/>
      </w:r>
      <w:r w:rsidRPr="00261B88">
        <w:rPr>
          <w:noProof/>
        </w:rPr>
        <w:t> – Procesul de evaluare a planurilor naționale</w:t>
      </w:r>
    </w:p>
    <w:p w14:paraId="55AAD56A" w14:textId="4B93AB98" w:rsidR="005E5525" w:rsidRDefault="00807C3A" w:rsidP="005E5525">
      <w:pPr>
        <w:rPr>
          <w:noProof/>
        </w:rPr>
      </w:pPr>
      <w:r>
        <w:rPr>
          <w:noProof/>
          <w:lang w:val="en-GB"/>
        </w:rPr>
        <w:drawing>
          <wp:inline distT="0" distB="0" distL="0" distR="0" wp14:anchorId="362E90AD" wp14:editId="45F6C200">
            <wp:extent cx="5472430" cy="3067050"/>
            <wp:effectExtent l="38100" t="0" r="3302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15CA1AF4" w14:textId="7EAE736B" w:rsidR="005E5525" w:rsidRDefault="00CA6A5F" w:rsidP="005E5525">
      <w:pPr>
        <w:rPr>
          <w:noProof/>
        </w:rPr>
      </w:pPr>
      <w:r>
        <w:rPr>
          <w:noProof/>
        </w:rPr>
        <w:t xml:space="preserve">Prin urmare, fiecare plan conține o </w:t>
      </w:r>
      <w:r w:rsidRPr="00261B88">
        <w:rPr>
          <w:b/>
          <w:noProof/>
        </w:rPr>
        <w:t>secțiune</w:t>
      </w:r>
      <w:r>
        <w:rPr>
          <w:noProof/>
        </w:rPr>
        <w:t xml:space="preserve"> </w:t>
      </w:r>
      <w:r w:rsidRPr="00261B88">
        <w:rPr>
          <w:b/>
          <w:noProof/>
        </w:rPr>
        <w:t>de control și audit</w:t>
      </w:r>
      <w:r>
        <w:rPr>
          <w:noProof/>
        </w:rPr>
        <w:t xml:space="preserve"> în care statele membre descriu măsurile (inclusiv măsurile antifraudă) pe care le vor pune în aplicare și precizează </w:t>
      </w:r>
      <w:r w:rsidRPr="00261B88">
        <w:rPr>
          <w:b/>
          <w:noProof/>
        </w:rPr>
        <w:t>jaloanele și țintele specifice</w:t>
      </w:r>
      <w:r>
        <w:rPr>
          <w:noProof/>
        </w:rPr>
        <w:t xml:space="preserve"> pentru a proteja interesele financiare ale UE împotriva neregulilor grave și a dublei finanțări. Comisia poate evalua pozitiv un plan numai dacă apreciază pozitiv sistemele sale de control. În calitate de serviciu al Comisiei, OLAF a contribuit la evaluarea de către Comisie a planurilor de redresare și reziliență ale statelor membre, oferind </w:t>
      </w:r>
      <w:r w:rsidRPr="00261B88">
        <w:rPr>
          <w:b/>
          <w:noProof/>
        </w:rPr>
        <w:t>consiliere antifraudă specifică</w:t>
      </w:r>
      <w:r>
        <w:rPr>
          <w:noProof/>
        </w:rPr>
        <w:t xml:space="preserve">. Sunt în desfășurare activități de cooperare cu autoritățile naționale pentru a face schimb de opinii și pentru a facilita diseminarea bunelor practici și a experiențelor (cum ar fi utilizarea instrumentelor informatice – a se vedea, de asemenea, </w:t>
      </w:r>
      <w:r w:rsidRPr="00261B88">
        <w:rPr>
          <w:b/>
          <w:noProof/>
        </w:rPr>
        <w:t>secțiunea</w:t>
      </w:r>
      <w:r>
        <w:rPr>
          <w:noProof/>
        </w:rPr>
        <w:t> </w:t>
      </w:r>
      <w:r w:rsidRPr="00261B88">
        <w:rPr>
          <w:b/>
          <w:noProof/>
        </w:rPr>
        <w:t>4.2.1</w:t>
      </w:r>
      <w:r>
        <w:rPr>
          <w:noProof/>
        </w:rPr>
        <w:t>).</w:t>
      </w:r>
    </w:p>
    <w:p w14:paraId="0578B525" w14:textId="4E007F43" w:rsidR="00924DFB" w:rsidRPr="00261B88" w:rsidRDefault="004E724E" w:rsidP="008A6DCE">
      <w:pPr>
        <w:pStyle w:val="Caption"/>
        <w:keepNext/>
        <w:pBdr>
          <w:top w:val="single" w:sz="4" w:space="1" w:color="auto"/>
          <w:left w:val="single" w:sz="4" w:space="4" w:color="auto"/>
          <w:bottom w:val="single" w:sz="4" w:space="1" w:color="auto"/>
          <w:right w:val="single" w:sz="4" w:space="4" w:color="auto"/>
        </w:pBdr>
        <w:shd w:val="clear" w:color="auto" w:fill="D9E2F3" w:themeFill="accent5" w:themeFillTint="33"/>
        <w:rPr>
          <w:noProof/>
        </w:rPr>
      </w:pPr>
      <w:bookmarkStart w:id="61" w:name="_Toc105777775"/>
      <w:bookmarkStart w:id="62" w:name="_Toc110444019"/>
      <w:r w:rsidRPr="00261B88">
        <w:rPr>
          <w:noProof/>
        </w:rPr>
        <w:t>Instantaneul </w:t>
      </w:r>
      <w:r w:rsidR="00FD11F8">
        <w:rPr>
          <w:noProof/>
        </w:rPr>
        <w:fldChar w:fldCharType="begin"/>
      </w:r>
      <w:r w:rsidR="00FD11F8">
        <w:rPr>
          <w:noProof/>
        </w:rPr>
        <w:instrText xml:space="preserve"> SEQ Snapshot \* ARABIC </w:instrText>
      </w:r>
      <w:r w:rsidR="00FD11F8">
        <w:rPr>
          <w:noProof/>
        </w:rPr>
        <w:fldChar w:fldCharType="separate"/>
      </w:r>
      <w:r w:rsidRPr="00261B88">
        <w:rPr>
          <w:noProof/>
        </w:rPr>
        <w:t>11</w:t>
      </w:r>
      <w:r w:rsidR="00FD11F8">
        <w:rPr>
          <w:noProof/>
        </w:rPr>
        <w:fldChar w:fldCharType="end"/>
      </w:r>
      <w:r w:rsidRPr="00261B88">
        <w:rPr>
          <w:noProof/>
        </w:rPr>
        <w:t> – Operațiunea SENTINEL</w:t>
      </w:r>
      <w:bookmarkEnd w:id="61"/>
      <w:bookmarkEnd w:id="62"/>
    </w:p>
    <w:p w14:paraId="02CA1041" w14:textId="3CB09456" w:rsidR="004E724E" w:rsidRPr="004E724E" w:rsidRDefault="004E724E" w:rsidP="00E12048">
      <w:pPr>
        <w:pBdr>
          <w:top w:val="single" w:sz="4" w:space="1" w:color="auto"/>
          <w:left w:val="single" w:sz="4" w:space="4" w:color="auto"/>
          <w:bottom w:val="single" w:sz="4" w:space="1" w:color="auto"/>
          <w:right w:val="single" w:sz="4" w:space="4" w:color="auto"/>
        </w:pBdr>
        <w:shd w:val="clear" w:color="auto" w:fill="D9E2F3" w:themeFill="accent5" w:themeFillTint="33"/>
        <w:rPr>
          <w:noProof/>
        </w:rPr>
      </w:pPr>
      <w:r>
        <w:rPr>
          <w:noProof/>
        </w:rPr>
        <w:t>În septembrie </w:t>
      </w:r>
      <w:r w:rsidRPr="00D17A39">
        <w:rPr>
          <w:noProof/>
        </w:rPr>
        <w:t>2021</w:t>
      </w:r>
      <w:r>
        <w:rPr>
          <w:noProof/>
        </w:rPr>
        <w:t xml:space="preserve">, Europol, OLAF, EPPO, Eurojust și </w:t>
      </w:r>
      <w:r w:rsidRPr="00D17A39">
        <w:rPr>
          <w:noProof/>
        </w:rPr>
        <w:t>21</w:t>
      </w:r>
      <w:r>
        <w:rPr>
          <w:noProof/>
        </w:rPr>
        <w:t xml:space="preserve"> de state membre și-au unit forțele în cadrul </w:t>
      </w:r>
      <w:r w:rsidRPr="00261B88">
        <w:rPr>
          <w:b/>
          <w:noProof/>
        </w:rPr>
        <w:t>operațiunii SENTINEL</w:t>
      </w:r>
      <w:r>
        <w:rPr>
          <w:noProof/>
        </w:rPr>
        <w:t xml:space="preserve"> pentru a anticipa valul preconizat de fraudă care afectează fondurile de redresare. În acest scop, Europol a instituit un mecanism intern specific pentru prelucrarea datelor operaționale, susținerea schimburilor de informații și sprijinirea cazurilor în curs. Activitățile comune au vizat frauda, precum și evaziunea fiscală, frauda cu produse accizabile, corupția, delapidarea, deturnarea de fonduri și spălarea de bani. În februarie </w:t>
      </w:r>
      <w:r w:rsidRPr="00D17A39">
        <w:rPr>
          <w:noProof/>
        </w:rPr>
        <w:t>2022</w:t>
      </w:r>
      <w:r>
        <w:rPr>
          <w:noProof/>
        </w:rPr>
        <w:t>, Europol și OLAF au publicat un raport comun intitulat „Assessing the Threats to the Next Generation EU (NGEU) Fund” [Evaluarea amenințărilor la adresa fondului Next Generation EU (NGEU)].</w:t>
      </w:r>
    </w:p>
    <w:p w14:paraId="1CDE4FDA" w14:textId="449A3FA5" w:rsidR="00E12048" w:rsidRDefault="00E12048" w:rsidP="005E5525">
      <w:pPr>
        <w:rPr>
          <w:noProof/>
        </w:rPr>
      </w:pPr>
      <w:r>
        <w:rPr>
          <w:noProof/>
        </w:rPr>
        <w:t>Dintre obligațiile statelor membre în ceea ce privește măsurile de protejare a intereselor financiare ale UE, o importanță deosebită o are colectarea de date privind beneficiarii, contractanții, subcontractanții și beneficiarii reali. Comisia a pus la dispoziția statelor membre sistemul Arachne pentru a fi utilizat în legătură cu MRR.</w:t>
      </w:r>
    </w:p>
    <w:p w14:paraId="17AA278E" w14:textId="6C888491" w:rsidR="001A2746" w:rsidRDefault="005E5525" w:rsidP="001A2746">
      <w:pPr>
        <w:rPr>
          <w:noProof/>
        </w:rPr>
      </w:pPr>
      <w:r>
        <w:rPr>
          <w:noProof/>
        </w:rPr>
        <w:t>Până la sfârșitul anului </w:t>
      </w:r>
      <w:r w:rsidRPr="00D17A39">
        <w:rPr>
          <w:noProof/>
        </w:rPr>
        <w:t>2021</w:t>
      </w:r>
      <w:r>
        <w:rPr>
          <w:noProof/>
        </w:rPr>
        <w:t xml:space="preserve">, fuseseră adoptate </w:t>
      </w:r>
      <w:r w:rsidRPr="00D17A39">
        <w:rPr>
          <w:noProof/>
        </w:rPr>
        <w:t>22</w:t>
      </w:r>
      <w:r>
        <w:rPr>
          <w:noProof/>
        </w:rPr>
        <w:t xml:space="preserve"> de planuri naționale. Numărul acestora era de </w:t>
      </w:r>
      <w:r w:rsidRPr="00D17A39">
        <w:rPr>
          <w:noProof/>
        </w:rPr>
        <w:t>25</w:t>
      </w:r>
      <w:r>
        <w:rPr>
          <w:noProof/>
        </w:rPr>
        <w:t xml:space="preserve"> până la </w:t>
      </w:r>
      <w:r w:rsidRPr="00D17A39">
        <w:rPr>
          <w:noProof/>
        </w:rPr>
        <w:t>31</w:t>
      </w:r>
      <w:r>
        <w:rPr>
          <w:noProof/>
        </w:rPr>
        <w:t> iulie </w:t>
      </w:r>
      <w:r w:rsidRPr="00D17A39">
        <w:rPr>
          <w:noProof/>
        </w:rPr>
        <w:t>2022</w:t>
      </w:r>
      <w:r>
        <w:rPr>
          <w:rStyle w:val="FootnoteReference"/>
          <w:noProof/>
        </w:rPr>
        <w:footnoteReference w:id="69"/>
      </w:r>
      <w:r>
        <w:rPr>
          <w:noProof/>
        </w:rPr>
        <w:t xml:space="preserve">. </w:t>
      </w:r>
    </w:p>
    <w:p w14:paraId="75BC3665" w14:textId="77777777" w:rsidR="00FB5CF5" w:rsidRPr="00261B88" w:rsidRDefault="00FB5CF5" w:rsidP="00FB5CF5">
      <w:pPr>
        <w:pStyle w:val="Heading2"/>
        <w:rPr>
          <w:noProof/>
        </w:rPr>
      </w:pPr>
      <w:bookmarkStart w:id="63" w:name="_Toc116029535"/>
      <w:r w:rsidRPr="00261B88">
        <w:rPr>
          <w:noProof/>
        </w:rPr>
        <w:t>Protecția avertizorilor de integritate</w:t>
      </w:r>
      <w:bookmarkEnd w:id="63"/>
    </w:p>
    <w:p w14:paraId="507FA94A" w14:textId="4C529088" w:rsidR="00D933F0" w:rsidRDefault="00D933F0" w:rsidP="00D933F0">
      <w:pPr>
        <w:rPr>
          <w:noProof/>
        </w:rPr>
      </w:pPr>
      <w:r>
        <w:rPr>
          <w:noProof/>
        </w:rPr>
        <w:t>Activitățile ilegale și abuzul de drept pot apărea în orice organizație, publică sau privată, de mici sau mari dimensiuni. Acestea pot îmbrăca diverse forme, cum ar fi corupția, frauda, practicile incorecte sau neglijența întreprinderilor. În cazul în care nu sunt abordate, astfel de activități pot aduce prejudicii grave interesului public. Persoanele care lucrează pentru o organizație sau care intră în contact cu aceasta în cadrul activităților lor profesionale sunt deseori primele care află despre existența unor astfel de activități și dețin, prin urmare, o poziție privilegiată care le permite să îi informeze pe cei care pot aborda problema respectivă.</w:t>
      </w:r>
    </w:p>
    <w:p w14:paraId="4C8E6B9A" w14:textId="4DDA737A" w:rsidR="00586B86" w:rsidRDefault="00586B86" w:rsidP="00586B86">
      <w:pPr>
        <w:rPr>
          <w:noProof/>
        </w:rPr>
      </w:pPr>
      <w:r w:rsidRPr="00261B88">
        <w:rPr>
          <w:b/>
          <w:noProof/>
        </w:rPr>
        <w:t>Avertizorii de integritate</w:t>
      </w:r>
      <w:r>
        <w:rPr>
          <w:noProof/>
        </w:rPr>
        <w:t xml:space="preserve">, și anume persoanele care raportează (în cadrul organizației în cauză sau al unei autorități externe) sau divulgă (publicului) informații cu privire la fapte ilegale, obținute într-un context profesional, contribuie </w:t>
      </w:r>
      <w:r w:rsidRPr="00261B88">
        <w:rPr>
          <w:b/>
          <w:noProof/>
        </w:rPr>
        <w:t>la prevenirea prejudiciilor și la detectarea acestora sau a amenințărilor</w:t>
      </w:r>
      <w:r>
        <w:rPr>
          <w:noProof/>
        </w:rPr>
        <w:t xml:space="preserve"> la adresa interesului public care, în caz contrar, ar putea trece neobservate.</w:t>
      </w:r>
    </w:p>
    <w:p w14:paraId="0EC2C61E" w14:textId="77777777" w:rsidR="00D933F0" w:rsidRDefault="00586B86" w:rsidP="00586B86">
      <w:pPr>
        <w:rPr>
          <w:noProof/>
        </w:rPr>
      </w:pPr>
      <w:r>
        <w:rPr>
          <w:noProof/>
        </w:rPr>
        <w:t>Cu toate acestea, protecția acordată la nivel european și național avertizorilor de integritate este inegală și fragmentată. Prin urmare, avertizorii de integritate sunt adesea descurajați să își raporteze preocupările de teama represaliilor.</w:t>
      </w:r>
    </w:p>
    <w:p w14:paraId="61373833" w14:textId="508CE350" w:rsidR="00153135" w:rsidRDefault="00586B86" w:rsidP="00586B86">
      <w:pPr>
        <w:rPr>
          <w:noProof/>
        </w:rPr>
      </w:pPr>
      <w:r>
        <w:rPr>
          <w:noProof/>
        </w:rPr>
        <w:t xml:space="preserve">Directiva privind protecția persoanelor care raportează încălcări ale dreptului Uniunii, adoptată la </w:t>
      </w:r>
      <w:r w:rsidRPr="00D17A39">
        <w:rPr>
          <w:noProof/>
        </w:rPr>
        <w:t>23</w:t>
      </w:r>
      <w:r>
        <w:rPr>
          <w:noProof/>
        </w:rPr>
        <w:t> octombrie </w:t>
      </w:r>
      <w:r w:rsidRPr="00D17A39">
        <w:rPr>
          <w:noProof/>
        </w:rPr>
        <w:t>2019</w:t>
      </w:r>
      <w:r>
        <w:rPr>
          <w:noProof/>
        </w:rPr>
        <w:t xml:space="preserve">, a permis statelor membre să realizeze transpunerea sa în dreptul intern până la </w:t>
      </w:r>
      <w:r w:rsidRPr="00D17A39">
        <w:rPr>
          <w:noProof/>
        </w:rPr>
        <w:t>17</w:t>
      </w:r>
      <w:r>
        <w:rPr>
          <w:noProof/>
        </w:rPr>
        <w:t> decembrie </w:t>
      </w:r>
      <w:r w:rsidRPr="00D17A39">
        <w:rPr>
          <w:noProof/>
        </w:rPr>
        <w:t>2021</w:t>
      </w:r>
      <w:r>
        <w:rPr>
          <w:noProof/>
        </w:rPr>
        <w:t xml:space="preserve">. Aceasta acoperă numeroase domenii-cheie ale dreptului Uniunii, cum ar fi combaterea spălării banilor, protecția datelor, protejarea intereselor financiare ale UE, siguranța alimentelor și a produselor, sănătatea publică, protecția mediului și siguranța nucleară. </w:t>
      </w:r>
    </w:p>
    <w:p w14:paraId="1E73EB6C" w14:textId="45BD9F98" w:rsidR="00586B86" w:rsidRDefault="00586B86" w:rsidP="00586B86">
      <w:pPr>
        <w:rPr>
          <w:noProof/>
        </w:rPr>
      </w:pPr>
      <w:r>
        <w:rPr>
          <w:noProof/>
        </w:rPr>
        <w:t xml:space="preserve">Până la sfârșitul anului </w:t>
      </w:r>
      <w:r w:rsidRPr="00D17A39">
        <w:rPr>
          <w:noProof/>
        </w:rPr>
        <w:t>2021</w:t>
      </w:r>
      <w:r>
        <w:rPr>
          <w:noProof/>
        </w:rPr>
        <w:t>, doar cinci state membre</w:t>
      </w:r>
      <w:r>
        <w:rPr>
          <w:rStyle w:val="FootnoteReference"/>
          <w:noProof/>
        </w:rPr>
        <w:footnoteReference w:id="70"/>
      </w:r>
      <w:r>
        <w:rPr>
          <w:noProof/>
        </w:rPr>
        <w:t xml:space="preserve"> adoptaseră o legislație specifică. Până în iunie </w:t>
      </w:r>
      <w:r w:rsidRPr="00D17A39">
        <w:rPr>
          <w:noProof/>
        </w:rPr>
        <w:t>2022</w:t>
      </w:r>
      <w:r>
        <w:rPr>
          <w:noProof/>
        </w:rPr>
        <w:t>, alte patru state membre</w:t>
      </w:r>
      <w:r>
        <w:rPr>
          <w:rStyle w:val="FootnoteReference"/>
          <w:noProof/>
        </w:rPr>
        <w:footnoteReference w:id="71"/>
      </w:r>
      <w:r>
        <w:rPr>
          <w:noProof/>
        </w:rPr>
        <w:t xml:space="preserve"> făcuseră acest lucru. Un singur stat membru</w:t>
      </w:r>
      <w:r>
        <w:rPr>
          <w:rStyle w:val="FootnoteReference"/>
          <w:noProof/>
        </w:rPr>
        <w:footnoteReference w:id="72"/>
      </w:r>
      <w:r>
        <w:rPr>
          <w:noProof/>
        </w:rPr>
        <w:t xml:space="preserve"> nu a inițiat încă nicio procedură. Trei state membre</w:t>
      </w:r>
      <w:r>
        <w:rPr>
          <w:rStyle w:val="FootnoteReference"/>
          <w:noProof/>
        </w:rPr>
        <w:footnoteReference w:id="73"/>
      </w:r>
      <w:r>
        <w:rPr>
          <w:noProof/>
        </w:rPr>
        <w:t xml:space="preserve"> au extins chiar domeniul de aplicare al directivei. </w:t>
      </w:r>
    </w:p>
    <w:p w14:paraId="601B617A" w14:textId="21CC8964" w:rsidR="00B36D06" w:rsidRPr="00D933F0" w:rsidRDefault="00542122" w:rsidP="00586B86">
      <w:pPr>
        <w:rPr>
          <w:noProof/>
        </w:rPr>
      </w:pPr>
      <w:r>
        <w:rPr>
          <w:noProof/>
        </w:rPr>
        <w:t xml:space="preserve">Până la </w:t>
      </w:r>
      <w:r w:rsidRPr="00D17A39">
        <w:rPr>
          <w:noProof/>
        </w:rPr>
        <w:t>17</w:t>
      </w:r>
      <w:r>
        <w:rPr>
          <w:noProof/>
        </w:rPr>
        <w:t xml:space="preserve"> decembrie </w:t>
      </w:r>
      <w:r w:rsidRPr="00D17A39">
        <w:rPr>
          <w:noProof/>
        </w:rPr>
        <w:t>2023</w:t>
      </w:r>
      <w:r>
        <w:rPr>
          <w:noProof/>
        </w:rPr>
        <w:t xml:space="preserve">, Comisia trebuie să prezinte Parlamentului European și Consiliului un raport privind punerea în aplicare a directivei. </w:t>
      </w:r>
    </w:p>
    <w:p w14:paraId="15777DF5" w14:textId="3EBF8942" w:rsidR="00FB5CF5" w:rsidRPr="00261B88" w:rsidRDefault="00586B86" w:rsidP="00FB5CF5">
      <w:pPr>
        <w:pStyle w:val="Heading2"/>
        <w:rPr>
          <w:noProof/>
        </w:rPr>
      </w:pPr>
      <w:bookmarkStart w:id="64" w:name="_Toc116029536"/>
      <w:r w:rsidRPr="00261B88">
        <w:rPr>
          <w:noProof/>
        </w:rPr>
        <w:t>Setul de instrumente privind statul de drept</w:t>
      </w:r>
      <w:bookmarkEnd w:id="64"/>
    </w:p>
    <w:p w14:paraId="52DDA710" w14:textId="77777777" w:rsidR="00542122" w:rsidRDefault="00542122" w:rsidP="001623A1">
      <w:pPr>
        <w:rPr>
          <w:noProof/>
        </w:rPr>
      </w:pPr>
      <w:r>
        <w:rPr>
          <w:noProof/>
        </w:rPr>
        <w:t xml:space="preserve">În cadrul așa-numitului </w:t>
      </w:r>
      <w:r w:rsidRPr="00261B88">
        <w:rPr>
          <w:b/>
          <w:noProof/>
        </w:rPr>
        <w:t>set de instrumente privind statul de drept</w:t>
      </w:r>
      <w:r>
        <w:rPr>
          <w:noProof/>
        </w:rPr>
        <w:t xml:space="preserve">, Comisia a elaborat o serie de instrumente pentru a răspunde diferitelor provocări cu care se confruntă statul de drept. </w:t>
      </w:r>
    </w:p>
    <w:p w14:paraId="2427E46A" w14:textId="63F6AC25" w:rsidR="001623A1" w:rsidRDefault="00542122" w:rsidP="001623A1">
      <w:pPr>
        <w:rPr>
          <w:noProof/>
        </w:rPr>
      </w:pPr>
      <w:r>
        <w:rPr>
          <w:noProof/>
        </w:rPr>
        <w:t xml:space="preserve">Printre acestea se numără </w:t>
      </w:r>
      <w:r w:rsidRPr="00261B88">
        <w:rPr>
          <w:b/>
          <w:noProof/>
        </w:rPr>
        <w:t>mecanismul privind statul de drept</w:t>
      </w:r>
      <w:r>
        <w:rPr>
          <w:noProof/>
        </w:rPr>
        <w:t xml:space="preserve">, în centrul căruia se află </w:t>
      </w:r>
      <w:r w:rsidRPr="00261B88">
        <w:rPr>
          <w:b/>
          <w:noProof/>
        </w:rPr>
        <w:t>Raportul anual privind statul de drept</w:t>
      </w:r>
      <w:r>
        <w:rPr>
          <w:noProof/>
        </w:rPr>
        <w:t xml:space="preserve">. Scopul său este de a dezvolta </w:t>
      </w:r>
      <w:r w:rsidRPr="00261B88">
        <w:rPr>
          <w:b/>
          <w:noProof/>
        </w:rPr>
        <w:t>o mai bună conștientizare și înțelegere a evoluțiilor</w:t>
      </w:r>
      <w:r>
        <w:rPr>
          <w:noProof/>
        </w:rPr>
        <w:t xml:space="preserve"> din statele membre, de a putea identifica provocările la adresa statului de drept, de a dezvolta posibile soluții și de a direcționa sprijinul din timp. Mecanismul prevede, de asemenea, un proces pentru </w:t>
      </w:r>
      <w:r w:rsidRPr="00261B88">
        <w:rPr>
          <w:b/>
          <w:noProof/>
        </w:rPr>
        <w:t>un dialog anual</w:t>
      </w:r>
      <w:r>
        <w:rPr>
          <w:noProof/>
        </w:rPr>
        <w:t xml:space="preserve"> între Comisie, Consiliu și Parlamentul European, împreună cu statele membre, precum și parlamentele naționale, societatea civilă și alte părți interesate cu privire la statul de drept. </w:t>
      </w:r>
    </w:p>
    <w:p w14:paraId="2A29E2BD" w14:textId="1E9D2901" w:rsidR="00FB5CF5" w:rsidRPr="00261B88" w:rsidRDefault="00FB5CF5" w:rsidP="00CD7B44">
      <w:pPr>
        <w:pStyle w:val="Heading3"/>
        <w:rPr>
          <w:noProof/>
        </w:rPr>
      </w:pPr>
      <w:bookmarkStart w:id="65" w:name="_Toc116029537"/>
      <w:r w:rsidRPr="00261B88">
        <w:rPr>
          <w:noProof/>
        </w:rPr>
        <w:t>Raportul privind statul de drept – principalele constatări și aspecte importante în legătură cu protejarea intereselor financiare ale UE</w:t>
      </w:r>
      <w:bookmarkEnd w:id="65"/>
    </w:p>
    <w:p w14:paraId="23EC42D4" w14:textId="74A4C49D" w:rsidR="000114A4" w:rsidRDefault="000114A4" w:rsidP="000114A4">
      <w:pPr>
        <w:rPr>
          <w:noProof/>
        </w:rPr>
      </w:pPr>
      <w:r>
        <w:rPr>
          <w:noProof/>
        </w:rPr>
        <w:t xml:space="preserve">Raportul din </w:t>
      </w:r>
      <w:r w:rsidRPr="00D17A39">
        <w:rPr>
          <w:noProof/>
        </w:rPr>
        <w:t>2021</w:t>
      </w:r>
      <w:r>
        <w:rPr>
          <w:noProof/>
        </w:rPr>
        <w:t xml:space="preserve"> privind statul de drept</w:t>
      </w:r>
      <w:r>
        <w:rPr>
          <w:rStyle w:val="FootnoteReference"/>
          <w:noProof/>
        </w:rPr>
        <w:footnoteReference w:id="74"/>
      </w:r>
      <w:r>
        <w:rPr>
          <w:noProof/>
        </w:rPr>
        <w:t xml:space="preserve">, inclusiv cele </w:t>
      </w:r>
      <w:r w:rsidRPr="00D17A39">
        <w:rPr>
          <w:noProof/>
        </w:rPr>
        <w:t>27</w:t>
      </w:r>
      <w:r>
        <w:rPr>
          <w:noProof/>
        </w:rPr>
        <w:t xml:space="preserve"> de capitole consacrate fiecărei țări, prezintă evoluții pozitive și negative în perioada iulie </w:t>
      </w:r>
      <w:r w:rsidRPr="00D17A39">
        <w:rPr>
          <w:noProof/>
        </w:rPr>
        <w:t>2020</w:t>
      </w:r>
      <w:r>
        <w:rPr>
          <w:noProof/>
        </w:rPr>
        <w:t>-iunie </w:t>
      </w:r>
      <w:r w:rsidRPr="00D17A39">
        <w:rPr>
          <w:noProof/>
        </w:rPr>
        <w:t>2021</w:t>
      </w:r>
      <w:r>
        <w:rPr>
          <w:noProof/>
        </w:rPr>
        <w:t xml:space="preserve"> în toate statele membre în patru domenii-cheie pentru statul de drept: </w:t>
      </w:r>
      <w:r w:rsidRPr="00261B88">
        <w:rPr>
          <w:b/>
          <w:noProof/>
        </w:rPr>
        <w:t>sistemul judiciar</w:t>
      </w:r>
      <w:r>
        <w:rPr>
          <w:noProof/>
        </w:rPr>
        <w:t xml:space="preserve">, </w:t>
      </w:r>
      <w:r w:rsidRPr="00261B88">
        <w:rPr>
          <w:b/>
          <w:noProof/>
        </w:rPr>
        <w:t>cadrul anticorupție</w:t>
      </w:r>
      <w:r>
        <w:rPr>
          <w:noProof/>
        </w:rPr>
        <w:t xml:space="preserve">, </w:t>
      </w:r>
      <w:r w:rsidRPr="00261B88">
        <w:rPr>
          <w:b/>
          <w:noProof/>
        </w:rPr>
        <w:t>pluralismul și libertatea mass-mediei</w:t>
      </w:r>
      <w:r>
        <w:rPr>
          <w:noProof/>
        </w:rPr>
        <w:t xml:space="preserve"> și </w:t>
      </w:r>
      <w:r w:rsidRPr="00261B88">
        <w:rPr>
          <w:b/>
          <w:noProof/>
        </w:rPr>
        <w:t>alte aspecte instituționale</w:t>
      </w:r>
      <w:r>
        <w:rPr>
          <w:noProof/>
        </w:rPr>
        <w:t xml:space="preserve"> legate de sistemul de control și echilibru. Aspectele legate de sistemul de justiție sau de cadrul anticorupție pot avea un impact semnificativ asupra modului în care sunt protejate într-un anumit stat membru interesele financiare ale UE.</w:t>
      </w:r>
    </w:p>
    <w:p w14:paraId="39CC9482" w14:textId="432C83CD" w:rsidR="001149B4" w:rsidRDefault="001149B4" w:rsidP="000114A4">
      <w:pPr>
        <w:rPr>
          <w:noProof/>
        </w:rPr>
      </w:pPr>
      <w:r>
        <w:rPr>
          <w:noProof/>
        </w:rPr>
        <w:t>Al treilea raport privind statul de drept, adoptat în iulie </w:t>
      </w:r>
      <w:r w:rsidRPr="00D17A39">
        <w:rPr>
          <w:noProof/>
        </w:rPr>
        <w:t>2022</w:t>
      </w:r>
      <w:r>
        <w:rPr>
          <w:rStyle w:val="FootnoteReference"/>
          <w:noProof/>
        </w:rPr>
        <w:footnoteReference w:id="75"/>
      </w:r>
      <w:r>
        <w:rPr>
          <w:noProof/>
        </w:rPr>
        <w:t>, acoperă perioada iulie </w:t>
      </w:r>
      <w:r w:rsidRPr="00D17A39">
        <w:rPr>
          <w:noProof/>
        </w:rPr>
        <w:t>2021</w:t>
      </w:r>
      <w:r>
        <w:rPr>
          <w:noProof/>
        </w:rPr>
        <w:t>-iunie </w:t>
      </w:r>
      <w:r w:rsidRPr="00D17A39">
        <w:rPr>
          <w:noProof/>
        </w:rPr>
        <w:t>2022</w:t>
      </w:r>
      <w:r>
        <w:rPr>
          <w:noProof/>
        </w:rPr>
        <w:t xml:space="preserve"> și include pentru prima dată recomandări specifice pentru toate statele membre, astfel cum a anunțat președinta von der Leyen în discursul privind starea Uniunii din </w:t>
      </w:r>
      <w:r w:rsidRPr="00D17A39">
        <w:rPr>
          <w:noProof/>
        </w:rPr>
        <w:t>2021</w:t>
      </w:r>
      <w:r>
        <w:rPr>
          <w:noProof/>
        </w:rPr>
        <w:t>. În conformitate cu caracterul preventiv al raportului, obiectivul recomandărilor este de a sprijini statele membre în eforturile lor de continuare a reformelor aflate în curs sau planificate, de a încuraja evoluțiile pozitive și de a le ajuta să identifice domeniile în care ar putea fi necesare îmbunătățiri sau acțiuni de urmărire a schimbărilor sau reformelor recente, inclusiv având ca scop și abordarea provocărilor sistemice în anumite cazuri.</w:t>
      </w:r>
    </w:p>
    <w:p w14:paraId="1AC3422B" w14:textId="77777777" w:rsidR="00FB5CF5" w:rsidRPr="00261B88" w:rsidRDefault="00FB5CF5" w:rsidP="00CD7B44">
      <w:pPr>
        <w:pStyle w:val="Heading3"/>
        <w:rPr>
          <w:noProof/>
        </w:rPr>
      </w:pPr>
      <w:bookmarkStart w:id="66" w:name="_Toc116029538"/>
      <w:r w:rsidRPr="00261B88">
        <w:rPr>
          <w:noProof/>
        </w:rPr>
        <w:t>Progresele înregistrate în punerea în aplicare a regulamentului UE privind un regim general de condiționalitate pentru protecția bugetului Uniunii</w:t>
      </w:r>
      <w:bookmarkEnd w:id="66"/>
    </w:p>
    <w:p w14:paraId="4FCE2431" w14:textId="5382EA1B" w:rsidR="001623A1" w:rsidRDefault="001623A1" w:rsidP="001623A1">
      <w:pPr>
        <w:rPr>
          <w:noProof/>
        </w:rPr>
      </w:pPr>
      <w:r>
        <w:rPr>
          <w:noProof/>
        </w:rPr>
        <w:t>Regulamentul (UE, Euratom) </w:t>
      </w:r>
      <w:r w:rsidRPr="00D17A39">
        <w:rPr>
          <w:noProof/>
        </w:rPr>
        <w:t>2020</w:t>
      </w:r>
      <w:r>
        <w:rPr>
          <w:noProof/>
        </w:rPr>
        <w:t>/</w:t>
      </w:r>
      <w:r w:rsidRPr="00D17A39">
        <w:rPr>
          <w:noProof/>
        </w:rPr>
        <w:t>2092</w:t>
      </w:r>
      <w:r>
        <w:rPr>
          <w:noProof/>
        </w:rPr>
        <w:t xml:space="preserve"> privind un </w:t>
      </w:r>
      <w:r w:rsidRPr="00261B88">
        <w:rPr>
          <w:b/>
          <w:noProof/>
        </w:rPr>
        <w:t>regim general de condiționalitate pentru protecția bugetului Uniunii</w:t>
      </w:r>
      <w:r>
        <w:rPr>
          <w:noProof/>
        </w:rPr>
        <w:t xml:space="preserve"> urmărește să protejeze bugetul Uniunii împotriva încălcărilor principiilor statului de drept care afectează sau riscă în mod grav să afecteze, într-o manieră îndeajuns de directă, buna sa gestiune financiară sau protecția intereselor financiare ale Uniunii.</w:t>
      </w:r>
    </w:p>
    <w:p w14:paraId="26FB8D12" w14:textId="1A437EC3" w:rsidR="00D161B4" w:rsidRDefault="001623A1">
      <w:pPr>
        <w:rPr>
          <w:noProof/>
        </w:rPr>
      </w:pPr>
      <w:r>
        <w:rPr>
          <w:noProof/>
        </w:rPr>
        <w:t xml:space="preserve">La </w:t>
      </w:r>
      <w:r w:rsidRPr="00D17A39">
        <w:rPr>
          <w:noProof/>
        </w:rPr>
        <w:t>2</w:t>
      </w:r>
      <w:r>
        <w:rPr>
          <w:noProof/>
        </w:rPr>
        <w:t> martie </w:t>
      </w:r>
      <w:r w:rsidRPr="00D17A39">
        <w:rPr>
          <w:noProof/>
        </w:rPr>
        <w:t>2022</w:t>
      </w:r>
      <w:r>
        <w:rPr>
          <w:noProof/>
        </w:rPr>
        <w:t xml:space="preserve">, </w:t>
      </w:r>
      <w:r w:rsidRPr="00261B88">
        <w:rPr>
          <w:b/>
          <w:noProof/>
        </w:rPr>
        <w:t>Comisia a adoptat orientări</w:t>
      </w:r>
      <w:r>
        <w:rPr>
          <w:rStyle w:val="FootnoteReference"/>
          <w:noProof/>
        </w:rPr>
        <w:footnoteReference w:id="76"/>
      </w:r>
      <w:r>
        <w:rPr>
          <w:noProof/>
        </w:rPr>
        <w:t xml:space="preserve"> care explică modul în care va aplica regulamentul, inclusiv modul în care vor fi protejate drepturile destinatarilor și beneficiarilor finali ai finanțării din partea Uniunii (a se vedea </w:t>
      </w:r>
      <w:r w:rsidRPr="00261B88">
        <w:rPr>
          <w:b/>
          <w:noProof/>
        </w:rPr>
        <w:t>secțiunea 7</w:t>
      </w:r>
      <w:r>
        <w:rPr>
          <w:noProof/>
        </w:rPr>
        <w:t>).</w:t>
      </w:r>
    </w:p>
    <w:p w14:paraId="72328ECC" w14:textId="78EBEE76" w:rsidR="0070289A" w:rsidRPr="001623A1" w:rsidRDefault="0070289A" w:rsidP="001623A1">
      <w:pPr>
        <w:rPr>
          <w:noProof/>
        </w:rPr>
      </w:pPr>
      <w:r>
        <w:rPr>
          <w:noProof/>
        </w:rPr>
        <w:t>Comisia a inițiat o procedură în temeiul Regulamentului privind condiționalitatea.</w:t>
      </w:r>
    </w:p>
    <w:p w14:paraId="1B5FACE1" w14:textId="77777777" w:rsidR="001623A1" w:rsidRPr="00261B88" w:rsidRDefault="001623A1" w:rsidP="001623A1">
      <w:pPr>
        <w:pStyle w:val="Heading2"/>
        <w:rPr>
          <w:noProof/>
        </w:rPr>
      </w:pPr>
      <w:bookmarkStart w:id="67" w:name="_Toc116029539"/>
      <w:r w:rsidRPr="00261B88">
        <w:rPr>
          <w:noProof/>
        </w:rPr>
        <w:t>Politica anticorupție</w:t>
      </w:r>
      <w:bookmarkEnd w:id="67"/>
    </w:p>
    <w:p w14:paraId="4077F633" w14:textId="23F29C71" w:rsidR="001149B4" w:rsidRDefault="001623A1" w:rsidP="001149B4">
      <w:pPr>
        <w:rPr>
          <w:noProof/>
        </w:rPr>
      </w:pPr>
      <w:r>
        <w:rPr>
          <w:noProof/>
        </w:rPr>
        <w:t xml:space="preserve">În </w:t>
      </w:r>
      <w:r w:rsidRPr="00D17A39">
        <w:rPr>
          <w:noProof/>
        </w:rPr>
        <w:t>2021</w:t>
      </w:r>
      <w:r>
        <w:rPr>
          <w:noProof/>
        </w:rPr>
        <w:t xml:space="preserve">, Comisia a continuat să ofere </w:t>
      </w:r>
      <w:r w:rsidRPr="00261B88">
        <w:rPr>
          <w:b/>
          <w:noProof/>
        </w:rPr>
        <w:t>sprijin tehnic</w:t>
      </w:r>
      <w:r>
        <w:rPr>
          <w:noProof/>
        </w:rPr>
        <w:t xml:space="preserve"> statelor membre în domeniul combaterii corupției și al integrității prin intermediul programelor sale, și anume </w:t>
      </w:r>
      <w:r w:rsidRPr="00261B88">
        <w:rPr>
          <w:b/>
          <w:noProof/>
        </w:rPr>
        <w:t>Programul de sprijin pentru reforme structurale</w:t>
      </w:r>
      <w:r>
        <w:rPr>
          <w:noProof/>
        </w:rPr>
        <w:t xml:space="preserve"> și </w:t>
      </w:r>
      <w:r w:rsidRPr="00261B88">
        <w:rPr>
          <w:b/>
          <w:noProof/>
        </w:rPr>
        <w:t>Instrumentul de sprijin tehnic</w:t>
      </w:r>
      <w:r>
        <w:rPr>
          <w:noProof/>
        </w:rPr>
        <w:t xml:space="preserve"> nou instituit. Sprijinul tehnic a facilitat revizuirea procedurilor de selecție și evaluare a judecătorilor și procurorilor, precum și aplicarea măsurilor anticorupție în domeniul educației, al mediului și al sportului. Unele autorități naționale au primit sprijin pentru a institui mecanisme de monitorizare a planului lor național anticorupție, pentru a-și revizui normele de gestionare a conflictelor de interese, pentru a asigura supravegherea cheltuielilor publice sau pentru a demonstra că sunt pregătite să adere la Convenția Organizației pentru Cooperare și Dezvoltare Economică (OCDE) privind combaterea mituirii funcționarilor publici în cadrul tranzacțiilor comerciale internaționale. </w:t>
      </w:r>
    </w:p>
    <w:p w14:paraId="552CE0C9" w14:textId="77777777" w:rsidR="001623A1" w:rsidRDefault="001149B4" w:rsidP="001149B4">
      <w:pPr>
        <w:rPr>
          <w:noProof/>
        </w:rPr>
      </w:pPr>
      <w:r>
        <w:rPr>
          <w:noProof/>
        </w:rPr>
        <w:t xml:space="preserve">Comisia organizează </w:t>
      </w:r>
      <w:r w:rsidRPr="00261B88">
        <w:rPr>
          <w:b/>
          <w:noProof/>
        </w:rPr>
        <w:t>ateliere de schimb de experiență în domeniul combaterii corupției</w:t>
      </w:r>
      <w:r>
        <w:rPr>
          <w:noProof/>
        </w:rPr>
        <w:t xml:space="preserve"> în întreaga UE. La </w:t>
      </w:r>
      <w:r w:rsidRPr="00D17A39">
        <w:rPr>
          <w:noProof/>
        </w:rPr>
        <w:t>13</w:t>
      </w:r>
      <w:r>
        <w:rPr>
          <w:noProof/>
        </w:rPr>
        <w:t> decembrie </w:t>
      </w:r>
      <w:r w:rsidRPr="00D17A39">
        <w:rPr>
          <w:noProof/>
        </w:rPr>
        <w:t>2021</w:t>
      </w:r>
      <w:r>
        <w:rPr>
          <w:noProof/>
        </w:rPr>
        <w:t xml:space="preserve">, cel de al </w:t>
      </w:r>
      <w:r w:rsidRPr="00D17A39">
        <w:rPr>
          <w:noProof/>
        </w:rPr>
        <w:t>14</w:t>
      </w:r>
      <w:r>
        <w:rPr>
          <w:noProof/>
        </w:rPr>
        <w:t xml:space="preserve">-lea atelier de schimb de experiență a reunit reprezentanți ai statelor membre, ai Comisiei Europene, ai Europol și ai mediului academic pentru a discuta tema rezilienței la corupție în perioade de criză. Comisia sprijină, de asemenea, </w:t>
      </w:r>
      <w:r w:rsidRPr="00261B88">
        <w:rPr>
          <w:b/>
          <w:noProof/>
        </w:rPr>
        <w:t>proiecte care vizează îmbunătățirea integrității și combaterea corupției</w:t>
      </w:r>
      <w:r>
        <w:rPr>
          <w:noProof/>
        </w:rPr>
        <w:t xml:space="preserve"> în statele membre, printre altele. În </w:t>
      </w:r>
      <w:r w:rsidRPr="00D17A39">
        <w:rPr>
          <w:noProof/>
        </w:rPr>
        <w:t>2021</w:t>
      </w:r>
      <w:r>
        <w:rPr>
          <w:noProof/>
        </w:rPr>
        <w:t xml:space="preserve">, proiectele anticorupție au fost finanțate în cadrul Fondului pentru securitate internă – Poliție (FSI – Poliție) </w:t>
      </w:r>
      <w:r w:rsidRPr="00D17A39">
        <w:rPr>
          <w:noProof/>
        </w:rPr>
        <w:t>2014</w:t>
      </w:r>
      <w:r>
        <w:rPr>
          <w:noProof/>
        </w:rPr>
        <w:t>-</w:t>
      </w:r>
      <w:r w:rsidRPr="00D17A39">
        <w:rPr>
          <w:noProof/>
        </w:rPr>
        <w:t>2020</w:t>
      </w:r>
      <w:r>
        <w:rPr>
          <w:noProof/>
        </w:rPr>
        <w:t xml:space="preserve"> și includ, printre altele, </w:t>
      </w:r>
      <w:r>
        <w:rPr>
          <w:noProof/>
          <w:color w:val="404040"/>
        </w:rPr>
        <w:t xml:space="preserve">proiectul C.O.R.E, care vizează dezvoltarea și validarea unei proceduri reproductibile pentru calcularea riscului de corupție în achizițiile publice în perioada pandemiei, bazată pe colectarea și prelucrarea încrucișată a datelor privind </w:t>
      </w:r>
      <w:r>
        <w:rPr>
          <w:noProof/>
        </w:rPr>
        <w:t xml:space="preserve">achizițiile </w:t>
      </w:r>
      <w:r>
        <w:rPr>
          <w:noProof/>
          <w:color w:val="404040"/>
        </w:rPr>
        <w:t>publice</w:t>
      </w:r>
      <w:r>
        <w:rPr>
          <w:noProof/>
        </w:rPr>
        <w:t>.</w:t>
      </w:r>
      <w:r>
        <w:rPr>
          <w:noProof/>
          <w:color w:val="404040"/>
        </w:rPr>
        <w:t xml:space="preserve"> Procedura este menită să îmbunătățească detectarea timpurie a riscului de corupție și să promoveze o bază de date mai solidă pentru reforma politicilor, servind în primul rând autorităților anticorupție și autorităților de aplicare a legii, dar și jurnaliștilor și publicului larg pentru îndeplinirea obiectivelor de responsabilitate. </w:t>
      </w:r>
    </w:p>
    <w:p w14:paraId="35B86C31" w14:textId="3433F7FA" w:rsidR="0091197D" w:rsidRDefault="001149B4" w:rsidP="001623A1">
      <w:pPr>
        <w:rPr>
          <w:noProof/>
        </w:rPr>
      </w:pPr>
      <w:r>
        <w:rPr>
          <w:noProof/>
        </w:rPr>
        <w:t xml:space="preserve">De asemenea, Comisia încurajează statele membre să adopte </w:t>
      </w:r>
      <w:r w:rsidRPr="00261B88">
        <w:rPr>
          <w:b/>
          <w:noProof/>
        </w:rPr>
        <w:t>strategii naționale anticorupție</w:t>
      </w:r>
      <w:r>
        <w:rPr>
          <w:noProof/>
        </w:rPr>
        <w:t>, deoarece acestea asigură:</w:t>
      </w:r>
    </w:p>
    <w:p w14:paraId="7F1B6039" w14:textId="77777777" w:rsidR="0091197D" w:rsidRDefault="0091197D" w:rsidP="001149B4">
      <w:pPr>
        <w:pStyle w:val="ListBullet"/>
        <w:numPr>
          <w:ilvl w:val="0"/>
          <w:numId w:val="23"/>
        </w:numPr>
        <w:rPr>
          <w:noProof/>
        </w:rPr>
      </w:pPr>
      <w:r>
        <w:rPr>
          <w:noProof/>
        </w:rPr>
        <w:t xml:space="preserve">transpunerea angajamentelor politice în acțiuni concrete; </w:t>
      </w:r>
    </w:p>
    <w:p w14:paraId="58477566" w14:textId="77777777" w:rsidR="0091197D" w:rsidRDefault="0091197D" w:rsidP="001149B4">
      <w:pPr>
        <w:pStyle w:val="ListBullet"/>
        <w:numPr>
          <w:ilvl w:val="0"/>
          <w:numId w:val="23"/>
        </w:numPr>
        <w:rPr>
          <w:noProof/>
        </w:rPr>
      </w:pPr>
      <w:r>
        <w:rPr>
          <w:noProof/>
        </w:rPr>
        <w:t xml:space="preserve">abordarea lacunelor legislative sau instituționale într-un mod coerent, cuprinzător și coordonat și </w:t>
      </w:r>
    </w:p>
    <w:p w14:paraId="486FAC49" w14:textId="77777777" w:rsidR="0091197D" w:rsidRPr="001623A1" w:rsidRDefault="0091197D" w:rsidP="001149B4">
      <w:pPr>
        <w:pStyle w:val="ListBullet"/>
        <w:numPr>
          <w:ilvl w:val="0"/>
          <w:numId w:val="23"/>
        </w:numPr>
        <w:rPr>
          <w:noProof/>
        </w:rPr>
      </w:pPr>
      <w:r>
        <w:rPr>
          <w:noProof/>
        </w:rPr>
        <w:t>adaptarea eforturilor de combatere a corupției la un context în continuă evoluție.</w:t>
      </w:r>
    </w:p>
    <w:p w14:paraId="7F314B60" w14:textId="77777777" w:rsidR="00FB5CF5" w:rsidRPr="00261B88" w:rsidRDefault="000810E6" w:rsidP="00FB5CF5">
      <w:pPr>
        <w:pStyle w:val="Heading1"/>
        <w:rPr>
          <w:noProof/>
        </w:rPr>
      </w:pPr>
      <w:bookmarkStart w:id="68" w:name="_Toc116029540"/>
      <w:r w:rsidRPr="00261B88">
        <w:rPr>
          <w:noProof/>
        </w:rPr>
        <w:t>Rezultatele activităților de control</w:t>
      </w:r>
      <w:bookmarkEnd w:id="68"/>
    </w:p>
    <w:p w14:paraId="2125A06E" w14:textId="77777777" w:rsidR="000810E6" w:rsidRPr="00261B88" w:rsidRDefault="000810E6" w:rsidP="000810E6">
      <w:pPr>
        <w:pStyle w:val="Heading2"/>
        <w:rPr>
          <w:noProof/>
        </w:rPr>
      </w:pPr>
      <w:bookmarkStart w:id="69" w:name="_Toc116029541"/>
      <w:r w:rsidRPr="00261B88">
        <w:rPr>
          <w:noProof/>
        </w:rPr>
        <w:t>Surse de date și metodologie</w:t>
      </w:r>
      <w:bookmarkEnd w:id="69"/>
    </w:p>
    <w:p w14:paraId="3B886DDC" w14:textId="0EECD8C5" w:rsidR="00ED2A33" w:rsidRDefault="00ED2A33" w:rsidP="00ED2A33">
      <w:pPr>
        <w:rPr>
          <w:noProof/>
        </w:rPr>
      </w:pPr>
      <w:r>
        <w:rPr>
          <w:noProof/>
        </w:rPr>
        <w:t>Această secțiune se bazează în principal pe datele raportate de statele membre în domeniul resurselor proprii tradiționale (RPT) și al gestiunii partajate, precum și de țările candidate în domeniul preaderării. Datele privind cheltuielile directe (</w:t>
      </w:r>
      <w:r w:rsidRPr="00261B88">
        <w:rPr>
          <w:b/>
          <w:noProof/>
        </w:rPr>
        <w:t>secțiunea 6.1.2</w:t>
      </w:r>
      <w:r>
        <w:rPr>
          <w:noProof/>
        </w:rPr>
        <w:t xml:space="preserve">) sunt extrase din sistemul contabil intern al Comisiei. </w:t>
      </w:r>
      <w:r w:rsidRPr="00261B88">
        <w:rPr>
          <w:b/>
          <w:noProof/>
        </w:rPr>
        <w:t>Caseta 2</w:t>
      </w:r>
      <w:r>
        <w:rPr>
          <w:noProof/>
        </w:rPr>
        <w:t xml:space="preserve"> precizează condițiile în care au loc raportările din partea statelor membre și modul în care acestea sunt utilizate în prezenta secțiune.</w:t>
      </w:r>
    </w:p>
    <w:p w14:paraId="7BEB58DA" w14:textId="19BBFE68" w:rsidR="00ED2A33" w:rsidRPr="00261B88" w:rsidRDefault="00ED2A33" w:rsidP="008A6DCE">
      <w:pPr>
        <w:pStyle w:val="Caption"/>
        <w:keepNext/>
        <w:pBdr>
          <w:top w:val="single" w:sz="4" w:space="1" w:color="auto"/>
          <w:left w:val="single" w:sz="4" w:space="1" w:color="auto"/>
          <w:bottom w:val="single" w:sz="4" w:space="1" w:color="auto"/>
          <w:right w:val="single" w:sz="4" w:space="1" w:color="auto"/>
        </w:pBdr>
        <w:shd w:val="clear" w:color="auto" w:fill="E2EFD9" w:themeFill="accent6" w:themeFillTint="33"/>
        <w:rPr>
          <w:noProof/>
        </w:rPr>
      </w:pPr>
      <w:bookmarkStart w:id="70" w:name="_Toc106662323"/>
      <w:r w:rsidRPr="00261B88">
        <w:rPr>
          <w:noProof/>
        </w:rPr>
        <w:t>Caseta </w:t>
      </w:r>
      <w:r w:rsidR="00FD11F8">
        <w:rPr>
          <w:noProof/>
        </w:rPr>
        <w:fldChar w:fldCharType="begin"/>
      </w:r>
      <w:r w:rsidR="00FD11F8">
        <w:rPr>
          <w:noProof/>
        </w:rPr>
        <w:instrText xml:space="preserve"> SEQ Box \* ARABIC </w:instrText>
      </w:r>
      <w:r w:rsidR="00FD11F8">
        <w:rPr>
          <w:noProof/>
        </w:rPr>
        <w:fldChar w:fldCharType="separate"/>
      </w:r>
      <w:r w:rsidRPr="00261B88">
        <w:rPr>
          <w:noProof/>
        </w:rPr>
        <w:t>2</w:t>
      </w:r>
      <w:r w:rsidR="00FD11F8">
        <w:rPr>
          <w:noProof/>
        </w:rPr>
        <w:fldChar w:fldCharType="end"/>
      </w:r>
      <w:r w:rsidRPr="00261B88">
        <w:rPr>
          <w:noProof/>
        </w:rPr>
        <w:t>: Raportarea neregulilor de către statele membre</w:t>
      </w:r>
      <w:bookmarkEnd w:id="70"/>
    </w:p>
    <w:p w14:paraId="0EBC8B6D" w14:textId="5DB30B68" w:rsidR="00ED2A33" w:rsidRDefault="00ED2A33" w:rsidP="008721E6">
      <w:pPr>
        <w:pBdr>
          <w:top w:val="single" w:sz="4" w:space="1" w:color="auto"/>
          <w:left w:val="single" w:sz="4" w:space="1" w:color="auto"/>
          <w:bottom w:val="single" w:sz="4" w:space="1" w:color="auto"/>
          <w:right w:val="single" w:sz="4" w:space="1" w:color="auto"/>
        </w:pBdr>
        <w:shd w:val="clear" w:color="auto" w:fill="E2EFD9" w:themeFill="accent6" w:themeFillTint="33"/>
        <w:rPr>
          <w:noProof/>
        </w:rPr>
      </w:pPr>
      <w:r>
        <w:rPr>
          <w:noProof/>
        </w:rPr>
        <w:t>Regulamentele sectoriale privind RPT și fondurile cu gestiune partajată specifică o serie de condiții în care statele membre trebuie să raporteze neregulile detectate în domeniile respective.</w:t>
      </w:r>
    </w:p>
    <w:p w14:paraId="27CED0F2" w14:textId="3594F849" w:rsidR="00257B88" w:rsidRDefault="00257B88" w:rsidP="008721E6">
      <w:pPr>
        <w:pBdr>
          <w:top w:val="single" w:sz="4" w:space="1" w:color="auto"/>
          <w:left w:val="single" w:sz="4" w:space="1" w:color="auto"/>
          <w:bottom w:val="single" w:sz="4" w:space="1" w:color="auto"/>
          <w:right w:val="single" w:sz="4" w:space="1" w:color="auto"/>
        </w:pBdr>
        <w:shd w:val="clear" w:color="auto" w:fill="E2EFD9" w:themeFill="accent6" w:themeFillTint="33"/>
        <w:rPr>
          <w:noProof/>
        </w:rPr>
      </w:pPr>
      <w:r>
        <w:rPr>
          <w:noProof/>
        </w:rPr>
        <w:t>Acestea utilizează două sisteme informatice pentru a raporta neregulile: OWNRES în domeniul RPT și IMS în domeniul gestiunii partajate și al preaderării.</w:t>
      </w:r>
    </w:p>
    <w:p w14:paraId="723D7B2F" w14:textId="41FD9163" w:rsidR="00ED2A33" w:rsidRDefault="00652F34" w:rsidP="008721E6">
      <w:pPr>
        <w:pBdr>
          <w:top w:val="single" w:sz="4" w:space="1" w:color="auto"/>
          <w:left w:val="single" w:sz="4" w:space="1" w:color="auto"/>
          <w:bottom w:val="single" w:sz="4" w:space="1" w:color="auto"/>
          <w:right w:val="single" w:sz="4" w:space="1" w:color="auto"/>
        </w:pBdr>
        <w:shd w:val="clear" w:color="auto" w:fill="E2EFD9" w:themeFill="accent6" w:themeFillTint="33"/>
        <w:rPr>
          <w:noProof/>
        </w:rPr>
      </w:pPr>
      <w:r>
        <w:rPr>
          <w:noProof/>
        </w:rPr>
        <w:t xml:space="preserve">În ceea ce privește RPT, statele membre trebuie să raporteze neregulile și fraudele detectate care implică mai mult de </w:t>
      </w:r>
      <w:r w:rsidRPr="00D17A39">
        <w:rPr>
          <w:noProof/>
        </w:rPr>
        <w:t>10</w:t>
      </w:r>
      <w:r>
        <w:rPr>
          <w:noProof/>
        </w:rPr>
        <w:t> </w:t>
      </w:r>
      <w:r w:rsidRPr="00D17A39">
        <w:rPr>
          <w:noProof/>
        </w:rPr>
        <w:t>000</w:t>
      </w:r>
      <w:r>
        <w:rPr>
          <w:noProof/>
        </w:rPr>
        <w:t> EUR și să precizeze în rapoartele lor dacă respectivul caz detectat se referă sau nu la un comportament fraudulos.</w:t>
      </w:r>
    </w:p>
    <w:p w14:paraId="3BABA8D2" w14:textId="3DC598C2" w:rsidR="00292801" w:rsidRDefault="00652F34" w:rsidP="008721E6">
      <w:pPr>
        <w:pBdr>
          <w:top w:val="single" w:sz="4" w:space="1" w:color="auto"/>
          <w:left w:val="single" w:sz="4" w:space="1" w:color="auto"/>
          <w:bottom w:val="single" w:sz="4" w:space="1" w:color="auto"/>
          <w:right w:val="single" w:sz="4" w:space="1" w:color="auto"/>
        </w:pBdr>
        <w:shd w:val="clear" w:color="auto" w:fill="E2EFD9" w:themeFill="accent6" w:themeFillTint="33"/>
        <w:rPr>
          <w:noProof/>
        </w:rPr>
      </w:pPr>
      <w:r>
        <w:rPr>
          <w:noProof/>
        </w:rPr>
        <w:t>În ceea ce privește gestiunea partajată, se aplică același prag financiar, iar statele membre trebuie să furnizeze o clasificare a neregulii raportate, indicând dacă este vorba despre o suspiciune de fraudă, despre o fraudă constatată sau despre o simplă neregulă (administrativă). Statele membre pot actualiza neregulile raportate în orice moment, modificând, de asemenea, clasificarea acestora. În cazul unei simple nereguli, se aplică derogări suplimentare, iar statele membre nu trebuie să raporteze cazurile:</w:t>
      </w:r>
    </w:p>
    <w:p w14:paraId="437845BF" w14:textId="77777777" w:rsidR="00292801" w:rsidRDefault="00292801" w:rsidP="008721E6">
      <w:pPr>
        <w:pStyle w:val="ListNumber"/>
        <w:numPr>
          <w:ilvl w:val="0"/>
          <w:numId w:val="16"/>
        </w:numPr>
        <w:pBdr>
          <w:top w:val="single" w:sz="4" w:space="1" w:color="auto"/>
          <w:left w:val="single" w:sz="4" w:space="1" w:color="auto"/>
          <w:bottom w:val="single" w:sz="4" w:space="1" w:color="auto"/>
          <w:right w:val="single" w:sz="4" w:space="1" w:color="auto"/>
        </w:pBdr>
        <w:shd w:val="clear" w:color="auto" w:fill="E2EFD9" w:themeFill="accent6" w:themeFillTint="33"/>
        <w:rPr>
          <w:noProof/>
        </w:rPr>
      </w:pPr>
      <w:r>
        <w:rPr>
          <w:noProof/>
        </w:rPr>
        <w:t>în care neregulile constau numai în neexecutarea, în totalitate sau parțial, a unei operațiuni care face parte din cofinanțarea programului operațional și care se datorează falimentului beneficiarului;</w:t>
      </w:r>
    </w:p>
    <w:p w14:paraId="781898D5" w14:textId="77777777" w:rsidR="00292801" w:rsidRDefault="00292801" w:rsidP="008721E6">
      <w:pPr>
        <w:pStyle w:val="ListNumber"/>
        <w:numPr>
          <w:ilvl w:val="0"/>
          <w:numId w:val="16"/>
        </w:numPr>
        <w:pBdr>
          <w:top w:val="single" w:sz="4" w:space="1" w:color="auto"/>
          <w:left w:val="single" w:sz="4" w:space="1" w:color="auto"/>
          <w:bottom w:val="single" w:sz="4" w:space="1" w:color="auto"/>
          <w:right w:val="single" w:sz="4" w:space="1" w:color="auto"/>
        </w:pBdr>
        <w:shd w:val="clear" w:color="auto" w:fill="E2EFD9" w:themeFill="accent6" w:themeFillTint="33"/>
        <w:rPr>
          <w:noProof/>
        </w:rPr>
      </w:pPr>
      <w:r>
        <w:rPr>
          <w:noProof/>
        </w:rPr>
        <w:t>care sunt aduse în atenția autorității de management sau a autorității de certificare de către beneficiar în mod voluntar și înainte de constatarea efectuată de oricare dintre aceste autorități, indiferent dacă a avut loc înainte sau după plata contribuției publice;</w:t>
      </w:r>
    </w:p>
    <w:p w14:paraId="62AC2B86" w14:textId="60823061" w:rsidR="00652F34" w:rsidRDefault="00292801" w:rsidP="008721E6">
      <w:pPr>
        <w:pStyle w:val="ListNumber"/>
        <w:numPr>
          <w:ilvl w:val="0"/>
          <w:numId w:val="16"/>
        </w:numPr>
        <w:pBdr>
          <w:top w:val="single" w:sz="4" w:space="1" w:color="auto"/>
          <w:left w:val="single" w:sz="4" w:space="1" w:color="auto"/>
          <w:bottom w:val="single" w:sz="4" w:space="1" w:color="auto"/>
          <w:right w:val="single" w:sz="4" w:space="1" w:color="auto"/>
        </w:pBdr>
        <w:shd w:val="clear" w:color="auto" w:fill="E2EFD9" w:themeFill="accent6" w:themeFillTint="33"/>
        <w:rPr>
          <w:noProof/>
        </w:rPr>
      </w:pPr>
      <w:r>
        <w:rPr>
          <w:noProof/>
        </w:rPr>
        <w:t xml:space="preserve">care sunt depistate și corectate de autoritatea de management sau de autoritatea de certificare anterior includerii cheltuielilor în cauză într-o declarație de cheltuieli transmisă Comisiei. </w:t>
      </w:r>
    </w:p>
    <w:p w14:paraId="020E8F2C" w14:textId="388A75DE" w:rsidR="00292801" w:rsidRDefault="00292801" w:rsidP="008721E6">
      <w:pPr>
        <w:pBdr>
          <w:top w:val="single" w:sz="4" w:space="1" w:color="auto"/>
          <w:left w:val="single" w:sz="4" w:space="1" w:color="auto"/>
          <w:bottom w:val="single" w:sz="4" w:space="1" w:color="auto"/>
          <w:right w:val="single" w:sz="4" w:space="1" w:color="auto"/>
        </w:pBdr>
        <w:shd w:val="clear" w:color="auto" w:fill="E2EFD9" w:themeFill="accent6" w:themeFillTint="33"/>
        <w:rPr>
          <w:noProof/>
        </w:rPr>
      </w:pPr>
      <w:r>
        <w:rPr>
          <w:noProof/>
        </w:rPr>
        <w:t xml:space="preserve">Două mari categorii sunt utilizate în prezentul raport pentru cazurile raportate de statele membre: </w:t>
      </w:r>
      <w:r w:rsidRPr="00261B88">
        <w:rPr>
          <w:b/>
          <w:noProof/>
        </w:rPr>
        <w:t>nereguli de natură frauduloasă</w:t>
      </w:r>
      <w:r>
        <w:rPr>
          <w:noProof/>
        </w:rPr>
        <w:t xml:space="preserve"> și </w:t>
      </w:r>
      <w:r w:rsidRPr="00261B88">
        <w:rPr>
          <w:b/>
          <w:noProof/>
        </w:rPr>
        <w:t>nereguli de natură nefrauduloasă</w:t>
      </w:r>
      <w:r>
        <w:rPr>
          <w:noProof/>
        </w:rPr>
        <w:t>.</w:t>
      </w:r>
    </w:p>
    <w:p w14:paraId="03973626" w14:textId="6D6DF7B5" w:rsidR="00292801" w:rsidRDefault="00292801" w:rsidP="008721E6">
      <w:pPr>
        <w:pBdr>
          <w:top w:val="single" w:sz="4" w:space="1" w:color="auto"/>
          <w:left w:val="single" w:sz="4" w:space="1" w:color="auto"/>
          <w:bottom w:val="single" w:sz="4" w:space="1" w:color="auto"/>
          <w:right w:val="single" w:sz="4" w:space="1" w:color="auto"/>
        </w:pBdr>
        <w:shd w:val="clear" w:color="auto" w:fill="E2EFD9" w:themeFill="accent6" w:themeFillTint="33"/>
        <w:rPr>
          <w:noProof/>
        </w:rPr>
      </w:pPr>
      <w:r w:rsidRPr="00261B88">
        <w:rPr>
          <w:b/>
          <w:noProof/>
        </w:rPr>
        <w:t xml:space="preserve">Neregulile de natură frauduloasă </w:t>
      </w:r>
      <w:r>
        <w:rPr>
          <w:noProof/>
        </w:rPr>
        <w:t xml:space="preserve">sunt cele pentru care statele membre au furnizat clasificarea de </w:t>
      </w:r>
      <w:r w:rsidRPr="00261B88">
        <w:rPr>
          <w:b/>
          <w:noProof/>
        </w:rPr>
        <w:t>fraudă</w:t>
      </w:r>
      <w:r>
        <w:rPr>
          <w:noProof/>
        </w:rPr>
        <w:t xml:space="preserve"> în ceea ce privește RPT sau de </w:t>
      </w:r>
      <w:r w:rsidRPr="00261B88">
        <w:rPr>
          <w:b/>
          <w:noProof/>
        </w:rPr>
        <w:t>suspiciune de fraudă</w:t>
      </w:r>
      <w:r>
        <w:rPr>
          <w:noProof/>
        </w:rPr>
        <w:t xml:space="preserve"> sau </w:t>
      </w:r>
      <w:r w:rsidRPr="00261B88">
        <w:rPr>
          <w:b/>
          <w:noProof/>
        </w:rPr>
        <w:t xml:space="preserve">fraudă constatată </w:t>
      </w:r>
      <w:r>
        <w:rPr>
          <w:noProof/>
        </w:rPr>
        <w:t>în ceea ce privește gestiunea partajată și preaderarea.</w:t>
      </w:r>
    </w:p>
    <w:p w14:paraId="5B04F4E5" w14:textId="77777777" w:rsidR="00941F7C" w:rsidRDefault="00941F7C" w:rsidP="008721E6">
      <w:pPr>
        <w:pBdr>
          <w:top w:val="single" w:sz="4" w:space="1" w:color="auto"/>
          <w:left w:val="single" w:sz="4" w:space="1" w:color="auto"/>
          <w:bottom w:val="single" w:sz="4" w:space="1" w:color="auto"/>
          <w:right w:val="single" w:sz="4" w:space="1" w:color="auto"/>
        </w:pBdr>
        <w:shd w:val="clear" w:color="auto" w:fill="E2EFD9" w:themeFill="accent6" w:themeFillTint="33"/>
        <w:rPr>
          <w:noProof/>
        </w:rPr>
      </w:pPr>
      <w:r>
        <w:rPr>
          <w:noProof/>
        </w:rPr>
        <w:t xml:space="preserve">Celelalte cazuri sunt denumite </w:t>
      </w:r>
      <w:r w:rsidRPr="00261B88">
        <w:rPr>
          <w:b/>
          <w:noProof/>
        </w:rPr>
        <w:t>nereguli de natură nefrauduloasă</w:t>
      </w:r>
      <w:r>
        <w:rPr>
          <w:noProof/>
        </w:rPr>
        <w:t>.</w:t>
      </w:r>
    </w:p>
    <w:p w14:paraId="6833E2A6" w14:textId="09902FA0" w:rsidR="00941F7C" w:rsidRDefault="00307B43" w:rsidP="00941F7C">
      <w:pPr>
        <w:rPr>
          <w:noProof/>
        </w:rPr>
      </w:pPr>
      <w:r>
        <w:rPr>
          <w:noProof/>
        </w:rPr>
        <w:t xml:space="preserve">În </w:t>
      </w:r>
      <w:r w:rsidRPr="00D17A39">
        <w:rPr>
          <w:noProof/>
        </w:rPr>
        <w:t>2021</w:t>
      </w:r>
      <w:r>
        <w:rPr>
          <w:noProof/>
        </w:rPr>
        <w:t xml:space="preserve">, au fost raportate în total </w:t>
      </w:r>
      <w:r w:rsidRPr="00D17A39">
        <w:rPr>
          <w:noProof/>
        </w:rPr>
        <w:t>11</w:t>
      </w:r>
      <w:r>
        <w:rPr>
          <w:noProof/>
        </w:rPr>
        <w:t> </w:t>
      </w:r>
      <w:r w:rsidRPr="00D17A39">
        <w:rPr>
          <w:noProof/>
        </w:rPr>
        <w:t>218</w:t>
      </w:r>
      <w:r>
        <w:rPr>
          <w:noProof/>
        </w:rPr>
        <w:t xml:space="preserve"> nereguli, implicând aproximativ </w:t>
      </w:r>
      <w:r w:rsidRPr="00D17A39">
        <w:rPr>
          <w:noProof/>
        </w:rPr>
        <w:t>3</w:t>
      </w:r>
      <w:r>
        <w:rPr>
          <w:noProof/>
        </w:rPr>
        <w:t>,</w:t>
      </w:r>
      <w:r w:rsidRPr="00D17A39">
        <w:rPr>
          <w:noProof/>
        </w:rPr>
        <w:t>24</w:t>
      </w:r>
      <w:r>
        <w:rPr>
          <w:noProof/>
        </w:rPr>
        <w:t xml:space="preserve"> miliarde EUR. În ceea ce privește numărul de nereguli raportate, situația este stabilă în comparație cu </w:t>
      </w:r>
      <w:r w:rsidRPr="00D17A39">
        <w:rPr>
          <w:noProof/>
        </w:rPr>
        <w:t>2020</w:t>
      </w:r>
      <w:r>
        <w:rPr>
          <w:noProof/>
        </w:rPr>
        <w:t xml:space="preserve">, cu o scădere minoră de aproximativ </w:t>
      </w:r>
      <w:r w:rsidRPr="00D17A39">
        <w:rPr>
          <w:noProof/>
        </w:rPr>
        <w:t>5</w:t>
      </w:r>
      <w:r>
        <w:rPr>
          <w:noProof/>
        </w:rPr>
        <w:t> %. Cu toate acestea, sumele aferente reflectă o creștere semnificativă față de anul precedent, fiind de peste două ori mai mari (+ </w:t>
      </w:r>
      <w:r w:rsidRPr="00D17A39">
        <w:rPr>
          <w:noProof/>
        </w:rPr>
        <w:t>121</w:t>
      </w:r>
      <w:r>
        <w:rPr>
          <w:noProof/>
        </w:rPr>
        <w:t> %).</w:t>
      </w:r>
    </w:p>
    <w:p w14:paraId="298AF9AF" w14:textId="77777777" w:rsidR="00A25416" w:rsidRDefault="00A25416" w:rsidP="00941F7C">
      <w:pPr>
        <w:rPr>
          <w:noProof/>
        </w:rPr>
      </w:pPr>
      <w:r w:rsidRPr="00261B88">
        <w:rPr>
          <w:b/>
          <w:noProof/>
        </w:rPr>
        <w:t xml:space="preserve">Caseta 3 </w:t>
      </w:r>
      <w:r>
        <w:rPr>
          <w:noProof/>
        </w:rPr>
        <w:t>oferă o scurtă notă metodologică privind modul de interpretare a acestor date și a celor publicate în secțiunile următoare.</w:t>
      </w:r>
    </w:p>
    <w:p w14:paraId="53998052" w14:textId="220D36DD" w:rsidR="00A25416" w:rsidRPr="00261B88" w:rsidRDefault="00A25416" w:rsidP="008721E6">
      <w:pPr>
        <w:pStyle w:val="Caption"/>
        <w:pBdr>
          <w:top w:val="single" w:sz="4" w:space="1" w:color="auto"/>
          <w:left w:val="single" w:sz="4" w:space="4" w:color="auto"/>
          <w:bottom w:val="single" w:sz="4" w:space="1" w:color="auto"/>
          <w:right w:val="single" w:sz="4" w:space="4" w:color="auto"/>
        </w:pBdr>
        <w:shd w:val="clear" w:color="auto" w:fill="E2EFD9" w:themeFill="accent6" w:themeFillTint="33"/>
        <w:rPr>
          <w:noProof/>
        </w:rPr>
      </w:pPr>
      <w:bookmarkStart w:id="71" w:name="_Toc106662324"/>
      <w:r w:rsidRPr="00261B88">
        <w:rPr>
          <w:noProof/>
        </w:rPr>
        <w:t>Caseta </w:t>
      </w:r>
      <w:r w:rsidR="00FD11F8">
        <w:rPr>
          <w:noProof/>
        </w:rPr>
        <w:fldChar w:fldCharType="begin"/>
      </w:r>
      <w:r w:rsidR="00FD11F8">
        <w:rPr>
          <w:noProof/>
        </w:rPr>
        <w:instrText xml:space="preserve"> SEQ Box \* ARABIC </w:instrText>
      </w:r>
      <w:r w:rsidR="00FD11F8">
        <w:rPr>
          <w:noProof/>
        </w:rPr>
        <w:fldChar w:fldCharType="separate"/>
      </w:r>
      <w:r w:rsidRPr="00261B88">
        <w:rPr>
          <w:noProof/>
        </w:rPr>
        <w:t>3</w:t>
      </w:r>
      <w:r w:rsidR="00FD11F8">
        <w:rPr>
          <w:noProof/>
        </w:rPr>
        <w:fldChar w:fldCharType="end"/>
      </w:r>
      <w:r w:rsidRPr="00261B88">
        <w:rPr>
          <w:noProof/>
        </w:rPr>
        <w:t>: Notă metodologică</w:t>
      </w:r>
      <w:bookmarkEnd w:id="71"/>
    </w:p>
    <w:p w14:paraId="11BA3018" w14:textId="77777777" w:rsidR="00A3121D" w:rsidRDefault="002F71B1" w:rsidP="008721E6">
      <w:pPr>
        <w:pBdr>
          <w:top w:val="single" w:sz="4" w:space="1" w:color="auto"/>
          <w:left w:val="single" w:sz="4" w:space="4" w:color="auto"/>
          <w:bottom w:val="single" w:sz="4" w:space="1" w:color="auto"/>
          <w:right w:val="single" w:sz="4" w:space="4" w:color="auto"/>
        </w:pBdr>
        <w:shd w:val="clear" w:color="auto" w:fill="E2EFD9" w:themeFill="accent6" w:themeFillTint="33"/>
        <w:rPr>
          <w:noProof/>
        </w:rPr>
      </w:pPr>
      <w:r>
        <w:rPr>
          <w:noProof/>
        </w:rPr>
        <w:t xml:space="preserve">Raportarea neregulilor face obiectul unor limitări. </w:t>
      </w:r>
    </w:p>
    <w:p w14:paraId="42DCAA26" w14:textId="5E63CD90" w:rsidR="00C458DD" w:rsidRDefault="002F71B1" w:rsidP="008721E6">
      <w:pPr>
        <w:pBdr>
          <w:top w:val="single" w:sz="4" w:space="1" w:color="auto"/>
          <w:left w:val="single" w:sz="4" w:space="4" w:color="auto"/>
          <w:bottom w:val="single" w:sz="4" w:space="1" w:color="auto"/>
          <w:right w:val="single" w:sz="4" w:space="4" w:color="auto"/>
        </w:pBdr>
        <w:shd w:val="clear" w:color="auto" w:fill="E2EFD9" w:themeFill="accent6" w:themeFillTint="33"/>
        <w:rPr>
          <w:noProof/>
        </w:rPr>
      </w:pPr>
      <w:r>
        <w:rPr>
          <w:noProof/>
        </w:rPr>
        <w:t xml:space="preserve">În ceea ce privește RPT, intervalul de timp dintre momentul în care sunt comise neregulile și momentul în care acestea sunt detectate depinde de tipul de control: controalele realizate la momentul acordării liberului de vamă permit o detectare imediată, în timp ce controalele vamale ulterioare sunt efectuate în termenul de trei ani de notificare a unei datorii vamale. Prin urmare, detectarea neregulilor poate dura până la trei ani de la acordarea liberului de vamă pentru bunurile în cauză. Raportarea după detectare se realizează, de obicei, într-o perioadă scurtă de timp, având în vedere termenele legale specifice. </w:t>
      </w:r>
    </w:p>
    <w:p w14:paraId="26783DE9" w14:textId="1106D815" w:rsidR="00A25416" w:rsidRDefault="00C458DD" w:rsidP="008721E6">
      <w:pPr>
        <w:pBdr>
          <w:top w:val="single" w:sz="4" w:space="1" w:color="auto"/>
          <w:left w:val="single" w:sz="4" w:space="4" w:color="auto"/>
          <w:bottom w:val="single" w:sz="4" w:space="1" w:color="auto"/>
          <w:right w:val="single" w:sz="4" w:space="4" w:color="auto"/>
        </w:pBdr>
        <w:shd w:val="clear" w:color="auto" w:fill="E2EFD9" w:themeFill="accent6" w:themeFillTint="33"/>
        <w:rPr>
          <w:noProof/>
        </w:rPr>
      </w:pPr>
      <w:r>
        <w:rPr>
          <w:noProof/>
        </w:rPr>
        <w:t xml:space="preserve">În ceea ce privește cheltuielile, cu excepția neregulilor de natură frauduloasă detectate înainte de efectuarea plății, și anume prevenite, marea majoritate a neregulilor raportate (de natură frauduloasă și de natură nefrauduloasă) sunt detectate în timpul controalelor </w:t>
      </w:r>
      <w:r w:rsidRPr="00261B88">
        <w:rPr>
          <w:i/>
          <w:noProof/>
        </w:rPr>
        <w:t>ex post</w:t>
      </w:r>
      <w:r>
        <w:rPr>
          <w:noProof/>
        </w:rPr>
        <w:t>. Aceasta înseamnă că există un decalaj de timp între momentul în care sunt comise neregulile și momentul în care acestea sunt raportate Comisiei. Acesta este cuprins, în medie, între doi ani și jumătate și trei ani</w:t>
      </w:r>
      <w:r>
        <w:rPr>
          <w:rStyle w:val="FootnoteReference"/>
          <w:noProof/>
        </w:rPr>
        <w:footnoteReference w:id="77"/>
      </w:r>
      <w:r>
        <w:rPr>
          <w:noProof/>
        </w:rPr>
        <w:t xml:space="preserve">. </w:t>
      </w:r>
    </w:p>
    <w:p w14:paraId="6DEBDFC5" w14:textId="123CFC08" w:rsidR="00743C19" w:rsidRDefault="00257B88" w:rsidP="008721E6">
      <w:pPr>
        <w:pBdr>
          <w:top w:val="single" w:sz="4" w:space="1" w:color="auto"/>
          <w:left w:val="single" w:sz="4" w:space="4" w:color="auto"/>
          <w:bottom w:val="single" w:sz="4" w:space="1" w:color="auto"/>
          <w:right w:val="single" w:sz="4" w:space="4" w:color="auto"/>
        </w:pBdr>
        <w:shd w:val="clear" w:color="auto" w:fill="E2EFD9" w:themeFill="accent6" w:themeFillTint="33"/>
        <w:rPr>
          <w:noProof/>
        </w:rPr>
      </w:pPr>
      <w:r>
        <w:rPr>
          <w:noProof/>
        </w:rPr>
        <w:t>O mare parte a cheltuielilor UE urmează, de asemenea, cicluri multianuale, cu o creștere progresivă a execuției până la închiderea programului (de obicei n + </w:t>
      </w:r>
      <w:r w:rsidRPr="00D17A39">
        <w:rPr>
          <w:noProof/>
        </w:rPr>
        <w:t>2</w:t>
      </w:r>
      <w:r>
        <w:rPr>
          <w:noProof/>
        </w:rPr>
        <w:t xml:space="preserve"> sau n + </w:t>
      </w:r>
      <w:r w:rsidRPr="00D17A39">
        <w:rPr>
          <w:noProof/>
        </w:rPr>
        <w:t>3</w:t>
      </w:r>
      <w:r>
        <w:rPr>
          <w:noProof/>
        </w:rPr>
        <w:t xml:space="preserve"> în raport cu ultimul an al ciclului, și anume </w:t>
      </w:r>
      <w:r w:rsidRPr="00D17A39">
        <w:rPr>
          <w:noProof/>
        </w:rPr>
        <w:t>2022</w:t>
      </w:r>
      <w:r>
        <w:rPr>
          <w:noProof/>
        </w:rPr>
        <w:t>-</w:t>
      </w:r>
      <w:r w:rsidRPr="00D17A39">
        <w:rPr>
          <w:noProof/>
        </w:rPr>
        <w:t>2023</w:t>
      </w:r>
      <w:r>
        <w:rPr>
          <w:noProof/>
        </w:rPr>
        <w:t xml:space="preserve"> în raport cu actuala perioadă de programare), ceea ce determină, de asemenea, ani de vârf în raportarea neregulilor.</w:t>
      </w:r>
    </w:p>
    <w:p w14:paraId="0CF47764" w14:textId="599EDDC4" w:rsidR="00743C19" w:rsidRDefault="00743C19" w:rsidP="008721E6">
      <w:pPr>
        <w:pBdr>
          <w:top w:val="single" w:sz="4" w:space="1" w:color="auto"/>
          <w:left w:val="single" w:sz="4" w:space="4" w:color="auto"/>
          <w:bottom w:val="single" w:sz="4" w:space="1" w:color="auto"/>
          <w:right w:val="single" w:sz="4" w:space="4" w:color="auto"/>
        </w:pBdr>
        <w:shd w:val="clear" w:color="auto" w:fill="E2EFD9" w:themeFill="accent6" w:themeFillTint="33"/>
        <w:rPr>
          <w:noProof/>
        </w:rPr>
      </w:pPr>
      <w:r>
        <w:rPr>
          <w:noProof/>
        </w:rPr>
        <w:t>Din aceste motive, comparația de la an la an în ceea ce privește raportarea neregulilor nu oferă o imagine fiabilă a situației, în special în ceea ce privește variațiile referitoare la impactul financiar, deoarece acest lucru ar putea fi influențat de existența a foarte puține cazuri cu valoare ridicată.</w:t>
      </w:r>
    </w:p>
    <w:p w14:paraId="1994DD52" w14:textId="5A653571" w:rsidR="00743C19" w:rsidRPr="00743C19" w:rsidRDefault="00743C19" w:rsidP="008721E6">
      <w:pPr>
        <w:pBdr>
          <w:top w:val="single" w:sz="4" w:space="1" w:color="auto"/>
          <w:left w:val="single" w:sz="4" w:space="4" w:color="auto"/>
          <w:bottom w:val="single" w:sz="4" w:space="1" w:color="auto"/>
          <w:right w:val="single" w:sz="4" w:space="4" w:color="auto"/>
        </w:pBdr>
        <w:shd w:val="clear" w:color="auto" w:fill="E2EFD9" w:themeFill="accent6" w:themeFillTint="33"/>
        <w:rPr>
          <w:noProof/>
        </w:rPr>
      </w:pPr>
      <w:r>
        <w:rPr>
          <w:noProof/>
        </w:rPr>
        <w:t>În consecință, împreună cu variațiile de la an la an, prezentul raport (alături de evaluarea statistică a neregulilor care îl însoțește) prezintă, de asemenea, o perspectivă multianuală (pe perioade de programare pentru politica de coeziune și de preaderare și pe cinci ani pentru celelalte sectoare) pentru a atenua orice denaturare a analizei de către factorii evidențiați mai sus.</w:t>
      </w:r>
    </w:p>
    <w:p w14:paraId="7EFB49C8" w14:textId="77777777" w:rsidR="00FB5CF5" w:rsidRPr="00261B88" w:rsidRDefault="00FB5CF5" w:rsidP="00FB5CF5">
      <w:pPr>
        <w:pStyle w:val="Heading2"/>
        <w:rPr>
          <w:noProof/>
        </w:rPr>
      </w:pPr>
      <w:bookmarkStart w:id="72" w:name="_Toc116029542"/>
      <w:r w:rsidRPr="00261B88">
        <w:rPr>
          <w:noProof/>
        </w:rPr>
        <w:t>Venituri</w:t>
      </w:r>
      <w:bookmarkEnd w:id="72"/>
    </w:p>
    <w:p w14:paraId="2E134D14" w14:textId="77777777" w:rsidR="002871C5" w:rsidRPr="00DC1244" w:rsidRDefault="00A3121D" w:rsidP="00DC1244">
      <w:pPr>
        <w:rPr>
          <w:noProof/>
        </w:rPr>
      </w:pPr>
      <w:r>
        <w:rPr>
          <w:noProof/>
        </w:rPr>
        <w:t xml:space="preserve">În </w:t>
      </w:r>
      <w:r w:rsidRPr="00D17A39">
        <w:rPr>
          <w:noProof/>
        </w:rPr>
        <w:t>2021</w:t>
      </w:r>
      <w:r>
        <w:rPr>
          <w:noProof/>
        </w:rPr>
        <w:t>, Comisia a adoptat o propunere de modificare a Regulamentului privind punerea la dispoziție</w:t>
      </w:r>
      <w:r>
        <w:rPr>
          <w:rStyle w:val="FootnoteReference"/>
          <w:noProof/>
        </w:rPr>
        <w:footnoteReference w:id="78"/>
      </w:r>
      <w:r>
        <w:rPr>
          <w:noProof/>
        </w:rPr>
        <w:t>, cu scopul de a consolida în continuare sistemul de punere la dispoziție a resurselor proprii pentru a asigura efectuarea la timp și cu regularitate a plăților către bugetul UE. În plus, s-a pus în aplicare o nouă strategie de asigurare a respectării legislației, menită să reacționeze mai rapid la riscurile viitoare și să protejeze mai bine resursele proprii tradiționale.</w:t>
      </w:r>
      <w:r>
        <w:rPr>
          <w:noProof/>
          <w:highlight w:val="yellow"/>
        </w:rPr>
        <w:t xml:space="preserve"> </w:t>
      </w:r>
    </w:p>
    <w:p w14:paraId="550BFC72" w14:textId="77777777" w:rsidR="00FB5CF5" w:rsidRPr="00261B88" w:rsidRDefault="006C7D78" w:rsidP="00CD7B44">
      <w:pPr>
        <w:pStyle w:val="Heading3"/>
        <w:rPr>
          <w:noProof/>
        </w:rPr>
      </w:pPr>
      <w:bookmarkStart w:id="73" w:name="_Toc116029543"/>
      <w:r w:rsidRPr="00261B88">
        <w:rPr>
          <w:noProof/>
        </w:rPr>
        <w:t>Frauda în domeniul TVA</w:t>
      </w:r>
      <w:bookmarkEnd w:id="73"/>
    </w:p>
    <w:p w14:paraId="47E08AC3" w14:textId="0A49BEF8" w:rsidR="006C7D78" w:rsidRDefault="002B1B19" w:rsidP="006C7D78">
      <w:pPr>
        <w:rPr>
          <w:noProof/>
        </w:rPr>
      </w:pPr>
      <w:r>
        <w:rPr>
          <w:noProof/>
        </w:rPr>
        <w:t xml:space="preserve">EPPO deține competența de a investiga infracțiunile grave împotriva sistemului comun privind TVA. Astfel de infracțiuni ar trebui să aibă legătură cu teritoriul a două sau mai multe state membre și să implice un prejudiciu total de cel puțin </w:t>
      </w:r>
      <w:r w:rsidRPr="00D17A39">
        <w:rPr>
          <w:noProof/>
        </w:rPr>
        <w:t>10</w:t>
      </w:r>
      <w:r>
        <w:rPr>
          <w:noProof/>
        </w:rPr>
        <w:t> milioane EUR.</w:t>
      </w:r>
    </w:p>
    <w:p w14:paraId="0C384385" w14:textId="4A2FF627" w:rsidR="002B1B19" w:rsidRPr="006C7D78" w:rsidRDefault="002B1B19" w:rsidP="006C7D78">
      <w:pPr>
        <w:rPr>
          <w:noProof/>
        </w:rPr>
      </w:pPr>
      <w:r>
        <w:rPr>
          <w:noProof/>
        </w:rPr>
        <w:t xml:space="preserve">În </w:t>
      </w:r>
      <w:r w:rsidRPr="00D17A39">
        <w:rPr>
          <w:noProof/>
        </w:rPr>
        <w:t>2021</w:t>
      </w:r>
      <w:r>
        <w:rPr>
          <w:noProof/>
        </w:rPr>
        <w:t xml:space="preserve">, EPPO a investigat </w:t>
      </w:r>
      <w:r w:rsidRPr="00D17A39">
        <w:rPr>
          <w:noProof/>
        </w:rPr>
        <w:t>91</w:t>
      </w:r>
      <w:r>
        <w:rPr>
          <w:noProof/>
        </w:rPr>
        <w:t xml:space="preserve"> de astfel de cazuri, cu prejudicii estimate la </w:t>
      </w:r>
      <w:r w:rsidRPr="00D17A39">
        <w:rPr>
          <w:noProof/>
        </w:rPr>
        <w:t>2</w:t>
      </w:r>
      <w:r>
        <w:rPr>
          <w:noProof/>
        </w:rPr>
        <w:t>,</w:t>
      </w:r>
      <w:r w:rsidRPr="00D17A39">
        <w:rPr>
          <w:noProof/>
        </w:rPr>
        <w:t>5</w:t>
      </w:r>
      <w:r>
        <w:rPr>
          <w:noProof/>
        </w:rPr>
        <w:t> miliarde EUR</w:t>
      </w:r>
      <w:r>
        <w:rPr>
          <w:rStyle w:val="FootnoteReference"/>
          <w:noProof/>
        </w:rPr>
        <w:footnoteReference w:id="79"/>
      </w:r>
      <w:r>
        <w:rPr>
          <w:noProof/>
        </w:rPr>
        <w:t>.</w:t>
      </w:r>
    </w:p>
    <w:p w14:paraId="6582EF46" w14:textId="001B55DF" w:rsidR="00FB5CF5" w:rsidRPr="00261B88" w:rsidRDefault="006C7D78" w:rsidP="00CD7B44">
      <w:pPr>
        <w:pStyle w:val="Heading3"/>
        <w:rPr>
          <w:noProof/>
        </w:rPr>
      </w:pPr>
      <w:bookmarkStart w:id="74" w:name="_Toc116029544"/>
      <w:r w:rsidRPr="00261B88">
        <w:rPr>
          <w:noProof/>
        </w:rPr>
        <w:t>Resursele proprii tradiționale</w:t>
      </w:r>
      <w:bookmarkEnd w:id="74"/>
    </w:p>
    <w:p w14:paraId="6B2245D7" w14:textId="017BEE45" w:rsidR="002D6EFC" w:rsidRDefault="002D6EFC" w:rsidP="006C7D78">
      <w:pPr>
        <w:rPr>
          <w:noProof/>
        </w:rPr>
      </w:pPr>
      <w:r>
        <w:rPr>
          <w:noProof/>
        </w:rPr>
        <w:t xml:space="preserve">În </w:t>
      </w:r>
      <w:r w:rsidRPr="00D17A39">
        <w:rPr>
          <w:noProof/>
        </w:rPr>
        <w:t>2021</w:t>
      </w:r>
      <w:r>
        <w:rPr>
          <w:noProof/>
        </w:rPr>
        <w:t>, pandemia de COVID-</w:t>
      </w:r>
      <w:r w:rsidRPr="00D17A39">
        <w:rPr>
          <w:noProof/>
        </w:rPr>
        <w:t>19</w:t>
      </w:r>
      <w:r>
        <w:rPr>
          <w:noProof/>
        </w:rPr>
        <w:t xml:space="preserve"> a continuat să afecteze viețile tuturor persoanelor și întreprinderilor din UE. În timp ce, în </w:t>
      </w:r>
      <w:r w:rsidRPr="00D17A39">
        <w:rPr>
          <w:noProof/>
        </w:rPr>
        <w:t>2020</w:t>
      </w:r>
      <w:r>
        <w:rPr>
          <w:noProof/>
        </w:rPr>
        <w:t xml:space="preserve">, pandemia s-a resimțit ca o situație de urgență, în </w:t>
      </w:r>
      <w:r w:rsidRPr="00D17A39">
        <w:rPr>
          <w:noProof/>
        </w:rPr>
        <w:t>2021</w:t>
      </w:r>
      <w:r>
        <w:rPr>
          <w:noProof/>
        </w:rPr>
        <w:t xml:space="preserve"> a devenit un fapt dat, după cum o atestă cifrele pentru volumele importurilor: după scăderea șocantă de </w:t>
      </w:r>
      <w:r w:rsidRPr="00D17A39">
        <w:rPr>
          <w:noProof/>
        </w:rPr>
        <w:t>11</w:t>
      </w:r>
      <w:r>
        <w:rPr>
          <w:noProof/>
        </w:rPr>
        <w:t>,</w:t>
      </w:r>
      <w:r w:rsidRPr="00D17A39">
        <w:rPr>
          <w:noProof/>
        </w:rPr>
        <w:t>6</w:t>
      </w:r>
      <w:r>
        <w:rPr>
          <w:noProof/>
        </w:rPr>
        <w:t> % a importurilor UE-</w:t>
      </w:r>
      <w:r w:rsidRPr="00D17A39">
        <w:rPr>
          <w:noProof/>
        </w:rPr>
        <w:t>27</w:t>
      </w:r>
      <w:r>
        <w:rPr>
          <w:noProof/>
        </w:rPr>
        <w:t xml:space="preserve"> în </w:t>
      </w:r>
      <w:r w:rsidRPr="00D17A39">
        <w:rPr>
          <w:noProof/>
        </w:rPr>
        <w:t>2020</w:t>
      </w:r>
      <w:r>
        <w:rPr>
          <w:noProof/>
        </w:rPr>
        <w:t xml:space="preserve">, acestea au crescut în </w:t>
      </w:r>
      <w:r w:rsidRPr="00D17A39">
        <w:rPr>
          <w:noProof/>
        </w:rPr>
        <w:t>2021</w:t>
      </w:r>
      <w:r>
        <w:rPr>
          <w:noProof/>
        </w:rPr>
        <w:t xml:space="preserve"> cu </w:t>
      </w:r>
      <w:r w:rsidRPr="00D17A39">
        <w:rPr>
          <w:noProof/>
        </w:rPr>
        <w:t>23</w:t>
      </w:r>
      <w:r>
        <w:rPr>
          <w:noProof/>
        </w:rPr>
        <w:t> %.</w:t>
      </w:r>
    </w:p>
    <w:p w14:paraId="148FE5F7" w14:textId="374819BA" w:rsidR="006C7D78" w:rsidRPr="00296A29" w:rsidRDefault="006C7D78" w:rsidP="004E5CFD">
      <w:pPr>
        <w:pageBreakBefore/>
        <w:rPr>
          <w:noProof/>
        </w:rPr>
      </w:pPr>
      <w:bookmarkStart w:id="75" w:name="_Toc106662327"/>
      <w:r w:rsidRPr="00261B88">
        <w:rPr>
          <w:b/>
          <w:i/>
          <w:noProof/>
        </w:rPr>
        <w:t>Tabelul </w:t>
      </w:r>
      <w:r w:rsidRPr="00261B88">
        <w:rPr>
          <w:b/>
          <w:i/>
          <w:noProof/>
        </w:rPr>
        <w:fldChar w:fldCharType="begin"/>
      </w:r>
      <w:r w:rsidRPr="00261B88">
        <w:rPr>
          <w:b/>
          <w:i/>
          <w:noProof/>
        </w:rPr>
        <w:instrText xml:space="preserve"> SEQ Table \* ARABIC </w:instrText>
      </w:r>
      <w:r w:rsidRPr="00261B88">
        <w:rPr>
          <w:b/>
          <w:i/>
          <w:noProof/>
        </w:rPr>
        <w:fldChar w:fldCharType="separate"/>
      </w:r>
      <w:r w:rsidRPr="00261B88">
        <w:rPr>
          <w:b/>
          <w:i/>
          <w:noProof/>
        </w:rPr>
        <w:t>3</w:t>
      </w:r>
      <w:r w:rsidRPr="00261B88">
        <w:rPr>
          <w:b/>
          <w:i/>
          <w:noProof/>
        </w:rPr>
        <w:fldChar w:fldCharType="end"/>
      </w:r>
      <w:r w:rsidRPr="00261B88">
        <w:rPr>
          <w:b/>
          <w:i/>
          <w:noProof/>
        </w:rPr>
        <w:t>– Venituri: Nereguli detectate și raportate de statele membre – RPT – în 2021</w:t>
      </w:r>
      <w:bookmarkEnd w:id="75"/>
    </w:p>
    <w:tbl>
      <w:tblPr>
        <w:tblW w:w="8299" w:type="dxa"/>
        <w:tblInd w:w="113" w:type="dxa"/>
        <w:tblLook w:val="04A0" w:firstRow="1" w:lastRow="0" w:firstColumn="1" w:lastColumn="0" w:noHBand="0" w:noVBand="1"/>
      </w:tblPr>
      <w:tblGrid>
        <w:gridCol w:w="1691"/>
        <w:gridCol w:w="1272"/>
        <w:gridCol w:w="1160"/>
        <w:gridCol w:w="19"/>
        <w:gridCol w:w="1084"/>
        <w:gridCol w:w="1168"/>
        <w:gridCol w:w="11"/>
        <w:gridCol w:w="1091"/>
        <w:gridCol w:w="8"/>
        <w:gridCol w:w="1217"/>
      </w:tblGrid>
      <w:tr w:rsidR="0065052A" w:rsidRPr="006C5247" w14:paraId="2E2EB7EF" w14:textId="77777777" w:rsidTr="00A27EF6">
        <w:trPr>
          <w:trHeight w:val="585"/>
        </w:trPr>
        <w:tc>
          <w:tcPr>
            <w:tcW w:w="1696" w:type="dxa"/>
            <w:tcBorders>
              <w:top w:val="single" w:sz="4" w:space="0" w:color="9BC2E6"/>
              <w:left w:val="single" w:sz="4" w:space="0" w:color="9BC2E6"/>
              <w:bottom w:val="single" w:sz="4" w:space="0" w:color="9BC2E6"/>
              <w:right w:val="single" w:sz="4" w:space="0" w:color="9BC2E6"/>
            </w:tcBorders>
            <w:shd w:val="clear" w:color="5B9BD5" w:fill="5B9BD5"/>
            <w:noWrap/>
            <w:vAlign w:val="center"/>
            <w:hideMark/>
          </w:tcPr>
          <w:p w14:paraId="6F76014E" w14:textId="77777777" w:rsidR="006C7D78" w:rsidRPr="006C5247" w:rsidRDefault="006C7D78" w:rsidP="00A27EF6">
            <w:pPr>
              <w:spacing w:after="0"/>
              <w:jc w:val="center"/>
              <w:rPr>
                <w:rFonts w:ascii="Calibri" w:hAnsi="Calibri" w:cs="Calibri"/>
                <w:b/>
                <w:bCs/>
                <w:noProof/>
                <w:color w:val="FFFFFF"/>
                <w:szCs w:val="22"/>
              </w:rPr>
            </w:pPr>
            <w:r w:rsidRPr="00261B88">
              <w:rPr>
                <w:rFonts w:ascii="Calibri" w:hAnsi="Calibri"/>
                <w:b/>
                <w:noProof/>
                <w:color w:val="FFFFFF"/>
              </w:rPr>
              <w:t>Sectorul bugetar</w:t>
            </w:r>
          </w:p>
        </w:tc>
        <w:tc>
          <w:tcPr>
            <w:tcW w:w="2027" w:type="dxa"/>
            <w:gridSpan w:val="2"/>
            <w:tcBorders>
              <w:top w:val="single" w:sz="4" w:space="0" w:color="9BC2E6"/>
              <w:left w:val="single" w:sz="4" w:space="0" w:color="9BC2E6"/>
              <w:bottom w:val="single" w:sz="4" w:space="0" w:color="9BC2E6"/>
            </w:tcBorders>
            <w:shd w:val="clear" w:color="5B9BD5" w:fill="5B9BD5"/>
            <w:vAlign w:val="center"/>
            <w:hideMark/>
          </w:tcPr>
          <w:p w14:paraId="1D1CFF9B" w14:textId="0E6B34C4" w:rsidR="006C7D78" w:rsidRPr="006C5247" w:rsidRDefault="006C7D78" w:rsidP="00A27EF6">
            <w:pPr>
              <w:spacing w:after="0"/>
              <w:jc w:val="center"/>
              <w:rPr>
                <w:rFonts w:ascii="Calibri" w:hAnsi="Calibri" w:cs="Calibri"/>
                <w:b/>
                <w:bCs/>
                <w:noProof/>
                <w:color w:val="FFFFFF"/>
                <w:szCs w:val="22"/>
              </w:rPr>
            </w:pPr>
            <w:r w:rsidRPr="00261B88">
              <w:rPr>
                <w:rFonts w:ascii="Calibri" w:hAnsi="Calibri"/>
                <w:b/>
                <w:noProof/>
                <w:color w:val="FFFFFF"/>
              </w:rPr>
              <w:t>Nereguli de natură frauduloasă</w:t>
            </w:r>
          </w:p>
        </w:tc>
        <w:tc>
          <w:tcPr>
            <w:tcW w:w="2249" w:type="dxa"/>
            <w:gridSpan w:val="3"/>
            <w:tcBorders>
              <w:top w:val="single" w:sz="4" w:space="0" w:color="9BC2E6"/>
              <w:left w:val="nil"/>
              <w:bottom w:val="single" w:sz="4" w:space="0" w:color="9BC2E6"/>
              <w:right w:val="single" w:sz="4" w:space="0" w:color="9BC2E6"/>
            </w:tcBorders>
            <w:shd w:val="clear" w:color="5B9BD5" w:fill="5B9BD5"/>
            <w:vAlign w:val="center"/>
            <w:hideMark/>
          </w:tcPr>
          <w:p w14:paraId="7C8690EE" w14:textId="77777777" w:rsidR="006C7D78" w:rsidRPr="006C5247" w:rsidRDefault="006C7D78" w:rsidP="00A27EF6">
            <w:pPr>
              <w:spacing w:after="0"/>
              <w:jc w:val="center"/>
              <w:rPr>
                <w:rFonts w:ascii="Calibri" w:hAnsi="Calibri" w:cs="Calibri"/>
                <w:b/>
                <w:bCs/>
                <w:noProof/>
                <w:color w:val="FFFFFF"/>
                <w:szCs w:val="22"/>
              </w:rPr>
            </w:pPr>
            <w:r w:rsidRPr="00261B88">
              <w:rPr>
                <w:rFonts w:ascii="Calibri" w:hAnsi="Calibri"/>
                <w:b/>
                <w:noProof/>
                <w:color w:val="FFFFFF"/>
              </w:rPr>
              <w:t>Nereguli de natură nefrauduloasă</w:t>
            </w:r>
          </w:p>
        </w:tc>
        <w:tc>
          <w:tcPr>
            <w:tcW w:w="1100" w:type="dxa"/>
            <w:gridSpan w:val="2"/>
            <w:tcBorders>
              <w:top w:val="single" w:sz="4" w:space="0" w:color="9BC2E6"/>
              <w:left w:val="single" w:sz="4" w:space="0" w:color="9BC2E6"/>
              <w:bottom w:val="single" w:sz="4" w:space="0" w:color="9BC2E6"/>
              <w:right w:val="single" w:sz="4" w:space="0" w:color="9BC2E6"/>
            </w:tcBorders>
            <w:shd w:val="clear" w:color="5B9BD5" w:fill="5B9BD5"/>
            <w:vAlign w:val="bottom"/>
            <w:hideMark/>
          </w:tcPr>
          <w:p w14:paraId="5173006F" w14:textId="77777777" w:rsidR="006C7D78" w:rsidRPr="006C5247" w:rsidRDefault="006C7D78" w:rsidP="00A27EF6">
            <w:pPr>
              <w:spacing w:after="0"/>
              <w:jc w:val="center"/>
              <w:rPr>
                <w:rFonts w:ascii="Calibri" w:hAnsi="Calibri" w:cs="Calibri"/>
                <w:b/>
                <w:bCs/>
                <w:noProof/>
                <w:color w:val="FFFFFF"/>
                <w:szCs w:val="22"/>
              </w:rPr>
            </w:pPr>
            <w:r w:rsidRPr="00261B88">
              <w:rPr>
                <w:rFonts w:ascii="Calibri" w:hAnsi="Calibri"/>
                <w:b/>
                <w:noProof/>
                <w:color w:val="FFFFFF"/>
              </w:rPr>
              <w:t>RDF</w:t>
            </w:r>
            <w:r>
              <w:rPr>
                <w:rStyle w:val="FootnoteReference"/>
                <w:rFonts w:ascii="Calibri" w:hAnsi="Calibri" w:cs="Calibri"/>
                <w:bCs/>
                <w:noProof/>
                <w:color w:val="FFFFFF"/>
                <w:szCs w:val="22"/>
              </w:rPr>
              <w:footnoteReference w:id="80"/>
            </w:r>
          </w:p>
        </w:tc>
        <w:tc>
          <w:tcPr>
            <w:tcW w:w="1227" w:type="dxa"/>
            <w:gridSpan w:val="2"/>
            <w:tcBorders>
              <w:top w:val="single" w:sz="4" w:space="0" w:color="9BC2E6"/>
              <w:left w:val="single" w:sz="4" w:space="0" w:color="9BC2E6"/>
              <w:bottom w:val="single" w:sz="4" w:space="0" w:color="9BC2E6"/>
              <w:right w:val="single" w:sz="4" w:space="0" w:color="9BC2E6"/>
            </w:tcBorders>
            <w:shd w:val="clear" w:color="5B9BD5" w:fill="5B9BD5"/>
            <w:vAlign w:val="bottom"/>
            <w:hideMark/>
          </w:tcPr>
          <w:p w14:paraId="43E47379" w14:textId="77777777" w:rsidR="006C7D78" w:rsidRPr="00261B88" w:rsidRDefault="006C7D78" w:rsidP="00A27EF6">
            <w:pPr>
              <w:spacing w:after="0"/>
              <w:jc w:val="center"/>
              <w:rPr>
                <w:rFonts w:ascii="Calibri" w:hAnsi="Calibri" w:cs="Calibri"/>
                <w:b/>
                <w:bCs/>
                <w:noProof/>
                <w:color w:val="FFFFFF"/>
                <w:szCs w:val="22"/>
              </w:rPr>
            </w:pPr>
            <w:r w:rsidRPr="00261B88">
              <w:rPr>
                <w:rFonts w:ascii="Calibri" w:hAnsi="Calibri"/>
                <w:b/>
                <w:noProof/>
                <w:color w:val="FFFFFF"/>
              </w:rPr>
              <w:t>RDN</w:t>
            </w:r>
            <w:r>
              <w:rPr>
                <w:rStyle w:val="FootnoteReference"/>
                <w:rFonts w:ascii="Calibri" w:hAnsi="Calibri" w:cs="Calibri"/>
                <w:bCs/>
                <w:noProof/>
                <w:color w:val="FFFFFF"/>
                <w:szCs w:val="22"/>
              </w:rPr>
              <w:footnoteReference w:id="81"/>
            </w:r>
          </w:p>
        </w:tc>
      </w:tr>
      <w:tr w:rsidR="0065052A" w:rsidRPr="006C5247" w14:paraId="14BE1568" w14:textId="77777777" w:rsidTr="00A27EF6">
        <w:trPr>
          <w:trHeight w:val="300"/>
        </w:trPr>
        <w:tc>
          <w:tcPr>
            <w:tcW w:w="1696" w:type="dxa"/>
            <w:tcBorders>
              <w:top w:val="single" w:sz="4" w:space="0" w:color="9BC2E6"/>
              <w:left w:val="single" w:sz="4" w:space="0" w:color="9BC2E6"/>
              <w:bottom w:val="single" w:sz="4" w:space="0" w:color="9BC2E6"/>
              <w:right w:val="single" w:sz="4" w:space="0" w:color="9BC2E6"/>
            </w:tcBorders>
            <w:shd w:val="clear" w:color="DDEBF7" w:fill="DDEBF7"/>
            <w:noWrap/>
            <w:vAlign w:val="center"/>
            <w:hideMark/>
          </w:tcPr>
          <w:p w14:paraId="51531088" w14:textId="77777777" w:rsidR="006C7D78" w:rsidRPr="00261B88" w:rsidRDefault="006C7D78" w:rsidP="00A27EF6">
            <w:pPr>
              <w:spacing w:after="0"/>
              <w:jc w:val="center"/>
              <w:rPr>
                <w:rFonts w:ascii="Calibri" w:hAnsi="Calibri" w:cs="Calibri"/>
                <w:b/>
                <w:bCs/>
                <w:noProof/>
                <w:color w:val="FFFFFF"/>
                <w:szCs w:val="22"/>
              </w:rPr>
            </w:pPr>
          </w:p>
        </w:tc>
        <w:tc>
          <w:tcPr>
            <w:tcW w:w="1276" w:type="dxa"/>
            <w:tcBorders>
              <w:top w:val="single" w:sz="4" w:space="0" w:color="9BC2E6"/>
              <w:left w:val="single" w:sz="4" w:space="0" w:color="9BC2E6"/>
              <w:bottom w:val="single" w:sz="4" w:space="0" w:color="9BC2E6"/>
              <w:right w:val="nil"/>
            </w:tcBorders>
            <w:shd w:val="clear" w:color="DDEBF7" w:fill="DDEBF7"/>
            <w:noWrap/>
            <w:vAlign w:val="bottom"/>
            <w:hideMark/>
          </w:tcPr>
          <w:p w14:paraId="7AAE20E5" w14:textId="77777777" w:rsidR="006C7D78" w:rsidRPr="006C5247" w:rsidRDefault="006C7D78" w:rsidP="00A27EF6">
            <w:pPr>
              <w:spacing w:after="0"/>
              <w:jc w:val="center"/>
              <w:rPr>
                <w:rFonts w:ascii="Calibri" w:hAnsi="Calibri" w:cs="Calibri"/>
                <w:noProof/>
                <w:color w:val="000000"/>
                <w:sz w:val="16"/>
                <w:szCs w:val="16"/>
              </w:rPr>
            </w:pPr>
            <w:r>
              <w:rPr>
                <w:rFonts w:ascii="Calibri" w:hAnsi="Calibri"/>
                <w:noProof/>
                <w:color w:val="000000"/>
                <w:sz w:val="16"/>
              </w:rPr>
              <w:t>N</w:t>
            </w:r>
          </w:p>
        </w:tc>
        <w:tc>
          <w:tcPr>
            <w:tcW w:w="757" w:type="dxa"/>
            <w:gridSpan w:val="2"/>
            <w:tcBorders>
              <w:top w:val="single" w:sz="4" w:space="0" w:color="9BC2E6"/>
              <w:left w:val="nil"/>
              <w:bottom w:val="single" w:sz="4" w:space="0" w:color="9BC2E6"/>
            </w:tcBorders>
            <w:shd w:val="clear" w:color="DDEBF7" w:fill="DDEBF7"/>
            <w:noWrap/>
            <w:vAlign w:val="bottom"/>
            <w:hideMark/>
          </w:tcPr>
          <w:p w14:paraId="0530FC30" w14:textId="77777777" w:rsidR="006C7D78" w:rsidRPr="006C5247" w:rsidRDefault="006C7D78" w:rsidP="00A27EF6">
            <w:pPr>
              <w:spacing w:after="0"/>
              <w:jc w:val="center"/>
              <w:rPr>
                <w:rFonts w:ascii="Calibri" w:hAnsi="Calibri" w:cs="Calibri"/>
                <w:noProof/>
                <w:color w:val="000000"/>
                <w:sz w:val="16"/>
                <w:szCs w:val="16"/>
              </w:rPr>
            </w:pPr>
            <w:r>
              <w:rPr>
                <w:rFonts w:ascii="Calibri" w:hAnsi="Calibri"/>
                <w:noProof/>
                <w:color w:val="000000"/>
                <w:sz w:val="16"/>
              </w:rPr>
              <w:t>EUR (milioane)</w:t>
            </w:r>
          </w:p>
        </w:tc>
        <w:tc>
          <w:tcPr>
            <w:tcW w:w="1086" w:type="dxa"/>
            <w:tcBorders>
              <w:top w:val="single" w:sz="4" w:space="0" w:color="9BC2E6"/>
              <w:left w:val="nil"/>
              <w:bottom w:val="single" w:sz="4" w:space="0" w:color="9BC2E6"/>
              <w:right w:val="nil"/>
            </w:tcBorders>
            <w:shd w:val="clear" w:color="DDEBF7" w:fill="DDEBF7"/>
            <w:noWrap/>
            <w:vAlign w:val="bottom"/>
            <w:hideMark/>
          </w:tcPr>
          <w:p w14:paraId="43476ED1" w14:textId="77777777" w:rsidR="006C7D78" w:rsidRPr="006C5247" w:rsidRDefault="006C7D78" w:rsidP="00A27EF6">
            <w:pPr>
              <w:spacing w:after="0"/>
              <w:jc w:val="center"/>
              <w:rPr>
                <w:rFonts w:ascii="Calibri" w:hAnsi="Calibri" w:cs="Calibri"/>
                <w:noProof/>
                <w:color w:val="000000"/>
                <w:sz w:val="16"/>
                <w:szCs w:val="16"/>
              </w:rPr>
            </w:pPr>
            <w:r>
              <w:rPr>
                <w:rFonts w:ascii="Calibri" w:hAnsi="Calibri"/>
                <w:noProof/>
                <w:color w:val="000000"/>
                <w:sz w:val="16"/>
              </w:rPr>
              <w:t>N</w:t>
            </w:r>
          </w:p>
        </w:tc>
        <w:tc>
          <w:tcPr>
            <w:tcW w:w="1164" w:type="dxa"/>
            <w:gridSpan w:val="2"/>
            <w:tcBorders>
              <w:top w:val="single" w:sz="4" w:space="0" w:color="9BC2E6"/>
              <w:left w:val="nil"/>
              <w:bottom w:val="single" w:sz="4" w:space="0" w:color="9BC2E6"/>
              <w:right w:val="single" w:sz="4" w:space="0" w:color="9BC2E6"/>
            </w:tcBorders>
            <w:shd w:val="clear" w:color="DDEBF7" w:fill="DDEBF7"/>
            <w:noWrap/>
            <w:vAlign w:val="bottom"/>
            <w:hideMark/>
          </w:tcPr>
          <w:p w14:paraId="2673164D" w14:textId="77777777" w:rsidR="006C7D78" w:rsidRPr="006C5247" w:rsidRDefault="006C7D78" w:rsidP="00A27EF6">
            <w:pPr>
              <w:spacing w:after="0"/>
              <w:jc w:val="center"/>
              <w:rPr>
                <w:rFonts w:ascii="Calibri" w:hAnsi="Calibri" w:cs="Calibri"/>
                <w:noProof/>
                <w:color w:val="000000"/>
                <w:sz w:val="16"/>
                <w:szCs w:val="16"/>
              </w:rPr>
            </w:pPr>
            <w:r>
              <w:rPr>
                <w:rFonts w:ascii="Calibri" w:hAnsi="Calibri"/>
                <w:noProof/>
                <w:color w:val="000000"/>
                <w:sz w:val="16"/>
              </w:rPr>
              <w:t>EUR (milioane)</w:t>
            </w:r>
          </w:p>
        </w:tc>
        <w:tc>
          <w:tcPr>
            <w:tcW w:w="1100" w:type="dxa"/>
            <w:gridSpan w:val="2"/>
            <w:tcBorders>
              <w:top w:val="single" w:sz="4" w:space="0" w:color="9BC2E6"/>
              <w:left w:val="single" w:sz="4" w:space="0" w:color="9BC2E6"/>
              <w:bottom w:val="single" w:sz="4" w:space="0" w:color="9BC2E6"/>
              <w:right w:val="single" w:sz="4" w:space="0" w:color="9BC2E6"/>
            </w:tcBorders>
            <w:shd w:val="clear" w:color="DDEBF7" w:fill="DDEBF7"/>
            <w:noWrap/>
            <w:vAlign w:val="bottom"/>
            <w:hideMark/>
          </w:tcPr>
          <w:p w14:paraId="282B61AA" w14:textId="77777777" w:rsidR="006C7D78" w:rsidRPr="006C5247" w:rsidRDefault="006C7D78" w:rsidP="00A27EF6">
            <w:pPr>
              <w:spacing w:after="0"/>
              <w:jc w:val="center"/>
              <w:rPr>
                <w:rFonts w:ascii="Calibri" w:hAnsi="Calibri" w:cs="Calibri"/>
                <w:noProof/>
                <w:color w:val="000000"/>
                <w:sz w:val="16"/>
                <w:szCs w:val="16"/>
              </w:rPr>
            </w:pPr>
            <w:r>
              <w:rPr>
                <w:rFonts w:ascii="Calibri" w:hAnsi="Calibri"/>
                <w:noProof/>
                <w:color w:val="000000"/>
                <w:sz w:val="16"/>
              </w:rPr>
              <w:t>%</w:t>
            </w:r>
          </w:p>
        </w:tc>
        <w:tc>
          <w:tcPr>
            <w:tcW w:w="1220" w:type="dxa"/>
            <w:tcBorders>
              <w:top w:val="single" w:sz="4" w:space="0" w:color="9BC2E6"/>
              <w:left w:val="single" w:sz="4" w:space="0" w:color="9BC2E6"/>
              <w:bottom w:val="single" w:sz="4" w:space="0" w:color="9BC2E6"/>
              <w:right w:val="single" w:sz="4" w:space="0" w:color="9BC2E6"/>
            </w:tcBorders>
            <w:shd w:val="clear" w:color="DDEBF7" w:fill="DDEBF7"/>
            <w:noWrap/>
            <w:vAlign w:val="bottom"/>
            <w:hideMark/>
          </w:tcPr>
          <w:p w14:paraId="234E7A7F" w14:textId="77777777" w:rsidR="006C7D78" w:rsidRPr="006C5247" w:rsidRDefault="006C7D78" w:rsidP="00A27EF6">
            <w:pPr>
              <w:spacing w:after="0"/>
              <w:jc w:val="center"/>
              <w:rPr>
                <w:rFonts w:ascii="Calibri" w:hAnsi="Calibri" w:cs="Calibri"/>
                <w:noProof/>
                <w:color w:val="000000"/>
                <w:sz w:val="16"/>
                <w:szCs w:val="16"/>
              </w:rPr>
            </w:pPr>
            <w:r>
              <w:rPr>
                <w:rFonts w:ascii="Calibri" w:hAnsi="Calibri"/>
                <w:noProof/>
                <w:color w:val="000000"/>
                <w:sz w:val="16"/>
              </w:rPr>
              <w:t>%</w:t>
            </w:r>
          </w:p>
        </w:tc>
      </w:tr>
      <w:tr w:rsidR="0065052A" w:rsidRPr="00374350" w14:paraId="7F62E42E" w14:textId="77777777" w:rsidTr="00374350">
        <w:trPr>
          <w:trHeight w:val="300"/>
        </w:trPr>
        <w:tc>
          <w:tcPr>
            <w:tcW w:w="1696" w:type="dxa"/>
            <w:tcBorders>
              <w:top w:val="single" w:sz="4" w:space="0" w:color="9BC2E6"/>
              <w:left w:val="single" w:sz="4" w:space="0" w:color="9BC2E6"/>
              <w:bottom w:val="single" w:sz="4" w:space="0" w:color="9BC2E6"/>
              <w:right w:val="single" w:sz="4" w:space="0" w:color="9BC2E6"/>
            </w:tcBorders>
            <w:shd w:val="clear" w:color="auto" w:fill="auto"/>
            <w:noWrap/>
            <w:vAlign w:val="bottom"/>
          </w:tcPr>
          <w:p w14:paraId="5B480441" w14:textId="290EAD14" w:rsidR="00374350" w:rsidRPr="00261B88" w:rsidRDefault="00374350" w:rsidP="00A27EF6">
            <w:pPr>
              <w:spacing w:after="0"/>
              <w:jc w:val="left"/>
              <w:rPr>
                <w:rFonts w:ascii="Calibri" w:hAnsi="Calibri" w:cs="Calibri"/>
                <w:b/>
                <w:bCs/>
                <w:noProof/>
                <w:color w:val="000000"/>
                <w:szCs w:val="22"/>
              </w:rPr>
            </w:pPr>
            <w:r w:rsidRPr="00261B88">
              <w:rPr>
                <w:rFonts w:ascii="Calibri" w:hAnsi="Calibri"/>
                <w:b/>
                <w:noProof/>
                <w:color w:val="000000"/>
              </w:rPr>
              <w:t xml:space="preserve">Resurse proprii tradiționale </w:t>
            </w:r>
          </w:p>
          <w:p w14:paraId="74D82AC5" w14:textId="78D12D9C" w:rsidR="006C7D78" w:rsidRPr="00374350" w:rsidRDefault="006C7D78" w:rsidP="00A27EF6">
            <w:pPr>
              <w:spacing w:after="0"/>
              <w:jc w:val="left"/>
              <w:rPr>
                <w:rFonts w:ascii="Calibri" w:hAnsi="Calibri" w:cs="Calibri"/>
                <w:b/>
                <w:bCs/>
                <w:noProof/>
                <w:color w:val="000000"/>
                <w:szCs w:val="22"/>
              </w:rPr>
            </w:pPr>
            <w:r w:rsidRPr="00261B88">
              <w:rPr>
                <w:rFonts w:ascii="Calibri" w:hAnsi="Calibri"/>
                <w:b/>
                <w:noProof/>
                <w:color w:val="000000"/>
              </w:rPr>
              <w:t>UE-27</w:t>
            </w:r>
          </w:p>
        </w:tc>
        <w:tc>
          <w:tcPr>
            <w:tcW w:w="1276" w:type="dxa"/>
            <w:tcBorders>
              <w:top w:val="single" w:sz="4" w:space="0" w:color="9BC2E6"/>
              <w:left w:val="single" w:sz="4" w:space="0" w:color="9BC2E6"/>
              <w:bottom w:val="single" w:sz="4" w:space="0" w:color="9BC2E6"/>
              <w:right w:val="nil"/>
            </w:tcBorders>
            <w:shd w:val="clear" w:color="auto" w:fill="auto"/>
            <w:noWrap/>
            <w:vAlign w:val="bottom"/>
          </w:tcPr>
          <w:p w14:paraId="23EDBCC2" w14:textId="1982AD02" w:rsidR="006C7D78" w:rsidRPr="00374350" w:rsidRDefault="006C7D78" w:rsidP="00374350">
            <w:pPr>
              <w:spacing w:after="0"/>
              <w:jc w:val="left"/>
              <w:rPr>
                <w:rFonts w:ascii="Calibri" w:hAnsi="Calibri" w:cs="Calibri"/>
                <w:b/>
                <w:bCs/>
                <w:noProof/>
                <w:color w:val="000000"/>
                <w:szCs w:val="22"/>
              </w:rPr>
            </w:pPr>
            <w:r w:rsidRPr="00261B88">
              <w:rPr>
                <w:rFonts w:ascii="Calibri" w:hAnsi="Calibri"/>
                <w:b/>
                <w:noProof/>
                <w:color w:val="000000"/>
              </w:rPr>
              <w:t>482</w:t>
            </w:r>
          </w:p>
        </w:tc>
        <w:tc>
          <w:tcPr>
            <w:tcW w:w="757" w:type="dxa"/>
            <w:gridSpan w:val="2"/>
            <w:tcBorders>
              <w:top w:val="single" w:sz="4" w:space="0" w:color="9BC2E6"/>
              <w:left w:val="nil"/>
              <w:bottom w:val="single" w:sz="4" w:space="0" w:color="9BC2E6"/>
            </w:tcBorders>
            <w:shd w:val="clear" w:color="auto" w:fill="auto"/>
            <w:noWrap/>
            <w:vAlign w:val="bottom"/>
          </w:tcPr>
          <w:p w14:paraId="726F153F" w14:textId="676E6546" w:rsidR="006C7D78" w:rsidRPr="00374350" w:rsidRDefault="006C7D78" w:rsidP="00374350">
            <w:pPr>
              <w:spacing w:after="0"/>
              <w:jc w:val="left"/>
              <w:rPr>
                <w:rFonts w:ascii="Calibri" w:hAnsi="Calibri" w:cs="Calibri"/>
                <w:b/>
                <w:bCs/>
                <w:noProof/>
                <w:color w:val="000000"/>
                <w:szCs w:val="22"/>
              </w:rPr>
            </w:pPr>
            <w:r w:rsidRPr="00261B88">
              <w:rPr>
                <w:rFonts w:ascii="Calibri" w:hAnsi="Calibri"/>
                <w:b/>
                <w:noProof/>
                <w:color w:val="000000"/>
              </w:rPr>
              <w:t>157,1</w:t>
            </w:r>
          </w:p>
        </w:tc>
        <w:tc>
          <w:tcPr>
            <w:tcW w:w="1086" w:type="dxa"/>
            <w:tcBorders>
              <w:top w:val="single" w:sz="4" w:space="0" w:color="9BC2E6"/>
              <w:left w:val="nil"/>
              <w:bottom w:val="single" w:sz="4" w:space="0" w:color="9BC2E6"/>
              <w:right w:val="nil"/>
            </w:tcBorders>
            <w:shd w:val="clear" w:color="auto" w:fill="auto"/>
            <w:noWrap/>
            <w:vAlign w:val="bottom"/>
          </w:tcPr>
          <w:p w14:paraId="2A8F09A0" w14:textId="77777777" w:rsidR="006C7D78" w:rsidRPr="00374350" w:rsidRDefault="006C7D78" w:rsidP="00374350">
            <w:pPr>
              <w:spacing w:after="0"/>
              <w:jc w:val="left"/>
              <w:rPr>
                <w:rFonts w:ascii="Calibri" w:hAnsi="Calibri" w:cs="Calibri"/>
                <w:b/>
                <w:bCs/>
                <w:noProof/>
                <w:color w:val="000000"/>
                <w:szCs w:val="22"/>
              </w:rPr>
            </w:pPr>
            <w:r w:rsidRPr="00261B88">
              <w:rPr>
                <w:rFonts w:ascii="Calibri" w:hAnsi="Calibri"/>
                <w:b/>
                <w:noProof/>
                <w:color w:val="000000"/>
              </w:rPr>
              <w:t>3 506</w:t>
            </w:r>
          </w:p>
        </w:tc>
        <w:tc>
          <w:tcPr>
            <w:tcW w:w="1164" w:type="dxa"/>
            <w:gridSpan w:val="2"/>
            <w:tcBorders>
              <w:top w:val="single" w:sz="4" w:space="0" w:color="9BC2E6"/>
              <w:left w:val="nil"/>
              <w:bottom w:val="single" w:sz="4" w:space="0" w:color="9BC2E6"/>
              <w:right w:val="single" w:sz="4" w:space="0" w:color="9BC2E6"/>
            </w:tcBorders>
            <w:shd w:val="clear" w:color="auto" w:fill="auto"/>
            <w:noWrap/>
            <w:vAlign w:val="bottom"/>
          </w:tcPr>
          <w:p w14:paraId="4C70FCCA" w14:textId="7BB1459D" w:rsidR="006C7D78" w:rsidRPr="00374350" w:rsidRDefault="006C7D78" w:rsidP="00902694">
            <w:pPr>
              <w:spacing w:after="0"/>
              <w:jc w:val="left"/>
              <w:rPr>
                <w:rFonts w:ascii="Calibri" w:hAnsi="Calibri" w:cs="Calibri"/>
                <w:b/>
                <w:bCs/>
                <w:noProof/>
                <w:color w:val="000000"/>
                <w:szCs w:val="22"/>
              </w:rPr>
            </w:pPr>
            <w:r w:rsidRPr="00261B88">
              <w:rPr>
                <w:rFonts w:ascii="Calibri" w:hAnsi="Calibri"/>
                <w:b/>
                <w:noProof/>
                <w:color w:val="000000"/>
              </w:rPr>
              <w:t>366,8</w:t>
            </w:r>
          </w:p>
        </w:tc>
        <w:tc>
          <w:tcPr>
            <w:tcW w:w="1100" w:type="dxa"/>
            <w:gridSpan w:val="2"/>
            <w:tcBorders>
              <w:top w:val="single" w:sz="4" w:space="0" w:color="9BC2E6"/>
              <w:left w:val="single" w:sz="4" w:space="0" w:color="9BC2E6"/>
              <w:bottom w:val="single" w:sz="4" w:space="0" w:color="9BC2E6"/>
              <w:right w:val="single" w:sz="4" w:space="0" w:color="9BC2E6"/>
            </w:tcBorders>
            <w:shd w:val="clear" w:color="auto" w:fill="auto"/>
            <w:noWrap/>
            <w:vAlign w:val="bottom"/>
          </w:tcPr>
          <w:p w14:paraId="259EBE08" w14:textId="77777777" w:rsidR="006C7D78" w:rsidRPr="00374350" w:rsidRDefault="006C7D78" w:rsidP="00374350">
            <w:pPr>
              <w:spacing w:after="0"/>
              <w:jc w:val="left"/>
              <w:rPr>
                <w:rFonts w:ascii="Calibri" w:hAnsi="Calibri" w:cs="Calibri"/>
                <w:b/>
                <w:bCs/>
                <w:noProof/>
                <w:color w:val="000000"/>
                <w:szCs w:val="22"/>
              </w:rPr>
            </w:pPr>
            <w:r w:rsidRPr="00261B88">
              <w:rPr>
                <w:rFonts w:ascii="Calibri" w:hAnsi="Calibri"/>
                <w:b/>
                <w:noProof/>
                <w:color w:val="000000"/>
              </w:rPr>
              <w:t>0,63 %</w:t>
            </w:r>
          </w:p>
        </w:tc>
        <w:tc>
          <w:tcPr>
            <w:tcW w:w="1220" w:type="dxa"/>
            <w:tcBorders>
              <w:top w:val="single" w:sz="4" w:space="0" w:color="9BC2E6"/>
              <w:left w:val="single" w:sz="4" w:space="0" w:color="9BC2E6"/>
              <w:bottom w:val="single" w:sz="4" w:space="0" w:color="9BC2E6"/>
              <w:right w:val="single" w:sz="4" w:space="0" w:color="9BC2E6"/>
            </w:tcBorders>
            <w:shd w:val="clear" w:color="auto" w:fill="auto"/>
            <w:noWrap/>
            <w:vAlign w:val="bottom"/>
          </w:tcPr>
          <w:p w14:paraId="55ECFAEB" w14:textId="77777777" w:rsidR="006C7D78" w:rsidRPr="00261B88" w:rsidRDefault="006C7D78" w:rsidP="00374350">
            <w:pPr>
              <w:spacing w:after="0"/>
              <w:jc w:val="left"/>
              <w:rPr>
                <w:rFonts w:ascii="Calibri" w:hAnsi="Calibri" w:cs="Calibri"/>
                <w:b/>
                <w:bCs/>
                <w:noProof/>
                <w:color w:val="000000"/>
                <w:szCs w:val="22"/>
              </w:rPr>
            </w:pPr>
            <w:r w:rsidRPr="00261B88">
              <w:rPr>
                <w:rFonts w:ascii="Calibri" w:hAnsi="Calibri"/>
                <w:b/>
                <w:noProof/>
                <w:color w:val="000000"/>
              </w:rPr>
              <w:t>1,48 %</w:t>
            </w:r>
          </w:p>
        </w:tc>
      </w:tr>
    </w:tbl>
    <w:p w14:paraId="0FD8BE9C" w14:textId="613E5D78" w:rsidR="006C7D78" w:rsidRDefault="004E5CFD" w:rsidP="002D6EFC">
      <w:pPr>
        <w:spacing w:before="120"/>
        <w:rPr>
          <w:noProof/>
        </w:rPr>
      </w:pPr>
      <w:r>
        <w:rPr>
          <w:noProof/>
          <w:lang w:val="en-GB"/>
        </w:rPr>
        <mc:AlternateContent>
          <mc:Choice Requires="wpg">
            <w:drawing>
              <wp:anchor distT="45720" distB="45720" distL="182880" distR="182880" simplePos="0" relativeHeight="251667456" behindDoc="0" locked="0" layoutInCell="1" allowOverlap="1" wp14:anchorId="51191188" wp14:editId="1660EB36">
                <wp:simplePos x="0" y="0"/>
                <wp:positionH relativeFrom="margin">
                  <wp:posOffset>173355</wp:posOffset>
                </wp:positionH>
                <wp:positionV relativeFrom="page">
                  <wp:posOffset>2476499</wp:posOffset>
                </wp:positionV>
                <wp:extent cx="3149600" cy="2419351"/>
                <wp:effectExtent l="0" t="0" r="12700" b="19050"/>
                <wp:wrapSquare wrapText="bothSides"/>
                <wp:docPr id="198" name="Group 198"/>
                <wp:cNvGraphicFramePr/>
                <a:graphic xmlns:a="http://schemas.openxmlformats.org/drawingml/2006/main">
                  <a:graphicData uri="http://schemas.microsoft.com/office/word/2010/wordprocessingGroup">
                    <wpg:wgp>
                      <wpg:cNvGrpSpPr/>
                      <wpg:grpSpPr>
                        <a:xfrm>
                          <a:off x="0" y="0"/>
                          <a:ext cx="3149600" cy="2419351"/>
                          <a:chOff x="0" y="371650"/>
                          <a:chExt cx="3567448" cy="1098719"/>
                        </a:xfrm>
                      </wpg:grpSpPr>
                      <wps:wsp>
                        <wps:cNvPr id="199" name="Rectangle 199"/>
                        <wps:cNvSpPr/>
                        <wps:spPr>
                          <a:xfrm>
                            <a:off x="0" y="371650"/>
                            <a:ext cx="3567448" cy="405189"/>
                          </a:xfrm>
                          <a:prstGeom prst="rect">
                            <a:avLst/>
                          </a:prstGeom>
                          <a:solidFill>
                            <a:schemeClr val="accent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6333EB" w14:textId="6220617E" w:rsidR="00261B88" w:rsidRPr="00EA3E5C" w:rsidRDefault="00261B88">
                              <w:pPr>
                                <w:jc w:val="center"/>
                                <w:rPr>
                                  <w:rFonts w:asciiTheme="majorHAnsi" w:eastAsiaTheme="majorEastAsia" w:hAnsiTheme="majorHAnsi" w:cstheme="majorBidi"/>
                                  <w:color w:val="FFFFFF" w:themeColor="background1"/>
                                  <w:szCs w:val="22"/>
                                </w:rPr>
                              </w:pPr>
                              <w:r w:rsidRPr="00EA3E5C">
                                <w:rPr>
                                  <w:b/>
                                  <w:color w:val="FFFFFF" w:themeColor="background1"/>
                                  <w:szCs w:val="22"/>
                                </w:rPr>
                                <w:t>RPT: datele privind variația din 2021 comparativ cu media pe cinci ani pentru perioada 2017-2021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783756"/>
                            <a:ext cx="3567448" cy="686613"/>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DF362E3" w14:textId="340F48A4" w:rsidR="00261B88" w:rsidRPr="002F6819" w:rsidRDefault="00261B88" w:rsidP="00865694">
                              <w:pPr>
                                <w:spacing w:after="0"/>
                                <w:rPr>
                                  <w:color w:val="000000" w:themeColor="text1"/>
                                  <w:sz w:val="20"/>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44546A" w:themeColor="text2"/>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- 3 %</w:t>
                              </w:r>
                              <w: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numărul de nereguli de natură frauduloasă și nefrauduloasă</w:t>
                              </w:r>
                            </w:p>
                            <w:p w14:paraId="3D257BD3" w14:textId="1BDB4F9E" w:rsidR="00261B88" w:rsidRPr="00E723FD" w:rsidRDefault="00261B88" w:rsidP="00865694">
                              <w:pPr>
                                <w:spacing w:after="0"/>
                                <w:jc w:val="left"/>
                                <w:rPr>
                                  <w:color w:val="000000" w:themeColor="text1"/>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44546A" w:themeColor="text2"/>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+ 32 % </w:t>
                              </w:r>
                              <w: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sumele financiare legate de nereguli de natură frauduloasă</w:t>
                              </w:r>
                            </w:p>
                            <w:p w14:paraId="620C33ED" w14:textId="122B94E7" w:rsidR="00261B88" w:rsidRPr="00E723FD" w:rsidRDefault="00261B88" w:rsidP="00865694">
                              <w:pPr>
                                <w:spacing w:after="0"/>
                                <w:rPr>
                                  <w:color w:val="000000" w:themeColor="text1"/>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44546A" w:themeColor="text2"/>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+ 13 % </w:t>
                              </w:r>
                              <w: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sumele financiare legate de nereguli de natură nefrauduloasă</w:t>
                              </w:r>
                            </w:p>
                            <w:p w14:paraId="76CB75D1" w14:textId="64F1041E" w:rsidR="00261B88" w:rsidRDefault="00261B88">
                              <w:pPr>
                                <w:rPr>
                                  <w:caps/>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191188" id="Group 198" o:spid="_x0000_s1026" style="position:absolute;left:0;text-align:left;margin-left:13.65pt;margin-top:195pt;width:248pt;height:190.5pt;z-index:251667456;mso-wrap-distance-left:14.4pt;mso-wrap-distance-top:3.6pt;mso-wrap-distance-right:14.4pt;mso-wrap-distance-bottom:3.6pt;mso-position-horizontal-relative:margin;mso-position-vertical-relative:page;mso-width-relative:margin;mso-height-relative:margin" coordorigin=",3716" coordsize="35674,10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">
                <v:rect id="Rectangle 199" o:spid="_x0000_s1027" style="position:absolute;top:3716;width:35674;height:4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" fillcolor="#5b9bd5 [3204]" strokecolor="black [3213]" strokeweight="1pt">
                  <v:textbox>
                    <w:txbxContent>
                      <w:p w14:paraId="166333EB" w14:textId="6220617E" w:rsidR="00261B88" w:rsidRPr="00EA3E5C" w:rsidRDefault="00261B88">
                        <w:pPr>
                          <w:jc w:val="center"/>
                          <w:rPr>
                            <w:rFonts w:asciiTheme="majorHAnsi" w:eastAsiaTheme="majorEastAsia" w:hAnsiTheme="majorHAnsi" w:cstheme="majorBidi"/>
                            <w:color w:val="FFFFFF" w:themeColor="background1"/>
                            <w:szCs w:val="22"/>
                          </w:rPr>
                        </w:pPr>
                        <w:r w:rsidRPr="00EA3E5C">
                          <w:rPr>
                            <w:b/>
                            <w:color w:val="FFFFFF" w:themeColor="background1"/>
                            <w:szCs w:val="22"/>
                          </w:rPr>
                          <w:t>RPT: datele privind variația din 2021 comparativ cu media pe cinci ani pentru perioada 2017-2021</w:t>
                        </w:r>
                      </w:p>
                    </w:txbxContent>
                  </v:textbox>
                </v:rect>
                <v:shapetype id="_x0000_t202" coordsize="21600,21600" o:spt="202" path="m,l,21600r21600,l21600,xe">
                  <v:stroke joinstyle="miter"/>
                  <v:path gradientshapeok="t" o:connecttype="rect"/>
                </v:shapetype>
                <v:shape id="Text Box 200" o:spid="_x0000_s1028" type="#_x0000_t202" style="position:absolute;top:7837;width:35674;height:6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" filled="f" strokecolor="black [3213]" strokeweight=".5pt">
                  <v:textbox inset=",7.2pt,,0">
                    <w:txbxContent>
                      <w:p w14:paraId="3DF362E3" w14:textId="340F48A4" w:rsidR="00261B88" w:rsidRPr="002F6819" w:rsidRDefault="00261B88" w:rsidP="00865694">
                        <w:pPr>
                          <w:spacing w:after="0"/>
                          <w:rPr>
                            <w:color w:val="000000" w:themeColor="text1"/>
                            <w:sz w:val="20"/>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44546A" w:themeColor="text2"/>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- 3 %</w:t>
                        </w:r>
                        <w: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numărul de nereguli de natură frauduloasă și nefrauduloasă</w:t>
                        </w:r>
                      </w:p>
                      <w:p w14:paraId="3D257BD3" w14:textId="1BDB4F9E" w:rsidR="00261B88" w:rsidRPr="00E723FD" w:rsidRDefault="00261B88" w:rsidP="00865694">
                        <w:pPr>
                          <w:spacing w:after="0"/>
                          <w:jc w:val="left"/>
                          <w:rPr>
                            <w:color w:val="000000" w:themeColor="text1"/>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44546A" w:themeColor="text2"/>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+ 32 % </w:t>
                        </w:r>
                        <w: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sumele financiare legate de nereguli de natură frauduloasă</w:t>
                        </w:r>
                      </w:p>
                      <w:p w14:paraId="620C33ED" w14:textId="122B94E7" w:rsidR="00261B88" w:rsidRPr="00E723FD" w:rsidRDefault="00261B88" w:rsidP="00865694">
                        <w:pPr>
                          <w:spacing w:after="0"/>
                          <w:rPr>
                            <w:color w:val="000000" w:themeColor="text1"/>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44546A" w:themeColor="text2"/>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+ 13 % </w:t>
                        </w:r>
                        <w: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sumele financiare legate de nereguli de natură nefrauduloasă</w:t>
                        </w:r>
                      </w:p>
                      <w:p w14:paraId="76CB75D1" w14:textId="64F1041E" w:rsidR="00261B88" w:rsidRDefault="00261B88">
                        <w:pPr>
                          <w:rPr>
                            <w:caps/>
                            <w:color w:val="5B9BD5" w:themeColor="accent1"/>
                            <w:sz w:val="26"/>
                            <w:szCs w:val="26"/>
                          </w:rPr>
                        </w:pPr>
                      </w:p>
                    </w:txbxContent>
                  </v:textbox>
                </v:shape>
                <w10:wrap type="square" anchorx="margin" anchory="page"/>
              </v:group>
            </w:pict>
          </mc:Fallback>
        </mc:AlternateContent>
      </w:r>
      <w:r w:rsidR="00B53222">
        <w:rPr>
          <w:noProof/>
        </w:rPr>
        <w:t xml:space="preserve">În </w:t>
      </w:r>
      <w:r w:rsidR="00B53222" w:rsidRPr="00D17A39">
        <w:rPr>
          <w:noProof/>
        </w:rPr>
        <w:t>2021</w:t>
      </w:r>
      <w:r w:rsidR="00B53222">
        <w:rPr>
          <w:noProof/>
        </w:rPr>
        <w:t xml:space="preserve">, numărul neregulilor de natură frauduloasă și nefrauduloasă legate de RPT (a se vedea </w:t>
      </w:r>
      <w:r w:rsidR="00B53222" w:rsidRPr="00261B88">
        <w:rPr>
          <w:b/>
          <w:noProof/>
        </w:rPr>
        <w:t>Tabelul 3</w:t>
      </w:r>
      <w:r w:rsidR="00B53222">
        <w:rPr>
          <w:noProof/>
        </w:rPr>
        <w:t xml:space="preserve">) a rămas destul de stabil, cu o scădere de numai </w:t>
      </w:r>
      <w:r w:rsidR="00B53222" w:rsidRPr="00D17A39">
        <w:rPr>
          <w:noProof/>
        </w:rPr>
        <w:t>3</w:t>
      </w:r>
      <w:r w:rsidR="00B53222">
        <w:rPr>
          <w:noProof/>
        </w:rPr>
        <w:t xml:space="preserve"> % față de media pe cinci ani. Numărul neregulilor de natură frauduloasă a crescut cu </w:t>
      </w:r>
      <w:r w:rsidR="00B53222" w:rsidRPr="00D17A39">
        <w:rPr>
          <w:noProof/>
        </w:rPr>
        <w:t>1</w:t>
      </w:r>
      <w:r w:rsidR="00B53222">
        <w:rPr>
          <w:noProof/>
        </w:rPr>
        <w:t xml:space="preserve"> %, iar cel al neregulilor de natură nefrauduloasă a scăzut cu </w:t>
      </w:r>
      <w:r w:rsidR="00B53222" w:rsidRPr="00D17A39">
        <w:rPr>
          <w:noProof/>
        </w:rPr>
        <w:t>4</w:t>
      </w:r>
      <w:r w:rsidR="00B53222">
        <w:rPr>
          <w:noProof/>
        </w:rPr>
        <w:t xml:space="preserve"> %. </w:t>
      </w:r>
      <w:r w:rsidR="00B53222" w:rsidRPr="00D17A39">
        <w:rPr>
          <w:noProof/>
        </w:rPr>
        <w:t>12</w:t>
      </w:r>
      <w:r w:rsidR="00B53222">
        <w:rPr>
          <w:noProof/>
        </w:rPr>
        <w:t xml:space="preserve"> % din totalul cazurilor de natură frauduloasă și nefrauduloasă detectate în </w:t>
      </w:r>
      <w:r w:rsidR="00B53222" w:rsidRPr="00D17A39">
        <w:rPr>
          <w:noProof/>
        </w:rPr>
        <w:t>2021</w:t>
      </w:r>
      <w:r w:rsidR="00B53222">
        <w:rPr>
          <w:noProof/>
        </w:rPr>
        <w:t xml:space="preserve"> au fost clasificate drept frauduloase. Valoarea aferentă RPT a crescut, înregistrând cel mai ridicat nivel detectat în ultimii cinci ani. Atât pentru neregulile de natură frauduloasă, cât și pentru cele de natură nefrauduloasă, valoarea aferentă RPT detectată a crescut cu </w:t>
      </w:r>
      <w:r w:rsidR="00B53222" w:rsidRPr="00D17A39">
        <w:rPr>
          <w:noProof/>
        </w:rPr>
        <w:t>32</w:t>
      </w:r>
      <w:r w:rsidR="00B53222">
        <w:rPr>
          <w:noProof/>
        </w:rPr>
        <w:t xml:space="preserve"> %, respectiv cu </w:t>
      </w:r>
      <w:r w:rsidR="00B53222" w:rsidRPr="00D17A39">
        <w:rPr>
          <w:noProof/>
        </w:rPr>
        <w:t>13</w:t>
      </w:r>
      <w:r w:rsidR="00B53222">
        <w:rPr>
          <w:noProof/>
        </w:rPr>
        <w:t xml:space="preserve"> %, față de media pe cinci ani. În total, valoarea aferentă RPT a crescut cu </w:t>
      </w:r>
      <w:r w:rsidR="00B53222" w:rsidRPr="00D17A39">
        <w:rPr>
          <w:noProof/>
        </w:rPr>
        <w:t>18</w:t>
      </w:r>
      <w:r w:rsidR="00B53222">
        <w:rPr>
          <w:noProof/>
        </w:rPr>
        <w:t xml:space="preserve"> % în </w:t>
      </w:r>
      <w:r w:rsidR="00B53222" w:rsidRPr="00D17A39">
        <w:rPr>
          <w:noProof/>
        </w:rPr>
        <w:t>2021</w:t>
      </w:r>
      <w:r w:rsidR="00B53222">
        <w:rPr>
          <w:noProof/>
        </w:rPr>
        <w:t xml:space="preserve"> față de media pentru perioada </w:t>
      </w:r>
      <w:r w:rsidR="00B53222" w:rsidRPr="00D17A39">
        <w:rPr>
          <w:noProof/>
        </w:rPr>
        <w:t>2017</w:t>
      </w:r>
      <w:r w:rsidR="00B53222">
        <w:rPr>
          <w:noProof/>
        </w:rPr>
        <w:t>-</w:t>
      </w:r>
      <w:r w:rsidR="00B53222" w:rsidRPr="00D17A39">
        <w:rPr>
          <w:noProof/>
        </w:rPr>
        <w:t>2021</w:t>
      </w:r>
      <w:r w:rsidR="00B53222">
        <w:rPr>
          <w:rStyle w:val="FootnoteReference"/>
          <w:noProof/>
          <w:lang w:val="en-IE"/>
        </w:rPr>
        <w:footnoteReference w:id="82"/>
      </w:r>
      <w:r w:rsidR="00B53222">
        <w:rPr>
          <w:noProof/>
        </w:rPr>
        <w:t>.</w:t>
      </w:r>
    </w:p>
    <w:p w14:paraId="091530EE" w14:textId="69CBE389" w:rsidR="002D6EFC" w:rsidRDefault="002D6EFC" w:rsidP="00CE6D22">
      <w:pPr>
        <w:rPr>
          <w:noProof/>
        </w:rPr>
      </w:pPr>
      <w:r>
        <w:rPr>
          <w:noProof/>
        </w:rPr>
        <w:t xml:space="preserve">Serviciile antifraudă de la nivel național, împreună cu serviciile vamale, au jucat un rol esențial în detectarea cazurilor de natură frauduloasă în </w:t>
      </w:r>
      <w:r w:rsidRPr="00D17A39">
        <w:rPr>
          <w:noProof/>
        </w:rPr>
        <w:t>2021</w:t>
      </w:r>
      <w:r>
        <w:rPr>
          <w:noProof/>
        </w:rPr>
        <w:t>. Inspecțiile efectuate de serviciile antifraudă au reprezentat cea mai reușită modalitate de detectare a cazurilor de natură frauduloasă și au depășit controalele vamale ulterioare și controalele realizate la momentul acordării liberului de vamă în ceea ce privește detectarea evaziunii fiscale frauduloase. Neregulile de natură nefrauduloasă au fost detectate în principal cu ajutorul controalelor vamale ulterioare.</w:t>
      </w:r>
    </w:p>
    <w:p w14:paraId="0D02CE2A" w14:textId="59794B00" w:rsidR="002D6EFC" w:rsidRPr="00261B88" w:rsidRDefault="002D6EFC" w:rsidP="00594DC7">
      <w:pPr>
        <w:pStyle w:val="Caption"/>
        <w:keepNext/>
        <w:pageBreakBefore/>
        <w:pBdr>
          <w:top w:val="single" w:sz="4" w:space="1" w:color="auto"/>
          <w:left w:val="single" w:sz="4" w:space="4" w:color="auto"/>
          <w:bottom w:val="single" w:sz="4" w:space="1" w:color="auto"/>
          <w:right w:val="single" w:sz="4" w:space="4" w:color="auto"/>
        </w:pBdr>
        <w:shd w:val="clear" w:color="auto" w:fill="D9E2F3" w:themeFill="accent5" w:themeFillTint="33"/>
        <w:rPr>
          <w:noProof/>
        </w:rPr>
      </w:pPr>
      <w:bookmarkStart w:id="76" w:name="_Toc105777777"/>
      <w:bookmarkStart w:id="77" w:name="_Toc110444020"/>
      <w:r w:rsidRPr="00261B88">
        <w:rPr>
          <w:noProof/>
        </w:rPr>
        <w:t>Instantaneul </w:t>
      </w:r>
      <w:r w:rsidR="00FD11F8">
        <w:rPr>
          <w:noProof/>
        </w:rPr>
        <w:fldChar w:fldCharType="begin"/>
      </w:r>
      <w:r w:rsidR="00FD11F8">
        <w:rPr>
          <w:noProof/>
        </w:rPr>
        <w:instrText xml:space="preserve"> SEQ Snapshot \* ARABIC </w:instrText>
      </w:r>
      <w:r w:rsidR="00FD11F8">
        <w:rPr>
          <w:noProof/>
        </w:rPr>
        <w:fldChar w:fldCharType="separate"/>
      </w:r>
      <w:r w:rsidRPr="00261B88">
        <w:rPr>
          <w:noProof/>
        </w:rPr>
        <w:t>12</w:t>
      </w:r>
      <w:r w:rsidR="00FD11F8">
        <w:rPr>
          <w:noProof/>
        </w:rPr>
        <w:fldChar w:fldCharType="end"/>
      </w:r>
      <w:r w:rsidRPr="00261B88">
        <w:rPr>
          <w:noProof/>
        </w:rPr>
        <w:t> – RPT: cele mai frecvente nereguli și tipul de bunuri vizate</w:t>
      </w:r>
      <w:bookmarkEnd w:id="76"/>
      <w:bookmarkEnd w:id="77"/>
    </w:p>
    <w:p w14:paraId="3FABE179" w14:textId="7704C5DB" w:rsidR="002D6EFC" w:rsidRDefault="002D6EFC" w:rsidP="00CE6D22">
      <w:pPr>
        <w:pBdr>
          <w:top w:val="single" w:sz="4" w:space="1" w:color="auto"/>
          <w:left w:val="single" w:sz="4" w:space="4" w:color="auto"/>
          <w:bottom w:val="single" w:sz="4" w:space="1" w:color="auto"/>
          <w:right w:val="single" w:sz="4" w:space="4" w:color="auto"/>
        </w:pBdr>
        <w:shd w:val="clear" w:color="auto" w:fill="D9E2F3" w:themeFill="accent5" w:themeFillTint="33"/>
        <w:rPr>
          <w:noProof/>
        </w:rPr>
      </w:pPr>
      <w:r>
        <w:rPr>
          <w:noProof/>
        </w:rPr>
        <w:t xml:space="preserve">Majoritatea cazurilor raportate în </w:t>
      </w:r>
      <w:r w:rsidRPr="00D17A39">
        <w:rPr>
          <w:noProof/>
        </w:rPr>
        <w:t>2021</w:t>
      </w:r>
      <w:r>
        <w:rPr>
          <w:noProof/>
        </w:rPr>
        <w:t xml:space="preserve"> ca fiind de natură frauduloasă și nefrauduloasă se referă la </w:t>
      </w:r>
      <w:r w:rsidRPr="00261B88">
        <w:rPr>
          <w:b/>
          <w:noProof/>
        </w:rPr>
        <w:t>subevaluare</w:t>
      </w:r>
      <w:r>
        <w:rPr>
          <w:noProof/>
        </w:rPr>
        <w:t xml:space="preserve">, </w:t>
      </w:r>
      <w:r w:rsidRPr="00261B88">
        <w:rPr>
          <w:b/>
          <w:noProof/>
        </w:rPr>
        <w:t>originea incorectă</w:t>
      </w:r>
      <w:r>
        <w:rPr>
          <w:noProof/>
        </w:rPr>
        <w:t xml:space="preserve"> sau </w:t>
      </w:r>
      <w:r w:rsidRPr="00261B88">
        <w:rPr>
          <w:b/>
          <w:noProof/>
        </w:rPr>
        <w:t>clasificarea/descrierea incorectă a bunurilor</w:t>
      </w:r>
      <w:r>
        <w:rPr>
          <w:noProof/>
        </w:rPr>
        <w:t xml:space="preserve">. </w:t>
      </w:r>
      <w:r w:rsidRPr="00261B88">
        <w:rPr>
          <w:b/>
          <w:noProof/>
        </w:rPr>
        <w:t>Contrabanda</w:t>
      </w:r>
      <w:r>
        <w:rPr>
          <w:noProof/>
        </w:rPr>
        <w:t xml:space="preserve"> rămâne unul dintre principalele tipuri de fraudă. </w:t>
      </w:r>
      <w:r w:rsidRPr="00261B88">
        <w:rPr>
          <w:b/>
          <w:noProof/>
        </w:rPr>
        <w:t>Textilele, mașinile și echipamentele electrice</w:t>
      </w:r>
      <w:r>
        <w:rPr>
          <w:noProof/>
        </w:rPr>
        <w:t xml:space="preserve"> au fost tipurile de bunuri cele mai afectate de fraudă și nereguli ca număr de cazuri și în termeni monetari, urmate de </w:t>
      </w:r>
      <w:r w:rsidRPr="00261B88">
        <w:rPr>
          <w:b/>
          <w:noProof/>
        </w:rPr>
        <w:t>diverse produse chimice, încălțăminte și tutun</w:t>
      </w:r>
      <w:r>
        <w:rPr>
          <w:noProof/>
        </w:rPr>
        <w:t xml:space="preserve"> ca valoare și de </w:t>
      </w:r>
      <w:r w:rsidRPr="00261B88">
        <w:rPr>
          <w:b/>
          <w:noProof/>
        </w:rPr>
        <w:t>vehicule și materiale plastice</w:t>
      </w:r>
      <w:r>
        <w:rPr>
          <w:noProof/>
        </w:rPr>
        <w:t xml:space="preserve"> ca număr de cazuri. În </w:t>
      </w:r>
      <w:r w:rsidRPr="00D17A39">
        <w:rPr>
          <w:noProof/>
        </w:rPr>
        <w:t>2021</w:t>
      </w:r>
      <w:r>
        <w:rPr>
          <w:noProof/>
        </w:rPr>
        <w:t>, China a rămas principala țară de origine a bunurilor afectate de nereguli raportate ca fiind de natură frauduloasă sau nefrauduloasă.</w:t>
      </w:r>
    </w:p>
    <w:p w14:paraId="3FF5ABFC" w14:textId="0EDC382C" w:rsidR="002D6EFC" w:rsidRDefault="002D6EFC" w:rsidP="00CE6D22">
      <w:pPr>
        <w:pBdr>
          <w:top w:val="single" w:sz="4" w:space="1" w:color="auto"/>
          <w:left w:val="single" w:sz="4" w:space="4" w:color="auto"/>
          <w:bottom w:val="single" w:sz="4" w:space="1" w:color="auto"/>
          <w:right w:val="single" w:sz="4" w:space="4" w:color="auto"/>
        </w:pBdr>
        <w:shd w:val="clear" w:color="auto" w:fill="D9E2F3" w:themeFill="accent5" w:themeFillTint="33"/>
        <w:rPr>
          <w:noProof/>
        </w:rPr>
      </w:pPr>
      <w:r>
        <w:rPr>
          <w:noProof/>
        </w:rPr>
        <w:t>În ceea ce privește bunurile legate de COVID-</w:t>
      </w:r>
      <w:r w:rsidRPr="00D17A39">
        <w:rPr>
          <w:noProof/>
        </w:rPr>
        <w:t>19</w:t>
      </w:r>
      <w:r>
        <w:rPr>
          <w:noProof/>
        </w:rPr>
        <w:t xml:space="preserve">, în </w:t>
      </w:r>
      <w:r w:rsidRPr="00D17A39">
        <w:rPr>
          <w:noProof/>
        </w:rPr>
        <w:t>2021</w:t>
      </w:r>
      <w:r>
        <w:rPr>
          <w:noProof/>
        </w:rPr>
        <w:t xml:space="preserve">, s-a observat o creștere semnificativă a sumelor raportate ca afectate de nereguli pentru bunuri precum </w:t>
      </w:r>
      <w:r w:rsidRPr="00261B88">
        <w:rPr>
          <w:b/>
          <w:noProof/>
        </w:rPr>
        <w:t>dezinfectanții și produsele de sterilizare, îmbrăcămintea de protecție și consumabilele medicale</w:t>
      </w:r>
      <w:r>
        <w:rPr>
          <w:noProof/>
        </w:rPr>
        <w:t>. Cu toate acestea, analiza arată că impactul neregulilor care afectează bunurile legate de COVID-</w:t>
      </w:r>
      <w:r w:rsidRPr="00D17A39">
        <w:rPr>
          <w:noProof/>
        </w:rPr>
        <w:t>19</w:t>
      </w:r>
      <w:r>
        <w:rPr>
          <w:noProof/>
        </w:rPr>
        <w:t xml:space="preserve"> a rămas relativ scăzut în </w:t>
      </w:r>
      <w:r w:rsidRPr="00D17A39">
        <w:rPr>
          <w:noProof/>
        </w:rPr>
        <w:t>2021</w:t>
      </w:r>
      <w:r>
        <w:rPr>
          <w:noProof/>
        </w:rPr>
        <w:t xml:space="preserve"> (</w:t>
      </w:r>
      <w:r w:rsidRPr="00D17A39">
        <w:rPr>
          <w:noProof/>
        </w:rPr>
        <w:t>54</w:t>
      </w:r>
      <w:r>
        <w:rPr>
          <w:noProof/>
        </w:rPr>
        <w:t xml:space="preserve"> % din numărul total de nereguli raportate și </w:t>
      </w:r>
      <w:r w:rsidRPr="00D17A39">
        <w:rPr>
          <w:noProof/>
        </w:rPr>
        <w:t>6</w:t>
      </w:r>
      <w:r>
        <w:rPr>
          <w:noProof/>
        </w:rPr>
        <w:t> % din sumele aferente).</w:t>
      </w:r>
    </w:p>
    <w:p w14:paraId="4ED3B1E5" w14:textId="2252E596" w:rsidR="002D6EFC" w:rsidRDefault="002D6EFC" w:rsidP="002D6EFC">
      <w:pPr>
        <w:rPr>
          <w:noProof/>
        </w:rPr>
      </w:pPr>
      <w:r>
        <w:rPr>
          <w:noProof/>
        </w:rPr>
        <w:t xml:space="preserve">În </w:t>
      </w:r>
      <w:r w:rsidRPr="00D17A39">
        <w:rPr>
          <w:noProof/>
        </w:rPr>
        <w:t>2021</w:t>
      </w:r>
      <w:r>
        <w:rPr>
          <w:noProof/>
        </w:rPr>
        <w:t xml:space="preserve">, Comisia și-a continuat vizitele de monitorizare și control la fața locului sau de la distanță pentru a asigura aplicarea corectă a legislației vamale și a legislației privind RPT ale UE. În cazul în care cooperarea și progresele înregistrate în abordarea problemelor nerezolvate sunt considerate insuficiente, se aplică măsuri corective. </w:t>
      </w:r>
    </w:p>
    <w:p w14:paraId="27D661CE" w14:textId="4C1972B2" w:rsidR="00747F11" w:rsidRPr="002D6EFC" w:rsidRDefault="00747F11" w:rsidP="00747F11">
      <w:pPr>
        <w:rPr>
          <w:noProof/>
        </w:rPr>
      </w:pPr>
      <w:r>
        <w:rPr>
          <w:noProof/>
        </w:rPr>
        <w:t xml:space="preserve">Astfel cum se menționează în raportul PIF din </w:t>
      </w:r>
      <w:r w:rsidRPr="00D17A39">
        <w:rPr>
          <w:noProof/>
        </w:rPr>
        <w:t>2020</w:t>
      </w:r>
      <w:r>
        <w:rPr>
          <w:noProof/>
        </w:rPr>
        <w:t>, astfel de măsuri corective au fost deja aplicate de Comisie împotriva Regatului Unit în ceea ce privește produsele textile și încălțămintea subevaluate din China</w:t>
      </w:r>
      <w:r>
        <w:rPr>
          <w:rStyle w:val="FootnoteReference"/>
          <w:noProof/>
        </w:rPr>
        <w:footnoteReference w:id="83"/>
      </w:r>
      <w:r>
        <w:rPr>
          <w:noProof/>
        </w:rPr>
        <w:t xml:space="preserve">. La </w:t>
      </w:r>
      <w:r w:rsidRPr="00D17A39">
        <w:rPr>
          <w:noProof/>
        </w:rPr>
        <w:t>8</w:t>
      </w:r>
      <w:r>
        <w:rPr>
          <w:noProof/>
        </w:rPr>
        <w:t> martie </w:t>
      </w:r>
      <w:r w:rsidRPr="00D17A39">
        <w:rPr>
          <w:noProof/>
        </w:rPr>
        <w:t>2022</w:t>
      </w:r>
      <w:r>
        <w:rPr>
          <w:noProof/>
        </w:rPr>
        <w:t>, Curtea de Justiție a pronunțat hotărârea în cauza C-</w:t>
      </w:r>
      <w:r w:rsidRPr="00D17A39">
        <w:rPr>
          <w:noProof/>
        </w:rPr>
        <w:t>213</w:t>
      </w:r>
      <w:r>
        <w:rPr>
          <w:noProof/>
        </w:rPr>
        <w:t>/</w:t>
      </w:r>
      <w:r w:rsidRPr="00D17A39">
        <w:rPr>
          <w:noProof/>
        </w:rPr>
        <w:t>19</w:t>
      </w:r>
      <w:r>
        <w:rPr>
          <w:rStyle w:val="FootnoteReference"/>
          <w:noProof/>
        </w:rPr>
        <w:footnoteReference w:id="84"/>
      </w:r>
      <w:r>
        <w:rPr>
          <w:noProof/>
        </w:rPr>
        <w:t xml:space="preserve"> împotriva Regatului Unit. Comisia analizează în prezent implicațiile acestei hotărâri a CJUE atât pentru Regatul Unit (de exemplu, recalcularea pierderilor aferente RPT), cât și pentru celelalte state membre.</w:t>
      </w:r>
    </w:p>
    <w:p w14:paraId="2A5C85BE" w14:textId="37CFEC1E" w:rsidR="00B850E7" w:rsidRPr="00261B88" w:rsidRDefault="00B850E7" w:rsidP="00DC1244">
      <w:pPr>
        <w:pStyle w:val="Caption"/>
        <w:keepNext/>
        <w:pBdr>
          <w:top w:val="single" w:sz="4" w:space="1" w:color="auto"/>
          <w:left w:val="single" w:sz="4" w:space="4" w:color="auto"/>
          <w:bottom w:val="single" w:sz="4" w:space="1" w:color="auto"/>
          <w:right w:val="single" w:sz="4" w:space="4" w:color="auto"/>
        </w:pBdr>
        <w:shd w:val="clear" w:color="auto" w:fill="D9E2F3" w:themeFill="accent5" w:themeFillTint="33"/>
        <w:rPr>
          <w:b w:val="0"/>
          <w:noProof/>
        </w:rPr>
      </w:pPr>
      <w:bookmarkStart w:id="78" w:name="_Toc110444021"/>
      <w:r w:rsidRPr="00261B88">
        <w:rPr>
          <w:noProof/>
        </w:rPr>
        <w:t>Instantaneul </w:t>
      </w:r>
      <w:r w:rsidR="00FD11F8">
        <w:rPr>
          <w:noProof/>
        </w:rPr>
        <w:fldChar w:fldCharType="begin"/>
      </w:r>
      <w:r w:rsidR="00FD11F8">
        <w:rPr>
          <w:noProof/>
        </w:rPr>
        <w:instrText xml:space="preserve"> SEQ Snapshot \* ARABIC </w:instrText>
      </w:r>
      <w:r w:rsidR="00FD11F8">
        <w:rPr>
          <w:noProof/>
        </w:rPr>
        <w:fldChar w:fldCharType="separate"/>
      </w:r>
      <w:r w:rsidRPr="00261B88">
        <w:rPr>
          <w:noProof/>
        </w:rPr>
        <w:t>13</w:t>
      </w:r>
      <w:r w:rsidR="00FD11F8">
        <w:rPr>
          <w:noProof/>
        </w:rPr>
        <w:fldChar w:fldCharType="end"/>
      </w:r>
      <w:r w:rsidRPr="00261B88">
        <w:rPr>
          <w:noProof/>
        </w:rPr>
        <w:t> – Circumvenția și absorbția măsurilor de apărare comercială</w:t>
      </w:r>
      <w:bookmarkEnd w:id="78"/>
    </w:p>
    <w:p w14:paraId="3A83A4EA" w14:textId="06E83980" w:rsidR="00B850E7" w:rsidRPr="00EC29B5" w:rsidRDefault="00B850E7" w:rsidP="008B4804">
      <w:pPr>
        <w:pBdr>
          <w:top w:val="single" w:sz="4" w:space="1" w:color="auto"/>
          <w:left w:val="single" w:sz="4" w:space="4" w:color="auto"/>
          <w:bottom w:val="single" w:sz="4" w:space="1" w:color="auto"/>
          <w:right w:val="single" w:sz="4" w:space="4" w:color="auto"/>
        </w:pBdr>
        <w:shd w:val="clear" w:color="auto" w:fill="D9E2F3" w:themeFill="accent5" w:themeFillTint="33"/>
        <w:rPr>
          <w:noProof/>
        </w:rPr>
      </w:pPr>
      <w:r>
        <w:rPr>
          <w:noProof/>
          <w:color w:val="000000"/>
        </w:rPr>
        <w:t xml:space="preserve">Monitorizarea măsurilor de apărare comercială existente a rămas o prioritate în </w:t>
      </w:r>
      <w:r w:rsidRPr="00D17A39">
        <w:rPr>
          <w:noProof/>
          <w:color w:val="000000"/>
        </w:rPr>
        <w:t>2021</w:t>
      </w:r>
      <w:r>
        <w:rPr>
          <w:noProof/>
          <w:color w:val="000000"/>
        </w:rPr>
        <w:t xml:space="preserve">. </w:t>
      </w:r>
      <w:r>
        <w:rPr>
          <w:noProof/>
        </w:rPr>
        <w:t>S-a acordat o atenție deosebită măsurilor de apărare comercială în cazul cărora s-a constatat un risc crescut de evitare a taxelor, fie prin practici de circumvenție</w:t>
      </w:r>
      <w:r>
        <w:rPr>
          <w:rStyle w:val="FootnoteReference"/>
          <w:noProof/>
        </w:rPr>
        <w:footnoteReference w:id="85"/>
      </w:r>
      <w:r>
        <w:rPr>
          <w:noProof/>
        </w:rPr>
        <w:t xml:space="preserve"> sau reducerea prețului de export, fie prin absorbția</w:t>
      </w:r>
      <w:r>
        <w:rPr>
          <w:rStyle w:val="FootnoteReference"/>
          <w:noProof/>
        </w:rPr>
        <w:footnoteReference w:id="86"/>
      </w:r>
      <w:r>
        <w:rPr>
          <w:noProof/>
        </w:rPr>
        <w:t xml:space="preserve"> prețului de revânzare, după instituirea măsurilor antidumping sau compensatorii. </w:t>
      </w:r>
    </w:p>
    <w:p w14:paraId="675A6525" w14:textId="75A08BCD" w:rsidR="00B850E7" w:rsidRPr="00EC29B5" w:rsidRDefault="00B850E7" w:rsidP="008B4804">
      <w:pPr>
        <w:pBdr>
          <w:top w:val="single" w:sz="4" w:space="1" w:color="auto"/>
          <w:left w:val="single" w:sz="4" w:space="4" w:color="auto"/>
          <w:bottom w:val="single" w:sz="4" w:space="1" w:color="auto"/>
          <w:right w:val="single" w:sz="4" w:space="4" w:color="auto"/>
        </w:pBdr>
        <w:shd w:val="clear" w:color="auto" w:fill="D9E2F3" w:themeFill="accent5" w:themeFillTint="33"/>
        <w:rPr>
          <w:noProof/>
        </w:rPr>
      </w:pPr>
      <w:r>
        <w:rPr>
          <w:noProof/>
        </w:rPr>
        <w:t xml:space="preserve">În </w:t>
      </w:r>
      <w:r w:rsidRPr="00D17A39">
        <w:rPr>
          <w:noProof/>
        </w:rPr>
        <w:t>2021</w:t>
      </w:r>
      <w:r>
        <w:rPr>
          <w:noProof/>
        </w:rPr>
        <w:t xml:space="preserve">, Comisia a inițiat patru examinări privind posibila circumvenție a importurilor de </w:t>
      </w:r>
      <w:r w:rsidRPr="00261B88">
        <w:rPr>
          <w:b/>
          <w:noProof/>
        </w:rPr>
        <w:t>materiale din fibră de sticlă</w:t>
      </w:r>
      <w:r>
        <w:rPr>
          <w:rStyle w:val="FootnoteReference"/>
          <w:noProof/>
        </w:rPr>
        <w:footnoteReference w:id="87"/>
      </w:r>
      <w:r>
        <w:rPr>
          <w:noProof/>
        </w:rPr>
        <w:t xml:space="preserve"> din Turcia și Maroc după instituirea taxelor antidumping și compensatorii pentru aceste produse originare din China și Egipt în </w:t>
      </w:r>
      <w:r w:rsidRPr="00D17A39">
        <w:rPr>
          <w:noProof/>
        </w:rPr>
        <w:t>2020</w:t>
      </w:r>
      <w:r>
        <w:rPr>
          <w:noProof/>
        </w:rPr>
        <w:t xml:space="preserve">. S-a desfășurat, de asemenea, o examinare anti-absorbție cu privire la același produs originar din Egipt. Numărul total de astfel de examinări inițiate în ultimii trei ani a ajuns la unsprezece, respectiv, la două. În plus, în </w:t>
      </w:r>
      <w:r w:rsidRPr="00D17A39">
        <w:rPr>
          <w:noProof/>
        </w:rPr>
        <w:t>2021</w:t>
      </w:r>
      <w:r>
        <w:rPr>
          <w:noProof/>
        </w:rPr>
        <w:t xml:space="preserve">, Comisia a stabilit că taxele antidumping în vigoare pentru două tipuri diferite de </w:t>
      </w:r>
      <w:r w:rsidRPr="00261B88">
        <w:rPr>
          <w:b/>
          <w:noProof/>
        </w:rPr>
        <w:t>folii de aluminiu de uz casnic</w:t>
      </w:r>
      <w:r>
        <w:rPr>
          <w:noProof/>
        </w:rPr>
        <w:t xml:space="preserve"> din China au făcut obiectul circumvenției via Thailanda, unde produsul a fost supus doar unor operațiuni minore de asamblare. </w:t>
      </w:r>
    </w:p>
    <w:p w14:paraId="11E728DE" w14:textId="0893F9AF" w:rsidR="00B850E7" w:rsidRDefault="00B850E7" w:rsidP="008B4804">
      <w:pPr>
        <w:pBdr>
          <w:top w:val="single" w:sz="4" w:space="1" w:color="auto"/>
          <w:left w:val="single" w:sz="4" w:space="4" w:color="auto"/>
          <w:bottom w:val="single" w:sz="4" w:space="1" w:color="auto"/>
          <w:right w:val="single" w:sz="4" w:space="4" w:color="auto"/>
        </w:pBdr>
        <w:shd w:val="clear" w:color="auto" w:fill="D9E2F3" w:themeFill="accent5" w:themeFillTint="33"/>
        <w:rPr>
          <w:noProof/>
        </w:rPr>
      </w:pPr>
      <w:r>
        <w:rPr>
          <w:noProof/>
        </w:rPr>
        <w:t>O serie de cazuri examinate care au implicat transbordarea după ce produsul în cauză a fost expediat din China pentru a parcurge operațiuni minore de asamblare în Turcia și Maroc sunt emblematice pentru provocările generate de politica Chinei „O centură, un drum” și pentru hotărârea Comisiei de a lua măsuri ferme împotriva comerțului neloial care rezultă din aceasta.</w:t>
      </w:r>
    </w:p>
    <w:p w14:paraId="5BA6C84A" w14:textId="77777777" w:rsidR="00FB5CF5" w:rsidRPr="00261B88" w:rsidRDefault="00FB5CF5" w:rsidP="00FB5CF5">
      <w:pPr>
        <w:pStyle w:val="Heading2"/>
        <w:rPr>
          <w:noProof/>
        </w:rPr>
      </w:pPr>
      <w:bookmarkStart w:id="79" w:name="_Toc116029545"/>
      <w:r w:rsidRPr="00261B88">
        <w:rPr>
          <w:noProof/>
        </w:rPr>
        <w:t>Cheltuieli</w:t>
      </w:r>
      <w:bookmarkEnd w:id="79"/>
    </w:p>
    <w:p w14:paraId="285E9D5F" w14:textId="74C6EC21" w:rsidR="008167CF" w:rsidRDefault="008167CF" w:rsidP="008167CF">
      <w:pPr>
        <w:rPr>
          <w:noProof/>
        </w:rPr>
      </w:pPr>
      <w:r>
        <w:rPr>
          <w:noProof/>
        </w:rPr>
        <w:t>Deși au fost introduse mecanisme de flexibilitate și instrumente pentru a face față crizei provocate de pandemia de COVID-</w:t>
      </w:r>
      <w:r w:rsidRPr="00D17A39">
        <w:rPr>
          <w:noProof/>
        </w:rPr>
        <w:t>19</w:t>
      </w:r>
      <w:r>
        <w:rPr>
          <w:noProof/>
        </w:rPr>
        <w:t>, bugetul UE s-a confruntat, de asemenea, cu noi provocări și riscuri</w:t>
      </w:r>
      <w:r>
        <w:rPr>
          <w:rStyle w:val="FootnoteReference"/>
          <w:noProof/>
        </w:rPr>
        <w:footnoteReference w:id="88"/>
      </w:r>
      <w:r>
        <w:rPr>
          <w:noProof/>
        </w:rPr>
        <w:t>. Per ansamblu, Comisia a reușit să mențină un nivel ridicat de acoperire și asigurare a auditului. Acest lucru a fost valabil și în statele membre, care efectuează cea mai mare parte a auditurilor și toate controalele în cadrul gestiunii partajate.</w:t>
      </w:r>
    </w:p>
    <w:p w14:paraId="50C7FADC" w14:textId="0E5DA4D4" w:rsidR="008167CF" w:rsidRDefault="00997D73" w:rsidP="008167CF">
      <w:pPr>
        <w:rPr>
          <w:noProof/>
        </w:rPr>
      </w:pPr>
      <w:r>
        <w:rPr>
          <w:noProof/>
        </w:rPr>
        <w:t>Acest lucru a asigurat faptul că flexibilitatea oferită nu a condus la o relaxare a controalelor. Normele modificate introduse în procedurile de control ale statelor membre au fost limitate în timp și în ceea ce privește domeniul de aplicare. Acest lucru a ajutat beneficiarii și statele membre în circumstanțe dificile</w:t>
      </w:r>
      <w:r>
        <w:rPr>
          <w:rStyle w:val="FootnoteReference"/>
          <w:noProof/>
        </w:rPr>
        <w:footnoteReference w:id="89"/>
      </w:r>
      <w:r>
        <w:rPr>
          <w:noProof/>
        </w:rPr>
        <w:t xml:space="preserve">. </w:t>
      </w:r>
    </w:p>
    <w:p w14:paraId="22EFB05A" w14:textId="6618428D" w:rsidR="008167CF" w:rsidRDefault="00CD7B44" w:rsidP="008167CF">
      <w:pPr>
        <w:rPr>
          <w:noProof/>
        </w:rPr>
      </w:pPr>
      <w:r>
        <w:rPr>
          <w:noProof/>
        </w:rPr>
        <w:t>De asemenea, s-au instituit sau erau deja instituite măsuri solide de atenuare a riscurilor legate de imposibilitatea de a efectua audituri și controale la fața locului. Acestea au inclus înlocuirea auditurilor la fața locului cu verificări documentare și audituri la distanță, precum și posibilitatea de a înlocui inspecțiile la fața locului cu soluții informatice (fotografii etichetate geografic, imagini prin satelit, reuniuni video etc.)</w:t>
      </w:r>
      <w:r>
        <w:rPr>
          <w:rStyle w:val="FootnoteReference"/>
          <w:noProof/>
        </w:rPr>
        <w:footnoteReference w:id="90"/>
      </w:r>
      <w:r>
        <w:rPr>
          <w:noProof/>
        </w:rPr>
        <w:t>.</w:t>
      </w:r>
    </w:p>
    <w:p w14:paraId="33B9CCEB" w14:textId="031C81D0" w:rsidR="00490854" w:rsidRDefault="00DC7AB1" w:rsidP="00594DC7">
      <w:pPr>
        <w:rPr>
          <w:noProof/>
        </w:rPr>
      </w:pPr>
      <w:r>
        <w:rPr>
          <w:noProof/>
        </w:rPr>
        <w:t xml:space="preserve">În acest context și în conformitate cu tendința preconizată, în ultimii cinci ani, numărul neregulilor raportate (de natură frauduloasă și nefrauduloasă) legate de cheltuielile UE pentru perioada de programare </w:t>
      </w:r>
      <w:r w:rsidRPr="00D17A39">
        <w:rPr>
          <w:noProof/>
        </w:rPr>
        <w:t>2007</w:t>
      </w:r>
      <w:r>
        <w:rPr>
          <w:noProof/>
        </w:rPr>
        <w:t>-</w:t>
      </w:r>
      <w:r w:rsidRPr="00D17A39">
        <w:rPr>
          <w:noProof/>
        </w:rPr>
        <w:t>2013</w:t>
      </w:r>
      <w:r>
        <w:rPr>
          <w:noProof/>
        </w:rPr>
        <w:t xml:space="preserve"> a scăzut, în timp ce numărul neregulilor legate de cadrul financiar pentru perioada </w:t>
      </w:r>
      <w:r w:rsidRPr="00D17A39">
        <w:rPr>
          <w:noProof/>
        </w:rPr>
        <w:t>2014</w:t>
      </w:r>
      <w:r>
        <w:rPr>
          <w:noProof/>
        </w:rPr>
        <w:t>-</w:t>
      </w:r>
      <w:r w:rsidRPr="00D17A39">
        <w:rPr>
          <w:noProof/>
        </w:rPr>
        <w:t>2020</w:t>
      </w:r>
      <w:r>
        <w:rPr>
          <w:rStyle w:val="FootnoteReference"/>
          <w:noProof/>
        </w:rPr>
        <w:footnoteReference w:id="91"/>
      </w:r>
      <w:r>
        <w:rPr>
          <w:noProof/>
        </w:rPr>
        <w:t xml:space="preserve"> a crescut, în concordanță cu ciclurile de execuție, astfel că, în prezent, acestea reprezintă marea majoritate a neregulilor raportate (aproximativ </w:t>
      </w:r>
      <w:r w:rsidRPr="00D17A39">
        <w:rPr>
          <w:noProof/>
        </w:rPr>
        <w:t>90</w:t>
      </w:r>
      <w:r>
        <w:rPr>
          <w:noProof/>
        </w:rPr>
        <w:t> %). Neregulile raportate legate de cheltuielile anuale (ajutoare directe pentru fermieri și măsuri de sprijinire a pieței) au rămas stabile.</w:t>
      </w:r>
      <w:r w:rsidR="00490854">
        <w:rPr>
          <w:noProof/>
        </w:rPr>
        <w:br w:type="page"/>
      </w:r>
    </w:p>
    <w:p w14:paraId="0B95959D" w14:textId="7F73357B" w:rsidR="00773F49" w:rsidRPr="00261B88" w:rsidRDefault="00773F49" w:rsidP="00DC7AB1">
      <w:pPr>
        <w:pStyle w:val="Caption"/>
        <w:keepNext/>
        <w:rPr>
          <w:noProof/>
        </w:rPr>
      </w:pPr>
      <w:bookmarkStart w:id="80" w:name="_Toc106662328"/>
      <w:r w:rsidRPr="00261B88">
        <w:rPr>
          <w:noProof/>
        </w:rPr>
        <w:t>Tabelul </w:t>
      </w:r>
      <w:r w:rsidR="00FD11F8">
        <w:rPr>
          <w:noProof/>
        </w:rPr>
        <w:fldChar w:fldCharType="begin"/>
      </w:r>
      <w:r w:rsidR="00FD11F8">
        <w:rPr>
          <w:noProof/>
        </w:rPr>
        <w:instrText xml:space="preserve"> SEQ Table \* ARABIC </w:instrText>
      </w:r>
      <w:r w:rsidR="00FD11F8">
        <w:rPr>
          <w:noProof/>
        </w:rPr>
        <w:fldChar w:fldCharType="separate"/>
      </w:r>
      <w:r w:rsidRPr="00261B88">
        <w:rPr>
          <w:noProof/>
        </w:rPr>
        <w:t>4</w:t>
      </w:r>
      <w:r w:rsidR="00FD11F8">
        <w:rPr>
          <w:noProof/>
        </w:rPr>
        <w:fldChar w:fldCharType="end"/>
      </w:r>
      <w:r w:rsidRPr="00261B88">
        <w:rPr>
          <w:noProof/>
        </w:rPr>
        <w:t> – Cheltuieli: Nereguli detectate și raportate pe sector bugetar în 2021</w:t>
      </w:r>
      <w:bookmarkEnd w:id="80"/>
    </w:p>
    <w:tbl>
      <w:tblPr>
        <w:tblW w:w="8642" w:type="dxa"/>
        <w:tblInd w:w="113" w:type="dxa"/>
        <w:tblLook w:val="04A0" w:firstRow="1" w:lastRow="0" w:firstColumn="1" w:lastColumn="0" w:noHBand="0" w:noVBand="1"/>
      </w:tblPr>
      <w:tblGrid>
        <w:gridCol w:w="2160"/>
        <w:gridCol w:w="1096"/>
        <w:gridCol w:w="1180"/>
        <w:gridCol w:w="1114"/>
        <w:gridCol w:w="1180"/>
        <w:gridCol w:w="957"/>
        <w:gridCol w:w="992"/>
      </w:tblGrid>
      <w:tr w:rsidR="00773F49" w:rsidRPr="006C5247" w14:paraId="21AF1819" w14:textId="77777777" w:rsidTr="002923C2">
        <w:trPr>
          <w:trHeight w:val="585"/>
          <w:tblHeader/>
        </w:trPr>
        <w:tc>
          <w:tcPr>
            <w:tcW w:w="2160" w:type="dxa"/>
            <w:tcBorders>
              <w:top w:val="single" w:sz="4" w:space="0" w:color="9BC2E6"/>
              <w:left w:val="single" w:sz="4" w:space="0" w:color="9BC2E6"/>
              <w:bottom w:val="single" w:sz="4" w:space="0" w:color="9BC2E6"/>
              <w:right w:val="single" w:sz="4" w:space="0" w:color="9BC2E6"/>
            </w:tcBorders>
            <w:shd w:val="clear" w:color="5B9BD5" w:fill="5B9BD5"/>
            <w:noWrap/>
            <w:vAlign w:val="center"/>
            <w:hideMark/>
          </w:tcPr>
          <w:p w14:paraId="0499687A" w14:textId="77777777" w:rsidR="00773F49" w:rsidRPr="006C5247" w:rsidRDefault="00773F49" w:rsidP="00A27EF6">
            <w:pPr>
              <w:spacing w:after="0"/>
              <w:jc w:val="center"/>
              <w:rPr>
                <w:rFonts w:ascii="Calibri" w:hAnsi="Calibri" w:cs="Calibri"/>
                <w:b/>
                <w:bCs/>
                <w:noProof/>
                <w:color w:val="FFFFFF"/>
                <w:szCs w:val="22"/>
              </w:rPr>
            </w:pPr>
            <w:r w:rsidRPr="00261B88">
              <w:rPr>
                <w:rFonts w:ascii="Calibri" w:hAnsi="Calibri"/>
                <w:b/>
                <w:noProof/>
                <w:color w:val="FFFFFF"/>
              </w:rPr>
              <w:t>Sectorul bugetar</w:t>
            </w:r>
          </w:p>
        </w:tc>
        <w:tc>
          <w:tcPr>
            <w:tcW w:w="2250" w:type="dxa"/>
            <w:gridSpan w:val="2"/>
            <w:tcBorders>
              <w:top w:val="single" w:sz="4" w:space="0" w:color="9BC2E6"/>
              <w:left w:val="single" w:sz="4" w:space="0" w:color="9BC2E6"/>
              <w:bottom w:val="single" w:sz="4" w:space="0" w:color="9BC2E6"/>
            </w:tcBorders>
            <w:shd w:val="clear" w:color="5B9BD5" w:fill="5B9BD5"/>
            <w:vAlign w:val="center"/>
            <w:hideMark/>
          </w:tcPr>
          <w:p w14:paraId="0C49CBE4" w14:textId="77777777" w:rsidR="00773F49" w:rsidRPr="006C5247" w:rsidRDefault="00773F49" w:rsidP="00A27EF6">
            <w:pPr>
              <w:spacing w:after="0"/>
              <w:jc w:val="center"/>
              <w:rPr>
                <w:rFonts w:ascii="Calibri" w:hAnsi="Calibri" w:cs="Calibri"/>
                <w:b/>
                <w:bCs/>
                <w:noProof/>
                <w:color w:val="FFFFFF"/>
                <w:szCs w:val="22"/>
              </w:rPr>
            </w:pPr>
            <w:r w:rsidRPr="00261B88">
              <w:rPr>
                <w:rFonts w:ascii="Calibri" w:hAnsi="Calibri"/>
                <w:b/>
                <w:noProof/>
                <w:color w:val="FFFFFF"/>
              </w:rPr>
              <w:t>Nereguli de natură frauduloasă</w:t>
            </w:r>
          </w:p>
        </w:tc>
        <w:tc>
          <w:tcPr>
            <w:tcW w:w="2283" w:type="dxa"/>
            <w:gridSpan w:val="2"/>
            <w:tcBorders>
              <w:top w:val="single" w:sz="4" w:space="0" w:color="9BC2E6"/>
              <w:left w:val="nil"/>
              <w:bottom w:val="single" w:sz="4" w:space="0" w:color="9BC2E6"/>
              <w:right w:val="single" w:sz="4" w:space="0" w:color="9BC2E6"/>
            </w:tcBorders>
            <w:shd w:val="clear" w:color="5B9BD5" w:fill="5B9BD5"/>
            <w:vAlign w:val="center"/>
            <w:hideMark/>
          </w:tcPr>
          <w:p w14:paraId="061FACD1" w14:textId="77777777" w:rsidR="00773F49" w:rsidRPr="006C5247" w:rsidRDefault="00773F49" w:rsidP="00A27EF6">
            <w:pPr>
              <w:spacing w:after="0"/>
              <w:jc w:val="center"/>
              <w:rPr>
                <w:rFonts w:ascii="Calibri" w:hAnsi="Calibri" w:cs="Calibri"/>
                <w:b/>
                <w:bCs/>
                <w:noProof/>
                <w:color w:val="FFFFFF"/>
                <w:szCs w:val="22"/>
              </w:rPr>
            </w:pPr>
            <w:r w:rsidRPr="00261B88">
              <w:rPr>
                <w:rFonts w:ascii="Calibri" w:hAnsi="Calibri"/>
                <w:b/>
                <w:noProof/>
                <w:color w:val="FFFFFF"/>
              </w:rPr>
              <w:t>Nereguli de natură nefrauduloasă</w:t>
            </w:r>
          </w:p>
        </w:tc>
        <w:tc>
          <w:tcPr>
            <w:tcW w:w="957" w:type="dxa"/>
            <w:tcBorders>
              <w:top w:val="single" w:sz="4" w:space="0" w:color="9BC2E6"/>
              <w:left w:val="single" w:sz="4" w:space="0" w:color="9BC2E6"/>
              <w:bottom w:val="single" w:sz="4" w:space="0" w:color="9BC2E6"/>
              <w:right w:val="single" w:sz="4" w:space="0" w:color="9BC2E6"/>
            </w:tcBorders>
            <w:shd w:val="clear" w:color="5B9BD5" w:fill="5B9BD5"/>
            <w:vAlign w:val="bottom"/>
            <w:hideMark/>
          </w:tcPr>
          <w:p w14:paraId="0835903E" w14:textId="77777777" w:rsidR="00773F49" w:rsidRPr="006C5247" w:rsidRDefault="00773F49" w:rsidP="00A27EF6">
            <w:pPr>
              <w:spacing w:after="0"/>
              <w:jc w:val="center"/>
              <w:rPr>
                <w:rFonts w:ascii="Calibri" w:hAnsi="Calibri" w:cs="Calibri"/>
                <w:b/>
                <w:bCs/>
                <w:noProof/>
                <w:color w:val="FFFFFF"/>
                <w:szCs w:val="22"/>
              </w:rPr>
            </w:pPr>
            <w:r w:rsidRPr="00261B88">
              <w:rPr>
                <w:rFonts w:ascii="Calibri" w:hAnsi="Calibri"/>
                <w:b/>
                <w:noProof/>
                <w:color w:val="FFFFFF"/>
              </w:rPr>
              <w:t>RDF</w:t>
            </w:r>
            <w:r>
              <w:rPr>
                <w:rStyle w:val="FootnoteReference"/>
                <w:rFonts w:ascii="Calibri" w:hAnsi="Calibri" w:cs="Calibri"/>
                <w:bCs/>
                <w:noProof/>
                <w:color w:val="FFFFFF"/>
                <w:szCs w:val="22"/>
              </w:rPr>
              <w:footnoteReference w:id="92"/>
            </w:r>
          </w:p>
        </w:tc>
        <w:tc>
          <w:tcPr>
            <w:tcW w:w="992" w:type="dxa"/>
            <w:tcBorders>
              <w:top w:val="single" w:sz="4" w:space="0" w:color="9BC2E6"/>
              <w:left w:val="single" w:sz="4" w:space="0" w:color="9BC2E6"/>
              <w:bottom w:val="single" w:sz="4" w:space="0" w:color="9BC2E6"/>
              <w:right w:val="single" w:sz="4" w:space="0" w:color="9BC2E6"/>
            </w:tcBorders>
            <w:shd w:val="clear" w:color="5B9BD5" w:fill="5B9BD5"/>
            <w:vAlign w:val="bottom"/>
            <w:hideMark/>
          </w:tcPr>
          <w:p w14:paraId="09EB447D" w14:textId="77777777" w:rsidR="00773F49" w:rsidRPr="00261B88" w:rsidRDefault="00773F49" w:rsidP="00A27EF6">
            <w:pPr>
              <w:spacing w:after="0"/>
              <w:jc w:val="center"/>
              <w:rPr>
                <w:rFonts w:ascii="Calibri" w:hAnsi="Calibri" w:cs="Calibri"/>
                <w:b/>
                <w:bCs/>
                <w:noProof/>
                <w:color w:val="FFFFFF"/>
                <w:szCs w:val="22"/>
              </w:rPr>
            </w:pPr>
            <w:r w:rsidRPr="00261B88">
              <w:rPr>
                <w:rFonts w:ascii="Calibri" w:hAnsi="Calibri"/>
                <w:b/>
                <w:noProof/>
                <w:color w:val="FFFFFF"/>
              </w:rPr>
              <w:t>RDN</w:t>
            </w:r>
            <w:r>
              <w:rPr>
                <w:rStyle w:val="FootnoteReference"/>
                <w:rFonts w:ascii="Calibri" w:hAnsi="Calibri" w:cs="Calibri"/>
                <w:bCs/>
                <w:noProof/>
                <w:color w:val="FFFFFF"/>
                <w:szCs w:val="22"/>
              </w:rPr>
              <w:footnoteReference w:id="93"/>
            </w:r>
          </w:p>
        </w:tc>
      </w:tr>
      <w:tr w:rsidR="00773F49" w:rsidRPr="006C5247" w14:paraId="28D5CE15" w14:textId="77777777" w:rsidTr="00A27EF6">
        <w:trPr>
          <w:trHeight w:val="300"/>
        </w:trPr>
        <w:tc>
          <w:tcPr>
            <w:tcW w:w="2160" w:type="dxa"/>
            <w:tcBorders>
              <w:top w:val="single" w:sz="4" w:space="0" w:color="9BC2E6"/>
              <w:left w:val="single" w:sz="4" w:space="0" w:color="9BC2E6"/>
              <w:bottom w:val="single" w:sz="4" w:space="0" w:color="9BC2E6"/>
              <w:right w:val="single" w:sz="4" w:space="0" w:color="9BC2E6"/>
            </w:tcBorders>
            <w:shd w:val="clear" w:color="DDEBF7" w:fill="DDEBF7"/>
            <w:noWrap/>
            <w:vAlign w:val="center"/>
            <w:hideMark/>
          </w:tcPr>
          <w:p w14:paraId="553C42C2" w14:textId="77777777" w:rsidR="00773F49" w:rsidRPr="00261B88" w:rsidRDefault="00773F49" w:rsidP="00A27EF6">
            <w:pPr>
              <w:spacing w:after="0"/>
              <w:jc w:val="center"/>
              <w:rPr>
                <w:rFonts w:ascii="Calibri" w:hAnsi="Calibri" w:cs="Calibri"/>
                <w:b/>
                <w:bCs/>
                <w:noProof/>
                <w:color w:val="FFFFFF"/>
                <w:szCs w:val="22"/>
              </w:rPr>
            </w:pPr>
          </w:p>
        </w:tc>
        <w:tc>
          <w:tcPr>
            <w:tcW w:w="1096" w:type="dxa"/>
            <w:tcBorders>
              <w:top w:val="single" w:sz="4" w:space="0" w:color="9BC2E6"/>
              <w:left w:val="single" w:sz="4" w:space="0" w:color="9BC2E6"/>
              <w:bottom w:val="single" w:sz="4" w:space="0" w:color="9BC2E6"/>
              <w:right w:val="nil"/>
            </w:tcBorders>
            <w:shd w:val="clear" w:color="DDEBF7" w:fill="DDEBF7"/>
            <w:noWrap/>
            <w:vAlign w:val="bottom"/>
            <w:hideMark/>
          </w:tcPr>
          <w:p w14:paraId="03D9F7DA" w14:textId="77777777" w:rsidR="00773F49" w:rsidRPr="006C5247" w:rsidRDefault="00773F49" w:rsidP="00A27EF6">
            <w:pPr>
              <w:spacing w:after="0"/>
              <w:jc w:val="center"/>
              <w:rPr>
                <w:rFonts w:ascii="Calibri" w:hAnsi="Calibri" w:cs="Calibri"/>
                <w:noProof/>
                <w:color w:val="000000"/>
                <w:sz w:val="16"/>
                <w:szCs w:val="16"/>
              </w:rPr>
            </w:pPr>
            <w:r>
              <w:rPr>
                <w:rFonts w:ascii="Calibri" w:hAnsi="Calibri"/>
                <w:noProof/>
                <w:color w:val="000000"/>
                <w:sz w:val="16"/>
              </w:rPr>
              <w:t>N</w:t>
            </w:r>
          </w:p>
        </w:tc>
        <w:tc>
          <w:tcPr>
            <w:tcW w:w="1154" w:type="dxa"/>
            <w:tcBorders>
              <w:top w:val="single" w:sz="4" w:space="0" w:color="9BC2E6"/>
              <w:left w:val="nil"/>
              <w:bottom w:val="single" w:sz="4" w:space="0" w:color="9BC2E6"/>
            </w:tcBorders>
            <w:shd w:val="clear" w:color="DDEBF7" w:fill="DDEBF7"/>
            <w:noWrap/>
            <w:vAlign w:val="bottom"/>
            <w:hideMark/>
          </w:tcPr>
          <w:p w14:paraId="5C0624D5" w14:textId="77777777" w:rsidR="00773F49" w:rsidRPr="006C5247" w:rsidRDefault="00773F49" w:rsidP="00A27EF6">
            <w:pPr>
              <w:spacing w:after="0"/>
              <w:jc w:val="center"/>
              <w:rPr>
                <w:rFonts w:ascii="Calibri" w:hAnsi="Calibri" w:cs="Calibri"/>
                <w:noProof/>
                <w:color w:val="000000"/>
                <w:sz w:val="16"/>
                <w:szCs w:val="16"/>
              </w:rPr>
            </w:pPr>
            <w:r>
              <w:rPr>
                <w:rFonts w:ascii="Calibri" w:hAnsi="Calibri"/>
                <w:noProof/>
                <w:color w:val="000000"/>
                <w:sz w:val="16"/>
              </w:rPr>
              <w:t>EUR (milioane)</w:t>
            </w:r>
          </w:p>
        </w:tc>
        <w:tc>
          <w:tcPr>
            <w:tcW w:w="1114" w:type="dxa"/>
            <w:tcBorders>
              <w:top w:val="single" w:sz="4" w:space="0" w:color="9BC2E6"/>
              <w:left w:val="nil"/>
              <w:bottom w:val="single" w:sz="4" w:space="0" w:color="9BC2E6"/>
              <w:right w:val="nil"/>
            </w:tcBorders>
            <w:shd w:val="clear" w:color="DDEBF7" w:fill="DDEBF7"/>
            <w:noWrap/>
            <w:vAlign w:val="bottom"/>
            <w:hideMark/>
          </w:tcPr>
          <w:p w14:paraId="72BFF9E2" w14:textId="77777777" w:rsidR="00773F49" w:rsidRPr="006C5247" w:rsidRDefault="00773F49" w:rsidP="00A27EF6">
            <w:pPr>
              <w:spacing w:after="0"/>
              <w:jc w:val="center"/>
              <w:rPr>
                <w:rFonts w:ascii="Calibri" w:hAnsi="Calibri" w:cs="Calibri"/>
                <w:noProof/>
                <w:color w:val="000000"/>
                <w:sz w:val="16"/>
                <w:szCs w:val="16"/>
              </w:rPr>
            </w:pPr>
            <w:r>
              <w:rPr>
                <w:rFonts w:ascii="Calibri" w:hAnsi="Calibri"/>
                <w:noProof/>
                <w:color w:val="000000"/>
                <w:sz w:val="16"/>
              </w:rPr>
              <w:t>N</w:t>
            </w:r>
          </w:p>
        </w:tc>
        <w:tc>
          <w:tcPr>
            <w:tcW w:w="1169" w:type="dxa"/>
            <w:tcBorders>
              <w:top w:val="single" w:sz="4" w:space="0" w:color="9BC2E6"/>
              <w:left w:val="nil"/>
              <w:bottom w:val="single" w:sz="4" w:space="0" w:color="9BC2E6"/>
              <w:right w:val="single" w:sz="4" w:space="0" w:color="9BC2E6"/>
            </w:tcBorders>
            <w:shd w:val="clear" w:color="DDEBF7" w:fill="DDEBF7"/>
            <w:noWrap/>
            <w:vAlign w:val="bottom"/>
            <w:hideMark/>
          </w:tcPr>
          <w:p w14:paraId="49E252A1" w14:textId="77777777" w:rsidR="00773F49" w:rsidRPr="006C5247" w:rsidRDefault="00773F49" w:rsidP="00A27EF6">
            <w:pPr>
              <w:spacing w:after="0"/>
              <w:jc w:val="center"/>
              <w:rPr>
                <w:rFonts w:ascii="Calibri" w:hAnsi="Calibri" w:cs="Calibri"/>
                <w:noProof/>
                <w:color w:val="000000"/>
                <w:sz w:val="16"/>
                <w:szCs w:val="16"/>
              </w:rPr>
            </w:pPr>
            <w:r>
              <w:rPr>
                <w:rFonts w:ascii="Calibri" w:hAnsi="Calibri"/>
                <w:noProof/>
                <w:color w:val="000000"/>
                <w:sz w:val="16"/>
              </w:rPr>
              <w:t>EUR (milioane)</w:t>
            </w:r>
          </w:p>
        </w:tc>
        <w:tc>
          <w:tcPr>
            <w:tcW w:w="957" w:type="dxa"/>
            <w:tcBorders>
              <w:top w:val="single" w:sz="4" w:space="0" w:color="9BC2E6"/>
              <w:left w:val="single" w:sz="4" w:space="0" w:color="9BC2E6"/>
              <w:bottom w:val="single" w:sz="4" w:space="0" w:color="9BC2E6"/>
              <w:right w:val="single" w:sz="4" w:space="0" w:color="9BC2E6"/>
            </w:tcBorders>
            <w:shd w:val="clear" w:color="DDEBF7" w:fill="DDEBF7"/>
            <w:noWrap/>
            <w:vAlign w:val="bottom"/>
            <w:hideMark/>
          </w:tcPr>
          <w:p w14:paraId="0A88CA53" w14:textId="77777777" w:rsidR="00773F49" w:rsidRPr="006C5247" w:rsidRDefault="00773F49" w:rsidP="00A27EF6">
            <w:pPr>
              <w:spacing w:after="0"/>
              <w:jc w:val="center"/>
              <w:rPr>
                <w:rFonts w:ascii="Calibri" w:hAnsi="Calibri" w:cs="Calibri"/>
                <w:noProof/>
                <w:color w:val="000000"/>
                <w:sz w:val="16"/>
                <w:szCs w:val="16"/>
              </w:rPr>
            </w:pPr>
            <w:r>
              <w:rPr>
                <w:rFonts w:ascii="Calibri" w:hAnsi="Calibri"/>
                <w:noProof/>
                <w:color w:val="000000"/>
                <w:sz w:val="16"/>
              </w:rPr>
              <w:t>%</w:t>
            </w:r>
          </w:p>
        </w:tc>
        <w:tc>
          <w:tcPr>
            <w:tcW w:w="992" w:type="dxa"/>
            <w:tcBorders>
              <w:top w:val="single" w:sz="4" w:space="0" w:color="9BC2E6"/>
              <w:left w:val="single" w:sz="4" w:space="0" w:color="9BC2E6"/>
              <w:bottom w:val="single" w:sz="4" w:space="0" w:color="9BC2E6"/>
              <w:right w:val="single" w:sz="4" w:space="0" w:color="9BC2E6"/>
            </w:tcBorders>
            <w:shd w:val="clear" w:color="DDEBF7" w:fill="DDEBF7"/>
            <w:noWrap/>
            <w:vAlign w:val="bottom"/>
            <w:hideMark/>
          </w:tcPr>
          <w:p w14:paraId="3CC691D8" w14:textId="77777777" w:rsidR="00773F49" w:rsidRPr="006C5247" w:rsidRDefault="00773F49" w:rsidP="00A27EF6">
            <w:pPr>
              <w:spacing w:after="0"/>
              <w:jc w:val="center"/>
              <w:rPr>
                <w:rFonts w:ascii="Calibri" w:hAnsi="Calibri" w:cs="Calibri"/>
                <w:noProof/>
                <w:color w:val="000000"/>
                <w:sz w:val="16"/>
                <w:szCs w:val="16"/>
              </w:rPr>
            </w:pPr>
            <w:r>
              <w:rPr>
                <w:rFonts w:ascii="Calibri" w:hAnsi="Calibri"/>
                <w:noProof/>
                <w:color w:val="000000"/>
                <w:sz w:val="16"/>
              </w:rPr>
              <w:t>%</w:t>
            </w:r>
          </w:p>
        </w:tc>
      </w:tr>
      <w:tr w:rsidR="00773F49" w:rsidRPr="006C5247" w14:paraId="624FAE0F" w14:textId="77777777" w:rsidTr="00D10B75">
        <w:trPr>
          <w:trHeight w:val="300"/>
        </w:trPr>
        <w:tc>
          <w:tcPr>
            <w:tcW w:w="2160" w:type="dxa"/>
            <w:tcBorders>
              <w:top w:val="single" w:sz="4" w:space="0" w:color="9BC2E6"/>
              <w:left w:val="single" w:sz="4" w:space="0" w:color="9BC2E6"/>
              <w:bottom w:val="single" w:sz="4" w:space="0" w:color="9BC2E6"/>
              <w:right w:val="single" w:sz="4" w:space="0" w:color="9BC2E6"/>
            </w:tcBorders>
            <w:shd w:val="clear" w:color="auto" w:fill="auto"/>
            <w:noWrap/>
            <w:vAlign w:val="bottom"/>
            <w:hideMark/>
          </w:tcPr>
          <w:p w14:paraId="2D4FC177" w14:textId="77777777" w:rsidR="00773F49" w:rsidRPr="006C5247" w:rsidRDefault="00773F49" w:rsidP="00A27EF6">
            <w:pPr>
              <w:spacing w:after="0"/>
              <w:jc w:val="left"/>
              <w:rPr>
                <w:rFonts w:ascii="Calibri" w:hAnsi="Calibri" w:cs="Calibri"/>
                <w:b/>
                <w:bCs/>
                <w:noProof/>
                <w:color w:val="000000"/>
                <w:szCs w:val="22"/>
              </w:rPr>
            </w:pPr>
            <w:r w:rsidRPr="00261B88">
              <w:rPr>
                <w:rFonts w:ascii="Calibri" w:hAnsi="Calibri"/>
                <w:b/>
                <w:noProof/>
                <w:color w:val="000000"/>
              </w:rPr>
              <w:t>Agricultură</w:t>
            </w:r>
          </w:p>
        </w:tc>
        <w:tc>
          <w:tcPr>
            <w:tcW w:w="1096" w:type="dxa"/>
            <w:tcBorders>
              <w:top w:val="single" w:sz="4" w:space="0" w:color="9BC2E6"/>
              <w:left w:val="single" w:sz="4" w:space="0" w:color="9BC2E6"/>
              <w:bottom w:val="single" w:sz="4" w:space="0" w:color="9BC2E6"/>
              <w:right w:val="nil"/>
            </w:tcBorders>
            <w:shd w:val="clear" w:color="auto" w:fill="auto"/>
            <w:noWrap/>
            <w:vAlign w:val="bottom"/>
          </w:tcPr>
          <w:p w14:paraId="67BDB0CB" w14:textId="77777777" w:rsidR="00773F49" w:rsidRPr="006C5247" w:rsidRDefault="00F2117F" w:rsidP="00A27EF6">
            <w:pPr>
              <w:spacing w:after="0"/>
              <w:jc w:val="right"/>
              <w:rPr>
                <w:rFonts w:ascii="Calibri" w:hAnsi="Calibri" w:cs="Calibri"/>
                <w:b/>
                <w:bCs/>
                <w:noProof/>
                <w:color w:val="000000"/>
                <w:szCs w:val="22"/>
              </w:rPr>
            </w:pPr>
            <w:r w:rsidRPr="00261B88">
              <w:rPr>
                <w:rFonts w:ascii="Calibri" w:hAnsi="Calibri"/>
                <w:b/>
                <w:noProof/>
                <w:color w:val="000000"/>
              </w:rPr>
              <w:t>250</w:t>
            </w:r>
          </w:p>
        </w:tc>
        <w:tc>
          <w:tcPr>
            <w:tcW w:w="1154" w:type="dxa"/>
            <w:tcBorders>
              <w:top w:val="single" w:sz="4" w:space="0" w:color="9BC2E6"/>
              <w:left w:val="nil"/>
              <w:bottom w:val="single" w:sz="4" w:space="0" w:color="9BC2E6"/>
            </w:tcBorders>
            <w:shd w:val="clear" w:color="auto" w:fill="auto"/>
            <w:noWrap/>
            <w:vAlign w:val="bottom"/>
          </w:tcPr>
          <w:p w14:paraId="73344F48" w14:textId="77777777" w:rsidR="00773F49" w:rsidRPr="006C5247" w:rsidRDefault="00F2117F" w:rsidP="00A27EF6">
            <w:pPr>
              <w:spacing w:after="0"/>
              <w:jc w:val="right"/>
              <w:rPr>
                <w:rFonts w:ascii="Calibri" w:hAnsi="Calibri" w:cs="Calibri"/>
                <w:b/>
                <w:bCs/>
                <w:noProof/>
                <w:color w:val="000000"/>
                <w:szCs w:val="22"/>
              </w:rPr>
            </w:pPr>
            <w:r w:rsidRPr="00261B88">
              <w:rPr>
                <w:rFonts w:ascii="Calibri" w:hAnsi="Calibri"/>
                <w:b/>
                <w:noProof/>
                <w:color w:val="000000"/>
              </w:rPr>
              <w:t>30,0</w:t>
            </w:r>
          </w:p>
        </w:tc>
        <w:tc>
          <w:tcPr>
            <w:tcW w:w="1114" w:type="dxa"/>
            <w:tcBorders>
              <w:top w:val="single" w:sz="4" w:space="0" w:color="9BC2E6"/>
              <w:left w:val="nil"/>
              <w:bottom w:val="single" w:sz="4" w:space="0" w:color="9BC2E6"/>
              <w:right w:val="nil"/>
            </w:tcBorders>
            <w:shd w:val="clear" w:color="auto" w:fill="auto"/>
            <w:noWrap/>
            <w:vAlign w:val="bottom"/>
          </w:tcPr>
          <w:p w14:paraId="38D280CE" w14:textId="77777777" w:rsidR="00773F49" w:rsidRPr="006C5247" w:rsidRDefault="00F2117F" w:rsidP="00A27EF6">
            <w:pPr>
              <w:spacing w:after="0"/>
              <w:jc w:val="right"/>
              <w:rPr>
                <w:rFonts w:ascii="Calibri" w:hAnsi="Calibri" w:cs="Calibri"/>
                <w:b/>
                <w:bCs/>
                <w:noProof/>
                <w:color w:val="000000"/>
                <w:szCs w:val="22"/>
              </w:rPr>
            </w:pPr>
            <w:r w:rsidRPr="00261B88">
              <w:rPr>
                <w:rFonts w:ascii="Calibri" w:hAnsi="Calibri"/>
                <w:b/>
                <w:noProof/>
                <w:color w:val="000000"/>
              </w:rPr>
              <w:t>3 455</w:t>
            </w:r>
          </w:p>
        </w:tc>
        <w:tc>
          <w:tcPr>
            <w:tcW w:w="1169" w:type="dxa"/>
            <w:tcBorders>
              <w:top w:val="single" w:sz="4" w:space="0" w:color="9BC2E6"/>
              <w:left w:val="nil"/>
              <w:bottom w:val="single" w:sz="4" w:space="0" w:color="9BC2E6"/>
              <w:right w:val="single" w:sz="4" w:space="0" w:color="9BC2E6"/>
            </w:tcBorders>
            <w:shd w:val="clear" w:color="auto" w:fill="auto"/>
            <w:noWrap/>
            <w:vAlign w:val="bottom"/>
          </w:tcPr>
          <w:p w14:paraId="7EA43E37" w14:textId="77777777" w:rsidR="00773F49" w:rsidRPr="006C5247" w:rsidRDefault="00F2117F" w:rsidP="00A27EF6">
            <w:pPr>
              <w:spacing w:after="0"/>
              <w:jc w:val="right"/>
              <w:rPr>
                <w:rFonts w:ascii="Calibri" w:hAnsi="Calibri" w:cs="Calibri"/>
                <w:b/>
                <w:bCs/>
                <w:noProof/>
                <w:color w:val="000000"/>
                <w:szCs w:val="22"/>
              </w:rPr>
            </w:pPr>
            <w:r w:rsidRPr="00261B88">
              <w:rPr>
                <w:rFonts w:ascii="Calibri" w:hAnsi="Calibri"/>
                <w:b/>
                <w:noProof/>
                <w:color w:val="000000"/>
              </w:rPr>
              <w:t>204,0</w:t>
            </w:r>
          </w:p>
        </w:tc>
        <w:tc>
          <w:tcPr>
            <w:tcW w:w="957" w:type="dxa"/>
            <w:tcBorders>
              <w:top w:val="single" w:sz="4" w:space="0" w:color="9BC2E6"/>
              <w:left w:val="single" w:sz="4" w:space="0" w:color="9BC2E6"/>
              <w:bottom w:val="single" w:sz="4" w:space="0" w:color="9BC2E6"/>
              <w:right w:val="single" w:sz="4" w:space="0" w:color="9BC2E6"/>
            </w:tcBorders>
            <w:shd w:val="clear" w:color="auto" w:fill="auto"/>
            <w:noWrap/>
            <w:vAlign w:val="bottom"/>
          </w:tcPr>
          <w:p w14:paraId="7DF3CCF2" w14:textId="77777777" w:rsidR="00773F49" w:rsidRPr="006C5247" w:rsidRDefault="00992A65" w:rsidP="00A27EF6">
            <w:pPr>
              <w:spacing w:after="0"/>
              <w:jc w:val="right"/>
              <w:rPr>
                <w:rFonts w:ascii="Calibri" w:hAnsi="Calibri" w:cs="Calibri"/>
                <w:b/>
                <w:bCs/>
                <w:noProof/>
                <w:color w:val="000000"/>
                <w:szCs w:val="22"/>
              </w:rPr>
            </w:pPr>
            <w:r w:rsidRPr="00261B88">
              <w:rPr>
                <w:rFonts w:ascii="Calibri" w:hAnsi="Calibri"/>
                <w:b/>
                <w:noProof/>
                <w:color w:val="000000"/>
              </w:rPr>
              <w:t>0,06 %</w:t>
            </w:r>
          </w:p>
        </w:tc>
        <w:tc>
          <w:tcPr>
            <w:tcW w:w="992" w:type="dxa"/>
            <w:tcBorders>
              <w:top w:val="single" w:sz="4" w:space="0" w:color="9BC2E6"/>
              <w:left w:val="single" w:sz="4" w:space="0" w:color="9BC2E6"/>
              <w:bottom w:val="single" w:sz="4" w:space="0" w:color="9BC2E6"/>
              <w:right w:val="single" w:sz="4" w:space="0" w:color="9BC2E6"/>
            </w:tcBorders>
            <w:shd w:val="clear" w:color="auto" w:fill="auto"/>
            <w:noWrap/>
            <w:vAlign w:val="bottom"/>
          </w:tcPr>
          <w:p w14:paraId="0D0A619E" w14:textId="77777777" w:rsidR="00773F49" w:rsidRPr="00261B88" w:rsidRDefault="00992A65" w:rsidP="00A27EF6">
            <w:pPr>
              <w:spacing w:after="0"/>
              <w:jc w:val="right"/>
              <w:rPr>
                <w:rFonts w:ascii="Calibri" w:hAnsi="Calibri" w:cs="Calibri"/>
                <w:b/>
                <w:bCs/>
                <w:noProof/>
                <w:color w:val="000000"/>
                <w:szCs w:val="22"/>
              </w:rPr>
            </w:pPr>
            <w:r w:rsidRPr="00261B88">
              <w:rPr>
                <w:rFonts w:ascii="Calibri" w:hAnsi="Calibri"/>
                <w:b/>
                <w:noProof/>
                <w:color w:val="000000"/>
              </w:rPr>
              <w:t>0,38 %</w:t>
            </w:r>
          </w:p>
        </w:tc>
      </w:tr>
      <w:tr w:rsidR="00773F49" w:rsidRPr="006C5247" w14:paraId="0093F2A2" w14:textId="77777777" w:rsidTr="00D10B75">
        <w:trPr>
          <w:trHeight w:val="300"/>
        </w:trPr>
        <w:tc>
          <w:tcPr>
            <w:tcW w:w="2160" w:type="dxa"/>
            <w:tcBorders>
              <w:top w:val="single" w:sz="4" w:space="0" w:color="9BC2E6"/>
              <w:left w:val="single" w:sz="4" w:space="0" w:color="9BC2E6"/>
              <w:bottom w:val="single" w:sz="4" w:space="0" w:color="9BC2E6"/>
              <w:right w:val="single" w:sz="4" w:space="0" w:color="9BC2E6"/>
            </w:tcBorders>
            <w:shd w:val="clear" w:color="DDEBF7" w:fill="DDEBF7"/>
            <w:noWrap/>
            <w:vAlign w:val="bottom"/>
            <w:hideMark/>
          </w:tcPr>
          <w:p w14:paraId="25D5501D" w14:textId="77777777" w:rsidR="00773F49" w:rsidRPr="006C5247" w:rsidRDefault="00773F49" w:rsidP="00A27EF6">
            <w:pPr>
              <w:spacing w:after="0"/>
              <w:jc w:val="right"/>
              <w:rPr>
                <w:rFonts w:ascii="Calibri" w:hAnsi="Calibri" w:cs="Calibri"/>
                <w:i/>
                <w:iCs/>
                <w:noProof/>
                <w:color w:val="000000"/>
                <w:sz w:val="18"/>
                <w:szCs w:val="18"/>
              </w:rPr>
            </w:pPr>
            <w:r w:rsidRPr="00261B88">
              <w:rPr>
                <w:rFonts w:ascii="Calibri" w:hAnsi="Calibri"/>
                <w:i/>
                <w:noProof/>
                <w:color w:val="000000"/>
                <w:sz w:val="18"/>
              </w:rPr>
              <w:t>Dezvoltare rurală</w:t>
            </w:r>
          </w:p>
        </w:tc>
        <w:tc>
          <w:tcPr>
            <w:tcW w:w="1096" w:type="dxa"/>
            <w:tcBorders>
              <w:top w:val="single" w:sz="4" w:space="0" w:color="9BC2E6"/>
              <w:left w:val="single" w:sz="4" w:space="0" w:color="9BC2E6"/>
              <w:bottom w:val="single" w:sz="4" w:space="0" w:color="9BC2E6"/>
              <w:right w:val="nil"/>
            </w:tcBorders>
            <w:shd w:val="clear" w:color="DDEBF7" w:fill="DDEBF7"/>
            <w:noWrap/>
            <w:vAlign w:val="bottom"/>
          </w:tcPr>
          <w:p w14:paraId="036F3A23" w14:textId="77777777" w:rsidR="00773F49" w:rsidRPr="006C5247" w:rsidRDefault="00F2117F" w:rsidP="00A27EF6">
            <w:pPr>
              <w:spacing w:after="0"/>
              <w:jc w:val="right"/>
              <w:rPr>
                <w:rFonts w:ascii="Calibri" w:hAnsi="Calibri" w:cs="Calibri"/>
                <w:i/>
                <w:iCs/>
                <w:noProof/>
                <w:color w:val="000000"/>
                <w:sz w:val="18"/>
                <w:szCs w:val="18"/>
              </w:rPr>
            </w:pPr>
            <w:r w:rsidRPr="00261B88">
              <w:rPr>
                <w:rFonts w:ascii="Calibri" w:hAnsi="Calibri"/>
                <w:i/>
                <w:noProof/>
                <w:color w:val="000000"/>
                <w:sz w:val="18"/>
              </w:rPr>
              <w:t>144</w:t>
            </w:r>
          </w:p>
        </w:tc>
        <w:tc>
          <w:tcPr>
            <w:tcW w:w="1154" w:type="dxa"/>
            <w:tcBorders>
              <w:top w:val="single" w:sz="4" w:space="0" w:color="9BC2E6"/>
              <w:left w:val="nil"/>
              <w:bottom w:val="single" w:sz="4" w:space="0" w:color="9BC2E6"/>
            </w:tcBorders>
            <w:shd w:val="clear" w:color="DDEBF7" w:fill="DDEBF7"/>
            <w:noWrap/>
            <w:vAlign w:val="bottom"/>
          </w:tcPr>
          <w:p w14:paraId="5D15FCC5" w14:textId="77777777" w:rsidR="00773F49" w:rsidRPr="006C5247" w:rsidRDefault="00F2117F" w:rsidP="00A27EF6">
            <w:pPr>
              <w:spacing w:after="0"/>
              <w:jc w:val="right"/>
              <w:rPr>
                <w:rFonts w:ascii="Calibri" w:hAnsi="Calibri" w:cs="Calibri"/>
                <w:i/>
                <w:iCs/>
                <w:noProof/>
                <w:color w:val="000000"/>
                <w:sz w:val="18"/>
                <w:szCs w:val="18"/>
              </w:rPr>
            </w:pPr>
            <w:r w:rsidRPr="00261B88">
              <w:rPr>
                <w:rFonts w:ascii="Calibri" w:hAnsi="Calibri"/>
                <w:i/>
                <w:noProof/>
                <w:color w:val="000000"/>
                <w:sz w:val="18"/>
              </w:rPr>
              <w:t>16,5</w:t>
            </w:r>
          </w:p>
        </w:tc>
        <w:tc>
          <w:tcPr>
            <w:tcW w:w="1114" w:type="dxa"/>
            <w:tcBorders>
              <w:top w:val="single" w:sz="4" w:space="0" w:color="9BC2E6"/>
              <w:left w:val="nil"/>
              <w:bottom w:val="single" w:sz="4" w:space="0" w:color="9BC2E6"/>
              <w:right w:val="nil"/>
            </w:tcBorders>
            <w:shd w:val="clear" w:color="DDEBF7" w:fill="DDEBF7"/>
            <w:noWrap/>
            <w:vAlign w:val="bottom"/>
          </w:tcPr>
          <w:p w14:paraId="2F8F0A47" w14:textId="77777777" w:rsidR="00773F49" w:rsidRPr="006C5247" w:rsidRDefault="00F2117F" w:rsidP="00A27EF6">
            <w:pPr>
              <w:spacing w:after="0"/>
              <w:jc w:val="right"/>
              <w:rPr>
                <w:rFonts w:ascii="Calibri" w:hAnsi="Calibri" w:cs="Calibri"/>
                <w:i/>
                <w:iCs/>
                <w:noProof/>
                <w:color w:val="000000"/>
                <w:sz w:val="18"/>
                <w:szCs w:val="18"/>
              </w:rPr>
            </w:pPr>
            <w:r w:rsidRPr="00261B88">
              <w:rPr>
                <w:rFonts w:ascii="Calibri" w:hAnsi="Calibri"/>
                <w:i/>
                <w:noProof/>
                <w:color w:val="000000"/>
                <w:sz w:val="18"/>
              </w:rPr>
              <w:t>2 400</w:t>
            </w:r>
          </w:p>
        </w:tc>
        <w:tc>
          <w:tcPr>
            <w:tcW w:w="1169" w:type="dxa"/>
            <w:tcBorders>
              <w:top w:val="single" w:sz="4" w:space="0" w:color="9BC2E6"/>
              <w:left w:val="nil"/>
              <w:bottom w:val="single" w:sz="4" w:space="0" w:color="9BC2E6"/>
              <w:right w:val="single" w:sz="4" w:space="0" w:color="9BC2E6"/>
            </w:tcBorders>
            <w:shd w:val="clear" w:color="DDEBF7" w:fill="DDEBF7"/>
            <w:noWrap/>
            <w:vAlign w:val="bottom"/>
          </w:tcPr>
          <w:p w14:paraId="1D8A112C" w14:textId="77777777" w:rsidR="00773F49" w:rsidRPr="006C5247" w:rsidRDefault="00F2117F" w:rsidP="00A27EF6">
            <w:pPr>
              <w:spacing w:after="0"/>
              <w:jc w:val="right"/>
              <w:rPr>
                <w:rFonts w:ascii="Calibri" w:hAnsi="Calibri" w:cs="Calibri"/>
                <w:i/>
                <w:iCs/>
                <w:noProof/>
                <w:color w:val="000000"/>
                <w:sz w:val="18"/>
                <w:szCs w:val="18"/>
              </w:rPr>
            </w:pPr>
            <w:r w:rsidRPr="00261B88">
              <w:rPr>
                <w:rFonts w:ascii="Calibri" w:hAnsi="Calibri"/>
                <w:i/>
                <w:noProof/>
                <w:color w:val="000000"/>
                <w:sz w:val="18"/>
              </w:rPr>
              <w:t>94,7</w:t>
            </w:r>
          </w:p>
        </w:tc>
        <w:tc>
          <w:tcPr>
            <w:tcW w:w="957" w:type="dxa"/>
            <w:tcBorders>
              <w:top w:val="single" w:sz="4" w:space="0" w:color="9BC2E6"/>
              <w:left w:val="single" w:sz="4" w:space="0" w:color="9BC2E6"/>
              <w:bottom w:val="single" w:sz="4" w:space="0" w:color="9BC2E6"/>
              <w:right w:val="single" w:sz="4" w:space="0" w:color="9BC2E6"/>
            </w:tcBorders>
            <w:shd w:val="clear" w:color="DDEBF7" w:fill="DDEBF7"/>
            <w:noWrap/>
            <w:vAlign w:val="bottom"/>
          </w:tcPr>
          <w:p w14:paraId="54C1947B" w14:textId="77777777" w:rsidR="00773F49" w:rsidRPr="006C5247" w:rsidRDefault="00992A65" w:rsidP="00A27EF6">
            <w:pPr>
              <w:spacing w:after="0"/>
              <w:jc w:val="right"/>
              <w:rPr>
                <w:rFonts w:ascii="Calibri" w:hAnsi="Calibri" w:cs="Calibri"/>
                <w:i/>
                <w:iCs/>
                <w:noProof/>
                <w:color w:val="000000"/>
                <w:sz w:val="18"/>
                <w:szCs w:val="18"/>
              </w:rPr>
            </w:pPr>
            <w:r w:rsidRPr="00261B88">
              <w:rPr>
                <w:rFonts w:ascii="Calibri" w:hAnsi="Calibri"/>
                <w:i/>
                <w:noProof/>
                <w:color w:val="000000"/>
                <w:sz w:val="18"/>
              </w:rPr>
              <w:t>0,12%</w:t>
            </w:r>
          </w:p>
        </w:tc>
        <w:tc>
          <w:tcPr>
            <w:tcW w:w="992" w:type="dxa"/>
            <w:tcBorders>
              <w:top w:val="single" w:sz="4" w:space="0" w:color="9BC2E6"/>
              <w:left w:val="single" w:sz="4" w:space="0" w:color="9BC2E6"/>
              <w:bottom w:val="single" w:sz="4" w:space="0" w:color="9BC2E6"/>
              <w:right w:val="single" w:sz="4" w:space="0" w:color="9BC2E6"/>
            </w:tcBorders>
            <w:shd w:val="clear" w:color="DDEBF7" w:fill="DDEBF7"/>
            <w:noWrap/>
            <w:vAlign w:val="bottom"/>
          </w:tcPr>
          <w:p w14:paraId="216A282C" w14:textId="77777777" w:rsidR="00773F49" w:rsidRPr="00261B88" w:rsidRDefault="00992A65" w:rsidP="00A27EF6">
            <w:pPr>
              <w:spacing w:after="0"/>
              <w:jc w:val="right"/>
              <w:rPr>
                <w:rFonts w:ascii="Calibri" w:hAnsi="Calibri" w:cs="Calibri"/>
                <w:i/>
                <w:iCs/>
                <w:noProof/>
                <w:color w:val="000000"/>
                <w:sz w:val="18"/>
                <w:szCs w:val="18"/>
              </w:rPr>
            </w:pPr>
            <w:r w:rsidRPr="00261B88">
              <w:rPr>
                <w:rFonts w:ascii="Calibri" w:hAnsi="Calibri"/>
                <w:i/>
                <w:noProof/>
                <w:color w:val="000000"/>
                <w:sz w:val="18"/>
              </w:rPr>
              <w:t>0,68%</w:t>
            </w:r>
          </w:p>
        </w:tc>
      </w:tr>
      <w:tr w:rsidR="00773F49" w:rsidRPr="006C5247" w14:paraId="2F87BA38" w14:textId="77777777" w:rsidTr="00D10B75">
        <w:trPr>
          <w:trHeight w:val="300"/>
        </w:trPr>
        <w:tc>
          <w:tcPr>
            <w:tcW w:w="2160" w:type="dxa"/>
            <w:tcBorders>
              <w:top w:val="single" w:sz="4" w:space="0" w:color="9BC2E6"/>
              <w:left w:val="single" w:sz="4" w:space="0" w:color="9BC2E6"/>
              <w:bottom w:val="single" w:sz="4" w:space="0" w:color="9BC2E6"/>
              <w:right w:val="single" w:sz="4" w:space="0" w:color="9BC2E6"/>
            </w:tcBorders>
            <w:shd w:val="clear" w:color="auto" w:fill="auto"/>
            <w:noWrap/>
            <w:vAlign w:val="bottom"/>
            <w:hideMark/>
          </w:tcPr>
          <w:p w14:paraId="46CFF1BD" w14:textId="77777777" w:rsidR="00773F49" w:rsidRPr="006C5247" w:rsidRDefault="00773F49" w:rsidP="00A27EF6">
            <w:pPr>
              <w:spacing w:after="0"/>
              <w:jc w:val="right"/>
              <w:rPr>
                <w:rFonts w:ascii="Calibri" w:hAnsi="Calibri" w:cs="Calibri"/>
                <w:i/>
                <w:iCs/>
                <w:noProof/>
                <w:color w:val="000000"/>
                <w:sz w:val="18"/>
                <w:szCs w:val="18"/>
              </w:rPr>
            </w:pPr>
            <w:r w:rsidRPr="00261B88">
              <w:rPr>
                <w:rFonts w:ascii="Calibri" w:hAnsi="Calibri"/>
                <w:i/>
                <w:noProof/>
                <w:color w:val="000000"/>
                <w:sz w:val="18"/>
              </w:rPr>
              <w:t>Sprijin pentru agricultură</w:t>
            </w:r>
          </w:p>
        </w:tc>
        <w:tc>
          <w:tcPr>
            <w:tcW w:w="1096" w:type="dxa"/>
            <w:tcBorders>
              <w:top w:val="single" w:sz="4" w:space="0" w:color="9BC2E6"/>
              <w:left w:val="single" w:sz="4" w:space="0" w:color="9BC2E6"/>
              <w:bottom w:val="single" w:sz="4" w:space="0" w:color="9BC2E6"/>
              <w:right w:val="nil"/>
            </w:tcBorders>
            <w:shd w:val="clear" w:color="auto" w:fill="auto"/>
            <w:noWrap/>
            <w:vAlign w:val="bottom"/>
          </w:tcPr>
          <w:p w14:paraId="3279C50A" w14:textId="77777777" w:rsidR="00773F49" w:rsidRPr="006C5247" w:rsidRDefault="00F2117F" w:rsidP="00A27EF6">
            <w:pPr>
              <w:spacing w:after="0"/>
              <w:jc w:val="right"/>
              <w:rPr>
                <w:rFonts w:ascii="Calibri" w:hAnsi="Calibri" w:cs="Calibri"/>
                <w:i/>
                <w:iCs/>
                <w:noProof/>
                <w:color w:val="000000"/>
                <w:sz w:val="18"/>
                <w:szCs w:val="18"/>
              </w:rPr>
            </w:pPr>
            <w:r w:rsidRPr="00261B88">
              <w:rPr>
                <w:rFonts w:ascii="Calibri" w:hAnsi="Calibri"/>
                <w:i/>
                <w:noProof/>
                <w:color w:val="000000"/>
                <w:sz w:val="18"/>
              </w:rPr>
              <w:t>98</w:t>
            </w:r>
          </w:p>
        </w:tc>
        <w:tc>
          <w:tcPr>
            <w:tcW w:w="1154" w:type="dxa"/>
            <w:tcBorders>
              <w:top w:val="single" w:sz="4" w:space="0" w:color="9BC2E6"/>
              <w:left w:val="nil"/>
              <w:bottom w:val="single" w:sz="4" w:space="0" w:color="9BC2E6"/>
            </w:tcBorders>
            <w:shd w:val="clear" w:color="auto" w:fill="auto"/>
            <w:noWrap/>
            <w:vAlign w:val="bottom"/>
          </w:tcPr>
          <w:p w14:paraId="0488ECB9" w14:textId="77777777" w:rsidR="00773F49" w:rsidRPr="006C5247" w:rsidRDefault="00F2117F" w:rsidP="00A27EF6">
            <w:pPr>
              <w:spacing w:after="0"/>
              <w:jc w:val="right"/>
              <w:rPr>
                <w:rFonts w:ascii="Calibri" w:hAnsi="Calibri" w:cs="Calibri"/>
                <w:i/>
                <w:iCs/>
                <w:noProof/>
                <w:color w:val="000000"/>
                <w:sz w:val="18"/>
                <w:szCs w:val="18"/>
              </w:rPr>
            </w:pPr>
            <w:r w:rsidRPr="00261B88">
              <w:rPr>
                <w:rFonts w:ascii="Calibri" w:hAnsi="Calibri"/>
                <w:i/>
                <w:noProof/>
                <w:color w:val="000000"/>
                <w:sz w:val="18"/>
              </w:rPr>
              <w:t>13,0</w:t>
            </w:r>
          </w:p>
        </w:tc>
        <w:tc>
          <w:tcPr>
            <w:tcW w:w="1114" w:type="dxa"/>
            <w:tcBorders>
              <w:top w:val="single" w:sz="4" w:space="0" w:color="9BC2E6"/>
              <w:left w:val="nil"/>
              <w:bottom w:val="single" w:sz="4" w:space="0" w:color="9BC2E6"/>
              <w:right w:val="nil"/>
            </w:tcBorders>
            <w:shd w:val="clear" w:color="auto" w:fill="auto"/>
            <w:noWrap/>
            <w:vAlign w:val="bottom"/>
          </w:tcPr>
          <w:p w14:paraId="13EE31C1" w14:textId="77777777" w:rsidR="00773F49" w:rsidRPr="006C5247" w:rsidRDefault="00F2117F" w:rsidP="00A27EF6">
            <w:pPr>
              <w:spacing w:after="0"/>
              <w:jc w:val="right"/>
              <w:rPr>
                <w:rFonts w:ascii="Calibri" w:hAnsi="Calibri" w:cs="Calibri"/>
                <w:i/>
                <w:iCs/>
                <w:noProof/>
                <w:color w:val="000000"/>
                <w:sz w:val="18"/>
                <w:szCs w:val="18"/>
              </w:rPr>
            </w:pPr>
            <w:r w:rsidRPr="00261B88">
              <w:rPr>
                <w:rFonts w:ascii="Calibri" w:hAnsi="Calibri"/>
                <w:i/>
                <w:noProof/>
                <w:color w:val="000000"/>
                <w:sz w:val="18"/>
              </w:rPr>
              <w:t>1 015</w:t>
            </w:r>
          </w:p>
        </w:tc>
        <w:tc>
          <w:tcPr>
            <w:tcW w:w="1169" w:type="dxa"/>
            <w:tcBorders>
              <w:top w:val="single" w:sz="4" w:space="0" w:color="9BC2E6"/>
              <w:left w:val="nil"/>
              <w:bottom w:val="single" w:sz="4" w:space="0" w:color="9BC2E6"/>
              <w:right w:val="single" w:sz="4" w:space="0" w:color="9BC2E6"/>
            </w:tcBorders>
            <w:shd w:val="clear" w:color="auto" w:fill="auto"/>
            <w:noWrap/>
            <w:vAlign w:val="bottom"/>
          </w:tcPr>
          <w:p w14:paraId="33F76399" w14:textId="77777777" w:rsidR="00773F49" w:rsidRPr="006C5247" w:rsidRDefault="00F2117F" w:rsidP="00A27EF6">
            <w:pPr>
              <w:spacing w:after="0"/>
              <w:jc w:val="right"/>
              <w:rPr>
                <w:rFonts w:ascii="Calibri" w:hAnsi="Calibri" w:cs="Calibri"/>
                <w:i/>
                <w:iCs/>
                <w:noProof/>
                <w:color w:val="000000"/>
                <w:sz w:val="18"/>
                <w:szCs w:val="18"/>
              </w:rPr>
            </w:pPr>
            <w:r w:rsidRPr="00261B88">
              <w:rPr>
                <w:rFonts w:ascii="Calibri" w:hAnsi="Calibri"/>
                <w:i/>
                <w:noProof/>
                <w:color w:val="000000"/>
                <w:sz w:val="18"/>
              </w:rPr>
              <w:t>107,5</w:t>
            </w:r>
          </w:p>
        </w:tc>
        <w:tc>
          <w:tcPr>
            <w:tcW w:w="957" w:type="dxa"/>
            <w:tcBorders>
              <w:top w:val="single" w:sz="4" w:space="0" w:color="9BC2E6"/>
              <w:left w:val="single" w:sz="4" w:space="0" w:color="9BC2E6"/>
              <w:bottom w:val="single" w:sz="4" w:space="0" w:color="9BC2E6"/>
              <w:right w:val="single" w:sz="4" w:space="0" w:color="9BC2E6"/>
            </w:tcBorders>
            <w:shd w:val="clear" w:color="auto" w:fill="auto"/>
            <w:noWrap/>
            <w:vAlign w:val="bottom"/>
          </w:tcPr>
          <w:p w14:paraId="34B4BE0C" w14:textId="77777777" w:rsidR="00773F49" w:rsidRPr="006C5247" w:rsidRDefault="00992A65" w:rsidP="00A27EF6">
            <w:pPr>
              <w:spacing w:after="0"/>
              <w:jc w:val="right"/>
              <w:rPr>
                <w:rFonts w:ascii="Calibri" w:hAnsi="Calibri" w:cs="Calibri"/>
                <w:i/>
                <w:iCs/>
                <w:noProof/>
                <w:color w:val="000000"/>
                <w:sz w:val="18"/>
                <w:szCs w:val="18"/>
              </w:rPr>
            </w:pPr>
            <w:r w:rsidRPr="00261B88">
              <w:rPr>
                <w:rFonts w:ascii="Calibri" w:hAnsi="Calibri"/>
                <w:i/>
                <w:noProof/>
                <w:color w:val="000000"/>
                <w:sz w:val="18"/>
              </w:rPr>
              <w:t>0,03 %</w:t>
            </w:r>
          </w:p>
        </w:tc>
        <w:tc>
          <w:tcPr>
            <w:tcW w:w="992" w:type="dxa"/>
            <w:tcBorders>
              <w:top w:val="single" w:sz="4" w:space="0" w:color="9BC2E6"/>
              <w:left w:val="single" w:sz="4" w:space="0" w:color="9BC2E6"/>
              <w:bottom w:val="single" w:sz="4" w:space="0" w:color="9BC2E6"/>
              <w:right w:val="single" w:sz="4" w:space="0" w:color="9BC2E6"/>
            </w:tcBorders>
            <w:shd w:val="clear" w:color="auto" w:fill="auto"/>
            <w:noWrap/>
            <w:vAlign w:val="bottom"/>
          </w:tcPr>
          <w:p w14:paraId="14EBA78E" w14:textId="77777777" w:rsidR="00773F49" w:rsidRPr="00261B88" w:rsidRDefault="00992A65" w:rsidP="00A27EF6">
            <w:pPr>
              <w:spacing w:after="0"/>
              <w:jc w:val="right"/>
              <w:rPr>
                <w:rFonts w:ascii="Calibri" w:hAnsi="Calibri" w:cs="Calibri"/>
                <w:i/>
                <w:iCs/>
                <w:noProof/>
                <w:color w:val="000000"/>
                <w:sz w:val="18"/>
                <w:szCs w:val="18"/>
              </w:rPr>
            </w:pPr>
            <w:r w:rsidRPr="00261B88">
              <w:rPr>
                <w:rFonts w:ascii="Calibri" w:hAnsi="Calibri"/>
                <w:i/>
                <w:noProof/>
                <w:color w:val="000000"/>
                <w:sz w:val="18"/>
              </w:rPr>
              <w:t>0,27 %</w:t>
            </w:r>
          </w:p>
        </w:tc>
      </w:tr>
      <w:tr w:rsidR="00773F49" w:rsidRPr="006C5247" w14:paraId="0BAAEBD9" w14:textId="77777777" w:rsidTr="00D10B75">
        <w:trPr>
          <w:trHeight w:val="300"/>
        </w:trPr>
        <w:tc>
          <w:tcPr>
            <w:tcW w:w="2160" w:type="dxa"/>
            <w:tcBorders>
              <w:top w:val="single" w:sz="4" w:space="0" w:color="9BC2E6"/>
              <w:left w:val="single" w:sz="4" w:space="0" w:color="9BC2E6"/>
              <w:bottom w:val="single" w:sz="4" w:space="0" w:color="9BC2E6"/>
              <w:right w:val="single" w:sz="4" w:space="0" w:color="9BC2E6"/>
            </w:tcBorders>
            <w:shd w:val="clear" w:color="DDEBF7" w:fill="DDEBF7"/>
            <w:noWrap/>
            <w:vAlign w:val="bottom"/>
            <w:hideMark/>
          </w:tcPr>
          <w:p w14:paraId="04FFC2B3" w14:textId="57E0A277" w:rsidR="00773F49" w:rsidRPr="006C5247" w:rsidRDefault="00773F49" w:rsidP="004A5098">
            <w:pPr>
              <w:spacing w:after="0"/>
              <w:jc w:val="right"/>
              <w:rPr>
                <w:rFonts w:ascii="Calibri" w:hAnsi="Calibri" w:cs="Calibri"/>
                <w:i/>
                <w:iCs/>
                <w:noProof/>
                <w:color w:val="000000"/>
                <w:sz w:val="18"/>
                <w:szCs w:val="18"/>
              </w:rPr>
            </w:pPr>
            <w:r w:rsidRPr="00261B88">
              <w:rPr>
                <w:rFonts w:ascii="Calibri" w:hAnsi="Calibri"/>
                <w:i/>
                <w:noProof/>
                <w:color w:val="000000"/>
                <w:sz w:val="18"/>
              </w:rPr>
              <w:t>Ambele/Neclar</w:t>
            </w:r>
          </w:p>
        </w:tc>
        <w:tc>
          <w:tcPr>
            <w:tcW w:w="1096" w:type="dxa"/>
            <w:tcBorders>
              <w:top w:val="single" w:sz="4" w:space="0" w:color="9BC2E6"/>
              <w:left w:val="single" w:sz="4" w:space="0" w:color="9BC2E6"/>
              <w:bottom w:val="single" w:sz="4" w:space="0" w:color="9BC2E6"/>
              <w:right w:val="nil"/>
            </w:tcBorders>
            <w:shd w:val="clear" w:color="DDEBF7" w:fill="DDEBF7"/>
            <w:noWrap/>
            <w:vAlign w:val="bottom"/>
          </w:tcPr>
          <w:p w14:paraId="62DD0406" w14:textId="77777777" w:rsidR="00773F49" w:rsidRPr="006C5247" w:rsidRDefault="00F2117F" w:rsidP="00A27EF6">
            <w:pPr>
              <w:spacing w:after="0"/>
              <w:jc w:val="right"/>
              <w:rPr>
                <w:rFonts w:ascii="Calibri" w:hAnsi="Calibri" w:cs="Calibri"/>
                <w:i/>
                <w:iCs/>
                <w:noProof/>
                <w:color w:val="000000"/>
                <w:sz w:val="18"/>
                <w:szCs w:val="18"/>
              </w:rPr>
            </w:pPr>
            <w:r w:rsidRPr="00261B88">
              <w:rPr>
                <w:rFonts w:ascii="Calibri" w:hAnsi="Calibri"/>
                <w:i/>
                <w:noProof/>
                <w:color w:val="000000"/>
                <w:sz w:val="18"/>
              </w:rPr>
              <w:t>8</w:t>
            </w:r>
          </w:p>
        </w:tc>
        <w:tc>
          <w:tcPr>
            <w:tcW w:w="1154" w:type="dxa"/>
            <w:tcBorders>
              <w:top w:val="single" w:sz="4" w:space="0" w:color="9BC2E6"/>
              <w:left w:val="nil"/>
              <w:bottom w:val="single" w:sz="4" w:space="0" w:color="9BC2E6"/>
            </w:tcBorders>
            <w:shd w:val="clear" w:color="DDEBF7" w:fill="DDEBF7"/>
            <w:noWrap/>
            <w:vAlign w:val="bottom"/>
          </w:tcPr>
          <w:p w14:paraId="53F04075" w14:textId="77777777" w:rsidR="00773F49" w:rsidRPr="006C5247" w:rsidRDefault="00F2117F" w:rsidP="00A27EF6">
            <w:pPr>
              <w:spacing w:after="0"/>
              <w:jc w:val="right"/>
              <w:rPr>
                <w:rFonts w:ascii="Calibri" w:hAnsi="Calibri" w:cs="Calibri"/>
                <w:i/>
                <w:iCs/>
                <w:noProof/>
                <w:color w:val="000000"/>
                <w:sz w:val="18"/>
                <w:szCs w:val="18"/>
              </w:rPr>
            </w:pPr>
            <w:r w:rsidRPr="00261B88">
              <w:rPr>
                <w:rFonts w:ascii="Calibri" w:hAnsi="Calibri"/>
                <w:i/>
                <w:noProof/>
                <w:color w:val="000000"/>
                <w:sz w:val="18"/>
              </w:rPr>
              <w:t>0,5</w:t>
            </w:r>
          </w:p>
        </w:tc>
        <w:tc>
          <w:tcPr>
            <w:tcW w:w="1114" w:type="dxa"/>
            <w:tcBorders>
              <w:top w:val="single" w:sz="4" w:space="0" w:color="9BC2E6"/>
              <w:left w:val="nil"/>
              <w:bottom w:val="single" w:sz="4" w:space="0" w:color="9BC2E6"/>
              <w:right w:val="nil"/>
            </w:tcBorders>
            <w:shd w:val="clear" w:color="DDEBF7" w:fill="DDEBF7"/>
            <w:noWrap/>
            <w:vAlign w:val="bottom"/>
          </w:tcPr>
          <w:p w14:paraId="42E5A005" w14:textId="77777777" w:rsidR="00773F49" w:rsidRPr="006C5247" w:rsidRDefault="00F2117F" w:rsidP="00A27EF6">
            <w:pPr>
              <w:spacing w:after="0"/>
              <w:jc w:val="right"/>
              <w:rPr>
                <w:rFonts w:ascii="Calibri" w:hAnsi="Calibri" w:cs="Calibri"/>
                <w:i/>
                <w:iCs/>
                <w:noProof/>
                <w:color w:val="000000"/>
                <w:sz w:val="18"/>
                <w:szCs w:val="18"/>
              </w:rPr>
            </w:pPr>
            <w:r w:rsidRPr="00261B88">
              <w:rPr>
                <w:rFonts w:ascii="Calibri" w:hAnsi="Calibri"/>
                <w:i/>
                <w:noProof/>
                <w:color w:val="000000"/>
                <w:sz w:val="18"/>
              </w:rPr>
              <w:t>40</w:t>
            </w:r>
          </w:p>
        </w:tc>
        <w:tc>
          <w:tcPr>
            <w:tcW w:w="1169" w:type="dxa"/>
            <w:tcBorders>
              <w:top w:val="single" w:sz="4" w:space="0" w:color="9BC2E6"/>
              <w:left w:val="nil"/>
              <w:bottom w:val="single" w:sz="4" w:space="0" w:color="9BC2E6"/>
              <w:right w:val="single" w:sz="4" w:space="0" w:color="9BC2E6"/>
            </w:tcBorders>
            <w:shd w:val="clear" w:color="DDEBF7" w:fill="DDEBF7"/>
            <w:noWrap/>
            <w:vAlign w:val="bottom"/>
          </w:tcPr>
          <w:p w14:paraId="7E38BFA5" w14:textId="77777777" w:rsidR="00773F49" w:rsidRPr="006C5247" w:rsidRDefault="00F2117F" w:rsidP="00A27EF6">
            <w:pPr>
              <w:spacing w:after="0"/>
              <w:jc w:val="right"/>
              <w:rPr>
                <w:rFonts w:ascii="Calibri" w:hAnsi="Calibri" w:cs="Calibri"/>
                <w:i/>
                <w:iCs/>
                <w:noProof/>
                <w:color w:val="000000"/>
                <w:sz w:val="18"/>
                <w:szCs w:val="18"/>
              </w:rPr>
            </w:pPr>
            <w:r w:rsidRPr="00261B88">
              <w:rPr>
                <w:rFonts w:ascii="Calibri" w:hAnsi="Calibri"/>
                <w:i/>
                <w:noProof/>
                <w:color w:val="000000"/>
                <w:sz w:val="18"/>
              </w:rPr>
              <w:t>1,8</w:t>
            </w:r>
          </w:p>
        </w:tc>
        <w:tc>
          <w:tcPr>
            <w:tcW w:w="957" w:type="dxa"/>
            <w:tcBorders>
              <w:top w:val="single" w:sz="4" w:space="0" w:color="9BC2E6"/>
              <w:left w:val="single" w:sz="4" w:space="0" w:color="9BC2E6"/>
              <w:bottom w:val="single" w:sz="4" w:space="0" w:color="9BC2E6"/>
              <w:right w:val="single" w:sz="4" w:space="0" w:color="9BC2E6"/>
            </w:tcBorders>
            <w:shd w:val="clear" w:color="DDEBF7" w:fill="DDEBF7"/>
            <w:noWrap/>
            <w:vAlign w:val="bottom"/>
          </w:tcPr>
          <w:p w14:paraId="621D295B" w14:textId="77777777" w:rsidR="00773F49" w:rsidRPr="006C5247" w:rsidRDefault="00992A65" w:rsidP="00A27EF6">
            <w:pPr>
              <w:spacing w:after="0"/>
              <w:jc w:val="right"/>
              <w:rPr>
                <w:rFonts w:ascii="Calibri" w:hAnsi="Calibri" w:cs="Calibri"/>
                <w:i/>
                <w:iCs/>
                <w:noProof/>
                <w:color w:val="000000"/>
                <w:sz w:val="18"/>
                <w:szCs w:val="18"/>
              </w:rPr>
            </w:pPr>
            <w:r w:rsidRPr="00261B88">
              <w:rPr>
                <w:rFonts w:ascii="Calibri" w:hAnsi="Calibri"/>
                <w:i/>
                <w:noProof/>
                <w:color w:val="000000"/>
                <w:sz w:val="18"/>
              </w:rPr>
              <w:t>-</w:t>
            </w:r>
          </w:p>
        </w:tc>
        <w:tc>
          <w:tcPr>
            <w:tcW w:w="992" w:type="dxa"/>
            <w:tcBorders>
              <w:top w:val="single" w:sz="4" w:space="0" w:color="9BC2E6"/>
              <w:left w:val="single" w:sz="4" w:space="0" w:color="9BC2E6"/>
              <w:bottom w:val="single" w:sz="4" w:space="0" w:color="9BC2E6"/>
              <w:right w:val="single" w:sz="4" w:space="0" w:color="9BC2E6"/>
            </w:tcBorders>
            <w:shd w:val="clear" w:color="DDEBF7" w:fill="DDEBF7"/>
            <w:noWrap/>
            <w:vAlign w:val="bottom"/>
          </w:tcPr>
          <w:p w14:paraId="13C87130" w14:textId="77777777" w:rsidR="00773F49" w:rsidRPr="00261B88" w:rsidRDefault="00992A65" w:rsidP="00A27EF6">
            <w:pPr>
              <w:spacing w:after="0"/>
              <w:jc w:val="right"/>
              <w:rPr>
                <w:rFonts w:ascii="Calibri" w:hAnsi="Calibri" w:cs="Calibri"/>
                <w:i/>
                <w:iCs/>
                <w:noProof/>
                <w:color w:val="000000"/>
                <w:sz w:val="18"/>
                <w:szCs w:val="18"/>
              </w:rPr>
            </w:pPr>
            <w:r w:rsidRPr="00261B88">
              <w:rPr>
                <w:rFonts w:ascii="Calibri" w:hAnsi="Calibri"/>
                <w:i/>
                <w:noProof/>
                <w:color w:val="000000"/>
                <w:sz w:val="18"/>
              </w:rPr>
              <w:t>-</w:t>
            </w:r>
          </w:p>
        </w:tc>
      </w:tr>
      <w:tr w:rsidR="00773F49" w:rsidRPr="006C5247" w14:paraId="307EAD43" w14:textId="77777777" w:rsidTr="00D10B75">
        <w:trPr>
          <w:trHeight w:val="300"/>
        </w:trPr>
        <w:tc>
          <w:tcPr>
            <w:tcW w:w="2160" w:type="dxa"/>
            <w:tcBorders>
              <w:top w:val="single" w:sz="4" w:space="0" w:color="9BC2E6"/>
              <w:left w:val="single" w:sz="4" w:space="0" w:color="9BC2E6"/>
              <w:bottom w:val="single" w:sz="4" w:space="0" w:color="9BC2E6"/>
              <w:right w:val="single" w:sz="4" w:space="0" w:color="9BC2E6"/>
            </w:tcBorders>
            <w:shd w:val="clear" w:color="auto" w:fill="auto"/>
            <w:noWrap/>
            <w:vAlign w:val="bottom"/>
            <w:hideMark/>
          </w:tcPr>
          <w:p w14:paraId="37269A28" w14:textId="137FCAD2" w:rsidR="00773F49" w:rsidRPr="006C5247" w:rsidRDefault="00773F49" w:rsidP="00A27EF6">
            <w:pPr>
              <w:spacing w:after="0"/>
              <w:jc w:val="left"/>
              <w:rPr>
                <w:rFonts w:ascii="Calibri" w:hAnsi="Calibri" w:cs="Calibri"/>
                <w:b/>
                <w:bCs/>
                <w:noProof/>
                <w:color w:val="000000"/>
                <w:szCs w:val="22"/>
              </w:rPr>
            </w:pPr>
            <w:r w:rsidRPr="00261B88">
              <w:rPr>
                <w:rFonts w:ascii="Calibri" w:hAnsi="Calibri"/>
                <w:b/>
                <w:noProof/>
                <w:color w:val="000000"/>
              </w:rPr>
              <w:t>Fondurile structurale și de investiții europene</w:t>
            </w:r>
          </w:p>
        </w:tc>
        <w:tc>
          <w:tcPr>
            <w:tcW w:w="1096" w:type="dxa"/>
            <w:tcBorders>
              <w:top w:val="single" w:sz="4" w:space="0" w:color="9BC2E6"/>
              <w:left w:val="single" w:sz="4" w:space="0" w:color="9BC2E6"/>
              <w:bottom w:val="single" w:sz="4" w:space="0" w:color="9BC2E6"/>
              <w:right w:val="nil"/>
            </w:tcBorders>
            <w:shd w:val="clear" w:color="auto" w:fill="auto"/>
            <w:noWrap/>
            <w:vAlign w:val="bottom"/>
          </w:tcPr>
          <w:p w14:paraId="5EF4BE75" w14:textId="77777777" w:rsidR="00773F49" w:rsidRPr="006C5247" w:rsidRDefault="00EE0854" w:rsidP="00A27EF6">
            <w:pPr>
              <w:spacing w:after="0"/>
              <w:jc w:val="right"/>
              <w:rPr>
                <w:rFonts w:ascii="Calibri" w:hAnsi="Calibri" w:cs="Calibri"/>
                <w:b/>
                <w:bCs/>
                <w:noProof/>
                <w:color w:val="000000"/>
                <w:szCs w:val="22"/>
              </w:rPr>
            </w:pPr>
            <w:r w:rsidRPr="00261B88">
              <w:rPr>
                <w:rFonts w:ascii="Calibri" w:hAnsi="Calibri"/>
                <w:b/>
                <w:noProof/>
                <w:color w:val="000000"/>
              </w:rPr>
              <w:t>215</w:t>
            </w:r>
          </w:p>
        </w:tc>
        <w:tc>
          <w:tcPr>
            <w:tcW w:w="1154" w:type="dxa"/>
            <w:tcBorders>
              <w:top w:val="single" w:sz="4" w:space="0" w:color="9BC2E6"/>
              <w:left w:val="nil"/>
              <w:bottom w:val="single" w:sz="4" w:space="0" w:color="9BC2E6"/>
            </w:tcBorders>
            <w:shd w:val="clear" w:color="auto" w:fill="auto"/>
            <w:noWrap/>
            <w:vAlign w:val="bottom"/>
          </w:tcPr>
          <w:p w14:paraId="6E3B64BE" w14:textId="77777777" w:rsidR="00773F49" w:rsidRPr="006C5247" w:rsidRDefault="00EE0854" w:rsidP="00A27EF6">
            <w:pPr>
              <w:spacing w:after="0"/>
              <w:jc w:val="right"/>
              <w:rPr>
                <w:rFonts w:ascii="Calibri" w:hAnsi="Calibri" w:cs="Calibri"/>
                <w:b/>
                <w:bCs/>
                <w:noProof/>
                <w:color w:val="000000"/>
                <w:szCs w:val="22"/>
              </w:rPr>
            </w:pPr>
            <w:r w:rsidRPr="00261B88">
              <w:rPr>
                <w:rFonts w:ascii="Calibri" w:hAnsi="Calibri"/>
                <w:b/>
                <w:noProof/>
                <w:color w:val="000000"/>
              </w:rPr>
              <w:t>1 624,0</w:t>
            </w:r>
          </w:p>
        </w:tc>
        <w:tc>
          <w:tcPr>
            <w:tcW w:w="1114" w:type="dxa"/>
            <w:tcBorders>
              <w:top w:val="single" w:sz="4" w:space="0" w:color="9BC2E6"/>
              <w:left w:val="nil"/>
              <w:bottom w:val="single" w:sz="4" w:space="0" w:color="9BC2E6"/>
              <w:right w:val="nil"/>
            </w:tcBorders>
            <w:shd w:val="clear" w:color="auto" w:fill="auto"/>
            <w:noWrap/>
            <w:vAlign w:val="bottom"/>
          </w:tcPr>
          <w:p w14:paraId="7794CFD8" w14:textId="77777777" w:rsidR="00773F49" w:rsidRPr="006C5247" w:rsidRDefault="00BF4843" w:rsidP="00A27EF6">
            <w:pPr>
              <w:spacing w:after="0"/>
              <w:jc w:val="right"/>
              <w:rPr>
                <w:rFonts w:ascii="Calibri" w:hAnsi="Calibri" w:cs="Calibri"/>
                <w:b/>
                <w:bCs/>
                <w:noProof/>
                <w:color w:val="000000"/>
                <w:szCs w:val="22"/>
              </w:rPr>
            </w:pPr>
            <w:r w:rsidRPr="00261B88">
              <w:rPr>
                <w:rFonts w:ascii="Calibri" w:hAnsi="Calibri"/>
                <w:b/>
                <w:noProof/>
                <w:color w:val="000000"/>
              </w:rPr>
              <w:t>2 271</w:t>
            </w:r>
          </w:p>
        </w:tc>
        <w:tc>
          <w:tcPr>
            <w:tcW w:w="1169" w:type="dxa"/>
            <w:tcBorders>
              <w:top w:val="single" w:sz="4" w:space="0" w:color="9BC2E6"/>
              <w:left w:val="nil"/>
              <w:bottom w:val="single" w:sz="4" w:space="0" w:color="9BC2E6"/>
              <w:right w:val="single" w:sz="4" w:space="0" w:color="9BC2E6"/>
            </w:tcBorders>
            <w:shd w:val="clear" w:color="auto" w:fill="auto"/>
            <w:noWrap/>
            <w:vAlign w:val="bottom"/>
          </w:tcPr>
          <w:p w14:paraId="22F6975E" w14:textId="77777777" w:rsidR="00773F49" w:rsidRPr="006C5247" w:rsidRDefault="00BF4843" w:rsidP="00A27EF6">
            <w:pPr>
              <w:spacing w:after="0"/>
              <w:jc w:val="right"/>
              <w:rPr>
                <w:rFonts w:ascii="Calibri" w:hAnsi="Calibri" w:cs="Calibri"/>
                <w:b/>
                <w:bCs/>
                <w:noProof/>
                <w:color w:val="000000"/>
                <w:szCs w:val="22"/>
              </w:rPr>
            </w:pPr>
            <w:r w:rsidRPr="00261B88">
              <w:rPr>
                <w:rFonts w:ascii="Calibri" w:hAnsi="Calibri"/>
                <w:b/>
                <w:noProof/>
                <w:color w:val="000000"/>
              </w:rPr>
              <w:t>812,9</w:t>
            </w:r>
          </w:p>
        </w:tc>
        <w:tc>
          <w:tcPr>
            <w:tcW w:w="957" w:type="dxa"/>
            <w:tcBorders>
              <w:top w:val="single" w:sz="4" w:space="0" w:color="9BC2E6"/>
              <w:left w:val="single" w:sz="4" w:space="0" w:color="9BC2E6"/>
              <w:bottom w:val="single" w:sz="4" w:space="0" w:color="9BC2E6"/>
              <w:right w:val="single" w:sz="4" w:space="0" w:color="9BC2E6"/>
            </w:tcBorders>
            <w:shd w:val="clear" w:color="auto" w:fill="auto"/>
            <w:noWrap/>
            <w:vAlign w:val="bottom"/>
          </w:tcPr>
          <w:p w14:paraId="6919BB66" w14:textId="77777777" w:rsidR="00773F49" w:rsidRPr="006C5247" w:rsidRDefault="00992A65" w:rsidP="00A27EF6">
            <w:pPr>
              <w:spacing w:after="0"/>
              <w:jc w:val="right"/>
              <w:rPr>
                <w:rFonts w:ascii="Calibri" w:hAnsi="Calibri" w:cs="Calibri"/>
                <w:b/>
                <w:bCs/>
                <w:noProof/>
                <w:color w:val="000000"/>
                <w:szCs w:val="22"/>
              </w:rPr>
            </w:pPr>
            <w:r w:rsidRPr="00261B88">
              <w:rPr>
                <w:rFonts w:ascii="Calibri" w:hAnsi="Calibri"/>
                <w:b/>
                <w:noProof/>
                <w:color w:val="000000"/>
              </w:rPr>
              <w:t>2,57 %</w:t>
            </w:r>
          </w:p>
        </w:tc>
        <w:tc>
          <w:tcPr>
            <w:tcW w:w="992" w:type="dxa"/>
            <w:tcBorders>
              <w:top w:val="single" w:sz="4" w:space="0" w:color="9BC2E6"/>
              <w:left w:val="single" w:sz="4" w:space="0" w:color="9BC2E6"/>
              <w:bottom w:val="single" w:sz="4" w:space="0" w:color="9BC2E6"/>
              <w:right w:val="single" w:sz="4" w:space="0" w:color="9BC2E6"/>
            </w:tcBorders>
            <w:shd w:val="clear" w:color="auto" w:fill="auto"/>
            <w:noWrap/>
            <w:vAlign w:val="bottom"/>
          </w:tcPr>
          <w:p w14:paraId="1B37387C" w14:textId="77777777" w:rsidR="00773F49" w:rsidRPr="00261B88" w:rsidRDefault="00992A65" w:rsidP="00A27EF6">
            <w:pPr>
              <w:spacing w:after="0"/>
              <w:jc w:val="right"/>
              <w:rPr>
                <w:rFonts w:ascii="Calibri" w:hAnsi="Calibri" w:cs="Calibri"/>
                <w:b/>
                <w:bCs/>
                <w:noProof/>
                <w:color w:val="000000"/>
                <w:szCs w:val="22"/>
              </w:rPr>
            </w:pPr>
            <w:r w:rsidRPr="00261B88">
              <w:rPr>
                <w:rFonts w:ascii="Calibri" w:hAnsi="Calibri"/>
                <w:b/>
                <w:noProof/>
                <w:color w:val="000000"/>
              </w:rPr>
              <w:t>1,29 %</w:t>
            </w:r>
          </w:p>
        </w:tc>
      </w:tr>
      <w:tr w:rsidR="00773F49" w:rsidRPr="006C5247" w14:paraId="5E32DA56" w14:textId="77777777" w:rsidTr="00D10B75">
        <w:trPr>
          <w:trHeight w:val="300"/>
        </w:trPr>
        <w:tc>
          <w:tcPr>
            <w:tcW w:w="2160" w:type="dxa"/>
            <w:tcBorders>
              <w:top w:val="single" w:sz="4" w:space="0" w:color="9BC2E6"/>
              <w:left w:val="single" w:sz="4" w:space="0" w:color="9BC2E6"/>
              <w:bottom w:val="single" w:sz="4" w:space="0" w:color="9BC2E6"/>
              <w:right w:val="single" w:sz="4" w:space="0" w:color="9BC2E6"/>
            </w:tcBorders>
            <w:shd w:val="clear" w:color="DDEBF7" w:fill="DDEBF7"/>
            <w:noWrap/>
            <w:vAlign w:val="bottom"/>
            <w:hideMark/>
          </w:tcPr>
          <w:p w14:paraId="06C9B05F" w14:textId="77777777" w:rsidR="00773F49" w:rsidRPr="006C5247" w:rsidRDefault="00773F49" w:rsidP="00A27EF6">
            <w:pPr>
              <w:spacing w:after="0"/>
              <w:jc w:val="right"/>
              <w:rPr>
                <w:rFonts w:ascii="Calibri" w:hAnsi="Calibri" w:cs="Calibri"/>
                <w:i/>
                <w:iCs/>
                <w:noProof/>
                <w:color w:val="000000"/>
                <w:sz w:val="18"/>
                <w:szCs w:val="18"/>
              </w:rPr>
            </w:pPr>
            <w:r w:rsidRPr="00261B88">
              <w:rPr>
                <w:rFonts w:ascii="Calibri" w:hAnsi="Calibri"/>
                <w:i/>
                <w:noProof/>
                <w:color w:val="000000"/>
                <w:sz w:val="18"/>
              </w:rPr>
              <w:t>Coeziune și regionale</w:t>
            </w:r>
          </w:p>
        </w:tc>
        <w:tc>
          <w:tcPr>
            <w:tcW w:w="1096" w:type="dxa"/>
            <w:tcBorders>
              <w:top w:val="single" w:sz="4" w:space="0" w:color="9BC2E6"/>
              <w:left w:val="single" w:sz="4" w:space="0" w:color="9BC2E6"/>
              <w:bottom w:val="single" w:sz="4" w:space="0" w:color="9BC2E6"/>
              <w:right w:val="nil"/>
            </w:tcBorders>
            <w:shd w:val="clear" w:color="DDEBF7" w:fill="DDEBF7"/>
            <w:noWrap/>
            <w:vAlign w:val="bottom"/>
          </w:tcPr>
          <w:p w14:paraId="027FD580" w14:textId="77777777" w:rsidR="00773F49" w:rsidRPr="006C5247" w:rsidRDefault="00EE0854" w:rsidP="00A27EF6">
            <w:pPr>
              <w:spacing w:after="0"/>
              <w:jc w:val="right"/>
              <w:rPr>
                <w:rFonts w:ascii="Calibri" w:hAnsi="Calibri" w:cs="Calibri"/>
                <w:i/>
                <w:iCs/>
                <w:noProof/>
                <w:color w:val="000000"/>
                <w:sz w:val="18"/>
                <w:szCs w:val="18"/>
              </w:rPr>
            </w:pPr>
            <w:r w:rsidRPr="00261B88">
              <w:rPr>
                <w:rFonts w:ascii="Calibri" w:hAnsi="Calibri"/>
                <w:i/>
                <w:noProof/>
                <w:color w:val="000000"/>
                <w:sz w:val="18"/>
              </w:rPr>
              <w:t>155</w:t>
            </w:r>
          </w:p>
        </w:tc>
        <w:tc>
          <w:tcPr>
            <w:tcW w:w="1154" w:type="dxa"/>
            <w:tcBorders>
              <w:top w:val="single" w:sz="4" w:space="0" w:color="9BC2E6"/>
              <w:left w:val="nil"/>
              <w:bottom w:val="single" w:sz="4" w:space="0" w:color="9BC2E6"/>
            </w:tcBorders>
            <w:shd w:val="clear" w:color="DDEBF7" w:fill="DDEBF7"/>
            <w:noWrap/>
            <w:vAlign w:val="bottom"/>
          </w:tcPr>
          <w:p w14:paraId="7D2E50AF" w14:textId="77777777" w:rsidR="00773F49" w:rsidRPr="006C5247" w:rsidRDefault="00EE0854" w:rsidP="00A27EF6">
            <w:pPr>
              <w:spacing w:after="0"/>
              <w:jc w:val="right"/>
              <w:rPr>
                <w:rFonts w:ascii="Calibri" w:hAnsi="Calibri" w:cs="Calibri"/>
                <w:i/>
                <w:iCs/>
                <w:noProof/>
                <w:color w:val="000000"/>
                <w:sz w:val="18"/>
                <w:szCs w:val="18"/>
              </w:rPr>
            </w:pPr>
            <w:r w:rsidRPr="00261B88">
              <w:rPr>
                <w:rFonts w:ascii="Calibri" w:hAnsi="Calibri"/>
                <w:i/>
                <w:noProof/>
                <w:color w:val="000000"/>
                <w:sz w:val="18"/>
              </w:rPr>
              <w:t>1 605,5</w:t>
            </w:r>
          </w:p>
        </w:tc>
        <w:tc>
          <w:tcPr>
            <w:tcW w:w="1114" w:type="dxa"/>
            <w:tcBorders>
              <w:top w:val="single" w:sz="4" w:space="0" w:color="9BC2E6"/>
              <w:left w:val="nil"/>
              <w:bottom w:val="single" w:sz="4" w:space="0" w:color="9BC2E6"/>
              <w:right w:val="nil"/>
            </w:tcBorders>
            <w:shd w:val="clear" w:color="DDEBF7" w:fill="DDEBF7"/>
            <w:noWrap/>
            <w:vAlign w:val="bottom"/>
          </w:tcPr>
          <w:p w14:paraId="74DA4AD3" w14:textId="77777777" w:rsidR="00773F49" w:rsidRPr="006C5247" w:rsidRDefault="00BF4843" w:rsidP="00A27EF6">
            <w:pPr>
              <w:spacing w:after="0"/>
              <w:jc w:val="right"/>
              <w:rPr>
                <w:rFonts w:ascii="Calibri" w:hAnsi="Calibri" w:cs="Calibri"/>
                <w:i/>
                <w:iCs/>
                <w:noProof/>
                <w:color w:val="000000"/>
                <w:sz w:val="18"/>
                <w:szCs w:val="18"/>
              </w:rPr>
            </w:pPr>
            <w:r w:rsidRPr="00261B88">
              <w:rPr>
                <w:rFonts w:ascii="Calibri" w:hAnsi="Calibri"/>
                <w:i/>
                <w:noProof/>
                <w:color w:val="000000"/>
                <w:sz w:val="18"/>
              </w:rPr>
              <w:t>1 627</w:t>
            </w:r>
          </w:p>
        </w:tc>
        <w:tc>
          <w:tcPr>
            <w:tcW w:w="1169" w:type="dxa"/>
            <w:tcBorders>
              <w:top w:val="single" w:sz="4" w:space="0" w:color="9BC2E6"/>
              <w:left w:val="nil"/>
              <w:bottom w:val="single" w:sz="4" w:space="0" w:color="9BC2E6"/>
              <w:right w:val="single" w:sz="4" w:space="0" w:color="9BC2E6"/>
            </w:tcBorders>
            <w:shd w:val="clear" w:color="DDEBF7" w:fill="DDEBF7"/>
            <w:noWrap/>
            <w:vAlign w:val="bottom"/>
          </w:tcPr>
          <w:p w14:paraId="75757E28" w14:textId="77777777" w:rsidR="00773F49" w:rsidRPr="006C5247" w:rsidRDefault="00BF4843" w:rsidP="00BF4843">
            <w:pPr>
              <w:spacing w:after="0"/>
              <w:jc w:val="right"/>
              <w:rPr>
                <w:rFonts w:ascii="Calibri" w:hAnsi="Calibri" w:cs="Calibri"/>
                <w:i/>
                <w:iCs/>
                <w:noProof/>
                <w:color w:val="000000"/>
                <w:sz w:val="18"/>
                <w:szCs w:val="18"/>
              </w:rPr>
            </w:pPr>
            <w:r w:rsidRPr="00261B88">
              <w:rPr>
                <w:rFonts w:ascii="Calibri" w:hAnsi="Calibri"/>
                <w:i/>
                <w:noProof/>
                <w:color w:val="000000"/>
                <w:sz w:val="18"/>
              </w:rPr>
              <w:t>588,5</w:t>
            </w:r>
          </w:p>
        </w:tc>
        <w:tc>
          <w:tcPr>
            <w:tcW w:w="957" w:type="dxa"/>
            <w:tcBorders>
              <w:top w:val="single" w:sz="4" w:space="0" w:color="9BC2E6"/>
              <w:left w:val="single" w:sz="4" w:space="0" w:color="9BC2E6"/>
              <w:bottom w:val="single" w:sz="4" w:space="0" w:color="9BC2E6"/>
              <w:right w:val="single" w:sz="4" w:space="0" w:color="9BC2E6"/>
            </w:tcBorders>
            <w:shd w:val="clear" w:color="DDEBF7" w:fill="DDEBF7"/>
            <w:noWrap/>
            <w:vAlign w:val="bottom"/>
          </w:tcPr>
          <w:p w14:paraId="3775A7F6" w14:textId="33BD24A6" w:rsidR="00773F49" w:rsidRPr="006C5247" w:rsidRDefault="008D0328" w:rsidP="00A27EF6">
            <w:pPr>
              <w:spacing w:after="0"/>
              <w:jc w:val="right"/>
              <w:rPr>
                <w:rFonts w:ascii="Calibri" w:hAnsi="Calibri" w:cs="Calibri"/>
                <w:i/>
                <w:iCs/>
                <w:noProof/>
                <w:color w:val="000000"/>
                <w:sz w:val="18"/>
                <w:szCs w:val="18"/>
              </w:rPr>
            </w:pPr>
            <w:r w:rsidRPr="00261B88">
              <w:rPr>
                <w:rFonts w:ascii="Calibri" w:hAnsi="Calibri"/>
                <w:i/>
                <w:noProof/>
                <w:color w:val="000000"/>
                <w:sz w:val="18"/>
              </w:rPr>
              <w:t>3,42 %</w:t>
            </w:r>
          </w:p>
        </w:tc>
        <w:tc>
          <w:tcPr>
            <w:tcW w:w="992" w:type="dxa"/>
            <w:tcBorders>
              <w:top w:val="single" w:sz="4" w:space="0" w:color="9BC2E6"/>
              <w:left w:val="single" w:sz="4" w:space="0" w:color="9BC2E6"/>
              <w:bottom w:val="single" w:sz="4" w:space="0" w:color="9BC2E6"/>
              <w:right w:val="single" w:sz="4" w:space="0" w:color="9BC2E6"/>
            </w:tcBorders>
            <w:shd w:val="clear" w:color="DDEBF7" w:fill="DDEBF7"/>
            <w:noWrap/>
            <w:vAlign w:val="bottom"/>
          </w:tcPr>
          <w:p w14:paraId="37B963B5" w14:textId="61791BFE" w:rsidR="00773F49" w:rsidRPr="00261B88" w:rsidRDefault="008D0328" w:rsidP="00A27EF6">
            <w:pPr>
              <w:spacing w:after="0"/>
              <w:jc w:val="right"/>
              <w:rPr>
                <w:rFonts w:ascii="Calibri" w:hAnsi="Calibri" w:cs="Calibri"/>
                <w:i/>
                <w:iCs/>
                <w:noProof/>
                <w:color w:val="000000"/>
                <w:sz w:val="18"/>
                <w:szCs w:val="18"/>
              </w:rPr>
            </w:pPr>
            <w:r w:rsidRPr="00261B88">
              <w:rPr>
                <w:rFonts w:ascii="Calibri" w:hAnsi="Calibri"/>
                <w:i/>
                <w:noProof/>
                <w:color w:val="000000"/>
                <w:sz w:val="18"/>
              </w:rPr>
              <w:t>1,25 %</w:t>
            </w:r>
          </w:p>
        </w:tc>
      </w:tr>
      <w:tr w:rsidR="00773F49" w:rsidRPr="006C5247" w14:paraId="53536536" w14:textId="77777777" w:rsidTr="00D10B75">
        <w:trPr>
          <w:trHeight w:val="300"/>
        </w:trPr>
        <w:tc>
          <w:tcPr>
            <w:tcW w:w="2160" w:type="dxa"/>
            <w:tcBorders>
              <w:top w:val="single" w:sz="4" w:space="0" w:color="9BC2E6"/>
              <w:left w:val="single" w:sz="4" w:space="0" w:color="9BC2E6"/>
              <w:bottom w:val="single" w:sz="4" w:space="0" w:color="9BC2E6"/>
              <w:right w:val="single" w:sz="4" w:space="0" w:color="9BC2E6"/>
            </w:tcBorders>
            <w:shd w:val="clear" w:color="auto" w:fill="auto"/>
            <w:noWrap/>
            <w:vAlign w:val="bottom"/>
            <w:hideMark/>
          </w:tcPr>
          <w:p w14:paraId="5FEF0F4C" w14:textId="77777777" w:rsidR="00773F49" w:rsidRPr="006C5247" w:rsidRDefault="00773F49" w:rsidP="00A27EF6">
            <w:pPr>
              <w:spacing w:after="0"/>
              <w:jc w:val="right"/>
              <w:rPr>
                <w:rFonts w:ascii="Calibri" w:hAnsi="Calibri" w:cs="Calibri"/>
                <w:i/>
                <w:iCs/>
                <w:noProof/>
                <w:color w:val="000000"/>
                <w:sz w:val="18"/>
                <w:szCs w:val="18"/>
              </w:rPr>
            </w:pPr>
            <w:r w:rsidRPr="00261B88">
              <w:rPr>
                <w:rFonts w:ascii="Calibri" w:hAnsi="Calibri"/>
                <w:i/>
                <w:noProof/>
                <w:color w:val="000000"/>
                <w:sz w:val="18"/>
              </w:rPr>
              <w:t>Politica socială</w:t>
            </w:r>
          </w:p>
        </w:tc>
        <w:tc>
          <w:tcPr>
            <w:tcW w:w="1096" w:type="dxa"/>
            <w:tcBorders>
              <w:top w:val="single" w:sz="4" w:space="0" w:color="9BC2E6"/>
              <w:left w:val="single" w:sz="4" w:space="0" w:color="9BC2E6"/>
              <w:bottom w:val="single" w:sz="4" w:space="0" w:color="9BC2E6"/>
              <w:right w:val="nil"/>
            </w:tcBorders>
            <w:shd w:val="clear" w:color="auto" w:fill="auto"/>
            <w:noWrap/>
            <w:vAlign w:val="bottom"/>
          </w:tcPr>
          <w:p w14:paraId="712AD2B0" w14:textId="77777777" w:rsidR="00773F49" w:rsidRPr="006C5247" w:rsidRDefault="00EE0854" w:rsidP="00A27EF6">
            <w:pPr>
              <w:spacing w:after="0"/>
              <w:jc w:val="right"/>
              <w:rPr>
                <w:rFonts w:ascii="Calibri" w:hAnsi="Calibri" w:cs="Calibri"/>
                <w:i/>
                <w:iCs/>
                <w:noProof/>
                <w:color w:val="000000"/>
                <w:sz w:val="18"/>
                <w:szCs w:val="18"/>
              </w:rPr>
            </w:pPr>
            <w:r w:rsidRPr="00261B88">
              <w:rPr>
                <w:rFonts w:ascii="Calibri" w:hAnsi="Calibri"/>
                <w:i/>
                <w:noProof/>
                <w:color w:val="000000"/>
                <w:sz w:val="18"/>
              </w:rPr>
              <w:t>50</w:t>
            </w:r>
          </w:p>
        </w:tc>
        <w:tc>
          <w:tcPr>
            <w:tcW w:w="1154" w:type="dxa"/>
            <w:tcBorders>
              <w:top w:val="single" w:sz="4" w:space="0" w:color="9BC2E6"/>
              <w:left w:val="nil"/>
              <w:bottom w:val="single" w:sz="4" w:space="0" w:color="9BC2E6"/>
            </w:tcBorders>
            <w:shd w:val="clear" w:color="auto" w:fill="auto"/>
            <w:noWrap/>
            <w:vAlign w:val="bottom"/>
          </w:tcPr>
          <w:p w14:paraId="12E1A25A" w14:textId="77777777" w:rsidR="00773F49" w:rsidRPr="006C5247" w:rsidRDefault="00EE0854" w:rsidP="00A27EF6">
            <w:pPr>
              <w:spacing w:after="0"/>
              <w:jc w:val="right"/>
              <w:rPr>
                <w:rFonts w:ascii="Calibri" w:hAnsi="Calibri" w:cs="Calibri"/>
                <w:i/>
                <w:iCs/>
                <w:noProof/>
                <w:color w:val="000000"/>
                <w:sz w:val="18"/>
                <w:szCs w:val="18"/>
              </w:rPr>
            </w:pPr>
            <w:r w:rsidRPr="00261B88">
              <w:rPr>
                <w:rFonts w:ascii="Calibri" w:hAnsi="Calibri"/>
                <w:i/>
                <w:noProof/>
                <w:color w:val="000000"/>
                <w:sz w:val="18"/>
              </w:rPr>
              <w:t>16,7</w:t>
            </w:r>
          </w:p>
        </w:tc>
        <w:tc>
          <w:tcPr>
            <w:tcW w:w="1114" w:type="dxa"/>
            <w:tcBorders>
              <w:top w:val="single" w:sz="4" w:space="0" w:color="9BC2E6"/>
              <w:left w:val="nil"/>
              <w:bottom w:val="single" w:sz="4" w:space="0" w:color="9BC2E6"/>
              <w:right w:val="nil"/>
            </w:tcBorders>
            <w:shd w:val="clear" w:color="auto" w:fill="auto"/>
            <w:noWrap/>
            <w:vAlign w:val="bottom"/>
          </w:tcPr>
          <w:p w14:paraId="751E0646" w14:textId="77777777" w:rsidR="00773F49" w:rsidRPr="006C5247" w:rsidRDefault="00BF4843" w:rsidP="00A27EF6">
            <w:pPr>
              <w:spacing w:after="0"/>
              <w:jc w:val="right"/>
              <w:rPr>
                <w:rFonts w:ascii="Calibri" w:hAnsi="Calibri" w:cs="Calibri"/>
                <w:i/>
                <w:iCs/>
                <w:noProof/>
                <w:color w:val="000000"/>
                <w:sz w:val="18"/>
                <w:szCs w:val="18"/>
              </w:rPr>
            </w:pPr>
            <w:r w:rsidRPr="00261B88">
              <w:rPr>
                <w:rFonts w:ascii="Calibri" w:hAnsi="Calibri"/>
                <w:i/>
                <w:noProof/>
                <w:color w:val="000000"/>
                <w:sz w:val="18"/>
              </w:rPr>
              <w:t>614</w:t>
            </w:r>
          </w:p>
        </w:tc>
        <w:tc>
          <w:tcPr>
            <w:tcW w:w="1169" w:type="dxa"/>
            <w:tcBorders>
              <w:top w:val="single" w:sz="4" w:space="0" w:color="9BC2E6"/>
              <w:left w:val="nil"/>
              <w:bottom w:val="single" w:sz="4" w:space="0" w:color="9BC2E6"/>
              <w:right w:val="single" w:sz="4" w:space="0" w:color="9BC2E6"/>
            </w:tcBorders>
            <w:shd w:val="clear" w:color="auto" w:fill="auto"/>
            <w:noWrap/>
            <w:vAlign w:val="bottom"/>
          </w:tcPr>
          <w:p w14:paraId="1BE39262" w14:textId="77777777" w:rsidR="00773F49" w:rsidRPr="006C5247" w:rsidRDefault="00BF4843" w:rsidP="00BF4843">
            <w:pPr>
              <w:spacing w:after="0"/>
              <w:jc w:val="right"/>
              <w:rPr>
                <w:rFonts w:ascii="Calibri" w:hAnsi="Calibri" w:cs="Calibri"/>
                <w:i/>
                <w:iCs/>
                <w:noProof/>
                <w:color w:val="000000"/>
                <w:sz w:val="18"/>
                <w:szCs w:val="18"/>
              </w:rPr>
            </w:pPr>
            <w:r w:rsidRPr="00261B88">
              <w:rPr>
                <w:rFonts w:ascii="Calibri" w:hAnsi="Calibri"/>
                <w:i/>
                <w:noProof/>
                <w:color w:val="000000"/>
                <w:sz w:val="18"/>
              </w:rPr>
              <w:t>217,6</w:t>
            </w:r>
          </w:p>
        </w:tc>
        <w:tc>
          <w:tcPr>
            <w:tcW w:w="957" w:type="dxa"/>
            <w:tcBorders>
              <w:top w:val="single" w:sz="4" w:space="0" w:color="9BC2E6"/>
              <w:left w:val="single" w:sz="4" w:space="0" w:color="9BC2E6"/>
              <w:bottom w:val="single" w:sz="4" w:space="0" w:color="9BC2E6"/>
              <w:right w:val="single" w:sz="4" w:space="0" w:color="9BC2E6"/>
            </w:tcBorders>
            <w:shd w:val="clear" w:color="auto" w:fill="auto"/>
            <w:noWrap/>
            <w:vAlign w:val="bottom"/>
          </w:tcPr>
          <w:p w14:paraId="04738343" w14:textId="3F36FB0D" w:rsidR="00773F49" w:rsidRPr="006C5247" w:rsidRDefault="008D0328" w:rsidP="00A27EF6">
            <w:pPr>
              <w:spacing w:after="0"/>
              <w:jc w:val="right"/>
              <w:rPr>
                <w:rFonts w:ascii="Calibri" w:hAnsi="Calibri" w:cs="Calibri"/>
                <w:i/>
                <w:iCs/>
                <w:noProof/>
                <w:color w:val="000000"/>
                <w:sz w:val="18"/>
                <w:szCs w:val="18"/>
              </w:rPr>
            </w:pPr>
            <w:r w:rsidRPr="00261B88">
              <w:rPr>
                <w:rFonts w:ascii="Calibri" w:hAnsi="Calibri"/>
                <w:i/>
                <w:noProof/>
                <w:color w:val="000000"/>
                <w:sz w:val="18"/>
              </w:rPr>
              <w:t>0,11 %</w:t>
            </w:r>
          </w:p>
        </w:tc>
        <w:tc>
          <w:tcPr>
            <w:tcW w:w="992" w:type="dxa"/>
            <w:tcBorders>
              <w:top w:val="single" w:sz="4" w:space="0" w:color="9BC2E6"/>
              <w:left w:val="single" w:sz="4" w:space="0" w:color="9BC2E6"/>
              <w:bottom w:val="single" w:sz="4" w:space="0" w:color="9BC2E6"/>
              <w:right w:val="single" w:sz="4" w:space="0" w:color="9BC2E6"/>
            </w:tcBorders>
            <w:shd w:val="clear" w:color="auto" w:fill="auto"/>
            <w:noWrap/>
            <w:vAlign w:val="bottom"/>
          </w:tcPr>
          <w:p w14:paraId="5E7F43A8" w14:textId="602793C4" w:rsidR="00773F49" w:rsidRPr="00261B88" w:rsidRDefault="008D0328" w:rsidP="00A27EF6">
            <w:pPr>
              <w:spacing w:after="0"/>
              <w:jc w:val="right"/>
              <w:rPr>
                <w:rFonts w:ascii="Calibri" w:hAnsi="Calibri" w:cs="Calibri"/>
                <w:i/>
                <w:iCs/>
                <w:noProof/>
                <w:color w:val="000000"/>
                <w:sz w:val="18"/>
                <w:szCs w:val="18"/>
              </w:rPr>
            </w:pPr>
            <w:r w:rsidRPr="00261B88">
              <w:rPr>
                <w:rFonts w:ascii="Calibri" w:hAnsi="Calibri"/>
                <w:i/>
                <w:noProof/>
                <w:color w:val="000000"/>
                <w:sz w:val="18"/>
              </w:rPr>
              <w:t>1,39 %</w:t>
            </w:r>
          </w:p>
        </w:tc>
      </w:tr>
      <w:tr w:rsidR="00773F49" w:rsidRPr="006C5247" w14:paraId="23C3EDDC" w14:textId="77777777" w:rsidTr="00D10B75">
        <w:trPr>
          <w:trHeight w:val="300"/>
        </w:trPr>
        <w:tc>
          <w:tcPr>
            <w:tcW w:w="2160" w:type="dxa"/>
            <w:tcBorders>
              <w:top w:val="single" w:sz="4" w:space="0" w:color="9BC2E6"/>
              <w:left w:val="single" w:sz="4" w:space="0" w:color="9BC2E6"/>
              <w:bottom w:val="single" w:sz="4" w:space="0" w:color="9BC2E6"/>
              <w:right w:val="single" w:sz="4" w:space="0" w:color="9BC2E6"/>
            </w:tcBorders>
            <w:shd w:val="clear" w:color="DDEBF7" w:fill="DDEBF7"/>
            <w:noWrap/>
            <w:vAlign w:val="bottom"/>
            <w:hideMark/>
          </w:tcPr>
          <w:p w14:paraId="415EB903" w14:textId="77777777" w:rsidR="00773F49" w:rsidRPr="006C5247" w:rsidRDefault="00773F49" w:rsidP="00A27EF6">
            <w:pPr>
              <w:spacing w:after="0"/>
              <w:jc w:val="right"/>
              <w:rPr>
                <w:rFonts w:ascii="Calibri" w:hAnsi="Calibri" w:cs="Calibri"/>
                <w:i/>
                <w:iCs/>
                <w:noProof/>
                <w:color w:val="000000"/>
                <w:sz w:val="18"/>
                <w:szCs w:val="18"/>
              </w:rPr>
            </w:pPr>
            <w:r w:rsidRPr="00261B88">
              <w:rPr>
                <w:rFonts w:ascii="Calibri" w:hAnsi="Calibri"/>
                <w:i/>
                <w:noProof/>
                <w:color w:val="000000"/>
                <w:sz w:val="18"/>
              </w:rPr>
              <w:t>Pescuit</w:t>
            </w:r>
          </w:p>
        </w:tc>
        <w:tc>
          <w:tcPr>
            <w:tcW w:w="1096" w:type="dxa"/>
            <w:tcBorders>
              <w:top w:val="single" w:sz="4" w:space="0" w:color="9BC2E6"/>
              <w:left w:val="single" w:sz="4" w:space="0" w:color="9BC2E6"/>
              <w:bottom w:val="single" w:sz="4" w:space="0" w:color="9BC2E6"/>
              <w:right w:val="nil"/>
            </w:tcBorders>
            <w:shd w:val="clear" w:color="DDEBF7" w:fill="DDEBF7"/>
            <w:noWrap/>
            <w:vAlign w:val="bottom"/>
          </w:tcPr>
          <w:p w14:paraId="69EC6D3F" w14:textId="77777777" w:rsidR="00773F49" w:rsidRPr="006C5247" w:rsidRDefault="00EE0854" w:rsidP="00A27EF6">
            <w:pPr>
              <w:spacing w:after="0"/>
              <w:jc w:val="right"/>
              <w:rPr>
                <w:rFonts w:ascii="Calibri" w:hAnsi="Calibri" w:cs="Calibri"/>
                <w:i/>
                <w:iCs/>
                <w:noProof/>
                <w:color w:val="000000"/>
                <w:sz w:val="18"/>
                <w:szCs w:val="18"/>
              </w:rPr>
            </w:pPr>
            <w:r w:rsidRPr="00261B88">
              <w:rPr>
                <w:rFonts w:ascii="Calibri" w:hAnsi="Calibri"/>
                <w:i/>
                <w:noProof/>
                <w:color w:val="000000"/>
                <w:sz w:val="18"/>
              </w:rPr>
              <w:t>10</w:t>
            </w:r>
          </w:p>
        </w:tc>
        <w:tc>
          <w:tcPr>
            <w:tcW w:w="1154" w:type="dxa"/>
            <w:tcBorders>
              <w:top w:val="single" w:sz="4" w:space="0" w:color="9BC2E6"/>
              <w:left w:val="nil"/>
              <w:bottom w:val="single" w:sz="4" w:space="0" w:color="9BC2E6"/>
            </w:tcBorders>
            <w:shd w:val="clear" w:color="DDEBF7" w:fill="DDEBF7"/>
            <w:noWrap/>
            <w:vAlign w:val="bottom"/>
          </w:tcPr>
          <w:p w14:paraId="2E27FCD4" w14:textId="77777777" w:rsidR="00773F49" w:rsidRPr="006C5247" w:rsidRDefault="00BF4843" w:rsidP="00A27EF6">
            <w:pPr>
              <w:spacing w:after="0"/>
              <w:jc w:val="right"/>
              <w:rPr>
                <w:rFonts w:ascii="Calibri" w:hAnsi="Calibri" w:cs="Calibri"/>
                <w:i/>
                <w:iCs/>
                <w:noProof/>
                <w:color w:val="000000"/>
                <w:sz w:val="18"/>
                <w:szCs w:val="18"/>
              </w:rPr>
            </w:pPr>
            <w:r w:rsidRPr="00261B88">
              <w:rPr>
                <w:rFonts w:ascii="Calibri" w:hAnsi="Calibri"/>
                <w:i/>
                <w:noProof/>
                <w:color w:val="000000"/>
                <w:sz w:val="18"/>
              </w:rPr>
              <w:t>1,8</w:t>
            </w:r>
          </w:p>
        </w:tc>
        <w:tc>
          <w:tcPr>
            <w:tcW w:w="1114" w:type="dxa"/>
            <w:tcBorders>
              <w:top w:val="single" w:sz="4" w:space="0" w:color="9BC2E6"/>
              <w:left w:val="nil"/>
              <w:bottom w:val="single" w:sz="4" w:space="0" w:color="9BC2E6"/>
              <w:right w:val="nil"/>
            </w:tcBorders>
            <w:shd w:val="clear" w:color="DDEBF7" w:fill="DDEBF7"/>
            <w:noWrap/>
            <w:vAlign w:val="bottom"/>
          </w:tcPr>
          <w:p w14:paraId="4F1B1CEB" w14:textId="77777777" w:rsidR="00773F49" w:rsidRPr="006C5247" w:rsidRDefault="00BF4843" w:rsidP="00A27EF6">
            <w:pPr>
              <w:spacing w:after="0"/>
              <w:jc w:val="right"/>
              <w:rPr>
                <w:rFonts w:ascii="Calibri" w:hAnsi="Calibri" w:cs="Calibri"/>
                <w:i/>
                <w:iCs/>
                <w:noProof/>
                <w:color w:val="000000"/>
                <w:sz w:val="18"/>
                <w:szCs w:val="18"/>
              </w:rPr>
            </w:pPr>
            <w:r w:rsidRPr="00261B88">
              <w:rPr>
                <w:rFonts w:ascii="Calibri" w:hAnsi="Calibri"/>
                <w:i/>
                <w:noProof/>
                <w:color w:val="000000"/>
                <w:sz w:val="18"/>
              </w:rPr>
              <w:t>70</w:t>
            </w:r>
          </w:p>
        </w:tc>
        <w:tc>
          <w:tcPr>
            <w:tcW w:w="1169" w:type="dxa"/>
            <w:tcBorders>
              <w:top w:val="single" w:sz="4" w:space="0" w:color="9BC2E6"/>
              <w:left w:val="nil"/>
              <w:bottom w:val="single" w:sz="4" w:space="0" w:color="9BC2E6"/>
              <w:right w:val="single" w:sz="4" w:space="0" w:color="9BC2E6"/>
            </w:tcBorders>
            <w:shd w:val="clear" w:color="DDEBF7" w:fill="DDEBF7"/>
            <w:noWrap/>
            <w:vAlign w:val="bottom"/>
          </w:tcPr>
          <w:p w14:paraId="5E313D49" w14:textId="77777777" w:rsidR="00773F49" w:rsidRPr="006C5247" w:rsidRDefault="00BF4843" w:rsidP="00A27EF6">
            <w:pPr>
              <w:spacing w:after="0"/>
              <w:jc w:val="right"/>
              <w:rPr>
                <w:rFonts w:ascii="Calibri" w:hAnsi="Calibri" w:cs="Calibri"/>
                <w:i/>
                <w:iCs/>
                <w:noProof/>
                <w:color w:val="000000"/>
                <w:sz w:val="18"/>
                <w:szCs w:val="18"/>
              </w:rPr>
            </w:pPr>
            <w:r w:rsidRPr="00261B88">
              <w:rPr>
                <w:rFonts w:ascii="Calibri" w:hAnsi="Calibri"/>
                <w:i/>
                <w:noProof/>
                <w:color w:val="000000"/>
                <w:sz w:val="18"/>
              </w:rPr>
              <w:t>6,8</w:t>
            </w:r>
          </w:p>
        </w:tc>
        <w:tc>
          <w:tcPr>
            <w:tcW w:w="957" w:type="dxa"/>
            <w:tcBorders>
              <w:top w:val="single" w:sz="4" w:space="0" w:color="9BC2E6"/>
              <w:left w:val="single" w:sz="4" w:space="0" w:color="9BC2E6"/>
              <w:bottom w:val="single" w:sz="4" w:space="0" w:color="9BC2E6"/>
              <w:right w:val="single" w:sz="4" w:space="0" w:color="9BC2E6"/>
            </w:tcBorders>
            <w:shd w:val="clear" w:color="DDEBF7" w:fill="DDEBF7"/>
            <w:noWrap/>
            <w:vAlign w:val="bottom"/>
          </w:tcPr>
          <w:p w14:paraId="2208F229" w14:textId="065FCF31" w:rsidR="00773F49" w:rsidRPr="006C5247" w:rsidRDefault="008D0328" w:rsidP="00A27EF6">
            <w:pPr>
              <w:spacing w:after="0"/>
              <w:jc w:val="right"/>
              <w:rPr>
                <w:rFonts w:ascii="Calibri" w:hAnsi="Calibri" w:cs="Calibri"/>
                <w:i/>
                <w:iCs/>
                <w:noProof/>
                <w:color w:val="000000"/>
                <w:sz w:val="18"/>
                <w:szCs w:val="18"/>
              </w:rPr>
            </w:pPr>
            <w:r w:rsidRPr="00261B88">
              <w:rPr>
                <w:rFonts w:ascii="Calibri" w:hAnsi="Calibri"/>
                <w:i/>
                <w:noProof/>
                <w:color w:val="000000"/>
                <w:sz w:val="18"/>
              </w:rPr>
              <w:t>0,35 %</w:t>
            </w:r>
          </w:p>
        </w:tc>
        <w:tc>
          <w:tcPr>
            <w:tcW w:w="992" w:type="dxa"/>
            <w:tcBorders>
              <w:top w:val="single" w:sz="4" w:space="0" w:color="9BC2E6"/>
              <w:left w:val="single" w:sz="4" w:space="0" w:color="9BC2E6"/>
              <w:bottom w:val="single" w:sz="4" w:space="0" w:color="9BC2E6"/>
              <w:right w:val="single" w:sz="4" w:space="0" w:color="9BC2E6"/>
            </w:tcBorders>
            <w:shd w:val="clear" w:color="DDEBF7" w:fill="DDEBF7"/>
            <w:noWrap/>
            <w:vAlign w:val="bottom"/>
          </w:tcPr>
          <w:p w14:paraId="4C3EE42A" w14:textId="0C0DC7FC" w:rsidR="00773F49" w:rsidRPr="00261B88" w:rsidRDefault="008D0328" w:rsidP="00A27EF6">
            <w:pPr>
              <w:spacing w:after="0"/>
              <w:jc w:val="right"/>
              <w:rPr>
                <w:rFonts w:ascii="Calibri" w:hAnsi="Calibri" w:cs="Calibri"/>
                <w:i/>
                <w:iCs/>
                <w:noProof/>
                <w:color w:val="000000"/>
                <w:sz w:val="18"/>
                <w:szCs w:val="18"/>
              </w:rPr>
            </w:pPr>
            <w:r w:rsidRPr="00261B88">
              <w:rPr>
                <w:rFonts w:ascii="Calibri" w:hAnsi="Calibri"/>
                <w:i/>
                <w:noProof/>
                <w:color w:val="000000"/>
                <w:sz w:val="18"/>
              </w:rPr>
              <w:t>1,32 %</w:t>
            </w:r>
          </w:p>
        </w:tc>
      </w:tr>
      <w:tr w:rsidR="00A251B1" w:rsidRPr="000B27A3" w14:paraId="447D2F5E" w14:textId="77777777" w:rsidTr="00BF4843">
        <w:trPr>
          <w:trHeight w:val="300"/>
        </w:trPr>
        <w:tc>
          <w:tcPr>
            <w:tcW w:w="2160" w:type="dxa"/>
            <w:tcBorders>
              <w:top w:val="single" w:sz="4" w:space="0" w:color="9BC2E6"/>
              <w:left w:val="single" w:sz="4" w:space="0" w:color="9BC2E6"/>
              <w:bottom w:val="single" w:sz="4" w:space="0" w:color="9BC2E6"/>
              <w:right w:val="single" w:sz="4" w:space="0" w:color="9BC2E6"/>
            </w:tcBorders>
            <w:shd w:val="clear" w:color="auto" w:fill="auto"/>
            <w:noWrap/>
            <w:vAlign w:val="bottom"/>
          </w:tcPr>
          <w:p w14:paraId="54B57A09" w14:textId="4D7AE6D7" w:rsidR="00A251B1" w:rsidRPr="006C5247" w:rsidRDefault="00A251B1" w:rsidP="00A27EF6">
            <w:pPr>
              <w:spacing w:after="0"/>
              <w:jc w:val="left"/>
              <w:rPr>
                <w:rFonts w:ascii="Calibri" w:hAnsi="Calibri" w:cs="Calibri"/>
                <w:b/>
                <w:bCs/>
                <w:noProof/>
                <w:color w:val="000000"/>
                <w:szCs w:val="22"/>
              </w:rPr>
            </w:pPr>
            <w:r w:rsidRPr="00261B88">
              <w:rPr>
                <w:rFonts w:ascii="Calibri" w:hAnsi="Calibri"/>
                <w:b/>
                <w:noProof/>
                <w:color w:val="000000"/>
              </w:rPr>
              <w:t>Alte fonduri cu gestiune partajată</w:t>
            </w:r>
          </w:p>
        </w:tc>
        <w:tc>
          <w:tcPr>
            <w:tcW w:w="1096" w:type="dxa"/>
            <w:tcBorders>
              <w:top w:val="single" w:sz="4" w:space="0" w:color="9BC2E6"/>
              <w:left w:val="single" w:sz="4" w:space="0" w:color="9BC2E6"/>
              <w:bottom w:val="single" w:sz="4" w:space="0" w:color="9BC2E6"/>
              <w:right w:val="nil"/>
            </w:tcBorders>
            <w:shd w:val="clear" w:color="auto" w:fill="auto"/>
            <w:noWrap/>
            <w:vAlign w:val="bottom"/>
          </w:tcPr>
          <w:p w14:paraId="51179837" w14:textId="3C7B3CB8" w:rsidR="00A251B1" w:rsidRDefault="00973951" w:rsidP="00A27EF6">
            <w:pPr>
              <w:spacing w:after="0"/>
              <w:jc w:val="right"/>
              <w:rPr>
                <w:rFonts w:ascii="Calibri" w:hAnsi="Calibri" w:cs="Calibri"/>
                <w:b/>
                <w:bCs/>
                <w:noProof/>
                <w:color w:val="000000"/>
                <w:szCs w:val="22"/>
              </w:rPr>
            </w:pPr>
            <w:r w:rsidRPr="00261B88">
              <w:rPr>
                <w:rFonts w:ascii="Calibri" w:hAnsi="Calibri"/>
                <w:b/>
                <w:noProof/>
                <w:color w:val="000000"/>
              </w:rPr>
              <w:t>0</w:t>
            </w:r>
          </w:p>
        </w:tc>
        <w:tc>
          <w:tcPr>
            <w:tcW w:w="1154" w:type="dxa"/>
            <w:tcBorders>
              <w:top w:val="single" w:sz="4" w:space="0" w:color="9BC2E6"/>
              <w:left w:val="nil"/>
              <w:bottom w:val="single" w:sz="4" w:space="0" w:color="9BC2E6"/>
            </w:tcBorders>
            <w:shd w:val="clear" w:color="auto" w:fill="auto"/>
            <w:noWrap/>
            <w:vAlign w:val="bottom"/>
          </w:tcPr>
          <w:p w14:paraId="113753DE" w14:textId="21F003B7" w:rsidR="00A251B1" w:rsidRDefault="00973951" w:rsidP="00A27EF6">
            <w:pPr>
              <w:spacing w:after="0"/>
              <w:jc w:val="right"/>
              <w:rPr>
                <w:rFonts w:ascii="Calibri" w:hAnsi="Calibri" w:cs="Calibri"/>
                <w:b/>
                <w:bCs/>
                <w:noProof/>
                <w:color w:val="000000"/>
                <w:szCs w:val="22"/>
              </w:rPr>
            </w:pPr>
            <w:r w:rsidRPr="00261B88">
              <w:rPr>
                <w:rFonts w:ascii="Calibri" w:hAnsi="Calibri"/>
                <w:b/>
                <w:noProof/>
                <w:color w:val="000000"/>
              </w:rPr>
              <w:t>0</w:t>
            </w:r>
          </w:p>
        </w:tc>
        <w:tc>
          <w:tcPr>
            <w:tcW w:w="1114" w:type="dxa"/>
            <w:tcBorders>
              <w:top w:val="single" w:sz="4" w:space="0" w:color="9BC2E6"/>
              <w:left w:val="nil"/>
              <w:bottom w:val="single" w:sz="4" w:space="0" w:color="9BC2E6"/>
              <w:right w:val="nil"/>
            </w:tcBorders>
            <w:shd w:val="clear" w:color="auto" w:fill="auto"/>
            <w:noWrap/>
            <w:vAlign w:val="bottom"/>
          </w:tcPr>
          <w:p w14:paraId="129935FB" w14:textId="521F5FDC" w:rsidR="00A251B1" w:rsidRDefault="00387ED0" w:rsidP="00A27EF6">
            <w:pPr>
              <w:spacing w:after="0"/>
              <w:jc w:val="right"/>
              <w:rPr>
                <w:rFonts w:ascii="Calibri" w:hAnsi="Calibri" w:cs="Calibri"/>
                <w:b/>
                <w:bCs/>
                <w:noProof/>
                <w:color w:val="000000"/>
                <w:szCs w:val="22"/>
              </w:rPr>
            </w:pPr>
            <w:r w:rsidRPr="00261B88">
              <w:rPr>
                <w:rFonts w:ascii="Calibri" w:hAnsi="Calibri"/>
                <w:b/>
                <w:noProof/>
                <w:color w:val="000000"/>
              </w:rPr>
              <w:t>45</w:t>
            </w:r>
          </w:p>
        </w:tc>
        <w:tc>
          <w:tcPr>
            <w:tcW w:w="1169" w:type="dxa"/>
            <w:tcBorders>
              <w:top w:val="single" w:sz="4" w:space="0" w:color="9BC2E6"/>
              <w:left w:val="nil"/>
              <w:bottom w:val="single" w:sz="4" w:space="0" w:color="9BC2E6"/>
              <w:right w:val="single" w:sz="4" w:space="0" w:color="9BC2E6"/>
            </w:tcBorders>
            <w:shd w:val="clear" w:color="auto" w:fill="auto"/>
            <w:noWrap/>
            <w:vAlign w:val="bottom"/>
          </w:tcPr>
          <w:p w14:paraId="1AB898DB" w14:textId="1F2BC251" w:rsidR="00A251B1" w:rsidRDefault="00387ED0" w:rsidP="00A27EF6">
            <w:pPr>
              <w:spacing w:after="0"/>
              <w:jc w:val="right"/>
              <w:rPr>
                <w:rFonts w:ascii="Calibri" w:hAnsi="Calibri" w:cs="Calibri"/>
                <w:b/>
                <w:bCs/>
                <w:noProof/>
                <w:color w:val="000000"/>
                <w:szCs w:val="22"/>
              </w:rPr>
            </w:pPr>
            <w:r w:rsidRPr="00261B88">
              <w:rPr>
                <w:rFonts w:ascii="Calibri" w:hAnsi="Calibri"/>
                <w:b/>
                <w:noProof/>
                <w:color w:val="000000"/>
              </w:rPr>
              <w:t>4,3</w:t>
            </w:r>
          </w:p>
        </w:tc>
        <w:tc>
          <w:tcPr>
            <w:tcW w:w="957" w:type="dxa"/>
            <w:tcBorders>
              <w:top w:val="single" w:sz="4" w:space="0" w:color="9BC2E6"/>
              <w:left w:val="single" w:sz="4" w:space="0" w:color="9BC2E6"/>
              <w:bottom w:val="single" w:sz="4" w:space="0" w:color="9BC2E6"/>
              <w:right w:val="single" w:sz="4" w:space="0" w:color="9BC2E6"/>
            </w:tcBorders>
            <w:shd w:val="clear" w:color="auto" w:fill="auto"/>
            <w:noWrap/>
            <w:vAlign w:val="bottom"/>
          </w:tcPr>
          <w:p w14:paraId="36CCC5A7" w14:textId="36E779DB" w:rsidR="00A251B1" w:rsidRPr="006C5247" w:rsidRDefault="008D0328" w:rsidP="00A27EF6">
            <w:pPr>
              <w:spacing w:after="0"/>
              <w:jc w:val="right"/>
              <w:rPr>
                <w:rFonts w:ascii="Calibri" w:hAnsi="Calibri" w:cs="Calibri"/>
                <w:b/>
                <w:bCs/>
                <w:noProof/>
                <w:color w:val="000000"/>
                <w:szCs w:val="22"/>
              </w:rPr>
            </w:pPr>
            <w:r w:rsidRPr="00261B88">
              <w:rPr>
                <w:rFonts w:ascii="Calibri" w:hAnsi="Calibri"/>
                <w:b/>
                <w:noProof/>
                <w:color w:val="000000"/>
              </w:rPr>
              <w:t>0,00 %</w:t>
            </w:r>
          </w:p>
        </w:tc>
        <w:tc>
          <w:tcPr>
            <w:tcW w:w="992" w:type="dxa"/>
            <w:tcBorders>
              <w:top w:val="single" w:sz="4" w:space="0" w:color="9BC2E6"/>
              <w:left w:val="single" w:sz="4" w:space="0" w:color="9BC2E6"/>
              <w:bottom w:val="single" w:sz="4" w:space="0" w:color="9BC2E6"/>
              <w:right w:val="single" w:sz="4" w:space="0" w:color="9BC2E6"/>
            </w:tcBorders>
            <w:shd w:val="clear" w:color="auto" w:fill="auto"/>
            <w:noWrap/>
            <w:vAlign w:val="bottom"/>
          </w:tcPr>
          <w:p w14:paraId="68C76511" w14:textId="1739F280" w:rsidR="00A251B1" w:rsidRPr="00261B88" w:rsidRDefault="008D0328" w:rsidP="00A27EF6">
            <w:pPr>
              <w:spacing w:after="0"/>
              <w:jc w:val="right"/>
              <w:rPr>
                <w:rFonts w:ascii="Calibri" w:hAnsi="Calibri" w:cs="Calibri"/>
                <w:b/>
                <w:bCs/>
                <w:noProof/>
                <w:color w:val="000000"/>
                <w:szCs w:val="22"/>
              </w:rPr>
            </w:pPr>
            <w:r w:rsidRPr="00261B88">
              <w:rPr>
                <w:rFonts w:ascii="Calibri" w:hAnsi="Calibri"/>
                <w:b/>
                <w:noProof/>
                <w:color w:val="000000"/>
              </w:rPr>
              <w:t>0,22 %</w:t>
            </w:r>
          </w:p>
        </w:tc>
      </w:tr>
      <w:tr w:rsidR="00773F49" w:rsidRPr="000B27A3" w14:paraId="20B9DF7A" w14:textId="77777777" w:rsidTr="00BF4843">
        <w:trPr>
          <w:trHeight w:val="300"/>
        </w:trPr>
        <w:tc>
          <w:tcPr>
            <w:tcW w:w="2160" w:type="dxa"/>
            <w:tcBorders>
              <w:top w:val="single" w:sz="4" w:space="0" w:color="9BC2E6"/>
              <w:left w:val="single" w:sz="4" w:space="0" w:color="9BC2E6"/>
              <w:bottom w:val="single" w:sz="4" w:space="0" w:color="9BC2E6"/>
              <w:right w:val="single" w:sz="4" w:space="0" w:color="9BC2E6"/>
            </w:tcBorders>
            <w:shd w:val="clear" w:color="auto" w:fill="auto"/>
            <w:noWrap/>
            <w:vAlign w:val="bottom"/>
            <w:hideMark/>
          </w:tcPr>
          <w:p w14:paraId="2E88D927" w14:textId="77777777" w:rsidR="00773F49" w:rsidRPr="006C5247" w:rsidRDefault="00773F49" w:rsidP="00A27EF6">
            <w:pPr>
              <w:spacing w:after="0"/>
              <w:jc w:val="left"/>
              <w:rPr>
                <w:rFonts w:ascii="Calibri" w:hAnsi="Calibri" w:cs="Calibri"/>
                <w:b/>
                <w:bCs/>
                <w:noProof/>
                <w:color w:val="000000"/>
                <w:szCs w:val="22"/>
              </w:rPr>
            </w:pPr>
            <w:r w:rsidRPr="00261B88">
              <w:rPr>
                <w:rFonts w:ascii="Calibri" w:hAnsi="Calibri"/>
                <w:b/>
                <w:noProof/>
                <w:color w:val="000000"/>
              </w:rPr>
              <w:t>Preaderare</w:t>
            </w:r>
          </w:p>
        </w:tc>
        <w:tc>
          <w:tcPr>
            <w:tcW w:w="1096" w:type="dxa"/>
            <w:tcBorders>
              <w:top w:val="single" w:sz="4" w:space="0" w:color="9BC2E6"/>
              <w:left w:val="single" w:sz="4" w:space="0" w:color="9BC2E6"/>
              <w:bottom w:val="single" w:sz="4" w:space="0" w:color="9BC2E6"/>
              <w:right w:val="nil"/>
            </w:tcBorders>
            <w:shd w:val="clear" w:color="auto" w:fill="auto"/>
            <w:noWrap/>
            <w:vAlign w:val="bottom"/>
          </w:tcPr>
          <w:p w14:paraId="52FF8AE7" w14:textId="77777777" w:rsidR="00773F49" w:rsidRPr="006C5247" w:rsidRDefault="002303B4" w:rsidP="00A27EF6">
            <w:pPr>
              <w:spacing w:after="0"/>
              <w:jc w:val="right"/>
              <w:rPr>
                <w:rFonts w:ascii="Calibri" w:hAnsi="Calibri" w:cs="Calibri"/>
                <w:b/>
                <w:bCs/>
                <w:noProof/>
                <w:color w:val="000000"/>
                <w:szCs w:val="22"/>
              </w:rPr>
            </w:pPr>
            <w:r w:rsidRPr="00261B88">
              <w:rPr>
                <w:rFonts w:ascii="Calibri" w:hAnsi="Calibri"/>
                <w:b/>
                <w:noProof/>
                <w:color w:val="000000"/>
              </w:rPr>
              <w:t>29</w:t>
            </w:r>
          </w:p>
        </w:tc>
        <w:tc>
          <w:tcPr>
            <w:tcW w:w="1154" w:type="dxa"/>
            <w:tcBorders>
              <w:top w:val="single" w:sz="4" w:space="0" w:color="9BC2E6"/>
              <w:left w:val="nil"/>
              <w:bottom w:val="single" w:sz="4" w:space="0" w:color="9BC2E6"/>
            </w:tcBorders>
            <w:shd w:val="clear" w:color="auto" w:fill="auto"/>
            <w:noWrap/>
            <w:vAlign w:val="bottom"/>
          </w:tcPr>
          <w:p w14:paraId="3080A2AD" w14:textId="77777777" w:rsidR="00773F49" w:rsidRPr="006C5247" w:rsidRDefault="002303B4" w:rsidP="00A27EF6">
            <w:pPr>
              <w:spacing w:after="0"/>
              <w:jc w:val="right"/>
              <w:rPr>
                <w:rFonts w:ascii="Calibri" w:hAnsi="Calibri" w:cs="Calibri"/>
                <w:b/>
                <w:bCs/>
                <w:noProof/>
                <w:color w:val="000000"/>
                <w:szCs w:val="22"/>
              </w:rPr>
            </w:pPr>
            <w:r w:rsidRPr="00261B88">
              <w:rPr>
                <w:rFonts w:ascii="Calibri" w:hAnsi="Calibri"/>
                <w:b/>
                <w:noProof/>
                <w:color w:val="000000"/>
              </w:rPr>
              <w:t>1,9</w:t>
            </w:r>
          </w:p>
        </w:tc>
        <w:tc>
          <w:tcPr>
            <w:tcW w:w="1114" w:type="dxa"/>
            <w:tcBorders>
              <w:top w:val="single" w:sz="4" w:space="0" w:color="9BC2E6"/>
              <w:left w:val="nil"/>
              <w:bottom w:val="single" w:sz="4" w:space="0" w:color="9BC2E6"/>
              <w:right w:val="nil"/>
            </w:tcBorders>
            <w:shd w:val="clear" w:color="auto" w:fill="auto"/>
            <w:noWrap/>
            <w:vAlign w:val="bottom"/>
          </w:tcPr>
          <w:p w14:paraId="51ED89C2" w14:textId="77777777" w:rsidR="00773F49" w:rsidRPr="006C5247" w:rsidRDefault="002303B4" w:rsidP="00A27EF6">
            <w:pPr>
              <w:spacing w:after="0"/>
              <w:jc w:val="right"/>
              <w:rPr>
                <w:rFonts w:ascii="Calibri" w:hAnsi="Calibri" w:cs="Calibri"/>
                <w:b/>
                <w:bCs/>
                <w:noProof/>
                <w:color w:val="000000"/>
                <w:szCs w:val="22"/>
              </w:rPr>
            </w:pPr>
            <w:r w:rsidRPr="00261B88">
              <w:rPr>
                <w:rFonts w:ascii="Calibri" w:hAnsi="Calibri"/>
                <w:b/>
                <w:noProof/>
                <w:color w:val="000000"/>
              </w:rPr>
              <w:t>86</w:t>
            </w:r>
          </w:p>
        </w:tc>
        <w:tc>
          <w:tcPr>
            <w:tcW w:w="1169" w:type="dxa"/>
            <w:tcBorders>
              <w:top w:val="single" w:sz="4" w:space="0" w:color="9BC2E6"/>
              <w:left w:val="nil"/>
              <w:bottom w:val="single" w:sz="4" w:space="0" w:color="9BC2E6"/>
              <w:right w:val="single" w:sz="4" w:space="0" w:color="9BC2E6"/>
            </w:tcBorders>
            <w:shd w:val="clear" w:color="auto" w:fill="auto"/>
            <w:noWrap/>
            <w:vAlign w:val="bottom"/>
          </w:tcPr>
          <w:p w14:paraId="20CAB92F" w14:textId="77777777" w:rsidR="00773F49" w:rsidRPr="006C5247" w:rsidRDefault="002303B4" w:rsidP="00A27EF6">
            <w:pPr>
              <w:spacing w:after="0"/>
              <w:jc w:val="right"/>
              <w:rPr>
                <w:rFonts w:ascii="Calibri" w:hAnsi="Calibri" w:cs="Calibri"/>
                <w:b/>
                <w:bCs/>
                <w:noProof/>
                <w:color w:val="000000"/>
                <w:szCs w:val="22"/>
              </w:rPr>
            </w:pPr>
            <w:r w:rsidRPr="00261B88">
              <w:rPr>
                <w:rFonts w:ascii="Calibri" w:hAnsi="Calibri"/>
                <w:b/>
                <w:noProof/>
                <w:color w:val="000000"/>
              </w:rPr>
              <w:t>4,2</w:t>
            </w:r>
          </w:p>
        </w:tc>
        <w:tc>
          <w:tcPr>
            <w:tcW w:w="957" w:type="dxa"/>
            <w:tcBorders>
              <w:top w:val="single" w:sz="4" w:space="0" w:color="9BC2E6"/>
              <w:left w:val="single" w:sz="4" w:space="0" w:color="9BC2E6"/>
              <w:bottom w:val="single" w:sz="4" w:space="0" w:color="9BC2E6"/>
              <w:right w:val="single" w:sz="4" w:space="0" w:color="9BC2E6"/>
            </w:tcBorders>
            <w:shd w:val="clear" w:color="auto" w:fill="auto"/>
            <w:noWrap/>
            <w:vAlign w:val="bottom"/>
          </w:tcPr>
          <w:p w14:paraId="1C2F1485" w14:textId="189864F0" w:rsidR="00773F49" w:rsidRPr="006C5247" w:rsidRDefault="008D0328" w:rsidP="00A27EF6">
            <w:pPr>
              <w:spacing w:after="0"/>
              <w:jc w:val="right"/>
              <w:rPr>
                <w:rFonts w:ascii="Calibri" w:hAnsi="Calibri" w:cs="Calibri"/>
                <w:b/>
                <w:bCs/>
                <w:noProof/>
                <w:color w:val="000000"/>
                <w:szCs w:val="22"/>
              </w:rPr>
            </w:pPr>
            <w:r w:rsidRPr="00261B88">
              <w:rPr>
                <w:rFonts w:ascii="Calibri" w:hAnsi="Calibri"/>
                <w:b/>
                <w:noProof/>
                <w:color w:val="000000"/>
              </w:rPr>
              <w:t>0,10 %</w:t>
            </w:r>
          </w:p>
        </w:tc>
        <w:tc>
          <w:tcPr>
            <w:tcW w:w="992" w:type="dxa"/>
            <w:tcBorders>
              <w:top w:val="single" w:sz="4" w:space="0" w:color="9BC2E6"/>
              <w:left w:val="single" w:sz="4" w:space="0" w:color="9BC2E6"/>
              <w:bottom w:val="single" w:sz="4" w:space="0" w:color="9BC2E6"/>
              <w:right w:val="single" w:sz="4" w:space="0" w:color="9BC2E6"/>
            </w:tcBorders>
            <w:shd w:val="clear" w:color="auto" w:fill="auto"/>
            <w:noWrap/>
            <w:vAlign w:val="bottom"/>
          </w:tcPr>
          <w:p w14:paraId="553300FD" w14:textId="5E9B2CD9" w:rsidR="00773F49" w:rsidRPr="00261B88" w:rsidRDefault="008D0328" w:rsidP="00A27EF6">
            <w:pPr>
              <w:spacing w:after="0"/>
              <w:jc w:val="right"/>
              <w:rPr>
                <w:rFonts w:ascii="Calibri" w:hAnsi="Calibri" w:cs="Calibri"/>
                <w:b/>
                <w:bCs/>
                <w:noProof/>
                <w:color w:val="000000"/>
                <w:szCs w:val="22"/>
              </w:rPr>
            </w:pPr>
            <w:r w:rsidRPr="00261B88">
              <w:rPr>
                <w:rFonts w:ascii="Calibri" w:hAnsi="Calibri"/>
                <w:b/>
                <w:noProof/>
                <w:color w:val="000000"/>
              </w:rPr>
              <w:t>0,22 %</w:t>
            </w:r>
          </w:p>
        </w:tc>
      </w:tr>
      <w:tr w:rsidR="00773F49" w:rsidRPr="006C5247" w14:paraId="477F1DA8" w14:textId="77777777" w:rsidTr="00BF4843">
        <w:trPr>
          <w:trHeight w:val="300"/>
        </w:trPr>
        <w:tc>
          <w:tcPr>
            <w:tcW w:w="2160" w:type="dxa"/>
            <w:tcBorders>
              <w:top w:val="single" w:sz="4" w:space="0" w:color="9BC2E6"/>
              <w:left w:val="single" w:sz="4" w:space="0" w:color="9BC2E6"/>
              <w:bottom w:val="single" w:sz="4" w:space="0" w:color="9BC2E6"/>
              <w:right w:val="single" w:sz="4" w:space="0" w:color="9BC2E6"/>
            </w:tcBorders>
            <w:shd w:val="clear" w:color="auto" w:fill="DEEAF6" w:themeFill="accent1" w:themeFillTint="33"/>
            <w:noWrap/>
            <w:vAlign w:val="bottom"/>
            <w:hideMark/>
          </w:tcPr>
          <w:p w14:paraId="15BEFE93" w14:textId="4B359500" w:rsidR="00773F49" w:rsidRPr="006C5247" w:rsidRDefault="0055155F" w:rsidP="00A27EF6">
            <w:pPr>
              <w:spacing w:after="0"/>
              <w:jc w:val="right"/>
              <w:rPr>
                <w:rFonts w:ascii="Calibri" w:hAnsi="Calibri" w:cs="Calibri"/>
                <w:i/>
                <w:iCs/>
                <w:noProof/>
                <w:color w:val="000000"/>
                <w:sz w:val="18"/>
                <w:szCs w:val="18"/>
              </w:rPr>
            </w:pPr>
            <w:r w:rsidRPr="00261B88">
              <w:rPr>
                <w:rFonts w:ascii="Calibri" w:hAnsi="Calibri"/>
                <w:i/>
                <w:noProof/>
                <w:color w:val="000000"/>
                <w:sz w:val="18"/>
              </w:rPr>
              <w:t>Asistență pentru preaderare</w:t>
            </w:r>
          </w:p>
        </w:tc>
        <w:tc>
          <w:tcPr>
            <w:tcW w:w="1096" w:type="dxa"/>
            <w:tcBorders>
              <w:top w:val="single" w:sz="4" w:space="0" w:color="9BC2E6"/>
              <w:left w:val="single" w:sz="4" w:space="0" w:color="9BC2E6"/>
              <w:bottom w:val="single" w:sz="4" w:space="0" w:color="9BC2E6"/>
              <w:right w:val="nil"/>
            </w:tcBorders>
            <w:shd w:val="clear" w:color="auto" w:fill="DEEAF6" w:themeFill="accent1" w:themeFillTint="33"/>
            <w:noWrap/>
            <w:vAlign w:val="bottom"/>
          </w:tcPr>
          <w:p w14:paraId="5B390A2B" w14:textId="77777777" w:rsidR="00773F49" w:rsidRPr="006C5247" w:rsidRDefault="00773F49" w:rsidP="00A27EF6">
            <w:pPr>
              <w:spacing w:after="0"/>
              <w:jc w:val="right"/>
              <w:rPr>
                <w:rFonts w:ascii="Calibri" w:hAnsi="Calibri" w:cs="Calibri"/>
                <w:i/>
                <w:iCs/>
                <w:noProof/>
                <w:color w:val="000000"/>
                <w:sz w:val="18"/>
                <w:szCs w:val="18"/>
              </w:rPr>
            </w:pPr>
          </w:p>
        </w:tc>
        <w:tc>
          <w:tcPr>
            <w:tcW w:w="1154" w:type="dxa"/>
            <w:tcBorders>
              <w:top w:val="single" w:sz="4" w:space="0" w:color="9BC2E6"/>
              <w:left w:val="nil"/>
              <w:bottom w:val="single" w:sz="4" w:space="0" w:color="9BC2E6"/>
            </w:tcBorders>
            <w:shd w:val="clear" w:color="auto" w:fill="DEEAF6" w:themeFill="accent1" w:themeFillTint="33"/>
            <w:noWrap/>
            <w:vAlign w:val="bottom"/>
          </w:tcPr>
          <w:p w14:paraId="3647F960" w14:textId="77777777" w:rsidR="00773F49" w:rsidRPr="006C5247" w:rsidRDefault="00773F49" w:rsidP="00A27EF6">
            <w:pPr>
              <w:spacing w:after="0"/>
              <w:jc w:val="right"/>
              <w:rPr>
                <w:rFonts w:ascii="Calibri" w:hAnsi="Calibri" w:cs="Calibri"/>
                <w:i/>
                <w:iCs/>
                <w:noProof/>
                <w:color w:val="000000"/>
                <w:sz w:val="18"/>
                <w:szCs w:val="18"/>
              </w:rPr>
            </w:pPr>
          </w:p>
        </w:tc>
        <w:tc>
          <w:tcPr>
            <w:tcW w:w="1114" w:type="dxa"/>
            <w:tcBorders>
              <w:top w:val="single" w:sz="4" w:space="0" w:color="9BC2E6"/>
              <w:left w:val="nil"/>
              <w:bottom w:val="single" w:sz="4" w:space="0" w:color="9BC2E6"/>
              <w:right w:val="nil"/>
            </w:tcBorders>
            <w:shd w:val="clear" w:color="auto" w:fill="DEEAF6" w:themeFill="accent1" w:themeFillTint="33"/>
            <w:noWrap/>
            <w:vAlign w:val="bottom"/>
          </w:tcPr>
          <w:p w14:paraId="0236A4FB" w14:textId="77777777" w:rsidR="00773F49" w:rsidRPr="006C5247" w:rsidRDefault="0055155F" w:rsidP="00A27EF6">
            <w:pPr>
              <w:spacing w:after="0"/>
              <w:jc w:val="right"/>
              <w:rPr>
                <w:rFonts w:ascii="Calibri" w:hAnsi="Calibri" w:cs="Calibri"/>
                <w:i/>
                <w:iCs/>
                <w:noProof/>
                <w:color w:val="000000"/>
                <w:sz w:val="18"/>
                <w:szCs w:val="18"/>
              </w:rPr>
            </w:pPr>
            <w:r w:rsidRPr="00261B88">
              <w:rPr>
                <w:rFonts w:ascii="Calibri" w:hAnsi="Calibri"/>
                <w:i/>
                <w:noProof/>
                <w:color w:val="000000"/>
                <w:sz w:val="18"/>
              </w:rPr>
              <w:t>1</w:t>
            </w:r>
          </w:p>
        </w:tc>
        <w:tc>
          <w:tcPr>
            <w:tcW w:w="1169" w:type="dxa"/>
            <w:tcBorders>
              <w:top w:val="single" w:sz="4" w:space="0" w:color="9BC2E6"/>
              <w:left w:val="nil"/>
              <w:bottom w:val="single" w:sz="4" w:space="0" w:color="9BC2E6"/>
              <w:right w:val="single" w:sz="4" w:space="0" w:color="9BC2E6"/>
            </w:tcBorders>
            <w:shd w:val="clear" w:color="auto" w:fill="DEEAF6" w:themeFill="accent1" w:themeFillTint="33"/>
            <w:noWrap/>
            <w:vAlign w:val="bottom"/>
          </w:tcPr>
          <w:p w14:paraId="0563E124" w14:textId="77777777" w:rsidR="00773F49" w:rsidRPr="006C5247" w:rsidRDefault="0055155F" w:rsidP="0055155F">
            <w:pPr>
              <w:spacing w:after="0"/>
              <w:jc w:val="right"/>
              <w:rPr>
                <w:rFonts w:ascii="Calibri" w:hAnsi="Calibri" w:cs="Calibri"/>
                <w:i/>
                <w:iCs/>
                <w:noProof/>
                <w:color w:val="000000"/>
                <w:sz w:val="18"/>
                <w:szCs w:val="18"/>
              </w:rPr>
            </w:pPr>
            <w:r w:rsidRPr="00261B88">
              <w:rPr>
                <w:rFonts w:ascii="Calibri" w:hAnsi="Calibri"/>
                <w:i/>
                <w:noProof/>
                <w:color w:val="000000"/>
                <w:sz w:val="18"/>
              </w:rPr>
              <w:t>0,4</w:t>
            </w:r>
          </w:p>
        </w:tc>
        <w:tc>
          <w:tcPr>
            <w:tcW w:w="957" w:type="dxa"/>
            <w:tcBorders>
              <w:top w:val="single" w:sz="4" w:space="0" w:color="9BC2E6"/>
              <w:left w:val="single" w:sz="4" w:space="0" w:color="9BC2E6"/>
              <w:bottom w:val="single" w:sz="4" w:space="0" w:color="9BC2E6"/>
              <w:right w:val="single" w:sz="4" w:space="0" w:color="9BC2E6"/>
            </w:tcBorders>
            <w:shd w:val="clear" w:color="auto" w:fill="DEEAF6" w:themeFill="accent1" w:themeFillTint="33"/>
            <w:noWrap/>
            <w:vAlign w:val="bottom"/>
          </w:tcPr>
          <w:p w14:paraId="63C0DF25" w14:textId="25D45C2E" w:rsidR="00773F49" w:rsidRPr="006C5247" w:rsidRDefault="008D0328" w:rsidP="00A27EF6">
            <w:pPr>
              <w:spacing w:after="0"/>
              <w:jc w:val="right"/>
              <w:rPr>
                <w:rFonts w:ascii="Calibri" w:hAnsi="Calibri" w:cs="Calibri"/>
                <w:i/>
                <w:iCs/>
                <w:noProof/>
                <w:color w:val="000000"/>
                <w:sz w:val="18"/>
                <w:szCs w:val="18"/>
              </w:rPr>
            </w:pPr>
            <w:r w:rsidRPr="00261B88">
              <w:rPr>
                <w:rFonts w:ascii="Calibri" w:hAnsi="Calibri"/>
                <w:i/>
                <w:noProof/>
                <w:color w:val="000000"/>
                <w:sz w:val="18"/>
              </w:rPr>
              <w:t>-</w:t>
            </w:r>
          </w:p>
        </w:tc>
        <w:tc>
          <w:tcPr>
            <w:tcW w:w="992" w:type="dxa"/>
            <w:tcBorders>
              <w:top w:val="single" w:sz="4" w:space="0" w:color="9BC2E6"/>
              <w:left w:val="single" w:sz="4" w:space="0" w:color="9BC2E6"/>
              <w:bottom w:val="single" w:sz="4" w:space="0" w:color="9BC2E6"/>
              <w:right w:val="single" w:sz="4" w:space="0" w:color="9BC2E6"/>
            </w:tcBorders>
            <w:shd w:val="clear" w:color="auto" w:fill="DEEAF6" w:themeFill="accent1" w:themeFillTint="33"/>
            <w:noWrap/>
            <w:vAlign w:val="bottom"/>
          </w:tcPr>
          <w:p w14:paraId="793D80B2" w14:textId="7AFD34A0" w:rsidR="00773F49" w:rsidRPr="00261B88" w:rsidRDefault="008D0328" w:rsidP="00A27EF6">
            <w:pPr>
              <w:spacing w:after="0"/>
              <w:jc w:val="right"/>
              <w:rPr>
                <w:rFonts w:ascii="Calibri" w:hAnsi="Calibri" w:cs="Calibri"/>
                <w:i/>
                <w:iCs/>
                <w:noProof/>
                <w:color w:val="000000"/>
                <w:sz w:val="18"/>
                <w:szCs w:val="18"/>
              </w:rPr>
            </w:pPr>
            <w:r w:rsidRPr="00261B88">
              <w:rPr>
                <w:rFonts w:ascii="Calibri" w:hAnsi="Calibri"/>
                <w:i/>
                <w:noProof/>
                <w:color w:val="000000"/>
                <w:sz w:val="18"/>
              </w:rPr>
              <w:t>-</w:t>
            </w:r>
          </w:p>
        </w:tc>
      </w:tr>
      <w:tr w:rsidR="00773F49" w:rsidRPr="006C5247" w14:paraId="6D3198E5" w14:textId="77777777" w:rsidTr="00BF4843">
        <w:trPr>
          <w:trHeight w:val="300"/>
        </w:trPr>
        <w:tc>
          <w:tcPr>
            <w:tcW w:w="2160" w:type="dxa"/>
            <w:tcBorders>
              <w:top w:val="single" w:sz="4" w:space="0" w:color="9BC2E6"/>
              <w:left w:val="single" w:sz="4" w:space="0" w:color="9BC2E6"/>
              <w:bottom w:val="single" w:sz="4" w:space="0" w:color="9BC2E6"/>
              <w:right w:val="single" w:sz="4" w:space="0" w:color="9BC2E6"/>
            </w:tcBorders>
            <w:shd w:val="clear" w:color="auto" w:fill="FFFFFF" w:themeFill="background1"/>
            <w:noWrap/>
            <w:vAlign w:val="bottom"/>
            <w:hideMark/>
          </w:tcPr>
          <w:p w14:paraId="72A18C92" w14:textId="0D60D6A8" w:rsidR="00773F49" w:rsidRPr="006C5247" w:rsidRDefault="0055155F" w:rsidP="00A27EF6">
            <w:pPr>
              <w:spacing w:after="0"/>
              <w:jc w:val="right"/>
              <w:rPr>
                <w:rFonts w:ascii="Calibri" w:hAnsi="Calibri" w:cs="Calibri"/>
                <w:i/>
                <w:iCs/>
                <w:noProof/>
                <w:color w:val="000000"/>
                <w:sz w:val="18"/>
                <w:szCs w:val="18"/>
              </w:rPr>
            </w:pPr>
            <w:r w:rsidRPr="00261B88">
              <w:rPr>
                <w:rFonts w:ascii="Calibri" w:hAnsi="Calibri"/>
                <w:i/>
                <w:noProof/>
                <w:color w:val="000000"/>
                <w:sz w:val="18"/>
              </w:rPr>
              <w:t>Instrumentul de asistență pentru preaderare I</w:t>
            </w:r>
          </w:p>
        </w:tc>
        <w:tc>
          <w:tcPr>
            <w:tcW w:w="1096" w:type="dxa"/>
            <w:tcBorders>
              <w:top w:val="single" w:sz="4" w:space="0" w:color="9BC2E6"/>
              <w:left w:val="single" w:sz="4" w:space="0" w:color="9BC2E6"/>
              <w:bottom w:val="single" w:sz="4" w:space="0" w:color="9BC2E6"/>
              <w:right w:val="nil"/>
            </w:tcBorders>
            <w:shd w:val="clear" w:color="auto" w:fill="FFFFFF" w:themeFill="background1"/>
            <w:noWrap/>
            <w:vAlign w:val="bottom"/>
          </w:tcPr>
          <w:p w14:paraId="3A9AB560" w14:textId="77777777" w:rsidR="00773F49" w:rsidRPr="006C5247" w:rsidRDefault="0055155F" w:rsidP="00A27EF6">
            <w:pPr>
              <w:spacing w:after="0"/>
              <w:jc w:val="right"/>
              <w:rPr>
                <w:rFonts w:ascii="Calibri" w:hAnsi="Calibri" w:cs="Calibri"/>
                <w:i/>
                <w:iCs/>
                <w:noProof/>
                <w:color w:val="000000"/>
                <w:sz w:val="18"/>
                <w:szCs w:val="18"/>
              </w:rPr>
            </w:pPr>
            <w:r w:rsidRPr="00261B88">
              <w:rPr>
                <w:rFonts w:ascii="Calibri" w:hAnsi="Calibri"/>
                <w:i/>
                <w:noProof/>
                <w:color w:val="000000"/>
                <w:sz w:val="18"/>
              </w:rPr>
              <w:t>4</w:t>
            </w:r>
          </w:p>
        </w:tc>
        <w:tc>
          <w:tcPr>
            <w:tcW w:w="1154" w:type="dxa"/>
            <w:tcBorders>
              <w:top w:val="single" w:sz="4" w:space="0" w:color="9BC2E6"/>
              <w:left w:val="nil"/>
              <w:bottom w:val="single" w:sz="4" w:space="0" w:color="9BC2E6"/>
            </w:tcBorders>
            <w:shd w:val="clear" w:color="auto" w:fill="FFFFFF" w:themeFill="background1"/>
            <w:noWrap/>
            <w:vAlign w:val="bottom"/>
          </w:tcPr>
          <w:p w14:paraId="5C2CF2EC" w14:textId="77777777" w:rsidR="00773F49" w:rsidRPr="006C5247" w:rsidRDefault="0055155F" w:rsidP="00A27EF6">
            <w:pPr>
              <w:spacing w:after="0"/>
              <w:jc w:val="right"/>
              <w:rPr>
                <w:rFonts w:ascii="Calibri" w:hAnsi="Calibri" w:cs="Calibri"/>
                <w:i/>
                <w:iCs/>
                <w:noProof/>
                <w:color w:val="000000"/>
                <w:sz w:val="18"/>
                <w:szCs w:val="18"/>
              </w:rPr>
            </w:pPr>
            <w:r w:rsidRPr="00261B88">
              <w:rPr>
                <w:rFonts w:ascii="Calibri" w:hAnsi="Calibri"/>
                <w:i/>
                <w:noProof/>
                <w:color w:val="000000"/>
                <w:sz w:val="18"/>
              </w:rPr>
              <w:t>0,4</w:t>
            </w:r>
          </w:p>
        </w:tc>
        <w:tc>
          <w:tcPr>
            <w:tcW w:w="1114" w:type="dxa"/>
            <w:tcBorders>
              <w:top w:val="single" w:sz="4" w:space="0" w:color="9BC2E6"/>
              <w:left w:val="nil"/>
              <w:bottom w:val="single" w:sz="4" w:space="0" w:color="9BC2E6"/>
              <w:right w:val="nil"/>
            </w:tcBorders>
            <w:shd w:val="clear" w:color="auto" w:fill="FFFFFF" w:themeFill="background1"/>
            <w:noWrap/>
            <w:vAlign w:val="bottom"/>
          </w:tcPr>
          <w:p w14:paraId="437039C6" w14:textId="77777777" w:rsidR="00773F49" w:rsidRPr="006C5247" w:rsidRDefault="0055155F" w:rsidP="00A27EF6">
            <w:pPr>
              <w:spacing w:after="0"/>
              <w:jc w:val="right"/>
              <w:rPr>
                <w:rFonts w:ascii="Calibri" w:hAnsi="Calibri" w:cs="Calibri"/>
                <w:i/>
                <w:iCs/>
                <w:noProof/>
                <w:color w:val="000000"/>
                <w:sz w:val="18"/>
                <w:szCs w:val="18"/>
              </w:rPr>
            </w:pPr>
            <w:r w:rsidRPr="00261B88">
              <w:rPr>
                <w:rFonts w:ascii="Calibri" w:hAnsi="Calibri"/>
                <w:i/>
                <w:noProof/>
                <w:color w:val="000000"/>
                <w:sz w:val="18"/>
              </w:rPr>
              <w:t>29</w:t>
            </w:r>
          </w:p>
        </w:tc>
        <w:tc>
          <w:tcPr>
            <w:tcW w:w="1169" w:type="dxa"/>
            <w:tcBorders>
              <w:top w:val="single" w:sz="4" w:space="0" w:color="9BC2E6"/>
              <w:left w:val="nil"/>
              <w:bottom w:val="single" w:sz="4" w:space="0" w:color="9BC2E6"/>
              <w:right w:val="single" w:sz="4" w:space="0" w:color="9BC2E6"/>
            </w:tcBorders>
            <w:shd w:val="clear" w:color="auto" w:fill="FFFFFF" w:themeFill="background1"/>
            <w:noWrap/>
            <w:vAlign w:val="bottom"/>
          </w:tcPr>
          <w:p w14:paraId="43654C4D" w14:textId="77777777" w:rsidR="00773F49" w:rsidRPr="006C5247" w:rsidRDefault="0055155F" w:rsidP="00A27EF6">
            <w:pPr>
              <w:spacing w:after="0"/>
              <w:jc w:val="right"/>
              <w:rPr>
                <w:rFonts w:ascii="Calibri" w:hAnsi="Calibri" w:cs="Calibri"/>
                <w:i/>
                <w:iCs/>
                <w:noProof/>
                <w:color w:val="000000"/>
                <w:sz w:val="18"/>
                <w:szCs w:val="18"/>
              </w:rPr>
            </w:pPr>
            <w:r w:rsidRPr="00261B88">
              <w:rPr>
                <w:rFonts w:ascii="Calibri" w:hAnsi="Calibri"/>
                <w:i/>
                <w:noProof/>
                <w:color w:val="000000"/>
                <w:sz w:val="18"/>
              </w:rPr>
              <w:t>2,3</w:t>
            </w:r>
          </w:p>
        </w:tc>
        <w:tc>
          <w:tcPr>
            <w:tcW w:w="957" w:type="dxa"/>
            <w:tcBorders>
              <w:top w:val="single" w:sz="4" w:space="0" w:color="9BC2E6"/>
              <w:left w:val="single" w:sz="4" w:space="0" w:color="9BC2E6"/>
              <w:bottom w:val="single" w:sz="4" w:space="0" w:color="9BC2E6"/>
              <w:right w:val="single" w:sz="4" w:space="0" w:color="9BC2E6"/>
            </w:tcBorders>
            <w:shd w:val="clear" w:color="auto" w:fill="FFFFFF" w:themeFill="background1"/>
            <w:noWrap/>
            <w:vAlign w:val="bottom"/>
          </w:tcPr>
          <w:p w14:paraId="202D0AFA" w14:textId="2D7F9D3F" w:rsidR="00773F49" w:rsidRPr="006C5247" w:rsidRDefault="008D0328" w:rsidP="00A27EF6">
            <w:pPr>
              <w:spacing w:after="0"/>
              <w:jc w:val="right"/>
              <w:rPr>
                <w:rFonts w:ascii="Calibri" w:hAnsi="Calibri" w:cs="Calibri"/>
                <w:i/>
                <w:iCs/>
                <w:noProof/>
                <w:color w:val="000000"/>
                <w:sz w:val="18"/>
                <w:szCs w:val="18"/>
              </w:rPr>
            </w:pPr>
            <w:r w:rsidRPr="00261B88">
              <w:rPr>
                <w:rFonts w:ascii="Calibri" w:hAnsi="Calibri"/>
                <w:i/>
                <w:noProof/>
                <w:color w:val="000000"/>
                <w:sz w:val="18"/>
              </w:rPr>
              <w:t>-</w:t>
            </w:r>
          </w:p>
        </w:tc>
        <w:tc>
          <w:tcPr>
            <w:tcW w:w="992" w:type="dxa"/>
            <w:tcBorders>
              <w:top w:val="single" w:sz="4" w:space="0" w:color="9BC2E6"/>
              <w:left w:val="single" w:sz="4" w:space="0" w:color="9BC2E6"/>
              <w:bottom w:val="single" w:sz="4" w:space="0" w:color="9BC2E6"/>
              <w:right w:val="single" w:sz="4" w:space="0" w:color="9BC2E6"/>
            </w:tcBorders>
            <w:shd w:val="clear" w:color="auto" w:fill="FFFFFF" w:themeFill="background1"/>
            <w:noWrap/>
            <w:vAlign w:val="bottom"/>
          </w:tcPr>
          <w:p w14:paraId="7B0AECF6" w14:textId="13B80331" w:rsidR="00773F49" w:rsidRPr="00261B88" w:rsidRDefault="008D0328" w:rsidP="00A27EF6">
            <w:pPr>
              <w:spacing w:after="0"/>
              <w:jc w:val="right"/>
              <w:rPr>
                <w:rFonts w:ascii="Calibri" w:hAnsi="Calibri" w:cs="Calibri"/>
                <w:i/>
                <w:iCs/>
                <w:noProof/>
                <w:color w:val="000000"/>
                <w:sz w:val="18"/>
                <w:szCs w:val="18"/>
              </w:rPr>
            </w:pPr>
            <w:r w:rsidRPr="00261B88">
              <w:rPr>
                <w:rFonts w:ascii="Calibri" w:hAnsi="Calibri"/>
                <w:i/>
                <w:noProof/>
                <w:color w:val="000000"/>
                <w:sz w:val="18"/>
              </w:rPr>
              <w:t>-</w:t>
            </w:r>
          </w:p>
        </w:tc>
      </w:tr>
      <w:tr w:rsidR="0055155F" w:rsidRPr="006C5247" w14:paraId="3B818F11" w14:textId="77777777" w:rsidTr="00D10B75">
        <w:trPr>
          <w:trHeight w:val="300"/>
        </w:trPr>
        <w:tc>
          <w:tcPr>
            <w:tcW w:w="2160" w:type="dxa"/>
            <w:tcBorders>
              <w:top w:val="single" w:sz="4" w:space="0" w:color="9BC2E6"/>
              <w:left w:val="single" w:sz="4" w:space="0" w:color="9BC2E6"/>
              <w:bottom w:val="single" w:sz="4" w:space="0" w:color="9BC2E6"/>
              <w:right w:val="single" w:sz="4" w:space="0" w:color="9BC2E6"/>
            </w:tcBorders>
            <w:shd w:val="clear" w:color="DDEBF7" w:fill="DDEBF7"/>
            <w:noWrap/>
            <w:vAlign w:val="bottom"/>
          </w:tcPr>
          <w:p w14:paraId="22C36907" w14:textId="26C6D8B5" w:rsidR="0055155F" w:rsidRPr="006C5247" w:rsidRDefault="0055155F" w:rsidP="00A27EF6">
            <w:pPr>
              <w:spacing w:after="0"/>
              <w:jc w:val="right"/>
              <w:rPr>
                <w:rFonts w:ascii="Calibri" w:hAnsi="Calibri" w:cs="Calibri"/>
                <w:i/>
                <w:iCs/>
                <w:noProof/>
                <w:color w:val="000000"/>
                <w:sz w:val="18"/>
                <w:szCs w:val="18"/>
              </w:rPr>
            </w:pPr>
            <w:r w:rsidRPr="00261B88">
              <w:rPr>
                <w:rFonts w:ascii="Calibri" w:hAnsi="Calibri"/>
                <w:i/>
                <w:noProof/>
                <w:color w:val="000000"/>
                <w:sz w:val="18"/>
              </w:rPr>
              <w:t>Instrumentul de asistență pentru preaderare II</w:t>
            </w:r>
          </w:p>
        </w:tc>
        <w:tc>
          <w:tcPr>
            <w:tcW w:w="1096" w:type="dxa"/>
            <w:tcBorders>
              <w:top w:val="single" w:sz="4" w:space="0" w:color="9BC2E6"/>
              <w:left w:val="single" w:sz="4" w:space="0" w:color="9BC2E6"/>
              <w:bottom w:val="single" w:sz="4" w:space="0" w:color="9BC2E6"/>
              <w:right w:val="nil"/>
            </w:tcBorders>
            <w:shd w:val="clear" w:color="DDEBF7" w:fill="DDEBF7"/>
            <w:noWrap/>
            <w:vAlign w:val="bottom"/>
          </w:tcPr>
          <w:p w14:paraId="3DA0F14F" w14:textId="77777777" w:rsidR="0055155F" w:rsidRDefault="0055155F" w:rsidP="00A27EF6">
            <w:pPr>
              <w:spacing w:after="0"/>
              <w:jc w:val="right"/>
              <w:rPr>
                <w:rFonts w:ascii="Calibri" w:hAnsi="Calibri" w:cs="Calibri"/>
                <w:i/>
                <w:iCs/>
                <w:noProof/>
                <w:color w:val="000000"/>
                <w:sz w:val="18"/>
                <w:szCs w:val="18"/>
              </w:rPr>
            </w:pPr>
            <w:r w:rsidRPr="00261B88">
              <w:rPr>
                <w:rFonts w:ascii="Calibri" w:hAnsi="Calibri"/>
                <w:i/>
                <w:noProof/>
                <w:color w:val="000000"/>
                <w:sz w:val="18"/>
              </w:rPr>
              <w:t>25</w:t>
            </w:r>
          </w:p>
        </w:tc>
        <w:tc>
          <w:tcPr>
            <w:tcW w:w="1154" w:type="dxa"/>
            <w:tcBorders>
              <w:top w:val="single" w:sz="4" w:space="0" w:color="9BC2E6"/>
              <w:left w:val="nil"/>
              <w:bottom w:val="single" w:sz="4" w:space="0" w:color="9BC2E6"/>
            </w:tcBorders>
            <w:shd w:val="clear" w:color="DDEBF7" w:fill="DDEBF7"/>
            <w:noWrap/>
            <w:vAlign w:val="bottom"/>
          </w:tcPr>
          <w:p w14:paraId="62562D47" w14:textId="77777777" w:rsidR="0055155F" w:rsidRDefault="0055155F" w:rsidP="00A27EF6">
            <w:pPr>
              <w:spacing w:after="0"/>
              <w:jc w:val="right"/>
              <w:rPr>
                <w:rFonts w:ascii="Calibri" w:hAnsi="Calibri" w:cs="Calibri"/>
                <w:i/>
                <w:iCs/>
                <w:noProof/>
                <w:color w:val="000000"/>
                <w:sz w:val="18"/>
                <w:szCs w:val="18"/>
              </w:rPr>
            </w:pPr>
            <w:r w:rsidRPr="00261B88">
              <w:rPr>
                <w:rFonts w:ascii="Calibri" w:hAnsi="Calibri"/>
                <w:i/>
                <w:noProof/>
                <w:color w:val="000000"/>
                <w:sz w:val="18"/>
              </w:rPr>
              <w:t>1,5</w:t>
            </w:r>
          </w:p>
        </w:tc>
        <w:tc>
          <w:tcPr>
            <w:tcW w:w="1114" w:type="dxa"/>
            <w:tcBorders>
              <w:top w:val="single" w:sz="4" w:space="0" w:color="9BC2E6"/>
              <w:left w:val="nil"/>
              <w:bottom w:val="single" w:sz="4" w:space="0" w:color="9BC2E6"/>
              <w:right w:val="nil"/>
            </w:tcBorders>
            <w:shd w:val="clear" w:color="DDEBF7" w:fill="DDEBF7"/>
            <w:noWrap/>
            <w:vAlign w:val="bottom"/>
          </w:tcPr>
          <w:p w14:paraId="1F13E4DF" w14:textId="77777777" w:rsidR="0055155F" w:rsidRDefault="0055155F" w:rsidP="00A27EF6">
            <w:pPr>
              <w:spacing w:after="0"/>
              <w:jc w:val="right"/>
              <w:rPr>
                <w:rFonts w:ascii="Calibri" w:hAnsi="Calibri" w:cs="Calibri"/>
                <w:i/>
                <w:iCs/>
                <w:noProof/>
                <w:color w:val="000000"/>
                <w:sz w:val="18"/>
                <w:szCs w:val="18"/>
              </w:rPr>
            </w:pPr>
            <w:r w:rsidRPr="00261B88">
              <w:rPr>
                <w:rFonts w:ascii="Calibri" w:hAnsi="Calibri"/>
                <w:i/>
                <w:noProof/>
                <w:color w:val="000000"/>
                <w:sz w:val="18"/>
              </w:rPr>
              <w:t>56</w:t>
            </w:r>
          </w:p>
        </w:tc>
        <w:tc>
          <w:tcPr>
            <w:tcW w:w="1169" w:type="dxa"/>
            <w:tcBorders>
              <w:top w:val="single" w:sz="4" w:space="0" w:color="9BC2E6"/>
              <w:left w:val="nil"/>
              <w:bottom w:val="single" w:sz="4" w:space="0" w:color="9BC2E6"/>
              <w:right w:val="single" w:sz="4" w:space="0" w:color="9BC2E6"/>
            </w:tcBorders>
            <w:shd w:val="clear" w:color="DDEBF7" w:fill="DDEBF7"/>
            <w:noWrap/>
            <w:vAlign w:val="bottom"/>
          </w:tcPr>
          <w:p w14:paraId="593FFDF3" w14:textId="77777777" w:rsidR="0055155F" w:rsidRDefault="0055155F" w:rsidP="00A27EF6">
            <w:pPr>
              <w:spacing w:after="0"/>
              <w:jc w:val="right"/>
              <w:rPr>
                <w:rFonts w:ascii="Calibri" w:hAnsi="Calibri" w:cs="Calibri"/>
                <w:i/>
                <w:iCs/>
                <w:noProof/>
                <w:color w:val="000000"/>
                <w:sz w:val="18"/>
                <w:szCs w:val="18"/>
              </w:rPr>
            </w:pPr>
            <w:r w:rsidRPr="00261B88">
              <w:rPr>
                <w:rFonts w:ascii="Calibri" w:hAnsi="Calibri"/>
                <w:i/>
                <w:noProof/>
                <w:color w:val="000000"/>
                <w:sz w:val="18"/>
              </w:rPr>
              <w:t>1,5</w:t>
            </w:r>
          </w:p>
        </w:tc>
        <w:tc>
          <w:tcPr>
            <w:tcW w:w="957" w:type="dxa"/>
            <w:tcBorders>
              <w:top w:val="single" w:sz="4" w:space="0" w:color="9BC2E6"/>
              <w:left w:val="single" w:sz="4" w:space="0" w:color="9BC2E6"/>
              <w:bottom w:val="single" w:sz="4" w:space="0" w:color="9BC2E6"/>
              <w:right w:val="single" w:sz="4" w:space="0" w:color="9BC2E6"/>
            </w:tcBorders>
            <w:shd w:val="clear" w:color="DDEBF7" w:fill="DDEBF7"/>
            <w:noWrap/>
            <w:vAlign w:val="bottom"/>
          </w:tcPr>
          <w:p w14:paraId="06FE434D" w14:textId="52EDE920" w:rsidR="0055155F" w:rsidRPr="006C5247" w:rsidRDefault="008D0328" w:rsidP="00A27EF6">
            <w:pPr>
              <w:spacing w:after="0"/>
              <w:jc w:val="right"/>
              <w:rPr>
                <w:rFonts w:ascii="Calibri" w:hAnsi="Calibri" w:cs="Calibri"/>
                <w:i/>
                <w:iCs/>
                <w:noProof/>
                <w:color w:val="000000"/>
                <w:sz w:val="18"/>
                <w:szCs w:val="18"/>
              </w:rPr>
            </w:pPr>
            <w:r w:rsidRPr="00261B88">
              <w:rPr>
                <w:rFonts w:ascii="Calibri" w:hAnsi="Calibri"/>
                <w:i/>
                <w:noProof/>
                <w:color w:val="000000"/>
                <w:sz w:val="18"/>
              </w:rPr>
              <w:t>-</w:t>
            </w:r>
          </w:p>
        </w:tc>
        <w:tc>
          <w:tcPr>
            <w:tcW w:w="992" w:type="dxa"/>
            <w:tcBorders>
              <w:top w:val="single" w:sz="4" w:space="0" w:color="9BC2E6"/>
              <w:left w:val="single" w:sz="4" w:space="0" w:color="9BC2E6"/>
              <w:bottom w:val="single" w:sz="4" w:space="0" w:color="9BC2E6"/>
              <w:right w:val="single" w:sz="4" w:space="0" w:color="9BC2E6"/>
            </w:tcBorders>
            <w:shd w:val="clear" w:color="DDEBF7" w:fill="DDEBF7"/>
            <w:noWrap/>
            <w:vAlign w:val="bottom"/>
          </w:tcPr>
          <w:p w14:paraId="6368834A" w14:textId="7B7B4EF9" w:rsidR="0055155F" w:rsidRPr="00261B88" w:rsidRDefault="008D0328" w:rsidP="00A27EF6">
            <w:pPr>
              <w:spacing w:after="0"/>
              <w:jc w:val="right"/>
              <w:rPr>
                <w:rFonts w:ascii="Calibri" w:hAnsi="Calibri" w:cs="Calibri"/>
                <w:i/>
                <w:iCs/>
                <w:noProof/>
                <w:color w:val="000000"/>
                <w:sz w:val="18"/>
                <w:szCs w:val="18"/>
              </w:rPr>
            </w:pPr>
            <w:r w:rsidRPr="00261B88">
              <w:rPr>
                <w:rFonts w:ascii="Calibri" w:hAnsi="Calibri"/>
                <w:i/>
                <w:noProof/>
                <w:color w:val="000000"/>
                <w:sz w:val="18"/>
              </w:rPr>
              <w:t>-</w:t>
            </w:r>
          </w:p>
        </w:tc>
      </w:tr>
      <w:tr w:rsidR="00773F49" w:rsidRPr="00374350" w14:paraId="5DEAD303" w14:textId="77777777" w:rsidTr="00773F49">
        <w:trPr>
          <w:trHeight w:val="300"/>
        </w:trPr>
        <w:tc>
          <w:tcPr>
            <w:tcW w:w="2160" w:type="dxa"/>
            <w:tcBorders>
              <w:top w:val="single" w:sz="4" w:space="0" w:color="9BC2E6"/>
              <w:left w:val="single" w:sz="4" w:space="0" w:color="9BC2E6"/>
              <w:bottom w:val="single" w:sz="4" w:space="0" w:color="9BC2E6"/>
              <w:right w:val="single" w:sz="4" w:space="0" w:color="9BC2E6"/>
            </w:tcBorders>
            <w:shd w:val="clear" w:color="auto" w:fill="auto"/>
            <w:noWrap/>
            <w:vAlign w:val="bottom"/>
            <w:hideMark/>
          </w:tcPr>
          <w:p w14:paraId="745A4934" w14:textId="77777777" w:rsidR="00773F49" w:rsidRPr="006C5247" w:rsidRDefault="00773F49" w:rsidP="00374350">
            <w:pPr>
              <w:spacing w:after="0"/>
              <w:jc w:val="right"/>
              <w:rPr>
                <w:rFonts w:ascii="Calibri" w:hAnsi="Calibri" w:cs="Calibri"/>
                <w:b/>
                <w:bCs/>
                <w:noProof/>
                <w:color w:val="000000"/>
                <w:szCs w:val="22"/>
              </w:rPr>
            </w:pPr>
            <w:r w:rsidRPr="00261B88">
              <w:rPr>
                <w:rFonts w:ascii="Calibri" w:hAnsi="Calibri"/>
                <w:b/>
                <w:noProof/>
                <w:color w:val="000000"/>
              </w:rPr>
              <w:t>Cheltuieli directe</w:t>
            </w:r>
          </w:p>
        </w:tc>
        <w:tc>
          <w:tcPr>
            <w:tcW w:w="1096" w:type="dxa"/>
            <w:tcBorders>
              <w:top w:val="single" w:sz="4" w:space="0" w:color="9BC2E6"/>
              <w:left w:val="single" w:sz="4" w:space="0" w:color="9BC2E6"/>
              <w:bottom w:val="single" w:sz="4" w:space="0" w:color="9BC2E6"/>
              <w:right w:val="nil"/>
            </w:tcBorders>
            <w:shd w:val="clear" w:color="auto" w:fill="auto"/>
            <w:noWrap/>
            <w:vAlign w:val="bottom"/>
          </w:tcPr>
          <w:p w14:paraId="46B73B6A" w14:textId="77777777" w:rsidR="00773F49" w:rsidRPr="006C5247" w:rsidRDefault="00374350" w:rsidP="00374350">
            <w:pPr>
              <w:spacing w:after="0"/>
              <w:jc w:val="right"/>
              <w:rPr>
                <w:rFonts w:ascii="Calibri" w:hAnsi="Calibri" w:cs="Calibri"/>
                <w:b/>
                <w:bCs/>
                <w:noProof/>
                <w:color w:val="000000"/>
                <w:szCs w:val="22"/>
              </w:rPr>
            </w:pPr>
            <w:r w:rsidRPr="00261B88">
              <w:rPr>
                <w:rFonts w:ascii="Calibri" w:hAnsi="Calibri"/>
                <w:b/>
                <w:noProof/>
                <w:color w:val="000000"/>
              </w:rPr>
              <w:t>54</w:t>
            </w:r>
          </w:p>
        </w:tc>
        <w:tc>
          <w:tcPr>
            <w:tcW w:w="1154" w:type="dxa"/>
            <w:tcBorders>
              <w:top w:val="single" w:sz="4" w:space="0" w:color="9BC2E6"/>
              <w:left w:val="nil"/>
              <w:bottom w:val="single" w:sz="4" w:space="0" w:color="9BC2E6"/>
            </w:tcBorders>
            <w:shd w:val="clear" w:color="auto" w:fill="auto"/>
            <w:noWrap/>
            <w:vAlign w:val="bottom"/>
          </w:tcPr>
          <w:p w14:paraId="7E6F1E28" w14:textId="77777777" w:rsidR="00773F49" w:rsidRPr="00374350" w:rsidRDefault="00374350" w:rsidP="00374350">
            <w:pPr>
              <w:spacing w:after="0"/>
              <w:jc w:val="right"/>
              <w:rPr>
                <w:rFonts w:ascii="Calibri" w:hAnsi="Calibri" w:cs="Calibri"/>
                <w:b/>
                <w:bCs/>
                <w:noProof/>
                <w:color w:val="000000"/>
                <w:szCs w:val="22"/>
              </w:rPr>
            </w:pPr>
            <w:r w:rsidRPr="00261B88">
              <w:rPr>
                <w:rFonts w:ascii="Calibri" w:hAnsi="Calibri"/>
                <w:b/>
                <w:noProof/>
                <w:color w:val="000000"/>
              </w:rPr>
              <w:t>7,0</w:t>
            </w:r>
          </w:p>
        </w:tc>
        <w:tc>
          <w:tcPr>
            <w:tcW w:w="1114" w:type="dxa"/>
            <w:tcBorders>
              <w:top w:val="single" w:sz="4" w:space="0" w:color="9BC2E6"/>
              <w:left w:val="nil"/>
              <w:bottom w:val="single" w:sz="4" w:space="0" w:color="9BC2E6"/>
              <w:right w:val="nil"/>
            </w:tcBorders>
            <w:shd w:val="clear" w:color="auto" w:fill="auto"/>
            <w:noWrap/>
            <w:vAlign w:val="bottom"/>
          </w:tcPr>
          <w:p w14:paraId="07E4DDC5" w14:textId="77777777" w:rsidR="00773F49" w:rsidRPr="00374350" w:rsidRDefault="00374350" w:rsidP="00374350">
            <w:pPr>
              <w:spacing w:after="0"/>
              <w:jc w:val="right"/>
              <w:rPr>
                <w:rFonts w:ascii="Calibri" w:hAnsi="Calibri" w:cs="Calibri"/>
                <w:b/>
                <w:bCs/>
                <w:noProof/>
                <w:color w:val="000000"/>
                <w:szCs w:val="22"/>
              </w:rPr>
            </w:pPr>
            <w:r w:rsidRPr="00261B88">
              <w:rPr>
                <w:rFonts w:ascii="Calibri" w:hAnsi="Calibri"/>
                <w:b/>
                <w:noProof/>
                <w:color w:val="000000"/>
              </w:rPr>
              <w:t>825</w:t>
            </w:r>
          </w:p>
        </w:tc>
        <w:tc>
          <w:tcPr>
            <w:tcW w:w="1169" w:type="dxa"/>
            <w:tcBorders>
              <w:top w:val="single" w:sz="4" w:space="0" w:color="9BC2E6"/>
              <w:left w:val="nil"/>
              <w:bottom w:val="single" w:sz="4" w:space="0" w:color="9BC2E6"/>
              <w:right w:val="single" w:sz="4" w:space="0" w:color="9BC2E6"/>
            </w:tcBorders>
            <w:shd w:val="clear" w:color="auto" w:fill="auto"/>
            <w:noWrap/>
            <w:vAlign w:val="bottom"/>
          </w:tcPr>
          <w:p w14:paraId="721C7E25" w14:textId="77777777" w:rsidR="00773F49" w:rsidRPr="00374350" w:rsidRDefault="00442C1B" w:rsidP="00374350">
            <w:pPr>
              <w:spacing w:after="0"/>
              <w:jc w:val="right"/>
              <w:rPr>
                <w:rFonts w:ascii="Calibri" w:hAnsi="Calibri" w:cs="Calibri"/>
                <w:b/>
                <w:bCs/>
                <w:noProof/>
                <w:color w:val="000000"/>
                <w:szCs w:val="22"/>
              </w:rPr>
            </w:pPr>
            <w:r w:rsidRPr="00261B88">
              <w:rPr>
                <w:rFonts w:ascii="Calibri" w:hAnsi="Calibri"/>
                <w:b/>
                <w:noProof/>
                <w:color w:val="000000"/>
              </w:rPr>
              <w:t>35,9</w:t>
            </w:r>
          </w:p>
        </w:tc>
        <w:tc>
          <w:tcPr>
            <w:tcW w:w="957" w:type="dxa"/>
            <w:tcBorders>
              <w:top w:val="single" w:sz="4" w:space="0" w:color="9BC2E6"/>
              <w:left w:val="single" w:sz="4" w:space="0" w:color="9BC2E6"/>
              <w:bottom w:val="single" w:sz="4" w:space="0" w:color="9BC2E6"/>
              <w:right w:val="single" w:sz="4" w:space="0" w:color="9BC2E6"/>
            </w:tcBorders>
            <w:shd w:val="clear" w:color="auto" w:fill="auto"/>
            <w:noWrap/>
            <w:vAlign w:val="bottom"/>
          </w:tcPr>
          <w:p w14:paraId="4A203865" w14:textId="77777777" w:rsidR="00773F49" w:rsidRPr="00374350" w:rsidRDefault="00374350" w:rsidP="00374350">
            <w:pPr>
              <w:spacing w:after="0"/>
              <w:jc w:val="right"/>
              <w:rPr>
                <w:rFonts w:ascii="Calibri" w:hAnsi="Calibri" w:cs="Calibri"/>
                <w:b/>
                <w:bCs/>
                <w:noProof/>
                <w:color w:val="000000"/>
                <w:szCs w:val="22"/>
              </w:rPr>
            </w:pPr>
            <w:r w:rsidRPr="00261B88">
              <w:rPr>
                <w:rFonts w:ascii="Calibri" w:hAnsi="Calibri"/>
                <w:b/>
                <w:noProof/>
                <w:color w:val="000000"/>
              </w:rPr>
              <w:t>0,03 %</w:t>
            </w:r>
          </w:p>
        </w:tc>
        <w:tc>
          <w:tcPr>
            <w:tcW w:w="992" w:type="dxa"/>
            <w:tcBorders>
              <w:top w:val="single" w:sz="4" w:space="0" w:color="9BC2E6"/>
              <w:left w:val="single" w:sz="4" w:space="0" w:color="9BC2E6"/>
              <w:bottom w:val="single" w:sz="4" w:space="0" w:color="9BC2E6"/>
              <w:right w:val="single" w:sz="4" w:space="0" w:color="9BC2E6"/>
            </w:tcBorders>
            <w:shd w:val="clear" w:color="auto" w:fill="auto"/>
            <w:noWrap/>
            <w:vAlign w:val="bottom"/>
          </w:tcPr>
          <w:p w14:paraId="51204458" w14:textId="77777777" w:rsidR="00773F49" w:rsidRPr="00261B88" w:rsidRDefault="00442C1B" w:rsidP="00374350">
            <w:pPr>
              <w:spacing w:after="0"/>
              <w:jc w:val="right"/>
              <w:rPr>
                <w:rFonts w:ascii="Calibri" w:hAnsi="Calibri" w:cs="Calibri"/>
                <w:b/>
                <w:bCs/>
                <w:noProof/>
                <w:color w:val="000000"/>
                <w:szCs w:val="22"/>
              </w:rPr>
            </w:pPr>
            <w:r w:rsidRPr="00261B88">
              <w:rPr>
                <w:rFonts w:ascii="Calibri" w:hAnsi="Calibri"/>
                <w:b/>
                <w:noProof/>
                <w:color w:val="000000"/>
              </w:rPr>
              <w:t>0,16 %</w:t>
            </w:r>
          </w:p>
        </w:tc>
      </w:tr>
      <w:tr w:rsidR="00773F49" w:rsidRPr="006C5247" w14:paraId="121CABC4" w14:textId="77777777" w:rsidTr="00D10B75">
        <w:trPr>
          <w:trHeight w:val="300"/>
        </w:trPr>
        <w:tc>
          <w:tcPr>
            <w:tcW w:w="2160" w:type="dxa"/>
            <w:tcBorders>
              <w:top w:val="single" w:sz="4" w:space="0" w:color="9BC2E6"/>
              <w:left w:val="single" w:sz="4" w:space="0" w:color="9BC2E6"/>
              <w:bottom w:val="single" w:sz="4" w:space="0" w:color="9BC2E6"/>
              <w:right w:val="single" w:sz="4" w:space="0" w:color="9BC2E6"/>
            </w:tcBorders>
            <w:shd w:val="clear" w:color="DDEBF7" w:fill="DDEBF7"/>
            <w:noWrap/>
            <w:vAlign w:val="bottom"/>
            <w:hideMark/>
          </w:tcPr>
          <w:p w14:paraId="14ADFB46" w14:textId="77777777" w:rsidR="00773F49" w:rsidRPr="006C5247" w:rsidRDefault="00773F49" w:rsidP="00A27EF6">
            <w:pPr>
              <w:spacing w:after="0"/>
              <w:jc w:val="left"/>
              <w:rPr>
                <w:rFonts w:ascii="Calibri" w:hAnsi="Calibri" w:cs="Calibri"/>
                <w:b/>
                <w:bCs/>
                <w:noProof/>
                <w:color w:val="000000"/>
                <w:szCs w:val="22"/>
              </w:rPr>
            </w:pPr>
            <w:r w:rsidRPr="00261B88">
              <w:rPr>
                <w:rFonts w:ascii="Calibri" w:hAnsi="Calibri"/>
                <w:b/>
                <w:noProof/>
                <w:color w:val="000000"/>
              </w:rPr>
              <w:t>TOTAL</w:t>
            </w:r>
          </w:p>
        </w:tc>
        <w:tc>
          <w:tcPr>
            <w:tcW w:w="1096" w:type="dxa"/>
            <w:tcBorders>
              <w:top w:val="single" w:sz="4" w:space="0" w:color="9BC2E6"/>
              <w:left w:val="single" w:sz="4" w:space="0" w:color="9BC2E6"/>
              <w:bottom w:val="single" w:sz="4" w:space="0" w:color="9BC2E6"/>
              <w:right w:val="nil"/>
            </w:tcBorders>
            <w:shd w:val="clear" w:color="DDEBF7" w:fill="DDEBF7"/>
            <w:noWrap/>
            <w:vAlign w:val="bottom"/>
            <w:hideMark/>
          </w:tcPr>
          <w:p w14:paraId="718D7675" w14:textId="77777777" w:rsidR="00773F49" w:rsidRPr="006C5247" w:rsidRDefault="00442C1B" w:rsidP="00A27EF6">
            <w:pPr>
              <w:spacing w:after="0"/>
              <w:jc w:val="right"/>
              <w:rPr>
                <w:rFonts w:ascii="Calibri" w:hAnsi="Calibri" w:cs="Calibri"/>
                <w:b/>
                <w:bCs/>
                <w:noProof/>
                <w:color w:val="000000"/>
                <w:szCs w:val="22"/>
              </w:rPr>
            </w:pPr>
            <w:r w:rsidRPr="00261B88">
              <w:rPr>
                <w:rFonts w:ascii="Calibri" w:hAnsi="Calibri"/>
                <w:b/>
                <w:noProof/>
                <w:color w:val="000000"/>
              </w:rPr>
              <w:t>548</w:t>
            </w:r>
          </w:p>
        </w:tc>
        <w:tc>
          <w:tcPr>
            <w:tcW w:w="1154" w:type="dxa"/>
            <w:tcBorders>
              <w:top w:val="single" w:sz="4" w:space="0" w:color="9BC2E6"/>
              <w:left w:val="nil"/>
              <w:bottom w:val="single" w:sz="4" w:space="0" w:color="9BC2E6"/>
            </w:tcBorders>
            <w:shd w:val="clear" w:color="DDEBF7" w:fill="DDEBF7"/>
            <w:noWrap/>
            <w:vAlign w:val="bottom"/>
          </w:tcPr>
          <w:p w14:paraId="5B065206" w14:textId="77777777" w:rsidR="00773F49" w:rsidRPr="006C5247" w:rsidRDefault="00442C1B" w:rsidP="00A27EF6">
            <w:pPr>
              <w:spacing w:after="0"/>
              <w:jc w:val="right"/>
              <w:rPr>
                <w:rFonts w:ascii="Calibri" w:hAnsi="Calibri" w:cs="Calibri"/>
                <w:b/>
                <w:bCs/>
                <w:noProof/>
                <w:color w:val="000000"/>
                <w:szCs w:val="22"/>
              </w:rPr>
            </w:pPr>
            <w:r w:rsidRPr="00261B88">
              <w:rPr>
                <w:rFonts w:ascii="Calibri" w:hAnsi="Calibri"/>
                <w:b/>
                <w:noProof/>
                <w:color w:val="000000"/>
              </w:rPr>
              <w:t>1 662,9</w:t>
            </w:r>
          </w:p>
        </w:tc>
        <w:tc>
          <w:tcPr>
            <w:tcW w:w="1114" w:type="dxa"/>
            <w:tcBorders>
              <w:top w:val="single" w:sz="4" w:space="0" w:color="9BC2E6"/>
              <w:left w:val="nil"/>
              <w:bottom w:val="single" w:sz="4" w:space="0" w:color="9BC2E6"/>
              <w:right w:val="nil"/>
            </w:tcBorders>
            <w:shd w:val="clear" w:color="DDEBF7" w:fill="DDEBF7"/>
            <w:noWrap/>
            <w:vAlign w:val="bottom"/>
          </w:tcPr>
          <w:p w14:paraId="1C85A332" w14:textId="5FC5A53E" w:rsidR="00773F49" w:rsidRPr="006C5247" w:rsidRDefault="00442C1B">
            <w:pPr>
              <w:spacing w:after="0"/>
              <w:jc w:val="right"/>
              <w:rPr>
                <w:rFonts w:ascii="Calibri" w:hAnsi="Calibri" w:cs="Calibri"/>
                <w:b/>
                <w:bCs/>
                <w:noProof/>
                <w:color w:val="000000"/>
                <w:szCs w:val="22"/>
              </w:rPr>
            </w:pPr>
            <w:r w:rsidRPr="00261B88">
              <w:rPr>
                <w:rFonts w:ascii="Calibri" w:hAnsi="Calibri"/>
                <w:b/>
                <w:noProof/>
                <w:color w:val="000000"/>
              </w:rPr>
              <w:t>6 682</w:t>
            </w:r>
          </w:p>
        </w:tc>
        <w:tc>
          <w:tcPr>
            <w:tcW w:w="1169" w:type="dxa"/>
            <w:tcBorders>
              <w:top w:val="single" w:sz="4" w:space="0" w:color="9BC2E6"/>
              <w:left w:val="nil"/>
              <w:bottom w:val="single" w:sz="4" w:space="0" w:color="9BC2E6"/>
              <w:right w:val="single" w:sz="4" w:space="0" w:color="9BC2E6"/>
            </w:tcBorders>
            <w:shd w:val="clear" w:color="DDEBF7" w:fill="DDEBF7"/>
            <w:noWrap/>
            <w:vAlign w:val="bottom"/>
          </w:tcPr>
          <w:p w14:paraId="4DD28809" w14:textId="73F8FCE5" w:rsidR="00773F49" w:rsidRPr="006C5247" w:rsidRDefault="00442C1B">
            <w:pPr>
              <w:spacing w:after="0"/>
              <w:jc w:val="right"/>
              <w:rPr>
                <w:rFonts w:ascii="Calibri" w:hAnsi="Calibri" w:cs="Calibri"/>
                <w:b/>
                <w:bCs/>
                <w:noProof/>
                <w:color w:val="000000"/>
                <w:szCs w:val="22"/>
              </w:rPr>
            </w:pPr>
            <w:r w:rsidRPr="00261B88">
              <w:rPr>
                <w:rFonts w:ascii="Calibri" w:hAnsi="Calibri"/>
                <w:b/>
                <w:noProof/>
                <w:color w:val="000000"/>
              </w:rPr>
              <w:t>1 061,3</w:t>
            </w:r>
          </w:p>
        </w:tc>
        <w:tc>
          <w:tcPr>
            <w:tcW w:w="957" w:type="dxa"/>
            <w:tcBorders>
              <w:top w:val="single" w:sz="4" w:space="0" w:color="9BC2E6"/>
              <w:left w:val="single" w:sz="4" w:space="0" w:color="9BC2E6"/>
              <w:bottom w:val="single" w:sz="4" w:space="0" w:color="9BC2E6"/>
              <w:right w:val="single" w:sz="4" w:space="0" w:color="9BC2E6"/>
            </w:tcBorders>
            <w:shd w:val="clear" w:color="DDEBF7" w:fill="DDEBF7"/>
            <w:noWrap/>
            <w:vAlign w:val="bottom"/>
          </w:tcPr>
          <w:p w14:paraId="20B99711" w14:textId="77777777" w:rsidR="00773F49" w:rsidRPr="006C5247" w:rsidRDefault="00442C1B" w:rsidP="00A27EF6">
            <w:pPr>
              <w:spacing w:after="0"/>
              <w:jc w:val="right"/>
              <w:rPr>
                <w:rFonts w:ascii="Calibri" w:hAnsi="Calibri" w:cs="Calibri"/>
                <w:b/>
                <w:bCs/>
                <w:noProof/>
                <w:color w:val="000000"/>
                <w:szCs w:val="22"/>
              </w:rPr>
            </w:pPr>
            <w:r w:rsidRPr="00261B88">
              <w:rPr>
                <w:rFonts w:ascii="Calibri" w:hAnsi="Calibri"/>
                <w:b/>
                <w:noProof/>
                <w:color w:val="000000"/>
              </w:rPr>
              <w:t>1,0 %</w:t>
            </w:r>
          </w:p>
        </w:tc>
        <w:tc>
          <w:tcPr>
            <w:tcW w:w="992" w:type="dxa"/>
            <w:tcBorders>
              <w:top w:val="single" w:sz="4" w:space="0" w:color="9BC2E6"/>
              <w:left w:val="single" w:sz="4" w:space="0" w:color="9BC2E6"/>
              <w:bottom w:val="single" w:sz="4" w:space="0" w:color="9BC2E6"/>
              <w:right w:val="single" w:sz="4" w:space="0" w:color="9BC2E6"/>
            </w:tcBorders>
            <w:shd w:val="clear" w:color="DDEBF7" w:fill="DDEBF7"/>
            <w:noWrap/>
            <w:vAlign w:val="bottom"/>
          </w:tcPr>
          <w:p w14:paraId="0AE519D5" w14:textId="77777777" w:rsidR="00773F49" w:rsidRPr="00261B88" w:rsidRDefault="00442C1B" w:rsidP="00A27EF6">
            <w:pPr>
              <w:spacing w:after="0"/>
              <w:jc w:val="right"/>
              <w:rPr>
                <w:rFonts w:ascii="Calibri" w:hAnsi="Calibri" w:cs="Calibri"/>
                <w:b/>
                <w:bCs/>
                <w:noProof/>
                <w:color w:val="000000"/>
                <w:szCs w:val="22"/>
              </w:rPr>
            </w:pPr>
            <w:r w:rsidRPr="00261B88">
              <w:rPr>
                <w:rFonts w:ascii="Calibri" w:hAnsi="Calibri"/>
                <w:b/>
                <w:noProof/>
                <w:color w:val="000000"/>
              </w:rPr>
              <w:t>0,63 %</w:t>
            </w:r>
          </w:p>
        </w:tc>
      </w:tr>
    </w:tbl>
    <w:p w14:paraId="70F63832" w14:textId="77777777" w:rsidR="00FB5CF5" w:rsidRPr="00261B88" w:rsidRDefault="00D10B75" w:rsidP="00CD7B44">
      <w:pPr>
        <w:pStyle w:val="Heading3"/>
        <w:rPr>
          <w:noProof/>
        </w:rPr>
      </w:pPr>
      <w:bookmarkStart w:id="81" w:name="_Toc116029546"/>
      <w:r w:rsidRPr="00261B88">
        <w:rPr>
          <w:noProof/>
        </w:rPr>
        <w:t>Gestiunea partajată</w:t>
      </w:r>
      <w:bookmarkEnd w:id="81"/>
    </w:p>
    <w:p w14:paraId="30D6C6A2" w14:textId="0923E80A" w:rsidR="00D10B75" w:rsidRPr="00D11191" w:rsidRDefault="00490854" w:rsidP="00D10B75">
      <w:pPr>
        <w:rPr>
          <w:noProof/>
          <w:szCs w:val="22"/>
        </w:rPr>
      </w:pPr>
      <w:r w:rsidRPr="00261B88">
        <w:rPr>
          <w:b/>
          <w:noProof/>
          <w:lang w:val="en-GB"/>
        </w:rPr>
        <mc:AlternateContent>
          <mc:Choice Requires="wpg">
            <w:drawing>
              <wp:anchor distT="45720" distB="45720" distL="182880" distR="182880" simplePos="0" relativeHeight="251653120" behindDoc="0" locked="0" layoutInCell="1" allowOverlap="0" wp14:anchorId="75AFE460" wp14:editId="4C403C15">
                <wp:simplePos x="0" y="0"/>
                <wp:positionH relativeFrom="margin">
                  <wp:posOffset>74930</wp:posOffset>
                </wp:positionH>
                <wp:positionV relativeFrom="paragraph">
                  <wp:posOffset>119380</wp:posOffset>
                </wp:positionV>
                <wp:extent cx="3200400" cy="2057400"/>
                <wp:effectExtent l="0" t="0" r="19050" b="19050"/>
                <wp:wrapSquare wrapText="bothSides"/>
                <wp:docPr id="9" name="Group 9"/>
                <wp:cNvGraphicFramePr/>
                <a:graphic xmlns:a="http://schemas.openxmlformats.org/drawingml/2006/main">
                  <a:graphicData uri="http://schemas.microsoft.com/office/word/2010/wordprocessingGroup">
                    <wpg:wgp>
                      <wpg:cNvGrpSpPr/>
                      <wpg:grpSpPr>
                        <a:xfrm>
                          <a:off x="0" y="0"/>
                          <a:ext cx="3200400" cy="2057400"/>
                          <a:chOff x="0" y="0"/>
                          <a:chExt cx="3567448" cy="996886"/>
                        </a:xfrm>
                      </wpg:grpSpPr>
                      <wps:wsp>
                        <wps:cNvPr id="11" name="Rectangle 9"/>
                        <wps:cNvSpPr/>
                        <wps:spPr>
                          <a:xfrm>
                            <a:off x="0" y="0"/>
                            <a:ext cx="3567448" cy="261529"/>
                          </a:xfrm>
                          <a:prstGeom prst="rect">
                            <a:avLst/>
                          </a:prstGeom>
                          <a:solidFill>
                            <a:schemeClr val="accent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B4D978" w14:textId="77777777" w:rsidR="00261B88" w:rsidRPr="0065052A" w:rsidRDefault="00261B88" w:rsidP="00F01009">
                              <w:pPr>
                                <w:jc w:val="center"/>
                                <w:rPr>
                                  <w:rFonts w:eastAsiaTheme="majorEastAsia"/>
                                  <w:b/>
                                  <w:color w:val="FFFFFF" w:themeColor="background1"/>
                                  <w:sz w:val="20"/>
                                </w:rPr>
                              </w:pPr>
                              <w:r w:rsidRPr="0065052A">
                                <w:rPr>
                                  <w:b/>
                                  <w:color w:val="FFFFFF" w:themeColor="background1"/>
                                  <w:sz w:val="20"/>
                                </w:rPr>
                                <w:t>Agricultură: datele privind variația din 2021 comparativ cu media pe cinci ani pentru perioada 2017-2021</w:t>
                              </w:r>
                            </w:p>
                          </w:txbxContent>
                        </wps:txbx>
                        <wps:bodyPr rot="0" spcFirstLastPara="0" vertOverflow="overflow" horzOverflow="overflow" vert="horz" wrap="square" numCol="1" spcCol="0" rtlCol="0" fromWordArt="0" anchor="ctr" anchorCtr="0" forceAA="0" compatLnSpc="1">
                          <a:prstTxWarp prst="textNoShape">
                            <a:avLst/>
                          </a:prstTxWarp>
                        </wps:bodyPr>
                      </wps:wsp>
                      <wps:wsp>
                        <wps:cNvPr id="12" name="Text Box 11"/>
                        <wps:cNvSpPr txBox="1"/>
                        <wps:spPr>
                          <a:xfrm>
                            <a:off x="0" y="261529"/>
                            <a:ext cx="3567448" cy="735357"/>
                          </a:xfrm>
                          <a:prstGeom prst="rect">
                            <a:avLst/>
                          </a:prstGeom>
                          <a:noFill/>
                          <a:ln w="6350">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14:paraId="7C337537" w14:textId="77777777" w:rsidR="00261B88" w:rsidRPr="002F6819" w:rsidRDefault="00261B88" w:rsidP="00F01009">
                              <w:pPr>
                                <w:spacing w:after="0"/>
                                <w:rPr>
                                  <w:color w:val="000000" w:themeColor="text1"/>
                                  <w:sz w:val="20"/>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44546A" w:themeColor="text2"/>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w:t>
                              </w:r>
                              <w: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numărul de nereguli de natură frauduloasă și nefrauduloasă</w:t>
                              </w:r>
                            </w:p>
                            <w:p w14:paraId="5D24CC5E" w14:textId="77777777" w:rsidR="00261B88" w:rsidRPr="00E723FD" w:rsidRDefault="00261B88" w:rsidP="00F01009">
                              <w:pPr>
                                <w:spacing w:after="0"/>
                                <w:jc w:val="left"/>
                                <w:rPr>
                                  <w:color w:val="000000" w:themeColor="text1"/>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44546A" w:themeColor="text2"/>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- 28 % </w:t>
                              </w:r>
                              <w: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sumele financiare legate de neregulile de natură frauduloasă</w:t>
                              </w:r>
                            </w:p>
                            <w:p w14:paraId="67C1290F" w14:textId="77777777" w:rsidR="00261B88" w:rsidRPr="00E723FD" w:rsidRDefault="00261B88" w:rsidP="00F01009">
                              <w:pPr>
                                <w:spacing w:after="0"/>
                                <w:rPr>
                                  <w:color w:val="000000" w:themeColor="text1"/>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44546A" w:themeColor="text2"/>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+ 18 % </w:t>
                              </w:r>
                              <w: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sumele financiare legate de nereguli de natură nefrauduloasă</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75AFE460" id="Group 9" o:spid="_x0000_s1029" style="position:absolute;left:0;text-align:left;margin-left:5.9pt;margin-top:9.4pt;width:252pt;height:162pt;z-index:251653120;mso-wrap-distance-left:14.4pt;mso-wrap-distance-top:3.6pt;mso-wrap-distance-right:14.4pt;mso-wrap-distance-bottom:3.6pt;mso-position-horizontal-relative:margin;mso-width-relative:margin;mso-height-relative:margin" coordsize="35674,9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" o:allowoverlap="f">
                <v:rect id="Rectangle 9" o:spid="_x0000_s1030" style="position:absolute;width:35674;height:2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" fillcolor="#5b9bd5 [3204]" strokecolor="#44546a [3215]" strokeweight="1pt">
                  <v:textbox>
                    <w:txbxContent>
                      <w:p w14:paraId="2AB4D978" w14:textId="77777777" w:rsidR="00261B88" w:rsidRPr="0065052A" w:rsidRDefault="00261B88" w:rsidP="00F01009">
                        <w:pPr>
                          <w:jc w:val="center"/>
                          <w:rPr>
                            <w:rFonts w:eastAsiaTheme="majorEastAsia"/>
                            <w:b/>
                            <w:color w:val="FFFFFF" w:themeColor="background1"/>
                            <w:sz w:val="20"/>
                          </w:rPr>
                        </w:pPr>
                        <w:r w:rsidRPr="0065052A">
                          <w:rPr>
                            <w:b/>
                            <w:color w:val="FFFFFF" w:themeColor="background1"/>
                            <w:sz w:val="20"/>
                          </w:rPr>
                          <w:t>Agricultură: datele privind variația din 2021 comparativ cu media pe cinci ani pentru perioada 2017-2021</w:t>
                        </w:r>
                      </w:p>
                    </w:txbxContent>
                  </v:textbox>
                </v:rect>
                <v:shape id="Text Box 11" o:spid="_x0000_s1031" type="#_x0000_t202" style="position:absolute;top:2615;width:35674;height:7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" filled="f" strokecolor="#44546a [3215]" strokeweight=".5pt">
                  <v:textbox inset=",7.2pt,,0">
                    <w:txbxContent>
                      <w:p w14:paraId="7C337537" w14:textId="77777777" w:rsidR="00261B88" w:rsidRPr="002F6819" w:rsidRDefault="00261B88" w:rsidP="00F01009">
                        <w:pPr>
                          <w:spacing w:after="0"/>
                          <w:rPr>
                            <w:color w:val="000000" w:themeColor="text1"/>
                            <w:sz w:val="20"/>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44546A" w:themeColor="text2"/>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w:t>
                        </w:r>
                        <w: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numărul de nereguli de natură frauduloasă și nefrauduloasă</w:t>
                        </w:r>
                      </w:p>
                      <w:p w14:paraId="5D24CC5E" w14:textId="77777777" w:rsidR="00261B88" w:rsidRPr="00E723FD" w:rsidRDefault="00261B88" w:rsidP="00F01009">
                        <w:pPr>
                          <w:spacing w:after="0"/>
                          <w:jc w:val="left"/>
                          <w:rPr>
                            <w:color w:val="000000" w:themeColor="text1"/>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44546A" w:themeColor="text2"/>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- 28 % </w:t>
                        </w:r>
                        <w: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sumele financiare legate de neregulile de natură frauduloasă</w:t>
                        </w:r>
                      </w:p>
                      <w:p w14:paraId="67C1290F" w14:textId="77777777" w:rsidR="00261B88" w:rsidRPr="00E723FD" w:rsidRDefault="00261B88" w:rsidP="00F01009">
                        <w:pPr>
                          <w:spacing w:after="0"/>
                          <w:rPr>
                            <w:color w:val="000000" w:themeColor="text1"/>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44546A" w:themeColor="text2"/>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+ 18 % </w:t>
                        </w:r>
                        <w: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sumele financiare legate de nereguli de natură nefrauduloasă</w:t>
                        </w:r>
                      </w:p>
                    </w:txbxContent>
                  </v:textbox>
                </v:shape>
                <w10:wrap type="square" anchorx="margin"/>
              </v:group>
            </w:pict>
          </mc:Fallback>
        </mc:AlternateContent>
      </w:r>
      <w:r w:rsidRPr="00261B88">
        <w:rPr>
          <w:b/>
          <w:noProof/>
        </w:rPr>
        <w:t>Agricultură</w:t>
      </w:r>
      <w:r w:rsidRPr="00261B88">
        <w:rPr>
          <w:rStyle w:val="FootnoteReference"/>
          <w:b/>
          <w:noProof/>
        </w:rPr>
        <w:footnoteReference w:id="94"/>
      </w:r>
      <w:r w:rsidRPr="00261B88">
        <w:rPr>
          <w:b/>
          <w:noProof/>
        </w:rPr>
        <w:t> – </w:t>
      </w:r>
      <w:r>
        <w:rPr>
          <w:noProof/>
        </w:rPr>
        <w:t>Analiza perioadei de cinci ani (</w:t>
      </w:r>
      <w:r w:rsidRPr="00D17A39">
        <w:rPr>
          <w:noProof/>
        </w:rPr>
        <w:t>2017</w:t>
      </w:r>
      <w:r>
        <w:rPr>
          <w:noProof/>
        </w:rPr>
        <w:t>-</w:t>
      </w:r>
      <w:r w:rsidRPr="00D17A39">
        <w:rPr>
          <w:noProof/>
        </w:rPr>
        <w:t>2021</w:t>
      </w:r>
      <w:r>
        <w:rPr>
          <w:noProof/>
        </w:rPr>
        <w:t>) confirmă principalele modele evidențiate în rapoartele PIF anterioare</w:t>
      </w:r>
      <w:r>
        <w:rPr>
          <w:rStyle w:val="FootnoteReference"/>
          <w:noProof/>
        </w:rPr>
        <w:footnoteReference w:id="95"/>
      </w:r>
      <w:r>
        <w:rPr>
          <w:noProof/>
        </w:rPr>
        <w:t xml:space="preserve">. Chiar dacă se află în creștere progresivă, numărul neregulilor de natură frauduloasă în domeniul dezvoltării rurale legate de perioada de programare </w:t>
      </w:r>
      <w:r w:rsidRPr="00D17A39">
        <w:rPr>
          <w:noProof/>
        </w:rPr>
        <w:t>2014</w:t>
      </w:r>
      <w:r>
        <w:rPr>
          <w:noProof/>
        </w:rPr>
        <w:t>-</w:t>
      </w:r>
      <w:r w:rsidRPr="00D17A39">
        <w:rPr>
          <w:noProof/>
        </w:rPr>
        <w:t>2020</w:t>
      </w:r>
      <w:r>
        <w:rPr>
          <w:noProof/>
        </w:rPr>
        <w:t xml:space="preserve"> este în continuare mai mic decât numărul celor raportate pentru perioada </w:t>
      </w:r>
      <w:r w:rsidRPr="00D17A39">
        <w:rPr>
          <w:noProof/>
        </w:rPr>
        <w:t>2007</w:t>
      </w:r>
      <w:r>
        <w:rPr>
          <w:noProof/>
        </w:rPr>
        <w:t>-</w:t>
      </w:r>
      <w:r w:rsidRPr="00D17A39">
        <w:rPr>
          <w:noProof/>
        </w:rPr>
        <w:t>2013</w:t>
      </w:r>
      <w:r>
        <w:rPr>
          <w:noProof/>
        </w:rPr>
        <w:t xml:space="preserve"> după o perioadă comparabilă de execuție. Raportarea fraudelor în legătură cu sprijinul acordat pentru agricultură (inclusiv în legătură cu ajutoarele directe și măsurile de piață) rămâne destul de stabilă în timp, chiar dacă indică o scădere de </w:t>
      </w:r>
      <w:r w:rsidRPr="00D17A39">
        <w:rPr>
          <w:noProof/>
        </w:rPr>
        <w:t>17</w:t>
      </w:r>
      <w:r>
        <w:rPr>
          <w:noProof/>
        </w:rPr>
        <w:t xml:space="preserve"> % în </w:t>
      </w:r>
      <w:r w:rsidRPr="00D17A39">
        <w:rPr>
          <w:noProof/>
        </w:rPr>
        <w:t>2021</w:t>
      </w:r>
      <w:r>
        <w:rPr>
          <w:noProof/>
        </w:rPr>
        <w:t xml:space="preserve"> față de anul precedent. Incidența fraudelor raportate în raport cu plățile rămâne foarte scăzută în cazul plăților directe. Aceasta este cea mai ridicată pentru măsurile de piață, în special în </w:t>
      </w:r>
      <w:r w:rsidRPr="00261B88">
        <w:rPr>
          <w:b/>
          <w:noProof/>
        </w:rPr>
        <w:t>sectorul fructelor și legumelor</w:t>
      </w:r>
      <w:r>
        <w:rPr>
          <w:noProof/>
        </w:rPr>
        <w:t xml:space="preserve"> și în legătură cu </w:t>
      </w:r>
      <w:r w:rsidRPr="00261B88">
        <w:rPr>
          <w:b/>
          <w:noProof/>
        </w:rPr>
        <w:t>programele naționale de sprijinire a sectorului vitivinicol</w:t>
      </w:r>
      <w:r>
        <w:rPr>
          <w:noProof/>
        </w:rPr>
        <w:t xml:space="preserve">. Sumele financiare implicate au fost, de asemenea, relativ ridicate pentru măsura de piață legată în mod specific de </w:t>
      </w:r>
      <w:r w:rsidRPr="00261B88">
        <w:rPr>
          <w:b/>
          <w:noProof/>
        </w:rPr>
        <w:t>promovarea produselor agricole</w:t>
      </w:r>
      <w:r>
        <w:rPr>
          <w:noProof/>
        </w:rPr>
        <w:t>.</w:t>
      </w:r>
    </w:p>
    <w:p w14:paraId="3A8F010E" w14:textId="404744B7" w:rsidR="00D11191" w:rsidRDefault="00D11191" w:rsidP="00D11191">
      <w:pPr>
        <w:rPr>
          <w:noProof/>
        </w:rPr>
      </w:pPr>
      <w:r>
        <w:rPr>
          <w:noProof/>
        </w:rPr>
        <w:t xml:space="preserve">În ceea ce privește dezvoltarea rurală și plățile directe către fermieri, </w:t>
      </w:r>
      <w:r w:rsidRPr="00261B88">
        <w:rPr>
          <w:b/>
          <w:noProof/>
        </w:rPr>
        <w:t>analiza riscurilor și informațiile spontane din partea societății civile</w:t>
      </w:r>
      <w:r>
        <w:rPr>
          <w:noProof/>
        </w:rPr>
        <w:t xml:space="preserve">, inclusiv din partea mass-mediei, au o </w:t>
      </w:r>
      <w:r w:rsidRPr="00261B88">
        <w:rPr>
          <w:b/>
          <w:noProof/>
        </w:rPr>
        <w:t>contribuție marginală</w:t>
      </w:r>
      <w:r>
        <w:rPr>
          <w:noProof/>
        </w:rPr>
        <w:t xml:space="preserve"> la detectarea neregulilor de natură frauduloasă și nefrauduloasă. În ceea ce privește măsurile de piață, analiza riscurilor are un rol mai important în ceea ce privește detectarea, datorită</w:t>
      </w:r>
      <w:r w:rsidRPr="00261B88">
        <w:rPr>
          <w:b/>
          <w:noProof/>
        </w:rPr>
        <w:t xml:space="preserve"> </w:t>
      </w:r>
      <w:r>
        <w:rPr>
          <w:noProof/>
        </w:rPr>
        <w:t xml:space="preserve">controlului bazat pe riscuri al documentelor comerciale ale entităților care primesc plăți. </w:t>
      </w:r>
    </w:p>
    <w:p w14:paraId="1B284583" w14:textId="7A98F0A0" w:rsidR="00D11191" w:rsidRPr="00261B88" w:rsidRDefault="00D11191" w:rsidP="008D0328">
      <w:pPr>
        <w:pStyle w:val="Caption"/>
        <w:keepNext/>
        <w:pBdr>
          <w:top w:val="single" w:sz="4" w:space="1" w:color="auto"/>
          <w:left w:val="single" w:sz="4" w:space="4" w:color="auto"/>
          <w:bottom w:val="single" w:sz="4" w:space="1" w:color="auto"/>
          <w:right w:val="single" w:sz="4" w:space="4" w:color="auto"/>
        </w:pBdr>
        <w:shd w:val="clear" w:color="auto" w:fill="D9E2F3" w:themeFill="accent5" w:themeFillTint="33"/>
        <w:rPr>
          <w:noProof/>
        </w:rPr>
      </w:pPr>
      <w:bookmarkStart w:id="82" w:name="_Toc105777778"/>
      <w:bookmarkStart w:id="83" w:name="_Toc110444022"/>
      <w:r w:rsidRPr="00261B88">
        <w:rPr>
          <w:noProof/>
        </w:rPr>
        <w:t>Instantaneul </w:t>
      </w:r>
      <w:r w:rsidR="00FD11F8">
        <w:rPr>
          <w:noProof/>
        </w:rPr>
        <w:fldChar w:fldCharType="begin"/>
      </w:r>
      <w:r w:rsidR="00FD11F8">
        <w:rPr>
          <w:noProof/>
        </w:rPr>
        <w:instrText xml:space="preserve"> SEQ Snapshot \* ARABIC </w:instrText>
      </w:r>
      <w:r w:rsidR="00FD11F8">
        <w:rPr>
          <w:noProof/>
        </w:rPr>
        <w:fldChar w:fldCharType="separate"/>
      </w:r>
      <w:r w:rsidRPr="00261B88">
        <w:rPr>
          <w:noProof/>
        </w:rPr>
        <w:t>14</w:t>
      </w:r>
      <w:r w:rsidR="00FD11F8">
        <w:rPr>
          <w:noProof/>
        </w:rPr>
        <w:fldChar w:fldCharType="end"/>
      </w:r>
      <w:r w:rsidRPr="00261B88">
        <w:rPr>
          <w:noProof/>
        </w:rPr>
        <w:t> – Lupta împotriva fraudei în domeniul producției ecologice</w:t>
      </w:r>
      <w:bookmarkEnd w:id="82"/>
      <w:bookmarkEnd w:id="83"/>
    </w:p>
    <w:p w14:paraId="72FF7ABE" w14:textId="7692ABFD" w:rsidR="00D11191" w:rsidRDefault="00D11191" w:rsidP="00D11191">
      <w:pPr>
        <w:pBdr>
          <w:top w:val="single" w:sz="4" w:space="1" w:color="auto"/>
          <w:left w:val="single" w:sz="4" w:space="4" w:color="auto"/>
          <w:bottom w:val="single" w:sz="4" w:space="1" w:color="auto"/>
          <w:right w:val="single" w:sz="4" w:space="4" w:color="auto"/>
        </w:pBdr>
        <w:shd w:val="clear" w:color="auto" w:fill="D9E2F3" w:themeFill="accent5" w:themeFillTint="33"/>
        <w:rPr>
          <w:noProof/>
        </w:rPr>
      </w:pPr>
      <w:r>
        <w:rPr>
          <w:noProof/>
        </w:rPr>
        <w:t>Pe baza Planului de acțiune pentru dezvoltarea producției ecologice</w:t>
      </w:r>
      <w:r>
        <w:rPr>
          <w:rStyle w:val="FootnoteReference"/>
          <w:noProof/>
        </w:rPr>
        <w:footnoteReference w:id="96"/>
      </w:r>
      <w:r>
        <w:rPr>
          <w:noProof/>
        </w:rPr>
        <w:t>, Comisia a consolidat și mai mult lupta împotriva fraudei în domeniul producției ecologice. În ceea ce privește protejarea intereselor financiare ale UE, aceasta a sistematizat verificarea încrucișată a informațiilor din Sistemul de informații privind agricultura ecologică (OFIS) în legătură cu posibile neconformități în domeniul producției ecologice cu informațiile pe care le deține cu privire la furnizarea de sprijin financiar din partea UE pentru producția ecologică. În acest context, OLAF a primit acces direct la datele din OFIS.</w:t>
      </w:r>
    </w:p>
    <w:p w14:paraId="4E14C827" w14:textId="6BC6D449" w:rsidR="00D11191" w:rsidRDefault="00D11191" w:rsidP="00D11191">
      <w:pPr>
        <w:pBdr>
          <w:top w:val="single" w:sz="4" w:space="1" w:color="auto"/>
          <w:left w:val="single" w:sz="4" w:space="4" w:color="auto"/>
          <w:bottom w:val="single" w:sz="4" w:space="1" w:color="auto"/>
          <w:right w:val="single" w:sz="4" w:space="4" w:color="auto"/>
        </w:pBdr>
        <w:shd w:val="clear" w:color="auto" w:fill="D9E2F3" w:themeFill="accent5" w:themeFillTint="33"/>
        <w:rPr>
          <w:noProof/>
        </w:rPr>
      </w:pPr>
      <w:r>
        <w:rPr>
          <w:noProof/>
        </w:rPr>
        <w:t>Au avut loc discuții exploratorii cu EPPO cu privire la acordarea accesului la datele din OFIS, accesul pentru sistemul TRACES</w:t>
      </w:r>
      <w:r>
        <w:rPr>
          <w:rStyle w:val="FootnoteReference"/>
          <w:noProof/>
        </w:rPr>
        <w:footnoteReference w:id="97"/>
      </w:r>
      <w:r>
        <w:rPr>
          <w:noProof/>
        </w:rPr>
        <w:t xml:space="preserve"> fiindu-i deja acordat.</w:t>
      </w:r>
    </w:p>
    <w:p w14:paraId="0E4F6733" w14:textId="522E1073" w:rsidR="00D11191" w:rsidRPr="00261B88" w:rsidRDefault="00221EE2" w:rsidP="00D11191">
      <w:pPr>
        <w:rPr>
          <w:b/>
          <w:i/>
          <w:noProof/>
          <w:szCs w:val="24"/>
        </w:rPr>
      </w:pPr>
      <w:r>
        <w:rPr>
          <w:noProof/>
        </w:rPr>
        <w:t xml:space="preserve">La aproximativ zece ani de la raportarea inițială, </w:t>
      </w:r>
      <w:r w:rsidRPr="00261B88">
        <w:rPr>
          <w:b/>
          <w:noProof/>
        </w:rPr>
        <w:t>proporția cazurilor de suspiciune de fraudă care nu au condus la condamnări rămâne foarte ridicată</w:t>
      </w:r>
      <w:r>
        <w:rPr>
          <w:noProof/>
        </w:rPr>
        <w:t>, în timp ce ponderea cazurilor în care se constată fraude este scăzută. Acest lucru ar putea indica necesitatea de a investi mai mult în investigarea și urmărirea penală a acestora.</w:t>
      </w:r>
      <w:r w:rsidRPr="00261B88">
        <w:rPr>
          <w:b/>
          <w:i/>
          <w:noProof/>
        </w:rPr>
        <w:t xml:space="preserve"> </w:t>
      </w:r>
    </w:p>
    <w:p w14:paraId="1736B9A4" w14:textId="4648B959" w:rsidR="00D11191" w:rsidRPr="00261B88" w:rsidRDefault="00D11191" w:rsidP="00D11191">
      <w:pPr>
        <w:pStyle w:val="Caption"/>
        <w:pBdr>
          <w:top w:val="single" w:sz="4" w:space="1" w:color="auto"/>
          <w:left w:val="single" w:sz="4" w:space="4" w:color="auto"/>
          <w:bottom w:val="single" w:sz="4" w:space="1" w:color="auto"/>
          <w:right w:val="single" w:sz="4" w:space="4" w:color="auto"/>
        </w:pBdr>
        <w:shd w:val="clear" w:color="auto" w:fill="D9E2F3" w:themeFill="accent5" w:themeFillTint="33"/>
        <w:rPr>
          <w:noProof/>
        </w:rPr>
      </w:pPr>
      <w:bookmarkStart w:id="84" w:name="_Toc105777779"/>
      <w:bookmarkStart w:id="85" w:name="_Toc110444023"/>
      <w:r w:rsidRPr="00261B88">
        <w:rPr>
          <w:noProof/>
        </w:rPr>
        <w:t>Instantaneul </w:t>
      </w:r>
      <w:r w:rsidR="00FD11F8">
        <w:rPr>
          <w:noProof/>
        </w:rPr>
        <w:fldChar w:fldCharType="begin"/>
      </w:r>
      <w:r w:rsidR="00FD11F8">
        <w:rPr>
          <w:noProof/>
        </w:rPr>
        <w:instrText xml:space="preserve"> SEQ Snapshot \* ARABIC </w:instrText>
      </w:r>
      <w:r w:rsidR="00FD11F8">
        <w:rPr>
          <w:noProof/>
        </w:rPr>
        <w:fldChar w:fldCharType="separate"/>
      </w:r>
      <w:r w:rsidRPr="00261B88">
        <w:rPr>
          <w:noProof/>
        </w:rPr>
        <w:t>15</w:t>
      </w:r>
      <w:r w:rsidR="00FD11F8">
        <w:rPr>
          <w:noProof/>
        </w:rPr>
        <w:fldChar w:fldCharType="end"/>
      </w:r>
      <w:r w:rsidRPr="00261B88">
        <w:rPr>
          <w:noProof/>
        </w:rPr>
        <w:t> – Agricultură: nereguli detectate cel mai frecvent</w:t>
      </w:r>
      <w:bookmarkEnd w:id="84"/>
      <w:bookmarkEnd w:id="85"/>
    </w:p>
    <w:p w14:paraId="297C7F34" w14:textId="2DDA4619" w:rsidR="00D11191" w:rsidRDefault="00D11191" w:rsidP="00D11191">
      <w:pPr>
        <w:pBdr>
          <w:top w:val="single" w:sz="4" w:space="1" w:color="auto"/>
          <w:left w:val="single" w:sz="4" w:space="4" w:color="auto"/>
          <w:bottom w:val="single" w:sz="4" w:space="1" w:color="auto"/>
          <w:right w:val="single" w:sz="4" w:space="4" w:color="auto"/>
        </w:pBdr>
        <w:shd w:val="clear" w:color="auto" w:fill="D9E2F3" w:themeFill="accent5" w:themeFillTint="33"/>
        <w:rPr>
          <w:noProof/>
        </w:rPr>
      </w:pPr>
      <w:r>
        <w:rPr>
          <w:noProof/>
        </w:rPr>
        <w:t xml:space="preserve">În perioada </w:t>
      </w:r>
      <w:r w:rsidRPr="00D17A39">
        <w:rPr>
          <w:noProof/>
        </w:rPr>
        <w:t>2017</w:t>
      </w:r>
      <w:r>
        <w:rPr>
          <w:noProof/>
        </w:rPr>
        <w:t>-</w:t>
      </w:r>
      <w:r w:rsidRPr="00D17A39">
        <w:rPr>
          <w:noProof/>
        </w:rPr>
        <w:t>2021</w:t>
      </w:r>
      <w:r>
        <w:rPr>
          <w:noProof/>
        </w:rPr>
        <w:t xml:space="preserve">, în ceea ce privește </w:t>
      </w:r>
      <w:r w:rsidRPr="00261B88">
        <w:rPr>
          <w:b/>
          <w:noProof/>
        </w:rPr>
        <w:t>plățile directe către fermieri, falsificarea documentelor justificative sau a cererii de ajutor</w:t>
      </w:r>
      <w:r>
        <w:rPr>
          <w:noProof/>
        </w:rPr>
        <w:t xml:space="preserve"> a reprezentat cea mai frecventă neregulă de natură frauduloasă detectată. Pot fi falsificate o gamă largă de documente și informații, cum ar fi contractele de închiriere sau documentele de proprietate, precum și documentele legate de respectarea cerințelor de ecocondiționalitate.</w:t>
      </w:r>
    </w:p>
    <w:p w14:paraId="2828B154" w14:textId="4A5D1DB9" w:rsidR="00D11191" w:rsidRDefault="00D11191" w:rsidP="00D11191">
      <w:pPr>
        <w:pBdr>
          <w:top w:val="single" w:sz="4" w:space="1" w:color="auto"/>
          <w:left w:val="single" w:sz="4" w:space="4" w:color="auto"/>
          <w:bottom w:val="single" w:sz="4" w:space="1" w:color="auto"/>
          <w:right w:val="single" w:sz="4" w:space="4" w:color="auto"/>
        </w:pBdr>
        <w:shd w:val="clear" w:color="auto" w:fill="D9E2F3" w:themeFill="accent5" w:themeFillTint="33"/>
        <w:rPr>
          <w:noProof/>
        </w:rPr>
      </w:pPr>
      <w:r>
        <w:rPr>
          <w:noProof/>
        </w:rPr>
        <w:t xml:space="preserve">În ceea ce privește </w:t>
      </w:r>
      <w:r w:rsidRPr="00261B88">
        <w:rPr>
          <w:b/>
          <w:noProof/>
        </w:rPr>
        <w:t>măsurile de piață</w:t>
      </w:r>
      <w:r>
        <w:rPr>
          <w:noProof/>
        </w:rPr>
        <w:t xml:space="preserve">, frauda a vizat în principal </w:t>
      </w:r>
      <w:r w:rsidRPr="00261B88">
        <w:rPr>
          <w:b/>
          <w:noProof/>
        </w:rPr>
        <w:t>punerea în aplicare a acțiunii</w:t>
      </w:r>
      <w:r>
        <w:rPr>
          <w:noProof/>
        </w:rPr>
        <w:t xml:space="preserve">, adesea în combinație cu alte încălcări. S-au înregistrat sume financiare semnificative în mai multe cazuri investigate de OLAF, în care au existat </w:t>
      </w:r>
      <w:r w:rsidRPr="00261B88">
        <w:rPr>
          <w:b/>
          <w:noProof/>
        </w:rPr>
        <w:t>conflicte de interese</w:t>
      </w:r>
      <w:r>
        <w:rPr>
          <w:noProof/>
        </w:rPr>
        <w:t xml:space="preserve"> alături de alte nereguli, în legătură cu </w:t>
      </w:r>
      <w:r w:rsidRPr="00261B88">
        <w:rPr>
          <w:b/>
          <w:noProof/>
        </w:rPr>
        <w:t>măsura de piață „Promovare”</w:t>
      </w:r>
      <w:r>
        <w:rPr>
          <w:noProof/>
        </w:rPr>
        <w:t xml:space="preserve">. </w:t>
      </w:r>
      <w:r w:rsidRPr="00261B88">
        <w:rPr>
          <w:b/>
          <w:noProof/>
        </w:rPr>
        <w:t>Crearea unor condiții artificiale</w:t>
      </w:r>
      <w:r>
        <w:rPr>
          <w:noProof/>
        </w:rPr>
        <w:t xml:space="preserve"> în scopul primirii de sprijin financiar reprezintă un risc potențial. </w:t>
      </w:r>
    </w:p>
    <w:p w14:paraId="3C27A946" w14:textId="3BAEE812" w:rsidR="00D11191" w:rsidRPr="00D11191" w:rsidRDefault="00D11191" w:rsidP="00D11191">
      <w:pPr>
        <w:pBdr>
          <w:top w:val="single" w:sz="4" w:space="1" w:color="auto"/>
          <w:left w:val="single" w:sz="4" w:space="4" w:color="auto"/>
          <w:bottom w:val="single" w:sz="4" w:space="1" w:color="auto"/>
          <w:right w:val="single" w:sz="4" w:space="4" w:color="auto"/>
        </w:pBdr>
        <w:shd w:val="clear" w:color="auto" w:fill="D9E2F3" w:themeFill="accent5" w:themeFillTint="33"/>
        <w:rPr>
          <w:noProof/>
        </w:rPr>
      </w:pPr>
      <w:r>
        <w:rPr>
          <w:noProof/>
        </w:rPr>
        <w:t xml:space="preserve">În ceea ce privește </w:t>
      </w:r>
      <w:r w:rsidRPr="00261B88">
        <w:rPr>
          <w:b/>
          <w:noProof/>
        </w:rPr>
        <w:t>dezvoltarea rurală</w:t>
      </w:r>
      <w:r>
        <w:rPr>
          <w:noProof/>
        </w:rPr>
        <w:t xml:space="preserve">, autorii fraudelor au utilizat în principal practica </w:t>
      </w:r>
      <w:r w:rsidRPr="00261B88">
        <w:rPr>
          <w:b/>
          <w:noProof/>
        </w:rPr>
        <w:t>falsificării documentelor</w:t>
      </w:r>
      <w:r>
        <w:rPr>
          <w:noProof/>
        </w:rPr>
        <w:t xml:space="preserve">. Acest lucru poate implica falsificarea facturilor, declararea echipamentelor de ocazie ca fiind noi, manipularea ofertelor în cadrul procedurilor de achiziții publice sau furnizarea de informații false cu privire la respectarea condițiilor pentru primirea ajutorului. Un număr semnificativ de nereguli de natură frauduloasă se referă la </w:t>
      </w:r>
      <w:r w:rsidRPr="00261B88">
        <w:rPr>
          <w:b/>
          <w:noProof/>
        </w:rPr>
        <w:t>nepunerea în aplicare integrală a acțiunii</w:t>
      </w:r>
      <w:r>
        <w:rPr>
          <w:noProof/>
        </w:rPr>
        <w:t xml:space="preserve">. </w:t>
      </w:r>
      <w:r w:rsidRPr="00261B88">
        <w:rPr>
          <w:b/>
          <w:noProof/>
        </w:rPr>
        <w:t>Crearea unor condiții artificiale</w:t>
      </w:r>
      <w:r>
        <w:rPr>
          <w:noProof/>
        </w:rPr>
        <w:t xml:space="preserve"> reprezintă, de asemenea, un risc potențial pentru finanțarea dezvoltării rurale. De exemplu, beneficiarii pot diviza în mod artificial exploatațiile agricole și pot solicita ajutor prin intermediul mai multor societăți afiliate pentru a evita plafoanele pentru sprijin.</w:t>
      </w:r>
    </w:p>
    <w:p w14:paraId="5895C063" w14:textId="17C8C1E5" w:rsidR="00D10B75" w:rsidRDefault="006F14E7" w:rsidP="00D10B75">
      <w:pPr>
        <w:rPr>
          <w:noProof/>
        </w:rPr>
      </w:pPr>
      <w:r>
        <w:rPr>
          <w:noProof/>
          <w:lang w:val="en-GB"/>
        </w:rPr>
        <mc:AlternateContent>
          <mc:Choice Requires="wpg">
            <w:drawing>
              <wp:anchor distT="45720" distB="45720" distL="182880" distR="182880" simplePos="0" relativeHeight="251659264" behindDoc="0" locked="0" layoutInCell="1" allowOverlap="0" wp14:anchorId="627653C5" wp14:editId="760A47A7">
                <wp:simplePos x="0" y="0"/>
                <wp:positionH relativeFrom="margin">
                  <wp:posOffset>1905</wp:posOffset>
                </wp:positionH>
                <wp:positionV relativeFrom="paragraph">
                  <wp:posOffset>96520</wp:posOffset>
                </wp:positionV>
                <wp:extent cx="3009900" cy="2194560"/>
                <wp:effectExtent l="0" t="0" r="19050" b="15240"/>
                <wp:wrapSquare wrapText="bothSides"/>
                <wp:docPr id="13" name="Group 13"/>
                <wp:cNvGraphicFramePr/>
                <a:graphic xmlns:a="http://schemas.openxmlformats.org/drawingml/2006/main">
                  <a:graphicData uri="http://schemas.microsoft.com/office/word/2010/wordprocessingGroup">
                    <wpg:wgp>
                      <wpg:cNvGrpSpPr/>
                      <wpg:grpSpPr>
                        <a:xfrm>
                          <a:off x="0" y="0"/>
                          <a:ext cx="3009900" cy="2194560"/>
                          <a:chOff x="0" y="0"/>
                          <a:chExt cx="3567448" cy="1296632"/>
                        </a:xfrm>
                      </wpg:grpSpPr>
                      <wps:wsp>
                        <wps:cNvPr id="14" name="Rectangle 13"/>
                        <wps:cNvSpPr/>
                        <wps:spPr>
                          <a:xfrm>
                            <a:off x="0" y="0"/>
                            <a:ext cx="3567448" cy="337665"/>
                          </a:xfrm>
                          <a:prstGeom prst="rect">
                            <a:avLst/>
                          </a:prstGeom>
                          <a:solidFill>
                            <a:schemeClr val="accent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BC3D18" w14:textId="77777777" w:rsidR="00261B88" w:rsidRPr="0065052A" w:rsidRDefault="00261B88" w:rsidP="002369AB">
                              <w:pPr>
                                <w:jc w:val="center"/>
                                <w:rPr>
                                  <w:rFonts w:eastAsiaTheme="majorEastAsia"/>
                                  <w:b/>
                                  <w:color w:val="FFFFFF" w:themeColor="background1"/>
                                  <w:sz w:val="20"/>
                                </w:rPr>
                              </w:pPr>
                              <w:r w:rsidRPr="0065052A">
                                <w:rPr>
                                  <w:b/>
                                  <w:color w:val="FFFFFF" w:themeColor="background1"/>
                                  <w:sz w:val="20"/>
                                </w:rPr>
                                <w:t>Politica de coeziune: datele privind variația din 2021 comparativ cu media pe cinci ani pentru perioada 2017-2021</w:t>
                              </w:r>
                            </w:p>
                          </w:txbxContent>
                        </wps:txbx>
                        <wps:bodyPr rot="0" spcFirstLastPara="0" vertOverflow="overflow" horzOverflow="overflow" vert="horz" wrap="square" numCol="1" spcCol="0" rtlCol="0" fromWordArt="0" anchor="ctr" anchorCtr="0" forceAA="0" compatLnSpc="1">
                          <a:prstTxWarp prst="textNoShape">
                            <a:avLst/>
                          </a:prstTxWarp>
                        </wps:bodyPr>
                      </wps:wsp>
                      <wps:wsp>
                        <wps:cNvPr id="16" name="Text Box 14"/>
                        <wps:cNvSpPr txBox="1"/>
                        <wps:spPr>
                          <a:xfrm>
                            <a:off x="0" y="326409"/>
                            <a:ext cx="3567448" cy="970223"/>
                          </a:xfrm>
                          <a:prstGeom prst="rect">
                            <a:avLst/>
                          </a:prstGeom>
                          <a:noFill/>
                          <a:ln w="6350">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14:paraId="42AB2E4A" w14:textId="77777777" w:rsidR="00261B88" w:rsidRPr="002F6819" w:rsidRDefault="00261B88" w:rsidP="002369AB">
                              <w:pPr>
                                <w:spacing w:after="0"/>
                                <w:rPr>
                                  <w:color w:val="000000" w:themeColor="text1"/>
                                  <w:sz w:val="20"/>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44546A" w:themeColor="text2"/>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- 11 %</w:t>
                              </w:r>
                              <w: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numărul de nereguli de natură frauduloasă și nefrauduloasă</w:t>
                              </w:r>
                            </w:p>
                            <w:p w14:paraId="3C1BABD1" w14:textId="77777777" w:rsidR="00261B88" w:rsidRPr="00E723FD" w:rsidRDefault="00261B88" w:rsidP="002369AB">
                              <w:pPr>
                                <w:spacing w:after="0"/>
                                <w:jc w:val="left"/>
                                <w:rPr>
                                  <w:color w:val="000000" w:themeColor="text1"/>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44546A" w:themeColor="text2"/>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+ 186 % </w:t>
                              </w:r>
                              <w: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sumele financiare legate de nereguli de natură frauduloasă</w:t>
                              </w:r>
                            </w:p>
                            <w:p w14:paraId="0C9B5017" w14:textId="77777777" w:rsidR="00261B88" w:rsidRPr="00E723FD" w:rsidRDefault="00261B88" w:rsidP="002369AB">
                              <w:pPr>
                                <w:spacing w:after="0"/>
                                <w:rPr>
                                  <w:color w:val="000000" w:themeColor="text1"/>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44546A" w:themeColor="text2"/>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+ 14 % </w:t>
                              </w:r>
                              <w: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sumele financiare legate de nereguli de natură nefrauduloasă</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627653C5" id="Group 13" o:spid="_x0000_s1032" style="position:absolute;left:0;text-align:left;margin-left:.15pt;margin-top:7.6pt;width:237pt;height:172.8pt;z-index:251659264;mso-wrap-distance-left:14.4pt;mso-wrap-distance-top:3.6pt;mso-wrap-distance-right:14.4pt;mso-wrap-distance-bottom:3.6pt;mso-position-horizontal-relative:margin;mso-width-relative:margin;mso-height-relative:margin" coordsize="35674,12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" o:allowoverlap="f">
                <v:rect id="Rectangle 13" o:spid="_x0000_s1033" style="position:absolute;width:35674;height:33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" fillcolor="#5b9bd5 [3204]" strokecolor="#44546a [3215]" strokeweight="1pt">
                  <v:textbox>
                    <w:txbxContent>
                      <w:p w14:paraId="57BC3D18" w14:textId="77777777" w:rsidR="00261B88" w:rsidRPr="0065052A" w:rsidRDefault="00261B88" w:rsidP="002369AB">
                        <w:pPr>
                          <w:jc w:val="center"/>
                          <w:rPr>
                            <w:rFonts w:eastAsiaTheme="majorEastAsia"/>
                            <w:b/>
                            <w:color w:val="FFFFFF" w:themeColor="background1"/>
                            <w:sz w:val="20"/>
                          </w:rPr>
                        </w:pPr>
                        <w:r w:rsidRPr="0065052A">
                          <w:rPr>
                            <w:b/>
                            <w:color w:val="FFFFFF" w:themeColor="background1"/>
                            <w:sz w:val="20"/>
                          </w:rPr>
                          <w:t>Politica de coeziune: datele privind variația din 2021 comparativ cu media pe cinci ani pentru perioada 2017-2021</w:t>
                        </w:r>
                      </w:p>
                    </w:txbxContent>
                  </v:textbox>
                </v:rect>
                <v:shape id="Text Box 14" o:spid="_x0000_s1034" type="#_x0000_t202" style="position:absolute;top:3264;width:35674;height:9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" filled="f" strokecolor="#44546a [3215]" strokeweight=".5pt">
                  <v:textbox inset=",7.2pt,,0">
                    <w:txbxContent>
                      <w:p w14:paraId="42AB2E4A" w14:textId="77777777" w:rsidR="00261B88" w:rsidRPr="002F6819" w:rsidRDefault="00261B88" w:rsidP="002369AB">
                        <w:pPr>
                          <w:spacing w:after="0"/>
                          <w:rPr>
                            <w:color w:val="000000" w:themeColor="text1"/>
                            <w:sz w:val="20"/>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44546A" w:themeColor="text2"/>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- 11 %</w:t>
                        </w:r>
                        <w: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numărul de nereguli de natură frauduloasă și nefrauduloasă</w:t>
                        </w:r>
                      </w:p>
                      <w:p w14:paraId="3C1BABD1" w14:textId="77777777" w:rsidR="00261B88" w:rsidRPr="00E723FD" w:rsidRDefault="00261B88" w:rsidP="002369AB">
                        <w:pPr>
                          <w:spacing w:after="0"/>
                          <w:jc w:val="left"/>
                          <w:rPr>
                            <w:color w:val="000000" w:themeColor="text1"/>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44546A" w:themeColor="text2"/>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+ 186 % </w:t>
                        </w:r>
                        <w: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sumele financiare legate de nereguli de natură frauduloasă</w:t>
                        </w:r>
                      </w:p>
                      <w:p w14:paraId="0C9B5017" w14:textId="77777777" w:rsidR="00261B88" w:rsidRPr="00E723FD" w:rsidRDefault="00261B88" w:rsidP="002369AB">
                        <w:pPr>
                          <w:spacing w:after="0"/>
                          <w:rPr>
                            <w:color w:val="000000" w:themeColor="text1"/>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44546A" w:themeColor="text2"/>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+ 14 % </w:t>
                        </w:r>
                        <w: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sumele financiare legate de nereguli de natură nefrauduloasă</w:t>
                        </w:r>
                      </w:p>
                    </w:txbxContent>
                  </v:textbox>
                </v:shape>
                <w10:wrap type="square" anchorx="margin"/>
              </v:group>
            </w:pict>
          </mc:Fallback>
        </mc:AlternateContent>
      </w:r>
      <w:r w:rsidRPr="00261B88">
        <w:rPr>
          <w:b/>
          <w:noProof/>
        </w:rPr>
        <w:t>Fondurile structurale și de investiții europene (fondurile ESI)</w:t>
      </w:r>
      <w:r w:rsidRPr="00261B88">
        <w:rPr>
          <w:rStyle w:val="FootnoteReference"/>
          <w:b/>
          <w:noProof/>
        </w:rPr>
        <w:footnoteReference w:id="98"/>
      </w:r>
      <w:r w:rsidRPr="00261B88">
        <w:rPr>
          <w:b/>
          <w:noProof/>
        </w:rPr>
        <w:t> </w:t>
      </w:r>
      <w:r>
        <w:rPr>
          <w:noProof/>
        </w:rPr>
        <w:t xml:space="preserve">– Între </w:t>
      </w:r>
      <w:r w:rsidRPr="00D17A39">
        <w:rPr>
          <w:noProof/>
        </w:rPr>
        <w:t>2017</w:t>
      </w:r>
      <w:r>
        <w:rPr>
          <w:noProof/>
        </w:rPr>
        <w:t xml:space="preserve"> și </w:t>
      </w:r>
      <w:r w:rsidRPr="00D17A39">
        <w:rPr>
          <w:noProof/>
        </w:rPr>
        <w:t>2021</w:t>
      </w:r>
      <w:r>
        <w:rPr>
          <w:noProof/>
        </w:rPr>
        <w:t xml:space="preserve">, numărul neregulilor de natură frauduloasă și nefrauduloasă legate de </w:t>
      </w:r>
      <w:r w:rsidRPr="00261B88">
        <w:rPr>
          <w:b/>
          <w:noProof/>
        </w:rPr>
        <w:t>perioada de programare</w:t>
      </w:r>
      <w:r>
        <w:rPr>
          <w:noProof/>
        </w:rPr>
        <w:t xml:space="preserve"> </w:t>
      </w:r>
      <w:r w:rsidRPr="00261B88">
        <w:rPr>
          <w:b/>
          <w:noProof/>
        </w:rPr>
        <w:t>2007-2013</w:t>
      </w:r>
      <w:r>
        <w:rPr>
          <w:noProof/>
        </w:rPr>
        <w:t xml:space="preserve"> a scăzut pentru fondurile ESI. Numărul neregulilor raportate pentru </w:t>
      </w:r>
      <w:r w:rsidRPr="00261B88">
        <w:rPr>
          <w:b/>
          <w:noProof/>
        </w:rPr>
        <w:t>perioada de programare</w:t>
      </w:r>
      <w:r>
        <w:rPr>
          <w:noProof/>
        </w:rPr>
        <w:t xml:space="preserve"> </w:t>
      </w:r>
      <w:r w:rsidRPr="00261B88">
        <w:rPr>
          <w:b/>
          <w:noProof/>
        </w:rPr>
        <w:t>2014</w:t>
      </w:r>
      <w:r w:rsidR="00D17A39" w:rsidRPr="00261B88">
        <w:rPr>
          <w:rFonts w:ascii="Arial" w:hAnsi="Arial" w:cs="Arial"/>
          <w:b/>
          <w:noProof/>
        </w:rPr>
        <w:t>˗</w:t>
      </w:r>
      <w:r w:rsidRPr="00261B88">
        <w:rPr>
          <w:b/>
          <w:noProof/>
        </w:rPr>
        <w:t xml:space="preserve">2020 </w:t>
      </w:r>
      <w:r>
        <w:rPr>
          <w:noProof/>
        </w:rPr>
        <w:t>a crescut. Această dinamică este în concordanță cu tendințele și modelele cunoscute în ceea ce privește detectarea și raportarea neregulilor și are legătură cu ciclul de punere în aplicare a programelor multianuale.</w:t>
      </w:r>
    </w:p>
    <w:p w14:paraId="04028DA1" w14:textId="4191C3FB" w:rsidR="00282D64" w:rsidRPr="00D11191" w:rsidRDefault="00282D64" w:rsidP="00D10B75">
      <w:pPr>
        <w:rPr>
          <w:noProof/>
        </w:rPr>
      </w:pPr>
      <w:r>
        <w:rPr>
          <w:noProof/>
        </w:rPr>
        <w:t xml:space="preserve">Numărul neregulilor raportate ca fiind de natură frauduloasă pentru perioada de programare </w:t>
      </w:r>
      <w:r w:rsidRPr="00D17A39">
        <w:rPr>
          <w:noProof/>
        </w:rPr>
        <w:t>2014</w:t>
      </w:r>
      <w:r>
        <w:rPr>
          <w:noProof/>
        </w:rPr>
        <w:t>-</w:t>
      </w:r>
      <w:r w:rsidRPr="00D17A39">
        <w:rPr>
          <w:noProof/>
        </w:rPr>
        <w:t>2020</w:t>
      </w:r>
      <w:r>
        <w:rPr>
          <w:noProof/>
        </w:rPr>
        <w:t xml:space="preserve"> a fost în concordanță cu cel detectat pentru perioada de programare </w:t>
      </w:r>
      <w:r w:rsidRPr="00D17A39">
        <w:rPr>
          <w:noProof/>
        </w:rPr>
        <w:t>2007</w:t>
      </w:r>
      <w:r>
        <w:rPr>
          <w:noProof/>
        </w:rPr>
        <w:t>-</w:t>
      </w:r>
      <w:r w:rsidRPr="00D17A39">
        <w:rPr>
          <w:noProof/>
        </w:rPr>
        <w:t>2013</w:t>
      </w:r>
      <w:r>
        <w:rPr>
          <w:noProof/>
        </w:rPr>
        <w:t xml:space="preserve"> după același număr de ani de la începutul perioadei; la aproximativ </w:t>
      </w:r>
      <w:r w:rsidRPr="00D17A39">
        <w:rPr>
          <w:noProof/>
        </w:rPr>
        <w:t>1</w:t>
      </w:r>
      <w:r>
        <w:rPr>
          <w:noProof/>
        </w:rPr>
        <w:t xml:space="preserve"> %, RDF a fost mai mare decât pentru perioada </w:t>
      </w:r>
      <w:r w:rsidRPr="00D17A39">
        <w:rPr>
          <w:noProof/>
        </w:rPr>
        <w:t>2007</w:t>
      </w:r>
      <w:r>
        <w:rPr>
          <w:noProof/>
        </w:rPr>
        <w:t>-</w:t>
      </w:r>
      <w:r w:rsidRPr="00D17A39">
        <w:rPr>
          <w:noProof/>
        </w:rPr>
        <w:t>2013</w:t>
      </w:r>
      <w:r>
        <w:rPr>
          <w:rStyle w:val="FootnoteReference"/>
          <w:noProof/>
          <w:szCs w:val="24"/>
        </w:rPr>
        <w:footnoteReference w:id="99"/>
      </w:r>
      <w:r>
        <w:rPr>
          <w:noProof/>
        </w:rPr>
        <w:t xml:space="preserve">. Acest lucru nu este valabil în cazul neregulilor de natură nefrauduloasă. Pentru acestea, </w:t>
      </w:r>
      <w:r w:rsidRPr="00261B88">
        <w:rPr>
          <w:b/>
          <w:noProof/>
        </w:rPr>
        <w:t>scăderea numărului și a sumelor financiare raportate după opt ani</w:t>
      </w:r>
      <w:r>
        <w:rPr>
          <w:noProof/>
        </w:rPr>
        <w:t xml:space="preserve"> de la începutul perioadei de programare este frapantă (a se vedea </w:t>
      </w:r>
      <w:r w:rsidRPr="00261B88">
        <w:rPr>
          <w:b/>
          <w:noProof/>
        </w:rPr>
        <w:t>Instantaneul 17</w:t>
      </w:r>
      <w:r>
        <w:rPr>
          <w:noProof/>
        </w:rPr>
        <w:t xml:space="preserve"> pentru o analiză a motivelor care stau la baza scăderii).</w:t>
      </w:r>
    </w:p>
    <w:p w14:paraId="71001009" w14:textId="30107824" w:rsidR="002303B4" w:rsidRPr="00261B88" w:rsidRDefault="002303B4" w:rsidP="001E18A9">
      <w:pPr>
        <w:pStyle w:val="Caption"/>
        <w:pBdr>
          <w:top w:val="single" w:sz="4" w:space="1" w:color="auto"/>
          <w:left w:val="single" w:sz="4" w:space="4" w:color="auto"/>
          <w:bottom w:val="single" w:sz="4" w:space="1" w:color="auto"/>
          <w:right w:val="single" w:sz="4" w:space="4" w:color="auto"/>
        </w:pBdr>
        <w:shd w:val="clear" w:color="auto" w:fill="D9E2F3" w:themeFill="accent5" w:themeFillTint="33"/>
        <w:rPr>
          <w:noProof/>
        </w:rPr>
      </w:pPr>
      <w:bookmarkStart w:id="86" w:name="_Toc105777780"/>
      <w:bookmarkStart w:id="87" w:name="_Toc110444024"/>
      <w:r w:rsidRPr="00261B88">
        <w:rPr>
          <w:noProof/>
        </w:rPr>
        <w:t>Instantaneul </w:t>
      </w:r>
      <w:r w:rsidR="00FD11F8">
        <w:rPr>
          <w:noProof/>
        </w:rPr>
        <w:fldChar w:fldCharType="begin"/>
      </w:r>
      <w:r w:rsidR="00FD11F8">
        <w:rPr>
          <w:noProof/>
        </w:rPr>
        <w:instrText xml:space="preserve"> SEQ Snapshot \* ARABIC </w:instrText>
      </w:r>
      <w:r w:rsidR="00FD11F8">
        <w:rPr>
          <w:noProof/>
        </w:rPr>
        <w:fldChar w:fldCharType="separate"/>
      </w:r>
      <w:r w:rsidRPr="00261B88">
        <w:rPr>
          <w:noProof/>
        </w:rPr>
        <w:t>16</w:t>
      </w:r>
      <w:r w:rsidR="00FD11F8">
        <w:rPr>
          <w:noProof/>
        </w:rPr>
        <w:fldChar w:fldCharType="end"/>
      </w:r>
      <w:r w:rsidRPr="00261B88">
        <w:rPr>
          <w:noProof/>
        </w:rPr>
        <w:t> – Motivele scăderii numărului de nereguli de natură nefrauduloasă</w:t>
      </w:r>
      <w:bookmarkEnd w:id="86"/>
      <w:bookmarkEnd w:id="87"/>
      <w:r w:rsidRPr="00261B88">
        <w:rPr>
          <w:noProof/>
        </w:rPr>
        <w:t xml:space="preserve"> în domeniul coeziunii</w:t>
      </w:r>
    </w:p>
    <w:p w14:paraId="2A740C1A" w14:textId="1A0BE007" w:rsidR="002303B4" w:rsidRDefault="001E18A9" w:rsidP="001E18A9">
      <w:pPr>
        <w:pBdr>
          <w:top w:val="single" w:sz="4" w:space="1" w:color="auto"/>
          <w:left w:val="single" w:sz="4" w:space="4" w:color="auto"/>
          <w:bottom w:val="single" w:sz="4" w:space="1" w:color="auto"/>
          <w:right w:val="single" w:sz="4" w:space="4" w:color="auto"/>
        </w:pBdr>
        <w:shd w:val="clear" w:color="auto" w:fill="D9E2F3" w:themeFill="accent5" w:themeFillTint="33"/>
        <w:rPr>
          <w:noProof/>
        </w:rPr>
      </w:pPr>
      <w:r>
        <w:rPr>
          <w:noProof/>
        </w:rPr>
        <w:t xml:space="preserve">În ceea ce privește, în general, politica de coeziune și politica în domeniul pescuitului, </w:t>
      </w:r>
      <w:r w:rsidRPr="00261B88">
        <w:rPr>
          <w:b/>
          <w:noProof/>
        </w:rPr>
        <w:t>OLAF</w:t>
      </w:r>
      <w:r>
        <w:rPr>
          <w:noProof/>
        </w:rPr>
        <w:t xml:space="preserve"> a efectuat, până în </w:t>
      </w:r>
      <w:r w:rsidRPr="00D17A39">
        <w:rPr>
          <w:noProof/>
        </w:rPr>
        <w:t>2020</w:t>
      </w:r>
      <w:r>
        <w:rPr>
          <w:noProof/>
        </w:rPr>
        <w:t xml:space="preserve"> inclusiv, </w:t>
      </w:r>
      <w:r w:rsidRPr="00261B88">
        <w:rPr>
          <w:b/>
          <w:noProof/>
        </w:rPr>
        <w:t>o analiză specifică</w:t>
      </w:r>
      <w:r>
        <w:rPr>
          <w:noProof/>
        </w:rPr>
        <w:t>, bazată pe neregulile de natură nefrauduloasă raportate de statele membre.</w:t>
      </w:r>
      <w:r w:rsidRPr="00261B88">
        <w:rPr>
          <w:b/>
          <w:noProof/>
        </w:rPr>
        <w:t xml:space="preserve"> </w:t>
      </w:r>
      <w:r>
        <w:rPr>
          <w:noProof/>
        </w:rPr>
        <w:t>Această</w:t>
      </w:r>
      <w:r w:rsidRPr="00261B88">
        <w:rPr>
          <w:b/>
          <w:noProof/>
        </w:rPr>
        <w:t xml:space="preserve"> </w:t>
      </w:r>
      <w:r>
        <w:rPr>
          <w:noProof/>
        </w:rPr>
        <w:t>analiză identifică o serie de explicații potențiale care ar putea justifica în mare măsură această scădere importantă.</w:t>
      </w:r>
    </w:p>
    <w:p w14:paraId="41010B66" w14:textId="53E872D6" w:rsidR="001E18A9" w:rsidRDefault="001E18A9" w:rsidP="001E18A9">
      <w:pPr>
        <w:pBdr>
          <w:top w:val="single" w:sz="4" w:space="1" w:color="auto"/>
          <w:left w:val="single" w:sz="4" w:space="4" w:color="auto"/>
          <w:bottom w:val="single" w:sz="4" w:space="1" w:color="auto"/>
          <w:right w:val="single" w:sz="4" w:space="4" w:color="auto"/>
        </w:pBdr>
        <w:shd w:val="clear" w:color="auto" w:fill="D9E2F3" w:themeFill="accent5" w:themeFillTint="33"/>
        <w:rPr>
          <w:noProof/>
        </w:rPr>
      </w:pPr>
      <w:r w:rsidRPr="00261B88">
        <w:rPr>
          <w:b/>
          <w:noProof/>
        </w:rPr>
        <w:t>Întârzierile în punerea în aplicare</w:t>
      </w:r>
      <w:r>
        <w:rPr>
          <w:noProof/>
        </w:rPr>
        <w:t xml:space="preserve"> a programelor operaționale relevante pot explica o parte din diferența înregistrată în prezent. O altă parte a scăderii numărului de nereguli de natură nefrauduloasă poate fi explicată printr-o posibilă </w:t>
      </w:r>
      <w:r w:rsidRPr="00261B88">
        <w:rPr>
          <w:b/>
          <w:noProof/>
        </w:rPr>
        <w:t>modificare a practicilor de raportare</w:t>
      </w:r>
      <w:r>
        <w:rPr>
          <w:noProof/>
        </w:rPr>
        <w:t xml:space="preserve"> ale unor autorități în ceea ce privește neregulile care implică sume mai mici de </w:t>
      </w:r>
      <w:r w:rsidRPr="00D17A39">
        <w:rPr>
          <w:noProof/>
        </w:rPr>
        <w:t>10</w:t>
      </w:r>
      <w:r>
        <w:rPr>
          <w:noProof/>
        </w:rPr>
        <w:t> </w:t>
      </w:r>
      <w:r w:rsidRPr="00D17A39">
        <w:rPr>
          <w:noProof/>
        </w:rPr>
        <w:t>000</w:t>
      </w:r>
      <w:r>
        <w:rPr>
          <w:noProof/>
        </w:rPr>
        <w:t> EUR.</w:t>
      </w:r>
    </w:p>
    <w:p w14:paraId="601F2C9B" w14:textId="2EC67B82" w:rsidR="001E18A9" w:rsidRDefault="001E18A9" w:rsidP="001E18A9">
      <w:pPr>
        <w:pBdr>
          <w:top w:val="single" w:sz="4" w:space="1" w:color="auto"/>
          <w:left w:val="single" w:sz="4" w:space="4" w:color="auto"/>
          <w:bottom w:val="single" w:sz="4" w:space="1" w:color="auto"/>
          <w:right w:val="single" w:sz="4" w:space="4" w:color="auto"/>
        </w:pBdr>
        <w:shd w:val="clear" w:color="auto" w:fill="D9E2F3" w:themeFill="accent5" w:themeFillTint="33"/>
        <w:rPr>
          <w:noProof/>
        </w:rPr>
      </w:pPr>
      <w:r>
        <w:rPr>
          <w:noProof/>
        </w:rPr>
        <w:t xml:space="preserve">Pentru perioada de programare </w:t>
      </w:r>
      <w:r w:rsidRPr="00D17A39">
        <w:rPr>
          <w:noProof/>
        </w:rPr>
        <w:t>2014</w:t>
      </w:r>
      <w:r>
        <w:rPr>
          <w:noProof/>
        </w:rPr>
        <w:t>-</w:t>
      </w:r>
      <w:r w:rsidRPr="00D17A39">
        <w:rPr>
          <w:noProof/>
        </w:rPr>
        <w:t>2020</w:t>
      </w:r>
      <w:r>
        <w:rPr>
          <w:noProof/>
        </w:rPr>
        <w:t xml:space="preserve">, a fost extinsă </w:t>
      </w:r>
      <w:r w:rsidRPr="00261B88">
        <w:rPr>
          <w:b/>
          <w:noProof/>
        </w:rPr>
        <w:t>posibilitatea utilizării opțiunilor simplificate în materie de costuri (OSC)</w:t>
      </w:r>
      <w:r>
        <w:rPr>
          <w:noProof/>
        </w:rPr>
        <w:t xml:space="preserve">. Pentru Fondul social european, creșterea procentului cheltuielilor acoperite de OSC (de la </w:t>
      </w:r>
      <w:r w:rsidRPr="00D17A39">
        <w:rPr>
          <w:noProof/>
        </w:rPr>
        <w:t>7</w:t>
      </w:r>
      <w:r>
        <w:rPr>
          <w:noProof/>
        </w:rPr>
        <w:t xml:space="preserve"> % la </w:t>
      </w:r>
      <w:r w:rsidRPr="00D17A39">
        <w:rPr>
          <w:noProof/>
        </w:rPr>
        <w:t>33</w:t>
      </w:r>
      <w:r>
        <w:rPr>
          <w:noProof/>
        </w:rPr>
        <w:t> %) poate fi un factor semnificativ care contribuie la scăderea numărului de nereguli de natură nefrauduloasă.</w:t>
      </w:r>
    </w:p>
    <w:p w14:paraId="26FF2D5F" w14:textId="5BCA2604" w:rsidR="001E18A9" w:rsidRDefault="001E18A9" w:rsidP="001E18A9">
      <w:pPr>
        <w:pBdr>
          <w:top w:val="single" w:sz="4" w:space="1" w:color="auto"/>
          <w:left w:val="single" w:sz="4" w:space="4" w:color="auto"/>
          <w:bottom w:val="single" w:sz="4" w:space="1" w:color="auto"/>
          <w:right w:val="single" w:sz="4" w:space="4" w:color="auto"/>
        </w:pBdr>
        <w:shd w:val="clear" w:color="auto" w:fill="D9E2F3" w:themeFill="accent5" w:themeFillTint="33"/>
        <w:rPr>
          <w:noProof/>
        </w:rPr>
      </w:pPr>
      <w:r>
        <w:rPr>
          <w:noProof/>
        </w:rPr>
        <w:t xml:space="preserve">O altă parte a motivului ar putea fi o </w:t>
      </w:r>
      <w:r w:rsidRPr="00261B88">
        <w:rPr>
          <w:b/>
          <w:noProof/>
        </w:rPr>
        <w:t>adaptare întârziată la modificarea unei derogări</w:t>
      </w:r>
      <w:r>
        <w:rPr>
          <w:noProof/>
        </w:rPr>
        <w:t xml:space="preserve"> de la raportarea neregulilor de natură nefrauduloasă, care a avut loc în </w:t>
      </w:r>
      <w:r w:rsidRPr="00D17A39">
        <w:rPr>
          <w:noProof/>
        </w:rPr>
        <w:t>2009</w:t>
      </w:r>
      <w:r>
        <w:rPr>
          <w:noProof/>
        </w:rPr>
        <w:t xml:space="preserve"> și care a afectat raportarea în perioada </w:t>
      </w:r>
      <w:r w:rsidRPr="00D17A39">
        <w:rPr>
          <w:noProof/>
        </w:rPr>
        <w:t>2007</w:t>
      </w:r>
      <w:r>
        <w:rPr>
          <w:noProof/>
        </w:rPr>
        <w:t>-</w:t>
      </w:r>
      <w:r w:rsidRPr="00D17A39">
        <w:rPr>
          <w:noProof/>
        </w:rPr>
        <w:t>2013</w:t>
      </w:r>
      <w:r>
        <w:rPr>
          <w:noProof/>
        </w:rPr>
        <w:t>.</w:t>
      </w:r>
    </w:p>
    <w:p w14:paraId="267C610B" w14:textId="7AB53B9C" w:rsidR="001E18A9" w:rsidRDefault="001E18A9" w:rsidP="001E18A9">
      <w:pPr>
        <w:pBdr>
          <w:top w:val="single" w:sz="4" w:space="1" w:color="auto"/>
          <w:left w:val="single" w:sz="4" w:space="4" w:color="auto"/>
          <w:bottom w:val="single" w:sz="4" w:space="1" w:color="auto"/>
          <w:right w:val="single" w:sz="4" w:space="4" w:color="auto"/>
        </w:pBdr>
        <w:shd w:val="clear" w:color="auto" w:fill="D9E2F3" w:themeFill="accent5" w:themeFillTint="33"/>
        <w:rPr>
          <w:noProof/>
        </w:rPr>
      </w:pPr>
      <w:r>
        <w:rPr>
          <w:noProof/>
        </w:rPr>
        <w:t xml:space="preserve">Este posibil ca </w:t>
      </w:r>
      <w:r w:rsidRPr="00261B88">
        <w:rPr>
          <w:b/>
          <w:noProof/>
        </w:rPr>
        <w:t xml:space="preserve">introducerea conturilor anuale și excluderea evaluărilor în curs </w:t>
      </w:r>
      <w:r>
        <w:rPr>
          <w:noProof/>
        </w:rPr>
        <w:t xml:space="preserve">să fi contribuit, de asemenea, la o astfel de scădere. Începând cu perioada de programare </w:t>
      </w:r>
      <w:r w:rsidRPr="00D17A39">
        <w:rPr>
          <w:noProof/>
        </w:rPr>
        <w:t>2014</w:t>
      </w:r>
      <w:r>
        <w:rPr>
          <w:noProof/>
        </w:rPr>
        <w:t>-</w:t>
      </w:r>
      <w:r w:rsidRPr="00D17A39">
        <w:rPr>
          <w:noProof/>
        </w:rPr>
        <w:t>2020</w:t>
      </w:r>
      <w:r>
        <w:rPr>
          <w:noProof/>
        </w:rPr>
        <w:t>, statele membre pot exclude din conturile anuale cheltuielile pentru care există o evaluare în curs a legalității și regularității. Prin această excludere, statele membre evită o reducere a contribuției din partea unui anumit fond, chiar dacă există nereguli. Statele membre utilizează această posibilitate.</w:t>
      </w:r>
    </w:p>
    <w:p w14:paraId="0CA39A12" w14:textId="213F0611" w:rsidR="001E18A9" w:rsidRPr="00DB5336" w:rsidRDefault="001E18A9" w:rsidP="001E18A9">
      <w:pPr>
        <w:pBdr>
          <w:top w:val="single" w:sz="4" w:space="1" w:color="auto"/>
          <w:left w:val="single" w:sz="4" w:space="4" w:color="auto"/>
          <w:bottom w:val="single" w:sz="4" w:space="1" w:color="auto"/>
          <w:right w:val="single" w:sz="4" w:space="4" w:color="auto"/>
        </w:pBdr>
        <w:shd w:val="clear" w:color="auto" w:fill="D9E2F3" w:themeFill="accent5" w:themeFillTint="33"/>
        <w:rPr>
          <w:noProof/>
        </w:rPr>
      </w:pPr>
      <w:r>
        <w:rPr>
          <w:noProof/>
        </w:rPr>
        <w:t xml:space="preserve">În anumite condiții, după șapte ani de punere în aplicare (sfârșitul anului </w:t>
      </w:r>
      <w:r w:rsidRPr="00D17A39">
        <w:rPr>
          <w:noProof/>
        </w:rPr>
        <w:t>2020</w:t>
      </w:r>
      <w:r>
        <w:rPr>
          <w:noProof/>
        </w:rPr>
        <w:t xml:space="preserve">), efectul combinat al acestor motive ar reprezenta aproximativ două treimi din scăderea înregistrată la nivelul UE în ceea ce privește raportarea neregulilor de natură nefrauduloasă. </w:t>
      </w:r>
    </w:p>
    <w:p w14:paraId="7B5A6B6B" w14:textId="0AA782CD" w:rsidR="001E18A9" w:rsidRPr="00261B88" w:rsidRDefault="001E18A9" w:rsidP="001E18A9">
      <w:pPr>
        <w:pBdr>
          <w:top w:val="single" w:sz="4" w:space="1" w:color="auto"/>
          <w:left w:val="single" w:sz="4" w:space="4" w:color="auto"/>
          <w:bottom w:val="single" w:sz="4" w:space="1" w:color="auto"/>
          <w:right w:val="single" w:sz="4" w:space="4" w:color="auto"/>
        </w:pBdr>
        <w:shd w:val="clear" w:color="auto" w:fill="D9E2F3" w:themeFill="accent5" w:themeFillTint="33"/>
        <w:rPr>
          <w:b/>
          <w:noProof/>
        </w:rPr>
      </w:pPr>
      <w:r w:rsidRPr="00261B88">
        <w:rPr>
          <w:b/>
          <w:noProof/>
        </w:rPr>
        <w:t xml:space="preserve">Efectul creșterii capacității administrative este un alt aspect de care trebuie să se țină seama. </w:t>
      </w:r>
      <w:r>
        <w:rPr>
          <w:noProof/>
        </w:rPr>
        <w:t xml:space="preserve">Nu există indicatori care să măsoare creșterea capacității organismelor de punere în aplicare și a beneficiarilor sau impactul pe care aceasta l-ar fi putut avea în ceea ce privește scăderea neregulilor neintenționate. Cu toate acestea, unii factori determinanți ar sugera astfel de evoluții pozitive, cum ar fi: a) </w:t>
      </w:r>
      <w:r w:rsidRPr="00261B88">
        <w:rPr>
          <w:b/>
          <w:noProof/>
        </w:rPr>
        <w:t>măsurile antifraudă eficace și proporționale</w:t>
      </w:r>
      <w:r>
        <w:rPr>
          <w:noProof/>
        </w:rPr>
        <w:t xml:space="preserve"> adoptate la nivelul programelor operaționale, care este posibil să fi condus la detectarea și prevenirea mai timpurie a neregulilor (de natură frauduloasă și nefrauduloasă); b) </w:t>
      </w:r>
      <w:r w:rsidRPr="00261B88">
        <w:rPr>
          <w:b/>
          <w:noProof/>
        </w:rPr>
        <w:t xml:space="preserve">îmbunătățirea calității și a experienței autorităților relevante </w:t>
      </w:r>
      <w:r>
        <w:rPr>
          <w:noProof/>
        </w:rPr>
        <w:t xml:space="preserve">(în special în anumite state membre), </w:t>
      </w:r>
      <w:r w:rsidRPr="00261B88">
        <w:rPr>
          <w:b/>
          <w:noProof/>
        </w:rPr>
        <w:t>inclusiv a beneficiarilor</w:t>
      </w:r>
      <w:r>
        <w:rPr>
          <w:noProof/>
        </w:rPr>
        <w:t xml:space="preserve">; și c) </w:t>
      </w:r>
      <w:r w:rsidRPr="00261B88">
        <w:rPr>
          <w:b/>
          <w:noProof/>
        </w:rPr>
        <w:t xml:space="preserve">o mai mare implicare a societății civile prin intermediul pactelor de integritate </w:t>
      </w:r>
      <w:r>
        <w:rPr>
          <w:noProof/>
        </w:rPr>
        <w:t xml:space="preserve">(a se vedea </w:t>
      </w:r>
      <w:r w:rsidRPr="00261B88">
        <w:rPr>
          <w:b/>
          <w:noProof/>
        </w:rPr>
        <w:t>Instantaneul 18</w:t>
      </w:r>
      <w:r>
        <w:rPr>
          <w:noProof/>
        </w:rPr>
        <w:t>).</w:t>
      </w:r>
    </w:p>
    <w:p w14:paraId="56D7E1A1" w14:textId="6E71A265" w:rsidR="00E23197" w:rsidRPr="00E23197" w:rsidRDefault="00E23197" w:rsidP="001E18A9">
      <w:pPr>
        <w:pBdr>
          <w:top w:val="single" w:sz="4" w:space="1" w:color="auto"/>
          <w:left w:val="single" w:sz="4" w:space="4" w:color="auto"/>
          <w:bottom w:val="single" w:sz="4" w:space="1" w:color="auto"/>
          <w:right w:val="single" w:sz="4" w:space="4" w:color="auto"/>
        </w:pBdr>
        <w:shd w:val="clear" w:color="auto" w:fill="D9E2F3" w:themeFill="accent5" w:themeFillTint="33"/>
        <w:rPr>
          <w:noProof/>
        </w:rPr>
      </w:pPr>
      <w:r>
        <w:rPr>
          <w:noProof/>
        </w:rPr>
        <w:t xml:space="preserve">Pe de altă parte, este posibil ca </w:t>
      </w:r>
      <w:r w:rsidRPr="00261B88">
        <w:rPr>
          <w:b/>
          <w:noProof/>
        </w:rPr>
        <w:t>pandemia de COVID-19 să fi exercitat o presiune suplimentară asupra capacității administrative a celor implicați în sistemele de gestionare și control</w:t>
      </w:r>
      <w:r>
        <w:rPr>
          <w:noProof/>
        </w:rPr>
        <w:t>. Acest lucru ar putea contribui la detectarea mai multor nereguli în anii următori.</w:t>
      </w:r>
    </w:p>
    <w:p w14:paraId="32F7BDC6" w14:textId="4C6B1469" w:rsidR="00822DA8" w:rsidRPr="0065201D" w:rsidRDefault="00822DA8" w:rsidP="00822DA8">
      <w:pPr>
        <w:rPr>
          <w:noProof/>
        </w:rPr>
      </w:pPr>
      <w:r w:rsidRPr="00261B88">
        <w:rPr>
          <w:b/>
          <w:noProof/>
        </w:rPr>
        <w:t>Riscurile</w:t>
      </w:r>
      <w:r>
        <w:rPr>
          <w:noProof/>
        </w:rPr>
        <w:t xml:space="preserve"> de intervenire a neregulilor par să fie mai ridicate în domeniile politicii de coeziune </w:t>
      </w:r>
      <w:r w:rsidRPr="00FD11F8">
        <w:rPr>
          <w:noProof/>
          <w:spacing w:val="-4"/>
        </w:rPr>
        <w:t xml:space="preserve">legate de </w:t>
      </w:r>
      <w:r w:rsidRPr="00FD11F8">
        <w:rPr>
          <w:b/>
          <w:noProof/>
          <w:spacing w:val="-4"/>
        </w:rPr>
        <w:t>transporturi</w:t>
      </w:r>
      <w:r w:rsidRPr="00FD11F8">
        <w:rPr>
          <w:noProof/>
          <w:spacing w:val="-4"/>
        </w:rPr>
        <w:t xml:space="preserve">, </w:t>
      </w:r>
      <w:r w:rsidRPr="00FD11F8">
        <w:rPr>
          <w:b/>
          <w:noProof/>
          <w:spacing w:val="-4"/>
        </w:rPr>
        <w:t>protecția mediului</w:t>
      </w:r>
      <w:r w:rsidRPr="00FD11F8">
        <w:rPr>
          <w:noProof/>
          <w:spacing w:val="-4"/>
        </w:rPr>
        <w:t>, cercetare, dezvoltare tehnologică și inovare (</w:t>
      </w:r>
      <w:r w:rsidRPr="00FD11F8">
        <w:rPr>
          <w:b/>
          <w:noProof/>
          <w:spacing w:val="-4"/>
        </w:rPr>
        <w:t>CDT &amp; I</w:t>
      </w:r>
      <w:r w:rsidRPr="00FD11F8">
        <w:rPr>
          <w:noProof/>
          <w:spacing w:val="-4"/>
        </w:rPr>
        <w:t>),</w:t>
      </w:r>
      <w:r>
        <w:rPr>
          <w:noProof/>
        </w:rPr>
        <w:t xml:space="preserve"> </w:t>
      </w:r>
      <w:r w:rsidRPr="00261B88">
        <w:rPr>
          <w:b/>
          <w:noProof/>
        </w:rPr>
        <w:t>incluziunea socială</w:t>
      </w:r>
      <w:r>
        <w:rPr>
          <w:noProof/>
        </w:rPr>
        <w:t xml:space="preserve"> și promovarea </w:t>
      </w:r>
      <w:r w:rsidRPr="00261B88">
        <w:rPr>
          <w:b/>
          <w:noProof/>
        </w:rPr>
        <w:t>ocupării forței de muncă</w:t>
      </w:r>
      <w:r>
        <w:rPr>
          <w:noProof/>
        </w:rPr>
        <w:t xml:space="preserve"> și </w:t>
      </w:r>
      <w:r w:rsidRPr="00261B88">
        <w:rPr>
          <w:b/>
          <w:noProof/>
        </w:rPr>
        <w:t>a mobilității forței de muncă</w:t>
      </w:r>
      <w:r>
        <w:rPr>
          <w:noProof/>
        </w:rPr>
        <w:t>.</w:t>
      </w:r>
    </w:p>
    <w:p w14:paraId="65381810" w14:textId="1E36BB57" w:rsidR="00822DA8" w:rsidRPr="0065201D" w:rsidRDefault="00822DA8" w:rsidP="00671AE7">
      <w:pPr>
        <w:rPr>
          <w:noProof/>
          <w:szCs w:val="24"/>
        </w:rPr>
      </w:pPr>
      <w:r>
        <w:rPr>
          <w:noProof/>
        </w:rPr>
        <w:t xml:space="preserve">Analiza indică riscuri legate de </w:t>
      </w:r>
      <w:r w:rsidRPr="00261B88">
        <w:rPr>
          <w:b/>
          <w:noProof/>
        </w:rPr>
        <w:t>tranziția verde</w:t>
      </w:r>
      <w:r>
        <w:rPr>
          <w:noProof/>
        </w:rPr>
        <w:t xml:space="preserve">, inclusiv în ceea ce privește investițiile în eficiența energetică, furnizarea de apă potabilă, gestionarea deșeurilor, energia din surse regenerabile (solară) și prevenirea riscurilor. Riscurile legate de </w:t>
      </w:r>
      <w:r w:rsidRPr="00261B88">
        <w:rPr>
          <w:b/>
          <w:noProof/>
        </w:rPr>
        <w:t>tranziția digitală</w:t>
      </w:r>
      <w:r>
        <w:rPr>
          <w:noProof/>
        </w:rPr>
        <w:t xml:space="preserve"> par să fie mai importante în ceea ce privește serviciile și aplicațiile pentru întreprinderile mici și mijlocii (IMM-uri) din perspectiva numărului de nereguli, precum și în ceea ce privește serviciile și aplicațiile pentru e-guvernare din perspectiva sumelor implicate. Au fost raportate, de asemenea, nereguli în ceea ce privește investițiile în infrastructura pentru tranziția digitală.</w:t>
      </w:r>
    </w:p>
    <w:p w14:paraId="3400146D" w14:textId="61BAD8D7" w:rsidR="00822DA8" w:rsidRPr="0065201D" w:rsidRDefault="00E16B96" w:rsidP="00822DA8">
      <w:pPr>
        <w:pStyle w:val="Text1"/>
        <w:spacing w:after="120"/>
        <w:ind w:left="0"/>
        <w:rPr>
          <w:noProof/>
          <w:sz w:val="22"/>
          <w:szCs w:val="24"/>
        </w:rPr>
      </w:pPr>
      <w:r>
        <w:rPr>
          <w:noProof/>
          <w:sz w:val="22"/>
        </w:rPr>
        <w:t xml:space="preserve">În domeniul </w:t>
      </w:r>
      <w:r w:rsidRPr="00261B88">
        <w:rPr>
          <w:b/>
          <w:noProof/>
          <w:sz w:val="22"/>
        </w:rPr>
        <w:t>CDT &amp; I</w:t>
      </w:r>
      <w:r>
        <w:rPr>
          <w:noProof/>
          <w:sz w:val="22"/>
        </w:rPr>
        <w:t xml:space="preserve">, analiza sugerează riscuri mai ridicate pentru investiții în vederea furnizării de asistență pentru aceste activități în cadrul întreprinderilor. Măsurile de stimulare a cercetării, a inovării și a antreprenoriatului în IMM-uri au fost afectate în mod deosebit. </w:t>
      </w:r>
    </w:p>
    <w:p w14:paraId="021C61AF" w14:textId="7EA5CE3F" w:rsidR="00E23197" w:rsidRDefault="00822DA8" w:rsidP="00D10B75">
      <w:pPr>
        <w:rPr>
          <w:noProof/>
          <w:szCs w:val="24"/>
        </w:rPr>
      </w:pPr>
      <w:r>
        <w:rPr>
          <w:noProof/>
        </w:rPr>
        <w:t xml:space="preserve">Riscurile sunt ridicate în ceea ce privește investițiile în </w:t>
      </w:r>
      <w:r w:rsidRPr="00261B88">
        <w:rPr>
          <w:b/>
          <w:noProof/>
        </w:rPr>
        <w:t>infrastructura de transport</w:t>
      </w:r>
      <w:r>
        <w:rPr>
          <w:noProof/>
        </w:rPr>
        <w:t xml:space="preserve"> din cauza frecvenței neregulilor din cadrul proiectelor rutiere generice, care afectează nivelul regional și local, precum și din cauza sumelor financiare ridicate implicate în neregulile privind căile ferate și rețeaua transeuropeană (TEN). Investițiile în infrastructura multimodală TEN și în rețelele de energie electrică par, de asemenea, să fie riscante.</w:t>
      </w:r>
    </w:p>
    <w:p w14:paraId="15DC2003" w14:textId="61453C9B" w:rsidR="00822DA8" w:rsidRDefault="00822DA8" w:rsidP="00D10B75">
      <w:pPr>
        <w:rPr>
          <w:noProof/>
          <w:szCs w:val="24"/>
        </w:rPr>
      </w:pPr>
      <w:r>
        <w:rPr>
          <w:noProof/>
        </w:rPr>
        <w:t xml:space="preserve">Riscurile legate de </w:t>
      </w:r>
      <w:r w:rsidRPr="00261B88">
        <w:rPr>
          <w:b/>
          <w:noProof/>
        </w:rPr>
        <w:t>incluziunea socială</w:t>
      </w:r>
      <w:r>
        <w:rPr>
          <w:noProof/>
        </w:rPr>
        <w:t>, sărăcie și discriminare par să fie mai ridicate pentru investițiile în (i) incluziunea activă, (ii) infrastructura de sănătate, (iii) îmbunătățirea accesului la asistență medicală și la servicii sociale, (iv) infrastructura socială și regenerarea zonelor rurale și urbane, precum și pentru investițiile (v) în favoarea comunităților marginalizate și (vi) în infrastructura de îngrijire a copiilor.</w:t>
      </w:r>
    </w:p>
    <w:p w14:paraId="38C4D7BA" w14:textId="59716120" w:rsidR="00822DA8" w:rsidRDefault="00822DA8" w:rsidP="00D10B75">
      <w:pPr>
        <w:rPr>
          <w:noProof/>
        </w:rPr>
      </w:pPr>
      <w:r>
        <w:rPr>
          <w:noProof/>
        </w:rPr>
        <w:t xml:space="preserve">În ceea ce privește promovarea </w:t>
      </w:r>
      <w:r w:rsidRPr="00261B88">
        <w:rPr>
          <w:b/>
          <w:noProof/>
        </w:rPr>
        <w:t>ocupării forței de muncă</w:t>
      </w:r>
      <w:r>
        <w:rPr>
          <w:noProof/>
        </w:rPr>
        <w:t xml:space="preserve"> și a mobilității forței de muncă, riscurile par să fie mai ridicate pentru investițiile în (i) adaptarea la schimbarea lucrătorilor și a întreprinderilor, în special în ceea ce privește operațiunile de concepere și diseminare a unor modalități de lucru inovatoare și mai productive, (ii) accesul la locuri de muncă, în special în ceea ce privește operațiunile pentru persoanele aflate în căutarea unui loc de muncă și pentru persoanele inactive, inclusiv pentru șomerii pe termen lung și pentru persoanele îndepărtate de piața muncii și în (iii) susținerea activităților independente și a creării de întreprinderi.</w:t>
      </w:r>
    </w:p>
    <w:p w14:paraId="7294D3BB" w14:textId="49AB1D9F" w:rsidR="00C77AE2" w:rsidRPr="00261B88" w:rsidRDefault="00C77AE2" w:rsidP="00DC1244">
      <w:pPr>
        <w:pStyle w:val="Caption"/>
        <w:keepNext/>
        <w:pBdr>
          <w:top w:val="single" w:sz="4" w:space="1" w:color="auto"/>
          <w:left w:val="single" w:sz="4" w:space="4" w:color="auto"/>
          <w:bottom w:val="single" w:sz="4" w:space="1" w:color="auto"/>
          <w:right w:val="single" w:sz="4" w:space="4" w:color="auto"/>
        </w:pBdr>
        <w:shd w:val="clear" w:color="auto" w:fill="D9E2F3" w:themeFill="accent5" w:themeFillTint="33"/>
        <w:rPr>
          <w:noProof/>
        </w:rPr>
      </w:pPr>
      <w:bookmarkStart w:id="88" w:name="_Toc110444025"/>
      <w:bookmarkStart w:id="89" w:name="_Toc105777781"/>
      <w:r w:rsidRPr="00261B88">
        <w:rPr>
          <w:noProof/>
        </w:rPr>
        <w:t>Instantaneul </w:t>
      </w:r>
      <w:r w:rsidR="00FD11F8">
        <w:rPr>
          <w:noProof/>
        </w:rPr>
        <w:fldChar w:fldCharType="begin"/>
      </w:r>
      <w:r w:rsidR="00FD11F8">
        <w:rPr>
          <w:noProof/>
        </w:rPr>
        <w:instrText xml:space="preserve"> SEQ Snapshot \* ARABIC </w:instrText>
      </w:r>
      <w:r w:rsidR="00FD11F8">
        <w:rPr>
          <w:noProof/>
        </w:rPr>
        <w:fldChar w:fldCharType="separate"/>
      </w:r>
      <w:r w:rsidRPr="00261B88">
        <w:rPr>
          <w:noProof/>
        </w:rPr>
        <w:t>17</w:t>
      </w:r>
      <w:r w:rsidR="00FD11F8">
        <w:rPr>
          <w:noProof/>
        </w:rPr>
        <w:fldChar w:fldCharType="end"/>
      </w:r>
      <w:r w:rsidRPr="00261B88">
        <w:rPr>
          <w:noProof/>
        </w:rPr>
        <w:t> – Fondurile ESI: tipuri de nereguli detectate</w:t>
      </w:r>
      <w:bookmarkEnd w:id="88"/>
      <w:r w:rsidRPr="00261B88">
        <w:rPr>
          <w:noProof/>
        </w:rPr>
        <w:t xml:space="preserve"> </w:t>
      </w:r>
      <w:bookmarkEnd w:id="89"/>
    </w:p>
    <w:p w14:paraId="528BB2FB" w14:textId="5B6C5CA5" w:rsidR="00C77AE2" w:rsidRDefault="00C77AE2" w:rsidP="00C77AE2">
      <w:pPr>
        <w:pBdr>
          <w:top w:val="single" w:sz="4" w:space="1" w:color="auto"/>
          <w:left w:val="single" w:sz="4" w:space="4" w:color="auto"/>
          <w:bottom w:val="single" w:sz="4" w:space="1" w:color="auto"/>
          <w:right w:val="single" w:sz="4" w:space="4" w:color="auto"/>
        </w:pBdr>
        <w:shd w:val="clear" w:color="auto" w:fill="D9E2F3" w:themeFill="accent5" w:themeFillTint="33"/>
        <w:rPr>
          <w:noProof/>
        </w:rPr>
      </w:pPr>
      <w:r>
        <w:rPr>
          <w:noProof/>
        </w:rPr>
        <w:t xml:space="preserve">Cele mai frecvente nereguli de natură frauduloasă au fost </w:t>
      </w:r>
      <w:r w:rsidRPr="00261B88">
        <w:rPr>
          <w:b/>
          <w:noProof/>
        </w:rPr>
        <w:t>utilizarea de documente false sau falsificate</w:t>
      </w:r>
      <w:r>
        <w:rPr>
          <w:noProof/>
        </w:rPr>
        <w:t xml:space="preserve">. Cazurile de încălcări de natură frauduloasă ale dispozițiilor/normelor contractuale au implicat sume financiare ridicate. Acest tip de fraudă a constat adesea în </w:t>
      </w:r>
      <w:r w:rsidRPr="00261B88">
        <w:rPr>
          <w:b/>
          <w:noProof/>
        </w:rPr>
        <w:t>punerea în aplicare incompletă sau nepunerea în aplicare a acțiunii finanțate</w:t>
      </w:r>
      <w:r>
        <w:rPr>
          <w:noProof/>
        </w:rPr>
        <w:t xml:space="preserve">. Majoritatea neregulilor de natură frauduloasă privind etica și integritatea au vizat </w:t>
      </w:r>
      <w:r w:rsidRPr="00261B88">
        <w:rPr>
          <w:b/>
          <w:noProof/>
        </w:rPr>
        <w:t>conflictele de interese</w:t>
      </w:r>
      <w:r>
        <w:rPr>
          <w:noProof/>
        </w:rPr>
        <w:t xml:space="preserve">. Încălcările normelor privind </w:t>
      </w:r>
      <w:r w:rsidRPr="00261B88">
        <w:rPr>
          <w:b/>
          <w:noProof/>
        </w:rPr>
        <w:t>achizițiile publice</w:t>
      </w:r>
      <w:r>
        <w:rPr>
          <w:noProof/>
        </w:rPr>
        <w:t xml:space="preserve"> au fost cele mai raportate nereguli de natură nefrauduloasă, însă numai în </w:t>
      </w:r>
      <w:r w:rsidRPr="00D17A39">
        <w:rPr>
          <w:noProof/>
        </w:rPr>
        <w:t>4</w:t>
      </w:r>
      <w:r>
        <w:rPr>
          <w:noProof/>
        </w:rPr>
        <w:t> % din aceste cazuri au fost detectate fraude.</w:t>
      </w:r>
    </w:p>
    <w:p w14:paraId="545E1F60" w14:textId="77777777" w:rsidR="00C77AE2" w:rsidRDefault="00C77AE2" w:rsidP="00C77AE2">
      <w:pPr>
        <w:rPr>
          <w:noProof/>
          <w:szCs w:val="24"/>
        </w:rPr>
      </w:pPr>
      <w:r w:rsidRPr="00261B88">
        <w:rPr>
          <w:b/>
          <w:noProof/>
        </w:rPr>
        <w:t>Analiza riscurilor</w:t>
      </w:r>
      <w:r>
        <w:rPr>
          <w:noProof/>
        </w:rPr>
        <w:t xml:space="preserve"> are încă o contribuție marginală la detectarea fraudelor, în timp ce </w:t>
      </w:r>
      <w:r w:rsidRPr="00261B88">
        <w:rPr>
          <w:b/>
          <w:noProof/>
        </w:rPr>
        <w:t>informațiile provenite de la societatea civilă</w:t>
      </w:r>
      <w:r>
        <w:rPr>
          <w:noProof/>
        </w:rPr>
        <w:t xml:space="preserve"> (inclusiv informațiile publicate în mass-media) au un rol semnificativ și din ce în ce mai important. Acest lucru nu este valabil în cazul neregulilor de natură nefrauduloasă. Detectarea fraudelor și a neregulilor s-ar putea îmbunătăți prin proiecte de analiză tematică a riscurilor </w:t>
      </w:r>
      <w:r w:rsidRPr="00261B88">
        <w:rPr>
          <w:i/>
          <w:noProof/>
        </w:rPr>
        <w:t>ex post</w:t>
      </w:r>
      <w:r>
        <w:rPr>
          <w:noProof/>
        </w:rPr>
        <w:t xml:space="preserve"> axate pe grupuri de tranzacții anterioare.</w:t>
      </w:r>
    </w:p>
    <w:p w14:paraId="39E677B3" w14:textId="7ECA2560" w:rsidR="00C77AE2" w:rsidRPr="00261B88" w:rsidRDefault="00C77AE2" w:rsidP="001623A1">
      <w:pPr>
        <w:pStyle w:val="Caption"/>
        <w:keepNext/>
        <w:pBdr>
          <w:top w:val="single" w:sz="4" w:space="1" w:color="auto"/>
          <w:left w:val="single" w:sz="4" w:space="4" w:color="auto"/>
          <w:bottom w:val="single" w:sz="4" w:space="1" w:color="auto"/>
          <w:right w:val="single" w:sz="4" w:space="4" w:color="auto"/>
        </w:pBdr>
        <w:shd w:val="clear" w:color="auto" w:fill="D9E2F3" w:themeFill="accent5" w:themeFillTint="33"/>
        <w:rPr>
          <w:noProof/>
        </w:rPr>
      </w:pPr>
      <w:bookmarkStart w:id="90" w:name="_Toc105777782"/>
      <w:bookmarkStart w:id="91" w:name="_Toc110444026"/>
      <w:r w:rsidRPr="00261B88">
        <w:rPr>
          <w:noProof/>
        </w:rPr>
        <w:t>Instantaneul </w:t>
      </w:r>
      <w:r w:rsidR="00FD11F8">
        <w:rPr>
          <w:noProof/>
        </w:rPr>
        <w:fldChar w:fldCharType="begin"/>
      </w:r>
      <w:r w:rsidR="00FD11F8">
        <w:rPr>
          <w:noProof/>
        </w:rPr>
        <w:instrText xml:space="preserve"> SEQ Snapshot \* ARABIC </w:instrText>
      </w:r>
      <w:r w:rsidR="00FD11F8">
        <w:rPr>
          <w:noProof/>
        </w:rPr>
        <w:fldChar w:fldCharType="separate"/>
      </w:r>
      <w:r w:rsidRPr="00261B88">
        <w:rPr>
          <w:noProof/>
        </w:rPr>
        <w:t>18</w:t>
      </w:r>
      <w:r w:rsidR="00FD11F8">
        <w:rPr>
          <w:noProof/>
        </w:rPr>
        <w:fldChar w:fldCharType="end"/>
      </w:r>
      <w:r w:rsidRPr="00261B88">
        <w:rPr>
          <w:noProof/>
        </w:rPr>
        <w:t> – Pactele de integritate și cooperarea cu societatea civilă</w:t>
      </w:r>
      <w:bookmarkEnd w:id="90"/>
      <w:bookmarkEnd w:id="91"/>
    </w:p>
    <w:p w14:paraId="598ACEFD" w14:textId="038401D8" w:rsidR="00C77AE2" w:rsidRPr="00C77AE2" w:rsidRDefault="00C77AE2" w:rsidP="00C77AE2">
      <w:pPr>
        <w:pBdr>
          <w:top w:val="single" w:sz="4" w:space="1" w:color="auto"/>
          <w:left w:val="single" w:sz="4" w:space="4" w:color="auto"/>
          <w:bottom w:val="single" w:sz="4" w:space="1" w:color="auto"/>
          <w:right w:val="single" w:sz="4" w:space="4" w:color="auto"/>
        </w:pBdr>
        <w:shd w:val="clear" w:color="auto" w:fill="D9E2F3" w:themeFill="accent5" w:themeFillTint="33"/>
        <w:rPr>
          <w:noProof/>
          <w:sz w:val="24"/>
          <w:szCs w:val="24"/>
        </w:rPr>
      </w:pPr>
      <w:r>
        <w:rPr>
          <w:noProof/>
        </w:rPr>
        <w:t xml:space="preserve">Pactele de integritate, un instrument de monitorizare sprijinit de societatea civilă care vizează creșterea transparenței, a responsabilității și a bunei guvernanțe în ceea ce privește contractele publice, sunt promovate în cadrul programelor în curs de elaborare și evaluare pentru perioada </w:t>
      </w:r>
      <w:r w:rsidRPr="00D17A39">
        <w:rPr>
          <w:noProof/>
        </w:rPr>
        <w:t>2021</w:t>
      </w:r>
      <w:r>
        <w:rPr>
          <w:noProof/>
        </w:rPr>
        <w:t>-</w:t>
      </w:r>
      <w:r w:rsidRPr="00D17A39">
        <w:rPr>
          <w:noProof/>
        </w:rPr>
        <w:t>2027</w:t>
      </w:r>
      <w:r>
        <w:rPr>
          <w:noProof/>
        </w:rPr>
        <w:t xml:space="preserve">. Odată cu încheierea celor </w:t>
      </w:r>
      <w:r w:rsidRPr="00D17A39">
        <w:rPr>
          <w:noProof/>
        </w:rPr>
        <w:t>18</w:t>
      </w:r>
      <w:r>
        <w:rPr>
          <w:noProof/>
        </w:rPr>
        <w:t xml:space="preserve"> proiecte-pilot (în </w:t>
      </w:r>
      <w:r w:rsidRPr="00D17A39">
        <w:rPr>
          <w:noProof/>
        </w:rPr>
        <w:t>11</w:t>
      </w:r>
      <w:r>
        <w:rPr>
          <w:noProof/>
        </w:rPr>
        <w:t xml:space="preserve"> state membre din </w:t>
      </w:r>
      <w:r w:rsidRPr="00D17A39">
        <w:rPr>
          <w:noProof/>
        </w:rPr>
        <w:t>2016</w:t>
      </w:r>
      <w:r>
        <w:rPr>
          <w:noProof/>
        </w:rPr>
        <w:t xml:space="preserve"> până în </w:t>
      </w:r>
      <w:r w:rsidRPr="00D17A39">
        <w:rPr>
          <w:noProof/>
        </w:rPr>
        <w:t>2021</w:t>
      </w:r>
      <w:r>
        <w:rPr>
          <w:noProof/>
        </w:rPr>
        <w:t>), Comisia încurajează statele membre să continue punerea în aplicare a pactelor de integritate în cadrul proiectelor specifice finanțate din fonduri UE prin integrarea treptată a pactelor de integritate în programele lor și oferă sprijin statelor membre în această privință, și anume prin setul de instrumente publicat recent</w:t>
      </w:r>
      <w:r>
        <w:rPr>
          <w:rStyle w:val="FootnoteReference"/>
          <w:noProof/>
          <w:sz w:val="20"/>
        </w:rPr>
        <w:footnoteReference w:id="100"/>
      </w:r>
      <w:r>
        <w:rPr>
          <w:noProof/>
        </w:rPr>
        <w:t xml:space="preserve">. </w:t>
      </w:r>
    </w:p>
    <w:p w14:paraId="02642C7C" w14:textId="5D129439" w:rsidR="00C77AE2" w:rsidRPr="00C77AE2" w:rsidRDefault="000128E2" w:rsidP="00C77AE2">
      <w:pPr>
        <w:rPr>
          <w:noProof/>
        </w:rPr>
      </w:pPr>
      <w:r>
        <w:rPr>
          <w:noProof/>
        </w:rPr>
        <w:t>La aproximativ zece ani de la raportarea inițială, proporția cazurilor de suspiciune de fraudă care nu au condus la condamnări rămâne foarte ridicată, în timp ce proporția cazurilor în care se constată fraude este scăzută. Acest lucru ar putea indica necesitatea de a investi mai mult în investigarea și urmărirea penală a acestora.</w:t>
      </w:r>
    </w:p>
    <w:p w14:paraId="580B2F9E" w14:textId="7083943C" w:rsidR="00D10B75" w:rsidRPr="00C77AE2" w:rsidRDefault="00D10B75" w:rsidP="00D10B75">
      <w:pPr>
        <w:rPr>
          <w:noProof/>
        </w:rPr>
      </w:pPr>
      <w:r w:rsidRPr="00261B88">
        <w:rPr>
          <w:b/>
          <w:noProof/>
        </w:rPr>
        <w:t>Alte fonduri cu gestiune partajată</w:t>
      </w:r>
      <w:r w:rsidRPr="00261B88">
        <w:rPr>
          <w:rStyle w:val="FootnoteReference"/>
          <w:b/>
          <w:noProof/>
        </w:rPr>
        <w:footnoteReference w:id="101"/>
      </w:r>
      <w:r w:rsidRPr="00261B88">
        <w:rPr>
          <w:b/>
          <w:noProof/>
        </w:rPr>
        <w:t> </w:t>
      </w:r>
      <w:r>
        <w:rPr>
          <w:noProof/>
        </w:rPr>
        <w:t xml:space="preserve">– În ceea ce privește fondurile cu gestiune partajată pentru alte politici interne, Fondul de ajutor european destinat celor mai defavorizate persoane (FEAD) a fost fondul cel mai afectat de fraudă. Peste </w:t>
      </w:r>
      <w:r w:rsidRPr="00D17A39">
        <w:rPr>
          <w:noProof/>
        </w:rPr>
        <w:t>90</w:t>
      </w:r>
      <w:r>
        <w:rPr>
          <w:noProof/>
        </w:rPr>
        <w:t> % din cazurile detectate de nereguli de natură nefrauduloasă au fost legate de următoarele fonduri: Fondul pentru azil și migrație (FAMI), FEAD și Inițiativa privind ocuparea forței de muncă în rândul tinerilor.</w:t>
      </w:r>
    </w:p>
    <w:p w14:paraId="402E9E70" w14:textId="77777777" w:rsidR="00FB5CF5" w:rsidRPr="00261B88" w:rsidRDefault="00D10B75" w:rsidP="00CD7B44">
      <w:pPr>
        <w:pStyle w:val="Heading3"/>
        <w:rPr>
          <w:noProof/>
        </w:rPr>
      </w:pPr>
      <w:bookmarkStart w:id="92" w:name="_Toc116029547"/>
      <w:r w:rsidRPr="00261B88">
        <w:rPr>
          <w:noProof/>
        </w:rPr>
        <w:t>Gestiune indirectă</w:t>
      </w:r>
      <w:bookmarkEnd w:id="92"/>
    </w:p>
    <w:p w14:paraId="5780F797" w14:textId="43F957DC" w:rsidR="00D10B75" w:rsidRDefault="00D10B75" w:rsidP="00D10B75">
      <w:pPr>
        <w:rPr>
          <w:noProof/>
        </w:rPr>
      </w:pPr>
      <w:r w:rsidRPr="00261B88">
        <w:rPr>
          <w:b/>
          <w:noProof/>
        </w:rPr>
        <w:t>Preaderare</w:t>
      </w:r>
      <w:r w:rsidRPr="00261B88">
        <w:rPr>
          <w:rStyle w:val="FootnoteReference"/>
          <w:b/>
          <w:noProof/>
        </w:rPr>
        <w:footnoteReference w:id="102"/>
      </w:r>
      <w:r w:rsidRPr="00261B88">
        <w:rPr>
          <w:b/>
          <w:noProof/>
        </w:rPr>
        <w:t> </w:t>
      </w:r>
      <w:r>
        <w:rPr>
          <w:noProof/>
        </w:rPr>
        <w:t xml:space="preserve">– Neregulile raportate în acest domeniu în </w:t>
      </w:r>
      <w:r w:rsidRPr="00D17A39">
        <w:rPr>
          <w:noProof/>
        </w:rPr>
        <w:t>2021</w:t>
      </w:r>
      <w:r>
        <w:rPr>
          <w:noProof/>
        </w:rPr>
        <w:t xml:space="preserve"> sunt în scădere în comparație cu media pe cinci ani (-</w:t>
      </w:r>
      <w:r w:rsidRPr="00D17A39">
        <w:rPr>
          <w:noProof/>
        </w:rPr>
        <w:t>23</w:t>
      </w:r>
      <w:r>
        <w:rPr>
          <w:noProof/>
        </w:rPr>
        <w:t> % ca număr și -</w:t>
      </w:r>
      <w:r w:rsidRPr="00D17A39">
        <w:rPr>
          <w:noProof/>
        </w:rPr>
        <w:t>48</w:t>
      </w:r>
      <w:r>
        <w:rPr>
          <w:noProof/>
        </w:rPr>
        <w:t> % în ceea ce privește sumele financiare afectate de nereguli). În aceeași perioadă, cel mai mare număr de nereguli detectate a vizat asistența pentru preaderare pentru dezvoltare rurală (IPARD) și cooperarea transfrontalieră.</w:t>
      </w:r>
    </w:p>
    <w:p w14:paraId="09A751F2" w14:textId="77777777" w:rsidR="00D10B75" w:rsidRPr="00261B88" w:rsidRDefault="00D10B75" w:rsidP="00CD7B44">
      <w:pPr>
        <w:pStyle w:val="Heading3"/>
        <w:rPr>
          <w:noProof/>
        </w:rPr>
      </w:pPr>
      <w:bookmarkStart w:id="93" w:name="_Toc116029548"/>
      <w:r w:rsidRPr="00261B88">
        <w:rPr>
          <w:noProof/>
        </w:rPr>
        <w:t>Gestiune directă</w:t>
      </w:r>
      <w:bookmarkEnd w:id="93"/>
    </w:p>
    <w:p w14:paraId="72FF6E94" w14:textId="4A81DCAA" w:rsidR="00822DA8" w:rsidRPr="00505DEA" w:rsidRDefault="001C50AD" w:rsidP="00822DA8">
      <w:pPr>
        <w:rPr>
          <w:noProof/>
        </w:rPr>
      </w:pPr>
      <w:r>
        <w:rPr>
          <w:noProof/>
        </w:rPr>
        <w:t xml:space="preserve">Neregulile de natură frauduloasă detectate în legătură cu cheltuielile directe ale Comisiei au scăzut din </w:t>
      </w:r>
      <w:r w:rsidRPr="00D17A39">
        <w:rPr>
          <w:noProof/>
        </w:rPr>
        <w:t>2016</w:t>
      </w:r>
      <w:r>
        <w:rPr>
          <w:noProof/>
        </w:rPr>
        <w:t xml:space="preserve"> și au rămas stabile în ultimii patru ani, în pofida unei creșteri marginale în </w:t>
      </w:r>
      <w:r w:rsidRPr="00D17A39">
        <w:rPr>
          <w:noProof/>
        </w:rPr>
        <w:t>2021</w:t>
      </w:r>
      <w:r>
        <w:rPr>
          <w:noProof/>
        </w:rPr>
        <w:t xml:space="preserve">. Neregulile de natură nefrauduloasă au continuat să scadă, </w:t>
      </w:r>
      <w:r w:rsidRPr="00D17A39">
        <w:rPr>
          <w:noProof/>
        </w:rPr>
        <w:t>2021</w:t>
      </w:r>
      <w:r>
        <w:rPr>
          <w:noProof/>
        </w:rPr>
        <w:t xml:space="preserve"> fiind anul cu cea mai scăzută cifră atât pentru numărul de cazuri, cât și pentru sumele în cauză</w:t>
      </w:r>
      <w:r>
        <w:rPr>
          <w:rStyle w:val="FootnoteReference"/>
          <w:noProof/>
        </w:rPr>
        <w:footnoteReference w:id="103"/>
      </w:r>
      <w:r>
        <w:rPr>
          <w:noProof/>
        </w:rPr>
        <w:t>.</w:t>
      </w:r>
    </w:p>
    <w:p w14:paraId="4C421069" w14:textId="28A43C7D" w:rsidR="00E23197" w:rsidRPr="00261B88" w:rsidRDefault="001C50AD" w:rsidP="00DC1244">
      <w:pPr>
        <w:pStyle w:val="Caption"/>
        <w:keepNext/>
        <w:pBdr>
          <w:top w:val="single" w:sz="4" w:space="1" w:color="auto"/>
          <w:left w:val="single" w:sz="4" w:space="4" w:color="auto"/>
          <w:bottom w:val="single" w:sz="4" w:space="1" w:color="auto"/>
          <w:right w:val="single" w:sz="4" w:space="4" w:color="auto"/>
        </w:pBdr>
        <w:shd w:val="clear" w:color="auto" w:fill="D9E2F3" w:themeFill="accent5" w:themeFillTint="33"/>
        <w:rPr>
          <w:noProof/>
        </w:rPr>
      </w:pPr>
      <w:bookmarkStart w:id="94" w:name="_Toc110444027"/>
      <w:r w:rsidRPr="00261B88">
        <w:rPr>
          <w:noProof/>
        </w:rPr>
        <w:t>Instantaneul </w:t>
      </w:r>
      <w:r w:rsidR="00FD11F8">
        <w:rPr>
          <w:noProof/>
        </w:rPr>
        <w:fldChar w:fldCharType="begin"/>
      </w:r>
      <w:r w:rsidR="00FD11F8">
        <w:rPr>
          <w:noProof/>
        </w:rPr>
        <w:instrText xml:space="preserve"> SEQ Snapshot \* ARABIC </w:instrText>
      </w:r>
      <w:r w:rsidR="00FD11F8">
        <w:rPr>
          <w:noProof/>
        </w:rPr>
        <w:fldChar w:fldCharType="separate"/>
      </w:r>
      <w:r w:rsidRPr="00261B88">
        <w:rPr>
          <w:noProof/>
        </w:rPr>
        <w:t>19</w:t>
      </w:r>
      <w:r w:rsidR="00FD11F8">
        <w:rPr>
          <w:noProof/>
        </w:rPr>
        <w:fldChar w:fldCharType="end"/>
      </w:r>
      <w:r w:rsidRPr="00261B88">
        <w:rPr>
          <w:noProof/>
        </w:rPr>
        <w:t> – Cheltuieli directe: neregulile detectate cel mai frecvent și domeniile de politică vizate</w:t>
      </w:r>
      <w:bookmarkEnd w:id="94"/>
    </w:p>
    <w:p w14:paraId="1D7C74AC" w14:textId="16B30AEF" w:rsidR="001C50AD" w:rsidRDefault="001C50AD" w:rsidP="00505DEA">
      <w:pPr>
        <w:pBdr>
          <w:top w:val="single" w:sz="4" w:space="1" w:color="auto"/>
          <w:left w:val="single" w:sz="4" w:space="4" w:color="auto"/>
          <w:bottom w:val="single" w:sz="4" w:space="1" w:color="auto"/>
          <w:right w:val="single" w:sz="4" w:space="4" w:color="auto"/>
        </w:pBdr>
        <w:shd w:val="clear" w:color="auto" w:fill="D9E2F3" w:themeFill="accent5" w:themeFillTint="33"/>
        <w:rPr>
          <w:noProof/>
        </w:rPr>
      </w:pPr>
      <w:r>
        <w:rPr>
          <w:noProof/>
        </w:rPr>
        <w:t>Cele mai frecvente tipuri de nereguli se referă la eligibilitatea cheltuielilor și la îndeplinirea într-o măsură insuficientă/neîndeplinirea obligațiilor.</w:t>
      </w:r>
    </w:p>
    <w:p w14:paraId="4A94ACDF" w14:textId="0B6DE01F" w:rsidR="001C50AD" w:rsidRPr="001C50AD" w:rsidRDefault="001C50AD" w:rsidP="00505DEA">
      <w:pPr>
        <w:pBdr>
          <w:top w:val="single" w:sz="4" w:space="1" w:color="auto"/>
          <w:left w:val="single" w:sz="4" w:space="4" w:color="auto"/>
          <w:bottom w:val="single" w:sz="4" w:space="1" w:color="auto"/>
          <w:right w:val="single" w:sz="4" w:space="4" w:color="auto"/>
        </w:pBdr>
        <w:shd w:val="clear" w:color="auto" w:fill="D9E2F3" w:themeFill="accent5" w:themeFillTint="33"/>
        <w:rPr>
          <w:noProof/>
        </w:rPr>
      </w:pPr>
      <w:r>
        <w:rPr>
          <w:noProof/>
        </w:rPr>
        <w:t xml:space="preserve">În </w:t>
      </w:r>
      <w:r w:rsidRPr="00D17A39">
        <w:rPr>
          <w:noProof/>
        </w:rPr>
        <w:t>2021</w:t>
      </w:r>
      <w:r>
        <w:rPr>
          <w:noProof/>
        </w:rPr>
        <w:t>, domeniile de politică cele mai afectate de nereguli au fost cercetarea și inovarea, piața unică, securitatea, apărarea și gestionarea frontierelor, investițiile europene strategice și acțiunile externe.</w:t>
      </w:r>
    </w:p>
    <w:p w14:paraId="44B8BE4E" w14:textId="77777777" w:rsidR="00FB5CF5" w:rsidRPr="00261B88" w:rsidRDefault="00FB5CF5" w:rsidP="00FB5CF5">
      <w:pPr>
        <w:pStyle w:val="Heading1"/>
        <w:rPr>
          <w:noProof/>
        </w:rPr>
      </w:pPr>
      <w:bookmarkStart w:id="95" w:name="_Toc116029549"/>
      <w:r w:rsidRPr="00261B88">
        <w:rPr>
          <w:noProof/>
        </w:rPr>
        <w:t>O perspectivă pentru 2022, concluzii și recomandări</w:t>
      </w:r>
      <w:bookmarkEnd w:id="95"/>
    </w:p>
    <w:p w14:paraId="7E698143" w14:textId="54EFD6EA" w:rsidR="00775F49" w:rsidRDefault="00B01601" w:rsidP="00775F49">
      <w:pPr>
        <w:rPr>
          <w:noProof/>
        </w:rPr>
      </w:pPr>
      <w:r>
        <w:rPr>
          <w:noProof/>
        </w:rPr>
        <w:t>Pandemia de COVID-</w:t>
      </w:r>
      <w:r w:rsidRPr="00D17A39">
        <w:rPr>
          <w:noProof/>
        </w:rPr>
        <w:t>19</w:t>
      </w:r>
      <w:r>
        <w:rPr>
          <w:noProof/>
        </w:rPr>
        <w:t xml:space="preserve"> a adus noi provocări la care UE a reacționat rapid, într-un mod flexibil și prin utilizarea de noi instrumente și resurse. Provocările și consecințele acestei crize nu au fost încă depășite, însă invadarea Ucrainei de către Rusia a declanșat o nouă dinamică majoră, cu implicații profunde pentru UE și pentru economia și societatea sa.</w:t>
      </w:r>
    </w:p>
    <w:p w14:paraId="3090D9C2" w14:textId="50CB24D1" w:rsidR="00B01601" w:rsidRDefault="00B01601" w:rsidP="00775F49">
      <w:pPr>
        <w:rPr>
          <w:noProof/>
        </w:rPr>
      </w:pPr>
      <w:r>
        <w:rPr>
          <w:noProof/>
        </w:rPr>
        <w:t xml:space="preserve">La </w:t>
      </w:r>
      <w:r w:rsidRPr="00D17A39">
        <w:rPr>
          <w:noProof/>
        </w:rPr>
        <w:t>18</w:t>
      </w:r>
      <w:r>
        <w:rPr>
          <w:noProof/>
        </w:rPr>
        <w:t> mai </w:t>
      </w:r>
      <w:r w:rsidRPr="00D17A39">
        <w:rPr>
          <w:noProof/>
        </w:rPr>
        <w:t>2022</w:t>
      </w:r>
      <w:r>
        <w:rPr>
          <w:noProof/>
        </w:rPr>
        <w:t>, Comisia a prezentat un pachet pentru a aborda aspectele care au ieșit în evidență de la momentul invadării Ucrainei, de la securitatea aprovizionării cu energie, deficitul în materie de investiții în domeniul apărării al UE și reconstrucția pe termen mai lung a Ucrainei. Toate aceste aspecte au implicații pentru bugetul UE.</w:t>
      </w:r>
    </w:p>
    <w:p w14:paraId="3FFEA90A" w14:textId="5020978D" w:rsidR="000810E6" w:rsidRDefault="000810E6" w:rsidP="000810E6">
      <w:pPr>
        <w:rPr>
          <w:noProof/>
        </w:rPr>
      </w:pPr>
      <w:r>
        <w:rPr>
          <w:noProof/>
          <w:shd w:val="clear" w:color="auto" w:fill="FEFFFF"/>
        </w:rPr>
        <w:t xml:space="preserve">Bugetul UE este deja supus unor presiuni, </w:t>
      </w:r>
      <w:r>
        <w:rPr>
          <w:noProof/>
        </w:rPr>
        <w:t xml:space="preserve">pe măsură ce sunt puse în aplicare noi măsuri pentru a face față repercusiunilor evenimentelor recente (de exemplu, </w:t>
      </w:r>
      <w:r w:rsidRPr="00261B88">
        <w:rPr>
          <w:b/>
          <w:noProof/>
        </w:rPr>
        <w:t>REPowerEU</w:t>
      </w:r>
      <w:r>
        <w:rPr>
          <w:noProof/>
        </w:rPr>
        <w:t>), prioritățile sunt în schimbare (având în vedere migrația) și trebuie pus în aplicare cel mai amplu pachet de sancțiuni convenit vreodată împotriva unei țări (în general, dar și în ceea ce privește persoanele vizate), cu efecte asupra veniturilor UE (importul și exportul de bunuri) și asupra cheltuielilor (excluderi de la procedurile de achiziții publice și granturi).</w:t>
      </w:r>
    </w:p>
    <w:p w14:paraId="27A7BC00" w14:textId="3F0CE44A" w:rsidR="00A309B8" w:rsidRDefault="00A309B8" w:rsidP="000810E6">
      <w:pPr>
        <w:rPr>
          <w:noProof/>
        </w:rPr>
      </w:pPr>
      <w:r>
        <w:rPr>
          <w:noProof/>
        </w:rPr>
        <w:t xml:space="preserve">Odată cu introducerea MRR și cu punerea în aplicare a planurilor naționale de redresare și reziliență, </w:t>
      </w:r>
      <w:r w:rsidRPr="00261B88">
        <w:rPr>
          <w:b/>
          <w:noProof/>
        </w:rPr>
        <w:t>rolul autorităților naționale</w:t>
      </w:r>
      <w:r>
        <w:rPr>
          <w:noProof/>
        </w:rPr>
        <w:t xml:space="preserve"> de a asigura un nivel adecvat de protecție a intereselor financiare ale UE </w:t>
      </w:r>
      <w:r w:rsidRPr="00261B88">
        <w:rPr>
          <w:b/>
          <w:noProof/>
        </w:rPr>
        <w:t>a crescut deja semnificativ</w:t>
      </w:r>
      <w:r>
        <w:rPr>
          <w:noProof/>
        </w:rPr>
        <w:t xml:space="preserve">. Presiunea asupra administrațiilor naționale va rămâne ridicată în </w:t>
      </w:r>
      <w:r w:rsidRPr="00D17A39">
        <w:rPr>
          <w:noProof/>
        </w:rPr>
        <w:t>2022</w:t>
      </w:r>
      <w:r>
        <w:rPr>
          <w:noProof/>
        </w:rPr>
        <w:t xml:space="preserve"> și ulterior, deoarece acestea vor trebui, de asemenea, să realizeze execuția cheltuielilor din ciclul de programare </w:t>
      </w:r>
      <w:r w:rsidRPr="00D17A39">
        <w:rPr>
          <w:noProof/>
        </w:rPr>
        <w:t>2021</w:t>
      </w:r>
      <w:r>
        <w:rPr>
          <w:noProof/>
        </w:rPr>
        <w:t>-</w:t>
      </w:r>
      <w:r w:rsidRPr="00D17A39">
        <w:rPr>
          <w:noProof/>
        </w:rPr>
        <w:t>2027</w:t>
      </w:r>
      <w:r>
        <w:rPr>
          <w:noProof/>
        </w:rPr>
        <w:t xml:space="preserve"> și să facă dovada competențelor specifice și a controlului diferitelor moduri de gestiune legate de execuția diferitelor fonduri.</w:t>
      </w:r>
    </w:p>
    <w:p w14:paraId="68E41DE5" w14:textId="77777777" w:rsidR="00225A0C" w:rsidRPr="00261B88" w:rsidRDefault="00CB2780" w:rsidP="00225A0C">
      <w:pPr>
        <w:pStyle w:val="Heading2"/>
        <w:rPr>
          <w:noProof/>
        </w:rPr>
      </w:pPr>
      <w:bookmarkStart w:id="96" w:name="_Toc116029550"/>
      <w:r w:rsidRPr="00261B88">
        <w:rPr>
          <w:noProof/>
        </w:rPr>
        <w:t>Spațiul antifraudă al UE</w:t>
      </w:r>
      <w:bookmarkEnd w:id="96"/>
    </w:p>
    <w:p w14:paraId="125BC87D" w14:textId="1E5353F6" w:rsidR="00A309B8" w:rsidRDefault="00876F62" w:rsidP="000810E6">
      <w:pPr>
        <w:rPr>
          <w:noProof/>
        </w:rPr>
      </w:pPr>
      <w:r>
        <w:rPr>
          <w:noProof/>
        </w:rPr>
        <w:t xml:space="preserve">Rezultatele obținute de OLAF și EPPO în </w:t>
      </w:r>
      <w:r w:rsidRPr="00D17A39">
        <w:rPr>
          <w:noProof/>
        </w:rPr>
        <w:t>2021</w:t>
      </w:r>
      <w:r>
        <w:rPr>
          <w:rStyle w:val="FootnoteReference"/>
          <w:noProof/>
        </w:rPr>
        <w:footnoteReference w:id="104"/>
      </w:r>
      <w:r>
        <w:rPr>
          <w:noProof/>
        </w:rPr>
        <w:t xml:space="preserve"> arată </w:t>
      </w:r>
      <w:r w:rsidRPr="00261B88">
        <w:rPr>
          <w:b/>
          <w:noProof/>
        </w:rPr>
        <w:t>valoarea adăugată pe care dimensiunea UE o poate conferi protejării intereselor financiare ale UE</w:t>
      </w:r>
      <w:r>
        <w:rPr>
          <w:noProof/>
        </w:rPr>
        <w:t xml:space="preserve"> și luptei împotriva fraudei, depășind limitele inerente ale sistemelor naționale, în special în ceea ce privește criminalitatea transfrontalieră.</w:t>
      </w:r>
    </w:p>
    <w:p w14:paraId="66272545" w14:textId="47B08640" w:rsidR="00876F62" w:rsidRDefault="00876F62" w:rsidP="000810E6">
      <w:pPr>
        <w:rPr>
          <w:noProof/>
        </w:rPr>
      </w:pPr>
      <w:r>
        <w:rPr>
          <w:noProof/>
        </w:rPr>
        <w:t xml:space="preserve">Mai important, acestea demonstrează, de asemenea, necesitatea continuării eforturilor în direcția unui </w:t>
      </w:r>
      <w:r w:rsidRPr="00261B88">
        <w:rPr>
          <w:b/>
          <w:noProof/>
        </w:rPr>
        <w:t>spațiu antifraudă al UE</w:t>
      </w:r>
      <w:r>
        <w:rPr>
          <w:noProof/>
        </w:rPr>
        <w:t xml:space="preserve"> din ce în ce mai armonizat, ceea ce impune, în special, ca legislația națională să fie aliniată la dreptul Uniunii și la principiile acestuia.</w:t>
      </w:r>
    </w:p>
    <w:p w14:paraId="06CDBB4F" w14:textId="11414F3A" w:rsidR="00225A0C" w:rsidRDefault="00225A0C" w:rsidP="00225A0C">
      <w:pPr>
        <w:rPr>
          <w:noProof/>
        </w:rPr>
      </w:pPr>
      <w:r>
        <w:rPr>
          <w:noProof/>
        </w:rPr>
        <w:t>Regulamentul (UE, Euratom) </w:t>
      </w:r>
      <w:r w:rsidRPr="00D17A39">
        <w:rPr>
          <w:noProof/>
        </w:rPr>
        <w:t>2020</w:t>
      </w:r>
      <w:r>
        <w:rPr>
          <w:noProof/>
        </w:rPr>
        <w:t>/</w:t>
      </w:r>
      <w:r w:rsidRPr="00D17A39">
        <w:rPr>
          <w:noProof/>
        </w:rPr>
        <w:t>2092</w:t>
      </w:r>
      <w:r>
        <w:rPr>
          <w:noProof/>
        </w:rPr>
        <w:t xml:space="preserve"> privind un regim general de condiționalitate pentru protecția bugetului Uniunii (</w:t>
      </w:r>
      <w:r w:rsidRPr="00261B88">
        <w:rPr>
          <w:b/>
          <w:noProof/>
        </w:rPr>
        <w:t>Regulamentul privind condiționalitatea</w:t>
      </w:r>
      <w:r>
        <w:rPr>
          <w:noProof/>
        </w:rPr>
        <w:t xml:space="preserve">) este în vigoare și se aplică de la </w:t>
      </w:r>
      <w:r w:rsidRPr="00D17A39">
        <w:rPr>
          <w:noProof/>
        </w:rPr>
        <w:t>1</w:t>
      </w:r>
      <w:r>
        <w:rPr>
          <w:noProof/>
        </w:rPr>
        <w:t> ianuarie </w:t>
      </w:r>
      <w:r w:rsidRPr="00D17A39">
        <w:rPr>
          <w:noProof/>
        </w:rPr>
        <w:t>2021</w:t>
      </w:r>
      <w:r>
        <w:rPr>
          <w:noProof/>
        </w:rPr>
        <w:t>. Sunt vizate toate încălcările principiilor statului de drept într-un stat membru care afectează sau riscă în mod grav să afecteze, într-o manieră îndeajuns de directă, buna gestiune financiară a bugetului UE și interesele financiare ale UE după această dată.</w:t>
      </w:r>
    </w:p>
    <w:p w14:paraId="1D97871D" w14:textId="54BD977E" w:rsidR="00225A0C" w:rsidRDefault="00225A0C" w:rsidP="00225A0C">
      <w:pPr>
        <w:rPr>
          <w:noProof/>
        </w:rPr>
      </w:pPr>
      <w:r>
        <w:rPr>
          <w:noProof/>
        </w:rPr>
        <w:t>Regulamentul privind condiționalitatea permite UE să ia măsuri – de exemplu, suspendarea plăților sau corecții financiare – pentru a proteja bugetul, asigurându-se în același timp că beneficiarii finali ai fondurilor UE continuă să primească plățile direct de la statele membre în cauză. Conduita autorităților publice în ceea ce privește frauda se numără printre situațiile care, dacă sunt vizate de încălcări ale principiilor statului de drept, pot fi relevante în conformitate cu procedura stabilită de Regulamentul privind condiționalitatea.</w:t>
      </w:r>
    </w:p>
    <w:p w14:paraId="59272CF7" w14:textId="6541FA03" w:rsidR="00225A0C" w:rsidRDefault="00225A0C" w:rsidP="00225A0C">
      <w:pPr>
        <w:rPr>
          <w:noProof/>
        </w:rPr>
      </w:pPr>
      <w:r>
        <w:rPr>
          <w:noProof/>
        </w:rPr>
        <w:t xml:space="preserve">La </w:t>
      </w:r>
      <w:r w:rsidRPr="00D17A39">
        <w:rPr>
          <w:noProof/>
        </w:rPr>
        <w:t>16</w:t>
      </w:r>
      <w:r>
        <w:rPr>
          <w:noProof/>
        </w:rPr>
        <w:t> februarie </w:t>
      </w:r>
      <w:r w:rsidRPr="00D17A39">
        <w:rPr>
          <w:noProof/>
        </w:rPr>
        <w:t>2022</w:t>
      </w:r>
      <w:r>
        <w:rPr>
          <w:noProof/>
        </w:rPr>
        <w:t>, Curtea Europeană de Justiție a respins acțiunile introduse de două state membre (C-</w:t>
      </w:r>
      <w:r w:rsidRPr="00D17A39">
        <w:rPr>
          <w:noProof/>
        </w:rPr>
        <w:t>156</w:t>
      </w:r>
      <w:r>
        <w:rPr>
          <w:noProof/>
        </w:rPr>
        <w:t>/</w:t>
      </w:r>
      <w:r w:rsidRPr="00D17A39">
        <w:rPr>
          <w:noProof/>
        </w:rPr>
        <w:t>21</w:t>
      </w:r>
      <w:r>
        <w:rPr>
          <w:rStyle w:val="FootnoteReference"/>
          <w:noProof/>
        </w:rPr>
        <w:footnoteReference w:id="105"/>
      </w:r>
      <w:r>
        <w:rPr>
          <w:noProof/>
        </w:rPr>
        <w:t xml:space="preserve"> și C-</w:t>
      </w:r>
      <w:r w:rsidRPr="00D17A39">
        <w:rPr>
          <w:noProof/>
        </w:rPr>
        <w:t>157</w:t>
      </w:r>
      <w:r>
        <w:rPr>
          <w:noProof/>
        </w:rPr>
        <w:t>/</w:t>
      </w:r>
      <w:r w:rsidRPr="00D17A39">
        <w:rPr>
          <w:noProof/>
        </w:rPr>
        <w:t>21</w:t>
      </w:r>
      <w:r>
        <w:rPr>
          <w:rStyle w:val="FootnoteReference"/>
          <w:noProof/>
        </w:rPr>
        <w:footnoteReference w:id="106"/>
      </w:r>
      <w:r>
        <w:rPr>
          <w:noProof/>
        </w:rPr>
        <w:t xml:space="preserve">), declarând că regulamentul intră în sfera competenței conferite de tratate de a stabili norme financiare pentru execuția bugetului UE. La </w:t>
      </w:r>
      <w:r w:rsidRPr="00D17A39">
        <w:rPr>
          <w:noProof/>
        </w:rPr>
        <w:t>2</w:t>
      </w:r>
      <w:r>
        <w:rPr>
          <w:noProof/>
        </w:rPr>
        <w:t> martie </w:t>
      </w:r>
      <w:r w:rsidRPr="00D17A39">
        <w:rPr>
          <w:noProof/>
        </w:rPr>
        <w:t>2022</w:t>
      </w:r>
      <w:r>
        <w:rPr>
          <w:noProof/>
        </w:rPr>
        <w:t>, Comisia a publicat orientări pentru aplicarea regulamentului, ținând seama de hotărârea Curții de Justiție.</w:t>
      </w:r>
    </w:p>
    <w:p w14:paraId="22570732" w14:textId="14A9A00C" w:rsidR="00876F62" w:rsidRPr="00261B88" w:rsidRDefault="00876F62" w:rsidP="00876F62">
      <w:pPr>
        <w:pStyle w:val="Caption"/>
        <w:pBdr>
          <w:top w:val="single" w:sz="4" w:space="1" w:color="auto"/>
          <w:left w:val="single" w:sz="4" w:space="4" w:color="auto"/>
          <w:bottom w:val="single" w:sz="4" w:space="1" w:color="auto"/>
          <w:right w:val="single" w:sz="4" w:space="4" w:color="auto"/>
        </w:pBdr>
        <w:shd w:val="clear" w:color="auto" w:fill="FBE4D5" w:themeFill="accent2" w:themeFillTint="33"/>
        <w:rPr>
          <w:noProof/>
        </w:rPr>
      </w:pPr>
      <w:r w:rsidRPr="00261B88">
        <w:rPr>
          <w:noProof/>
        </w:rPr>
        <w:t>Recomandarea </w:t>
      </w:r>
      <w:r w:rsidR="00FD11F8">
        <w:rPr>
          <w:noProof/>
        </w:rPr>
        <w:fldChar w:fldCharType="begin"/>
      </w:r>
      <w:r w:rsidR="00FD11F8">
        <w:rPr>
          <w:noProof/>
        </w:rPr>
        <w:instrText xml:space="preserve"> SEQ Recommendation \* ARABIC </w:instrText>
      </w:r>
      <w:r w:rsidR="00FD11F8">
        <w:rPr>
          <w:noProof/>
        </w:rPr>
        <w:fldChar w:fldCharType="separate"/>
      </w:r>
      <w:r w:rsidRPr="00261B88">
        <w:rPr>
          <w:noProof/>
        </w:rPr>
        <w:t>1</w:t>
      </w:r>
      <w:r w:rsidR="00FD11F8">
        <w:rPr>
          <w:noProof/>
        </w:rPr>
        <w:fldChar w:fldCharType="end"/>
      </w:r>
      <w:r w:rsidRPr="00261B88">
        <w:rPr>
          <w:noProof/>
        </w:rPr>
        <w:t>– Transpunerea corectă a Directivei PIF</w:t>
      </w:r>
    </w:p>
    <w:p w14:paraId="7FBBD211" w14:textId="77777777" w:rsidR="00876F62" w:rsidRPr="00876F62" w:rsidRDefault="00876F62" w:rsidP="00876F62">
      <w:pPr>
        <w:pBdr>
          <w:top w:val="single" w:sz="4" w:space="1" w:color="auto"/>
          <w:left w:val="single" w:sz="4" w:space="4" w:color="auto"/>
          <w:bottom w:val="single" w:sz="4" w:space="1" w:color="auto"/>
          <w:right w:val="single" w:sz="4" w:space="4" w:color="auto"/>
        </w:pBdr>
        <w:shd w:val="clear" w:color="auto" w:fill="FBE4D5" w:themeFill="accent2" w:themeFillTint="33"/>
        <w:rPr>
          <w:noProof/>
        </w:rPr>
      </w:pPr>
      <w:r>
        <w:rPr>
          <w:noProof/>
        </w:rPr>
        <w:t>Statele membre împotriva cărora Comisia a inițiat proceduri de constatare a neîndeplinirii obligațiilor ar trebui să ia rapid măsuri de remediere și să modifice legislația națională pentru a transpune corect Directiva PIF.</w:t>
      </w:r>
    </w:p>
    <w:p w14:paraId="6376CC43" w14:textId="10BA0056" w:rsidR="00876F62" w:rsidRDefault="006B06A1" w:rsidP="00775F49">
      <w:pPr>
        <w:rPr>
          <w:bCs/>
          <w:noProof/>
          <w:shd w:val="clear" w:color="auto" w:fill="FEFFFF"/>
        </w:rPr>
      </w:pPr>
      <w:r>
        <w:rPr>
          <w:noProof/>
          <w:shd w:val="clear" w:color="auto" w:fill="FEFFFF"/>
        </w:rPr>
        <w:t xml:space="preserve">Un spațiu antifraudă al UE coerent și din ce în ce mai armonizat contribuie, de asemenea, la eliminarea eventualelor lacune din arhitectura generală de control care pot fi exploatate de autorii fraudelor. </w:t>
      </w:r>
    </w:p>
    <w:p w14:paraId="5F870A5E" w14:textId="5C9B4C9B" w:rsidR="006B06A1" w:rsidRPr="00261B88" w:rsidRDefault="006B06A1" w:rsidP="003116B9">
      <w:pPr>
        <w:pStyle w:val="Caption"/>
        <w:keepNext/>
        <w:pBdr>
          <w:top w:val="single" w:sz="4" w:space="1" w:color="auto"/>
          <w:left w:val="single" w:sz="4" w:space="4" w:color="auto"/>
          <w:bottom w:val="single" w:sz="4" w:space="1" w:color="auto"/>
          <w:right w:val="single" w:sz="4" w:space="4" w:color="auto"/>
        </w:pBdr>
        <w:shd w:val="clear" w:color="auto" w:fill="FBE4D5" w:themeFill="accent2" w:themeFillTint="33"/>
        <w:rPr>
          <w:noProof/>
        </w:rPr>
      </w:pPr>
      <w:r w:rsidRPr="00261B88">
        <w:rPr>
          <w:noProof/>
        </w:rPr>
        <w:t>Recomandarea </w:t>
      </w:r>
      <w:r w:rsidR="00FD11F8">
        <w:rPr>
          <w:noProof/>
        </w:rPr>
        <w:fldChar w:fldCharType="begin"/>
      </w:r>
      <w:r w:rsidR="00FD11F8">
        <w:rPr>
          <w:noProof/>
        </w:rPr>
        <w:instrText xml:space="preserve"> SEQ Recommendation \* ARABIC </w:instrText>
      </w:r>
      <w:r w:rsidR="00FD11F8">
        <w:rPr>
          <w:noProof/>
        </w:rPr>
        <w:fldChar w:fldCharType="separate"/>
      </w:r>
      <w:r w:rsidRPr="00261B88">
        <w:rPr>
          <w:noProof/>
        </w:rPr>
        <w:t>2</w:t>
      </w:r>
      <w:r w:rsidR="00FD11F8">
        <w:rPr>
          <w:noProof/>
        </w:rPr>
        <w:fldChar w:fldCharType="end"/>
      </w:r>
      <w:r w:rsidRPr="00261B88">
        <w:rPr>
          <w:noProof/>
        </w:rPr>
        <w:t>– Participarea la EPPO</w:t>
      </w:r>
    </w:p>
    <w:p w14:paraId="5AA5A4CB" w14:textId="32FB8B71" w:rsidR="006B06A1" w:rsidRPr="006B06A1" w:rsidRDefault="006B06A1" w:rsidP="006B06A1">
      <w:pPr>
        <w:pBdr>
          <w:top w:val="single" w:sz="4" w:space="1" w:color="auto"/>
          <w:left w:val="single" w:sz="4" w:space="4" w:color="auto"/>
          <w:bottom w:val="single" w:sz="4" w:space="1" w:color="auto"/>
          <w:right w:val="single" w:sz="4" w:space="4" w:color="auto"/>
        </w:pBdr>
        <w:shd w:val="clear" w:color="auto" w:fill="FBE4D5" w:themeFill="accent2" w:themeFillTint="33"/>
        <w:rPr>
          <w:noProof/>
        </w:rPr>
      </w:pPr>
      <w:r>
        <w:rPr>
          <w:noProof/>
        </w:rPr>
        <w:t>Comisia își reiterează apelul adresat statelor membre care nu s-au alăturat încă EPPO de a face acest lucru. Statele membre care participă la EPPO ar trebui să se asigure că EPPO este în măsură să își exercite toate competențele care îi sunt conferite prin regulamentul său de instituire.</w:t>
      </w:r>
    </w:p>
    <w:p w14:paraId="1FAFE820" w14:textId="77777777" w:rsidR="006B06A1" w:rsidRPr="00261B88" w:rsidRDefault="002436C2" w:rsidP="00225A0C">
      <w:pPr>
        <w:pStyle w:val="Heading2"/>
        <w:rPr>
          <w:noProof/>
          <w:shd w:val="clear" w:color="auto" w:fill="FEFFFF"/>
        </w:rPr>
      </w:pPr>
      <w:bookmarkStart w:id="97" w:name="_Toc116029551"/>
      <w:r w:rsidRPr="00261B88">
        <w:rPr>
          <w:noProof/>
          <w:shd w:val="clear" w:color="auto" w:fill="FEFFFF"/>
        </w:rPr>
        <w:t>Transparența, gestionarea riscului de fraudă și digitalizarea luptei împotriva fraudei</w:t>
      </w:r>
      <w:bookmarkEnd w:id="97"/>
    </w:p>
    <w:p w14:paraId="3A68C813" w14:textId="49B45688" w:rsidR="00225A0C" w:rsidRDefault="00225A0C" w:rsidP="00225A0C">
      <w:pPr>
        <w:rPr>
          <w:noProof/>
        </w:rPr>
      </w:pPr>
      <w:r>
        <w:rPr>
          <w:noProof/>
        </w:rPr>
        <w:t xml:space="preserve">Pentru CFM </w:t>
      </w:r>
      <w:r w:rsidRPr="00D17A39">
        <w:rPr>
          <w:noProof/>
        </w:rPr>
        <w:t>2021</w:t>
      </w:r>
      <w:r>
        <w:rPr>
          <w:noProof/>
        </w:rPr>
        <w:t>-</w:t>
      </w:r>
      <w:r w:rsidRPr="00D17A39">
        <w:rPr>
          <w:noProof/>
        </w:rPr>
        <w:t>2027</w:t>
      </w:r>
      <w:r>
        <w:rPr>
          <w:noProof/>
        </w:rPr>
        <w:t xml:space="preserve"> și NextGenerationEU, Comisia a prezentat propuneri de </w:t>
      </w:r>
      <w:r w:rsidRPr="00261B88">
        <w:rPr>
          <w:b/>
          <w:noProof/>
        </w:rPr>
        <w:t>îmbunătățire a calității datelor și a interoperabilității sistemelor informatice</w:t>
      </w:r>
      <w:r>
        <w:rPr>
          <w:noProof/>
        </w:rPr>
        <w:t xml:space="preserve"> în ceea ce privește destinatarii fondurilor UE în cazul în care bugetul este executat în cadrul gestiunii partajate și al MRR.</w:t>
      </w:r>
    </w:p>
    <w:p w14:paraId="60D0606F" w14:textId="266874AD" w:rsidR="00225A0C" w:rsidRDefault="00225A0C" w:rsidP="00225A0C">
      <w:pPr>
        <w:rPr>
          <w:noProof/>
        </w:rPr>
      </w:pPr>
      <w:r>
        <w:rPr>
          <w:noProof/>
        </w:rPr>
        <w:t xml:space="preserve">Una dintre propunerile Comisiei reținute de colegiuitori pentru MRR și politica de coeziune impune statelor membre să înregistreze și să stocheze </w:t>
      </w:r>
      <w:r w:rsidRPr="00261B88">
        <w:rPr>
          <w:b/>
          <w:noProof/>
        </w:rPr>
        <w:t>date privind destinatarii fondurilor UE și beneficiarii reali ai acestora</w:t>
      </w:r>
      <w:r>
        <w:rPr>
          <w:noProof/>
        </w:rPr>
        <w:t xml:space="preserve">. În ceea ce privește PAC, statele membre vor colecta date privind grupurile la care participă beneficiarii, după caz. </w:t>
      </w:r>
    </w:p>
    <w:p w14:paraId="351072DE" w14:textId="11B05C45" w:rsidR="00225A0C" w:rsidRDefault="00225A0C" w:rsidP="00225A0C">
      <w:pPr>
        <w:rPr>
          <w:noProof/>
        </w:rPr>
      </w:pPr>
      <w:r>
        <w:rPr>
          <w:noProof/>
        </w:rPr>
        <w:t>Prin modificarea punctuală a Regulamentului financiar</w:t>
      </w:r>
      <w:r>
        <w:rPr>
          <w:rStyle w:val="FootnoteReference"/>
          <w:noProof/>
        </w:rPr>
        <w:footnoteReference w:id="107"/>
      </w:r>
      <w:r>
        <w:rPr>
          <w:noProof/>
        </w:rPr>
        <w:t>, Comisia intenționează să îmbunătățească în continuare modul în care îi sunt furnizate publicului informații cu privire la utilizarea bugetului UE și la destinatarii fondurilor UE. Aceasta a propus să se solicite statelor membre și altor organisme care execută bugetul UE în cadrul tuturor modurilor de gestiune să furnizeze Comisiei, o dată pe an, informații cu privire la destinatarii fondurilor UE, inclusiv cu privire la identificatorii unici ai acestora în cazul persoanelor juridice. Drepturile la respectarea vieții private a beneficiarilor și datele cu caracter personal ale acestora ar trebui protejate</w:t>
      </w:r>
      <w:r>
        <w:rPr>
          <w:rStyle w:val="FootnoteReference"/>
          <w:noProof/>
        </w:rPr>
        <w:footnoteReference w:id="108"/>
      </w:r>
      <w:r>
        <w:rPr>
          <w:noProof/>
        </w:rPr>
        <w:t xml:space="preserve">. Comisia va completa aceste informații cu datele aflate la dispoziția sa cu privire la gestiunea directă și va fi responsabilă de consolidarea, centralizarea și publicarea informațiilor într-o bază de date pe un site web unic, care să acopere toate modurile de gestiune. Site-ul unic rezultat ar fi o versiune îmbunătățită a </w:t>
      </w:r>
      <w:r w:rsidRPr="00261B88">
        <w:rPr>
          <w:b/>
          <w:noProof/>
        </w:rPr>
        <w:t>sistemului de transparență financiară</w:t>
      </w:r>
      <w:r>
        <w:rPr>
          <w:noProof/>
        </w:rPr>
        <w:t xml:space="preserve"> utilizat în prezent pentru gestiunea directă.</w:t>
      </w:r>
    </w:p>
    <w:p w14:paraId="531381BE" w14:textId="17B43771" w:rsidR="00225A0C" w:rsidRDefault="00225A0C" w:rsidP="00225A0C">
      <w:pPr>
        <w:rPr>
          <w:noProof/>
        </w:rPr>
      </w:pPr>
      <w:r>
        <w:rPr>
          <w:noProof/>
        </w:rPr>
        <w:t xml:space="preserve">Modificarea punctuală a Regulamentului financiar oferă o altă oportunitate pentru îmbunătățirea în continuare a protecției bugetului UE împotriva neregulilor, a fraudei, a corupției și a conflictelor de interese. </w:t>
      </w:r>
    </w:p>
    <w:p w14:paraId="2E6540B9" w14:textId="6E3617F7" w:rsidR="002436C2" w:rsidRDefault="002436C2" w:rsidP="00225A0C">
      <w:pPr>
        <w:rPr>
          <w:noProof/>
        </w:rPr>
      </w:pPr>
      <w:r>
        <w:rPr>
          <w:noProof/>
        </w:rPr>
        <w:t xml:space="preserve">În primul rând, Comisia a propus ca </w:t>
      </w:r>
      <w:r w:rsidRPr="00261B88">
        <w:rPr>
          <w:b/>
          <w:noProof/>
        </w:rPr>
        <w:t>utilizarea unui sistem informatic unic integrat</w:t>
      </w:r>
      <w:r>
        <w:rPr>
          <w:noProof/>
        </w:rPr>
        <w:t xml:space="preserve"> pentru extragerea datelor și evaluarea riscurilor să devină </w:t>
      </w:r>
      <w:r w:rsidRPr="00261B88">
        <w:rPr>
          <w:b/>
          <w:noProof/>
        </w:rPr>
        <w:t>obligatorie</w:t>
      </w:r>
      <w:r>
        <w:rPr>
          <w:noProof/>
        </w:rPr>
        <w:t>. Utilizarea sistemului existent, Arachne, este voluntară și, deși acesta este deja utilizat în mare măsură în cadrul politicii de coeziune, iar utilizarea sa a fost introdusă pentru cheltuielile agricole, impunerea obligativității în acest sens ar reprezenta un important pas înainte.</w:t>
      </w:r>
    </w:p>
    <w:p w14:paraId="7D70C5DB" w14:textId="3B38005F" w:rsidR="00225A0C" w:rsidRDefault="00225A0C" w:rsidP="00225A0C">
      <w:pPr>
        <w:rPr>
          <w:noProof/>
        </w:rPr>
      </w:pPr>
      <w:r>
        <w:rPr>
          <w:noProof/>
        </w:rPr>
        <w:t xml:space="preserve">În al doilea rând, Comisia propune, de asemenea, </w:t>
      </w:r>
      <w:r w:rsidRPr="00261B88">
        <w:rPr>
          <w:b/>
          <w:noProof/>
        </w:rPr>
        <w:t>extinderea domeniului de aplicare și a eficacității sistemului de detectare timpurie și de excludere</w:t>
      </w:r>
      <w:r>
        <w:rPr>
          <w:noProof/>
        </w:rPr>
        <w:t xml:space="preserve"> (EDES). Acest sistem constă într-un set de măsuri împotriva operatorilor economici nefiabili. În special, aceasta permite detectarea timpurie a operatorilor economici frauduloși sau nefiabili și posibila excludere a acestora de la finanțarea din partea UE. Printre practicile interzise se numără o gamă amplă de comportamente care afectează integritatea profesională (cum ar fi frauda, corupția și abaterile profesionale grave) și deficiențele înregistrate la nivelul performanței contractuale (de exemplu, deficiențe semnificative în punerea în aplicare a contractelor finanțate cu fonduri UE)</w:t>
      </w:r>
      <w:r>
        <w:rPr>
          <w:rStyle w:val="FootnoteReference"/>
          <w:noProof/>
        </w:rPr>
        <w:footnoteReference w:id="109"/>
      </w:r>
      <w:r>
        <w:rPr>
          <w:noProof/>
        </w:rPr>
        <w:t xml:space="preserve">. În acest sens, Comisia a propus, de asemenea, extinderea sistemului la beneficiarii care fac obiectul gestiunii partajate, cu o abordare proporțională și specifică. Obiectivul este de a se asigura că deciziile de excludere luate la nivelul UE sunt puse în aplicare de autoritățile statului membru în cauză în cadrul gestiunii partajate. Comisia propune, de asemenea, să se permită excluderea entităților afiliate și/sau a beneficiarilor reali ai unei entități primare excluse de la participarea la licitații pentru contracte de achiziții publice și, în cele din urmă, de la obținerea de fonduri UE. </w:t>
      </w:r>
    </w:p>
    <w:p w14:paraId="6A635BCA" w14:textId="1C8B8429" w:rsidR="00225A0C" w:rsidRDefault="00225A0C" w:rsidP="00225A0C">
      <w:pPr>
        <w:rPr>
          <w:noProof/>
        </w:rPr>
      </w:pPr>
      <w:r>
        <w:rPr>
          <w:noProof/>
        </w:rPr>
        <w:t xml:space="preserve">În al treilea rând, modificările propuse ale Regulamentului financiar, în cazul în care vor fi aprobate de colegiuitori, </w:t>
      </w:r>
      <w:r w:rsidRPr="00261B88">
        <w:rPr>
          <w:b/>
          <w:noProof/>
        </w:rPr>
        <w:t>vor spori eficiența și calitatea controalelor și a auditurilor cu ajutorul digitalizării și al tehnologiilor emergente</w:t>
      </w:r>
      <w:r>
        <w:rPr>
          <w:noProof/>
        </w:rPr>
        <w:t xml:space="preserve">, cum ar fi învățarea automată, automatizarea proceselor robotizate și inteligența artificială. Aceste aspecte beneficiază de o mai mare vizibilitate în Regulamentul financiar pentru o utilizare mai largă și mai coerentă a auditurilor și a controalelor digitale, reducând în același timp costul controalelor și al auditurilor. Digitalizarea luptei împotriva fraudei va fi, de asemenea, un aspect care urmează să fie abordat în cadrul revizuirii planului de acțiune care însoțește strategia antifraudă a Comisiei, prevăzută pentru </w:t>
      </w:r>
      <w:r w:rsidRPr="00D17A39">
        <w:rPr>
          <w:noProof/>
        </w:rPr>
        <w:t>2023</w:t>
      </w:r>
      <w:r>
        <w:rPr>
          <w:noProof/>
        </w:rPr>
        <w:t>.</w:t>
      </w:r>
    </w:p>
    <w:p w14:paraId="00C550B1" w14:textId="5D8380DB" w:rsidR="002436C2" w:rsidRPr="00261B88" w:rsidRDefault="002436C2" w:rsidP="00AA7228">
      <w:pPr>
        <w:pStyle w:val="Caption"/>
        <w:pBdr>
          <w:top w:val="single" w:sz="4" w:space="1" w:color="auto"/>
          <w:left w:val="single" w:sz="4" w:space="4" w:color="auto"/>
          <w:bottom w:val="single" w:sz="4" w:space="1" w:color="auto"/>
          <w:right w:val="single" w:sz="4" w:space="4" w:color="auto"/>
        </w:pBdr>
        <w:shd w:val="clear" w:color="auto" w:fill="FBE4D5" w:themeFill="accent2" w:themeFillTint="33"/>
        <w:rPr>
          <w:noProof/>
        </w:rPr>
      </w:pPr>
      <w:r w:rsidRPr="00261B88">
        <w:rPr>
          <w:noProof/>
        </w:rPr>
        <w:t>Recomandarea </w:t>
      </w:r>
      <w:r w:rsidR="00FD11F8">
        <w:rPr>
          <w:noProof/>
        </w:rPr>
        <w:fldChar w:fldCharType="begin"/>
      </w:r>
      <w:r w:rsidR="00FD11F8">
        <w:rPr>
          <w:noProof/>
        </w:rPr>
        <w:instrText xml:space="preserve"> SEQ Recommendation \* ARABIC </w:instrText>
      </w:r>
      <w:r w:rsidR="00FD11F8">
        <w:rPr>
          <w:noProof/>
        </w:rPr>
        <w:fldChar w:fldCharType="separate"/>
      </w:r>
      <w:r w:rsidRPr="00261B88">
        <w:rPr>
          <w:noProof/>
        </w:rPr>
        <w:t>3</w:t>
      </w:r>
      <w:r w:rsidR="00FD11F8">
        <w:rPr>
          <w:noProof/>
        </w:rPr>
        <w:fldChar w:fldCharType="end"/>
      </w:r>
      <w:r w:rsidRPr="00261B88">
        <w:rPr>
          <w:noProof/>
        </w:rPr>
        <w:t> – Digitalizarea luptei împotriva fraudei</w:t>
      </w:r>
    </w:p>
    <w:p w14:paraId="2CB556E4" w14:textId="6E003028" w:rsidR="002436C2" w:rsidRPr="002436C2" w:rsidRDefault="002436C2" w:rsidP="00AA7228">
      <w:pPr>
        <w:pBdr>
          <w:top w:val="single" w:sz="4" w:space="1" w:color="auto"/>
          <w:left w:val="single" w:sz="4" w:space="4" w:color="auto"/>
          <w:bottom w:val="single" w:sz="4" w:space="1" w:color="auto"/>
          <w:right w:val="single" w:sz="4" w:space="4" w:color="auto"/>
        </w:pBdr>
        <w:shd w:val="clear" w:color="auto" w:fill="FBE4D5" w:themeFill="accent2" w:themeFillTint="33"/>
        <w:rPr>
          <w:noProof/>
        </w:rPr>
      </w:pPr>
      <w:r>
        <w:rPr>
          <w:noProof/>
        </w:rPr>
        <w:t>Atât timp cât revizuirea Regulamentului financiar este încă în desfășurare, Comisia invită statele membre să utilizeze pe deplin instrumentele de care dispun (Arachne, EDES, IMS) și încurajează dezvoltarea unor soluții interoperabile cu sistemele naționale pentru a valorifica pe deplin potențialul acestora.</w:t>
      </w:r>
    </w:p>
    <w:p w14:paraId="43D33256" w14:textId="06B44C44" w:rsidR="00AA7228" w:rsidRPr="00261B88" w:rsidRDefault="000424C7" w:rsidP="00775F49">
      <w:pPr>
        <w:rPr>
          <w:bCs/>
          <w:i/>
          <w:noProof/>
          <w:shd w:val="clear" w:color="auto" w:fill="FEFFFF"/>
        </w:rPr>
      </w:pPr>
      <w:r>
        <w:rPr>
          <w:noProof/>
          <w:shd w:val="clear" w:color="auto" w:fill="FEFFFF"/>
        </w:rPr>
        <w:t>O abordare promptă și proactivă a evaluării și a monitorizării riscurilor este indispensabilă pentru protejarea eficace a intereselor financiare ale UE. Aceasta include utilizarea tuturor surselor de informații disponibile, schimbul de informații între serviciile implicate și furnizarea de feedback prompt cu privire la acțiunile întreprinse. Evaluarea, schimbul de informații și monitorizarea în permanență a riscurilor, a tendințelor în materie de fraudă și a feedback-ului sunt necesare pentru a ajusta măsurile care trebuie luate pentru o mai bună protecție a intereselor financiare ale UE.</w:t>
      </w:r>
    </w:p>
    <w:p w14:paraId="183ED37D" w14:textId="01C44D9C" w:rsidR="00B01601" w:rsidRPr="00261B88" w:rsidRDefault="002C508D" w:rsidP="00DC1244">
      <w:pPr>
        <w:pStyle w:val="Caption"/>
        <w:keepNext/>
        <w:pBdr>
          <w:top w:val="single" w:sz="4" w:space="1" w:color="auto"/>
          <w:left w:val="single" w:sz="4" w:space="4" w:color="auto"/>
          <w:bottom w:val="single" w:sz="4" w:space="1" w:color="auto"/>
          <w:right w:val="single" w:sz="4" w:space="4" w:color="auto"/>
        </w:pBdr>
        <w:shd w:val="clear" w:color="auto" w:fill="FBE4D5" w:themeFill="accent2" w:themeFillTint="33"/>
        <w:rPr>
          <w:noProof/>
        </w:rPr>
      </w:pPr>
      <w:r w:rsidRPr="00261B88">
        <w:rPr>
          <w:noProof/>
        </w:rPr>
        <w:t>Recomandarea </w:t>
      </w:r>
      <w:r w:rsidR="00FD11F8">
        <w:rPr>
          <w:noProof/>
        </w:rPr>
        <w:fldChar w:fldCharType="begin"/>
      </w:r>
      <w:r w:rsidR="00FD11F8">
        <w:rPr>
          <w:noProof/>
        </w:rPr>
        <w:instrText xml:space="preserve"> SEQ Recommendation \* ARABIC </w:instrText>
      </w:r>
      <w:r w:rsidR="00FD11F8">
        <w:rPr>
          <w:noProof/>
        </w:rPr>
        <w:fldChar w:fldCharType="separate"/>
      </w:r>
      <w:r w:rsidRPr="00261B88">
        <w:rPr>
          <w:noProof/>
        </w:rPr>
        <w:t>4</w:t>
      </w:r>
      <w:r w:rsidR="00FD11F8">
        <w:rPr>
          <w:noProof/>
        </w:rPr>
        <w:fldChar w:fldCharType="end"/>
      </w:r>
      <w:r w:rsidRPr="00261B88">
        <w:rPr>
          <w:noProof/>
        </w:rPr>
        <w:t> – Consolidarea analizei riscului de fraudă</w:t>
      </w:r>
    </w:p>
    <w:p w14:paraId="3D443415" w14:textId="696D2192" w:rsidR="002C508D" w:rsidRDefault="002C508D" w:rsidP="00E85864">
      <w:pPr>
        <w:pBdr>
          <w:top w:val="single" w:sz="4" w:space="1" w:color="auto"/>
          <w:left w:val="single" w:sz="4" w:space="4" w:color="auto"/>
          <w:bottom w:val="single" w:sz="4" w:space="1" w:color="auto"/>
          <w:right w:val="single" w:sz="4" w:space="4" w:color="auto"/>
        </w:pBdr>
        <w:shd w:val="clear" w:color="auto" w:fill="FBE4D5" w:themeFill="accent2" w:themeFillTint="33"/>
        <w:rPr>
          <w:noProof/>
        </w:rPr>
      </w:pPr>
      <w:r>
        <w:rPr>
          <w:noProof/>
        </w:rPr>
        <w:t>Statele membre ar trebui să adopte o abordare proactivă în ceea ce privește protejarea intereselor financiare ale UE. Aceasta înseamnă utilizarea datelor din toate sursele disponibile, analizarea datelor și schimbul de informații, inclusiv cu autoritățile de aplicare a legii și cu Comisia, pentru a identifica și a aborda riscurile emergente și tendințele în materie de fraudă în timp util.</w:t>
      </w:r>
    </w:p>
    <w:p w14:paraId="7C8EE304" w14:textId="7DC6B9CF" w:rsidR="00640FAD" w:rsidRPr="00E85864" w:rsidRDefault="00640FAD" w:rsidP="00E85864">
      <w:pPr>
        <w:pBdr>
          <w:top w:val="single" w:sz="4" w:space="1" w:color="auto"/>
          <w:left w:val="single" w:sz="4" w:space="4" w:color="auto"/>
          <w:bottom w:val="single" w:sz="4" w:space="1" w:color="auto"/>
          <w:right w:val="single" w:sz="4" w:space="4" w:color="auto"/>
        </w:pBdr>
        <w:shd w:val="clear" w:color="auto" w:fill="FBE4D5" w:themeFill="accent2" w:themeFillTint="33"/>
        <w:rPr>
          <w:noProof/>
        </w:rPr>
      </w:pPr>
      <w:r>
        <w:rPr>
          <w:noProof/>
        </w:rPr>
        <w:t>Statele membre ar trebui, de asemenea, să acționeze pe baza informațiilor furnizate de Comisie în prezenta analiză strategică și în alte analize strategice și rapoarte specifice și să furnizeze feedback prompt cu privire la acțiunile pe care le întreprind pentru a contribui la monitorizarea riscurilor și a tendințelor în materie de fraudă.</w:t>
      </w:r>
    </w:p>
    <w:sectPr w:rsidR="00640FAD" w:rsidRPr="00E85864" w:rsidSect="007E088F">
      <w:headerReference w:type="even" r:id="rId26"/>
      <w:headerReference w:type="default" r:id="rId27"/>
      <w:footerReference w:type="even" r:id="rId28"/>
      <w:footerReference w:type="default" r:id="rId29"/>
      <w:headerReference w:type="first" r:id="rId30"/>
      <w:footerReference w:type="first" r:id="rId31"/>
      <w:pgSz w:w="11906" w:h="16838"/>
      <w:pgMar w:top="1020" w:right="1701" w:bottom="1020" w:left="1587" w:header="601" w:footer="1077" w:gutter="0"/>
      <w:pgNumType w:start="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65086" w14:textId="77777777" w:rsidR="00261B88" w:rsidRDefault="00261B88">
      <w:pPr>
        <w:spacing w:after="0" w:line="240" w:lineRule="auto"/>
      </w:pPr>
      <w:r>
        <w:separator/>
      </w:r>
    </w:p>
  </w:endnote>
  <w:endnote w:type="continuationSeparator" w:id="0">
    <w:p w14:paraId="7A07E701" w14:textId="77777777" w:rsidR="00261B88" w:rsidRDefault="00261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AA841" w14:textId="77777777" w:rsidR="002814D9" w:rsidRPr="002814D9" w:rsidRDefault="002814D9" w:rsidP="002814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6D028" w14:textId="0C7FA66F" w:rsidR="00261B88" w:rsidRPr="002814D9" w:rsidRDefault="002814D9" w:rsidP="002814D9">
    <w:pPr>
      <w:pStyle w:val="FooterCoverPage"/>
      <w:rPr>
        <w:rFonts w:ascii="Arial" w:hAnsi="Arial" w:cs="Arial"/>
        <w:b/>
        <w:sz w:val="48"/>
      </w:rPr>
    </w:pPr>
    <w:r w:rsidRPr="002814D9">
      <w:rPr>
        <w:rFonts w:ascii="Arial" w:hAnsi="Arial" w:cs="Arial"/>
        <w:b/>
        <w:sz w:val="48"/>
      </w:rPr>
      <w:t>RO</w:t>
    </w:r>
    <w:r w:rsidRPr="002814D9">
      <w:rPr>
        <w:rFonts w:ascii="Arial" w:hAnsi="Arial" w:cs="Arial"/>
        <w:b/>
        <w:sz w:val="48"/>
      </w:rPr>
      <w:tab/>
    </w:r>
    <w:r w:rsidRPr="002814D9">
      <w:rPr>
        <w:rFonts w:ascii="Arial" w:hAnsi="Arial" w:cs="Arial"/>
        <w:b/>
        <w:sz w:val="48"/>
      </w:rPr>
      <w:tab/>
    </w:r>
    <w:r w:rsidRPr="002814D9">
      <w:tab/>
    </w:r>
    <w:r w:rsidRPr="002814D9">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5EB0F" w14:textId="77777777" w:rsidR="002814D9" w:rsidRPr="002814D9" w:rsidRDefault="002814D9" w:rsidP="002814D9">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17B2F" w14:textId="030699FB" w:rsidR="00261B88" w:rsidRDefault="002814D9">
    <w:pPr>
      <w:pStyle w:val="FooterLine"/>
    </w:pPr>
    <w:sdt>
      <w:sdtPr>
        <w:id w:val="-528648053"/>
        <w:dataBinding w:prefixMappings="xmlns:cp=&quot;http://schemas.openxmlformats.org/package/2006/metadata/core-properties&quot; xmlns:dc=&quot;http://purl.org/dc/elements/1.1/&quot; xmlns:dcterms=&quot;http://purl.org/dc/terms/&quot;" w:xpath="/cp:coreProperties[1]/dc:title[1]" w:storeItemID="{6C3C8BC8-F283-45AE-878A-BAB7291924A1}"/>
        <w:text w:multiLine="1"/>
      </w:sdtPr>
      <w:sdtEndPr/>
      <w:sdtContent>
        <w:r w:rsidR="00261B88">
          <w:t>33rd Annual Report on the protection of the EU financial interests and the fight against fraud</w:t>
        </w:r>
      </w:sdtContent>
    </w:sdt>
    <w:r w:rsidR="00261B88">
      <w:t xml:space="preserve"> - </w:t>
    </w:r>
    <w:sdt>
      <w:sdtPr>
        <w:id w:val="-689454819"/>
        <w:dataBinding w:prefixMappings="xmlns:cp=&quot;http://schemas.openxmlformats.org/package/2006/metadata/core-properties&quot; xmlns:dc=&quot;http://purl.org/dc/elements/1.1/&quot; xmlns:dcterms=&quot;http://purl.org/dc/terms/&quot;" w:xpath="/cp:coreProperties[1]/dc:subject[1]" w:storeItemID="{6C3C8BC8-F283-45AE-878A-BAB7291924A1}"/>
        <w:text w:multiLine="1"/>
      </w:sdtPr>
      <w:sdtEndPr/>
      <w:sdtContent>
        <w:r w:rsidR="00261B88">
          <w:t>2021</w:t>
        </w:r>
      </w:sdtContent>
    </w:sdt>
    <w:r w:rsidR="00261B88">
      <w:tab/>
      <w:t xml:space="preserve">Pagina </w:t>
    </w:r>
    <w:r w:rsidR="00261B88">
      <w:fldChar w:fldCharType="begin"/>
    </w:r>
    <w:r w:rsidR="00261B88">
      <w:instrText>PAGE</w:instrText>
    </w:r>
    <w:r w:rsidR="00261B88">
      <w:fldChar w:fldCharType="separate"/>
    </w:r>
    <w:r w:rsidR="00261B88">
      <w:t>3</w:t>
    </w:r>
    <w:r w:rsidR="00261B88">
      <w:fldChar w:fldCharType="end"/>
    </w:r>
    <w:r w:rsidR="00261B88">
      <w:t xml:space="preserve"> / </w:t>
    </w:r>
    <w:r w:rsidR="00261B88">
      <w:fldChar w:fldCharType="begin"/>
    </w:r>
    <w:r w:rsidR="00261B88">
      <w:instrText>NUMPAGES</w:instrText>
    </w:r>
    <w:r w:rsidR="00261B88">
      <w:fldChar w:fldCharType="separate"/>
    </w:r>
    <w:r w:rsidR="00261B88">
      <w:t>44</w:t>
    </w:r>
    <w:r w:rsidR="00261B88">
      <w:fldChar w:fldCharType="end"/>
    </w:r>
  </w:p>
  <w:p w14:paraId="4BBF67B5" w14:textId="77777777" w:rsidR="00261B88" w:rsidRDefault="002814D9">
    <w:pPr>
      <w:pStyle w:val="Footer"/>
    </w:pPr>
    <w:sdt>
      <w:sdtPr>
        <w:id w:val="-431048948"/>
        <w:dataBinding w:xpath="/Texts/TechFooterVersion" w:storeItemID="{4EF90DE6-88B6-4264-9629-4D8DFDFE87D2}"/>
        <w:text w:multiLine="1"/>
      </w:sdtPr>
      <w:sdtEndPr/>
      <w:sdtContent>
        <w:r w:rsidR="00261B88">
          <w:t>Versiunea documentului</w:t>
        </w:r>
      </w:sdtContent>
    </w:sdt>
    <w:r w:rsidR="00261B88">
      <w:t xml:space="preserve"> </w:t>
    </w:r>
    <w:sdt>
      <w:sdtPr>
        <w:alias w:val="Versiune"/>
        <w:id w:val="-1221436014"/>
        <w:dataBinding w:xpath="/EurolookProperties/DocumentVersion" w:storeItemID="{D3EA5527-7367-4268-9D83-5125C98D0ED2}"/>
        <w:text w:multiLine="1"/>
      </w:sdtPr>
      <w:sdtEndPr/>
      <w:sdtContent>
        <w:r w:rsidR="00261B88">
          <w:t>1.1</w:t>
        </w:r>
      </w:sdtContent>
    </w:sdt>
    <w:r w:rsidR="00261B88">
      <w:t xml:space="preserve"> </w:t>
    </w:r>
    <w:sdt>
      <w:sdtPr>
        <w:id w:val="65012159"/>
        <w:dataBinding w:xpath="/Texts/TechFooterDated" w:storeItemID="{4EF90DE6-88B6-4264-9629-4D8DFDFE87D2}"/>
        <w:text w:multiLine="1"/>
      </w:sdtPr>
      <w:sdtEndPr/>
      <w:sdtContent>
        <w:r w:rsidR="00261B88">
          <w:t>din data de</w:t>
        </w:r>
      </w:sdtContent>
    </w:sdt>
    <w:r w:rsidR="00261B88">
      <w:t xml:space="preserve"> </w:t>
    </w:r>
    <w:sdt>
      <w:sdtPr>
        <w:alias w:val=""/>
        <w:id w:val="1319300535"/>
        <w:dataBinding w:xpath="/EurolookProperties/DocumentDate" w:storeItemID="{D3EA5527-7367-4268-9D83-5125C98D0ED2}"/>
        <w:date w:fullDate="2022-06-20T00:00:00Z">
          <w:dateFormat w:val="dd/MM/yyyy"/>
          <w:lid w:val="ro-RO"/>
          <w:storeMappedDataAs w:val="dateTime"/>
          <w:calendar w:val="gregorian"/>
        </w:date>
      </w:sdtPr>
      <w:sdtEndPr/>
      <w:sdtContent>
        <w:r w:rsidR="00261B88">
          <w:t>20/06/2022</w:t>
        </w:r>
      </w:sdtContent>
    </w:sdt>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1661D" w14:textId="75F1C911" w:rsidR="00261B88" w:rsidRDefault="00261B88">
    <w:pPr>
      <w:pStyle w:val="FooterLine"/>
    </w:pPr>
    <w:r>
      <w:tab/>
      <w:t xml:space="preserve">Pagina </w:t>
    </w:r>
    <w:r>
      <w:fldChar w:fldCharType="begin"/>
    </w:r>
    <w:r>
      <w:instrText>PAGE</w:instrText>
    </w:r>
    <w:r>
      <w:fldChar w:fldCharType="separate"/>
    </w:r>
    <w:r w:rsidR="002814D9">
      <w:rPr>
        <w:noProof/>
      </w:rPr>
      <w:t>23</w:t>
    </w:r>
    <w:r>
      <w:fldChar w:fldCharType="end"/>
    </w:r>
    <w:r>
      <w:t xml:space="preserve"> / </w:t>
    </w:r>
    <w:r>
      <w:fldChar w:fldCharType="begin"/>
    </w:r>
    <w:r>
      <w:instrText>NUMPAGES</w:instrText>
    </w:r>
    <w:r>
      <w:fldChar w:fldCharType="separate"/>
    </w:r>
    <w:r w:rsidR="002814D9">
      <w:rPr>
        <w:noProof/>
      </w:rPr>
      <w:t>23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5BEF7" w14:textId="77777777" w:rsidR="00261B88" w:rsidRPr="00727AB1" w:rsidRDefault="00261B88" w:rsidP="00727A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376F4" w14:textId="77777777" w:rsidR="00261B88" w:rsidRDefault="00261B88">
      <w:pPr>
        <w:spacing w:after="0" w:line="240" w:lineRule="auto"/>
      </w:pPr>
      <w:r>
        <w:separator/>
      </w:r>
    </w:p>
  </w:footnote>
  <w:footnote w:type="continuationSeparator" w:id="0">
    <w:p w14:paraId="378743FA" w14:textId="77777777" w:rsidR="00261B88" w:rsidRDefault="00261B88">
      <w:pPr>
        <w:spacing w:after="0" w:line="240" w:lineRule="auto"/>
      </w:pPr>
      <w:r>
        <w:continuationSeparator/>
      </w:r>
    </w:p>
  </w:footnote>
  <w:footnote w:id="1">
    <w:p w14:paraId="0C6E18E0" w14:textId="0FBEE3E8" w:rsidR="00261B88" w:rsidRDefault="00261B88" w:rsidP="00167262">
      <w:pPr>
        <w:pStyle w:val="FootnoteText"/>
      </w:pPr>
      <w:r>
        <w:rPr>
          <w:rStyle w:val="FootnoteReference"/>
        </w:rPr>
        <w:footnoteRef/>
      </w:r>
      <w:r>
        <w:tab/>
        <w:t xml:space="preserve">Cunoscut și sub numele de raportul PIF, de la sintagma în limba franceză </w:t>
      </w:r>
      <w:r w:rsidRPr="00261B88">
        <w:rPr>
          <w:i/>
        </w:rPr>
        <w:t>Protection des Intérêts Financiers</w:t>
      </w:r>
      <w:r>
        <w:t>, prezentul raport este însoțit de șase documente de lucru ale serviciilor Comisiei referitoare la:</w:t>
      </w:r>
    </w:p>
    <w:p w14:paraId="76BCF821" w14:textId="2939F2F4" w:rsidR="00261B88" w:rsidRPr="00DC0ACA" w:rsidRDefault="00261B88" w:rsidP="00167262">
      <w:pPr>
        <w:pStyle w:val="FootnoteText"/>
        <w:numPr>
          <w:ilvl w:val="0"/>
          <w:numId w:val="17"/>
        </w:numPr>
        <w:spacing w:line="240" w:lineRule="auto"/>
      </w:pPr>
      <w:r>
        <w:t xml:space="preserve">evaluarea statistică a neregulilor raportate cu privire la resursele proprii, resursele naturale, politica de coeziune, asistența pentru preaderare și cheltuielile directe în </w:t>
      </w:r>
      <w:r w:rsidRPr="00D17A39">
        <w:t>2020</w:t>
      </w:r>
      <w:r>
        <w:t>;</w:t>
      </w:r>
    </w:p>
    <w:p w14:paraId="4A87F104" w14:textId="2F2A52E8" w:rsidR="00261B88" w:rsidRPr="00B51456" w:rsidRDefault="00261B88" w:rsidP="00167262">
      <w:pPr>
        <w:pStyle w:val="FootnoteText"/>
        <w:numPr>
          <w:ilvl w:val="0"/>
          <w:numId w:val="17"/>
        </w:numPr>
        <w:spacing w:line="240" w:lineRule="auto"/>
      </w:pPr>
      <w:r>
        <w:t xml:space="preserve">măsurile adoptate de statele membre pentru protejarea intereselor financiare ale UE în </w:t>
      </w:r>
      <w:r w:rsidRPr="00D17A39">
        <w:t>2021</w:t>
      </w:r>
      <w:r>
        <w:t>;</w:t>
      </w:r>
    </w:p>
    <w:p w14:paraId="5C35F700" w14:textId="05BB6713" w:rsidR="00261B88" w:rsidRPr="00B51456" w:rsidRDefault="00261B88" w:rsidP="00167262">
      <w:pPr>
        <w:pStyle w:val="FootnoteText"/>
        <w:numPr>
          <w:ilvl w:val="0"/>
          <w:numId w:val="17"/>
        </w:numPr>
        <w:spacing w:line="240" w:lineRule="auto"/>
      </w:pPr>
      <w:r>
        <w:t>acțiunile întreprinse în urma recomandărilor din raportul Comisiei privind protejarea intereselor financiare ale Uniunii Europene – Combaterea fraudei – </w:t>
      </w:r>
      <w:r w:rsidRPr="00D17A39">
        <w:t>2020</w:t>
      </w:r>
      <w:r>
        <w:t>;</w:t>
      </w:r>
    </w:p>
    <w:p w14:paraId="1D519EF5" w14:textId="77777777" w:rsidR="00261B88" w:rsidRPr="00F6664B" w:rsidRDefault="00261B88" w:rsidP="00167262">
      <w:pPr>
        <w:pStyle w:val="FootnoteText"/>
        <w:numPr>
          <w:ilvl w:val="0"/>
          <w:numId w:val="17"/>
        </w:numPr>
        <w:spacing w:line="240" w:lineRule="auto"/>
      </w:pPr>
      <w:r>
        <w:t>punerea în aplicare a Programului european de luptă antifraudă – </w:t>
      </w:r>
      <w:r w:rsidRPr="00D17A39">
        <w:t>2021</w:t>
      </w:r>
      <w:r>
        <w:t>;</w:t>
      </w:r>
    </w:p>
    <w:p w14:paraId="5F4BDC51" w14:textId="77777777" w:rsidR="00261B88" w:rsidRDefault="00261B88" w:rsidP="00167262">
      <w:pPr>
        <w:pStyle w:val="FootnoteText"/>
        <w:numPr>
          <w:ilvl w:val="0"/>
          <w:numId w:val="17"/>
        </w:numPr>
        <w:spacing w:line="240" w:lineRule="auto"/>
      </w:pPr>
      <w:r>
        <w:t>sistemul de detectare timpurie și de excludere (EDES) – grupul menționat la articolul </w:t>
      </w:r>
      <w:r w:rsidRPr="00D17A39">
        <w:t>143</w:t>
      </w:r>
      <w:r>
        <w:t xml:space="preserve"> din Regulamentul financiar;</w:t>
      </w:r>
    </w:p>
    <w:p w14:paraId="7C4FFBEB" w14:textId="741F65BE" w:rsidR="00261B88" w:rsidRPr="00677134" w:rsidRDefault="00261B88" w:rsidP="00FB11CB">
      <w:pPr>
        <w:pStyle w:val="FootnoteText"/>
        <w:numPr>
          <w:ilvl w:val="0"/>
          <w:numId w:val="17"/>
        </w:numPr>
      </w:pPr>
      <w:r>
        <w:t>planul de acțiune SAFC – situația actuală: iunie </w:t>
      </w:r>
      <w:r w:rsidRPr="00D17A39">
        <w:t>2022</w:t>
      </w:r>
      <w:r>
        <w:t>.</w:t>
      </w:r>
    </w:p>
  </w:footnote>
  <w:footnote w:id="2">
    <w:p w14:paraId="6580E821" w14:textId="53CD0D61" w:rsidR="00261B88" w:rsidRPr="00131B72" w:rsidRDefault="00261B88">
      <w:pPr>
        <w:pStyle w:val="FootnoteText"/>
      </w:pPr>
      <w:r>
        <w:rPr>
          <w:rStyle w:val="FootnoteReference"/>
        </w:rPr>
        <w:footnoteRef/>
      </w:r>
      <w:r>
        <w:tab/>
        <w:t>Articolul </w:t>
      </w:r>
      <w:r w:rsidRPr="00D17A39">
        <w:t>1</w:t>
      </w:r>
      <w:r>
        <w:t xml:space="preserve"> punctul </w:t>
      </w:r>
      <w:r w:rsidRPr="00D17A39">
        <w:t>2</w:t>
      </w:r>
      <w:r>
        <w:t xml:space="preserve"> din Regulamentul (CE, Euratom) nr. </w:t>
      </w:r>
      <w:r w:rsidRPr="00D17A39">
        <w:t>2988</w:t>
      </w:r>
      <w:r>
        <w:t>/</w:t>
      </w:r>
      <w:r w:rsidRPr="00D17A39">
        <w:t>95</w:t>
      </w:r>
      <w:r>
        <w:t xml:space="preserve"> al Consiliului din </w:t>
      </w:r>
      <w:r w:rsidRPr="00D17A39">
        <w:t>18</w:t>
      </w:r>
      <w:r>
        <w:t> decembrie </w:t>
      </w:r>
      <w:r w:rsidRPr="00D17A39">
        <w:t>1995</w:t>
      </w:r>
      <w:r>
        <w:t xml:space="preserve"> (JO L </w:t>
      </w:r>
      <w:r w:rsidRPr="00D17A39">
        <w:t>312</w:t>
      </w:r>
      <w:r>
        <w:t xml:space="preserve">, </w:t>
      </w:r>
      <w:r w:rsidRPr="00D17A39">
        <w:t>23</w:t>
      </w:r>
      <w:r>
        <w:t>.</w:t>
      </w:r>
      <w:r w:rsidRPr="00D17A39">
        <w:t>12</w:t>
      </w:r>
      <w:r>
        <w:t>.</w:t>
      </w:r>
      <w:r w:rsidRPr="00D17A39">
        <w:t>1995</w:t>
      </w:r>
      <w:r>
        <w:t>) și articolul </w:t>
      </w:r>
      <w:r w:rsidRPr="00D17A39">
        <w:t>2</w:t>
      </w:r>
      <w:r>
        <w:t xml:space="preserve"> punctul </w:t>
      </w:r>
      <w:r w:rsidRPr="00D17A39">
        <w:t>35</w:t>
      </w:r>
      <w:r>
        <w:t xml:space="preserve"> din Regulamentul (UE) nr. </w:t>
      </w:r>
      <w:r w:rsidRPr="00D17A39">
        <w:t>1303</w:t>
      </w:r>
      <w:r>
        <w:t>/</w:t>
      </w:r>
      <w:r w:rsidRPr="00D17A39">
        <w:t>2013</w:t>
      </w:r>
      <w:r>
        <w:t xml:space="preserve"> al Parlamentului European și al Consiliului din </w:t>
      </w:r>
      <w:r w:rsidRPr="00D17A39">
        <w:t>17</w:t>
      </w:r>
      <w:r>
        <w:t> decembrie </w:t>
      </w:r>
      <w:r w:rsidRPr="00D17A39">
        <w:t>2013</w:t>
      </w:r>
      <w:r>
        <w:t xml:space="preserve"> (JO L </w:t>
      </w:r>
      <w:r w:rsidRPr="00D17A39">
        <w:t>347</w:t>
      </w:r>
      <w:r>
        <w:t xml:space="preserve">, </w:t>
      </w:r>
      <w:r w:rsidRPr="00D17A39">
        <w:t>20</w:t>
      </w:r>
      <w:r>
        <w:t>.</w:t>
      </w:r>
      <w:r w:rsidRPr="00D17A39">
        <w:t>12</w:t>
      </w:r>
      <w:r>
        <w:t>.</w:t>
      </w:r>
      <w:r w:rsidRPr="00D17A39">
        <w:t>2013</w:t>
      </w:r>
      <w:r>
        <w:t>).</w:t>
      </w:r>
    </w:p>
  </w:footnote>
  <w:footnote w:id="3">
    <w:p w14:paraId="1D5614CE" w14:textId="47877585" w:rsidR="00261B88" w:rsidRPr="00B7631B" w:rsidRDefault="00261B88" w:rsidP="00B7631B">
      <w:pPr>
        <w:pStyle w:val="FootnoteText"/>
      </w:pPr>
      <w:r>
        <w:rPr>
          <w:rStyle w:val="FootnoteReference"/>
        </w:rPr>
        <w:footnoteRef/>
      </w:r>
      <w:r>
        <w:tab/>
        <w:t>A se vedea, de exemplu, articolul </w:t>
      </w:r>
      <w:r w:rsidRPr="00D17A39">
        <w:t>2</w:t>
      </w:r>
      <w:r>
        <w:t xml:space="preserve"> litera (a) din Regulamentul delegat (UE) </w:t>
      </w:r>
      <w:r w:rsidRPr="00D17A39">
        <w:t>2015</w:t>
      </w:r>
      <w:r>
        <w:t>/</w:t>
      </w:r>
      <w:r w:rsidRPr="00D17A39">
        <w:t>1970</w:t>
      </w:r>
      <w:r>
        <w:t xml:space="preserve"> al Comisiei din </w:t>
      </w:r>
      <w:r w:rsidRPr="00D17A39">
        <w:t>8</w:t>
      </w:r>
      <w:r>
        <w:t> iulie </w:t>
      </w:r>
      <w:r w:rsidRPr="00D17A39">
        <w:t>2015</w:t>
      </w:r>
      <w:r>
        <w:t>, JO L </w:t>
      </w:r>
      <w:r w:rsidRPr="00D17A39">
        <w:t>293</w:t>
      </w:r>
      <w:r>
        <w:t xml:space="preserve">, </w:t>
      </w:r>
      <w:r w:rsidRPr="00D17A39">
        <w:t>10</w:t>
      </w:r>
      <w:r>
        <w:t>.</w:t>
      </w:r>
      <w:r w:rsidRPr="00D17A39">
        <w:t>11</w:t>
      </w:r>
      <w:r>
        <w:t>.</w:t>
      </w:r>
      <w:r w:rsidRPr="00D17A39">
        <w:t>2015</w:t>
      </w:r>
      <w:r>
        <w:t>.</w:t>
      </w:r>
    </w:p>
  </w:footnote>
  <w:footnote w:id="4">
    <w:p w14:paraId="0A68DC03" w14:textId="4A6FC94E" w:rsidR="00261B88" w:rsidRPr="00783105" w:rsidRDefault="00261B88">
      <w:pPr>
        <w:pStyle w:val="FootnoteText"/>
      </w:pPr>
      <w:r>
        <w:rPr>
          <w:rStyle w:val="FootnoteReference"/>
        </w:rPr>
        <w:footnoteRef/>
      </w:r>
      <w:r>
        <w:tab/>
        <w:t>Articolul </w:t>
      </w:r>
      <w:r w:rsidRPr="00D17A39">
        <w:t>2</w:t>
      </w:r>
      <w:r>
        <w:t xml:space="preserve"> alineatul (</w:t>
      </w:r>
      <w:r w:rsidRPr="00D17A39">
        <w:t>1</w:t>
      </w:r>
      <w:r>
        <w:t>) litera (a) din Directiva (UE) </w:t>
      </w:r>
      <w:r w:rsidRPr="00D17A39">
        <w:t>2017</w:t>
      </w:r>
      <w:r>
        <w:t>/</w:t>
      </w:r>
      <w:r w:rsidRPr="00D17A39">
        <w:t>1371</w:t>
      </w:r>
      <w:r>
        <w:t xml:space="preserve"> a Parlamentului European și a Consiliului din </w:t>
      </w:r>
      <w:r w:rsidRPr="00D17A39">
        <w:t>5</w:t>
      </w:r>
      <w:r>
        <w:t> iulie </w:t>
      </w:r>
      <w:r w:rsidRPr="00D17A39">
        <w:t>2017</w:t>
      </w:r>
      <w:r>
        <w:t xml:space="preserve"> (JO L </w:t>
      </w:r>
      <w:r w:rsidRPr="00D17A39">
        <w:t>198</w:t>
      </w:r>
      <w:r>
        <w:t xml:space="preserve">, </w:t>
      </w:r>
      <w:r w:rsidRPr="00D17A39">
        <w:t>28</w:t>
      </w:r>
      <w:r>
        <w:t>.</w:t>
      </w:r>
      <w:r w:rsidRPr="00D17A39">
        <w:t>7</w:t>
      </w:r>
      <w:r>
        <w:t>.</w:t>
      </w:r>
      <w:r w:rsidRPr="00D17A39">
        <w:t>2017</w:t>
      </w:r>
      <w:r>
        <w:t>, p. </w:t>
      </w:r>
      <w:r w:rsidRPr="00D17A39">
        <w:t>29</w:t>
      </w:r>
      <w:r>
        <w:t>).</w:t>
      </w:r>
    </w:p>
  </w:footnote>
  <w:footnote w:id="5">
    <w:p w14:paraId="52192855" w14:textId="36A9A8D1" w:rsidR="00261B88" w:rsidRPr="00A828A1" w:rsidRDefault="00261B88">
      <w:pPr>
        <w:pStyle w:val="FootnoteText"/>
      </w:pPr>
      <w:r>
        <w:rPr>
          <w:rStyle w:val="FootnoteReference"/>
        </w:rPr>
        <w:footnoteRef/>
      </w:r>
      <w:r>
        <w:tab/>
        <w:t xml:space="preserve">RPT sunt formate în principal din taxe vamale, după deducerea ratei de reținere de </w:t>
      </w:r>
      <w:r w:rsidRPr="00D17A39">
        <w:t>25</w:t>
      </w:r>
      <w:r>
        <w:t> %.</w:t>
      </w:r>
    </w:p>
  </w:footnote>
  <w:footnote w:id="6">
    <w:p w14:paraId="73CD02E7" w14:textId="3D8A9339" w:rsidR="00261B88" w:rsidRPr="00662EE8" w:rsidRDefault="00261B88" w:rsidP="00662EE8">
      <w:pPr>
        <w:pStyle w:val="FootnoteText"/>
      </w:pPr>
      <w:r>
        <w:rPr>
          <w:rStyle w:val="FootnoteReference"/>
        </w:rPr>
        <w:footnoteRef/>
      </w:r>
      <w:r>
        <w:tab/>
        <w:t xml:space="preserve">Pentru procedura anuală de adoptare a bugetului UE, a se consulta </w:t>
      </w:r>
      <w:hyperlink r:id="rId1" w:history="1">
        <w:r w:rsidRPr="00261B88">
          <w:rPr>
            <w:rStyle w:val="Hyperlink"/>
          </w:rPr>
          <w:t>https://ec.europa.eu/info/sites/default/files/about_the_european_commission/eu_budget/budgetary-procedure.pdf</w:t>
        </w:r>
      </w:hyperlink>
      <w:r>
        <w:t xml:space="preserve">. </w:t>
      </w:r>
    </w:p>
  </w:footnote>
  <w:footnote w:id="7">
    <w:p w14:paraId="1AF55161" w14:textId="77777777" w:rsidR="00261B88" w:rsidRPr="00064746" w:rsidRDefault="00261B88" w:rsidP="00A83949">
      <w:pPr>
        <w:pStyle w:val="FootnoteText"/>
      </w:pPr>
      <w:r>
        <w:rPr>
          <w:rStyle w:val="FootnoteReference"/>
        </w:rPr>
        <w:footnoteRef/>
      </w:r>
      <w:r>
        <w:tab/>
        <w:t>JO L </w:t>
      </w:r>
      <w:r w:rsidRPr="00D17A39">
        <w:t>57</w:t>
      </w:r>
      <w:r>
        <w:t xml:space="preserve">, </w:t>
      </w:r>
      <w:r w:rsidRPr="00D17A39">
        <w:t>18</w:t>
      </w:r>
      <w:r>
        <w:t>.</w:t>
      </w:r>
      <w:r w:rsidRPr="00D17A39">
        <w:t>2</w:t>
      </w:r>
      <w:r>
        <w:t>.</w:t>
      </w:r>
      <w:r w:rsidRPr="00D17A39">
        <w:t>2021</w:t>
      </w:r>
      <w:r>
        <w:t>, p. </w:t>
      </w:r>
      <w:r w:rsidRPr="00D17A39">
        <w:t>17</w:t>
      </w:r>
      <w:r>
        <w:t xml:space="preserve">. </w:t>
      </w:r>
    </w:p>
  </w:footnote>
  <w:footnote w:id="8">
    <w:p w14:paraId="503FBAA6" w14:textId="19ED1A6E" w:rsidR="00261B88" w:rsidRPr="00064746" w:rsidRDefault="00261B88" w:rsidP="00A83949">
      <w:pPr>
        <w:pStyle w:val="FootnoteText"/>
      </w:pPr>
      <w:r>
        <w:rPr>
          <w:rStyle w:val="FootnoteReference"/>
        </w:rPr>
        <w:footnoteRef/>
      </w:r>
      <w:r>
        <w:tab/>
        <w:t>Secțiunea </w:t>
      </w:r>
      <w:r w:rsidRPr="00D17A39">
        <w:t>5</w:t>
      </w:r>
      <w:r>
        <w:t>.</w:t>
      </w:r>
      <w:r w:rsidRPr="00D17A39">
        <w:t>2</w:t>
      </w:r>
      <w:r>
        <w:t xml:space="preserve"> conține mai multe informații cu privire la punerea sa în aplicare.</w:t>
      </w:r>
    </w:p>
  </w:footnote>
  <w:footnote w:id="9">
    <w:p w14:paraId="08CDB024" w14:textId="7A235270" w:rsidR="00261B88" w:rsidRPr="00261CD5" w:rsidRDefault="00261B88">
      <w:pPr>
        <w:pStyle w:val="FootnoteText"/>
      </w:pPr>
      <w:r>
        <w:rPr>
          <w:rStyle w:val="FootnoteReference"/>
        </w:rPr>
        <w:footnoteRef/>
      </w:r>
      <w:r>
        <w:tab/>
        <w:t>JO L </w:t>
      </w:r>
      <w:r w:rsidRPr="00D17A39">
        <w:t>231</w:t>
      </w:r>
      <w:r>
        <w:t xml:space="preserve">, </w:t>
      </w:r>
      <w:r w:rsidRPr="00D17A39">
        <w:t>30</w:t>
      </w:r>
      <w:r>
        <w:t>.</w:t>
      </w:r>
      <w:r w:rsidRPr="00D17A39">
        <w:t>6</w:t>
      </w:r>
      <w:r>
        <w:t>.</w:t>
      </w:r>
      <w:r w:rsidRPr="00D17A39">
        <w:t>2021</w:t>
      </w:r>
      <w:r>
        <w:t>, p. </w:t>
      </w:r>
      <w:r w:rsidRPr="00D17A39">
        <w:t>159</w:t>
      </w:r>
      <w:r>
        <w:t>.</w:t>
      </w:r>
    </w:p>
  </w:footnote>
  <w:footnote w:id="10">
    <w:p w14:paraId="03365201" w14:textId="77777777" w:rsidR="00261B88" w:rsidRPr="00DC1244" w:rsidRDefault="00261B88">
      <w:pPr>
        <w:pStyle w:val="FootnoteText"/>
      </w:pPr>
      <w:r>
        <w:rPr>
          <w:rStyle w:val="FootnoteReference"/>
        </w:rPr>
        <w:footnoteRef/>
      </w:r>
      <w:r>
        <w:tab/>
        <w:t>JO L </w:t>
      </w:r>
      <w:r w:rsidRPr="00D17A39">
        <w:t>172</w:t>
      </w:r>
      <w:r>
        <w:t xml:space="preserve">, </w:t>
      </w:r>
      <w:r w:rsidRPr="00D17A39">
        <w:t>17</w:t>
      </w:r>
      <w:r>
        <w:t>.</w:t>
      </w:r>
      <w:r w:rsidRPr="00D17A39">
        <w:t>5</w:t>
      </w:r>
      <w:r>
        <w:t>.</w:t>
      </w:r>
      <w:r w:rsidRPr="00D17A39">
        <w:t>2021</w:t>
      </w:r>
      <w:r>
        <w:t>, p. </w:t>
      </w:r>
      <w:r w:rsidRPr="00D17A39">
        <w:t>110</w:t>
      </w:r>
      <w:r>
        <w:t>.</w:t>
      </w:r>
    </w:p>
  </w:footnote>
  <w:footnote w:id="11">
    <w:p w14:paraId="55F49F7E" w14:textId="1AEFAA9D" w:rsidR="00261B88" w:rsidRPr="008A6DCE" w:rsidRDefault="00261B88">
      <w:pPr>
        <w:pStyle w:val="FootnoteText"/>
      </w:pPr>
      <w:r>
        <w:rPr>
          <w:rStyle w:val="FootnoteReference"/>
        </w:rPr>
        <w:footnoteRef/>
      </w:r>
      <w:r>
        <w:tab/>
        <w:t>A se vedea secțiunea </w:t>
      </w:r>
      <w:r w:rsidRPr="00D17A39">
        <w:t>4</w:t>
      </w:r>
      <w:r>
        <w:t>.</w:t>
      </w:r>
      <w:r w:rsidRPr="00D17A39">
        <w:t>2</w:t>
      </w:r>
      <w:r>
        <w:t>.</w:t>
      </w:r>
      <w:r w:rsidRPr="00D17A39">
        <w:t>2</w:t>
      </w:r>
      <w:r>
        <w:t xml:space="preserve"> pentru informații suplimentare.</w:t>
      </w:r>
    </w:p>
  </w:footnote>
  <w:footnote w:id="12">
    <w:p w14:paraId="24978848" w14:textId="77777777" w:rsidR="00261B88" w:rsidRPr="00064746" w:rsidRDefault="00261B88" w:rsidP="002F71B1">
      <w:pPr>
        <w:pStyle w:val="FootnoteText"/>
      </w:pPr>
      <w:r>
        <w:rPr>
          <w:rStyle w:val="FootnoteReference"/>
        </w:rPr>
        <w:footnoteRef/>
      </w:r>
      <w:r>
        <w:tab/>
        <w:t xml:space="preserve">Hotărârea din </w:t>
      </w:r>
      <w:r w:rsidRPr="00D17A39">
        <w:t>30</w:t>
      </w:r>
      <w:r>
        <w:t xml:space="preserve"> septembrie </w:t>
      </w:r>
      <w:r w:rsidRPr="00D17A39">
        <w:t>2021</w:t>
      </w:r>
      <w:r>
        <w:t>, EU:C:</w:t>
      </w:r>
      <w:r w:rsidRPr="00D17A39">
        <w:t>2021</w:t>
      </w:r>
      <w:r>
        <w:t>:</w:t>
      </w:r>
      <w:r w:rsidRPr="00D17A39">
        <w:t>782</w:t>
      </w:r>
      <w:r>
        <w:t>.</w:t>
      </w:r>
    </w:p>
  </w:footnote>
  <w:footnote w:id="13">
    <w:p w14:paraId="64540506" w14:textId="77777777" w:rsidR="00261B88" w:rsidRPr="00064746" w:rsidRDefault="00261B88" w:rsidP="002F71B1">
      <w:pPr>
        <w:pStyle w:val="FootnoteText"/>
      </w:pPr>
      <w:r>
        <w:rPr>
          <w:rStyle w:val="FootnoteReference"/>
        </w:rPr>
        <w:footnoteRef/>
      </w:r>
      <w:r>
        <w:tab/>
        <w:t xml:space="preserve">Hotărârea din </w:t>
      </w:r>
      <w:r w:rsidRPr="00D17A39">
        <w:t>14</w:t>
      </w:r>
      <w:r>
        <w:t> octombrie </w:t>
      </w:r>
      <w:r w:rsidRPr="00D17A39">
        <w:t>2021</w:t>
      </w:r>
      <w:r>
        <w:t>, EU:C:</w:t>
      </w:r>
      <w:r w:rsidRPr="00D17A39">
        <w:t>2021</w:t>
      </w:r>
      <w:r>
        <w:t>:</w:t>
      </w:r>
      <w:r w:rsidRPr="00D17A39">
        <w:t>856</w:t>
      </w:r>
      <w:r>
        <w:t>.</w:t>
      </w:r>
    </w:p>
  </w:footnote>
  <w:footnote w:id="14">
    <w:p w14:paraId="0651B357" w14:textId="77777777" w:rsidR="00261B88" w:rsidRPr="00CF7811" w:rsidRDefault="00261B88">
      <w:pPr>
        <w:pStyle w:val="FootnoteText"/>
      </w:pPr>
      <w:r>
        <w:rPr>
          <w:rStyle w:val="FootnoteReference"/>
        </w:rPr>
        <w:footnoteRef/>
      </w:r>
      <w:r>
        <w:tab/>
        <w:t>Convenție elaborată în temeiul articolului K.</w:t>
      </w:r>
      <w:r w:rsidRPr="00D17A39">
        <w:t>3</w:t>
      </w:r>
      <w:r>
        <w:t xml:space="preserve"> din Tratatul privind Uniunea Europeană, privind protejarea intereselor financiare ale Comunităților Europene (JO C </w:t>
      </w:r>
      <w:r w:rsidRPr="00D17A39">
        <w:t>316</w:t>
      </w:r>
      <w:r>
        <w:t xml:space="preserve">, </w:t>
      </w:r>
      <w:r w:rsidRPr="00D17A39">
        <w:t>27</w:t>
      </w:r>
      <w:r>
        <w:t>.</w:t>
      </w:r>
      <w:r w:rsidRPr="00D17A39">
        <w:t>11</w:t>
      </w:r>
      <w:r>
        <w:t>.</w:t>
      </w:r>
      <w:r w:rsidRPr="00D17A39">
        <w:t>1995</w:t>
      </w:r>
      <w:r>
        <w:t>, p. </w:t>
      </w:r>
      <w:r w:rsidRPr="00D17A39">
        <w:t>49</w:t>
      </w:r>
      <w:r>
        <w:t>).</w:t>
      </w:r>
    </w:p>
  </w:footnote>
  <w:footnote w:id="15">
    <w:p w14:paraId="0759C343" w14:textId="77777777" w:rsidR="00261B88" w:rsidRPr="00064746" w:rsidRDefault="00261B88" w:rsidP="002F71B1">
      <w:pPr>
        <w:pStyle w:val="FootnoteText"/>
      </w:pPr>
      <w:r>
        <w:rPr>
          <w:rStyle w:val="FootnoteReference"/>
        </w:rPr>
        <w:footnoteRef/>
      </w:r>
      <w:r>
        <w:tab/>
        <w:t xml:space="preserve">Hotărârea din </w:t>
      </w:r>
      <w:r w:rsidRPr="00D17A39">
        <w:t>21</w:t>
      </w:r>
      <w:r>
        <w:t> octombrie </w:t>
      </w:r>
      <w:r w:rsidRPr="00D17A39">
        <w:t>2021</w:t>
      </w:r>
      <w:r>
        <w:t>, EU:C:</w:t>
      </w:r>
      <w:r w:rsidRPr="00D17A39">
        <w:t>2021</w:t>
      </w:r>
      <w:r>
        <w:t>:</w:t>
      </w:r>
      <w:r w:rsidRPr="00D17A39">
        <w:t>1034</w:t>
      </w:r>
      <w:r>
        <w:t>.</w:t>
      </w:r>
    </w:p>
  </w:footnote>
  <w:footnote w:id="16">
    <w:p w14:paraId="19A48CBA" w14:textId="683A40F5" w:rsidR="00261B88" w:rsidRPr="003556F9" w:rsidRDefault="00261B88" w:rsidP="004D2B33">
      <w:pPr>
        <w:pStyle w:val="FootnoteText"/>
      </w:pPr>
      <w:r>
        <w:rPr>
          <w:rStyle w:val="FootnoteReference"/>
        </w:rPr>
        <w:footnoteRef/>
      </w:r>
      <w:r>
        <w:tab/>
        <w:t>Pentru evoluția legislației în domeniul protejării intereselor financiare ale UE pe parcursul primelor trei decenii (</w:t>
      </w:r>
      <w:r w:rsidRPr="00D17A39">
        <w:t>1989</w:t>
      </w:r>
      <w:r>
        <w:t>-</w:t>
      </w:r>
      <w:r w:rsidRPr="00D17A39">
        <w:t>2018</w:t>
      </w:r>
      <w:r>
        <w:t xml:space="preserve">) de activitate a UE în materie de PIF, a se vedea Comisia Europeană, </w:t>
      </w:r>
      <w:r w:rsidRPr="00261B88">
        <w:rPr>
          <w:i/>
        </w:rPr>
        <w:t>Raportul anual privind protejarea intereselor financiare ale Uniunii Europene – Combaterea fraudei – 2018</w:t>
      </w:r>
      <w:r>
        <w:t>, [COM(</w:t>
      </w:r>
      <w:r w:rsidRPr="00D17A39">
        <w:t>2019</w:t>
      </w:r>
      <w:r>
        <w:t>) </w:t>
      </w:r>
      <w:r w:rsidRPr="00D17A39">
        <w:t>444</w:t>
      </w:r>
      <w:r>
        <w:t xml:space="preserve"> final, </w:t>
      </w:r>
      <w:r w:rsidRPr="00D17A39">
        <w:t>11</w:t>
      </w:r>
      <w:r>
        <w:t>.</w:t>
      </w:r>
      <w:r w:rsidRPr="00D17A39">
        <w:t>10</w:t>
      </w:r>
      <w:r>
        <w:t>.</w:t>
      </w:r>
      <w:r w:rsidRPr="00D17A39">
        <w:t>2019</w:t>
      </w:r>
      <w:r>
        <w:t>]. Pentru ultimii doi ani (</w:t>
      </w:r>
      <w:r w:rsidRPr="00D17A39">
        <w:t>2019</w:t>
      </w:r>
      <w:r>
        <w:t>-</w:t>
      </w:r>
      <w:r w:rsidRPr="00D17A39">
        <w:t>2020</w:t>
      </w:r>
      <w:r>
        <w:t xml:space="preserve">), a se vedea Comisia Europeană, </w:t>
      </w:r>
      <w:r w:rsidRPr="00261B88">
        <w:rPr>
          <w:i/>
        </w:rPr>
        <w:t>Raportul anual privind protejarea intereselor financiare ale Uniunii Europene – Combaterea fraudei – 2019</w:t>
      </w:r>
      <w:r>
        <w:t xml:space="preserve"> [COM(</w:t>
      </w:r>
      <w:r w:rsidRPr="00D17A39">
        <w:t>2020</w:t>
      </w:r>
      <w:r>
        <w:t>) </w:t>
      </w:r>
      <w:r w:rsidRPr="00D17A39">
        <w:t>363</w:t>
      </w:r>
      <w:r>
        <w:t xml:space="preserve"> final, </w:t>
      </w:r>
      <w:r w:rsidRPr="00D17A39">
        <w:t>3</w:t>
      </w:r>
      <w:r>
        <w:t>.</w:t>
      </w:r>
      <w:r w:rsidRPr="00D17A39">
        <w:t>9</w:t>
      </w:r>
      <w:r>
        <w:t>.</w:t>
      </w:r>
      <w:r w:rsidRPr="00D17A39">
        <w:t>2020</w:t>
      </w:r>
      <w:r>
        <w:t xml:space="preserve">], respectiv </w:t>
      </w:r>
      <w:r w:rsidRPr="00261B88">
        <w:rPr>
          <w:i/>
        </w:rPr>
        <w:t>Raportul anual privind protejarea intereselor financiare ale Uniunii Europene – Combaterea fraudei – 2020</w:t>
      </w:r>
      <w:r>
        <w:t>, [COM(</w:t>
      </w:r>
      <w:r w:rsidRPr="00D17A39">
        <w:t>2021</w:t>
      </w:r>
      <w:r>
        <w:t>) </w:t>
      </w:r>
      <w:r w:rsidRPr="00D17A39">
        <w:t>578</w:t>
      </w:r>
      <w:r>
        <w:t xml:space="preserve"> final, </w:t>
      </w:r>
      <w:r w:rsidRPr="00D17A39">
        <w:t>20</w:t>
      </w:r>
      <w:r>
        <w:t>.</w:t>
      </w:r>
      <w:r w:rsidRPr="00D17A39">
        <w:t>9</w:t>
      </w:r>
      <w:r>
        <w:t>.</w:t>
      </w:r>
      <w:r w:rsidRPr="00D17A39">
        <w:t>2021</w:t>
      </w:r>
      <w:r>
        <w:t>].</w:t>
      </w:r>
    </w:p>
  </w:footnote>
  <w:footnote w:id="17">
    <w:p w14:paraId="58B77590" w14:textId="0B4CC9BE" w:rsidR="00261B88" w:rsidRPr="006C1E6D" w:rsidRDefault="00261B88">
      <w:pPr>
        <w:pStyle w:val="FootnoteText"/>
      </w:pPr>
      <w:r>
        <w:rPr>
          <w:rStyle w:val="FootnoteReference"/>
        </w:rPr>
        <w:footnoteRef/>
      </w:r>
      <w:r>
        <w:tab/>
        <w:t>Arhitectura antifraudă a UE și principalii actori implicați au fost prezentate în COM (</w:t>
      </w:r>
      <w:r w:rsidR="00F67E18">
        <w:t>2021</w:t>
      </w:r>
      <w:r>
        <w:t>) </w:t>
      </w:r>
      <w:r w:rsidRPr="00D17A39">
        <w:t>444</w:t>
      </w:r>
      <w:r>
        <w:t xml:space="preserve"> final, </w:t>
      </w:r>
      <w:r w:rsidRPr="00261B88">
        <w:rPr>
          <w:i/>
        </w:rPr>
        <w:t>op. cit.</w:t>
      </w:r>
      <w:r>
        <w:t>, secțiunea </w:t>
      </w:r>
      <w:r w:rsidRPr="00D17A39">
        <w:t>3</w:t>
      </w:r>
      <w:r>
        <w:t>, p. </w:t>
      </w:r>
      <w:r w:rsidRPr="00D17A39">
        <w:t>11</w:t>
      </w:r>
      <w:r>
        <w:t>-</w:t>
      </w:r>
      <w:r w:rsidRPr="00D17A39">
        <w:t>19</w:t>
      </w:r>
      <w:r>
        <w:t>.</w:t>
      </w:r>
    </w:p>
  </w:footnote>
  <w:footnote w:id="18">
    <w:p w14:paraId="112605C8" w14:textId="77258AAA" w:rsidR="00261B88" w:rsidRPr="00ED2A33" w:rsidRDefault="00261B88">
      <w:pPr>
        <w:pStyle w:val="FootnoteText"/>
      </w:pPr>
      <w:r>
        <w:rPr>
          <w:rStyle w:val="FootnoteReference"/>
        </w:rPr>
        <w:footnoteRef/>
      </w:r>
      <w:r>
        <w:tab/>
      </w:r>
      <w:r w:rsidRPr="00D17A39">
        <w:t>2020</w:t>
      </w:r>
      <w:r>
        <w:t>/</w:t>
      </w:r>
      <w:r w:rsidRPr="00D17A39">
        <w:t>2140</w:t>
      </w:r>
      <w:r>
        <w:t xml:space="preserve">(DEC), </w:t>
      </w:r>
      <w:r w:rsidRPr="00D17A39">
        <w:t>28</w:t>
      </w:r>
      <w:r>
        <w:t>.</w:t>
      </w:r>
      <w:r w:rsidRPr="00D17A39">
        <w:t>4</w:t>
      </w:r>
      <w:r>
        <w:t>.</w:t>
      </w:r>
      <w:r w:rsidRPr="00D17A39">
        <w:t>2021</w:t>
      </w:r>
      <w:r>
        <w:t>.</w:t>
      </w:r>
    </w:p>
  </w:footnote>
  <w:footnote w:id="19">
    <w:p w14:paraId="7AB895C8" w14:textId="76459E34" w:rsidR="00261B88" w:rsidRPr="00ED2A33" w:rsidRDefault="00261B88">
      <w:pPr>
        <w:pStyle w:val="FootnoteText"/>
      </w:pPr>
      <w:r>
        <w:rPr>
          <w:rStyle w:val="FootnoteReference"/>
        </w:rPr>
        <w:footnoteRef/>
      </w:r>
      <w:r>
        <w:tab/>
      </w:r>
      <w:r w:rsidRPr="00D17A39">
        <w:t>2021</w:t>
      </w:r>
      <w:r>
        <w:t>/</w:t>
      </w:r>
      <w:r w:rsidRPr="00D17A39">
        <w:t>2106</w:t>
      </w:r>
      <w:r>
        <w:t>(DEC). PE a adoptat rezoluția privind descărcarea de gestiune în mai </w:t>
      </w:r>
      <w:r w:rsidRPr="00D17A39">
        <w:t>2021</w:t>
      </w:r>
      <w:r>
        <w:t xml:space="preserve">. Acesta a aprobat rezoluția privind descărcarea de gestiune a Comisiei, care însoțește decizia privind descărcarea de gestiune, cu </w:t>
      </w:r>
      <w:r w:rsidRPr="00D17A39">
        <w:t>451</w:t>
      </w:r>
      <w:r>
        <w:t xml:space="preserve"> de voturi pentru, </w:t>
      </w:r>
      <w:r w:rsidRPr="00D17A39">
        <w:t>175</w:t>
      </w:r>
      <w:r>
        <w:t xml:space="preserve"> împotrivă și </w:t>
      </w:r>
      <w:r w:rsidRPr="00D17A39">
        <w:t>17</w:t>
      </w:r>
      <w:r>
        <w:t xml:space="preserve"> abțineri.</w:t>
      </w:r>
    </w:p>
  </w:footnote>
  <w:footnote w:id="20">
    <w:p w14:paraId="1657087A" w14:textId="2D6DE7B0" w:rsidR="00261B88" w:rsidRPr="00CA08E5" w:rsidRDefault="00261B88">
      <w:pPr>
        <w:pStyle w:val="FootnoteText"/>
      </w:pPr>
      <w:r>
        <w:rPr>
          <w:rStyle w:val="FootnoteReference"/>
        </w:rPr>
        <w:footnoteRef/>
      </w:r>
      <w:r>
        <w:tab/>
        <w:t xml:space="preserve">Dosarul de procedură </w:t>
      </w:r>
      <w:r w:rsidRPr="00D17A39">
        <w:t>2020</w:t>
      </w:r>
      <w:r>
        <w:t>/</w:t>
      </w:r>
      <w:r w:rsidRPr="00D17A39">
        <w:t>2246</w:t>
      </w:r>
      <w:r>
        <w:t xml:space="preserve">(INI), Protecția intereselor financiare ale Uniunii Europene – combaterea fraudei – raport anual pe </w:t>
      </w:r>
      <w:r w:rsidRPr="00D17A39">
        <w:t>2019</w:t>
      </w:r>
      <w:r>
        <w:t>.</w:t>
      </w:r>
    </w:p>
  </w:footnote>
  <w:footnote w:id="21">
    <w:p w14:paraId="310425F2" w14:textId="56B57C74" w:rsidR="00261B88" w:rsidRPr="009542F2" w:rsidRDefault="00261B88">
      <w:pPr>
        <w:pStyle w:val="FootnoteText"/>
      </w:pPr>
      <w:r>
        <w:rPr>
          <w:rStyle w:val="FootnoteReference"/>
        </w:rPr>
        <w:footnoteRef/>
      </w:r>
      <w:r>
        <w:tab/>
        <w:t>Pentru situația actuală a punerii în aplicare a planului de acțiune SAFC, a se vedea documentul intitulat „Planul de acțiune SAFC – situația actuală: iunie </w:t>
      </w:r>
      <w:r w:rsidRPr="00D17A39">
        <w:t>2022</w:t>
      </w:r>
      <w:r>
        <w:t>”, care însoțește prezentul raport.</w:t>
      </w:r>
    </w:p>
  </w:footnote>
  <w:footnote w:id="22">
    <w:p w14:paraId="5B43D9CD" w14:textId="05C1AE41" w:rsidR="00261B88" w:rsidRPr="00A828A1" w:rsidRDefault="00261B88">
      <w:pPr>
        <w:pStyle w:val="FootnoteText"/>
      </w:pPr>
      <w:r>
        <w:rPr>
          <w:rStyle w:val="FootnoteReference"/>
        </w:rPr>
        <w:footnoteRef/>
      </w:r>
      <w:r>
        <w:tab/>
        <w:t xml:space="preserve">Subevaluarea detectată în Regatul Unit a fost raportată deja în raportul PIF din </w:t>
      </w:r>
      <w:r w:rsidRPr="00D17A39">
        <w:t>2020</w:t>
      </w:r>
      <w:r>
        <w:t xml:space="preserve">, </w:t>
      </w:r>
      <w:r w:rsidRPr="00261B88">
        <w:rPr>
          <w:i/>
        </w:rPr>
        <w:t>op. cit</w:t>
      </w:r>
      <w:r>
        <w:t>, Instantaneul </w:t>
      </w:r>
      <w:r w:rsidRPr="00D17A39">
        <w:t>1</w:t>
      </w:r>
      <w:r>
        <w:t>, p. </w:t>
      </w:r>
      <w:r w:rsidRPr="00D17A39">
        <w:t>13</w:t>
      </w:r>
      <w:r>
        <w:t>.</w:t>
      </w:r>
    </w:p>
  </w:footnote>
  <w:footnote w:id="23">
    <w:p w14:paraId="4F382DAE" w14:textId="02608268" w:rsidR="00261B88" w:rsidRPr="00F83AD7" w:rsidRDefault="00261B88">
      <w:pPr>
        <w:pStyle w:val="FootnoteText"/>
      </w:pPr>
      <w:r>
        <w:rPr>
          <w:rStyle w:val="FootnoteReference"/>
        </w:rPr>
        <w:footnoteRef/>
      </w:r>
      <w:r>
        <w:tab/>
        <w:t xml:space="preserve">Cadrul juridic care reglementează relația dintre EPPO și OLAF prevede acorduri de lucru între cele două organisme pentru a stabili aspectele practice ale acesteia. Acordurile de lucru au fost semnate la </w:t>
      </w:r>
      <w:r w:rsidRPr="00D17A39">
        <w:t>5</w:t>
      </w:r>
      <w:r>
        <w:t> iulie </w:t>
      </w:r>
      <w:r w:rsidRPr="00D17A39">
        <w:t>2021</w:t>
      </w:r>
      <w:r>
        <w:t>.</w:t>
      </w:r>
    </w:p>
  </w:footnote>
  <w:footnote w:id="24">
    <w:p w14:paraId="23ECFCAD" w14:textId="6C5E273F" w:rsidR="00261B88" w:rsidRDefault="00261B88">
      <w:pPr>
        <w:pStyle w:val="FootnoteText"/>
      </w:pPr>
      <w:r>
        <w:rPr>
          <w:rStyle w:val="FootnoteReference"/>
        </w:rPr>
        <w:footnoteRef/>
      </w:r>
      <w:r>
        <w:tab/>
        <w:t xml:space="preserve">Oficiul European de Luptă Antifraudă (OLAF), </w:t>
      </w:r>
      <w:hyperlink r:id="rId2" w:history="1">
        <w:r w:rsidRPr="00261B88">
          <w:rPr>
            <w:rStyle w:val="Hyperlink"/>
            <w:i/>
          </w:rPr>
          <w:t>Raportul OLAF pentru 2021</w:t>
        </w:r>
      </w:hyperlink>
      <w:r>
        <w:t>, p. </w:t>
      </w:r>
      <w:r w:rsidRPr="00D17A39">
        <w:t>38</w:t>
      </w:r>
      <w:r>
        <w:t>.</w:t>
      </w:r>
    </w:p>
  </w:footnote>
  <w:footnote w:id="25">
    <w:p w14:paraId="55A62FD8" w14:textId="77777777" w:rsidR="00261B88" w:rsidRPr="00B06C44" w:rsidRDefault="00261B88">
      <w:pPr>
        <w:pStyle w:val="FootnoteText"/>
      </w:pPr>
      <w:r>
        <w:rPr>
          <w:rStyle w:val="FootnoteReference"/>
        </w:rPr>
        <w:footnoteRef/>
      </w:r>
      <w:r>
        <w:tab/>
        <w:t xml:space="preserve">Danemarca, Irlanda, Ungaria, Polonia și Suedia nu participă la EPPO. Se preconizează că Suedia se va alătura EPPO în </w:t>
      </w:r>
      <w:r w:rsidRPr="00D17A39">
        <w:t>2023</w:t>
      </w:r>
      <w:r>
        <w:t>.</w:t>
      </w:r>
    </w:p>
  </w:footnote>
  <w:footnote w:id="26">
    <w:p w14:paraId="638657BE" w14:textId="07D2A82A" w:rsidR="00261B88" w:rsidRPr="00B06C44" w:rsidRDefault="00261B88">
      <w:pPr>
        <w:pStyle w:val="FootnoteText"/>
      </w:pPr>
      <w:r>
        <w:rPr>
          <w:rStyle w:val="FootnoteReference"/>
        </w:rPr>
        <w:footnoteRef/>
      </w:r>
      <w:r>
        <w:tab/>
        <w:t xml:space="preserve">Pentru statistici mai detaliate, în special pentru fiecare stat membru participant, a se vedea Parchetul European, </w:t>
      </w:r>
      <w:hyperlink r:id="rId3" w:history="1">
        <w:r w:rsidRPr="00261B88">
          <w:rPr>
            <w:rStyle w:val="Hyperlink"/>
            <w:i/>
          </w:rPr>
          <w:t>Raportul anual 2021</w:t>
        </w:r>
      </w:hyperlink>
      <w:r>
        <w:t>.</w:t>
      </w:r>
    </w:p>
  </w:footnote>
  <w:footnote w:id="27">
    <w:p w14:paraId="781F0211" w14:textId="056457A7" w:rsidR="00261B88" w:rsidRPr="006C31D8" w:rsidRDefault="00261B88">
      <w:pPr>
        <w:pStyle w:val="FootnoteText"/>
      </w:pPr>
      <w:r>
        <w:rPr>
          <w:rStyle w:val="FootnoteReference"/>
        </w:rPr>
        <w:footnoteRef/>
      </w:r>
      <w:r>
        <w:tab/>
        <w:t xml:space="preserve">Curtea de Conturi Europeană, </w:t>
      </w:r>
      <w:hyperlink r:id="rId4" w:history="1">
        <w:r w:rsidRPr="00261B88">
          <w:rPr>
            <w:rStyle w:val="Hyperlink"/>
            <w:i/>
          </w:rPr>
          <w:t>Raport anual privind execuția bugetului UE pentru exercițiul financiar 2020</w:t>
        </w:r>
      </w:hyperlink>
      <w:r>
        <w:t xml:space="preserve">, </w:t>
      </w:r>
      <w:r w:rsidRPr="00D17A39">
        <w:t>26</w:t>
      </w:r>
      <w:r>
        <w:t>.</w:t>
      </w:r>
      <w:r w:rsidRPr="00D17A39">
        <w:t>10</w:t>
      </w:r>
      <w:r>
        <w:t>.</w:t>
      </w:r>
      <w:r w:rsidRPr="00D17A39">
        <w:t>2021</w:t>
      </w:r>
      <w:r>
        <w:t>.</w:t>
      </w:r>
    </w:p>
  </w:footnote>
  <w:footnote w:id="28">
    <w:p w14:paraId="33E111E7" w14:textId="77777777" w:rsidR="00261B88" w:rsidRPr="00A27EF6" w:rsidRDefault="00261B88">
      <w:pPr>
        <w:pStyle w:val="FootnoteText"/>
      </w:pPr>
      <w:r>
        <w:rPr>
          <w:rStyle w:val="FootnoteReference"/>
        </w:rPr>
        <w:footnoteRef/>
      </w:r>
      <w:r>
        <w:tab/>
        <w:t>În conformitate cu articolul </w:t>
      </w:r>
      <w:r w:rsidRPr="00D17A39">
        <w:t>12</w:t>
      </w:r>
      <w:r>
        <w:t>a din Regulamentul (UE, Euratom) nr. </w:t>
      </w:r>
      <w:r w:rsidRPr="00D17A39">
        <w:t>883</w:t>
      </w:r>
      <w:r>
        <w:t>/</w:t>
      </w:r>
      <w:r w:rsidRPr="00D17A39">
        <w:t>2013</w:t>
      </w:r>
      <w:r>
        <w:t xml:space="preserve"> al Parlamentului European și al Consiliului din </w:t>
      </w:r>
      <w:r w:rsidRPr="00D17A39">
        <w:t>11</w:t>
      </w:r>
      <w:r>
        <w:t> septembrie </w:t>
      </w:r>
      <w:r w:rsidRPr="00D17A39">
        <w:t>2013</w:t>
      </w:r>
      <w:r>
        <w:t xml:space="preserve"> privind investigațiile efectuate de Oficiul European de Luptă Antifraudă (OLAF) și de abrogare a Regulamentului (CE) nr. </w:t>
      </w:r>
      <w:r w:rsidRPr="00D17A39">
        <w:t>1073</w:t>
      </w:r>
      <w:r>
        <w:t>/</w:t>
      </w:r>
      <w:r w:rsidRPr="00D17A39">
        <w:t>1999</w:t>
      </w:r>
      <w:r>
        <w:t xml:space="preserve"> al Parlamentului European și al Consiliului și a Regulamentului (Euratom) nr. </w:t>
      </w:r>
      <w:r w:rsidRPr="00D17A39">
        <w:t>1074</w:t>
      </w:r>
      <w:r>
        <w:t>/</w:t>
      </w:r>
      <w:r w:rsidRPr="00D17A39">
        <w:t>1999</w:t>
      </w:r>
      <w:r>
        <w:t xml:space="preserve"> al Consiliului, astfel cum a fost modificat prin Regulamentul (UE, Euratom) </w:t>
      </w:r>
      <w:r w:rsidRPr="00D17A39">
        <w:t>2016</w:t>
      </w:r>
      <w:r>
        <w:t>/</w:t>
      </w:r>
      <w:r w:rsidRPr="00D17A39">
        <w:t>2030</w:t>
      </w:r>
      <w:r>
        <w:t xml:space="preserve"> al Parlamentului European și al Consiliului din </w:t>
      </w:r>
      <w:r w:rsidRPr="00D17A39">
        <w:t>26</w:t>
      </w:r>
      <w:r>
        <w:t> octombrie </w:t>
      </w:r>
      <w:r w:rsidRPr="00D17A39">
        <w:t>2016</w:t>
      </w:r>
      <w:r>
        <w:t xml:space="preserve"> și prin Regulamentul (UE, Euratom) </w:t>
      </w:r>
      <w:r w:rsidRPr="00D17A39">
        <w:t>2020</w:t>
      </w:r>
      <w:r>
        <w:t>/</w:t>
      </w:r>
      <w:r w:rsidRPr="00D17A39">
        <w:t>2223</w:t>
      </w:r>
      <w:r>
        <w:t xml:space="preserve"> al Parlamentului European și al Consiliului din </w:t>
      </w:r>
      <w:r w:rsidRPr="00D17A39">
        <w:t>23</w:t>
      </w:r>
      <w:r>
        <w:t> decembrie </w:t>
      </w:r>
      <w:r w:rsidRPr="00D17A39">
        <w:t>2020</w:t>
      </w:r>
      <w:r>
        <w:t>.</w:t>
      </w:r>
    </w:p>
  </w:footnote>
  <w:footnote w:id="29">
    <w:p w14:paraId="646BB227" w14:textId="25D49C19" w:rsidR="00261B88" w:rsidRPr="00916AE2" w:rsidRDefault="00261B88">
      <w:pPr>
        <w:pStyle w:val="FootnoteText"/>
      </w:pPr>
      <w:r>
        <w:rPr>
          <w:rStyle w:val="FootnoteReference"/>
        </w:rPr>
        <w:footnoteRef/>
      </w:r>
      <w:r>
        <w:tab/>
        <w:t xml:space="preserve">Pentru informații suplimentare privind inițiativele naționale menite să asigure o protecție sporită a intereselor financiare ale UE, a se vedea documentul intitulat „Măsuri adoptate de statele membre pentru protejarea intereselor financiare ale UE în </w:t>
      </w:r>
      <w:r w:rsidRPr="00D17A39">
        <w:t>2021</w:t>
      </w:r>
      <w:r>
        <w:t> – Punerea în aplicare a articolului </w:t>
      </w:r>
      <w:r w:rsidRPr="00D17A39">
        <w:t>325</w:t>
      </w:r>
      <w:r>
        <w:t xml:space="preserve"> din TFUE”, care însoțește prezentul raport.</w:t>
      </w:r>
    </w:p>
  </w:footnote>
  <w:footnote w:id="30">
    <w:p w14:paraId="5C78AAC0" w14:textId="2F2CD3CA" w:rsidR="00261B88" w:rsidRPr="003B6D4B" w:rsidRDefault="00261B88" w:rsidP="00B844C4">
      <w:pPr>
        <w:pStyle w:val="FootnoteText"/>
      </w:pPr>
      <w:r>
        <w:rPr>
          <w:rStyle w:val="FootnoteReference"/>
        </w:rPr>
        <w:footnoteRef/>
      </w:r>
      <w:r>
        <w:tab/>
        <w:t xml:space="preserve">Bulgaria, Cehia, Danemarca, Germania, Estonia, Grecia, Franța, Croația, Italia, Letonia, Lituania, Ungaria, Malta, Austria, Portugalia, Slovacia, Suedia. Dintre acestea, Germania și Portugalia nu au transmis încă documentele necesare către OLAF. În </w:t>
      </w:r>
      <w:r w:rsidRPr="00D17A39">
        <w:t>2020</w:t>
      </w:r>
      <w:r>
        <w:t xml:space="preserve">, Austria a raportat că dispune de o strategie până la sfârșitul anului, însă nu a transmis nicio actualizare suplimentară pentru </w:t>
      </w:r>
      <w:r w:rsidRPr="00D17A39">
        <w:t>2021</w:t>
      </w:r>
      <w:r>
        <w:t xml:space="preserve">.  </w:t>
      </w:r>
    </w:p>
  </w:footnote>
  <w:footnote w:id="31">
    <w:p w14:paraId="1C3B6DCE" w14:textId="53D7954E" w:rsidR="00261B88" w:rsidRPr="00B95BD7" w:rsidRDefault="00261B88" w:rsidP="00B844C4">
      <w:pPr>
        <w:pStyle w:val="FootnoteText"/>
      </w:pPr>
      <w:r>
        <w:rPr>
          <w:rStyle w:val="FootnoteReference"/>
        </w:rPr>
        <w:footnoteRef/>
      </w:r>
      <w:r>
        <w:tab/>
        <w:t>Belgia, Irlanda, Spania, Cipru, Luxemburg, Țările de Jos, Polonia, România, Slovenia, Finlanda.</w:t>
      </w:r>
    </w:p>
  </w:footnote>
  <w:footnote w:id="32">
    <w:p w14:paraId="2EF03A73" w14:textId="77777777" w:rsidR="00261B88" w:rsidRPr="00B95BD7" w:rsidRDefault="00261B88" w:rsidP="00B844C4">
      <w:pPr>
        <w:pStyle w:val="FootnoteText"/>
      </w:pPr>
      <w:r>
        <w:rPr>
          <w:rStyle w:val="FootnoteReference"/>
        </w:rPr>
        <w:footnoteRef/>
      </w:r>
      <w:r>
        <w:tab/>
        <w:t>Belgia, Spania, Luxemburg, România.</w:t>
      </w:r>
    </w:p>
  </w:footnote>
  <w:footnote w:id="33">
    <w:p w14:paraId="50FF139C" w14:textId="77777777" w:rsidR="00261B88" w:rsidRPr="009D39B1" w:rsidRDefault="00261B88">
      <w:pPr>
        <w:pStyle w:val="FootnoteText"/>
      </w:pPr>
      <w:r>
        <w:rPr>
          <w:rStyle w:val="FootnoteReference"/>
        </w:rPr>
        <w:footnoteRef/>
      </w:r>
      <w:r>
        <w:tab/>
        <w:t xml:space="preserve">A se vedea și secțiunea </w:t>
      </w:r>
      <w:r w:rsidRPr="00D17A39">
        <w:t>5</w:t>
      </w:r>
      <w:r>
        <w:t>.</w:t>
      </w:r>
      <w:r w:rsidRPr="00D17A39">
        <w:t>6</w:t>
      </w:r>
      <w:r>
        <w:t>.</w:t>
      </w:r>
    </w:p>
  </w:footnote>
  <w:footnote w:id="34">
    <w:p w14:paraId="64A02C99" w14:textId="548C4755" w:rsidR="00261B88" w:rsidRDefault="00261B88" w:rsidP="00B844C4">
      <w:pPr>
        <w:pStyle w:val="FootnoteText"/>
      </w:pPr>
      <w:r>
        <w:rPr>
          <w:rStyle w:val="FootnoteReference"/>
        </w:rPr>
        <w:footnoteRef/>
      </w:r>
      <w:r>
        <w:tab/>
        <w:t>Bulgaria, Grecia, Franța, Italia, Ungaria.</w:t>
      </w:r>
    </w:p>
  </w:footnote>
  <w:footnote w:id="35">
    <w:p w14:paraId="6FDBDD1E" w14:textId="3C719DEB" w:rsidR="00261B88" w:rsidRPr="001149B4" w:rsidRDefault="00261B88">
      <w:pPr>
        <w:pStyle w:val="FootnoteText"/>
      </w:pPr>
      <w:r>
        <w:rPr>
          <w:rStyle w:val="FootnoteReference"/>
        </w:rPr>
        <w:footnoteRef/>
      </w:r>
      <w:r>
        <w:tab/>
        <w:t xml:space="preserve">Pentru o imagine de ansamblu completă asupra acțiunilor întreprinse de statele membre, a se vedea documentul intitulat „Punerea în aplicare a recomandărilor din </w:t>
      </w:r>
      <w:r w:rsidRPr="00D17A39">
        <w:t>2020</w:t>
      </w:r>
      <w:r>
        <w:t xml:space="preserve"> de către statele membre”, care însoțește prezentul raport.</w:t>
      </w:r>
    </w:p>
  </w:footnote>
  <w:footnote w:id="36">
    <w:p w14:paraId="5D9A4B79" w14:textId="69754913" w:rsidR="00261B88" w:rsidRPr="009D39B1" w:rsidRDefault="00261B88">
      <w:pPr>
        <w:pStyle w:val="FootnoteText"/>
      </w:pPr>
      <w:r>
        <w:rPr>
          <w:rStyle w:val="FootnoteReference"/>
        </w:rPr>
        <w:footnoteRef/>
      </w:r>
      <w:r>
        <w:tab/>
        <w:t>Danemarca și Irlanda beneficiază de o clauză de neparticipare la spațiul de libertate, securitate și justiție.</w:t>
      </w:r>
    </w:p>
  </w:footnote>
  <w:footnote w:id="37">
    <w:p w14:paraId="60BECB8C" w14:textId="24997D85" w:rsidR="00261B88" w:rsidRPr="00BA0C86" w:rsidRDefault="00261B88" w:rsidP="00B844C4">
      <w:pPr>
        <w:pStyle w:val="FootnoteText"/>
      </w:pPr>
      <w:r>
        <w:rPr>
          <w:rStyle w:val="FootnoteReference"/>
        </w:rPr>
        <w:footnoteRef/>
      </w:r>
      <w:r>
        <w:t xml:space="preserve"> </w:t>
      </w:r>
      <w:r>
        <w:tab/>
        <w:t>Bulgaria, Cehia, Estonia, Irlanda, Grecia, Italia, Cipru, Letonia, Lituania, Luxemburg, Ungaria, Polonia, Portugalia, România, Slovenia, Suedia.</w:t>
      </w:r>
    </w:p>
  </w:footnote>
  <w:footnote w:id="38">
    <w:p w14:paraId="1293993F" w14:textId="569D2970" w:rsidR="00261B88" w:rsidRPr="00BA0C86" w:rsidRDefault="00261B88" w:rsidP="00DC1244">
      <w:pPr>
        <w:pStyle w:val="FootnoteText"/>
      </w:pPr>
      <w:r>
        <w:rPr>
          <w:rStyle w:val="FootnoteReference"/>
        </w:rPr>
        <w:footnoteRef/>
      </w:r>
      <w:r>
        <w:t xml:space="preserve"> </w:t>
      </w:r>
      <w:r>
        <w:tab/>
        <w:t>Belgia, Germania, Spania, Franța.</w:t>
      </w:r>
    </w:p>
  </w:footnote>
  <w:footnote w:id="39">
    <w:p w14:paraId="436AC221" w14:textId="1646C3AB" w:rsidR="00261B88" w:rsidRDefault="00261B88" w:rsidP="00B844C4">
      <w:pPr>
        <w:pStyle w:val="FootnoteText"/>
      </w:pPr>
      <w:r>
        <w:rPr>
          <w:rStyle w:val="FootnoteReference"/>
        </w:rPr>
        <w:footnoteRef/>
      </w:r>
      <w:r>
        <w:t xml:space="preserve"> </w:t>
      </w:r>
      <w:r>
        <w:tab/>
        <w:t>Danemarca, Croația, Malta, Țările de Jos, Slovacia, Finlanda.</w:t>
      </w:r>
    </w:p>
  </w:footnote>
  <w:footnote w:id="40">
    <w:p w14:paraId="71A64753" w14:textId="2F711189" w:rsidR="00261B88" w:rsidRPr="00922595" w:rsidRDefault="00261B88" w:rsidP="00DC1244">
      <w:pPr>
        <w:pStyle w:val="FootnoteText"/>
      </w:pPr>
      <w:r>
        <w:rPr>
          <w:rStyle w:val="FootnoteReference"/>
        </w:rPr>
        <w:footnoteRef/>
      </w:r>
      <w:r>
        <w:t xml:space="preserve"> </w:t>
      </w:r>
      <w:r>
        <w:tab/>
        <w:t>Cehia, Estonia, Irlanda, Grecia, Spania, Italia, Cipru, Letonia, Lituania, Luxemburg, Ungaria, Polonia, Portugalia, România, Slovenia, Suedia.</w:t>
      </w:r>
    </w:p>
  </w:footnote>
  <w:footnote w:id="41">
    <w:p w14:paraId="130B251B" w14:textId="333638DC" w:rsidR="00261B88" w:rsidRPr="00922595" w:rsidRDefault="00261B88" w:rsidP="00B844C4">
      <w:pPr>
        <w:pStyle w:val="FootnoteText"/>
      </w:pPr>
      <w:r>
        <w:rPr>
          <w:rStyle w:val="FootnoteReference"/>
        </w:rPr>
        <w:footnoteRef/>
      </w:r>
      <w:r>
        <w:t xml:space="preserve"> </w:t>
      </w:r>
      <w:r>
        <w:tab/>
        <w:t>Belgia, Bulgaria, Franța.</w:t>
      </w:r>
    </w:p>
  </w:footnote>
  <w:footnote w:id="42">
    <w:p w14:paraId="2D9B2A4B" w14:textId="186A7CA4" w:rsidR="00261B88" w:rsidRDefault="00261B88" w:rsidP="00B844C4">
      <w:pPr>
        <w:pStyle w:val="FootnoteText"/>
      </w:pPr>
      <w:r>
        <w:rPr>
          <w:rStyle w:val="FootnoteReference"/>
        </w:rPr>
        <w:footnoteRef/>
      </w:r>
      <w:r>
        <w:t xml:space="preserve"> </w:t>
      </w:r>
      <w:r>
        <w:tab/>
        <w:t>Danemarca, Germania, Croația, Malta, Țările de Jos, Slovacia, Finlanda.</w:t>
      </w:r>
    </w:p>
  </w:footnote>
  <w:footnote w:id="43">
    <w:p w14:paraId="34B23C8A" w14:textId="53E77DBF" w:rsidR="00261B88" w:rsidRPr="000668ED" w:rsidRDefault="00261B88" w:rsidP="00DC1244">
      <w:pPr>
        <w:pStyle w:val="FootnoteText"/>
      </w:pPr>
      <w:r>
        <w:rPr>
          <w:rStyle w:val="FootnoteReference"/>
        </w:rPr>
        <w:footnoteRef/>
      </w:r>
      <w:r>
        <w:t xml:space="preserve"> </w:t>
      </w:r>
      <w:r>
        <w:tab/>
        <w:t>Danemarca, Estonia, Grecia, Italia, Cipru, Letonia, Luxemburg, Malta, Polonia, Portugalia, Suedia.</w:t>
      </w:r>
    </w:p>
  </w:footnote>
  <w:footnote w:id="44">
    <w:p w14:paraId="34C943F0" w14:textId="1FBA93C8" w:rsidR="00261B88" w:rsidRPr="000668ED" w:rsidRDefault="00261B88" w:rsidP="00DC1244">
      <w:pPr>
        <w:pStyle w:val="FootnoteText"/>
      </w:pPr>
      <w:r>
        <w:rPr>
          <w:rStyle w:val="FootnoteReference"/>
        </w:rPr>
        <w:footnoteRef/>
      </w:r>
      <w:r>
        <w:t xml:space="preserve"> </w:t>
      </w:r>
      <w:r>
        <w:tab/>
        <w:t>Belgia, Bulgaria, Cehia, Spania, Franța, Croația, Ungaria, Țările de Jos, România, Slovacia, Finlanda.</w:t>
      </w:r>
    </w:p>
  </w:footnote>
  <w:footnote w:id="45">
    <w:p w14:paraId="284024CE" w14:textId="5C09355B" w:rsidR="00261B88" w:rsidRPr="0094525C" w:rsidRDefault="00261B88" w:rsidP="00B844C4">
      <w:pPr>
        <w:pStyle w:val="FootnoteText"/>
      </w:pPr>
      <w:r>
        <w:rPr>
          <w:rStyle w:val="FootnoteReference"/>
        </w:rPr>
        <w:footnoteRef/>
      </w:r>
      <w:r>
        <w:t xml:space="preserve"> </w:t>
      </w:r>
      <w:r>
        <w:tab/>
        <w:t>Germania, Irlanda, Lituania, Slovenia.</w:t>
      </w:r>
    </w:p>
  </w:footnote>
  <w:footnote w:id="46">
    <w:p w14:paraId="3FD0CBC7" w14:textId="17A97143" w:rsidR="00261B88" w:rsidRPr="0094525C" w:rsidRDefault="00261B88" w:rsidP="00DC1244">
      <w:pPr>
        <w:pStyle w:val="FootnoteText"/>
      </w:pPr>
      <w:r>
        <w:rPr>
          <w:rStyle w:val="FootnoteReference"/>
        </w:rPr>
        <w:footnoteRef/>
      </w:r>
      <w:r>
        <w:t xml:space="preserve"> </w:t>
      </w:r>
      <w:r>
        <w:tab/>
        <w:t>Bulgaria, Grecia, Croația, Italia, Cipru, Letonia, Luxemburg, Ungaria, Malta, Țările de Jos, Polonia, Portugalia, Slovacia, Suedia.</w:t>
      </w:r>
    </w:p>
  </w:footnote>
  <w:footnote w:id="47">
    <w:p w14:paraId="48265C12" w14:textId="53C41F6B" w:rsidR="00261B88" w:rsidRPr="00DC1244" w:rsidRDefault="00261B88" w:rsidP="00DC1244">
      <w:pPr>
        <w:pStyle w:val="FootnoteText"/>
      </w:pPr>
      <w:r>
        <w:rPr>
          <w:rStyle w:val="FootnoteReference"/>
        </w:rPr>
        <w:footnoteRef/>
      </w:r>
      <w:r>
        <w:t xml:space="preserve"> </w:t>
      </w:r>
      <w:r>
        <w:tab/>
        <w:t>Belgia, Cehia, Danemarca, Spania, Franța, România, Finlanda.</w:t>
      </w:r>
    </w:p>
  </w:footnote>
  <w:footnote w:id="48">
    <w:p w14:paraId="02A70306" w14:textId="306C3068" w:rsidR="00261B88" w:rsidRPr="00DC1244" w:rsidRDefault="00261B88" w:rsidP="00B844C4">
      <w:pPr>
        <w:pStyle w:val="FootnoteText"/>
      </w:pPr>
      <w:r>
        <w:rPr>
          <w:rStyle w:val="FootnoteReference"/>
        </w:rPr>
        <w:footnoteRef/>
      </w:r>
      <w:r>
        <w:t xml:space="preserve"> </w:t>
      </w:r>
      <w:r>
        <w:tab/>
        <w:t>Germania, Estonia, Irlanda, Lituania, Slovenia.</w:t>
      </w:r>
    </w:p>
  </w:footnote>
  <w:footnote w:id="49">
    <w:p w14:paraId="1DCA364B" w14:textId="77777777" w:rsidR="00261B88" w:rsidRPr="001978E1" w:rsidRDefault="00261B88" w:rsidP="0088672E">
      <w:pPr>
        <w:pStyle w:val="FootnoteText"/>
      </w:pPr>
      <w:r>
        <w:rPr>
          <w:rStyle w:val="FootnoteReference"/>
        </w:rPr>
        <w:footnoteRef/>
      </w:r>
      <w:r>
        <w:tab/>
        <w:t>Arachne este un sistem informatic unic integrat pentru extragerea datelor și evaluarea riscurilor, pe care Comisia l-a dezvoltat și l-a pus la dispoziția statelor membre în domeniile coeziunii, agriculturii și MRR.</w:t>
      </w:r>
    </w:p>
  </w:footnote>
  <w:footnote w:id="50">
    <w:p w14:paraId="0F5181F9" w14:textId="4526F9D2" w:rsidR="00261B88" w:rsidRPr="00296A29" w:rsidRDefault="00261B88">
      <w:pPr>
        <w:pStyle w:val="FootnoteText"/>
      </w:pPr>
      <w:r>
        <w:rPr>
          <w:rStyle w:val="FootnoteReference"/>
        </w:rPr>
        <w:footnoteRef/>
      </w:r>
      <w:r>
        <w:tab/>
        <w:t>Pentru o descriere a sistemului, a se vedea secțiunea </w:t>
      </w:r>
      <w:r w:rsidRPr="00D17A39">
        <w:t>7</w:t>
      </w:r>
      <w:r>
        <w:t>.</w:t>
      </w:r>
      <w:r w:rsidRPr="00D17A39">
        <w:t>2</w:t>
      </w:r>
      <w:r>
        <w:t>.</w:t>
      </w:r>
    </w:p>
  </w:footnote>
  <w:footnote w:id="51">
    <w:p w14:paraId="5C2BA08B" w14:textId="02F33B0D" w:rsidR="00261B88" w:rsidRPr="00296A29" w:rsidRDefault="00261B88" w:rsidP="00B844C4">
      <w:pPr>
        <w:pStyle w:val="FootnoteText"/>
      </w:pPr>
      <w:r>
        <w:rPr>
          <w:rStyle w:val="FootnoteReference"/>
        </w:rPr>
        <w:footnoteRef/>
      </w:r>
      <w:r>
        <w:t xml:space="preserve"> </w:t>
      </w:r>
      <w:r>
        <w:tab/>
        <w:t>Bulgaria, Belgia, Cehia, Danemarca, Irlanda, Grecia, Spania, Franța, Italia, Cipru, Letonia, Luxemburg, Ungaria, Malta, Țările de Jos, Polonia, Portugalia, Slovenia, Slovacia.</w:t>
      </w:r>
    </w:p>
  </w:footnote>
  <w:footnote w:id="52">
    <w:p w14:paraId="10BAEA84" w14:textId="4503BF62" w:rsidR="00261B88" w:rsidRPr="00E640CA" w:rsidRDefault="00261B88" w:rsidP="00B844C4">
      <w:pPr>
        <w:pStyle w:val="FootnoteText"/>
      </w:pPr>
      <w:r>
        <w:rPr>
          <w:rStyle w:val="FootnoteReference"/>
        </w:rPr>
        <w:footnoteRef/>
      </w:r>
      <w:r>
        <w:t xml:space="preserve"> </w:t>
      </w:r>
      <w:r>
        <w:tab/>
        <w:t>Croația, Lituania, România, Finlanda.</w:t>
      </w:r>
    </w:p>
  </w:footnote>
  <w:footnote w:id="53">
    <w:p w14:paraId="6DC3714A" w14:textId="346F73BF" w:rsidR="00261B88" w:rsidRPr="00E640CA" w:rsidRDefault="00261B88" w:rsidP="00B844C4">
      <w:pPr>
        <w:pStyle w:val="FootnoteText"/>
      </w:pPr>
      <w:r>
        <w:rPr>
          <w:rStyle w:val="FootnoteReference"/>
        </w:rPr>
        <w:footnoteRef/>
      </w:r>
      <w:r>
        <w:t xml:space="preserve"> </w:t>
      </w:r>
      <w:r>
        <w:tab/>
        <w:t>Germania, Estonia, Suedia.</w:t>
      </w:r>
    </w:p>
  </w:footnote>
  <w:footnote w:id="54">
    <w:p w14:paraId="43E03BB1" w14:textId="69DFE7C6" w:rsidR="00261B88" w:rsidRPr="00B83E3A" w:rsidRDefault="00261B88">
      <w:pPr>
        <w:pStyle w:val="FootnoteText"/>
      </w:pPr>
      <w:r>
        <w:rPr>
          <w:rStyle w:val="FootnoteReference"/>
        </w:rPr>
        <w:footnoteRef/>
      </w:r>
      <w:r>
        <w:tab/>
        <w:t>Comore, Madagascar, Mauritius, Seychelles, Zambia și Zimbabwe.</w:t>
      </w:r>
    </w:p>
  </w:footnote>
  <w:footnote w:id="55">
    <w:p w14:paraId="4279BC34" w14:textId="627EEEA4" w:rsidR="00261B88" w:rsidRPr="00B83E3A" w:rsidRDefault="00261B88">
      <w:pPr>
        <w:pStyle w:val="FootnoteText"/>
      </w:pPr>
      <w:r>
        <w:rPr>
          <w:rStyle w:val="FootnoteReference"/>
        </w:rPr>
        <w:footnoteRef/>
      </w:r>
      <w:r>
        <w:tab/>
        <w:t>Printr-o scrisoare a comisarului Johansson adresată directorului executiv al UNODC.</w:t>
      </w:r>
    </w:p>
  </w:footnote>
  <w:footnote w:id="56">
    <w:p w14:paraId="7DDE0B95" w14:textId="16E69A19" w:rsidR="00261B88" w:rsidRPr="006E3ED1" w:rsidRDefault="00261B88" w:rsidP="00AB46D0">
      <w:pPr>
        <w:pStyle w:val="FootnoteText"/>
      </w:pPr>
      <w:r>
        <w:rPr>
          <w:rStyle w:val="FootnoteReference"/>
        </w:rPr>
        <w:footnoteRef/>
      </w:r>
      <w:r>
        <w:t xml:space="preserve"> </w:t>
      </w:r>
      <w:r>
        <w:tab/>
        <w:t xml:space="preserve">Raportul final privind cea de a noua sesiune a Conferinței statelor părți. </w:t>
      </w:r>
    </w:p>
  </w:footnote>
  <w:footnote w:id="57">
    <w:p w14:paraId="1ADA9D3F" w14:textId="338577FC" w:rsidR="00261B88" w:rsidRPr="00F6664B" w:rsidRDefault="00261B88">
      <w:pPr>
        <w:pStyle w:val="FootnoteText"/>
      </w:pPr>
      <w:r>
        <w:rPr>
          <w:rStyle w:val="FootnoteReference"/>
        </w:rPr>
        <w:footnoteRef/>
      </w:r>
      <w:r>
        <w:tab/>
        <w:t xml:space="preserve">Pentru mai multe informații, a se vedea documentul intitulat „Prezentare generală anuală conținând informații referitoare la rezultatele Programului Uniunii de luptă antifraudă în anul </w:t>
      </w:r>
      <w:r w:rsidRPr="00D17A39">
        <w:t>2021</w:t>
      </w:r>
      <w:r>
        <w:t>”, care însoțește prezentul raport.</w:t>
      </w:r>
    </w:p>
  </w:footnote>
  <w:footnote w:id="58">
    <w:p w14:paraId="4A6F3BF4" w14:textId="77777777" w:rsidR="00261B88" w:rsidRPr="004A502D" w:rsidRDefault="00261B88" w:rsidP="00A86074">
      <w:pPr>
        <w:pStyle w:val="FootnoteText"/>
      </w:pPr>
      <w:r>
        <w:rPr>
          <w:rStyle w:val="FootnoteReference"/>
        </w:rPr>
        <w:footnoteRef/>
      </w:r>
      <w:r>
        <w:tab/>
        <w:t>Regulamentul (CE) nr. </w:t>
      </w:r>
      <w:r w:rsidRPr="00D17A39">
        <w:t>515</w:t>
      </w:r>
      <w:r>
        <w:t>/</w:t>
      </w:r>
      <w:r w:rsidRPr="00D17A39">
        <w:t>97</w:t>
      </w:r>
      <w:r>
        <w:t xml:space="preserve"> al Consiliului din </w:t>
      </w:r>
      <w:r w:rsidRPr="00D17A39">
        <w:t>13</w:t>
      </w:r>
      <w:r>
        <w:t> martie </w:t>
      </w:r>
      <w:r w:rsidRPr="00D17A39">
        <w:t>1997</w:t>
      </w:r>
      <w:r>
        <w:t xml:space="preserve"> privind asistența reciprocă între autoritățile administrative ale statelor membre și cooperarea dintre acestea și Comisie în vederea asigurării aplicării corespunzătoare a legislației din domeniile vamal și agricol (JO L </w:t>
      </w:r>
      <w:r w:rsidRPr="00D17A39">
        <w:t>82</w:t>
      </w:r>
      <w:r>
        <w:t xml:space="preserve">, </w:t>
      </w:r>
      <w:r w:rsidRPr="00D17A39">
        <w:t>22</w:t>
      </w:r>
      <w:r>
        <w:t>.</w:t>
      </w:r>
      <w:r w:rsidRPr="00D17A39">
        <w:t>3</w:t>
      </w:r>
      <w:r>
        <w:t>.</w:t>
      </w:r>
      <w:r w:rsidRPr="00D17A39">
        <w:t>1997</w:t>
      </w:r>
      <w:r>
        <w:t>, p. </w:t>
      </w:r>
      <w:r w:rsidRPr="00D17A39">
        <w:t>1</w:t>
      </w:r>
      <w:r>
        <w:t>).</w:t>
      </w:r>
    </w:p>
  </w:footnote>
  <w:footnote w:id="59">
    <w:p w14:paraId="1D5C4ADB" w14:textId="64DC9D78" w:rsidR="00261B88" w:rsidRPr="00296A29" w:rsidRDefault="00261B88">
      <w:pPr>
        <w:pStyle w:val="FootnoteText"/>
      </w:pPr>
      <w:r>
        <w:rPr>
          <w:rStyle w:val="FootnoteReference"/>
        </w:rPr>
        <w:footnoteRef/>
      </w:r>
      <w:r>
        <w:tab/>
        <w:t>Pentru o descriere a sistemului, a se vedea secțiunea </w:t>
      </w:r>
      <w:r w:rsidRPr="00D17A39">
        <w:t>7</w:t>
      </w:r>
      <w:r>
        <w:t>.</w:t>
      </w:r>
      <w:r w:rsidRPr="00D17A39">
        <w:t>2</w:t>
      </w:r>
      <w:r>
        <w:t>.</w:t>
      </w:r>
    </w:p>
  </w:footnote>
  <w:footnote w:id="60">
    <w:p w14:paraId="364F8F20" w14:textId="1B1082F7" w:rsidR="00261B88" w:rsidRPr="00F83AD7" w:rsidRDefault="00261B88">
      <w:pPr>
        <w:pStyle w:val="FootnoteText"/>
      </w:pPr>
      <w:r>
        <w:rPr>
          <w:rStyle w:val="FootnoteReference"/>
        </w:rPr>
        <w:footnoteRef/>
      </w:r>
      <w:r>
        <w:tab/>
        <w:t>Croația, Finlanda, Grecia, Letonia, Luxemburg, Portugalia, România și Spania.</w:t>
      </w:r>
    </w:p>
  </w:footnote>
  <w:footnote w:id="61">
    <w:p w14:paraId="6C3A4787" w14:textId="2556A527" w:rsidR="00261B88" w:rsidRPr="00F83AD7" w:rsidRDefault="00261B88">
      <w:pPr>
        <w:pStyle w:val="FootnoteText"/>
      </w:pPr>
      <w:r>
        <w:rPr>
          <w:rStyle w:val="FootnoteReference"/>
        </w:rPr>
        <w:footnoteRef/>
      </w:r>
      <w:r>
        <w:tab/>
        <w:t>Belgia, Cipru, Slovacia, Slovenia și Suedia.</w:t>
      </w:r>
    </w:p>
  </w:footnote>
  <w:footnote w:id="62">
    <w:p w14:paraId="2997A5C9" w14:textId="1196FD01" w:rsidR="00261B88" w:rsidRPr="000005EB" w:rsidRDefault="00261B88">
      <w:pPr>
        <w:pStyle w:val="FootnoteText"/>
      </w:pPr>
      <w:r>
        <w:rPr>
          <w:rStyle w:val="FootnoteReference"/>
        </w:rPr>
        <w:footnoteRef/>
      </w:r>
      <w:r>
        <w:tab/>
        <w:t>Estonia, Malta, Țările de Jos și Ungaria.</w:t>
      </w:r>
    </w:p>
  </w:footnote>
  <w:footnote w:id="63">
    <w:p w14:paraId="285BDDFA" w14:textId="77777777" w:rsidR="00261B88" w:rsidRPr="00BB743B" w:rsidRDefault="00261B88">
      <w:pPr>
        <w:pStyle w:val="FootnoteText"/>
      </w:pPr>
      <w:r>
        <w:rPr>
          <w:rStyle w:val="FootnoteReference"/>
        </w:rPr>
        <w:footnoteRef/>
      </w:r>
      <w:r>
        <w:tab/>
        <w:t>Directiva (UE) </w:t>
      </w:r>
      <w:r w:rsidRPr="00D17A39">
        <w:t>2018</w:t>
      </w:r>
      <w:r>
        <w:t>/</w:t>
      </w:r>
      <w:r w:rsidRPr="00D17A39">
        <w:t>843</w:t>
      </w:r>
      <w:r>
        <w:t xml:space="preserve"> a Parlamentului European și a Consiliului din </w:t>
      </w:r>
      <w:r w:rsidRPr="00D17A39">
        <w:t>30</w:t>
      </w:r>
      <w:r>
        <w:t> mai </w:t>
      </w:r>
      <w:r w:rsidRPr="00D17A39">
        <w:t>2018</w:t>
      </w:r>
      <w:r>
        <w:t xml:space="preserve"> de modificare a Directivei (UE) </w:t>
      </w:r>
      <w:r w:rsidRPr="00D17A39">
        <w:t>2015</w:t>
      </w:r>
      <w:r>
        <w:t>/</w:t>
      </w:r>
      <w:r w:rsidRPr="00D17A39">
        <w:t>849</w:t>
      </w:r>
      <w:r>
        <w:t xml:space="preserve"> privind prevenirea utilizării sistemului financiar în scopul spălării banilor sau finanțării terorismului, precum și de modificare a Directivelor </w:t>
      </w:r>
      <w:r w:rsidRPr="00D17A39">
        <w:t>2009</w:t>
      </w:r>
      <w:r>
        <w:t>/</w:t>
      </w:r>
      <w:r w:rsidRPr="00D17A39">
        <w:t>138</w:t>
      </w:r>
      <w:r>
        <w:t xml:space="preserve">/CE și </w:t>
      </w:r>
      <w:r w:rsidRPr="00D17A39">
        <w:t>2013</w:t>
      </w:r>
      <w:r>
        <w:t>/</w:t>
      </w:r>
      <w:r w:rsidRPr="00D17A39">
        <w:t>36</w:t>
      </w:r>
      <w:r>
        <w:t>/UE (Text cu relevanță pentru SEE) (JO L </w:t>
      </w:r>
      <w:r w:rsidRPr="00D17A39">
        <w:t>156</w:t>
      </w:r>
      <w:r>
        <w:t xml:space="preserve">, </w:t>
      </w:r>
      <w:r w:rsidRPr="00D17A39">
        <w:t>19</w:t>
      </w:r>
      <w:r>
        <w:t>.</w:t>
      </w:r>
      <w:r w:rsidRPr="00D17A39">
        <w:t>6</w:t>
      </w:r>
      <w:r>
        <w:t>.</w:t>
      </w:r>
      <w:r w:rsidRPr="00D17A39">
        <w:t>2018</w:t>
      </w:r>
      <w:r>
        <w:t>, p. </w:t>
      </w:r>
      <w:r w:rsidRPr="00D17A39">
        <w:t>43</w:t>
      </w:r>
      <w:r>
        <w:t>).</w:t>
      </w:r>
    </w:p>
  </w:footnote>
  <w:footnote w:id="64">
    <w:p w14:paraId="675F8D98" w14:textId="77777777" w:rsidR="00261B88" w:rsidRPr="00BB743B" w:rsidRDefault="00261B88">
      <w:pPr>
        <w:pStyle w:val="FootnoteText"/>
      </w:pPr>
      <w:r>
        <w:rPr>
          <w:rStyle w:val="FootnoteReference"/>
        </w:rPr>
        <w:footnoteRef/>
      </w:r>
      <w:r>
        <w:tab/>
      </w:r>
      <w:hyperlink r:id="rId5" w:anchor="#eu" w:history="1">
        <w:r w:rsidRPr="00261B88">
          <w:rPr>
            <w:rStyle w:val="Hyperlink"/>
          </w:rPr>
          <w:t>https://ec.europa.eu/info/business-economy-euro/banking-and-finance/financial-supervision-and-risk-management/anti-money-laundering-and-counter-terrorist-financing_en#eu</w:t>
        </w:r>
      </w:hyperlink>
      <w:r>
        <w:t xml:space="preserve">. </w:t>
      </w:r>
    </w:p>
  </w:footnote>
  <w:footnote w:id="65">
    <w:p w14:paraId="57C7EEE3" w14:textId="77777777" w:rsidR="00261B88" w:rsidRPr="00E37566" w:rsidRDefault="00261B88">
      <w:pPr>
        <w:pStyle w:val="FootnoteText"/>
      </w:pPr>
      <w:r>
        <w:rPr>
          <w:rStyle w:val="FootnoteReference"/>
        </w:rPr>
        <w:footnoteRef/>
      </w:r>
      <w:r>
        <w:tab/>
      </w:r>
      <w:hyperlink r:id="rId6" w:history="1">
        <w:r w:rsidRPr="00261B88">
          <w:rPr>
            <w:rStyle w:val="Hyperlink"/>
          </w:rPr>
          <w:t>https://ec.europa.eu/info/business-economy-euro/economic-and-fiscal-policy-coordination/eu-economic-governance-monitoring-prevention-correction/european-semester_en</w:t>
        </w:r>
      </w:hyperlink>
      <w:r>
        <w:t xml:space="preserve">. </w:t>
      </w:r>
    </w:p>
  </w:footnote>
  <w:footnote w:id="66">
    <w:p w14:paraId="2C245F2C" w14:textId="77777777" w:rsidR="00261B88" w:rsidRPr="00E37566" w:rsidRDefault="00261B88">
      <w:pPr>
        <w:pStyle w:val="FootnoteText"/>
      </w:pPr>
      <w:r>
        <w:rPr>
          <w:rStyle w:val="FootnoteReference"/>
        </w:rPr>
        <w:footnoteRef/>
      </w:r>
      <w:r>
        <w:tab/>
      </w:r>
      <w:hyperlink r:id="rId7" w:history="1">
        <w:r w:rsidRPr="00261B88">
          <w:rPr>
            <w:rStyle w:val="Hyperlink"/>
          </w:rPr>
          <w:t>https://ec.europa.eu/info/business-economy-euro/economic-and-fiscal-policy-coordination/eu-economic-governance-monitoring-prevention-correction/european-semester/european-semester-timeline/spring-package_ro</w:t>
        </w:r>
      </w:hyperlink>
      <w:r>
        <w:t xml:space="preserve">. </w:t>
      </w:r>
    </w:p>
  </w:footnote>
  <w:footnote w:id="67">
    <w:p w14:paraId="0A63D342" w14:textId="77777777" w:rsidR="00261B88" w:rsidRPr="00E878ED" w:rsidRDefault="00261B88" w:rsidP="00EC369B">
      <w:pPr>
        <w:pStyle w:val="FootnoteText"/>
      </w:pPr>
      <w:r>
        <w:rPr>
          <w:rStyle w:val="FootnoteReference"/>
        </w:rPr>
        <w:footnoteRef/>
      </w:r>
      <w:r>
        <w:tab/>
        <w:t>Nicio măsură inclusă în MRR nu ar trebui să conducă la prejudicierea în mod semnificativ a obiectivelor definite la articolul </w:t>
      </w:r>
      <w:r w:rsidRPr="00D17A39">
        <w:t>17</w:t>
      </w:r>
      <w:r>
        <w:t xml:space="preserve"> din Regulamentul (UE) </w:t>
      </w:r>
      <w:r w:rsidRPr="00D17A39">
        <w:t>2020</w:t>
      </w:r>
      <w:r>
        <w:t>/</w:t>
      </w:r>
      <w:r w:rsidRPr="00D17A39">
        <w:t>852</w:t>
      </w:r>
      <w:r>
        <w:t xml:space="preserve"> privind taxonomia.</w:t>
      </w:r>
    </w:p>
  </w:footnote>
  <w:footnote w:id="68">
    <w:p w14:paraId="32AC4E43" w14:textId="77777777" w:rsidR="00261B88" w:rsidRPr="00813F4C" w:rsidRDefault="00261B88" w:rsidP="00A86074">
      <w:pPr>
        <w:pStyle w:val="FootnoteText"/>
      </w:pPr>
      <w:r>
        <w:rPr>
          <w:rStyle w:val="FootnoteReference"/>
        </w:rPr>
        <w:footnoteRef/>
      </w:r>
      <w:r>
        <w:tab/>
        <w:t>Articolul </w:t>
      </w:r>
      <w:r w:rsidRPr="00D17A39">
        <w:t>22</w:t>
      </w:r>
      <w:r>
        <w:t xml:space="preserve"> din Regulamentul (UE) </w:t>
      </w:r>
      <w:r w:rsidRPr="00D17A39">
        <w:t>2021</w:t>
      </w:r>
      <w:r>
        <w:t>/</w:t>
      </w:r>
      <w:r w:rsidRPr="00D17A39">
        <w:t>241</w:t>
      </w:r>
      <w:r>
        <w:t xml:space="preserve"> al Parlamentului European și al Consiliului din </w:t>
      </w:r>
      <w:r w:rsidRPr="00D17A39">
        <w:t>12</w:t>
      </w:r>
      <w:r>
        <w:t> februarie </w:t>
      </w:r>
      <w:r w:rsidRPr="00D17A39">
        <w:t>2021</w:t>
      </w:r>
      <w:r>
        <w:t xml:space="preserve"> de instituire a Mecanismului de redresare și reziliență (JO L </w:t>
      </w:r>
      <w:r w:rsidRPr="00D17A39">
        <w:t>57</w:t>
      </w:r>
      <w:r>
        <w:t xml:space="preserve">, </w:t>
      </w:r>
      <w:r w:rsidRPr="00D17A39">
        <w:t>18</w:t>
      </w:r>
      <w:r>
        <w:t>.</w:t>
      </w:r>
      <w:r w:rsidRPr="00D17A39">
        <w:t>2</w:t>
      </w:r>
      <w:r>
        <w:t>.</w:t>
      </w:r>
      <w:r w:rsidRPr="00D17A39">
        <w:t>2021</w:t>
      </w:r>
      <w:r>
        <w:t>, p. </w:t>
      </w:r>
      <w:r w:rsidRPr="00D17A39">
        <w:t>17</w:t>
      </w:r>
      <w:r>
        <w:t>).</w:t>
      </w:r>
    </w:p>
  </w:footnote>
  <w:footnote w:id="69">
    <w:p w14:paraId="17433E87" w14:textId="4B6493F8" w:rsidR="00261B88" w:rsidRPr="00924DFB" w:rsidRDefault="00261B88">
      <w:pPr>
        <w:pStyle w:val="FootnoteText"/>
      </w:pPr>
      <w:r>
        <w:rPr>
          <w:rStyle w:val="FootnoteReference"/>
        </w:rPr>
        <w:footnoteRef/>
      </w:r>
      <w:r>
        <w:tab/>
        <w:t xml:space="preserve"> Planurile nu au fost încă adoptate în Ungaria și în Țările de Jos.</w:t>
      </w:r>
    </w:p>
  </w:footnote>
  <w:footnote w:id="70">
    <w:p w14:paraId="09C280E3" w14:textId="77777777" w:rsidR="00261B88" w:rsidRPr="00813F4C" w:rsidRDefault="00261B88">
      <w:pPr>
        <w:pStyle w:val="FootnoteText"/>
      </w:pPr>
      <w:r>
        <w:rPr>
          <w:rStyle w:val="FootnoteReference"/>
        </w:rPr>
        <w:footnoteRef/>
      </w:r>
      <w:r>
        <w:tab/>
        <w:t>Danemarca, Lituania, Malta, Portugalia și Suedia.</w:t>
      </w:r>
    </w:p>
  </w:footnote>
  <w:footnote w:id="71">
    <w:p w14:paraId="05D72EA7" w14:textId="77777777" w:rsidR="00261B88" w:rsidRPr="00586B86" w:rsidRDefault="00261B88">
      <w:pPr>
        <w:pStyle w:val="FootnoteText"/>
      </w:pPr>
      <w:r>
        <w:rPr>
          <w:rStyle w:val="FootnoteReference"/>
        </w:rPr>
        <w:footnoteRef/>
      </w:r>
      <w:r>
        <w:tab/>
        <w:t>Croația, Cipru, Franța și Letonia.</w:t>
      </w:r>
    </w:p>
  </w:footnote>
  <w:footnote w:id="72">
    <w:p w14:paraId="2B257A43" w14:textId="77777777" w:rsidR="00261B88" w:rsidRPr="00813F4C" w:rsidRDefault="00261B88">
      <w:pPr>
        <w:pStyle w:val="FootnoteText"/>
      </w:pPr>
      <w:r>
        <w:rPr>
          <w:rStyle w:val="FootnoteReference"/>
        </w:rPr>
        <w:footnoteRef/>
      </w:r>
      <w:r>
        <w:tab/>
        <w:t>Ungaria.</w:t>
      </w:r>
    </w:p>
  </w:footnote>
  <w:footnote w:id="73">
    <w:p w14:paraId="57D01BA7" w14:textId="77777777" w:rsidR="00261B88" w:rsidRPr="00153135" w:rsidRDefault="00261B88">
      <w:pPr>
        <w:pStyle w:val="FootnoteText"/>
      </w:pPr>
      <w:r>
        <w:rPr>
          <w:rStyle w:val="FootnoteReference"/>
        </w:rPr>
        <w:footnoteRef/>
      </w:r>
      <w:r>
        <w:tab/>
        <w:t xml:space="preserve">Danemarca, Franța și Letonia. </w:t>
      </w:r>
    </w:p>
  </w:footnote>
  <w:footnote w:id="74">
    <w:p w14:paraId="65C1C22A" w14:textId="77777777" w:rsidR="00261B88" w:rsidRPr="00813F4C" w:rsidRDefault="00261B88">
      <w:pPr>
        <w:pStyle w:val="FootnoteText"/>
      </w:pPr>
      <w:r>
        <w:rPr>
          <w:rStyle w:val="FootnoteReference"/>
        </w:rPr>
        <w:footnoteRef/>
      </w:r>
      <w:r>
        <w:tab/>
        <w:t>COM(</w:t>
      </w:r>
      <w:r w:rsidRPr="00D17A39">
        <w:t>2021</w:t>
      </w:r>
      <w:r>
        <w:t>) </w:t>
      </w:r>
      <w:r w:rsidRPr="00D17A39">
        <w:t>700</w:t>
      </w:r>
      <w:r>
        <w:t xml:space="preserve"> final din </w:t>
      </w:r>
      <w:r w:rsidRPr="00D17A39">
        <w:t>20</w:t>
      </w:r>
      <w:r>
        <w:t>.</w:t>
      </w:r>
      <w:r w:rsidRPr="00D17A39">
        <w:t>7</w:t>
      </w:r>
      <w:r>
        <w:t>.</w:t>
      </w:r>
      <w:r w:rsidRPr="00D17A39">
        <w:t>2021</w:t>
      </w:r>
      <w:r>
        <w:t>.</w:t>
      </w:r>
    </w:p>
  </w:footnote>
  <w:footnote w:id="75">
    <w:p w14:paraId="55429FB2" w14:textId="77777777" w:rsidR="00261B88" w:rsidRPr="00E878ED" w:rsidRDefault="00261B88" w:rsidP="006D5369">
      <w:pPr>
        <w:pStyle w:val="FootnoteText"/>
      </w:pPr>
      <w:r>
        <w:rPr>
          <w:rStyle w:val="FootnoteReference"/>
        </w:rPr>
        <w:footnoteRef/>
      </w:r>
      <w:r>
        <w:t xml:space="preserve"> </w:t>
      </w:r>
      <w:r>
        <w:tab/>
        <w:t>COM(</w:t>
      </w:r>
      <w:r w:rsidRPr="00D17A39">
        <w:t>2022</w:t>
      </w:r>
      <w:r>
        <w:t>) </w:t>
      </w:r>
      <w:r w:rsidRPr="00D17A39">
        <w:t>500</w:t>
      </w:r>
      <w:r>
        <w:t xml:space="preserve"> final din </w:t>
      </w:r>
      <w:r w:rsidRPr="00D17A39">
        <w:t>13</w:t>
      </w:r>
      <w:r>
        <w:t>.</w:t>
      </w:r>
      <w:r w:rsidRPr="00D17A39">
        <w:t>7</w:t>
      </w:r>
      <w:r>
        <w:t>.</w:t>
      </w:r>
      <w:r w:rsidRPr="00D17A39">
        <w:t>2022</w:t>
      </w:r>
      <w:r>
        <w:t>.</w:t>
      </w:r>
    </w:p>
  </w:footnote>
  <w:footnote w:id="76">
    <w:p w14:paraId="77F552B7" w14:textId="77777777" w:rsidR="00261B88" w:rsidRPr="00813F4C" w:rsidRDefault="00261B88">
      <w:pPr>
        <w:pStyle w:val="FootnoteText"/>
      </w:pPr>
      <w:r>
        <w:rPr>
          <w:rStyle w:val="FootnoteReference"/>
        </w:rPr>
        <w:footnoteRef/>
      </w:r>
      <w:r>
        <w:tab/>
        <w:t>COM(</w:t>
      </w:r>
      <w:r w:rsidRPr="00D17A39">
        <w:t>2022</w:t>
      </w:r>
      <w:r>
        <w:t>) </w:t>
      </w:r>
      <w:r w:rsidRPr="00D17A39">
        <w:t>1382</w:t>
      </w:r>
      <w:r>
        <w:t xml:space="preserve"> final din </w:t>
      </w:r>
      <w:r w:rsidRPr="00D17A39">
        <w:t>2</w:t>
      </w:r>
      <w:r>
        <w:t>.</w:t>
      </w:r>
      <w:r w:rsidRPr="00D17A39">
        <w:t>3</w:t>
      </w:r>
      <w:r>
        <w:t>.</w:t>
      </w:r>
      <w:r w:rsidRPr="00D17A39">
        <w:t>2022</w:t>
      </w:r>
      <w:r>
        <w:t>.</w:t>
      </w:r>
    </w:p>
  </w:footnote>
  <w:footnote w:id="77">
    <w:p w14:paraId="19733BA1" w14:textId="108EA260" w:rsidR="00261B88" w:rsidRPr="00743C19" w:rsidRDefault="00261B88">
      <w:pPr>
        <w:pStyle w:val="FootnoteText"/>
      </w:pPr>
      <w:r>
        <w:rPr>
          <w:rStyle w:val="FootnoteReference"/>
        </w:rPr>
        <w:footnoteRef/>
      </w:r>
      <w:r>
        <w:tab/>
        <w:t>Acesta este decalajul de timp măsurat pentru neregulile raportate în ceea ce privește politica de coeziune. A se vedea secțiunea </w:t>
      </w:r>
      <w:r w:rsidRPr="00D17A39">
        <w:t>4</w:t>
      </w:r>
      <w:r>
        <w:t>.</w:t>
      </w:r>
      <w:r w:rsidRPr="00D17A39">
        <w:t>5</w:t>
      </w:r>
      <w:r>
        <w:t>.</w:t>
      </w:r>
      <w:r w:rsidRPr="00D17A39">
        <w:t>1</w:t>
      </w:r>
      <w:r>
        <w:t xml:space="preserve">. din documentul intitulat „Evaluarea statistică a neregulilor raportate pentru </w:t>
      </w:r>
      <w:r w:rsidRPr="00D17A39">
        <w:t>2021</w:t>
      </w:r>
      <w:r>
        <w:t>”, care însoțește prezentul raport.</w:t>
      </w:r>
    </w:p>
  </w:footnote>
  <w:footnote w:id="78">
    <w:p w14:paraId="3FA3C078" w14:textId="0908ED95" w:rsidR="00261B88" w:rsidRPr="00A3121D" w:rsidRDefault="00261B88">
      <w:pPr>
        <w:pStyle w:val="FootnoteText"/>
      </w:pPr>
      <w:r>
        <w:rPr>
          <w:rStyle w:val="FootnoteReference"/>
        </w:rPr>
        <w:footnoteRef/>
      </w:r>
      <w:r>
        <w:tab/>
        <w:t>Regulamentul (UE, Euratom) </w:t>
      </w:r>
      <w:r w:rsidRPr="00D17A39">
        <w:t>2022</w:t>
      </w:r>
      <w:r>
        <w:t>/</w:t>
      </w:r>
      <w:r w:rsidRPr="00D17A39">
        <w:t>615</w:t>
      </w:r>
      <w:r>
        <w:t xml:space="preserve"> al Consiliului de modificare a Regulamentului (UE, Euratom) nr. </w:t>
      </w:r>
      <w:r w:rsidRPr="00D17A39">
        <w:t>609</w:t>
      </w:r>
      <w:r>
        <w:t>/</w:t>
      </w:r>
      <w:r w:rsidRPr="00D17A39">
        <w:t>2014</w:t>
      </w:r>
      <w:r>
        <w:t xml:space="preserve"> a fost adoptat la </w:t>
      </w:r>
      <w:r w:rsidRPr="00D17A39">
        <w:t>5</w:t>
      </w:r>
      <w:r>
        <w:t> aprilie </w:t>
      </w:r>
      <w:r w:rsidRPr="00D17A39">
        <w:t>2022</w:t>
      </w:r>
      <w:r>
        <w:t>.</w:t>
      </w:r>
    </w:p>
  </w:footnote>
  <w:footnote w:id="79">
    <w:p w14:paraId="0664DBEF" w14:textId="4543CC89" w:rsidR="00261B88" w:rsidRPr="00261B88" w:rsidRDefault="00261B88">
      <w:pPr>
        <w:pStyle w:val="FootnoteText"/>
        <w:rPr>
          <w:i/>
        </w:rPr>
      </w:pPr>
      <w:r>
        <w:rPr>
          <w:rStyle w:val="FootnoteReference"/>
        </w:rPr>
        <w:footnoteRef/>
      </w:r>
      <w:r>
        <w:tab/>
        <w:t xml:space="preserve">Parchetul European, Raportul anual </w:t>
      </w:r>
      <w:r w:rsidRPr="00D17A39">
        <w:t>2021</w:t>
      </w:r>
      <w:r>
        <w:t>, p. </w:t>
      </w:r>
      <w:r w:rsidRPr="00D17A39">
        <w:t>10</w:t>
      </w:r>
      <w:r>
        <w:t>.</w:t>
      </w:r>
    </w:p>
  </w:footnote>
  <w:footnote w:id="80">
    <w:p w14:paraId="66561C4A" w14:textId="77777777" w:rsidR="00261B88" w:rsidRPr="00D05EB2" w:rsidRDefault="00261B88" w:rsidP="006C7D78">
      <w:pPr>
        <w:pStyle w:val="FootnoteText"/>
      </w:pPr>
      <w:r>
        <w:rPr>
          <w:rStyle w:val="FootnoteReference"/>
        </w:rPr>
        <w:footnoteRef/>
      </w:r>
      <w:r>
        <w:tab/>
        <w:t>RDF – Rata de detectare a fraudei: Raportul dintre sumele financiare aferente neregulilor de natură frauduloasă și totalul resurselor proprii stabilite și al sumelor estimate.</w:t>
      </w:r>
    </w:p>
  </w:footnote>
  <w:footnote w:id="81">
    <w:p w14:paraId="10883321" w14:textId="24694772" w:rsidR="00261B88" w:rsidRPr="00D05EB2" w:rsidRDefault="00261B88" w:rsidP="006C7D78">
      <w:pPr>
        <w:pStyle w:val="FootnoteText"/>
      </w:pPr>
      <w:r>
        <w:rPr>
          <w:rStyle w:val="FootnoteReference"/>
        </w:rPr>
        <w:footnoteRef/>
      </w:r>
      <w:r>
        <w:tab/>
        <w:t xml:space="preserve">RDN – Rata de detectare a neregulilor: Raportul dintre sumele financiare aferente neregulilor de natură nefrauduloasă și totalul resurselor proprii stabilite și al sumelor estimate. </w:t>
      </w:r>
    </w:p>
  </w:footnote>
  <w:footnote w:id="82">
    <w:p w14:paraId="3B2E4F9B" w14:textId="775CE6F8" w:rsidR="00261B88" w:rsidRPr="00F6664B" w:rsidRDefault="00261B88">
      <w:pPr>
        <w:pStyle w:val="FootnoteText"/>
      </w:pPr>
      <w:r>
        <w:rPr>
          <w:rStyle w:val="FootnoteReference"/>
        </w:rPr>
        <w:footnoteRef/>
      </w:r>
      <w:r>
        <w:tab/>
        <w:t>Pentru o analiză completă a neregulilor raportate în cadrul RPT, a se vedea secțiunea </w:t>
      </w:r>
      <w:r w:rsidRPr="00D17A39">
        <w:t>2</w:t>
      </w:r>
      <w:r>
        <w:t xml:space="preserve"> din documentul intitulat „Evaluarea statistică a neregulilor raportate pentru </w:t>
      </w:r>
      <w:r w:rsidRPr="00D17A39">
        <w:t>2021</w:t>
      </w:r>
      <w:r>
        <w:t>”, care însoțește prezentul raport.</w:t>
      </w:r>
    </w:p>
  </w:footnote>
  <w:footnote w:id="83">
    <w:p w14:paraId="6672DED2" w14:textId="77777777" w:rsidR="00261B88" w:rsidRPr="002D6EFC" w:rsidRDefault="00261B88" w:rsidP="00747F11">
      <w:pPr>
        <w:pStyle w:val="FootnoteText"/>
      </w:pPr>
      <w:r>
        <w:rPr>
          <w:rStyle w:val="FootnoteReference"/>
        </w:rPr>
        <w:footnoteRef/>
      </w:r>
      <w:r>
        <w:tab/>
        <w:t xml:space="preserve">Comisia Europeană, </w:t>
      </w:r>
      <w:r w:rsidRPr="00261B88">
        <w:rPr>
          <w:i/>
        </w:rPr>
        <w:t>Al 32-lea raport anual privind protejarea intereselor financiare ale Uniunii Europene – Combaterea fraudei – 2020</w:t>
      </w:r>
      <w:r>
        <w:t>, instantaneul </w:t>
      </w:r>
      <w:r w:rsidRPr="00D17A39">
        <w:t>1</w:t>
      </w:r>
      <w:r>
        <w:t>, p.</w:t>
      </w:r>
      <w:r w:rsidRPr="00D17A39">
        <w:t>13</w:t>
      </w:r>
      <w:r>
        <w:t>.</w:t>
      </w:r>
    </w:p>
  </w:footnote>
  <w:footnote w:id="84">
    <w:p w14:paraId="5FDB06F6" w14:textId="77777777" w:rsidR="00261B88" w:rsidRPr="00883216" w:rsidRDefault="00261B88" w:rsidP="00747F11">
      <w:pPr>
        <w:pStyle w:val="FootnoteText"/>
      </w:pPr>
      <w:r>
        <w:rPr>
          <w:rStyle w:val="FootnoteReference"/>
        </w:rPr>
        <w:footnoteRef/>
      </w:r>
      <w:r>
        <w:tab/>
        <w:t xml:space="preserve">Hotărârea din </w:t>
      </w:r>
      <w:r w:rsidRPr="00D17A39">
        <w:t>8</w:t>
      </w:r>
      <w:r>
        <w:t> martie </w:t>
      </w:r>
      <w:r w:rsidRPr="00D17A39">
        <w:t>2022</w:t>
      </w:r>
      <w:r>
        <w:t>, EU:C:</w:t>
      </w:r>
      <w:r w:rsidRPr="00D17A39">
        <w:t>2022</w:t>
      </w:r>
      <w:r>
        <w:t>:</w:t>
      </w:r>
      <w:r w:rsidRPr="00D17A39">
        <w:t>167</w:t>
      </w:r>
      <w:r>
        <w:t>.</w:t>
      </w:r>
    </w:p>
  </w:footnote>
  <w:footnote w:id="85">
    <w:p w14:paraId="541E3036" w14:textId="2E6E57EA" w:rsidR="00261B88" w:rsidRPr="00EC29B5" w:rsidRDefault="00261B88" w:rsidP="00B850E7">
      <w:pPr>
        <w:pStyle w:val="FootnoteText"/>
        <w:ind w:left="284" w:hanging="284"/>
      </w:pPr>
      <w:r>
        <w:rPr>
          <w:rStyle w:val="FootnoteReference"/>
        </w:rPr>
        <w:footnoteRef/>
      </w:r>
      <w:r>
        <w:t xml:space="preserve"> </w:t>
      </w:r>
      <w:r>
        <w:tab/>
        <w:t>În temeiul articolului </w:t>
      </w:r>
      <w:r w:rsidRPr="00D17A39">
        <w:t>13</w:t>
      </w:r>
      <w:r>
        <w:t xml:space="preserve"> din Regulamentul antidumping de bază, circumvenția are loc atunci când producătorii-exportatori din țări terțe se angajează în practici precum expedierea produsului printr-o țară care nu face obiectul taxelor (transbordare), modificând ușor produsul astfel încât acesta să nu intre sub incidența taxelor, sau exportul prin intermediul unui producător-exportator cu niveluri individuale mai mici ale taxelor antidumping sau compensatorii (direcționarea exporturilor prin intermediul unei societăți).</w:t>
      </w:r>
    </w:p>
  </w:footnote>
  <w:footnote w:id="86">
    <w:p w14:paraId="252C5C70" w14:textId="77777777" w:rsidR="00261B88" w:rsidRPr="00EC29B5" w:rsidRDefault="00261B88" w:rsidP="00B850E7">
      <w:pPr>
        <w:ind w:left="284" w:hanging="284"/>
        <w:rPr>
          <w:sz w:val="20"/>
        </w:rPr>
      </w:pPr>
      <w:r>
        <w:rPr>
          <w:rStyle w:val="FootnoteReference"/>
        </w:rPr>
        <w:footnoteRef/>
      </w:r>
      <w:r>
        <w:rPr>
          <w:sz w:val="20"/>
        </w:rPr>
        <w:t xml:space="preserve"> </w:t>
      </w:r>
      <w:r>
        <w:tab/>
      </w:r>
      <w:r>
        <w:rPr>
          <w:sz w:val="20"/>
        </w:rPr>
        <w:t>O altă practică o reprezintă absorbția taxei. În acest caz, în pofida măsurilor instituite, exportatorii își reduc prețurile pentru a contracara efectul taxelor sau importatorii nu reflectă taxa atunci când revând produsul în Uniune.</w:t>
      </w:r>
    </w:p>
  </w:footnote>
  <w:footnote w:id="87">
    <w:p w14:paraId="31E2FFD7" w14:textId="77777777" w:rsidR="00261B88" w:rsidRPr="00EC29B5" w:rsidRDefault="00261B88" w:rsidP="00B850E7">
      <w:pPr>
        <w:pStyle w:val="FootnoteText"/>
        <w:ind w:left="284" w:hanging="284"/>
      </w:pPr>
      <w:r>
        <w:rPr>
          <w:rStyle w:val="FootnoteReference"/>
        </w:rPr>
        <w:footnoteRef/>
      </w:r>
      <w:r>
        <w:t xml:space="preserve"> </w:t>
      </w:r>
      <w:r>
        <w:tab/>
        <w:t xml:space="preserve">Materialele din fibră de sticlă sunt utilizate, de exemplu, pentru producția de palete pentru turbinele eoliene, pentru producția de ambarcațiuni, camioane și echipamente sportive, precum și pentru sistemul de reabilitare a conductelor. </w:t>
      </w:r>
    </w:p>
  </w:footnote>
  <w:footnote w:id="88">
    <w:p w14:paraId="79CD9491" w14:textId="25693234" w:rsidR="00261B88" w:rsidRPr="00997D73" w:rsidRDefault="00261B88">
      <w:pPr>
        <w:pStyle w:val="FootnoteText"/>
      </w:pPr>
      <w:r>
        <w:rPr>
          <w:rStyle w:val="FootnoteReference"/>
        </w:rPr>
        <w:footnoteRef/>
      </w:r>
      <w:r>
        <w:tab/>
        <w:t xml:space="preserve">A se vedea al </w:t>
      </w:r>
      <w:r w:rsidRPr="00D17A39">
        <w:t>32</w:t>
      </w:r>
      <w:r>
        <w:t xml:space="preserve">-lea raport PIF, </w:t>
      </w:r>
      <w:r w:rsidRPr="00261B88">
        <w:rPr>
          <w:i/>
        </w:rPr>
        <w:t>op. cit.</w:t>
      </w:r>
      <w:r>
        <w:t>, secțiunea </w:t>
      </w:r>
      <w:r w:rsidRPr="00D17A39">
        <w:t>6</w:t>
      </w:r>
      <w:r>
        <w:t>.</w:t>
      </w:r>
      <w:r w:rsidRPr="00D17A39">
        <w:t>2</w:t>
      </w:r>
      <w:r>
        <w:t>, p. </w:t>
      </w:r>
      <w:r w:rsidRPr="00D17A39">
        <w:t>37</w:t>
      </w:r>
      <w:r>
        <w:t>-</w:t>
      </w:r>
      <w:r w:rsidRPr="00D17A39">
        <w:t>40</w:t>
      </w:r>
      <w:r>
        <w:t>.</w:t>
      </w:r>
    </w:p>
  </w:footnote>
  <w:footnote w:id="89">
    <w:p w14:paraId="5EC97775" w14:textId="105EC5E1" w:rsidR="00261B88" w:rsidRPr="00997D73" w:rsidRDefault="00261B88">
      <w:pPr>
        <w:pStyle w:val="FootnoteText"/>
      </w:pPr>
      <w:r>
        <w:rPr>
          <w:rStyle w:val="FootnoteReference"/>
        </w:rPr>
        <w:footnoteRef/>
      </w:r>
      <w:r>
        <w:tab/>
        <w:t xml:space="preserve">Comisia Europeană, </w:t>
      </w:r>
      <w:r w:rsidRPr="00261B88">
        <w:rPr>
          <w:i/>
        </w:rPr>
        <w:t>Raport al Comisiei către Parlamentul European și Consiliu privind acțiunile întreprinse în urma descărcării de gestiune pentru exercițiul financiar 2020</w:t>
      </w:r>
      <w:r>
        <w:t xml:space="preserve"> [COM(</w:t>
      </w:r>
      <w:r w:rsidRPr="00D17A39">
        <w:t>2022</w:t>
      </w:r>
      <w:r>
        <w:t>) </w:t>
      </w:r>
      <w:r w:rsidRPr="00D17A39">
        <w:t>331</w:t>
      </w:r>
      <w:r>
        <w:t xml:space="preserve"> final, </w:t>
      </w:r>
      <w:r w:rsidRPr="00D17A39">
        <w:t>30</w:t>
      </w:r>
      <w:r>
        <w:t>.</w:t>
      </w:r>
      <w:r w:rsidRPr="00D17A39">
        <w:t>6</w:t>
      </w:r>
      <w:r>
        <w:t>.</w:t>
      </w:r>
      <w:r w:rsidRPr="00D17A39">
        <w:t>2022</w:t>
      </w:r>
      <w:r>
        <w:t>, p. </w:t>
      </w:r>
      <w:r w:rsidRPr="00D17A39">
        <w:t>2</w:t>
      </w:r>
      <w:r>
        <w:t>].</w:t>
      </w:r>
    </w:p>
  </w:footnote>
  <w:footnote w:id="90">
    <w:p w14:paraId="71F8BC36" w14:textId="77777777" w:rsidR="00261B88" w:rsidRPr="00261B88" w:rsidRDefault="00261B88">
      <w:pPr>
        <w:pStyle w:val="FootnoteText"/>
        <w:rPr>
          <w:i/>
        </w:rPr>
      </w:pPr>
      <w:r>
        <w:rPr>
          <w:rStyle w:val="FootnoteReference"/>
        </w:rPr>
        <w:footnoteRef/>
      </w:r>
      <w:r>
        <w:tab/>
      </w:r>
      <w:r w:rsidRPr="00261B88">
        <w:rPr>
          <w:i/>
        </w:rPr>
        <w:t>Ibidem</w:t>
      </w:r>
      <w:r>
        <w:t>.</w:t>
      </w:r>
    </w:p>
  </w:footnote>
  <w:footnote w:id="91">
    <w:p w14:paraId="6E59555B" w14:textId="77777777" w:rsidR="00261B88" w:rsidRPr="000F5F0C" w:rsidRDefault="00261B88" w:rsidP="00773F49">
      <w:pPr>
        <w:pStyle w:val="FootnoteText"/>
      </w:pPr>
      <w:r>
        <w:rPr>
          <w:rStyle w:val="FootnoteReference"/>
        </w:rPr>
        <w:footnoteRef/>
      </w:r>
      <w:r>
        <w:tab/>
        <w:t>Domeniile de cheltuieli legate de perioadele de programare vizează dezvoltarea rurală, coeziunea, politicile în domeniul pescuitului și politicile interne.</w:t>
      </w:r>
    </w:p>
  </w:footnote>
  <w:footnote w:id="92">
    <w:p w14:paraId="742C7A11" w14:textId="77777777" w:rsidR="00261B88" w:rsidRPr="00D05EB2" w:rsidRDefault="00261B88" w:rsidP="00773F49">
      <w:pPr>
        <w:pStyle w:val="FootnoteText"/>
      </w:pPr>
      <w:r>
        <w:rPr>
          <w:rStyle w:val="FootnoteReference"/>
        </w:rPr>
        <w:footnoteRef/>
      </w:r>
      <w:r>
        <w:tab/>
        <w:t>RDF – Rata de detectare a fraudei: Raportul dintre sumele financiare aferente neregulilor de natură frauduloasă și plățile totale efectuate.</w:t>
      </w:r>
    </w:p>
  </w:footnote>
  <w:footnote w:id="93">
    <w:p w14:paraId="6953E1AC" w14:textId="77777777" w:rsidR="00261B88" w:rsidRPr="00D05EB2" w:rsidRDefault="00261B88" w:rsidP="00773F49">
      <w:pPr>
        <w:pStyle w:val="FootnoteText"/>
      </w:pPr>
      <w:r>
        <w:rPr>
          <w:rStyle w:val="FootnoteReference"/>
        </w:rPr>
        <w:footnoteRef/>
      </w:r>
      <w:r>
        <w:tab/>
        <w:t>RDN – Rata de detectare a neregulilor: Raportul dintre sumele financiare aferente neregulilor de natură nefrauduloasă și plățile totale efectuate.</w:t>
      </w:r>
    </w:p>
  </w:footnote>
  <w:footnote w:id="94">
    <w:p w14:paraId="2228B183" w14:textId="063A4A3F" w:rsidR="00261B88" w:rsidRPr="00F6664B" w:rsidRDefault="00261B88">
      <w:pPr>
        <w:pStyle w:val="FootnoteText"/>
      </w:pPr>
      <w:r>
        <w:rPr>
          <w:rStyle w:val="FootnoteReference"/>
        </w:rPr>
        <w:footnoteRef/>
      </w:r>
      <w:r>
        <w:tab/>
        <w:t>Pentru o analiză completă a neregulilor raportate în agricultură, a se vedea secțiunea </w:t>
      </w:r>
      <w:r w:rsidRPr="00D17A39">
        <w:t>3</w:t>
      </w:r>
      <w:r>
        <w:t xml:space="preserve"> din documentul intitulat „Evaluarea statistică a neregulilor raportate pentru </w:t>
      </w:r>
      <w:r w:rsidRPr="00D17A39">
        <w:t>2021</w:t>
      </w:r>
      <w:r>
        <w:t>” care însoțește prezentul raport.</w:t>
      </w:r>
    </w:p>
  </w:footnote>
  <w:footnote w:id="95">
    <w:p w14:paraId="52057B4B" w14:textId="3C0F192C" w:rsidR="00261B88" w:rsidRPr="00715764" w:rsidRDefault="00261B88">
      <w:pPr>
        <w:pStyle w:val="FootnoteText"/>
      </w:pPr>
      <w:r>
        <w:rPr>
          <w:rStyle w:val="FootnoteReference"/>
        </w:rPr>
        <w:footnoteRef/>
      </w:r>
      <w:r>
        <w:tab/>
        <w:t xml:space="preserve">A se vedea al </w:t>
      </w:r>
      <w:r w:rsidRPr="00D17A39">
        <w:t>32</w:t>
      </w:r>
      <w:r>
        <w:t>-lea raport PIF – </w:t>
      </w:r>
      <w:r w:rsidRPr="00D17A39">
        <w:t>2020</w:t>
      </w:r>
      <w:r>
        <w:t xml:space="preserve">, </w:t>
      </w:r>
      <w:r w:rsidRPr="00261B88">
        <w:rPr>
          <w:i/>
        </w:rPr>
        <w:t>op. cit.</w:t>
      </w:r>
      <w:r>
        <w:t>, p. </w:t>
      </w:r>
      <w:r w:rsidRPr="00D17A39">
        <w:t>35</w:t>
      </w:r>
      <w:r>
        <w:t>.</w:t>
      </w:r>
    </w:p>
  </w:footnote>
  <w:footnote w:id="96">
    <w:p w14:paraId="3757D718" w14:textId="77777777" w:rsidR="00261B88" w:rsidRPr="00D10B75" w:rsidRDefault="00261B88" w:rsidP="00D11191">
      <w:pPr>
        <w:pStyle w:val="FootnoteText"/>
      </w:pPr>
      <w:r>
        <w:rPr>
          <w:rStyle w:val="FootnoteReference"/>
        </w:rPr>
        <w:footnoteRef/>
      </w:r>
      <w:r>
        <w:tab/>
        <w:t>COM(</w:t>
      </w:r>
      <w:r w:rsidRPr="00D17A39">
        <w:t>2021</w:t>
      </w:r>
      <w:r>
        <w:t>) </w:t>
      </w:r>
      <w:r w:rsidRPr="00D17A39">
        <w:t>141</w:t>
      </w:r>
      <w:r>
        <w:t>.</w:t>
      </w:r>
    </w:p>
  </w:footnote>
  <w:footnote w:id="97">
    <w:p w14:paraId="4E40FF34" w14:textId="659275AB" w:rsidR="00261B88" w:rsidRPr="00A251B1" w:rsidRDefault="00261B88">
      <w:pPr>
        <w:pStyle w:val="FootnoteText"/>
      </w:pPr>
      <w:r>
        <w:rPr>
          <w:rStyle w:val="FootnoteReference"/>
        </w:rPr>
        <w:footnoteRef/>
      </w:r>
      <w:r>
        <w:tab/>
        <w:t>Sistemul TRACES este platforma online a Comisiei Europene pentru certificarea sanitară și fitosanitară necesară pentru importul de animale, produse de origine animală, produse alimentare și hrană pentru animale de origine nonanimală și plante în Uniunea Europeană, precum și pentru comerțul intra-UE și exporturile UE de animale și anumite produse de origine animală.</w:t>
      </w:r>
    </w:p>
  </w:footnote>
  <w:footnote w:id="98">
    <w:p w14:paraId="77D7A7AB" w14:textId="58A664C8" w:rsidR="00261B88" w:rsidRPr="00F6664B" w:rsidRDefault="00261B88">
      <w:pPr>
        <w:pStyle w:val="FootnoteText"/>
      </w:pPr>
      <w:r>
        <w:rPr>
          <w:rStyle w:val="FootnoteReference"/>
        </w:rPr>
        <w:footnoteRef/>
      </w:r>
      <w:r>
        <w:tab/>
        <w:t>Pentru o analiză completă a neregulilor raportate în legătură cu fondurile ESI, a se vedea secțiunea </w:t>
      </w:r>
      <w:r w:rsidRPr="00D17A39">
        <w:t>4</w:t>
      </w:r>
      <w:r>
        <w:t xml:space="preserve"> din documentul intitulat „Evaluarea statistică a neregulilor raportate pentru </w:t>
      </w:r>
      <w:r w:rsidRPr="00D17A39">
        <w:t>2021</w:t>
      </w:r>
      <w:r>
        <w:t>”, care însoțește prezentul raport.</w:t>
      </w:r>
    </w:p>
  </w:footnote>
  <w:footnote w:id="99">
    <w:p w14:paraId="3FE38E4F" w14:textId="06B9C071" w:rsidR="00261B88" w:rsidRPr="002B1B19" w:rsidRDefault="00261B88">
      <w:pPr>
        <w:pStyle w:val="FootnoteText"/>
      </w:pPr>
      <w:r>
        <w:rPr>
          <w:rStyle w:val="FootnoteReference"/>
        </w:rPr>
        <w:footnoteRef/>
      </w:r>
      <w:r>
        <w:tab/>
        <w:t xml:space="preserve">În ceea ce privește perioada de programare </w:t>
      </w:r>
      <w:r w:rsidRPr="00D17A39">
        <w:t>2014</w:t>
      </w:r>
      <w:r>
        <w:t>-</w:t>
      </w:r>
      <w:r w:rsidRPr="00D17A39">
        <w:t>2020</w:t>
      </w:r>
      <w:r>
        <w:t>, RDF este puternic influențată de un număr semnificativ de detectări în România și Slovacia, însă și de nereguli unice care au implicat sume financiare uriașe. Aceste nereguli au avut, de asemenea, un impact semnificativ asupra RDF la nivelul UE-</w:t>
      </w:r>
      <w:r w:rsidRPr="00D17A39">
        <w:t>27</w:t>
      </w:r>
      <w:r>
        <w:t xml:space="preserve">. Comparația dintre cele două perioade de programare este importantă, deoarece permite înțelegerea faptului că respectiva creștere cu </w:t>
      </w:r>
      <w:r w:rsidRPr="00D17A39">
        <w:t>186</w:t>
      </w:r>
      <w:r>
        <w:t xml:space="preserve"> % în </w:t>
      </w:r>
      <w:r w:rsidRPr="00D17A39">
        <w:t>2021</w:t>
      </w:r>
      <w:r>
        <w:t xml:space="preserve"> comparativ cu media pe cinci ani are legătură cu o serie de situații excepționale.</w:t>
      </w:r>
    </w:p>
  </w:footnote>
  <w:footnote w:id="100">
    <w:p w14:paraId="17D73755" w14:textId="77777777" w:rsidR="00261B88" w:rsidRPr="00C77AE2" w:rsidRDefault="00261B88">
      <w:pPr>
        <w:pStyle w:val="FootnoteText"/>
      </w:pPr>
      <w:r>
        <w:rPr>
          <w:rStyle w:val="FootnoteReference"/>
        </w:rPr>
        <w:footnoteRef/>
      </w:r>
      <w:r>
        <w:tab/>
      </w:r>
      <w:hyperlink r:id="rId8" w:history="1">
        <w:r w:rsidRPr="00261B88">
          <w:rPr>
            <w:rStyle w:val="Hyperlink"/>
          </w:rPr>
          <w:t>https://ec.europa.eu/regional_policy/en/policy/how/improving-investment/integrity-pacts/</w:t>
        </w:r>
      </w:hyperlink>
      <w:r>
        <w:t xml:space="preserve">. </w:t>
      </w:r>
    </w:p>
  </w:footnote>
  <w:footnote w:id="101">
    <w:p w14:paraId="02DAA84E" w14:textId="31E6B1EA" w:rsidR="00261B88" w:rsidRPr="00F6664B" w:rsidRDefault="00261B88">
      <w:pPr>
        <w:pStyle w:val="FootnoteText"/>
      </w:pPr>
      <w:r>
        <w:rPr>
          <w:rStyle w:val="FootnoteReference"/>
        </w:rPr>
        <w:footnoteRef/>
      </w:r>
      <w:r>
        <w:tab/>
        <w:t>Pentru o analiză a neregulilor raportate în legătură cu aceste fonduri, a se vedea secțiunea </w:t>
      </w:r>
      <w:r w:rsidRPr="00D17A39">
        <w:t>4</w:t>
      </w:r>
      <w:r>
        <w:t>.</w:t>
      </w:r>
      <w:r w:rsidRPr="00D17A39">
        <w:t>6</w:t>
      </w:r>
      <w:r>
        <w:t xml:space="preserve"> din documentul intitulat „Evaluarea statistică a neregulilor raportate pentru </w:t>
      </w:r>
      <w:r w:rsidRPr="00D17A39">
        <w:t>2021</w:t>
      </w:r>
      <w:r>
        <w:t>”, care însoțește prezentul raport.</w:t>
      </w:r>
    </w:p>
  </w:footnote>
  <w:footnote w:id="102">
    <w:p w14:paraId="4FAC67F7" w14:textId="2814D57A" w:rsidR="00261B88" w:rsidRPr="00F6664B" w:rsidRDefault="00261B88">
      <w:pPr>
        <w:pStyle w:val="FootnoteText"/>
      </w:pPr>
      <w:r>
        <w:rPr>
          <w:rStyle w:val="FootnoteReference"/>
        </w:rPr>
        <w:footnoteRef/>
      </w:r>
      <w:r>
        <w:tab/>
        <w:t>Pentru o analiză a neregulilor raportate în domeniul preaderării, a se vedea secțiunea </w:t>
      </w:r>
      <w:r w:rsidRPr="00D17A39">
        <w:t>5</w:t>
      </w:r>
      <w:r>
        <w:t xml:space="preserve"> din documentul intitulat „Evaluarea statistică a neregulilor raportate pentru </w:t>
      </w:r>
      <w:r w:rsidRPr="00D17A39">
        <w:t>2021</w:t>
      </w:r>
      <w:r>
        <w:t>”, care însoțește prezentul raport.</w:t>
      </w:r>
    </w:p>
  </w:footnote>
  <w:footnote w:id="103">
    <w:p w14:paraId="72FB47D4" w14:textId="146B1940" w:rsidR="00261B88" w:rsidRPr="00F6664B" w:rsidRDefault="00261B88">
      <w:pPr>
        <w:pStyle w:val="FootnoteText"/>
      </w:pPr>
      <w:r>
        <w:rPr>
          <w:rStyle w:val="FootnoteReference"/>
        </w:rPr>
        <w:footnoteRef/>
      </w:r>
      <w:r>
        <w:tab/>
        <w:t>Pentru o analiză a neregulilor detectate în cadru gestiunii directe, a se vedea secțiunea </w:t>
      </w:r>
      <w:r w:rsidRPr="00D17A39">
        <w:t>6</w:t>
      </w:r>
      <w:r>
        <w:t xml:space="preserve"> din documentul intitulat „Evaluarea statistică a neregulilor raportate pentru </w:t>
      </w:r>
      <w:r w:rsidRPr="00D17A39">
        <w:t>2021</w:t>
      </w:r>
      <w:r>
        <w:t>”, care însoțește prezentul raport.</w:t>
      </w:r>
    </w:p>
  </w:footnote>
  <w:footnote w:id="104">
    <w:p w14:paraId="3672680F" w14:textId="77777777" w:rsidR="00261B88" w:rsidRPr="009D39B1" w:rsidRDefault="00261B88">
      <w:pPr>
        <w:pStyle w:val="FootnoteText"/>
      </w:pPr>
      <w:r>
        <w:rPr>
          <w:rStyle w:val="FootnoteReference"/>
        </w:rPr>
        <w:footnoteRef/>
      </w:r>
      <w:r>
        <w:tab/>
        <w:t>A se vedea instantaneele </w:t>
      </w:r>
      <w:r w:rsidRPr="00D17A39">
        <w:t>3</w:t>
      </w:r>
      <w:r>
        <w:t xml:space="preserve"> și </w:t>
      </w:r>
      <w:r w:rsidRPr="00D17A39">
        <w:t>4</w:t>
      </w:r>
      <w:r>
        <w:t>.</w:t>
      </w:r>
    </w:p>
  </w:footnote>
  <w:footnote w:id="105">
    <w:p w14:paraId="5E0ED96B" w14:textId="77777777" w:rsidR="00261B88" w:rsidRPr="000D0271" w:rsidRDefault="00261B88" w:rsidP="00225A0C">
      <w:pPr>
        <w:pStyle w:val="FootnoteText"/>
      </w:pPr>
      <w:r>
        <w:rPr>
          <w:rStyle w:val="FootnoteReference"/>
        </w:rPr>
        <w:footnoteRef/>
      </w:r>
      <w:r>
        <w:tab/>
        <w:t xml:space="preserve">Hotărârea din </w:t>
      </w:r>
      <w:r w:rsidRPr="00D17A39">
        <w:t>16</w:t>
      </w:r>
      <w:r>
        <w:t> februarie </w:t>
      </w:r>
      <w:r w:rsidRPr="00D17A39">
        <w:t>2022</w:t>
      </w:r>
      <w:r>
        <w:t>, EU:C:</w:t>
      </w:r>
      <w:r w:rsidRPr="00D17A39">
        <w:t>2022</w:t>
      </w:r>
      <w:r>
        <w:t>:</w:t>
      </w:r>
      <w:r w:rsidRPr="00D17A39">
        <w:t>97</w:t>
      </w:r>
      <w:r>
        <w:t>.</w:t>
      </w:r>
    </w:p>
  </w:footnote>
  <w:footnote w:id="106">
    <w:p w14:paraId="7AB7D321" w14:textId="77777777" w:rsidR="00261B88" w:rsidRPr="000D0271" w:rsidRDefault="00261B88" w:rsidP="00225A0C">
      <w:pPr>
        <w:pStyle w:val="FootnoteText"/>
      </w:pPr>
      <w:r>
        <w:rPr>
          <w:rStyle w:val="FootnoteReference"/>
        </w:rPr>
        <w:footnoteRef/>
      </w:r>
      <w:r>
        <w:tab/>
        <w:t xml:space="preserve">Hotărârea din </w:t>
      </w:r>
      <w:r w:rsidRPr="00D17A39">
        <w:t>16</w:t>
      </w:r>
      <w:r>
        <w:t> februarie </w:t>
      </w:r>
      <w:r w:rsidRPr="00D17A39">
        <w:t>2022</w:t>
      </w:r>
      <w:r>
        <w:t>, EU:C:</w:t>
      </w:r>
      <w:r w:rsidRPr="00D17A39">
        <w:t>2022</w:t>
      </w:r>
      <w:r>
        <w:t>:</w:t>
      </w:r>
      <w:r w:rsidRPr="00D17A39">
        <w:t>98</w:t>
      </w:r>
      <w:r>
        <w:t>.</w:t>
      </w:r>
    </w:p>
  </w:footnote>
  <w:footnote w:id="107">
    <w:p w14:paraId="792BA374" w14:textId="77777777" w:rsidR="00261B88" w:rsidRPr="001E21E5" w:rsidRDefault="00261B88">
      <w:pPr>
        <w:pStyle w:val="FootnoteText"/>
      </w:pPr>
      <w:r>
        <w:rPr>
          <w:rStyle w:val="FootnoteReference"/>
        </w:rPr>
        <w:footnoteRef/>
      </w:r>
      <w:r>
        <w:tab/>
        <w:t>COM(</w:t>
      </w:r>
      <w:r w:rsidRPr="00D17A39">
        <w:t>2022</w:t>
      </w:r>
      <w:r>
        <w:t>) </w:t>
      </w:r>
      <w:r w:rsidRPr="00D17A39">
        <w:t>184</w:t>
      </w:r>
      <w:r>
        <w:t xml:space="preserve"> final din </w:t>
      </w:r>
      <w:r w:rsidRPr="00D17A39">
        <w:t>22</w:t>
      </w:r>
      <w:r>
        <w:t>.</w:t>
      </w:r>
      <w:r w:rsidRPr="00D17A39">
        <w:t>4</w:t>
      </w:r>
      <w:r>
        <w:t>.</w:t>
      </w:r>
      <w:r w:rsidRPr="00D17A39">
        <w:t>2022</w:t>
      </w:r>
      <w:r>
        <w:t>.</w:t>
      </w:r>
    </w:p>
  </w:footnote>
  <w:footnote w:id="108">
    <w:p w14:paraId="1A2A8CC2" w14:textId="77777777" w:rsidR="00261B88" w:rsidRPr="00844F69" w:rsidRDefault="00261B88">
      <w:pPr>
        <w:pStyle w:val="FootnoteText"/>
      </w:pPr>
      <w:r>
        <w:rPr>
          <w:rStyle w:val="FootnoteReference"/>
        </w:rPr>
        <w:footnoteRef/>
      </w:r>
      <w:r>
        <w:tab/>
        <w:t>În conformitate cu Regulamentele (UE) </w:t>
      </w:r>
      <w:r w:rsidRPr="00D17A39">
        <w:t>2016</w:t>
      </w:r>
      <w:r>
        <w:t>/</w:t>
      </w:r>
      <w:r w:rsidRPr="00D17A39">
        <w:t>679</w:t>
      </w:r>
      <w:r>
        <w:t xml:space="preserve"> (RGPD) și (UE) </w:t>
      </w:r>
      <w:r w:rsidRPr="00D17A39">
        <w:t>2018</w:t>
      </w:r>
      <w:r>
        <w:t>/</w:t>
      </w:r>
      <w:r w:rsidRPr="00D17A39">
        <w:t>1725</w:t>
      </w:r>
      <w:r>
        <w:t>.</w:t>
      </w:r>
    </w:p>
  </w:footnote>
  <w:footnote w:id="109">
    <w:p w14:paraId="54E84B64" w14:textId="6E38D82B" w:rsidR="00261B88" w:rsidRPr="00AD2DE2" w:rsidRDefault="00261B88">
      <w:pPr>
        <w:pStyle w:val="FootnoteText"/>
      </w:pPr>
      <w:r>
        <w:rPr>
          <w:rStyle w:val="FootnoteReference"/>
        </w:rPr>
        <w:footnoteRef/>
      </w:r>
      <w:r>
        <w:tab/>
        <w:t xml:space="preserve">Pentru o prezentare detaliată a deciziilor luate de grup în </w:t>
      </w:r>
      <w:r w:rsidRPr="00D17A39">
        <w:t>2021</w:t>
      </w:r>
      <w:r>
        <w:t>, a se vedea documentul intitulat „Sistemul de detectare timpurie și de excludere (EDES) – Grupul menționat la articolul </w:t>
      </w:r>
      <w:r w:rsidRPr="00D17A39">
        <w:t>143</w:t>
      </w:r>
      <w:r>
        <w:t xml:space="preserve"> din Regulamentul financiar”, care însoțește prezentul raport.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06045" w14:textId="77777777" w:rsidR="002814D9" w:rsidRPr="002814D9" w:rsidRDefault="002814D9" w:rsidP="002814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6C88B" w14:textId="77777777" w:rsidR="002814D9" w:rsidRPr="002814D9" w:rsidRDefault="002814D9" w:rsidP="002814D9">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C69D4" w14:textId="77777777" w:rsidR="002814D9" w:rsidRPr="002814D9" w:rsidRDefault="002814D9" w:rsidP="002814D9">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E3082" w14:textId="77777777" w:rsidR="00261B88" w:rsidRDefault="00261B8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E28D7" w14:textId="77777777" w:rsidR="00261B88" w:rsidRDefault="00261B8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EDB08" w14:textId="77777777" w:rsidR="00261B88" w:rsidRDefault="00261B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6FEC1A48"/>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A82E70A8"/>
    <w:lvl w:ilvl="0">
      <w:start w:val="1"/>
      <w:numFmt w:val="decimal"/>
      <w:pStyle w:val="ListNumber2"/>
      <w:lvlText w:val="%1."/>
      <w:lvlJc w:val="left"/>
      <w:pPr>
        <w:tabs>
          <w:tab w:val="num" w:pos="643"/>
        </w:tabs>
        <w:ind w:left="643" w:hanging="360"/>
      </w:pPr>
    </w:lvl>
  </w:abstractNum>
  <w:abstractNum w:abstractNumId="2" w15:restartNumberingAfterBreak="0">
    <w:nsid w:val="FFFFFF82"/>
    <w:multiLevelType w:val="singleLevel"/>
    <w:tmpl w:val="B53C7698"/>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401602E4"/>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BFCCA0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276E86"/>
    <w:multiLevelType w:val="multilevel"/>
    <w:tmpl w:val="8E18D24C"/>
    <w:name w:val="ListBulletNumbering"/>
    <w:lvl w:ilvl="0">
      <w:start w:val="1"/>
      <w:numFmt w:val="bullet"/>
      <w:pStyle w:val="ListBullet"/>
      <w:lvlText w:val=""/>
      <w:lvlJc w:val="left"/>
      <w:pPr>
        <w:tabs>
          <w:tab w:val="num" w:pos="454"/>
        </w:tabs>
        <w:ind w:left="454" w:hanging="454"/>
      </w:pPr>
      <w:rPr>
        <w:rFonts w:ascii="Symbol" w:hAnsi="Symbol"/>
      </w:rPr>
    </w:lvl>
    <w:lvl w:ilvl="1">
      <w:start w:val="1"/>
      <w:numFmt w:val="bullet"/>
      <w:pStyle w:val="ListBulletLevel2"/>
      <w:lvlText w:val=""/>
      <w:lvlJc w:val="left"/>
      <w:pPr>
        <w:tabs>
          <w:tab w:val="num" w:pos="907"/>
        </w:tabs>
        <w:ind w:left="907" w:hanging="453"/>
      </w:pPr>
      <w:rPr>
        <w:rFonts w:ascii="Symbol" w:hAnsi="Symbol"/>
      </w:rPr>
    </w:lvl>
    <w:lvl w:ilvl="2">
      <w:start w:val="1"/>
      <w:numFmt w:val="bullet"/>
      <w:pStyle w:val="ListBulletLevel3"/>
      <w:lvlText w:val=""/>
      <w:lvlJc w:val="left"/>
      <w:pPr>
        <w:tabs>
          <w:tab w:val="num" w:pos="1361"/>
        </w:tabs>
        <w:ind w:left="1361" w:hanging="454"/>
      </w:pPr>
      <w:rPr>
        <w:rFonts w:ascii="Symbol" w:hAnsi="Symbol"/>
      </w:rPr>
    </w:lvl>
    <w:lvl w:ilvl="3">
      <w:start w:val="1"/>
      <w:numFmt w:val="bullet"/>
      <w:pStyle w:val="ListBullet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20B7201"/>
    <w:multiLevelType w:val="multilevel"/>
    <w:tmpl w:val="95541ED8"/>
    <w:name w:val="ListNumberNumbering"/>
    <w:lvl w:ilvl="0">
      <w:start w:val="1"/>
      <w:numFmt w:val="decimal"/>
      <w:lvlText w:val="(%1)"/>
      <w:lvlJc w:val="left"/>
      <w:pPr>
        <w:tabs>
          <w:tab w:val="num" w:pos="454"/>
        </w:tabs>
        <w:ind w:left="454" w:hanging="454"/>
      </w:pPr>
    </w:lvl>
    <w:lvl w:ilvl="1">
      <w:start w:val="1"/>
      <w:numFmt w:val="lowerLetter"/>
      <w:lvlText w:val="(%2)"/>
      <w:lvlJc w:val="left"/>
      <w:pPr>
        <w:tabs>
          <w:tab w:val="num" w:pos="907"/>
        </w:tabs>
        <w:ind w:left="907" w:hanging="453"/>
      </w:pPr>
    </w:lvl>
    <w:lvl w:ilvl="2">
      <w:start w:val="1"/>
      <w:numFmt w:val="bullet"/>
      <w:lvlText w:val="–"/>
      <w:lvlJc w:val="left"/>
      <w:pPr>
        <w:tabs>
          <w:tab w:val="num" w:pos="1361"/>
        </w:tabs>
        <w:ind w:left="1361" w:hanging="454"/>
      </w:pPr>
      <w:rPr>
        <w:rFonts w:ascii="Times New Roman" w:hAnsi="Times New Roman"/>
      </w:rPr>
    </w:lvl>
    <w:lvl w:ilvl="3">
      <w:start w:val="1"/>
      <w:numFmt w:val="bullet"/>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20B8345"/>
    <w:multiLevelType w:val="multilevel"/>
    <w:tmpl w:val="05B2BA7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2DD4CD3"/>
    <w:multiLevelType w:val="hybridMultilevel"/>
    <w:tmpl w:val="F3D012E6"/>
    <w:lvl w:ilvl="0" w:tplc="08090001">
      <w:start w:val="1"/>
      <w:numFmt w:val="bullet"/>
      <w:lvlText w:val=""/>
      <w:lvlJc w:val="left"/>
      <w:pPr>
        <w:ind w:left="360" w:hanging="360"/>
      </w:pPr>
      <w:rPr>
        <w:rFonts w:ascii="Symbol" w:hAnsi="Symbol" w:hint="default"/>
      </w:rPr>
    </w:lvl>
    <w:lvl w:ilvl="1" w:tplc="58CC190C">
      <w:numFmt w:val="bullet"/>
      <w:lvlText w:val="-"/>
      <w:lvlJc w:val="left"/>
      <w:pPr>
        <w:ind w:left="1440" w:hanging="720"/>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037D98"/>
    <w:multiLevelType w:val="multilevel"/>
    <w:tmpl w:val="95541ED8"/>
    <w:name w:val="ListNumberNumbering2"/>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B6C19EE"/>
    <w:multiLevelType w:val="hybridMultilevel"/>
    <w:tmpl w:val="78E2E9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293CE3"/>
    <w:multiLevelType w:val="multilevel"/>
    <w:tmpl w:val="F8BA9894"/>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start w:val="1"/>
      <w:numFmt w:val="decimal"/>
      <w:lvlText w:val="%4."/>
      <w:lvlJc w:val="left"/>
      <w:pPr>
        <w:tabs>
          <w:tab w:val="num" w:pos="1905"/>
        </w:tabs>
        <w:ind w:left="1905" w:hanging="476"/>
      </w:pPr>
      <w:rPr>
        <w:rFonts w:hint="default"/>
      </w:rPr>
    </w:lvl>
    <w:lvl w:ilvl="4">
      <w:start w:val="1"/>
      <w:numFmt w:val="lowerLetter"/>
      <w:lvlText w:val="%5."/>
      <w:lvlJc w:val="left"/>
      <w:pPr>
        <w:tabs>
          <w:tab w:val="num" w:pos="2381"/>
        </w:tabs>
        <w:ind w:left="2381" w:hanging="476"/>
      </w:pPr>
      <w:rPr>
        <w:rFonts w:hint="default"/>
      </w:rPr>
    </w:lvl>
    <w:lvl w:ilvl="5">
      <w:start w:val="1"/>
      <w:numFmt w:val="lowerRoman"/>
      <w:lvlText w:val="%6."/>
      <w:lvlJc w:val="left"/>
      <w:pPr>
        <w:tabs>
          <w:tab w:val="num" w:pos="2857"/>
        </w:tabs>
        <w:ind w:left="2857" w:hanging="476"/>
      </w:pPr>
      <w:rPr>
        <w:rFonts w:hint="default"/>
      </w:rPr>
    </w:lvl>
    <w:lvl w:ilvl="6">
      <w:start w:val="1"/>
      <w:numFmt w:val="decimal"/>
      <w:lvlText w:val="%7."/>
      <w:lvlJc w:val="left"/>
      <w:pPr>
        <w:tabs>
          <w:tab w:val="num" w:pos="3334"/>
        </w:tabs>
        <w:ind w:left="3334" w:hanging="477"/>
      </w:pPr>
      <w:rPr>
        <w:rFonts w:hint="default"/>
      </w:rPr>
    </w:lvl>
    <w:lvl w:ilvl="7">
      <w:start w:val="1"/>
      <w:numFmt w:val="lowerLetter"/>
      <w:lvlText w:val="%8."/>
      <w:lvlJc w:val="left"/>
      <w:pPr>
        <w:tabs>
          <w:tab w:val="num" w:pos="3810"/>
        </w:tabs>
        <w:ind w:left="3810" w:hanging="476"/>
      </w:pPr>
      <w:rPr>
        <w:rFonts w:hint="default"/>
      </w:rPr>
    </w:lvl>
    <w:lvl w:ilvl="8">
      <w:start w:val="1"/>
      <w:numFmt w:val="lowerRoman"/>
      <w:lvlText w:val="%9."/>
      <w:lvlJc w:val="left"/>
      <w:pPr>
        <w:tabs>
          <w:tab w:val="num" w:pos="4286"/>
        </w:tabs>
        <w:ind w:left="4286" w:hanging="476"/>
      </w:pPr>
      <w:rPr>
        <w:rFonts w:hint="default"/>
      </w:rPr>
    </w:lvl>
  </w:abstractNum>
  <w:abstractNum w:abstractNumId="12" w15:restartNumberingAfterBreak="0">
    <w:nsid w:val="2D293CF4"/>
    <w:multiLevelType w:val="multilevel"/>
    <w:tmpl w:val="B5DC329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start w:val="1"/>
      <w:numFmt w:val="decimal"/>
      <w:lvlText w:val="%4."/>
      <w:lvlJc w:val="left"/>
      <w:pPr>
        <w:tabs>
          <w:tab w:val="num" w:pos="1905"/>
        </w:tabs>
        <w:ind w:left="1905" w:hanging="476"/>
      </w:pPr>
      <w:rPr>
        <w:rFonts w:hint="default"/>
      </w:rPr>
    </w:lvl>
    <w:lvl w:ilvl="4">
      <w:start w:val="1"/>
      <w:numFmt w:val="lowerLetter"/>
      <w:lvlText w:val="%5."/>
      <w:lvlJc w:val="left"/>
      <w:pPr>
        <w:tabs>
          <w:tab w:val="num" w:pos="2381"/>
        </w:tabs>
        <w:ind w:left="2381" w:hanging="476"/>
      </w:pPr>
      <w:rPr>
        <w:rFonts w:hint="default"/>
      </w:rPr>
    </w:lvl>
    <w:lvl w:ilvl="5">
      <w:start w:val="1"/>
      <w:numFmt w:val="lowerRoman"/>
      <w:lvlText w:val="%6."/>
      <w:lvlJc w:val="left"/>
      <w:pPr>
        <w:tabs>
          <w:tab w:val="num" w:pos="2857"/>
        </w:tabs>
        <w:ind w:left="2857" w:hanging="476"/>
      </w:pPr>
      <w:rPr>
        <w:rFonts w:hint="default"/>
      </w:rPr>
    </w:lvl>
    <w:lvl w:ilvl="6">
      <w:start w:val="1"/>
      <w:numFmt w:val="decimal"/>
      <w:lvlText w:val="%7."/>
      <w:lvlJc w:val="left"/>
      <w:pPr>
        <w:tabs>
          <w:tab w:val="num" w:pos="3334"/>
        </w:tabs>
        <w:ind w:left="3334" w:hanging="477"/>
      </w:pPr>
      <w:rPr>
        <w:rFonts w:hint="default"/>
      </w:rPr>
    </w:lvl>
    <w:lvl w:ilvl="7">
      <w:start w:val="1"/>
      <w:numFmt w:val="lowerLetter"/>
      <w:lvlText w:val="%8."/>
      <w:lvlJc w:val="left"/>
      <w:pPr>
        <w:tabs>
          <w:tab w:val="num" w:pos="3810"/>
        </w:tabs>
        <w:ind w:left="3810" w:hanging="476"/>
      </w:pPr>
      <w:rPr>
        <w:rFonts w:hint="default"/>
      </w:rPr>
    </w:lvl>
    <w:lvl w:ilvl="8">
      <w:start w:val="1"/>
      <w:numFmt w:val="lowerRoman"/>
      <w:lvlText w:val="%9."/>
      <w:lvlJc w:val="left"/>
      <w:pPr>
        <w:tabs>
          <w:tab w:val="num" w:pos="4286"/>
        </w:tabs>
        <w:ind w:left="4286" w:hanging="476"/>
      </w:pPr>
      <w:rPr>
        <w:rFonts w:hint="default"/>
      </w:rPr>
    </w:lvl>
  </w:abstractNum>
  <w:abstractNum w:abstractNumId="13" w15:restartNumberingAfterBreak="0">
    <w:nsid w:val="4E1A63DF"/>
    <w:multiLevelType w:val="multilevel"/>
    <w:tmpl w:val="99640B2A"/>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4E1A982C"/>
    <w:multiLevelType w:val="multilevel"/>
    <w:tmpl w:val="8E18D24C"/>
    <w:name w:val="ListBulletNumbering"/>
    <w:lvl w:ilvl="0">
      <w:start w:val="1"/>
      <w:numFmt w:val="bullet"/>
      <w:lvlText w:val=""/>
      <w:lvlJc w:val="left"/>
      <w:pPr>
        <w:tabs>
          <w:tab w:val="num" w:pos="454"/>
        </w:tabs>
        <w:ind w:left="454" w:hanging="454"/>
      </w:pPr>
      <w:rPr>
        <w:rFonts w:ascii="Symbol" w:hAnsi="Symbol"/>
      </w:rPr>
    </w:lvl>
    <w:lvl w:ilvl="1">
      <w:start w:val="1"/>
      <w:numFmt w:val="bullet"/>
      <w:lvlText w:val=""/>
      <w:lvlJc w:val="left"/>
      <w:pPr>
        <w:tabs>
          <w:tab w:val="num" w:pos="907"/>
        </w:tabs>
        <w:ind w:left="907" w:hanging="453"/>
      </w:pPr>
      <w:rPr>
        <w:rFonts w:ascii="Symbol" w:hAnsi="Symbol"/>
      </w:rPr>
    </w:lvl>
    <w:lvl w:ilvl="2">
      <w:start w:val="1"/>
      <w:numFmt w:val="bullet"/>
      <w:lvlText w:val=""/>
      <w:lvlJc w:val="left"/>
      <w:pPr>
        <w:tabs>
          <w:tab w:val="num" w:pos="1361"/>
        </w:tabs>
        <w:ind w:left="1361" w:hanging="454"/>
      </w:pPr>
      <w:rPr>
        <w:rFonts w:ascii="Symbol" w:hAnsi="Symbol"/>
      </w:rPr>
    </w:lvl>
    <w:lvl w:ilvl="3">
      <w:start w:val="1"/>
      <w:numFmt w:val="bullet"/>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5072619B"/>
    <w:multiLevelType w:val="multilevel"/>
    <w:tmpl w:val="8548BA90"/>
    <w:name w:val="ListDashNumbering"/>
    <w:lvl w:ilvl="0">
      <w:start w:val="1"/>
      <w:numFmt w:val="bullet"/>
      <w:pStyle w:val="ListDash"/>
      <w:lvlText w:val="–"/>
      <w:lvlJc w:val="left"/>
      <w:pPr>
        <w:tabs>
          <w:tab w:val="num" w:pos="454"/>
        </w:tabs>
        <w:ind w:left="454" w:hanging="454"/>
      </w:pPr>
      <w:rPr>
        <w:rFonts w:ascii="Times New Roman" w:hAnsi="Times New Roman"/>
      </w:rPr>
    </w:lvl>
    <w:lvl w:ilvl="1">
      <w:start w:val="1"/>
      <w:numFmt w:val="bullet"/>
      <w:pStyle w:val="ListDashLevel2"/>
      <w:lvlText w:val="–"/>
      <w:lvlJc w:val="left"/>
      <w:pPr>
        <w:tabs>
          <w:tab w:val="num" w:pos="907"/>
        </w:tabs>
        <w:ind w:left="907" w:hanging="453"/>
      </w:pPr>
      <w:rPr>
        <w:rFonts w:ascii="Times New Roman" w:hAnsi="Times New Roman"/>
      </w:rPr>
    </w:lvl>
    <w:lvl w:ilvl="2">
      <w:start w:val="1"/>
      <w:numFmt w:val="bullet"/>
      <w:pStyle w:val="ListDashLevel3"/>
      <w:lvlText w:val="–"/>
      <w:lvlJc w:val="left"/>
      <w:pPr>
        <w:tabs>
          <w:tab w:val="num" w:pos="1361"/>
        </w:tabs>
        <w:ind w:left="1361" w:hanging="454"/>
      </w:pPr>
      <w:rPr>
        <w:rFonts w:ascii="Times New Roman" w:hAnsi="Times New Roman"/>
      </w:rPr>
    </w:lvl>
    <w:lvl w:ilvl="3">
      <w:start w:val="1"/>
      <w:numFmt w:val="bullet"/>
      <w:pStyle w:val="ListDashLevel4"/>
      <w:lvlText w:val="–"/>
      <w:lvlJc w:val="left"/>
      <w:pPr>
        <w:tabs>
          <w:tab w:val="num" w:pos="1814"/>
        </w:tabs>
        <w:ind w:left="1814" w:hanging="45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50729B52"/>
    <w:multiLevelType w:val="multilevel"/>
    <w:tmpl w:val="A74482D4"/>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558B0DFE"/>
    <w:multiLevelType w:val="hybridMultilevel"/>
    <w:tmpl w:val="B3E4C6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46636F"/>
    <w:multiLevelType w:val="hybridMultilevel"/>
    <w:tmpl w:val="A85ED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65145E"/>
    <w:multiLevelType w:val="multilevel"/>
    <w:tmpl w:val="434AEF58"/>
    <w:name w:val="EurolookHeading"/>
    <w:lvl w:ilvl="0">
      <w:start w:val="1"/>
      <w:numFmt w:val="decimal"/>
      <w:pStyle w:val="Heading1"/>
      <w:lvlText w:val="%1."/>
      <w:lvlJc w:val="left"/>
      <w:pPr>
        <w:tabs>
          <w:tab w:val="num" w:pos="397"/>
        </w:tabs>
        <w:ind w:left="397" w:hanging="397"/>
      </w:pPr>
      <w:rPr>
        <w:rFonts w:hint="default"/>
      </w:rPr>
    </w:lvl>
    <w:lvl w:ilvl="1">
      <w:start w:val="1"/>
      <w:numFmt w:val="decimal"/>
      <w:pStyle w:val="Heading2"/>
      <w:lvlText w:val="%1.%2."/>
      <w:lvlJc w:val="left"/>
      <w:pPr>
        <w:tabs>
          <w:tab w:val="num" w:pos="595"/>
        </w:tabs>
        <w:ind w:left="595" w:hanging="595"/>
      </w:pPr>
      <w:rPr>
        <w:rFonts w:hint="default"/>
      </w:rPr>
    </w:lvl>
    <w:lvl w:ilvl="2">
      <w:start w:val="1"/>
      <w:numFmt w:val="decimal"/>
      <w:pStyle w:val="Heading3"/>
      <w:lvlText w:val="%1.%2.%3."/>
      <w:lvlJc w:val="left"/>
      <w:pPr>
        <w:tabs>
          <w:tab w:val="num" w:pos="737"/>
        </w:tabs>
        <w:ind w:left="737" w:hanging="737"/>
      </w:pPr>
      <w:rPr>
        <w:rFonts w:hint="default"/>
        <w:u w:val="none"/>
      </w:rPr>
    </w:lvl>
    <w:lvl w:ilvl="3">
      <w:start w:val="1"/>
      <w:numFmt w:val="decimal"/>
      <w:pStyle w:val="Heading4"/>
      <w:lvlText w:val="%1.%2.%3.%4."/>
      <w:lvlJc w:val="left"/>
      <w:pPr>
        <w:tabs>
          <w:tab w:val="num" w:pos="850"/>
        </w:tabs>
        <w:ind w:left="850" w:hanging="850"/>
      </w:pPr>
      <w:rPr>
        <w:rFonts w:hint="default"/>
      </w:rPr>
    </w:lvl>
    <w:lvl w:ilvl="4">
      <w:start w:val="1"/>
      <w:numFmt w:val="decimal"/>
      <w:pStyle w:val="Heading5"/>
      <w:lvlText w:val="%1.%2.%3.%4.%5."/>
      <w:lvlJc w:val="left"/>
      <w:pPr>
        <w:tabs>
          <w:tab w:val="num" w:pos="1049"/>
        </w:tabs>
        <w:ind w:left="1049" w:hanging="1049"/>
      </w:pPr>
      <w:rPr>
        <w:rFonts w:hint="default"/>
      </w:rPr>
    </w:lvl>
    <w:lvl w:ilvl="5">
      <w:start w:val="1"/>
      <w:numFmt w:val="decimal"/>
      <w:pStyle w:val="Heading6"/>
      <w:suff w:val="space"/>
      <w:lvlText w:val="%1.%2.%3.%4.%5.%6."/>
      <w:lvlJc w:val="left"/>
      <w:pPr>
        <w:ind w:firstLine="0"/>
      </w:pPr>
      <w:rPr>
        <w:rFonts w:hint="default"/>
      </w:rPr>
    </w:lvl>
    <w:lvl w:ilvl="6">
      <w:start w:val="1"/>
      <w:numFmt w:val="decimal"/>
      <w:pStyle w:val="Heading7"/>
      <w:suff w:val="space"/>
      <w:lvlText w:val="%1.%2.%3.%4.%5.%6.%7."/>
      <w:lvlJc w:val="left"/>
      <w:pPr>
        <w:ind w:firstLine="0"/>
      </w:pPr>
      <w:rPr>
        <w:rFonts w:hint="default"/>
      </w:rPr>
    </w:lvl>
    <w:lvl w:ilvl="7">
      <w:start w:val="1"/>
      <w:numFmt w:val="decimal"/>
      <w:pStyle w:val="Heading8"/>
      <w:suff w:val="space"/>
      <w:lvlText w:val="%1.%2.%3.%4.%5.%6.%7.%8."/>
      <w:lvlJc w:val="left"/>
      <w:pPr>
        <w:ind w:firstLine="0"/>
      </w:pPr>
      <w:rPr>
        <w:rFonts w:hint="default"/>
      </w:rPr>
    </w:lvl>
    <w:lvl w:ilvl="8">
      <w:start w:val="1"/>
      <w:numFmt w:val="decimal"/>
      <w:pStyle w:val="Heading9"/>
      <w:suff w:val="space"/>
      <w:lvlText w:val="%1.%2.%3.%4.%5.%6.%7.%8.%9."/>
      <w:lvlJc w:val="left"/>
      <w:pPr>
        <w:ind w:firstLine="0"/>
      </w:pPr>
      <w:rPr>
        <w:rFonts w:hint="default"/>
      </w:rPr>
    </w:lvl>
  </w:abstractNum>
  <w:abstractNum w:abstractNumId="20"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20"/>
  </w:num>
  <w:num w:numId="2">
    <w:abstractNumId w:val="12"/>
  </w:num>
  <w:num w:numId="3">
    <w:abstractNumId w:val="11"/>
  </w:num>
  <w:num w:numId="4">
    <w:abstractNumId w:val="7"/>
  </w:num>
  <w:num w:numId="5">
    <w:abstractNumId w:val="16"/>
  </w:num>
  <w:num w:numId="6">
    <w:abstractNumId w:val="13"/>
  </w:num>
  <w:num w:numId="7">
    <w:abstractNumId w:val="15"/>
  </w:num>
  <w:num w:numId="8">
    <w:abstractNumId w:val="6"/>
  </w:num>
  <w:num w:numId="9">
    <w:abstractNumId w:val="14"/>
  </w:num>
  <w:num w:numId="10">
    <w:abstractNumId w:val="19"/>
  </w:num>
  <w:num w:numId="11">
    <w:abstractNumId w:val="0"/>
  </w:num>
  <w:num w:numId="12">
    <w:abstractNumId w:val="1"/>
  </w:num>
  <w:num w:numId="13">
    <w:abstractNumId w:val="2"/>
  </w:num>
  <w:num w:numId="14">
    <w:abstractNumId w:val="3"/>
  </w:num>
  <w:num w:numId="15">
    <w:abstractNumId w:val="8"/>
  </w:num>
  <w:num w:numId="16">
    <w:abstractNumId w:val="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7">
    <w:abstractNumId w:val="10"/>
  </w:num>
  <w:num w:numId="18">
    <w:abstractNumId w:val="17"/>
  </w:num>
  <w:num w:numId="19">
    <w:abstractNumId w:val="9"/>
  </w:num>
  <w:num w:numId="20">
    <w:abstractNumId w:val="5"/>
  </w:num>
  <w:num w:numId="21">
    <w:abstractNumId w:val="9"/>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2">
    <w:abstractNumId w:val="18"/>
  </w:num>
  <w:num w:numId="23">
    <w:abstractNumId w:val="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pt-PT" w:vendorID="64" w:dllVersion="131078" w:nlCheck="1" w:checkStyle="0"/>
  <w:activeWritingStyle w:appName="MSWord" w:lang="it-IT" w:vendorID="64" w:dllVersion="131078"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47105"/>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A3DF195F-E242-44B0-9637-9A1E2AACBA6E"/>
    <w:docVar w:name="LW_COVERPAGE_TYPE" w:val="1"/>
    <w:docVar w:name="LW_CROSSREFERENCE" w:val="{SWD(2022) 302 final} - {SWD(2022) 303 final} - {SWD(2022) 304 final} - {SWD(2022) 305 final} - {SWD(2022) 306 final} - {SWD(2022) 307 final}"/>
    <w:docVar w:name="LW_DocType" w:val="EUROLOOK"/>
    <w:docVar w:name="LW_EMISSION" w:val="23.9.2022"/>
    <w:docVar w:name="LW_EMISSION_ISODATE" w:val="2022-09-23"/>
    <w:docVar w:name="LW_EMISSION_LOCATION" w:val="BRX"/>
    <w:docVar w:name="LW_EMISSION_PREFIX" w:val="Bruxelles, "/>
    <w:docVar w:name="LW_EMISSION_SUFFIX" w:val=" "/>
    <w:docVar w:name="LW_ID_DOCTYPE_NONLW" w:val="CP-005"/>
    <w:docVar w:name="LW_LANGUE" w:val="RO"/>
    <w:docVar w:name="LW_LEVEL_OF_SENSITIVITY" w:val="Standard treatment"/>
    <w:docVar w:name="LW_NOM.INST" w:val="COMISIA EUROPEAN\u258?"/>
    <w:docVar w:name="LW_NOM.INST_JOINTDOC" w:val="&lt;EMPTY&gt;"/>
    <w:docVar w:name="LW_PART_NBR" w:val="1"/>
    <w:docVar w:name="LW_PART_NBR_TOTAL" w:val="1"/>
    <w:docVar w:name="LW_REF.INST.NEW" w:val="COM"/>
    <w:docVar w:name="LW_REF.INST.NEW_ADOPTED" w:val="final"/>
    <w:docVar w:name="LW_REF.INST.NEW_TEXT" w:val="(2022) 48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l 33-lea raport anual privind protejarea intereselor financiare ale Uniunii Europene – Combaterea fraudei – 2021"/>
    <w:docVar w:name="LW_TYPE.DOC.CP" w:val="RAPORT AL COMISIEI CĂTRE CONSILIU ȘI PARLAMENTUL EUROPEAN"/>
    <w:docVar w:name="LwApiVersions" w:val="LW4CoDe 1.23.2.0; LW 8.0, Build 20211117"/>
  </w:docVars>
  <w:rsids>
    <w:rsidRoot w:val="0048430C"/>
    <w:rsid w:val="000005EB"/>
    <w:rsid w:val="00000C60"/>
    <w:rsid w:val="00002D17"/>
    <w:rsid w:val="000114A4"/>
    <w:rsid w:val="00011890"/>
    <w:rsid w:val="000128E2"/>
    <w:rsid w:val="00014681"/>
    <w:rsid w:val="00014908"/>
    <w:rsid w:val="00026DA3"/>
    <w:rsid w:val="00030F3C"/>
    <w:rsid w:val="00034841"/>
    <w:rsid w:val="00037086"/>
    <w:rsid w:val="000424C7"/>
    <w:rsid w:val="00053CB1"/>
    <w:rsid w:val="000579D4"/>
    <w:rsid w:val="00064AA5"/>
    <w:rsid w:val="00071FAB"/>
    <w:rsid w:val="000810E6"/>
    <w:rsid w:val="000842E0"/>
    <w:rsid w:val="000A022B"/>
    <w:rsid w:val="000A2CB4"/>
    <w:rsid w:val="000A2ED7"/>
    <w:rsid w:val="000B4633"/>
    <w:rsid w:val="000B59B8"/>
    <w:rsid w:val="000D0271"/>
    <w:rsid w:val="000F48CB"/>
    <w:rsid w:val="00101327"/>
    <w:rsid w:val="0010271E"/>
    <w:rsid w:val="0010609B"/>
    <w:rsid w:val="00110F22"/>
    <w:rsid w:val="00110FB6"/>
    <w:rsid w:val="0011137F"/>
    <w:rsid w:val="001149B4"/>
    <w:rsid w:val="001157CA"/>
    <w:rsid w:val="00117EDE"/>
    <w:rsid w:val="00131B72"/>
    <w:rsid w:val="00153135"/>
    <w:rsid w:val="001576E8"/>
    <w:rsid w:val="001623A1"/>
    <w:rsid w:val="00167262"/>
    <w:rsid w:val="00176785"/>
    <w:rsid w:val="00190177"/>
    <w:rsid w:val="001950F8"/>
    <w:rsid w:val="001A2746"/>
    <w:rsid w:val="001A3BBE"/>
    <w:rsid w:val="001A6E4B"/>
    <w:rsid w:val="001A7AA9"/>
    <w:rsid w:val="001B0643"/>
    <w:rsid w:val="001B1DBF"/>
    <w:rsid w:val="001C50AD"/>
    <w:rsid w:val="001C7027"/>
    <w:rsid w:val="001E18A9"/>
    <w:rsid w:val="001E21E5"/>
    <w:rsid w:val="001E5FDE"/>
    <w:rsid w:val="001F6C2B"/>
    <w:rsid w:val="00200417"/>
    <w:rsid w:val="00203BC0"/>
    <w:rsid w:val="002118BA"/>
    <w:rsid w:val="00211E8B"/>
    <w:rsid w:val="002166CE"/>
    <w:rsid w:val="00221EE2"/>
    <w:rsid w:val="00225A0C"/>
    <w:rsid w:val="002303B4"/>
    <w:rsid w:val="00233792"/>
    <w:rsid w:val="002369AB"/>
    <w:rsid w:val="00242925"/>
    <w:rsid w:val="002436C2"/>
    <w:rsid w:val="002571D1"/>
    <w:rsid w:val="00257B88"/>
    <w:rsid w:val="00261B88"/>
    <w:rsid w:val="00261CD5"/>
    <w:rsid w:val="00262A80"/>
    <w:rsid w:val="002654B3"/>
    <w:rsid w:val="002814D9"/>
    <w:rsid w:val="00282D64"/>
    <w:rsid w:val="00283EE7"/>
    <w:rsid w:val="002871C5"/>
    <w:rsid w:val="002923C2"/>
    <w:rsid w:val="00292801"/>
    <w:rsid w:val="00295D72"/>
    <w:rsid w:val="00296A29"/>
    <w:rsid w:val="002A173F"/>
    <w:rsid w:val="002A4350"/>
    <w:rsid w:val="002B1B19"/>
    <w:rsid w:val="002C508D"/>
    <w:rsid w:val="002D6EFC"/>
    <w:rsid w:val="002F0397"/>
    <w:rsid w:val="002F1674"/>
    <w:rsid w:val="002F3A1F"/>
    <w:rsid w:val="002F71B1"/>
    <w:rsid w:val="00305360"/>
    <w:rsid w:val="00307B43"/>
    <w:rsid w:val="003116B9"/>
    <w:rsid w:val="0032188D"/>
    <w:rsid w:val="00322192"/>
    <w:rsid w:val="00324AAC"/>
    <w:rsid w:val="003430DC"/>
    <w:rsid w:val="00343467"/>
    <w:rsid w:val="003462B0"/>
    <w:rsid w:val="003556F9"/>
    <w:rsid w:val="00362AF6"/>
    <w:rsid w:val="00363877"/>
    <w:rsid w:val="00373899"/>
    <w:rsid w:val="00374350"/>
    <w:rsid w:val="0037452E"/>
    <w:rsid w:val="003820D0"/>
    <w:rsid w:val="003849B5"/>
    <w:rsid w:val="00387ED0"/>
    <w:rsid w:val="00396C5E"/>
    <w:rsid w:val="00400194"/>
    <w:rsid w:val="00401F3D"/>
    <w:rsid w:val="00427B23"/>
    <w:rsid w:val="0043307E"/>
    <w:rsid w:val="00440F24"/>
    <w:rsid w:val="00442C1B"/>
    <w:rsid w:val="0045480B"/>
    <w:rsid w:val="004635F1"/>
    <w:rsid w:val="00467ABB"/>
    <w:rsid w:val="00471E85"/>
    <w:rsid w:val="0048430C"/>
    <w:rsid w:val="00490854"/>
    <w:rsid w:val="004A502D"/>
    <w:rsid w:val="004A5098"/>
    <w:rsid w:val="004C0757"/>
    <w:rsid w:val="004D2B33"/>
    <w:rsid w:val="004E5CFD"/>
    <w:rsid w:val="004E724E"/>
    <w:rsid w:val="004F5047"/>
    <w:rsid w:val="004F60DF"/>
    <w:rsid w:val="004F6F3F"/>
    <w:rsid w:val="00500C58"/>
    <w:rsid w:val="0050564E"/>
    <w:rsid w:val="00505DEA"/>
    <w:rsid w:val="00513355"/>
    <w:rsid w:val="005367A9"/>
    <w:rsid w:val="00542122"/>
    <w:rsid w:val="005440DB"/>
    <w:rsid w:val="005467AC"/>
    <w:rsid w:val="0055155F"/>
    <w:rsid w:val="00555EE5"/>
    <w:rsid w:val="005613B3"/>
    <w:rsid w:val="00586B86"/>
    <w:rsid w:val="00594DC7"/>
    <w:rsid w:val="00595022"/>
    <w:rsid w:val="005B40CF"/>
    <w:rsid w:val="005C35A2"/>
    <w:rsid w:val="005D180A"/>
    <w:rsid w:val="005D2D3A"/>
    <w:rsid w:val="005D340A"/>
    <w:rsid w:val="005E2704"/>
    <w:rsid w:val="005E5525"/>
    <w:rsid w:val="005E717E"/>
    <w:rsid w:val="00602423"/>
    <w:rsid w:val="00607967"/>
    <w:rsid w:val="00612B29"/>
    <w:rsid w:val="00623B82"/>
    <w:rsid w:val="00640FAD"/>
    <w:rsid w:val="006418BA"/>
    <w:rsid w:val="006462D4"/>
    <w:rsid w:val="0065052A"/>
    <w:rsid w:val="00652F34"/>
    <w:rsid w:val="00662EE8"/>
    <w:rsid w:val="00666E75"/>
    <w:rsid w:val="00671AE7"/>
    <w:rsid w:val="00677134"/>
    <w:rsid w:val="00683714"/>
    <w:rsid w:val="0069243F"/>
    <w:rsid w:val="006A4819"/>
    <w:rsid w:val="006A79C7"/>
    <w:rsid w:val="006B06A1"/>
    <w:rsid w:val="006B16B5"/>
    <w:rsid w:val="006C1E6D"/>
    <w:rsid w:val="006C31D8"/>
    <w:rsid w:val="006C6F00"/>
    <w:rsid w:val="006C7D78"/>
    <w:rsid w:val="006D5369"/>
    <w:rsid w:val="006D7177"/>
    <w:rsid w:val="006D769D"/>
    <w:rsid w:val="006E5F92"/>
    <w:rsid w:val="006E70CF"/>
    <w:rsid w:val="006F14E7"/>
    <w:rsid w:val="006F6111"/>
    <w:rsid w:val="007004DA"/>
    <w:rsid w:val="0070289A"/>
    <w:rsid w:val="00710A4D"/>
    <w:rsid w:val="00712A79"/>
    <w:rsid w:val="00715764"/>
    <w:rsid w:val="0072054A"/>
    <w:rsid w:val="0072454B"/>
    <w:rsid w:val="00727AB1"/>
    <w:rsid w:val="00734422"/>
    <w:rsid w:val="00741626"/>
    <w:rsid w:val="00743C19"/>
    <w:rsid w:val="00747F11"/>
    <w:rsid w:val="007540E3"/>
    <w:rsid w:val="00756FF8"/>
    <w:rsid w:val="00773F49"/>
    <w:rsid w:val="00775F49"/>
    <w:rsid w:val="00783105"/>
    <w:rsid w:val="00785DA9"/>
    <w:rsid w:val="00786978"/>
    <w:rsid w:val="007937C0"/>
    <w:rsid w:val="00797CA2"/>
    <w:rsid w:val="007A15FF"/>
    <w:rsid w:val="007A1C2C"/>
    <w:rsid w:val="007A27D9"/>
    <w:rsid w:val="007B0BE2"/>
    <w:rsid w:val="007B11C0"/>
    <w:rsid w:val="007B7F1F"/>
    <w:rsid w:val="007C19BE"/>
    <w:rsid w:val="007C6A8D"/>
    <w:rsid w:val="007C727A"/>
    <w:rsid w:val="007D267E"/>
    <w:rsid w:val="007E088F"/>
    <w:rsid w:val="007E2A90"/>
    <w:rsid w:val="007F1E0E"/>
    <w:rsid w:val="00807C3A"/>
    <w:rsid w:val="00813F4C"/>
    <w:rsid w:val="00815D66"/>
    <w:rsid w:val="008167CF"/>
    <w:rsid w:val="00822DA8"/>
    <w:rsid w:val="00825E4C"/>
    <w:rsid w:val="00827169"/>
    <w:rsid w:val="008324C8"/>
    <w:rsid w:val="008436D4"/>
    <w:rsid w:val="00844B93"/>
    <w:rsid w:val="00844F69"/>
    <w:rsid w:val="0085062D"/>
    <w:rsid w:val="00854D29"/>
    <w:rsid w:val="00865694"/>
    <w:rsid w:val="0087182C"/>
    <w:rsid w:val="008721E6"/>
    <w:rsid w:val="00873938"/>
    <w:rsid w:val="00876F62"/>
    <w:rsid w:val="00880232"/>
    <w:rsid w:val="00880E62"/>
    <w:rsid w:val="00883216"/>
    <w:rsid w:val="0088672E"/>
    <w:rsid w:val="00887942"/>
    <w:rsid w:val="00893B95"/>
    <w:rsid w:val="00896E7D"/>
    <w:rsid w:val="008A17E3"/>
    <w:rsid w:val="008A4E1B"/>
    <w:rsid w:val="008A6DCE"/>
    <w:rsid w:val="008B0A53"/>
    <w:rsid w:val="008B454B"/>
    <w:rsid w:val="008B4804"/>
    <w:rsid w:val="008B676E"/>
    <w:rsid w:val="008B6BB5"/>
    <w:rsid w:val="008B7A0B"/>
    <w:rsid w:val="008D0328"/>
    <w:rsid w:val="008D394A"/>
    <w:rsid w:val="00902694"/>
    <w:rsid w:val="00906EC5"/>
    <w:rsid w:val="0091197D"/>
    <w:rsid w:val="00916AE2"/>
    <w:rsid w:val="00924DFB"/>
    <w:rsid w:val="00933DCB"/>
    <w:rsid w:val="009366F8"/>
    <w:rsid w:val="00941F7C"/>
    <w:rsid w:val="0094226F"/>
    <w:rsid w:val="009542F2"/>
    <w:rsid w:val="00954A53"/>
    <w:rsid w:val="009670EA"/>
    <w:rsid w:val="009701A5"/>
    <w:rsid w:val="009706BC"/>
    <w:rsid w:val="00973951"/>
    <w:rsid w:val="009741DA"/>
    <w:rsid w:val="00992A65"/>
    <w:rsid w:val="00993B00"/>
    <w:rsid w:val="00995DDF"/>
    <w:rsid w:val="00996AB3"/>
    <w:rsid w:val="00997D73"/>
    <w:rsid w:val="009A107F"/>
    <w:rsid w:val="009A3B80"/>
    <w:rsid w:val="009A3D43"/>
    <w:rsid w:val="009B0126"/>
    <w:rsid w:val="009B39CA"/>
    <w:rsid w:val="009D39B1"/>
    <w:rsid w:val="009E16FA"/>
    <w:rsid w:val="009E728A"/>
    <w:rsid w:val="009F3E02"/>
    <w:rsid w:val="009F547E"/>
    <w:rsid w:val="00A10036"/>
    <w:rsid w:val="00A12D45"/>
    <w:rsid w:val="00A169C9"/>
    <w:rsid w:val="00A23E50"/>
    <w:rsid w:val="00A251B1"/>
    <w:rsid w:val="00A25416"/>
    <w:rsid w:val="00A2552B"/>
    <w:rsid w:val="00A27EF6"/>
    <w:rsid w:val="00A309B8"/>
    <w:rsid w:val="00A3121D"/>
    <w:rsid w:val="00A35823"/>
    <w:rsid w:val="00A45298"/>
    <w:rsid w:val="00A50740"/>
    <w:rsid w:val="00A828A1"/>
    <w:rsid w:val="00A83949"/>
    <w:rsid w:val="00A86074"/>
    <w:rsid w:val="00A863FB"/>
    <w:rsid w:val="00A954DF"/>
    <w:rsid w:val="00AA7228"/>
    <w:rsid w:val="00AB08C0"/>
    <w:rsid w:val="00AB46D0"/>
    <w:rsid w:val="00AC5DD3"/>
    <w:rsid w:val="00AD2DE2"/>
    <w:rsid w:val="00AD49F0"/>
    <w:rsid w:val="00AD5A9B"/>
    <w:rsid w:val="00AE2579"/>
    <w:rsid w:val="00AE62DF"/>
    <w:rsid w:val="00B01601"/>
    <w:rsid w:val="00B03E7E"/>
    <w:rsid w:val="00B06C44"/>
    <w:rsid w:val="00B173C8"/>
    <w:rsid w:val="00B36D06"/>
    <w:rsid w:val="00B53222"/>
    <w:rsid w:val="00B61B75"/>
    <w:rsid w:val="00B61CAD"/>
    <w:rsid w:val="00B6242E"/>
    <w:rsid w:val="00B74C05"/>
    <w:rsid w:val="00B7631B"/>
    <w:rsid w:val="00B83E3A"/>
    <w:rsid w:val="00B844C4"/>
    <w:rsid w:val="00B850E7"/>
    <w:rsid w:val="00BB428C"/>
    <w:rsid w:val="00BB5311"/>
    <w:rsid w:val="00BB743B"/>
    <w:rsid w:val="00BD4717"/>
    <w:rsid w:val="00BD5B69"/>
    <w:rsid w:val="00BE4D60"/>
    <w:rsid w:val="00BE6084"/>
    <w:rsid w:val="00BF4843"/>
    <w:rsid w:val="00C11507"/>
    <w:rsid w:val="00C16E26"/>
    <w:rsid w:val="00C24252"/>
    <w:rsid w:val="00C24CBE"/>
    <w:rsid w:val="00C24DE6"/>
    <w:rsid w:val="00C27139"/>
    <w:rsid w:val="00C36A92"/>
    <w:rsid w:val="00C458DD"/>
    <w:rsid w:val="00C526DB"/>
    <w:rsid w:val="00C621C4"/>
    <w:rsid w:val="00C6311E"/>
    <w:rsid w:val="00C77AE2"/>
    <w:rsid w:val="00C829C4"/>
    <w:rsid w:val="00C87DB6"/>
    <w:rsid w:val="00C93715"/>
    <w:rsid w:val="00CA08E5"/>
    <w:rsid w:val="00CA3326"/>
    <w:rsid w:val="00CA4AA8"/>
    <w:rsid w:val="00CA6A5F"/>
    <w:rsid w:val="00CA7457"/>
    <w:rsid w:val="00CB0BD5"/>
    <w:rsid w:val="00CB2780"/>
    <w:rsid w:val="00CB4EF4"/>
    <w:rsid w:val="00CC21E3"/>
    <w:rsid w:val="00CC711E"/>
    <w:rsid w:val="00CD1D94"/>
    <w:rsid w:val="00CD2883"/>
    <w:rsid w:val="00CD603F"/>
    <w:rsid w:val="00CD7B44"/>
    <w:rsid w:val="00CE6D22"/>
    <w:rsid w:val="00CF1D95"/>
    <w:rsid w:val="00CF5F78"/>
    <w:rsid w:val="00CF7811"/>
    <w:rsid w:val="00D10B75"/>
    <w:rsid w:val="00D11191"/>
    <w:rsid w:val="00D124F9"/>
    <w:rsid w:val="00D14D2C"/>
    <w:rsid w:val="00D15E5F"/>
    <w:rsid w:val="00D161B4"/>
    <w:rsid w:val="00D17A39"/>
    <w:rsid w:val="00D20E4F"/>
    <w:rsid w:val="00D27BD8"/>
    <w:rsid w:val="00D367D9"/>
    <w:rsid w:val="00D72A23"/>
    <w:rsid w:val="00D73511"/>
    <w:rsid w:val="00D74D00"/>
    <w:rsid w:val="00D839DE"/>
    <w:rsid w:val="00D83BC8"/>
    <w:rsid w:val="00D933F0"/>
    <w:rsid w:val="00DA41DB"/>
    <w:rsid w:val="00DA431F"/>
    <w:rsid w:val="00DA534E"/>
    <w:rsid w:val="00DA7E9C"/>
    <w:rsid w:val="00DB3FD6"/>
    <w:rsid w:val="00DB5336"/>
    <w:rsid w:val="00DB750F"/>
    <w:rsid w:val="00DC1244"/>
    <w:rsid w:val="00DC489A"/>
    <w:rsid w:val="00DC7AB1"/>
    <w:rsid w:val="00DE0175"/>
    <w:rsid w:val="00DF2B13"/>
    <w:rsid w:val="00DF4C2B"/>
    <w:rsid w:val="00DF51DB"/>
    <w:rsid w:val="00E006E7"/>
    <w:rsid w:val="00E033F3"/>
    <w:rsid w:val="00E12048"/>
    <w:rsid w:val="00E1288C"/>
    <w:rsid w:val="00E16B96"/>
    <w:rsid w:val="00E23197"/>
    <w:rsid w:val="00E37566"/>
    <w:rsid w:val="00E42FFF"/>
    <w:rsid w:val="00E640CA"/>
    <w:rsid w:val="00E73053"/>
    <w:rsid w:val="00E76D2F"/>
    <w:rsid w:val="00E85864"/>
    <w:rsid w:val="00E85CD3"/>
    <w:rsid w:val="00E85E90"/>
    <w:rsid w:val="00EA2ADA"/>
    <w:rsid w:val="00EA3E5C"/>
    <w:rsid w:val="00EB636F"/>
    <w:rsid w:val="00EC369B"/>
    <w:rsid w:val="00EC462F"/>
    <w:rsid w:val="00EC70C3"/>
    <w:rsid w:val="00ED2A33"/>
    <w:rsid w:val="00EE0854"/>
    <w:rsid w:val="00EE1BDD"/>
    <w:rsid w:val="00EE2ED6"/>
    <w:rsid w:val="00EF397F"/>
    <w:rsid w:val="00F01009"/>
    <w:rsid w:val="00F2117F"/>
    <w:rsid w:val="00F23382"/>
    <w:rsid w:val="00F24785"/>
    <w:rsid w:val="00F33E15"/>
    <w:rsid w:val="00F379FF"/>
    <w:rsid w:val="00F37D8D"/>
    <w:rsid w:val="00F47B64"/>
    <w:rsid w:val="00F5142E"/>
    <w:rsid w:val="00F567A0"/>
    <w:rsid w:val="00F6567C"/>
    <w:rsid w:val="00F6664B"/>
    <w:rsid w:val="00F67E18"/>
    <w:rsid w:val="00F7378C"/>
    <w:rsid w:val="00F83AD7"/>
    <w:rsid w:val="00F845B0"/>
    <w:rsid w:val="00F85F37"/>
    <w:rsid w:val="00F90561"/>
    <w:rsid w:val="00F963A8"/>
    <w:rsid w:val="00FA49EA"/>
    <w:rsid w:val="00FA7F41"/>
    <w:rsid w:val="00FB11CB"/>
    <w:rsid w:val="00FB48BC"/>
    <w:rsid w:val="00FB5CF5"/>
    <w:rsid w:val="00FD11F8"/>
    <w:rsid w:val="00FD4ACD"/>
    <w:rsid w:val="00FE3518"/>
    <w:rsid w:val="00FE789E"/>
    <w:rsid w:val="00FF1D58"/>
    <w:rsid w:val="00FF4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3EE2DA5"/>
  <w15:docId w15:val="{3CC93EAC-B64A-422A-9467-3718FA346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ro-RO" w:eastAsia="en-GB" w:bidi="ar-SA"/>
      </w:rPr>
    </w:rPrDefault>
    <w:pPrDefault/>
  </w:docDefaults>
  <w:latentStyles w:defLockedState="1"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99" w:unhideWhenUsed="1" w:qFormat="1"/>
    <w:lsdException w:name="annotation text" w:semiHidden="1"/>
    <w:lsdException w:name="header" w:uiPriority="2"/>
    <w:lsdException w:name="footer" w:uiPriority="2"/>
    <w:lsdException w:name="index heading" w:semiHidden="1"/>
    <w:lsdException w:name="caption" w:uiPriority="2"/>
    <w:lsdException w:name="table of figures" w:semiHidden="1" w:uiPriority="99"/>
    <w:lsdException w:name="envelope address" w:semiHidden="1"/>
    <w:lsdException w:name="envelope return" w:semiHidden="1"/>
    <w:lsdException w:name="footnote reference" w:semiHidden="1" w:uiPriority="99" w:qFormat="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atentStyles>
  <w:style w:type="paragraph" w:default="1" w:styleId="Normal">
    <w:name w:val="Normal"/>
    <w:uiPriority w:val="1"/>
    <w:qFormat/>
    <w:rsid w:val="00865694"/>
    <w:pPr>
      <w:spacing w:after="120" w:line="264" w:lineRule="auto"/>
      <w:jc w:val="both"/>
    </w:pPr>
    <w:rPr>
      <w:sz w:val="22"/>
    </w:rPr>
  </w:style>
  <w:style w:type="paragraph" w:styleId="Heading1">
    <w:name w:val="heading 1"/>
    <w:basedOn w:val="Normal"/>
    <w:next w:val="Normal"/>
    <w:autoRedefine/>
    <w:uiPriority w:val="1"/>
    <w:qFormat/>
    <w:pPr>
      <w:keepNext/>
      <w:numPr>
        <w:numId w:val="10"/>
      </w:numPr>
      <w:tabs>
        <w:tab w:val="left" w:pos="510"/>
      </w:tabs>
      <w:spacing w:before="480"/>
      <w:outlineLvl w:val="0"/>
    </w:pPr>
    <w:rPr>
      <w:b/>
      <w:smallCaps/>
      <w:sz w:val="26"/>
    </w:rPr>
  </w:style>
  <w:style w:type="paragraph" w:styleId="Heading2">
    <w:name w:val="heading 2"/>
    <w:basedOn w:val="Normal"/>
    <w:next w:val="Normal"/>
    <w:autoRedefine/>
    <w:uiPriority w:val="1"/>
    <w:qFormat/>
    <w:pPr>
      <w:keepNext/>
      <w:numPr>
        <w:ilvl w:val="1"/>
        <w:numId w:val="10"/>
      </w:numPr>
      <w:tabs>
        <w:tab w:val="left" w:pos="737"/>
      </w:tabs>
      <w:spacing w:before="420"/>
      <w:outlineLvl w:val="1"/>
    </w:pPr>
    <w:rPr>
      <w:b/>
      <w:sz w:val="26"/>
    </w:rPr>
  </w:style>
  <w:style w:type="paragraph" w:styleId="Heading3">
    <w:name w:val="heading 3"/>
    <w:basedOn w:val="Normal"/>
    <w:next w:val="Normal"/>
    <w:autoRedefine/>
    <w:uiPriority w:val="1"/>
    <w:qFormat/>
    <w:rsid w:val="00CD7B44"/>
    <w:pPr>
      <w:keepNext/>
      <w:numPr>
        <w:ilvl w:val="2"/>
        <w:numId w:val="10"/>
      </w:numPr>
      <w:tabs>
        <w:tab w:val="left" w:pos="935"/>
      </w:tabs>
      <w:spacing w:before="360"/>
      <w:outlineLvl w:val="2"/>
    </w:pPr>
    <w:rPr>
      <w:b/>
      <w:sz w:val="24"/>
    </w:rPr>
  </w:style>
  <w:style w:type="paragraph" w:styleId="Heading4">
    <w:name w:val="heading 4"/>
    <w:basedOn w:val="Normal"/>
    <w:next w:val="Normal"/>
    <w:uiPriority w:val="1"/>
    <w:qFormat/>
    <w:pPr>
      <w:keepNext/>
      <w:numPr>
        <w:ilvl w:val="3"/>
        <w:numId w:val="10"/>
      </w:numPr>
      <w:tabs>
        <w:tab w:val="left" w:pos="1049"/>
      </w:tabs>
      <w:spacing w:before="360"/>
      <w:outlineLvl w:val="3"/>
    </w:pPr>
    <w:rPr>
      <w:b/>
    </w:rPr>
  </w:style>
  <w:style w:type="paragraph" w:styleId="Heading5">
    <w:name w:val="heading 5"/>
    <w:basedOn w:val="Normal"/>
    <w:next w:val="Normal"/>
    <w:semiHidden/>
    <w:pPr>
      <w:keepNext/>
      <w:numPr>
        <w:ilvl w:val="4"/>
        <w:numId w:val="10"/>
      </w:numPr>
      <w:outlineLvl w:val="4"/>
    </w:pPr>
  </w:style>
  <w:style w:type="paragraph" w:styleId="Heading6">
    <w:name w:val="heading 6"/>
    <w:basedOn w:val="Normal"/>
    <w:next w:val="Normal"/>
    <w:semiHidden/>
    <w:pPr>
      <w:keepNext/>
      <w:numPr>
        <w:ilvl w:val="5"/>
        <w:numId w:val="10"/>
      </w:numPr>
      <w:outlineLvl w:val="5"/>
    </w:pPr>
  </w:style>
  <w:style w:type="paragraph" w:styleId="Heading7">
    <w:name w:val="heading 7"/>
    <w:basedOn w:val="Normal"/>
    <w:next w:val="Normal"/>
    <w:semiHidden/>
    <w:pPr>
      <w:keepNext/>
      <w:numPr>
        <w:ilvl w:val="6"/>
        <w:numId w:val="10"/>
      </w:numPr>
      <w:outlineLvl w:val="6"/>
    </w:pPr>
  </w:style>
  <w:style w:type="paragraph" w:styleId="Heading8">
    <w:name w:val="heading 8"/>
    <w:basedOn w:val="Normal"/>
    <w:next w:val="Normal"/>
    <w:semiHidden/>
    <w:pPr>
      <w:keepNext/>
      <w:numPr>
        <w:ilvl w:val="7"/>
        <w:numId w:val="10"/>
      </w:numPr>
      <w:outlineLvl w:val="7"/>
    </w:pPr>
  </w:style>
  <w:style w:type="paragraph" w:styleId="Heading9">
    <w:name w:val="heading 9"/>
    <w:basedOn w:val="Normal"/>
    <w:next w:val="Normal"/>
    <w:semiHidden/>
    <w:pPr>
      <w:keepNext/>
      <w:numPr>
        <w:ilvl w:val="8"/>
        <w:numId w:val="10"/>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
      </w:numPr>
      <w:spacing w:before="240" w:after="360"/>
      <w:outlineLvl w:val="0"/>
    </w:pPr>
    <w:rPr>
      <w:b/>
      <w:sz w:val="36"/>
    </w:rPr>
  </w:style>
  <w:style w:type="paragraph" w:styleId="Caption">
    <w:name w:val="caption"/>
    <w:basedOn w:val="Normal"/>
    <w:next w:val="Normal"/>
    <w:uiPriority w:val="2"/>
    <w:pPr>
      <w:spacing w:before="120"/>
    </w:pPr>
    <w:rPr>
      <w:b/>
      <w:i/>
    </w:rPr>
  </w:style>
  <w:style w:type="paragraph" w:customStyle="1" w:styleId="ChapterTitle">
    <w:name w:val="ChapterTitle"/>
    <w:basedOn w:val="Normal"/>
    <w:next w:val="SectionTitle"/>
    <w:uiPriority w:val="1"/>
    <w:qFormat/>
    <w:pPr>
      <w:keepNext/>
      <w:spacing w:before="720" w:after="360"/>
      <w:jc w:val="center"/>
      <w:outlineLvl w:val="0"/>
    </w:pPr>
    <w:rPr>
      <w:b/>
      <w:sz w:val="36"/>
    </w:rPr>
  </w:style>
  <w:style w:type="paragraph" w:customStyle="1" w:styleId="Contact">
    <w:name w:val="Contact"/>
    <w:basedOn w:val="Normal"/>
    <w:uiPriority w:val="2"/>
    <w:pPr>
      <w:spacing w:before="480" w:after="240"/>
      <w:ind w:left="567" w:hanging="567"/>
      <w:jc w:val="left"/>
    </w:pPr>
  </w:style>
  <w:style w:type="paragraph" w:customStyle="1" w:styleId="ContNum">
    <w:name w:val="ContNum"/>
    <w:basedOn w:val="Normal"/>
    <w:uiPriority w:val="1"/>
    <w:qFormat/>
    <w:pPr>
      <w:numPr>
        <w:numId w:val="2"/>
      </w:numPr>
    </w:pPr>
  </w:style>
  <w:style w:type="paragraph" w:customStyle="1" w:styleId="ContNumLevel2">
    <w:name w:val="ContNum (Level 2)"/>
    <w:basedOn w:val="Normal"/>
    <w:uiPriority w:val="1"/>
    <w:pPr>
      <w:numPr>
        <w:ilvl w:val="1"/>
        <w:numId w:val="2"/>
      </w:numPr>
    </w:pPr>
  </w:style>
  <w:style w:type="paragraph" w:customStyle="1" w:styleId="ContNumLevel3">
    <w:name w:val="ContNum (Level 3)"/>
    <w:basedOn w:val="Normal"/>
    <w:uiPriority w:val="1"/>
    <w:pPr>
      <w:numPr>
        <w:ilvl w:val="2"/>
        <w:numId w:val="2"/>
      </w:numPr>
    </w:pPr>
  </w:style>
  <w:style w:type="paragraph" w:styleId="Date">
    <w:name w:val="Date"/>
    <w:basedOn w:val="Normal"/>
    <w:next w:val="References"/>
    <w:uiPriority w:val="1"/>
    <w:pPr>
      <w:spacing w:after="0"/>
      <w:ind w:left="5102" w:right="-567"/>
    </w:pPr>
  </w:style>
  <w:style w:type="paragraph" w:styleId="EndnoteText">
    <w:name w:val="endnote text"/>
    <w:basedOn w:val="Normal"/>
    <w:semiHidden/>
    <w:unhideWhenUsed/>
    <w:rPr>
      <w:sz w:val="20"/>
    </w:rPr>
  </w:style>
  <w:style w:type="paragraph" w:customStyle="1" w:styleId="FigureBody">
    <w:name w:val="Figure Body"/>
    <w:basedOn w:val="Normal"/>
    <w:next w:val="FigureSource"/>
    <w:uiPriority w:val="2"/>
    <w:pPr>
      <w:keepNext/>
      <w:spacing w:after="40" w:line="240" w:lineRule="auto"/>
    </w:pPr>
  </w:style>
  <w:style w:type="paragraph" w:customStyle="1" w:styleId="FigureSource">
    <w:name w:val="Figure Source"/>
    <w:basedOn w:val="Normal"/>
    <w:next w:val="Normal"/>
    <w:uiPriority w:val="2"/>
    <w:pPr>
      <w:spacing w:after="240" w:line="240" w:lineRule="auto"/>
    </w:pPr>
    <w:rPr>
      <w:sz w:val="18"/>
    </w:rPr>
  </w:style>
  <w:style w:type="paragraph" w:customStyle="1" w:styleId="FigureTitle">
    <w:name w:val="Figure Title"/>
    <w:basedOn w:val="Normal"/>
    <w:next w:val="FigureBody"/>
    <w:uiPriority w:val="2"/>
    <w:pPr>
      <w:keepNext/>
      <w:spacing w:before="120"/>
    </w:pPr>
    <w:rPr>
      <w:b/>
      <w:i/>
    </w:rPr>
  </w:style>
  <w:style w:type="paragraph" w:customStyle="1" w:styleId="FITTable">
    <w:name w:val="FIT Table"/>
    <w:basedOn w:val="Normal"/>
    <w:uiPriority w:val="2"/>
    <w:pPr>
      <w:spacing w:before="60" w:after="60"/>
    </w:pPr>
  </w:style>
  <w:style w:type="paragraph" w:customStyle="1" w:styleId="FooterLine">
    <w:name w:val="Footer Line"/>
    <w:basedOn w:val="Footer"/>
    <w:next w:val="Footer"/>
    <w:uiPriority w:val="2"/>
    <w:pPr>
      <w:pBdr>
        <w:top w:val="single" w:sz="4" w:space="1" w:color="auto"/>
      </w:pBdr>
      <w:tabs>
        <w:tab w:val="right" w:pos="8646"/>
      </w:tabs>
      <w:spacing w:before="120"/>
      <w:ind w:right="0"/>
    </w:pPr>
  </w:style>
  <w:style w:type="paragraph" w:styleId="FootnoteText">
    <w:name w:val="footnote text"/>
    <w:aliases w:val="Fußnote,fn,Footnotes,Footnote ak,ft,Char,Carattere,Footnote Text Char Char,fn Char Char,footnote text Char Char,Footnotes Char Char,Footnote ak Char Char,fn Char1,footnote text Char1,Footnotes Char1,Footnote Text Char1 Char"/>
    <w:basedOn w:val="Normal"/>
    <w:link w:val="FootnoteTextChar"/>
    <w:uiPriority w:val="99"/>
    <w:unhideWhenUsed/>
    <w:qFormat/>
    <w:pPr>
      <w:ind w:left="357" w:hanging="357"/>
    </w:pPr>
    <w:rPr>
      <w:sz w:val="20"/>
    </w:rPr>
  </w:style>
  <w:style w:type="paragraph" w:customStyle="1" w:styleId="Glossary">
    <w:name w:val="Glossary"/>
    <w:basedOn w:val="Normal"/>
    <w:uiPriority w:val="2"/>
    <w:pPr>
      <w:tabs>
        <w:tab w:val="left" w:pos="2835"/>
      </w:tabs>
      <w:ind w:left="2835" w:hanging="2835"/>
      <w:jc w:val="left"/>
    </w:pPr>
  </w:style>
  <w:style w:type="paragraph" w:customStyle="1" w:styleId="GlossaryHeading">
    <w:name w:val="GlossaryHeading"/>
    <w:basedOn w:val="Normal"/>
    <w:uiPriority w:val="2"/>
    <w:pPr>
      <w:spacing w:after="480"/>
      <w:jc w:val="center"/>
      <w:outlineLvl w:val="0"/>
    </w:pPr>
    <w:rPr>
      <w:rFonts w:ascii="Times New Roman Bold" w:hAnsi="Times New Roman Bold"/>
      <w:b/>
      <w:sz w:val="32"/>
    </w:rPr>
  </w:style>
  <w:style w:type="paragraph" w:customStyle="1" w:styleId="HistoryTable">
    <w:name w:val="HistoryTable"/>
    <w:basedOn w:val="Normal"/>
    <w:uiPriority w:val="2"/>
    <w:pPr>
      <w:spacing w:before="60" w:after="60"/>
    </w:pPr>
    <w:rPr>
      <w:sz w:val="20"/>
    </w:rPr>
  </w:style>
  <w:style w:type="paragraph" w:customStyle="1" w:styleId="HistTableHeading">
    <w:name w:val="HistTableHeading"/>
    <w:basedOn w:val="Normal"/>
    <w:next w:val="HistoryTable"/>
    <w:uiPriority w:val="2"/>
    <w:pPr>
      <w:jc w:val="center"/>
    </w:pPr>
    <w:rPr>
      <w:rFonts w:ascii="Times New Roman Bold" w:hAnsi="Times New Roman Bold"/>
      <w:b/>
      <w:sz w:val="32"/>
    </w:rPr>
  </w:style>
  <w:style w:type="paragraph" w:customStyle="1" w:styleId="LegalNumPar">
    <w:name w:val="LegalNumPar"/>
    <w:basedOn w:val="Normal"/>
    <w:uiPriority w:val="1"/>
    <w:qFormat/>
    <w:pPr>
      <w:numPr>
        <w:numId w:val="3"/>
      </w:numPr>
      <w:spacing w:line="360" w:lineRule="auto"/>
    </w:pPr>
    <w:rPr>
      <w:sz w:val="24"/>
    </w:rPr>
  </w:style>
  <w:style w:type="paragraph" w:customStyle="1" w:styleId="LegalNumPar2">
    <w:name w:val="LegalNumPar2"/>
    <w:basedOn w:val="Normal"/>
    <w:uiPriority w:val="1"/>
    <w:pPr>
      <w:numPr>
        <w:ilvl w:val="1"/>
        <w:numId w:val="3"/>
      </w:numPr>
      <w:spacing w:line="360" w:lineRule="auto"/>
    </w:pPr>
    <w:rPr>
      <w:sz w:val="24"/>
    </w:rPr>
  </w:style>
  <w:style w:type="paragraph" w:customStyle="1" w:styleId="LegalNumPar3">
    <w:name w:val="LegalNumPar3"/>
    <w:basedOn w:val="Normal"/>
    <w:uiPriority w:val="1"/>
    <w:pPr>
      <w:numPr>
        <w:ilvl w:val="2"/>
        <w:numId w:val="3"/>
      </w:numPr>
      <w:spacing w:line="360" w:lineRule="auto"/>
    </w:pPr>
    <w:rPr>
      <w:sz w:val="24"/>
    </w:rPr>
  </w:style>
  <w:style w:type="paragraph" w:styleId="ListBullet">
    <w:name w:val="List Bullet"/>
    <w:basedOn w:val="Normal"/>
    <w:uiPriority w:val="1"/>
    <w:pPr>
      <w:numPr>
        <w:numId w:val="20"/>
      </w:numPr>
      <w:contextualSpacing/>
    </w:pPr>
  </w:style>
  <w:style w:type="paragraph" w:customStyle="1" w:styleId="ListBulletLevel2">
    <w:name w:val="List Bullet (Level 2)"/>
    <w:basedOn w:val="Normal"/>
    <w:uiPriority w:val="1"/>
    <w:pPr>
      <w:numPr>
        <w:ilvl w:val="1"/>
        <w:numId w:val="20"/>
      </w:numPr>
      <w:contextualSpacing/>
    </w:pPr>
  </w:style>
  <w:style w:type="paragraph" w:customStyle="1" w:styleId="ListBulletLevel3">
    <w:name w:val="List Bullet (Level 3)"/>
    <w:basedOn w:val="Normal"/>
    <w:uiPriority w:val="1"/>
    <w:semiHidden/>
    <w:unhideWhenUsed/>
    <w:pPr>
      <w:numPr>
        <w:ilvl w:val="2"/>
        <w:numId w:val="20"/>
      </w:numPr>
      <w:contextualSpacing/>
    </w:pPr>
  </w:style>
  <w:style w:type="paragraph" w:customStyle="1" w:styleId="ListBulletLevel4">
    <w:name w:val="List Bullet (Level 4)"/>
    <w:basedOn w:val="Normal"/>
    <w:uiPriority w:val="1"/>
    <w:semiHidden/>
    <w:unhideWhenUsed/>
    <w:pPr>
      <w:numPr>
        <w:ilvl w:val="3"/>
        <w:numId w:val="20"/>
      </w:numPr>
      <w:contextualSpacing/>
    </w:pPr>
  </w:style>
  <w:style w:type="paragraph" w:customStyle="1" w:styleId="ListDash">
    <w:name w:val="List Dash"/>
    <w:basedOn w:val="Normal"/>
    <w:uiPriority w:val="1"/>
    <w:pPr>
      <w:numPr>
        <w:numId w:val="7"/>
      </w:numPr>
      <w:contextualSpacing/>
    </w:pPr>
  </w:style>
  <w:style w:type="paragraph" w:customStyle="1" w:styleId="ListDashLevel2">
    <w:name w:val="List Dash (Level 2)"/>
    <w:basedOn w:val="Normal"/>
    <w:uiPriority w:val="1"/>
    <w:pPr>
      <w:numPr>
        <w:ilvl w:val="1"/>
        <w:numId w:val="7"/>
      </w:numPr>
      <w:contextualSpacing/>
    </w:pPr>
  </w:style>
  <w:style w:type="paragraph" w:customStyle="1" w:styleId="ListDashLevel3">
    <w:name w:val="List Dash (Level 3)"/>
    <w:basedOn w:val="Normal"/>
    <w:uiPriority w:val="1"/>
    <w:semiHidden/>
    <w:unhideWhenUsed/>
    <w:pPr>
      <w:numPr>
        <w:ilvl w:val="2"/>
        <w:numId w:val="7"/>
      </w:numPr>
      <w:contextualSpacing/>
    </w:pPr>
  </w:style>
  <w:style w:type="paragraph" w:customStyle="1" w:styleId="ListDashLevel4">
    <w:name w:val="List Dash (Level 4)"/>
    <w:basedOn w:val="Normal"/>
    <w:uiPriority w:val="1"/>
    <w:semiHidden/>
    <w:unhideWhenUsed/>
    <w:pPr>
      <w:numPr>
        <w:ilvl w:val="3"/>
        <w:numId w:val="7"/>
      </w:numPr>
      <w:contextualSpacing/>
    </w:pPr>
  </w:style>
  <w:style w:type="paragraph" w:styleId="ListNumber">
    <w:name w:val="List Number"/>
    <w:basedOn w:val="Normal"/>
    <w:pPr>
      <w:numPr>
        <w:numId w:val="19"/>
      </w:numPr>
      <w:contextualSpacing/>
    </w:pPr>
  </w:style>
  <w:style w:type="paragraph" w:customStyle="1" w:styleId="ListNumberLevel2">
    <w:name w:val="List Number (Level 2)"/>
    <w:basedOn w:val="Normal"/>
    <w:pPr>
      <w:numPr>
        <w:ilvl w:val="1"/>
        <w:numId w:val="19"/>
      </w:numPr>
      <w:contextualSpacing/>
    </w:pPr>
  </w:style>
  <w:style w:type="paragraph" w:customStyle="1" w:styleId="ListNumberLevel3">
    <w:name w:val="List Number (Level 3)"/>
    <w:basedOn w:val="Normal"/>
    <w:unhideWhenUsed/>
    <w:pPr>
      <w:numPr>
        <w:ilvl w:val="2"/>
        <w:numId w:val="19"/>
      </w:numPr>
      <w:contextualSpacing/>
    </w:pPr>
  </w:style>
  <w:style w:type="paragraph" w:customStyle="1" w:styleId="ListNumberLevel4">
    <w:name w:val="List Number (Level 4)"/>
    <w:basedOn w:val="Normal"/>
    <w:unhideWhenUsed/>
    <w:pPr>
      <w:numPr>
        <w:ilvl w:val="3"/>
        <w:numId w:val="19"/>
      </w:numPr>
      <w:contextualSpacing/>
    </w:pPr>
  </w:style>
  <w:style w:type="paragraph" w:customStyle="1" w:styleId="Marking">
    <w:name w:val="Marking"/>
    <w:basedOn w:val="Normal"/>
    <w:semiHidden/>
    <w:pPr>
      <w:spacing w:line="240" w:lineRule="auto"/>
      <w:ind w:left="5102" w:right="-567"/>
      <w:contextualSpacing/>
      <w:jc w:val="left"/>
    </w:pPr>
    <w:rPr>
      <w:sz w:val="28"/>
    </w:rPr>
  </w:style>
  <w:style w:type="paragraph" w:customStyle="1" w:styleId="NumPar1">
    <w:name w:val="NumPar 1"/>
    <w:basedOn w:val="Heading1"/>
    <w:uiPriority w:val="1"/>
    <w:qFormat/>
    <w:pPr>
      <w:keepNext w:val="0"/>
      <w:spacing w:before="0"/>
      <w:ind w:left="0" w:firstLine="0"/>
      <w:outlineLvl w:val="9"/>
    </w:pPr>
    <w:rPr>
      <w:b w:val="0"/>
      <w:smallCaps w:val="0"/>
      <w:sz w:val="22"/>
    </w:rPr>
  </w:style>
  <w:style w:type="paragraph" w:customStyle="1" w:styleId="NumPar2">
    <w:name w:val="NumPar 2"/>
    <w:basedOn w:val="Heading2"/>
    <w:uiPriority w:val="1"/>
    <w:qFormat/>
    <w:pPr>
      <w:keepNext w:val="0"/>
      <w:spacing w:before="0"/>
      <w:ind w:left="0" w:firstLine="0"/>
      <w:outlineLvl w:val="9"/>
    </w:pPr>
    <w:rPr>
      <w:b w:val="0"/>
      <w:sz w:val="22"/>
    </w:rPr>
  </w:style>
  <w:style w:type="paragraph" w:customStyle="1" w:styleId="NumPar3">
    <w:name w:val="NumPar 3"/>
    <w:basedOn w:val="Heading3"/>
    <w:uiPriority w:val="1"/>
    <w:qFormat/>
    <w:pPr>
      <w:keepNext w:val="0"/>
      <w:spacing w:before="0"/>
      <w:ind w:left="0" w:firstLine="0"/>
      <w:outlineLvl w:val="9"/>
    </w:pPr>
    <w:rPr>
      <w:b w:val="0"/>
      <w:sz w:val="22"/>
    </w:rPr>
  </w:style>
  <w:style w:type="paragraph" w:customStyle="1" w:styleId="NumPar4">
    <w:name w:val="NumPar 4"/>
    <w:basedOn w:val="Heading4"/>
    <w:uiPriority w:val="1"/>
    <w:qFormat/>
    <w:pPr>
      <w:keepNext w:val="0"/>
      <w:spacing w:before="0"/>
      <w:ind w:left="0" w:firstLine="0"/>
      <w:outlineLvl w:val="9"/>
    </w:pPr>
    <w:rPr>
      <w:b w:val="0"/>
    </w:rPr>
  </w:style>
  <w:style w:type="paragraph" w:customStyle="1" w:styleId="PartTitle">
    <w:name w:val="PartTitle"/>
    <w:basedOn w:val="Normal"/>
    <w:next w:val="ChapterTitle"/>
    <w:uiPriority w:val="1"/>
    <w:qFormat/>
    <w:pPr>
      <w:keepNext/>
      <w:pageBreakBefore/>
      <w:spacing w:before="720" w:after="360"/>
      <w:jc w:val="center"/>
      <w:outlineLvl w:val="0"/>
    </w:pPr>
    <w:rPr>
      <w:b/>
      <w:sz w:val="40"/>
    </w:rPr>
  </w:style>
  <w:style w:type="paragraph" w:customStyle="1" w:styleId="References">
    <w:name w:val="References"/>
    <w:uiPriority w:val="2"/>
    <w:pPr>
      <w:tabs>
        <w:tab w:val="num" w:pos="397"/>
        <w:tab w:val="num" w:pos="709"/>
      </w:tabs>
      <w:ind w:left="709" w:hanging="709"/>
    </w:pPr>
  </w:style>
  <w:style w:type="paragraph" w:customStyle="1" w:styleId="SectionTitle">
    <w:name w:val="SectionTitle"/>
    <w:basedOn w:val="Normal"/>
    <w:next w:val="Heading1"/>
    <w:uiPriority w:val="1"/>
    <w:qFormat/>
    <w:pPr>
      <w:keepNext/>
      <w:spacing w:before="720" w:after="360"/>
      <w:contextualSpacing/>
      <w:jc w:val="center"/>
      <w:outlineLvl w:val="0"/>
    </w:pPr>
    <w:rPr>
      <w:rFonts w:ascii="Times New Roman Bold" w:hAnsi="Times New Roman Bold"/>
      <w:b/>
      <w:smallCaps/>
      <w:sz w:val="32"/>
    </w:rPr>
  </w:style>
  <w:style w:type="paragraph" w:customStyle="1" w:styleId="SubTitle1">
    <w:name w:val="SubTitle 1"/>
    <w:basedOn w:val="Normal"/>
    <w:next w:val="Normal"/>
    <w:uiPriority w:val="1"/>
    <w:qFormat/>
    <w:pPr>
      <w:spacing w:before="360" w:after="2000"/>
      <w:jc w:val="center"/>
    </w:pPr>
    <w:rPr>
      <w:b/>
      <w:sz w:val="40"/>
    </w:rPr>
  </w:style>
  <w:style w:type="paragraph" w:customStyle="1" w:styleId="SubTitle2">
    <w:name w:val="SubTitle 2"/>
    <w:basedOn w:val="Normal"/>
    <w:uiPriority w:val="1"/>
    <w:qFormat/>
    <w:pPr>
      <w:spacing w:after="280"/>
      <w:jc w:val="center"/>
    </w:pPr>
    <w:rPr>
      <w:b/>
      <w:sz w:val="32"/>
    </w:rPr>
  </w:style>
  <w:style w:type="paragraph" w:customStyle="1" w:styleId="TableListBullet">
    <w:name w:val="Table List Bullet"/>
    <w:basedOn w:val="TableText"/>
    <w:uiPriority w:val="1"/>
    <w:pPr>
      <w:numPr>
        <w:numId w:val="6"/>
      </w:numPr>
    </w:pPr>
  </w:style>
  <w:style w:type="paragraph" w:customStyle="1" w:styleId="TableListBulletLevel2">
    <w:name w:val="Table List Bullet (Level 2)"/>
    <w:basedOn w:val="TableText"/>
    <w:uiPriority w:val="1"/>
    <w:pPr>
      <w:numPr>
        <w:ilvl w:val="1"/>
        <w:numId w:val="6"/>
      </w:numPr>
    </w:pPr>
  </w:style>
  <w:style w:type="paragraph" w:customStyle="1" w:styleId="TableListBulletLevel3">
    <w:name w:val="Table List Bullet (Level 3)"/>
    <w:basedOn w:val="TableText"/>
    <w:uiPriority w:val="1"/>
    <w:semiHidden/>
    <w:unhideWhenUsed/>
    <w:pPr>
      <w:numPr>
        <w:ilvl w:val="2"/>
        <w:numId w:val="6"/>
      </w:numPr>
    </w:pPr>
  </w:style>
  <w:style w:type="paragraph" w:customStyle="1" w:styleId="TableListBulletLevel4">
    <w:name w:val="Table List Bullet (Level 4)"/>
    <w:basedOn w:val="TableText"/>
    <w:uiPriority w:val="1"/>
    <w:semiHidden/>
    <w:unhideWhenUsed/>
    <w:pPr>
      <w:numPr>
        <w:ilvl w:val="3"/>
        <w:numId w:val="6"/>
      </w:numPr>
    </w:pPr>
  </w:style>
  <w:style w:type="paragraph" w:customStyle="1" w:styleId="TableListDash">
    <w:name w:val="Table List Dash"/>
    <w:basedOn w:val="TableText"/>
    <w:uiPriority w:val="1"/>
    <w:pPr>
      <w:numPr>
        <w:numId w:val="5"/>
      </w:numPr>
    </w:pPr>
  </w:style>
  <w:style w:type="paragraph" w:customStyle="1" w:styleId="TableListDashLevel2">
    <w:name w:val="Table List Dash (Level 2)"/>
    <w:basedOn w:val="TableText"/>
    <w:uiPriority w:val="1"/>
    <w:pPr>
      <w:numPr>
        <w:ilvl w:val="1"/>
        <w:numId w:val="5"/>
      </w:numPr>
    </w:pPr>
  </w:style>
  <w:style w:type="paragraph" w:customStyle="1" w:styleId="TableListDashLevel3">
    <w:name w:val="Table List Dash (Level 3)"/>
    <w:basedOn w:val="TableText"/>
    <w:uiPriority w:val="1"/>
    <w:semiHidden/>
    <w:unhideWhenUsed/>
    <w:pPr>
      <w:numPr>
        <w:ilvl w:val="2"/>
        <w:numId w:val="5"/>
      </w:numPr>
    </w:pPr>
  </w:style>
  <w:style w:type="paragraph" w:customStyle="1" w:styleId="TableListDashLevel4">
    <w:name w:val="Table List Dash (Level 4)"/>
    <w:basedOn w:val="TableText"/>
    <w:uiPriority w:val="1"/>
    <w:semiHidden/>
    <w:unhideWhenUsed/>
    <w:pPr>
      <w:numPr>
        <w:ilvl w:val="3"/>
        <w:numId w:val="5"/>
      </w:numPr>
    </w:pPr>
  </w:style>
  <w:style w:type="paragraph" w:customStyle="1" w:styleId="TableListNumber">
    <w:name w:val="Table List Number"/>
    <w:basedOn w:val="TableText"/>
    <w:uiPriority w:val="1"/>
    <w:pPr>
      <w:numPr>
        <w:numId w:val="4"/>
      </w:numPr>
    </w:pPr>
  </w:style>
  <w:style w:type="paragraph" w:customStyle="1" w:styleId="TableListNumberLevel2">
    <w:name w:val="Table List Number (Level 2)"/>
    <w:basedOn w:val="TableText"/>
    <w:uiPriority w:val="1"/>
    <w:pPr>
      <w:numPr>
        <w:ilvl w:val="1"/>
        <w:numId w:val="4"/>
      </w:numPr>
    </w:pPr>
  </w:style>
  <w:style w:type="paragraph" w:customStyle="1" w:styleId="TableListNumberLevel3">
    <w:name w:val="Table List Number (Level 3)"/>
    <w:basedOn w:val="TableText"/>
    <w:uiPriority w:val="1"/>
    <w:semiHidden/>
    <w:unhideWhenUsed/>
    <w:pPr>
      <w:numPr>
        <w:ilvl w:val="2"/>
        <w:numId w:val="4"/>
      </w:numPr>
    </w:pPr>
  </w:style>
  <w:style w:type="paragraph" w:customStyle="1" w:styleId="TableListNumberLevel4">
    <w:name w:val="Table List Number (Level 4)"/>
    <w:basedOn w:val="TableText"/>
    <w:uiPriority w:val="1"/>
    <w:semiHidden/>
    <w:unhideWhenUsed/>
    <w:pPr>
      <w:numPr>
        <w:ilvl w:val="3"/>
        <w:numId w:val="4"/>
      </w:numPr>
    </w:pPr>
  </w:style>
  <w:style w:type="paragraph" w:customStyle="1" w:styleId="TableSource">
    <w:name w:val="Table Source"/>
    <w:basedOn w:val="Normal"/>
    <w:next w:val="Normal"/>
    <w:semiHidden/>
    <w:unhideWhenUsed/>
    <w:pPr>
      <w:spacing w:after="240"/>
    </w:pPr>
    <w:rPr>
      <w:sz w:val="18"/>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before="120"/>
    </w:pPr>
    <w:rPr>
      <w:b/>
      <w:i/>
    </w:rPr>
  </w:style>
  <w:style w:type="paragraph" w:styleId="Title">
    <w:name w:val="Title"/>
    <w:basedOn w:val="Normal"/>
    <w:next w:val="SubTitle1"/>
    <w:uiPriority w:val="1"/>
    <w:qFormat/>
    <w:pPr>
      <w:spacing w:before="3200" w:after="480"/>
      <w:jc w:val="center"/>
    </w:pPr>
    <w:rPr>
      <w:b/>
      <w:kern w:val="28"/>
      <w:sz w:val="48"/>
    </w:rPr>
  </w:style>
  <w:style w:type="paragraph" w:styleId="TOC1">
    <w:name w:val="toc 1"/>
    <w:basedOn w:val="Normal"/>
    <w:next w:val="Normal"/>
    <w:uiPriority w:val="39"/>
    <w:pPr>
      <w:tabs>
        <w:tab w:val="left" w:pos="595"/>
        <w:tab w:val="right" w:leader="dot" w:pos="8640"/>
      </w:tabs>
      <w:spacing w:before="240" w:after="60" w:line="240" w:lineRule="auto"/>
      <w:ind w:left="595" w:right="720" w:hanging="595"/>
    </w:pPr>
    <w:rPr>
      <w:b/>
      <w:sz w:val="20"/>
    </w:rPr>
  </w:style>
  <w:style w:type="paragraph" w:styleId="TOC2">
    <w:name w:val="toc 2"/>
    <w:basedOn w:val="Normal"/>
    <w:next w:val="Normal"/>
    <w:uiPriority w:val="39"/>
    <w:pPr>
      <w:tabs>
        <w:tab w:val="left" w:pos="595"/>
        <w:tab w:val="right" w:leader="dot" w:pos="8640"/>
      </w:tabs>
      <w:spacing w:after="60" w:line="240" w:lineRule="auto"/>
      <w:ind w:left="595" w:right="720" w:hanging="595"/>
    </w:pPr>
    <w:rPr>
      <w:noProof/>
      <w:sz w:val="20"/>
    </w:rPr>
  </w:style>
  <w:style w:type="paragraph" w:styleId="TOC3">
    <w:name w:val="toc 3"/>
    <w:basedOn w:val="Normal"/>
    <w:next w:val="Normal"/>
    <w:uiPriority w:val="39"/>
    <w:pPr>
      <w:tabs>
        <w:tab w:val="left" w:pos="1446"/>
        <w:tab w:val="left" w:pos="1587"/>
        <w:tab w:val="right" w:leader="dot" w:pos="8640"/>
      </w:tabs>
      <w:spacing w:after="60" w:line="240" w:lineRule="auto"/>
      <w:ind w:left="1445" w:right="720" w:hanging="850"/>
    </w:pPr>
    <w:rPr>
      <w:sz w:val="20"/>
    </w:rPr>
  </w:style>
  <w:style w:type="paragraph" w:styleId="TOC4">
    <w:name w:val="toc 4"/>
    <w:basedOn w:val="Normal"/>
    <w:next w:val="Normal"/>
    <w:uiPriority w:val="39"/>
    <w:pPr>
      <w:tabs>
        <w:tab w:val="left" w:pos="1446"/>
        <w:tab w:val="left" w:pos="1587"/>
        <w:tab w:val="right" w:leader="dot" w:pos="8640"/>
      </w:tabs>
      <w:spacing w:after="60" w:line="240" w:lineRule="auto"/>
      <w:ind w:left="1445" w:right="720" w:hanging="850"/>
    </w:pPr>
    <w:rPr>
      <w:noProof/>
      <w:sz w:val="20"/>
    </w:rPr>
  </w:style>
  <w:style w:type="paragraph" w:styleId="TOC5">
    <w:name w:val="toc 5"/>
    <w:basedOn w:val="Normal"/>
    <w:next w:val="Normal"/>
    <w:semiHidden/>
    <w:pPr>
      <w:tabs>
        <w:tab w:val="left" w:pos="595"/>
        <w:tab w:val="right" w:leader="dot" w:pos="8640"/>
      </w:tabs>
      <w:spacing w:before="240" w:after="60" w:line="240" w:lineRule="auto"/>
      <w:ind w:right="720"/>
    </w:pPr>
    <w:rPr>
      <w:b/>
      <w:sz w:val="20"/>
    </w:rPr>
  </w:style>
  <w:style w:type="paragraph" w:styleId="TOC6">
    <w:name w:val="toc 6"/>
    <w:basedOn w:val="Normal"/>
    <w:next w:val="Normal"/>
    <w:semiHidden/>
    <w:pPr>
      <w:tabs>
        <w:tab w:val="left" w:pos="595"/>
        <w:tab w:val="right" w:leader="dot" w:pos="8640"/>
      </w:tabs>
      <w:spacing w:before="240" w:after="60" w:line="240" w:lineRule="auto"/>
      <w:ind w:left="1446" w:right="720" w:hanging="1446"/>
    </w:pPr>
    <w:rPr>
      <w:b/>
      <w:sz w:val="20"/>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jc w:val="center"/>
    </w:pPr>
    <w:rPr>
      <w:rFonts w:ascii="Times New Roman Bold" w:hAnsi="Times New Roman Bold"/>
      <w:b/>
      <w:sz w:val="32"/>
    </w:rPr>
  </w:style>
  <w:style w:type="paragraph" w:customStyle="1" w:styleId="ZCom">
    <w:name w:val="Z_Com"/>
    <w:basedOn w:val="Normal"/>
    <w:next w:val="Normal"/>
    <w:uiPriority w:val="2"/>
    <w:pPr>
      <w:widowControl w:val="0"/>
      <w:spacing w:before="90" w:after="0" w:line="240" w:lineRule="auto"/>
      <w:ind w:right="85"/>
      <w:jc w:val="left"/>
    </w:pPr>
    <w:rPr>
      <w:sz w:val="24"/>
    </w:rPr>
  </w:style>
  <w:style w:type="paragraph" w:customStyle="1" w:styleId="ZDGName">
    <w:name w:val="Z_DGName"/>
    <w:basedOn w:val="Normal"/>
    <w:uiPriority w:val="2"/>
    <w:pPr>
      <w:widowControl w:val="0"/>
      <w:spacing w:after="0" w:line="240" w:lineRule="auto"/>
      <w:ind w:right="85"/>
      <w:jc w:val="left"/>
    </w:pPr>
    <w:rPr>
      <w:sz w:val="16"/>
    </w:rPr>
  </w:style>
  <w:style w:type="paragraph" w:customStyle="1" w:styleId="ZFlag">
    <w:name w:val="Z_Flag"/>
    <w:basedOn w:val="Normal"/>
    <w:next w:val="Normal"/>
    <w:link w:val="ZFlagChar"/>
    <w:uiPriority w:val="2"/>
    <w:pPr>
      <w:widowControl w:val="0"/>
      <w:spacing w:after="0"/>
      <w:ind w:right="85"/>
    </w:pPr>
  </w:style>
  <w:style w:type="paragraph" w:customStyle="1" w:styleId="Citation">
    <w:name w:val="Citation"/>
    <w:basedOn w:val="Normal"/>
    <w:link w:val="CitationChar"/>
    <w:uiPriority w:val="1"/>
    <w:qFormat/>
    <w:pPr>
      <w:ind w:left="454" w:right="454"/>
    </w:pPr>
    <w:rPr>
      <w:i/>
    </w:rPr>
  </w:style>
  <w:style w:type="character" w:customStyle="1" w:styleId="CitationChar">
    <w:name w:val="Citation Char"/>
    <w:link w:val="Citation"/>
    <w:uiPriority w:val="1"/>
    <w:qFormat/>
    <w:rPr>
      <w:i/>
    </w:rPr>
  </w:style>
  <w:style w:type="paragraph" w:styleId="Footer">
    <w:name w:val="footer"/>
    <w:basedOn w:val="Normal"/>
    <w:link w:val="FooterChar"/>
    <w:uiPriority w:val="2"/>
    <w:pPr>
      <w:spacing w:after="0" w:line="240" w:lineRule="auto"/>
      <w:ind w:right="-567"/>
    </w:pPr>
    <w:rPr>
      <w:sz w:val="16"/>
    </w:rPr>
  </w:style>
  <w:style w:type="character" w:customStyle="1" w:styleId="FooterChar">
    <w:name w:val="Footer Char"/>
    <w:link w:val="Footer"/>
    <w:uiPriority w:val="2"/>
    <w:rPr>
      <w:sz w:val="16"/>
    </w:rPr>
  </w:style>
  <w:style w:type="paragraph" w:styleId="Header">
    <w:name w:val="header"/>
    <w:basedOn w:val="Normal"/>
    <w:link w:val="HeaderChar"/>
    <w:uiPriority w:val="2"/>
    <w:pPr>
      <w:tabs>
        <w:tab w:val="center" w:pos="4150"/>
        <w:tab w:val="right" w:pos="8306"/>
      </w:tabs>
    </w:pPr>
  </w:style>
  <w:style w:type="character" w:customStyle="1" w:styleId="HeaderChar">
    <w:name w:val="Header Char"/>
    <w:basedOn w:val="DefaultParagraphFont"/>
    <w:link w:val="Header"/>
    <w:uiPriority w:val="2"/>
    <w:rPr>
      <w:sz w:val="24"/>
    </w:rPr>
  </w:style>
  <w:style w:type="paragraph" w:styleId="MacroText">
    <w:name w:val="macro"/>
    <w:basedOn w:val="Normal"/>
    <w:link w:val="MacroTextChar"/>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0"/>
    </w:rPr>
  </w:style>
  <w:style w:type="character" w:customStyle="1" w:styleId="MacroTextChar">
    <w:name w:val="Macro Text Char"/>
    <w:basedOn w:val="DefaultParagraphFont"/>
    <w:link w:val="MacroText"/>
    <w:uiPriority w:val="1"/>
    <w:qFormat/>
    <w:rPr>
      <w:rFonts w:ascii="Courier New" w:hAnsi="Courier New"/>
      <w:sz w:val="20"/>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StylePr>
  </w:style>
  <w:style w:type="table" w:customStyle="1" w:styleId="PropertiesTable">
    <w:name w:val="Properties Table"/>
    <w:basedOn w:val="TableNormal"/>
    <w:semiHidden/>
    <w:pPr>
      <w:spacing w:after="120" w:line="264" w:lineRule="auto"/>
    </w:pPr>
    <w:tblPr>
      <w:tblInd w:w="1984" w:type="dxa"/>
    </w:tblPr>
  </w:style>
  <w:style w:type="table" w:styleId="TableGrid">
    <w:name w:val="Table Grid"/>
    <w:semiHidden/>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History">
    <w:name w:val="Table History"/>
    <w:basedOn w:val="TableNormal"/>
    <w:semiHidden/>
    <w:pPr>
      <w:spacing w:before="60" w:after="60"/>
    </w:p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FE789E"/>
    <w:rPr>
      <w:color w:val="0563C1" w:themeColor="hyperlink"/>
      <w:u w:val="single"/>
    </w:rPr>
  </w:style>
  <w:style w:type="character" w:customStyle="1" w:styleId="Marker">
    <w:name w:val="Marker"/>
    <w:basedOn w:val="DefaultParagraphFont"/>
    <w:rsid w:val="00DC489A"/>
    <w:rPr>
      <w:color w:val="0000FF"/>
      <w:shd w:val="clear" w:color="auto" w:fill="auto"/>
    </w:rPr>
  </w:style>
  <w:style w:type="paragraph" w:customStyle="1" w:styleId="Pagedecouverture">
    <w:name w:val="Page de couverture"/>
    <w:basedOn w:val="Normal"/>
    <w:next w:val="Normal"/>
    <w:rsid w:val="00DC489A"/>
    <w:pPr>
      <w:spacing w:after="0" w:line="240" w:lineRule="auto"/>
    </w:pPr>
    <w:rPr>
      <w:rFonts w:eastAsiaTheme="minorHAnsi"/>
      <w:sz w:val="24"/>
      <w:szCs w:val="22"/>
      <w:lang w:eastAsia="en-US"/>
    </w:rPr>
  </w:style>
  <w:style w:type="paragraph" w:customStyle="1" w:styleId="FooterCoverPage">
    <w:name w:val="Footer Cover Page"/>
    <w:basedOn w:val="Normal"/>
    <w:link w:val="FooterCoverPageChar"/>
    <w:rsid w:val="00DC489A"/>
    <w:pPr>
      <w:tabs>
        <w:tab w:val="center" w:pos="4535"/>
        <w:tab w:val="right" w:pos="9071"/>
        <w:tab w:val="right" w:pos="9921"/>
      </w:tabs>
      <w:spacing w:before="360" w:after="0" w:line="240" w:lineRule="auto"/>
      <w:ind w:left="-850" w:right="-850"/>
      <w:jc w:val="left"/>
    </w:pPr>
    <w:rPr>
      <w:sz w:val="24"/>
    </w:rPr>
  </w:style>
  <w:style w:type="character" w:customStyle="1" w:styleId="ZFlagChar">
    <w:name w:val="Z_Flag Char"/>
    <w:basedOn w:val="DefaultParagraphFont"/>
    <w:link w:val="ZFlag"/>
    <w:uiPriority w:val="2"/>
    <w:rsid w:val="00DC489A"/>
    <w:rPr>
      <w:sz w:val="22"/>
    </w:rPr>
  </w:style>
  <w:style w:type="character" w:customStyle="1" w:styleId="FooterCoverPageChar">
    <w:name w:val="Footer Cover Page Char"/>
    <w:basedOn w:val="ZFlagChar"/>
    <w:link w:val="FooterCoverPage"/>
    <w:rsid w:val="00DC489A"/>
    <w:rPr>
      <w:sz w:val="22"/>
    </w:rPr>
  </w:style>
  <w:style w:type="paragraph" w:customStyle="1" w:styleId="FooterSensitivity">
    <w:name w:val="Footer Sensitivity"/>
    <w:basedOn w:val="Normal"/>
    <w:link w:val="FooterSensitivityChar"/>
    <w:rsid w:val="00DC489A"/>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ZFlagChar"/>
    <w:link w:val="FooterSensitivity"/>
    <w:rsid w:val="00DC489A"/>
    <w:rPr>
      <w:b/>
      <w:sz w:val="32"/>
    </w:rPr>
  </w:style>
  <w:style w:type="paragraph" w:customStyle="1" w:styleId="HeaderCoverPage">
    <w:name w:val="Header Cover Page"/>
    <w:basedOn w:val="Normal"/>
    <w:link w:val="HeaderCoverPageChar"/>
    <w:rsid w:val="00DC489A"/>
    <w:pPr>
      <w:tabs>
        <w:tab w:val="center" w:pos="4535"/>
        <w:tab w:val="right" w:pos="9071"/>
      </w:tabs>
      <w:spacing w:line="240" w:lineRule="auto"/>
    </w:pPr>
    <w:rPr>
      <w:sz w:val="24"/>
    </w:rPr>
  </w:style>
  <w:style w:type="character" w:customStyle="1" w:styleId="HeaderCoverPageChar">
    <w:name w:val="Header Cover Page Char"/>
    <w:basedOn w:val="ZFlagChar"/>
    <w:link w:val="HeaderCoverPage"/>
    <w:rsid w:val="00DC489A"/>
    <w:rPr>
      <w:sz w:val="22"/>
    </w:rPr>
  </w:style>
  <w:style w:type="paragraph" w:customStyle="1" w:styleId="HeaderSensitivity">
    <w:name w:val="Header Sensitivity"/>
    <w:basedOn w:val="Normal"/>
    <w:link w:val="HeaderSensitivityChar"/>
    <w:rsid w:val="00DC489A"/>
    <w:pPr>
      <w:pBdr>
        <w:top w:val="single" w:sz="4" w:space="1" w:color="auto"/>
        <w:left w:val="single" w:sz="4" w:space="4" w:color="auto"/>
        <w:bottom w:val="single" w:sz="4" w:space="1" w:color="auto"/>
        <w:right w:val="single" w:sz="4" w:space="4" w:color="auto"/>
      </w:pBdr>
      <w:spacing w:line="240" w:lineRule="auto"/>
      <w:ind w:left="113" w:right="113"/>
      <w:jc w:val="center"/>
    </w:pPr>
    <w:rPr>
      <w:b/>
      <w:sz w:val="32"/>
    </w:rPr>
  </w:style>
  <w:style w:type="character" w:customStyle="1" w:styleId="HeaderSensitivityChar">
    <w:name w:val="Header Sensitivity Char"/>
    <w:basedOn w:val="ZFlagChar"/>
    <w:link w:val="HeaderSensitivity"/>
    <w:rsid w:val="00DC489A"/>
    <w:rPr>
      <w:b/>
      <w:sz w:val="32"/>
    </w:rPr>
  </w:style>
  <w:style w:type="paragraph" w:customStyle="1" w:styleId="HeaderSensitivityRight">
    <w:name w:val="Header Sensitivity Right"/>
    <w:basedOn w:val="Normal"/>
    <w:link w:val="HeaderSensitivityRightChar"/>
    <w:rsid w:val="00DC489A"/>
    <w:pPr>
      <w:spacing w:line="240" w:lineRule="auto"/>
      <w:jc w:val="right"/>
    </w:pPr>
    <w:rPr>
      <w:sz w:val="28"/>
    </w:rPr>
  </w:style>
  <w:style w:type="character" w:customStyle="1" w:styleId="HeaderSensitivityRightChar">
    <w:name w:val="Header Sensitivity Right Char"/>
    <w:basedOn w:val="ZFlagChar"/>
    <w:link w:val="HeaderSensitivityRight"/>
    <w:rsid w:val="00DC489A"/>
    <w:rPr>
      <w:sz w:val="28"/>
    </w:rPr>
  </w:style>
  <w:style w:type="paragraph" w:styleId="ListNumber3">
    <w:name w:val="List Number 3"/>
    <w:basedOn w:val="Normal"/>
    <w:semiHidden/>
    <w:locked/>
    <w:rsid w:val="00623B82"/>
    <w:pPr>
      <w:numPr>
        <w:numId w:val="11"/>
      </w:numPr>
      <w:contextualSpacing/>
    </w:pPr>
  </w:style>
  <w:style w:type="paragraph" w:styleId="ListNumber2">
    <w:name w:val="List Number 2"/>
    <w:basedOn w:val="Normal"/>
    <w:semiHidden/>
    <w:locked/>
    <w:rsid w:val="00623B82"/>
    <w:pPr>
      <w:numPr>
        <w:numId w:val="12"/>
      </w:numPr>
      <w:contextualSpacing/>
    </w:pPr>
  </w:style>
  <w:style w:type="paragraph" w:styleId="ListBullet3">
    <w:name w:val="List Bullet 3"/>
    <w:basedOn w:val="Normal"/>
    <w:semiHidden/>
    <w:locked/>
    <w:rsid w:val="004F6F3F"/>
    <w:pPr>
      <w:numPr>
        <w:numId w:val="13"/>
      </w:numPr>
      <w:contextualSpacing/>
    </w:pPr>
  </w:style>
  <w:style w:type="paragraph" w:styleId="ListBullet2">
    <w:name w:val="List Bullet 2"/>
    <w:basedOn w:val="Normal"/>
    <w:semiHidden/>
    <w:locked/>
    <w:rsid w:val="004F6F3F"/>
    <w:pPr>
      <w:numPr>
        <w:numId w:val="14"/>
      </w:numPr>
      <w:contextualSpacing/>
    </w:pPr>
  </w:style>
  <w:style w:type="character" w:styleId="FootnoteReference">
    <w:name w:val="footnote reference"/>
    <w:aliases w:val="Voetnoot verwijzing,number,Footnote reference number,Footnote symbol,note TESI,-E Fußnotenzeichen,SUPERS,stylish,Footnote Reference_EP-LCA,BVI fnr,Odwołanie przypisu,Footnote Reference2,Footnote Reference Number,E FNZ,Footnote#,FR,F"/>
    <w:basedOn w:val="DefaultParagraphFont"/>
    <w:uiPriority w:val="99"/>
    <w:qFormat/>
    <w:locked/>
    <w:rsid w:val="00AC5DD3"/>
    <w:rPr>
      <w:vertAlign w:val="superscript"/>
    </w:rPr>
  </w:style>
  <w:style w:type="paragraph" w:styleId="ListParagraph">
    <w:name w:val="List Paragraph"/>
    <w:basedOn w:val="Normal"/>
    <w:uiPriority w:val="34"/>
    <w:qFormat/>
    <w:locked/>
    <w:rsid w:val="00101327"/>
    <w:pPr>
      <w:spacing w:after="0" w:line="240" w:lineRule="auto"/>
      <w:ind w:left="720"/>
      <w:jc w:val="left"/>
    </w:pPr>
    <w:rPr>
      <w:rFonts w:ascii="Calibri" w:hAnsi="Calibri"/>
      <w:szCs w:val="22"/>
      <w:lang w:eastAsia="en-US"/>
    </w:rPr>
  </w:style>
  <w:style w:type="table" w:styleId="GridTable4-Accent1">
    <w:name w:val="Grid Table 4 Accent 1"/>
    <w:basedOn w:val="TableNormal"/>
    <w:locked/>
    <w:rsid w:val="002F71B1"/>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FootnoteTextChar">
    <w:name w:val="Footnote Text Char"/>
    <w:aliases w:val="Fußnote Char,fn Char,Footnotes Char,Footnote ak Char,ft Char,Char Char,Carattere Char,Footnote Text Char Char Char,fn Char Char Char,footnote text Char Char Char,Footnotes Char Char Char,Footnote ak Char Char Char,fn Char1 Char"/>
    <w:basedOn w:val="DefaultParagraphFont"/>
    <w:link w:val="FootnoteText"/>
    <w:uiPriority w:val="99"/>
    <w:rsid w:val="006C7D78"/>
    <w:rPr>
      <w:sz w:val="20"/>
    </w:rPr>
  </w:style>
  <w:style w:type="paragraph" w:styleId="TableofFigures">
    <w:name w:val="table of figures"/>
    <w:basedOn w:val="Normal"/>
    <w:next w:val="Normal"/>
    <w:uiPriority w:val="99"/>
    <w:locked/>
    <w:rsid w:val="00440F24"/>
    <w:pPr>
      <w:spacing w:after="0"/>
    </w:pPr>
  </w:style>
  <w:style w:type="paragraph" w:styleId="NormalWeb">
    <w:name w:val="Normal (Web)"/>
    <w:basedOn w:val="Normal"/>
    <w:uiPriority w:val="99"/>
    <w:semiHidden/>
    <w:unhideWhenUsed/>
    <w:locked/>
    <w:rsid w:val="00B844C4"/>
    <w:pPr>
      <w:spacing w:before="100" w:beforeAutospacing="1" w:after="100" w:afterAutospacing="1" w:line="240" w:lineRule="auto"/>
      <w:jc w:val="left"/>
    </w:pPr>
    <w:rPr>
      <w:sz w:val="24"/>
      <w:szCs w:val="24"/>
    </w:rPr>
  </w:style>
  <w:style w:type="paragraph" w:customStyle="1" w:styleId="Text1">
    <w:name w:val="Text 1"/>
    <w:basedOn w:val="Normal"/>
    <w:qFormat/>
    <w:rsid w:val="00D11191"/>
    <w:pPr>
      <w:spacing w:after="240" w:line="240" w:lineRule="auto"/>
      <w:ind w:left="482"/>
    </w:pPr>
    <w:rPr>
      <w:sz w:val="24"/>
    </w:rPr>
  </w:style>
  <w:style w:type="paragraph" w:customStyle="1" w:styleId="Default">
    <w:name w:val="Default"/>
    <w:rsid w:val="00C77AE2"/>
    <w:pPr>
      <w:autoSpaceDE w:val="0"/>
      <w:autoSpaceDN w:val="0"/>
      <w:adjustRightInd w:val="0"/>
    </w:pPr>
    <w:rPr>
      <w:color w:val="000000"/>
      <w:szCs w:val="24"/>
    </w:rPr>
  </w:style>
  <w:style w:type="character" w:styleId="CommentReference">
    <w:name w:val="annotation reference"/>
    <w:basedOn w:val="DefaultParagraphFont"/>
    <w:semiHidden/>
    <w:locked/>
    <w:rsid w:val="00602423"/>
    <w:rPr>
      <w:sz w:val="16"/>
      <w:szCs w:val="16"/>
    </w:rPr>
  </w:style>
  <w:style w:type="paragraph" w:styleId="CommentText">
    <w:name w:val="annotation text"/>
    <w:basedOn w:val="Normal"/>
    <w:link w:val="CommentTextChar"/>
    <w:semiHidden/>
    <w:locked/>
    <w:rsid w:val="00602423"/>
    <w:pPr>
      <w:spacing w:line="240" w:lineRule="auto"/>
    </w:pPr>
    <w:rPr>
      <w:sz w:val="20"/>
    </w:rPr>
  </w:style>
  <w:style w:type="character" w:customStyle="1" w:styleId="CommentTextChar">
    <w:name w:val="Comment Text Char"/>
    <w:basedOn w:val="DefaultParagraphFont"/>
    <w:link w:val="CommentText"/>
    <w:semiHidden/>
    <w:rsid w:val="00602423"/>
    <w:rPr>
      <w:sz w:val="20"/>
    </w:rPr>
  </w:style>
  <w:style w:type="paragraph" w:styleId="CommentSubject">
    <w:name w:val="annotation subject"/>
    <w:basedOn w:val="CommentText"/>
    <w:next w:val="CommentText"/>
    <w:link w:val="CommentSubjectChar"/>
    <w:semiHidden/>
    <w:locked/>
    <w:rsid w:val="00602423"/>
    <w:rPr>
      <w:b/>
      <w:bCs/>
    </w:rPr>
  </w:style>
  <w:style w:type="character" w:customStyle="1" w:styleId="CommentSubjectChar">
    <w:name w:val="Comment Subject Char"/>
    <w:basedOn w:val="CommentTextChar"/>
    <w:link w:val="CommentSubject"/>
    <w:semiHidden/>
    <w:rsid w:val="00602423"/>
    <w:rPr>
      <w:b/>
      <w:bCs/>
      <w:sz w:val="20"/>
    </w:rPr>
  </w:style>
  <w:style w:type="paragraph" w:styleId="BalloonText">
    <w:name w:val="Balloon Text"/>
    <w:basedOn w:val="Normal"/>
    <w:link w:val="BalloonTextChar"/>
    <w:semiHidden/>
    <w:locked/>
    <w:rsid w:val="006024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02423"/>
    <w:rPr>
      <w:rFonts w:ascii="Segoe UI" w:hAnsi="Segoe UI" w:cs="Segoe UI"/>
      <w:sz w:val="18"/>
      <w:szCs w:val="18"/>
    </w:rPr>
  </w:style>
  <w:style w:type="table" w:styleId="GridTable4-Accent5">
    <w:name w:val="Grid Table 4 Accent 5"/>
    <w:basedOn w:val="TableNormal"/>
    <w:locked/>
    <w:rsid w:val="00A8394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normaltextrun">
    <w:name w:val="normaltextrun"/>
    <w:rsid w:val="008A4E1B"/>
  </w:style>
  <w:style w:type="character" w:styleId="Emphasis">
    <w:name w:val="Emphasis"/>
    <w:basedOn w:val="DefaultParagraphFont"/>
    <w:uiPriority w:val="20"/>
    <w:qFormat/>
    <w:locked/>
    <w:rsid w:val="00BB428C"/>
    <w:rPr>
      <w:i/>
      <w:iCs/>
    </w:rPr>
  </w:style>
  <w:style w:type="character" w:styleId="FollowedHyperlink">
    <w:name w:val="FollowedHyperlink"/>
    <w:basedOn w:val="DefaultParagraphFont"/>
    <w:semiHidden/>
    <w:locked/>
    <w:rsid w:val="00CA6A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979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diagramData" Target="diagrams/data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microsoft.com/office/2007/relationships/diagramDrawing" Target="diagrams/drawing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diagramColors" Target="diagrams/colors1.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diagramQuickStyle" Target="diagrams/quickStyle1.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diagramLayout" Target="diagrams/layout1.xml"/><Relationship Id="rId27" Type="http://schemas.openxmlformats.org/officeDocument/2006/relationships/header" Target="header5.xml"/><Relationship Id="rId30"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regional_policy/en/policy/how/improving-investment/integrity-pacts/" TargetMode="External"/><Relationship Id="rId3" Type="http://schemas.openxmlformats.org/officeDocument/2006/relationships/hyperlink" Target="https://www.eppo.europa.eu/sites/default/files/2022-08/_EPPO-Annual-Report-2021-RO.pdf" TargetMode="External"/><Relationship Id="rId7" Type="http://schemas.openxmlformats.org/officeDocument/2006/relationships/hyperlink" Target="https://ec.europa.eu/info/business-economy-euro/economic-and-fiscal-policy-coordination/eu-economic-governance-monitoring-prevention-correction/european-semester/european-semester-timeline/spring-package_ro" TargetMode="External"/><Relationship Id="rId2" Type="http://schemas.openxmlformats.org/officeDocument/2006/relationships/hyperlink" Target="https://anti-fraud.ec.europa.eu/system/files/2022-07/olaf-report-2021_en.pdf" TargetMode="External"/><Relationship Id="rId1" Type="http://schemas.openxmlformats.org/officeDocument/2006/relationships/hyperlink" Target="https://ec.europa.eu/info/sites/default/files/about_the_european_commission/eu_budget/budgetary-procedure.pdf" TargetMode="External"/><Relationship Id="rId6" Type="http://schemas.openxmlformats.org/officeDocument/2006/relationships/hyperlink" Target="https://ec.europa.eu/info/business-economy-euro/economic-and-fiscal-policy-coordination/eu-economic-governance-monitoring-prevention-correction/european-semester_en" TargetMode="External"/><Relationship Id="rId5" Type="http://schemas.openxmlformats.org/officeDocument/2006/relationships/hyperlink" Target="https://ec.europa.eu/info/business-economy-euro/banking-and-finance/financial-supervision-and-risk-management/anti-money-laundering-and-counter-terrorist-financing_en" TargetMode="External"/><Relationship Id="rId4" Type="http://schemas.openxmlformats.org/officeDocument/2006/relationships/hyperlink" Target="https://www.eca.europa.eu/Lists/ECADocuments/annualreports-2020/annualreports-2020_RO.pdf" TargetMode="External"/></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B5D37C4-5DBB-4EF2-84BC-72D8F157BF6E}" type="doc">
      <dgm:prSet loTypeId="urn:microsoft.com/office/officeart/2005/8/layout/chevron1" loCatId="process" qsTypeId="urn:microsoft.com/office/officeart/2005/8/quickstyle/simple1" qsCatId="simple" csTypeId="urn:microsoft.com/office/officeart/2005/8/colors/accent1_3" csCatId="accent1" phldr="1"/>
      <dgm:spPr/>
    </dgm:pt>
    <dgm:pt modelId="{48BEDD7A-42A3-4EFB-8637-56E8A52BBB21}">
      <dgm:prSet phldrT="[Text]" custT="1"/>
      <dgm:spPr/>
      <dgm:t>
        <a:bodyPr/>
        <a:lstStyle/>
        <a:p>
          <a:r>
            <a:rPr lang="ro-RO" sz="1100"/>
            <a:t>STATUL MEMBRU</a:t>
          </a:r>
        </a:p>
      </dgm:t>
    </dgm:pt>
    <dgm:pt modelId="{F37C9437-BE39-4FC0-911F-D51A22280E13}" type="parTrans" cxnId="{05CAC821-0649-435F-96A4-BD9B33CF4FE7}">
      <dgm:prSet/>
      <dgm:spPr/>
      <dgm:t>
        <a:bodyPr/>
        <a:lstStyle/>
        <a:p>
          <a:endParaRPr lang="en-US"/>
        </a:p>
      </dgm:t>
    </dgm:pt>
    <dgm:pt modelId="{DE506E46-1FD0-4A4D-B74B-A599FF45D698}" type="sibTrans" cxnId="{05CAC821-0649-435F-96A4-BD9B33CF4FE7}">
      <dgm:prSet/>
      <dgm:spPr/>
      <dgm:t>
        <a:bodyPr/>
        <a:lstStyle/>
        <a:p>
          <a:endParaRPr lang="en-US"/>
        </a:p>
      </dgm:t>
    </dgm:pt>
    <dgm:pt modelId="{F3EFE610-D80E-4E79-8CA8-C94FF8C5F192}">
      <dgm:prSet phldrT="[Text]" custT="1"/>
      <dgm:spPr/>
      <dgm:t>
        <a:bodyPr/>
        <a:lstStyle/>
        <a:p>
          <a:r>
            <a:rPr lang="ro-RO" sz="1100"/>
            <a:t>COMISIA</a:t>
          </a:r>
        </a:p>
      </dgm:t>
    </dgm:pt>
    <dgm:pt modelId="{3FDC3A84-5A50-427B-8D65-9EEA82848285}" type="parTrans" cxnId="{82AFF46D-4493-4DAE-9674-64C63572A5E9}">
      <dgm:prSet/>
      <dgm:spPr/>
      <dgm:t>
        <a:bodyPr/>
        <a:lstStyle/>
        <a:p>
          <a:endParaRPr lang="en-US"/>
        </a:p>
      </dgm:t>
    </dgm:pt>
    <dgm:pt modelId="{CFD96C64-4156-4811-800E-52A1F8F04402}" type="sibTrans" cxnId="{82AFF46D-4493-4DAE-9674-64C63572A5E9}">
      <dgm:prSet/>
      <dgm:spPr/>
      <dgm:t>
        <a:bodyPr/>
        <a:lstStyle/>
        <a:p>
          <a:endParaRPr lang="en-US"/>
        </a:p>
      </dgm:t>
    </dgm:pt>
    <dgm:pt modelId="{25F8BCF9-6873-42B3-949C-7FE9121AEE05}">
      <dgm:prSet phldrT="[Text]" custT="1"/>
      <dgm:spPr/>
      <dgm:t>
        <a:bodyPr/>
        <a:lstStyle/>
        <a:p>
          <a:r>
            <a:rPr lang="ro-RO" sz="1100"/>
            <a:t>CONSILIUL</a:t>
          </a:r>
        </a:p>
      </dgm:t>
    </dgm:pt>
    <dgm:pt modelId="{6588D41E-E58B-40D8-9BF4-40C0DBC91C19}" type="parTrans" cxnId="{616EA3B2-CE73-41F0-AE94-CAEFEE0FB10B}">
      <dgm:prSet/>
      <dgm:spPr/>
      <dgm:t>
        <a:bodyPr/>
        <a:lstStyle/>
        <a:p>
          <a:endParaRPr lang="en-US"/>
        </a:p>
      </dgm:t>
    </dgm:pt>
    <dgm:pt modelId="{418E92B6-70C9-4B27-9C5E-430C47139919}" type="sibTrans" cxnId="{616EA3B2-CE73-41F0-AE94-CAEFEE0FB10B}">
      <dgm:prSet/>
      <dgm:spPr/>
      <dgm:t>
        <a:bodyPr/>
        <a:lstStyle/>
        <a:p>
          <a:endParaRPr lang="en-US"/>
        </a:p>
      </dgm:t>
    </dgm:pt>
    <dgm:pt modelId="{F1C0E952-55E8-447C-AB6B-BFFCFD382DD8}">
      <dgm:prSet phldrT="[Text]" custT="1"/>
      <dgm:spPr/>
      <dgm:t>
        <a:bodyPr/>
        <a:lstStyle/>
        <a:p>
          <a:r>
            <a:rPr lang="ro-RO" sz="1100"/>
            <a:t>Țările prezintă planuri naționale de investiții și reforme, cu jaloane și ținte clare.</a:t>
          </a:r>
        </a:p>
      </dgm:t>
    </dgm:pt>
    <dgm:pt modelId="{2373B5DB-1F3A-48B4-8580-AA5C3B20CED9}" type="parTrans" cxnId="{1404F33D-4622-46A8-99A8-8A62030FEFA1}">
      <dgm:prSet/>
      <dgm:spPr/>
      <dgm:t>
        <a:bodyPr/>
        <a:lstStyle/>
        <a:p>
          <a:endParaRPr lang="en-US"/>
        </a:p>
      </dgm:t>
    </dgm:pt>
    <dgm:pt modelId="{210F1DED-8405-4A01-A060-36AAA15EB32C}" type="sibTrans" cxnId="{1404F33D-4622-46A8-99A8-8A62030FEFA1}">
      <dgm:prSet/>
      <dgm:spPr/>
      <dgm:t>
        <a:bodyPr/>
        <a:lstStyle/>
        <a:p>
          <a:endParaRPr lang="en-US"/>
        </a:p>
      </dgm:t>
    </dgm:pt>
    <dgm:pt modelId="{3902F3B4-E9E6-4F42-9E0B-FEAA78F8DAEF}">
      <dgm:prSet phldrT="[Text]" custT="1"/>
      <dgm:spPr/>
      <dgm:t>
        <a:bodyPr/>
        <a:lstStyle/>
        <a:p>
          <a:r>
            <a:rPr lang="ro-RO" sz="1100"/>
            <a:t>Comisia evaluează aceste planuri de redresare și reziliență.</a:t>
          </a:r>
        </a:p>
      </dgm:t>
    </dgm:pt>
    <dgm:pt modelId="{A5438503-B79E-447B-BBB8-B683F1AA81A1}" type="parTrans" cxnId="{DA736629-F901-4DEE-9EF5-2A208DA8B53F}">
      <dgm:prSet/>
      <dgm:spPr/>
      <dgm:t>
        <a:bodyPr/>
        <a:lstStyle/>
        <a:p>
          <a:endParaRPr lang="en-US"/>
        </a:p>
      </dgm:t>
    </dgm:pt>
    <dgm:pt modelId="{3837F287-79E4-4010-ADD8-EE626E2045F8}" type="sibTrans" cxnId="{DA736629-F901-4DEE-9EF5-2A208DA8B53F}">
      <dgm:prSet/>
      <dgm:spPr/>
      <dgm:t>
        <a:bodyPr/>
        <a:lstStyle/>
        <a:p>
          <a:endParaRPr lang="en-US"/>
        </a:p>
      </dgm:t>
    </dgm:pt>
    <dgm:pt modelId="{45CD5FC5-1261-4488-94E7-0BB9A1E663CF}">
      <dgm:prSet phldrT="[Text]" custT="1"/>
      <dgm:spPr/>
      <dgm:t>
        <a:bodyPr/>
        <a:lstStyle/>
        <a:p>
          <a:r>
            <a:rPr lang="ro-RO" sz="1100"/>
            <a:t>COMISIA</a:t>
          </a:r>
        </a:p>
      </dgm:t>
    </dgm:pt>
    <dgm:pt modelId="{AA55665D-9EF8-4DD8-B222-29C69365F010}" type="parTrans" cxnId="{A5C60C31-7BC1-4152-8903-832A79F00883}">
      <dgm:prSet/>
      <dgm:spPr/>
      <dgm:t>
        <a:bodyPr/>
        <a:lstStyle/>
        <a:p>
          <a:endParaRPr lang="en-US"/>
        </a:p>
      </dgm:t>
    </dgm:pt>
    <dgm:pt modelId="{68496D18-1808-4402-BF74-A1F4CB8C2A4C}" type="sibTrans" cxnId="{A5C60C31-7BC1-4152-8903-832A79F00883}">
      <dgm:prSet/>
      <dgm:spPr/>
      <dgm:t>
        <a:bodyPr/>
        <a:lstStyle/>
        <a:p>
          <a:endParaRPr lang="en-US"/>
        </a:p>
      </dgm:t>
    </dgm:pt>
    <dgm:pt modelId="{568C2D70-3ACB-4B84-9027-3CA1386F5A65}">
      <dgm:prSet phldrT="[Text]" custT="1"/>
      <dgm:spPr/>
      <dgm:t>
        <a:bodyPr/>
        <a:lstStyle/>
        <a:p>
          <a:r>
            <a:rPr lang="ro-RO" sz="1100"/>
            <a:t>Consiliul aprobă planurile naționale de la caz la caz.</a:t>
          </a:r>
        </a:p>
      </dgm:t>
    </dgm:pt>
    <dgm:pt modelId="{87F092E5-C9EA-4CAA-9985-65D345777B02}" type="parTrans" cxnId="{4D99E5E4-2E92-4B39-9FEE-B945AC2F1A09}">
      <dgm:prSet/>
      <dgm:spPr/>
      <dgm:t>
        <a:bodyPr/>
        <a:lstStyle/>
        <a:p>
          <a:endParaRPr lang="en-US"/>
        </a:p>
      </dgm:t>
    </dgm:pt>
    <dgm:pt modelId="{41C16986-FE3A-440D-AEBD-DEAE83370B05}" type="sibTrans" cxnId="{4D99E5E4-2E92-4B39-9FEE-B945AC2F1A09}">
      <dgm:prSet/>
      <dgm:spPr/>
      <dgm:t>
        <a:bodyPr/>
        <a:lstStyle/>
        <a:p>
          <a:endParaRPr lang="en-US"/>
        </a:p>
      </dgm:t>
    </dgm:pt>
    <dgm:pt modelId="{3ABF51E7-8869-40B5-9EFA-5EE7BE97250F}">
      <dgm:prSet phldrT="[Text]" custT="1"/>
      <dgm:spPr/>
      <dgm:t>
        <a:bodyPr/>
        <a:lstStyle/>
        <a:p>
          <a:r>
            <a:rPr lang="ro-RO" sz="1100"/>
            <a:t>UE plătește în avans până la 13 % din sprijinul total pentru a demara redresarea.</a:t>
          </a:r>
        </a:p>
      </dgm:t>
    </dgm:pt>
    <dgm:pt modelId="{FB234A72-718B-4207-8DF2-8DA60604899F}" type="parTrans" cxnId="{8CFC52BD-8D50-4D17-8AC9-C490DA054408}">
      <dgm:prSet/>
      <dgm:spPr/>
      <dgm:t>
        <a:bodyPr/>
        <a:lstStyle/>
        <a:p>
          <a:endParaRPr lang="en-US"/>
        </a:p>
      </dgm:t>
    </dgm:pt>
    <dgm:pt modelId="{8A2ED4DD-A68E-4765-BE8E-C6EEB82C93D4}" type="sibTrans" cxnId="{8CFC52BD-8D50-4D17-8AC9-C490DA054408}">
      <dgm:prSet/>
      <dgm:spPr/>
      <dgm:t>
        <a:bodyPr/>
        <a:lstStyle/>
        <a:p>
          <a:endParaRPr lang="en-US"/>
        </a:p>
      </dgm:t>
    </dgm:pt>
    <dgm:pt modelId="{5DE7D7FD-48E8-401A-8F5E-1504FF0F66BF}" type="pres">
      <dgm:prSet presAssocID="{8B5D37C4-5DBB-4EF2-84BC-72D8F157BF6E}" presName="Name0" presStyleCnt="0">
        <dgm:presLayoutVars>
          <dgm:dir/>
          <dgm:animLvl val="lvl"/>
          <dgm:resizeHandles val="exact"/>
        </dgm:presLayoutVars>
      </dgm:prSet>
      <dgm:spPr/>
    </dgm:pt>
    <dgm:pt modelId="{EF1CB368-182D-4072-84AE-DDFDC2817AE7}" type="pres">
      <dgm:prSet presAssocID="{48BEDD7A-42A3-4EFB-8637-56E8A52BBB21}" presName="composite" presStyleCnt="0"/>
      <dgm:spPr/>
    </dgm:pt>
    <dgm:pt modelId="{267AF405-9E97-428C-905E-1F74022C06F6}" type="pres">
      <dgm:prSet presAssocID="{48BEDD7A-42A3-4EFB-8637-56E8A52BBB21}" presName="parTx" presStyleLbl="node1" presStyleIdx="0" presStyleCnt="4">
        <dgm:presLayoutVars>
          <dgm:chMax val="0"/>
          <dgm:chPref val="0"/>
          <dgm:bulletEnabled val="1"/>
        </dgm:presLayoutVars>
      </dgm:prSet>
      <dgm:spPr/>
      <dgm:t>
        <a:bodyPr/>
        <a:lstStyle/>
        <a:p>
          <a:endParaRPr lang="en-US"/>
        </a:p>
      </dgm:t>
    </dgm:pt>
    <dgm:pt modelId="{780B0FAD-90FE-4D4E-AF59-21B82C29E09C}" type="pres">
      <dgm:prSet presAssocID="{48BEDD7A-42A3-4EFB-8637-56E8A52BBB21}" presName="desTx" presStyleLbl="revTx" presStyleIdx="0" presStyleCnt="4">
        <dgm:presLayoutVars>
          <dgm:bulletEnabled val="1"/>
        </dgm:presLayoutVars>
      </dgm:prSet>
      <dgm:spPr/>
      <dgm:t>
        <a:bodyPr/>
        <a:lstStyle/>
        <a:p>
          <a:endParaRPr lang="en-US"/>
        </a:p>
      </dgm:t>
    </dgm:pt>
    <dgm:pt modelId="{E5F03E0C-584A-476E-8B96-FBA55EB59EC7}" type="pres">
      <dgm:prSet presAssocID="{DE506E46-1FD0-4A4D-B74B-A599FF45D698}" presName="space" presStyleCnt="0"/>
      <dgm:spPr/>
    </dgm:pt>
    <dgm:pt modelId="{804AB6CD-A1E9-4CAE-B3E3-B8D3031C4604}" type="pres">
      <dgm:prSet presAssocID="{F3EFE610-D80E-4E79-8CA8-C94FF8C5F192}" presName="composite" presStyleCnt="0"/>
      <dgm:spPr/>
    </dgm:pt>
    <dgm:pt modelId="{E5394752-12A8-46A0-8763-96819D791968}" type="pres">
      <dgm:prSet presAssocID="{F3EFE610-D80E-4E79-8CA8-C94FF8C5F192}" presName="parTx" presStyleLbl="node1" presStyleIdx="1" presStyleCnt="4">
        <dgm:presLayoutVars>
          <dgm:chMax val="0"/>
          <dgm:chPref val="0"/>
          <dgm:bulletEnabled val="1"/>
        </dgm:presLayoutVars>
      </dgm:prSet>
      <dgm:spPr/>
      <dgm:t>
        <a:bodyPr/>
        <a:lstStyle/>
        <a:p>
          <a:endParaRPr lang="en-US"/>
        </a:p>
      </dgm:t>
    </dgm:pt>
    <dgm:pt modelId="{9E1B18CF-870C-45A8-A4AF-51BA3DEC88C6}" type="pres">
      <dgm:prSet presAssocID="{F3EFE610-D80E-4E79-8CA8-C94FF8C5F192}" presName="desTx" presStyleLbl="revTx" presStyleIdx="1" presStyleCnt="4">
        <dgm:presLayoutVars>
          <dgm:bulletEnabled val="1"/>
        </dgm:presLayoutVars>
      </dgm:prSet>
      <dgm:spPr/>
      <dgm:t>
        <a:bodyPr/>
        <a:lstStyle/>
        <a:p>
          <a:endParaRPr lang="en-US"/>
        </a:p>
      </dgm:t>
    </dgm:pt>
    <dgm:pt modelId="{826C95CB-B116-438B-A1F9-A1644FB365FB}" type="pres">
      <dgm:prSet presAssocID="{CFD96C64-4156-4811-800E-52A1F8F04402}" presName="space" presStyleCnt="0"/>
      <dgm:spPr/>
    </dgm:pt>
    <dgm:pt modelId="{E1598C82-1208-4F38-B81C-CDFB4445D1E4}" type="pres">
      <dgm:prSet presAssocID="{25F8BCF9-6873-42B3-949C-7FE9121AEE05}" presName="composite" presStyleCnt="0"/>
      <dgm:spPr/>
    </dgm:pt>
    <dgm:pt modelId="{C2524FC4-1DF1-484B-B78F-A49A337BD766}" type="pres">
      <dgm:prSet presAssocID="{25F8BCF9-6873-42B3-949C-7FE9121AEE05}" presName="parTx" presStyleLbl="node1" presStyleIdx="2" presStyleCnt="4">
        <dgm:presLayoutVars>
          <dgm:chMax val="0"/>
          <dgm:chPref val="0"/>
          <dgm:bulletEnabled val="1"/>
        </dgm:presLayoutVars>
      </dgm:prSet>
      <dgm:spPr/>
      <dgm:t>
        <a:bodyPr/>
        <a:lstStyle/>
        <a:p>
          <a:endParaRPr lang="en-US"/>
        </a:p>
      </dgm:t>
    </dgm:pt>
    <dgm:pt modelId="{CD821299-D4A8-4CC6-8DDC-6945C14BA15B}" type="pres">
      <dgm:prSet presAssocID="{25F8BCF9-6873-42B3-949C-7FE9121AEE05}" presName="desTx" presStyleLbl="revTx" presStyleIdx="2" presStyleCnt="4">
        <dgm:presLayoutVars>
          <dgm:bulletEnabled val="1"/>
        </dgm:presLayoutVars>
      </dgm:prSet>
      <dgm:spPr/>
      <dgm:t>
        <a:bodyPr/>
        <a:lstStyle/>
        <a:p>
          <a:endParaRPr lang="en-US"/>
        </a:p>
      </dgm:t>
    </dgm:pt>
    <dgm:pt modelId="{F840BC74-FA10-48CC-960A-BB559DCBA093}" type="pres">
      <dgm:prSet presAssocID="{418E92B6-70C9-4B27-9C5E-430C47139919}" presName="space" presStyleCnt="0"/>
      <dgm:spPr/>
    </dgm:pt>
    <dgm:pt modelId="{D98BC16A-B6D5-48D3-8352-061072974A5F}" type="pres">
      <dgm:prSet presAssocID="{45CD5FC5-1261-4488-94E7-0BB9A1E663CF}" presName="composite" presStyleCnt="0"/>
      <dgm:spPr/>
    </dgm:pt>
    <dgm:pt modelId="{D2319209-A1BC-4FBC-AE21-18F7ACCD4033}" type="pres">
      <dgm:prSet presAssocID="{45CD5FC5-1261-4488-94E7-0BB9A1E663CF}" presName="parTx" presStyleLbl="node1" presStyleIdx="3" presStyleCnt="4">
        <dgm:presLayoutVars>
          <dgm:chMax val="0"/>
          <dgm:chPref val="0"/>
          <dgm:bulletEnabled val="1"/>
        </dgm:presLayoutVars>
      </dgm:prSet>
      <dgm:spPr/>
      <dgm:t>
        <a:bodyPr/>
        <a:lstStyle/>
        <a:p>
          <a:endParaRPr lang="en-US"/>
        </a:p>
      </dgm:t>
    </dgm:pt>
    <dgm:pt modelId="{1B087B33-B178-4E65-9965-A94EA0CE8213}" type="pres">
      <dgm:prSet presAssocID="{45CD5FC5-1261-4488-94E7-0BB9A1E663CF}" presName="desTx" presStyleLbl="revTx" presStyleIdx="3" presStyleCnt="4">
        <dgm:presLayoutVars>
          <dgm:bulletEnabled val="1"/>
        </dgm:presLayoutVars>
      </dgm:prSet>
      <dgm:spPr/>
      <dgm:t>
        <a:bodyPr/>
        <a:lstStyle/>
        <a:p>
          <a:endParaRPr lang="en-US"/>
        </a:p>
      </dgm:t>
    </dgm:pt>
  </dgm:ptLst>
  <dgm:cxnLst>
    <dgm:cxn modelId="{7832F70E-2E69-42EA-906D-C4574290E4E9}" type="presOf" srcId="{3902F3B4-E9E6-4F42-9E0B-FEAA78F8DAEF}" destId="{9E1B18CF-870C-45A8-A4AF-51BA3DEC88C6}" srcOrd="0" destOrd="0" presId="urn:microsoft.com/office/officeart/2005/8/layout/chevron1"/>
    <dgm:cxn modelId="{82AFF46D-4493-4DAE-9674-64C63572A5E9}" srcId="{8B5D37C4-5DBB-4EF2-84BC-72D8F157BF6E}" destId="{F3EFE610-D80E-4E79-8CA8-C94FF8C5F192}" srcOrd="1" destOrd="0" parTransId="{3FDC3A84-5A50-427B-8D65-9EEA82848285}" sibTransId="{CFD96C64-4156-4811-800E-52A1F8F04402}"/>
    <dgm:cxn modelId="{A5C60C31-7BC1-4152-8903-832A79F00883}" srcId="{8B5D37C4-5DBB-4EF2-84BC-72D8F157BF6E}" destId="{45CD5FC5-1261-4488-94E7-0BB9A1E663CF}" srcOrd="3" destOrd="0" parTransId="{AA55665D-9EF8-4DD8-B222-29C69365F010}" sibTransId="{68496D18-1808-4402-BF74-A1F4CB8C2A4C}"/>
    <dgm:cxn modelId="{20C71041-5379-4C8A-9472-FD89A82B6C50}" type="presOf" srcId="{48BEDD7A-42A3-4EFB-8637-56E8A52BBB21}" destId="{267AF405-9E97-428C-905E-1F74022C06F6}" srcOrd="0" destOrd="0" presId="urn:microsoft.com/office/officeart/2005/8/layout/chevron1"/>
    <dgm:cxn modelId="{05CAC821-0649-435F-96A4-BD9B33CF4FE7}" srcId="{8B5D37C4-5DBB-4EF2-84BC-72D8F157BF6E}" destId="{48BEDD7A-42A3-4EFB-8637-56E8A52BBB21}" srcOrd="0" destOrd="0" parTransId="{F37C9437-BE39-4FC0-911F-D51A22280E13}" sibTransId="{DE506E46-1FD0-4A4D-B74B-A599FF45D698}"/>
    <dgm:cxn modelId="{DA736629-F901-4DEE-9EF5-2A208DA8B53F}" srcId="{F3EFE610-D80E-4E79-8CA8-C94FF8C5F192}" destId="{3902F3B4-E9E6-4F42-9E0B-FEAA78F8DAEF}" srcOrd="0" destOrd="0" parTransId="{A5438503-B79E-447B-BBB8-B683F1AA81A1}" sibTransId="{3837F287-79E4-4010-ADD8-EE626E2045F8}"/>
    <dgm:cxn modelId="{60EA7F3B-ADEF-4974-A4B1-0D06167972EE}" type="presOf" srcId="{45CD5FC5-1261-4488-94E7-0BB9A1E663CF}" destId="{D2319209-A1BC-4FBC-AE21-18F7ACCD4033}" srcOrd="0" destOrd="0" presId="urn:microsoft.com/office/officeart/2005/8/layout/chevron1"/>
    <dgm:cxn modelId="{6012ED1F-9C31-4C8E-ADAB-22AC84CE3F38}" type="presOf" srcId="{568C2D70-3ACB-4B84-9027-3CA1386F5A65}" destId="{CD821299-D4A8-4CC6-8DDC-6945C14BA15B}" srcOrd="0" destOrd="0" presId="urn:microsoft.com/office/officeart/2005/8/layout/chevron1"/>
    <dgm:cxn modelId="{C2C5C1E3-F8E9-4F75-92DF-45528FFA1315}" type="presOf" srcId="{25F8BCF9-6873-42B3-949C-7FE9121AEE05}" destId="{C2524FC4-1DF1-484B-B78F-A49A337BD766}" srcOrd="0" destOrd="0" presId="urn:microsoft.com/office/officeart/2005/8/layout/chevron1"/>
    <dgm:cxn modelId="{4D99E5E4-2E92-4B39-9FEE-B945AC2F1A09}" srcId="{25F8BCF9-6873-42B3-949C-7FE9121AEE05}" destId="{568C2D70-3ACB-4B84-9027-3CA1386F5A65}" srcOrd="0" destOrd="0" parTransId="{87F092E5-C9EA-4CAA-9985-65D345777B02}" sibTransId="{41C16986-FE3A-440D-AEBD-DEAE83370B05}"/>
    <dgm:cxn modelId="{AAC5CA61-56FF-469B-AB78-1B489FAE56A3}" type="presOf" srcId="{3ABF51E7-8869-40B5-9EFA-5EE7BE97250F}" destId="{1B087B33-B178-4E65-9965-A94EA0CE8213}" srcOrd="0" destOrd="0" presId="urn:microsoft.com/office/officeart/2005/8/layout/chevron1"/>
    <dgm:cxn modelId="{EB77E0F4-5AFD-46E4-9C39-B27C79DED889}" type="presOf" srcId="{8B5D37C4-5DBB-4EF2-84BC-72D8F157BF6E}" destId="{5DE7D7FD-48E8-401A-8F5E-1504FF0F66BF}" srcOrd="0" destOrd="0" presId="urn:microsoft.com/office/officeart/2005/8/layout/chevron1"/>
    <dgm:cxn modelId="{7EF5EDB8-5838-4438-9D96-CDA05EEF4612}" type="presOf" srcId="{F3EFE610-D80E-4E79-8CA8-C94FF8C5F192}" destId="{E5394752-12A8-46A0-8763-96819D791968}" srcOrd="0" destOrd="0" presId="urn:microsoft.com/office/officeart/2005/8/layout/chevron1"/>
    <dgm:cxn modelId="{DFB0A008-DFBB-446B-B43C-D4AEE92E6AD6}" type="presOf" srcId="{F1C0E952-55E8-447C-AB6B-BFFCFD382DD8}" destId="{780B0FAD-90FE-4D4E-AF59-21B82C29E09C}" srcOrd="0" destOrd="0" presId="urn:microsoft.com/office/officeart/2005/8/layout/chevron1"/>
    <dgm:cxn modelId="{616EA3B2-CE73-41F0-AE94-CAEFEE0FB10B}" srcId="{8B5D37C4-5DBB-4EF2-84BC-72D8F157BF6E}" destId="{25F8BCF9-6873-42B3-949C-7FE9121AEE05}" srcOrd="2" destOrd="0" parTransId="{6588D41E-E58B-40D8-9BF4-40C0DBC91C19}" sibTransId="{418E92B6-70C9-4B27-9C5E-430C47139919}"/>
    <dgm:cxn modelId="{1404F33D-4622-46A8-99A8-8A62030FEFA1}" srcId="{48BEDD7A-42A3-4EFB-8637-56E8A52BBB21}" destId="{F1C0E952-55E8-447C-AB6B-BFFCFD382DD8}" srcOrd="0" destOrd="0" parTransId="{2373B5DB-1F3A-48B4-8580-AA5C3B20CED9}" sibTransId="{210F1DED-8405-4A01-A060-36AAA15EB32C}"/>
    <dgm:cxn modelId="{8CFC52BD-8D50-4D17-8AC9-C490DA054408}" srcId="{45CD5FC5-1261-4488-94E7-0BB9A1E663CF}" destId="{3ABF51E7-8869-40B5-9EFA-5EE7BE97250F}" srcOrd="0" destOrd="0" parTransId="{FB234A72-718B-4207-8DF2-8DA60604899F}" sibTransId="{8A2ED4DD-A68E-4765-BE8E-C6EEB82C93D4}"/>
    <dgm:cxn modelId="{B5DE4A90-F456-4E34-9AA5-7DFAEA1CD26B}" type="presParOf" srcId="{5DE7D7FD-48E8-401A-8F5E-1504FF0F66BF}" destId="{EF1CB368-182D-4072-84AE-DDFDC2817AE7}" srcOrd="0" destOrd="0" presId="urn:microsoft.com/office/officeart/2005/8/layout/chevron1"/>
    <dgm:cxn modelId="{148560E6-17E1-4FAF-AAE6-30EA78A86534}" type="presParOf" srcId="{EF1CB368-182D-4072-84AE-DDFDC2817AE7}" destId="{267AF405-9E97-428C-905E-1F74022C06F6}" srcOrd="0" destOrd="0" presId="urn:microsoft.com/office/officeart/2005/8/layout/chevron1"/>
    <dgm:cxn modelId="{7E785FCA-DF4D-48DE-B318-8DEAE228A69E}" type="presParOf" srcId="{EF1CB368-182D-4072-84AE-DDFDC2817AE7}" destId="{780B0FAD-90FE-4D4E-AF59-21B82C29E09C}" srcOrd="1" destOrd="0" presId="urn:microsoft.com/office/officeart/2005/8/layout/chevron1"/>
    <dgm:cxn modelId="{51AF5E68-B375-4EBB-AE81-BB7328E8AAB8}" type="presParOf" srcId="{5DE7D7FD-48E8-401A-8F5E-1504FF0F66BF}" destId="{E5F03E0C-584A-476E-8B96-FBA55EB59EC7}" srcOrd="1" destOrd="0" presId="urn:microsoft.com/office/officeart/2005/8/layout/chevron1"/>
    <dgm:cxn modelId="{60F225A5-F82A-4B96-8B33-D219187992F8}" type="presParOf" srcId="{5DE7D7FD-48E8-401A-8F5E-1504FF0F66BF}" destId="{804AB6CD-A1E9-4CAE-B3E3-B8D3031C4604}" srcOrd="2" destOrd="0" presId="urn:microsoft.com/office/officeart/2005/8/layout/chevron1"/>
    <dgm:cxn modelId="{9250C96E-3529-4CC4-AFA7-81ACD2D7D4BE}" type="presParOf" srcId="{804AB6CD-A1E9-4CAE-B3E3-B8D3031C4604}" destId="{E5394752-12A8-46A0-8763-96819D791968}" srcOrd="0" destOrd="0" presId="urn:microsoft.com/office/officeart/2005/8/layout/chevron1"/>
    <dgm:cxn modelId="{AF0BE996-7762-4C15-8FFF-41734CC83F84}" type="presParOf" srcId="{804AB6CD-A1E9-4CAE-B3E3-B8D3031C4604}" destId="{9E1B18CF-870C-45A8-A4AF-51BA3DEC88C6}" srcOrd="1" destOrd="0" presId="urn:microsoft.com/office/officeart/2005/8/layout/chevron1"/>
    <dgm:cxn modelId="{48289986-4C4E-42C4-B7AE-3CCC2B35AB48}" type="presParOf" srcId="{5DE7D7FD-48E8-401A-8F5E-1504FF0F66BF}" destId="{826C95CB-B116-438B-A1F9-A1644FB365FB}" srcOrd="3" destOrd="0" presId="urn:microsoft.com/office/officeart/2005/8/layout/chevron1"/>
    <dgm:cxn modelId="{A3C3240C-92CD-4A20-A8DF-5EBE6B74BEFE}" type="presParOf" srcId="{5DE7D7FD-48E8-401A-8F5E-1504FF0F66BF}" destId="{E1598C82-1208-4F38-B81C-CDFB4445D1E4}" srcOrd="4" destOrd="0" presId="urn:microsoft.com/office/officeart/2005/8/layout/chevron1"/>
    <dgm:cxn modelId="{CF6BBA12-6426-45D3-B0FB-BCFA2F3BF2AB}" type="presParOf" srcId="{E1598C82-1208-4F38-B81C-CDFB4445D1E4}" destId="{C2524FC4-1DF1-484B-B78F-A49A337BD766}" srcOrd="0" destOrd="0" presId="urn:microsoft.com/office/officeart/2005/8/layout/chevron1"/>
    <dgm:cxn modelId="{A2973E53-E50F-47C2-A7C3-24C02BCA8691}" type="presParOf" srcId="{E1598C82-1208-4F38-B81C-CDFB4445D1E4}" destId="{CD821299-D4A8-4CC6-8DDC-6945C14BA15B}" srcOrd="1" destOrd="0" presId="urn:microsoft.com/office/officeart/2005/8/layout/chevron1"/>
    <dgm:cxn modelId="{099AA4C3-475D-483C-95D7-A82C0D77DABF}" type="presParOf" srcId="{5DE7D7FD-48E8-401A-8F5E-1504FF0F66BF}" destId="{F840BC74-FA10-48CC-960A-BB559DCBA093}" srcOrd="5" destOrd="0" presId="urn:microsoft.com/office/officeart/2005/8/layout/chevron1"/>
    <dgm:cxn modelId="{E81EE15E-4897-47C5-80A9-F24876068407}" type="presParOf" srcId="{5DE7D7FD-48E8-401A-8F5E-1504FF0F66BF}" destId="{D98BC16A-B6D5-48D3-8352-061072974A5F}" srcOrd="6" destOrd="0" presId="urn:microsoft.com/office/officeart/2005/8/layout/chevron1"/>
    <dgm:cxn modelId="{9B07DEE2-7E0E-4B07-B631-4ACA512A2331}" type="presParOf" srcId="{D98BC16A-B6D5-48D3-8352-061072974A5F}" destId="{D2319209-A1BC-4FBC-AE21-18F7ACCD4033}" srcOrd="0" destOrd="0" presId="urn:microsoft.com/office/officeart/2005/8/layout/chevron1"/>
    <dgm:cxn modelId="{AC74DEFD-0448-46CA-ADDB-4BEA8B0FEB53}" type="presParOf" srcId="{D98BC16A-B6D5-48D3-8352-061072974A5F}" destId="{1B087B33-B178-4E65-9965-A94EA0CE8213}" srcOrd="1" destOrd="0" presId="urn:microsoft.com/office/officeart/2005/8/layout/chevron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7AF405-9E97-428C-905E-1F74022C06F6}">
      <dsp:nvSpPr>
        <dsp:cNvPr id="0" name=""/>
        <dsp:cNvSpPr/>
      </dsp:nvSpPr>
      <dsp:spPr>
        <a:xfrm>
          <a:off x="3349" y="604627"/>
          <a:ext cx="1528432" cy="611373"/>
        </a:xfrm>
        <a:prstGeom prst="chevron">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ct val="35000"/>
            </a:spcAft>
          </a:pPr>
          <a:r>
            <a:rPr lang="ro-RO" sz="1100" kern="1200"/>
            <a:t>STATUL MEMBRU</a:t>
          </a:r>
        </a:p>
      </dsp:txBody>
      <dsp:txXfrm>
        <a:off x="309036" y="604627"/>
        <a:ext cx="917059" cy="611373"/>
      </dsp:txXfrm>
    </dsp:sp>
    <dsp:sp modelId="{780B0FAD-90FE-4D4E-AF59-21B82C29E09C}">
      <dsp:nvSpPr>
        <dsp:cNvPr id="0" name=""/>
        <dsp:cNvSpPr/>
      </dsp:nvSpPr>
      <dsp:spPr>
        <a:xfrm>
          <a:off x="3349" y="1292422"/>
          <a:ext cx="1222746" cy="1170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l" defTabSz="488950">
            <a:lnSpc>
              <a:spcPct val="90000"/>
            </a:lnSpc>
            <a:spcBef>
              <a:spcPct val="0"/>
            </a:spcBef>
            <a:spcAft>
              <a:spcPct val="15000"/>
            </a:spcAft>
            <a:buChar char="••"/>
          </a:pPr>
          <a:r>
            <a:rPr lang="ro-RO" sz="1100" kern="1200"/>
            <a:t>Țările prezintă planuri naționale de investiții și reforme, cu jaloane și ținte clare.</a:t>
          </a:r>
        </a:p>
      </dsp:txBody>
      <dsp:txXfrm>
        <a:off x="3349" y="1292422"/>
        <a:ext cx="1222746" cy="1170000"/>
      </dsp:txXfrm>
    </dsp:sp>
    <dsp:sp modelId="{E5394752-12A8-46A0-8763-96819D791968}">
      <dsp:nvSpPr>
        <dsp:cNvPr id="0" name=""/>
        <dsp:cNvSpPr/>
      </dsp:nvSpPr>
      <dsp:spPr>
        <a:xfrm>
          <a:off x="1315782" y="604627"/>
          <a:ext cx="1528432" cy="611373"/>
        </a:xfrm>
        <a:prstGeom prst="chevron">
          <a:avLst/>
        </a:prstGeom>
        <a:solidFill>
          <a:schemeClr val="accent1">
            <a:shade val="80000"/>
            <a:hueOff val="90421"/>
            <a:satOff val="1725"/>
            <a:lumOff val="761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ct val="35000"/>
            </a:spcAft>
          </a:pPr>
          <a:r>
            <a:rPr lang="ro-RO" sz="1100" kern="1200"/>
            <a:t>COMISIA</a:t>
          </a:r>
        </a:p>
      </dsp:txBody>
      <dsp:txXfrm>
        <a:off x="1621469" y="604627"/>
        <a:ext cx="917059" cy="611373"/>
      </dsp:txXfrm>
    </dsp:sp>
    <dsp:sp modelId="{9E1B18CF-870C-45A8-A4AF-51BA3DEC88C6}">
      <dsp:nvSpPr>
        <dsp:cNvPr id="0" name=""/>
        <dsp:cNvSpPr/>
      </dsp:nvSpPr>
      <dsp:spPr>
        <a:xfrm>
          <a:off x="1315782" y="1292422"/>
          <a:ext cx="1222746" cy="1170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l" defTabSz="488950">
            <a:lnSpc>
              <a:spcPct val="90000"/>
            </a:lnSpc>
            <a:spcBef>
              <a:spcPct val="0"/>
            </a:spcBef>
            <a:spcAft>
              <a:spcPct val="15000"/>
            </a:spcAft>
            <a:buChar char="••"/>
          </a:pPr>
          <a:r>
            <a:rPr lang="ro-RO" sz="1100" kern="1200"/>
            <a:t>Comisia evaluează aceste planuri de redresare și reziliență.</a:t>
          </a:r>
        </a:p>
      </dsp:txBody>
      <dsp:txXfrm>
        <a:off x="1315782" y="1292422"/>
        <a:ext cx="1222746" cy="1170000"/>
      </dsp:txXfrm>
    </dsp:sp>
    <dsp:sp modelId="{C2524FC4-1DF1-484B-B78F-A49A337BD766}">
      <dsp:nvSpPr>
        <dsp:cNvPr id="0" name=""/>
        <dsp:cNvSpPr/>
      </dsp:nvSpPr>
      <dsp:spPr>
        <a:xfrm>
          <a:off x="2628215" y="604627"/>
          <a:ext cx="1528432" cy="611373"/>
        </a:xfrm>
        <a:prstGeom prst="chevron">
          <a:avLst/>
        </a:prstGeom>
        <a:solidFill>
          <a:schemeClr val="accent1">
            <a:shade val="80000"/>
            <a:hueOff val="180842"/>
            <a:satOff val="3450"/>
            <a:lumOff val="1523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ct val="35000"/>
            </a:spcAft>
          </a:pPr>
          <a:r>
            <a:rPr lang="ro-RO" sz="1100" kern="1200"/>
            <a:t>CONSILIUL</a:t>
          </a:r>
        </a:p>
      </dsp:txBody>
      <dsp:txXfrm>
        <a:off x="2933902" y="604627"/>
        <a:ext cx="917059" cy="611373"/>
      </dsp:txXfrm>
    </dsp:sp>
    <dsp:sp modelId="{CD821299-D4A8-4CC6-8DDC-6945C14BA15B}">
      <dsp:nvSpPr>
        <dsp:cNvPr id="0" name=""/>
        <dsp:cNvSpPr/>
      </dsp:nvSpPr>
      <dsp:spPr>
        <a:xfrm>
          <a:off x="2628215" y="1292422"/>
          <a:ext cx="1222746" cy="1170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l" defTabSz="488950">
            <a:lnSpc>
              <a:spcPct val="90000"/>
            </a:lnSpc>
            <a:spcBef>
              <a:spcPct val="0"/>
            </a:spcBef>
            <a:spcAft>
              <a:spcPct val="15000"/>
            </a:spcAft>
            <a:buChar char="••"/>
          </a:pPr>
          <a:r>
            <a:rPr lang="ro-RO" sz="1100" kern="1200"/>
            <a:t>Consiliul aprobă planurile naționale de la caz la caz.</a:t>
          </a:r>
        </a:p>
      </dsp:txBody>
      <dsp:txXfrm>
        <a:off x="2628215" y="1292422"/>
        <a:ext cx="1222746" cy="1170000"/>
      </dsp:txXfrm>
    </dsp:sp>
    <dsp:sp modelId="{D2319209-A1BC-4FBC-AE21-18F7ACCD4033}">
      <dsp:nvSpPr>
        <dsp:cNvPr id="0" name=""/>
        <dsp:cNvSpPr/>
      </dsp:nvSpPr>
      <dsp:spPr>
        <a:xfrm>
          <a:off x="3940647" y="604627"/>
          <a:ext cx="1528432" cy="611373"/>
        </a:xfrm>
        <a:prstGeom prst="chevron">
          <a:avLst/>
        </a:prstGeom>
        <a:solidFill>
          <a:schemeClr val="accent1">
            <a:shade val="80000"/>
            <a:hueOff val="271263"/>
            <a:satOff val="5175"/>
            <a:lumOff val="2285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ct val="35000"/>
            </a:spcAft>
          </a:pPr>
          <a:r>
            <a:rPr lang="ro-RO" sz="1100" kern="1200"/>
            <a:t>COMISIA</a:t>
          </a:r>
        </a:p>
      </dsp:txBody>
      <dsp:txXfrm>
        <a:off x="4246334" y="604627"/>
        <a:ext cx="917059" cy="611373"/>
      </dsp:txXfrm>
    </dsp:sp>
    <dsp:sp modelId="{1B087B33-B178-4E65-9965-A94EA0CE8213}">
      <dsp:nvSpPr>
        <dsp:cNvPr id="0" name=""/>
        <dsp:cNvSpPr/>
      </dsp:nvSpPr>
      <dsp:spPr>
        <a:xfrm>
          <a:off x="3940647" y="1292422"/>
          <a:ext cx="1222746" cy="1170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l" defTabSz="488950">
            <a:lnSpc>
              <a:spcPct val="90000"/>
            </a:lnSpc>
            <a:spcBef>
              <a:spcPct val="0"/>
            </a:spcBef>
            <a:spcAft>
              <a:spcPct val="15000"/>
            </a:spcAft>
            <a:buChar char="••"/>
          </a:pPr>
          <a:r>
            <a:rPr lang="ro-RO" sz="1100" kern="1200"/>
            <a:t>UE plătește în avans până la 13 % din sprijinul total pentru a demara redresarea.</a:t>
          </a:r>
        </a:p>
      </dsp:txBody>
      <dsp:txXfrm>
        <a:off x="3940647" y="1292422"/>
        <a:ext cx="1222746" cy="11700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MarkingUntilText>UNTIL</MarkingUntilText>
  <OrgaRoot>EUROPEAN COMMISSION</OrgaRoot>
  <SecurityPharma>Pharma Investigations</SecurityPharma>
  <ClimaSensitive>CLIMA</ClimaSensitive>
  <SecurityEmbargo>EMBARGO UNTIL</SecurityEmbargo>
  <Contact>Contact:</Contact>
  <Contacts>Contacts:</Contacts>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TOCHeading>Cuprins</TOCHeading>
  <SecurityCompOperations>COMP Operations</SecurityCompOperations>
  <SecurityOpinionLegalService>Opinion of the Legal Service</SecurityOpinionLegalServi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TechHistoryCreatedBy>Document created by</TechHistoryCreatedBy>
  <TechHistoryDate>Date</TechHistoryDate>
  <TechHistory>Document History</TechHistory>
  <TechHistoryComment>Comment</TechHistoryComment>
  <TechHistoryVersion>Version</TechHistoryVersion>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TechPropsRefno>Reference Number:</TechPropsRefno>
  <TechPropsRevised>Revised by:</TechPropsRevised>
  <TechPropsVersion>Version:</TechPropsVersion>
  <TechPropsApproved>Approved by:</TechPropsApproved>
  <TechPropsAuthors>Authors:</TechPropsAuthors>
  <TechPropsPublic>Public:</TechPropsPublic>
  <TechPropsDate>Date:</TechPropsDate>
  <TechFooterVersion>Versiunea documentului</TechFooterVersion>
  <TechFooterDated>din data de</TechFooterDated>
  <LabelPictureSeq>Figure {SEQ Figure \* ARABIC }: </LabelPictureSeq>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LabelFormattedFigureSeqEC>Figure {field: SEQ Figure \* ARABIC }: </LabelFormattedFigureSeqEC>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2.xml><?xml version="1.0" encoding="utf-8"?>
<Author Role="Creator" AuthorRoleName="Writer" AuthorRoleId="a4fbaff4-b07c-48b4-a21e-e7b9eedf3796">
  <Id>ebab0b06-132a-4722-b111-58c14cc28097</Id>
  <Names>
    <Latin>
      <FirstName>Andrea</FirstName>
      <LastName>BORDONI</LastName>
    </Latin>
    <Greek>
      <FirstName/>
      <LastName/>
    </Greek>
    <Cyrillic>
      <FirstName/>
      <LastName/>
    </Cyrillic>
    <DocumentScript>
      <FirstName>Andrea</FirstName>
      <LastName>BORDONI</LastName>
      <FullName>Andrea BORDONI, Madeleine PUMBERGER</FullName>
    </DocumentScript>
  </Names>
  <Initials>AB</Initials>
  <Gender>m</Gender>
  <Email>Andrea.BORDONI@ec.europa.eu</Email>
  <Service>OLAF.C.1</Service>
  <Function ADCode="40" ShowInSignature="true" ShowInHeader="false" HeaderText="">Deputy Head of Unit</Function>
  <WebAddress/>
  <FunctionalMailbox/>
  <InheritedWebAddress>WebAddress</InheritedWebAddress>
  <OrgaEntity1>
    <Id>4860eea2-955d-4a36-8fc6-a21b0a853276</Id>
    <LogicalLevel>1</LogicalLevel>
    <Name>OLAF</Name>
    <HeadLine1>EUROPEAN ANTI-FRAUD OFFICE</HeadLine1>
    <HeadLine2/>
    <PrimaryAddressId>f03b5801-04c9-4931-aa17-c6d6c70bc579</PrimaryAddressId>
    <SecondaryAddressId/>
    <WebAddress>WebAddress</WebAddress>
    <InheritedWebAddress>WebAddress</InheritedWebAddress>
    <ShowInHeader>true</ShowInHeader>
  </OrgaEntity1>
  <OrgaEntity2>
    <Id>b15a73a9-fed8-4740-99a9-40ed6e43144e</Id>
    <LogicalLevel>2</LogicalLevel>
    <Name>OLAF.C</Name>
    <HeadLine1>Anti-Fraud Knowledge Centre</HeadLine1>
    <HeadLine2/>
    <PrimaryAddressId>f03b5801-04c9-4931-aa17-c6d6c70bc579</PrimaryAddressId>
    <SecondaryAddressId/>
    <WebAddress/>
    <InheritedWebAddress>WebAddress</InheritedWebAddress>
    <ShowInHeader>true</ShowInHeader>
  </OrgaEntity2>
  <OrgaEntity3>
    <Id>36abc2e7-3dfe-401c-a1bb-9b0677bbf6b8</Id>
    <LogicalLevel>3</LogicalLevel>
    <Name>OLAF.C.1</Name>
    <HeadLine1>Anti-Corruption, Anti-Fraud Strategy and Analysis</HeadLine1>
    <HeadLine2/>
    <PrimaryAddressId>f03b5801-04c9-4931-aa17-c6d6c70bc579</PrimaryAddressId>
    <SecondaryAddressId/>
    <WebAddress/>
    <InheritedWebAddress>WebAddress</InheritedWebAddress>
    <ShowInHeader>true</ShowInHeader>
  </OrgaEntity3>
  <Hierarchy>
    <OrgaEntity>
      <Id>4860eea2-955d-4a36-8fc6-a21b0a853276</Id>
      <LogicalLevel>1</LogicalLevel>
      <Name>OLAF</Name>
      <HeadLine1>EUROPEAN ANTI-FRAUD OFFICE</HeadLine1>
      <HeadLine2/>
      <PrimaryAddressId>f03b5801-04c9-4931-aa17-c6d6c70bc579</PrimaryAddressId>
      <SecondaryAddressId/>
      <WebAddress>WebAddress</WebAddress>
      <InheritedWebAddress>WebAddress</InheritedWebAddress>
      <ShowInHeader>true</ShowInHeader>
    </OrgaEntity>
    <OrgaEntity>
      <Id>b15a73a9-fed8-4740-99a9-40ed6e43144e</Id>
      <LogicalLevel>2</LogicalLevel>
      <Name>OLAF.C</Name>
      <HeadLine1>Anti-Fraud Knowledge Centre</HeadLine1>
      <HeadLine2/>
      <PrimaryAddressId>f03b5801-04c9-4931-aa17-c6d6c70bc579</PrimaryAddressId>
      <SecondaryAddressId/>
      <WebAddress/>
      <InheritedWebAddress>WebAddress</InheritedWebAddress>
      <ShowInHeader>true</ShowInHeader>
    </OrgaEntity>
    <OrgaEntity>
      <Id>36abc2e7-3dfe-401c-a1bb-9b0677bbf6b8</Id>
      <LogicalLevel>3</LogicalLevel>
      <Name>OLAF.C.1</Name>
      <HeadLine1>Anti-Corruption, Anti-Fraud Strategy and Analysis</HeadLine1>
      <HeadLine2/>
      <PrimaryAddressId>f03b5801-04c9-4931-aa17-c6d6c70bc579</PrimaryAddressId>
      <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+32 229-67737</Phone>
    <Office>J-30 06/015</Office>
  </MainWorkplace>
  <Workplaces>
    <Workplace IsMain="true">
      <AddressId>f03b5801-04c9-4931-aa17-c6d6c70bc579</AddressId>
      <Fax/>
      <Phone>+32 229-67737</Phone>
      <Office>J-30 06/015</Office>
    </Workplace>
    <Workplace IsMain="false">
      <AddressId>1264fb81-f6bb-475e-9f9d-a937d3be6ee2</AddressId>
      <Fax/>
      <Phone/>
      <Office/>
    </Workplace>
  </Workplaces>
</Author>
</file>

<file path=customXml/item3.xml><?xml version="1.0" encoding="utf-8"?>
<EurolookProperties>
  <ProductCustomizationId>EC</ProductCustomizationId>
  <Created>
    <Version>10.0.43105.0</Version>
    <Date>2022-05-20T17:29:16</Date>
    <Language>EN</Language>
    <Note/>
  </Created>
  <Edited>
    <Version/>
    <Date/>
  </Edited>
  <DocumentModel>
    <Id>34954475-997f-4cb0-a95b-7f65298f3d8c</Id>
    <Name>Report (long)</Name>
  </DocumentModel>
  <DocumentDate>2022-06-20T00:00:00</DocumentDate>
  <DocumentVersion>1.1</DocumentVersion>
  <CompatibilityMode>Eurolook10</CompatibilityMode>
  <DocumentMetadata>
    <EC_SecurityDateMarkingDate MetadataSerializationType="SimpleValue"/>
    <EC_SecurityReleasability MetadataSerializationType="SimpleValue"/>
    <EC_SecurityDistributionWorkingGroup MetadataSerializationType="SimpleValue"/>
    <EC_SecurityDistributionDG MetadataSerializationType="SimpleValue"/>
    <EC_SecurityDistributionSensitive MetadataSerializationType="SimpleValue"/>
    <EC_SecurityDistributionSpecialHandling MetadataSerializationType="SimpleValue"/>
    <EC_SecurityMarking MetadataSerializationType="SimpleValue"/>
    <EC_SecurityDateMarking MetadataSerializationType="SimpleValue"/>
    <EC_SecurityDateMarkingEvent MetadataSerializationType="SimpleValue"/>
  </DocumentMetadata>
</Eurolook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D7816110-6CF9-4EFA-B2F9-8353C7D2C589}">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B67C084C-0436-4AFC-A360-C88F511E3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24</Pages>
  <Words>18860</Words>
  <Characters>109577</Characters>
  <Application>Microsoft Office Word</Application>
  <DocSecurity>0</DocSecurity>
  <PresentationFormat>Microsoft Word 14.0</PresentationFormat>
  <Lines>1857</Lines>
  <Paragraphs>778</Paragraphs>
  <ScaleCrop>true</ScaleCrop>
  <HeadingPairs>
    <vt:vector size="2" baseType="variant">
      <vt:variant>
        <vt:lpstr>Title</vt:lpstr>
      </vt:variant>
      <vt:variant>
        <vt:i4>1</vt:i4>
      </vt:variant>
    </vt:vector>
  </HeadingPairs>
  <TitlesOfParts>
    <vt:vector size="1" baseType="lpstr">
      <vt:lpstr>33rd Annual Report on the protection of the EU financial interests and the fight against fraud</vt:lpstr>
    </vt:vector>
  </TitlesOfParts>
  <Manager/>
  <Company/>
  <LinksUpToDate>false</LinksUpToDate>
  <CharactersWithSpaces>127659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33rd Annual Report on the protection of the EU financial interests and the fight against fraud</dc:title>
  <dc:subject>2021</dc:subject>
  <dc:creator/>
  <cp:keywords/>
  <dc:description/>
  <cp:lastModifiedBy>EC CoDe</cp:lastModifiedBy>
  <cp:revision>39</cp:revision>
  <dcterms:created xsi:type="dcterms:W3CDTF">2022-09-15T12:23:00Z</dcterms:created>
  <dcterms:modified xsi:type="dcterms:W3CDTF">2022-10-11T08:16:00Z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CP-005</vt:lpwstr>
  </property>
  <property fmtid="{D5CDD505-2E9C-101B-9397-08002B2CF9AE}" pid="7" name="Last edited using">
    <vt:lpwstr>LW 8.1, Build 20220902</vt:lpwstr>
  </property>
  <property fmtid="{D5CDD505-2E9C-101B-9397-08002B2CF9AE}" pid="8" name="Created using">
    <vt:lpwstr>LW 7.0, Build 20190717</vt:lpwstr>
  </property>
  <property fmtid="{D5CDD505-2E9C-101B-9397-08002B2CF9AE}" pid="9" name="_LW_INVALIDATED__LW_INVALIDATED__LW_INVALIDATED__LW_INVALIDATED__LW_INVALIDATED_EurolookVersion">
    <vt:lpwstr>10.0</vt:lpwstr>
  </property>
  <property fmtid="{D5CDD505-2E9C-101B-9397-08002B2CF9AE}" pid="10" name="_LW_INVALIDATED__LW_INVALIDATED__LW_INVALIDATED__LW_INVALIDATED__LW_INVALIDATED_ELDocType">
    <vt:lpwstr>tech.dot</vt:lpwstr>
  </property>
</Properties>
</file>