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8D681" w14:textId="77777777" w:rsidR="00926DAE" w:rsidRDefault="00E274EC" w:rsidP="008F43B9">
      <w:pPr>
        <w:pStyle w:val="Pagedecouverture"/>
        <w:rPr>
          <w:noProof/>
        </w:rPr>
      </w:pPr>
      <w:r>
        <w:rPr>
          <w:noProof/>
        </w:rPr>
        <w:pict w14:anchorId="4D148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F33CD26-1FA1-4CC4-8603-783F10044B1E" style="width:455.25pt;height:369.75pt">
            <v:imagedata r:id="rId11" o:title=""/>
          </v:shape>
        </w:pict>
      </w:r>
    </w:p>
    <w:p w14:paraId="1AD9CFDC" w14:textId="77777777" w:rsidR="00926DAE" w:rsidRDefault="00926DAE" w:rsidP="00926DAE">
      <w:pPr>
        <w:rPr>
          <w:noProof/>
        </w:rPr>
        <w:sectPr w:rsidR="00926DAE" w:rsidSect="008F43B9">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3107D8DB" w14:textId="77777777" w:rsidR="00926DAE" w:rsidRDefault="00926DAE" w:rsidP="00056155">
      <w:pPr>
        <w:pStyle w:val="Exposdesmotifstitre"/>
        <w:rPr>
          <w:noProof/>
        </w:rPr>
      </w:pPr>
      <w:r w:rsidRPr="006F770D">
        <w:rPr>
          <w:noProof/>
        </w:rPr>
        <w:lastRenderedPageBreak/>
        <w:t>EXPLANATORY MEMORANDUM</w:t>
      </w:r>
    </w:p>
    <w:p w14:paraId="15170A4D" w14:textId="77777777" w:rsidR="00926DAE" w:rsidRPr="00403BE8" w:rsidRDefault="00926DAE" w:rsidP="00926DAE">
      <w:pPr>
        <w:widowControl w:val="0"/>
        <w:shd w:val="clear" w:color="auto" w:fill="FFFFFF"/>
        <w:autoSpaceDE w:val="0"/>
        <w:autoSpaceDN w:val="0"/>
        <w:adjustRightInd w:val="0"/>
        <w:spacing w:before="230" w:after="0" w:line="269" w:lineRule="exact"/>
        <w:ind w:right="86"/>
        <w:rPr>
          <w:noProof/>
        </w:rPr>
      </w:pPr>
      <w:r w:rsidRPr="00403BE8">
        <w:rPr>
          <w:noProof/>
        </w:rPr>
        <w:t>The Republic of Vanuatu is listed in Annex II to Regulation (EU) 2018/1806</w:t>
      </w:r>
      <w:r w:rsidR="0082103C">
        <w:rPr>
          <w:rStyle w:val="FootnoteReference"/>
          <w:noProof/>
        </w:rPr>
        <w:footnoteReference w:id="2"/>
      </w:r>
      <w:r w:rsidRPr="00403BE8">
        <w:rPr>
          <w:noProof/>
        </w:rPr>
        <w:t xml:space="preserve"> among the third countries whose nationals are exempt from the requirement to be in possession of a visa when crossing the external borders of the Member States for stays of no more than 90 days in any 180-day period.  </w:t>
      </w:r>
    </w:p>
    <w:p w14:paraId="2FF2DD0D" w14:textId="77777777" w:rsidR="00926DAE" w:rsidRPr="00403BE8" w:rsidRDefault="00926DAE" w:rsidP="00926DAE">
      <w:pPr>
        <w:widowControl w:val="0"/>
        <w:shd w:val="clear" w:color="auto" w:fill="FFFFFF"/>
        <w:autoSpaceDE w:val="0"/>
        <w:autoSpaceDN w:val="0"/>
        <w:adjustRightInd w:val="0"/>
        <w:spacing w:before="230" w:after="0" w:line="269" w:lineRule="exact"/>
        <w:ind w:right="86"/>
        <w:rPr>
          <w:noProof/>
        </w:rPr>
      </w:pPr>
      <w:r w:rsidRPr="00403BE8">
        <w:rPr>
          <w:noProof/>
        </w:rPr>
        <w:t xml:space="preserve">The exemption from the visa requirement for nationals of Vanuatu is applicable since 28 May 2015, when the Agreement between the European Union and the Republic of Vanuatu on the short-stay visa waiver (‘the Agreement’) was signed and started to apply on a provisional basis in accordance with Article 8(1) of the Agreement. The Agreement entered into force on 1 April 2017. </w:t>
      </w:r>
    </w:p>
    <w:p w14:paraId="13171497" w14:textId="77777777" w:rsidR="00926DAE" w:rsidRPr="00403BE8" w:rsidRDefault="00926DAE" w:rsidP="00926DAE">
      <w:pPr>
        <w:widowControl w:val="0"/>
        <w:shd w:val="clear" w:color="auto" w:fill="FFFFFF"/>
        <w:autoSpaceDE w:val="0"/>
        <w:autoSpaceDN w:val="0"/>
        <w:adjustRightInd w:val="0"/>
        <w:spacing w:before="230" w:after="0" w:line="269" w:lineRule="exact"/>
        <w:ind w:right="86"/>
        <w:rPr>
          <w:noProof/>
        </w:rPr>
      </w:pPr>
      <w:r w:rsidRPr="00403BE8">
        <w:rPr>
          <w:noProof/>
        </w:rPr>
        <w:t>Since 25 May 2015, Vanuatu has operated investor citizenship schemes that present public policy and security risks for the EU Member States. In particular, these schemes allow visa-required third-country nationals to easily obtain the nationality of a visa-free country, thus enabling them to bypass the Schengen visa procedure and gain visa-free access to the EU.</w:t>
      </w:r>
    </w:p>
    <w:p w14:paraId="777DA8AA" w14:textId="77777777" w:rsidR="00926DAE" w:rsidRPr="00403BE8" w:rsidRDefault="00926DAE" w:rsidP="00926DAE">
      <w:pPr>
        <w:widowControl w:val="0"/>
        <w:shd w:val="clear" w:color="auto" w:fill="FFFFFF"/>
        <w:autoSpaceDE w:val="0"/>
        <w:autoSpaceDN w:val="0"/>
        <w:adjustRightInd w:val="0"/>
        <w:spacing w:before="230" w:after="0" w:line="269" w:lineRule="exact"/>
        <w:ind w:right="86"/>
        <w:rPr>
          <w:noProof/>
        </w:rPr>
      </w:pPr>
      <w:r w:rsidRPr="00403BE8">
        <w:rPr>
          <w:noProof/>
        </w:rPr>
        <w:t xml:space="preserve">The Commission assessed the investor citizenship schemes operated by Vanuatu and concluded that such schemes represent an increased risk to the internal security of </w:t>
      </w:r>
      <w:r w:rsidR="0081121B">
        <w:rPr>
          <w:noProof/>
        </w:rPr>
        <w:t>the</w:t>
      </w:r>
      <w:r w:rsidRPr="00403BE8">
        <w:rPr>
          <w:noProof/>
        </w:rPr>
        <w:t xml:space="preserve"> Member States. The assessment also concluded that Vanuatu’s investor citizenship schemes </w:t>
      </w:r>
      <w:r w:rsidR="00A1718D">
        <w:rPr>
          <w:noProof/>
        </w:rPr>
        <w:t xml:space="preserve">could allow third-country nationals to circumvent </w:t>
      </w:r>
      <w:r w:rsidRPr="00403BE8">
        <w:rPr>
          <w:noProof/>
        </w:rPr>
        <w:t>the Union short-stay visa procedure and the assessment of security and migratory risks it entails.</w:t>
      </w:r>
    </w:p>
    <w:p w14:paraId="2ABC6A5C" w14:textId="77777777" w:rsidR="00926DAE" w:rsidRPr="00403BE8" w:rsidRDefault="00926DAE" w:rsidP="00926DAE">
      <w:pPr>
        <w:widowControl w:val="0"/>
        <w:shd w:val="clear" w:color="auto" w:fill="FFFFFF"/>
        <w:autoSpaceDE w:val="0"/>
        <w:autoSpaceDN w:val="0"/>
        <w:adjustRightInd w:val="0"/>
        <w:spacing w:before="230" w:after="0" w:line="269" w:lineRule="exact"/>
        <w:ind w:right="86"/>
        <w:rPr>
          <w:noProof/>
        </w:rPr>
      </w:pPr>
      <w:r w:rsidRPr="00403BE8">
        <w:rPr>
          <w:noProof/>
        </w:rPr>
        <w:t>In accordance with Article 8(4) of the Agreement, Parties can suspend it in whole or in part for reasons of public policy or the protection of national security.</w:t>
      </w:r>
    </w:p>
    <w:p w14:paraId="194914C8" w14:textId="77777777" w:rsidR="00926DAE" w:rsidRPr="00403BE8" w:rsidRDefault="00926DAE" w:rsidP="00926DAE">
      <w:pPr>
        <w:widowControl w:val="0"/>
        <w:shd w:val="clear" w:color="auto" w:fill="FFFFFF"/>
        <w:autoSpaceDE w:val="0"/>
        <w:autoSpaceDN w:val="0"/>
        <w:adjustRightInd w:val="0"/>
        <w:spacing w:before="230" w:after="0" w:line="269" w:lineRule="exact"/>
        <w:ind w:right="86"/>
        <w:rPr>
          <w:noProof/>
        </w:rPr>
      </w:pPr>
      <w:r w:rsidRPr="00403BE8">
        <w:rPr>
          <w:noProof/>
        </w:rPr>
        <w:t xml:space="preserve">In light of the above, the Commission adopted, on 12 January 2022, a </w:t>
      </w:r>
      <w:r w:rsidR="00BC6CA6">
        <w:rPr>
          <w:noProof/>
        </w:rPr>
        <w:t>proposal for a Council decision</w:t>
      </w:r>
      <w:r w:rsidRPr="00403BE8">
        <w:rPr>
          <w:noProof/>
        </w:rPr>
        <w:t xml:space="preserve"> to partially suspend the application of the Agreement. The decision was adopted by the Counc</w:t>
      </w:r>
      <w:r w:rsidR="00BC6CA6">
        <w:rPr>
          <w:noProof/>
        </w:rPr>
        <w:t>il on 3 March 2022</w:t>
      </w:r>
      <w:r w:rsidRPr="00403BE8">
        <w:rPr>
          <w:noProof/>
        </w:rPr>
        <w:t>. The suspension is limited to ordinary passports issued as of 25 May 2015, when the number of successful applicants under Vanuatu’s investor citizenship schemes started to increase significantly.</w:t>
      </w:r>
    </w:p>
    <w:p w14:paraId="23AEE977" w14:textId="77777777" w:rsidR="00926DAE" w:rsidRPr="00403BE8" w:rsidRDefault="000A609A" w:rsidP="000A609A">
      <w:pPr>
        <w:widowControl w:val="0"/>
        <w:shd w:val="clear" w:color="auto" w:fill="FFFFFF"/>
        <w:autoSpaceDE w:val="0"/>
        <w:autoSpaceDN w:val="0"/>
        <w:adjustRightInd w:val="0"/>
        <w:spacing w:before="230" w:after="0" w:line="269" w:lineRule="exact"/>
        <w:ind w:right="86"/>
        <w:rPr>
          <w:noProof/>
        </w:rPr>
      </w:pPr>
      <w:r>
        <w:rPr>
          <w:noProof/>
        </w:rPr>
        <w:t>Following the partial suspension of the</w:t>
      </w:r>
      <w:r w:rsidRPr="00403BE8">
        <w:rPr>
          <w:noProof/>
        </w:rPr>
        <w:t xml:space="preserve"> </w:t>
      </w:r>
      <w:r>
        <w:rPr>
          <w:noProof/>
        </w:rPr>
        <w:t xml:space="preserve">Agreement by </w:t>
      </w:r>
      <w:r w:rsidR="00926DAE" w:rsidRPr="00403BE8">
        <w:rPr>
          <w:noProof/>
        </w:rPr>
        <w:t xml:space="preserve">Council Decision (EU) 2022/366, </w:t>
      </w:r>
      <w:r>
        <w:rPr>
          <w:noProof/>
        </w:rPr>
        <w:t>in accordance with Article 8(2)(d), 8(3) and 8(6) of Regulation (EU) 2018/1806, the Commission concluded that the granting of citizenship by Vanuatu under its investor citizenship schemes constitutes an increased risk to the internal security and public policy of the Member States and decided that action is needed. O</w:t>
      </w:r>
      <w:r w:rsidRPr="00403BE8">
        <w:rPr>
          <w:noProof/>
        </w:rPr>
        <w:t xml:space="preserve">n </w:t>
      </w:r>
      <w:r>
        <w:rPr>
          <w:noProof/>
        </w:rPr>
        <w:t xml:space="preserve">the basis of </w:t>
      </w:r>
      <w:r w:rsidRPr="00403BE8">
        <w:rPr>
          <w:noProof/>
        </w:rPr>
        <w:t>Article 8(6)(a) of Regulation (EU) 2018/1806</w:t>
      </w:r>
      <w:r>
        <w:rPr>
          <w:noProof/>
        </w:rPr>
        <w:t xml:space="preserve">, the </w:t>
      </w:r>
      <w:r w:rsidR="00E95292">
        <w:rPr>
          <w:noProof/>
        </w:rPr>
        <w:t xml:space="preserve">Commission </w:t>
      </w:r>
      <w:r w:rsidRPr="00403BE8">
        <w:rPr>
          <w:noProof/>
        </w:rPr>
        <w:t xml:space="preserve">Implementing Regulation (EU) 2022/693 on the temporary suspension of the visa exemption for nationals of Vanuatu </w:t>
      </w:r>
      <w:r w:rsidR="00E95292">
        <w:rPr>
          <w:noProof/>
        </w:rPr>
        <w:t>was adopted, with regard to holders of ordinary passports issued by Vanuatu as of 25 May 2015</w:t>
      </w:r>
      <w:r w:rsidR="0082103C">
        <w:rPr>
          <w:noProof/>
        </w:rPr>
        <w:t>, and applicable from 4 May 2022 to 3 February 2023</w:t>
      </w:r>
      <w:r w:rsidR="0082103C">
        <w:rPr>
          <w:rStyle w:val="FootnoteReference"/>
          <w:noProof/>
        </w:rPr>
        <w:footnoteReference w:id="3"/>
      </w:r>
      <w:r w:rsidR="0082103C">
        <w:rPr>
          <w:noProof/>
        </w:rPr>
        <w:t>.</w:t>
      </w:r>
    </w:p>
    <w:p w14:paraId="083F458A" w14:textId="77777777" w:rsidR="00926DAE" w:rsidRPr="00403BE8" w:rsidRDefault="00926DAE" w:rsidP="00926DAE">
      <w:pPr>
        <w:widowControl w:val="0"/>
        <w:shd w:val="clear" w:color="auto" w:fill="FFFFFF"/>
        <w:autoSpaceDE w:val="0"/>
        <w:autoSpaceDN w:val="0"/>
        <w:adjustRightInd w:val="0"/>
        <w:spacing w:before="230" w:after="0" w:line="269" w:lineRule="exact"/>
        <w:ind w:right="86"/>
        <w:rPr>
          <w:noProof/>
        </w:rPr>
      </w:pPr>
      <w:r w:rsidRPr="00403BE8">
        <w:rPr>
          <w:noProof/>
        </w:rPr>
        <w:t xml:space="preserve">Following the entry into force of the suspension of the </w:t>
      </w:r>
      <w:r w:rsidR="000A609A">
        <w:rPr>
          <w:noProof/>
        </w:rPr>
        <w:t xml:space="preserve">exemption from the </w:t>
      </w:r>
      <w:r w:rsidRPr="00403BE8">
        <w:rPr>
          <w:noProof/>
        </w:rPr>
        <w:t xml:space="preserve">visa </w:t>
      </w:r>
      <w:r w:rsidR="0082103C">
        <w:rPr>
          <w:noProof/>
        </w:rPr>
        <w:t xml:space="preserve">requirement </w:t>
      </w:r>
      <w:r w:rsidR="0082103C" w:rsidRPr="00403BE8">
        <w:rPr>
          <w:noProof/>
        </w:rPr>
        <w:t>for</w:t>
      </w:r>
      <w:r w:rsidRPr="00403BE8">
        <w:rPr>
          <w:noProof/>
        </w:rPr>
        <w:t xml:space="preserve"> nationals of Vanuatu on 4 May 2022, and in accordance with Article 8(6)(a), last sub-paragraph, of Regulation (EU) 2018/1806, the Commission has launched an </w:t>
      </w:r>
      <w:r w:rsidR="00C71BBB">
        <w:rPr>
          <w:noProof/>
        </w:rPr>
        <w:t>enhanced dialogue with Vanuatu</w:t>
      </w:r>
      <w:r w:rsidRPr="00403BE8">
        <w:rPr>
          <w:noProof/>
        </w:rPr>
        <w:t xml:space="preserve"> with</w:t>
      </w:r>
      <w:r w:rsidR="00C71BBB">
        <w:rPr>
          <w:noProof/>
        </w:rPr>
        <w:t xml:space="preserve"> a view to remedy the situation that</w:t>
      </w:r>
      <w:r w:rsidRPr="00403BE8">
        <w:rPr>
          <w:noProof/>
        </w:rPr>
        <w:t xml:space="preserve"> gave rise to the temporary </w:t>
      </w:r>
      <w:r w:rsidRPr="00403BE8">
        <w:rPr>
          <w:noProof/>
        </w:rPr>
        <w:lastRenderedPageBreak/>
        <w:t>suspension of the visa exemption.</w:t>
      </w:r>
    </w:p>
    <w:p w14:paraId="7E5B614C" w14:textId="77777777" w:rsidR="00926DAE" w:rsidRPr="00403BE8" w:rsidRDefault="00926DAE" w:rsidP="00926DAE">
      <w:pPr>
        <w:widowControl w:val="0"/>
        <w:shd w:val="clear" w:color="auto" w:fill="FFFFFF"/>
        <w:autoSpaceDE w:val="0"/>
        <w:autoSpaceDN w:val="0"/>
        <w:adjustRightInd w:val="0"/>
        <w:spacing w:before="230" w:after="0" w:line="269" w:lineRule="exact"/>
        <w:ind w:right="86"/>
        <w:rPr>
          <w:noProof/>
        </w:rPr>
      </w:pPr>
      <w:r w:rsidRPr="00403BE8">
        <w:rPr>
          <w:noProof/>
        </w:rPr>
        <w:t xml:space="preserve">On 12 May 2022, the kick-off meeting of this dialogue was held, where both parties agreed to achieve a mutually satisfactory solution. The Commission proposed, to this end, to hold monthly technical meetings. Vanuatu agreed to appoint an interlocutor and communicate </w:t>
      </w:r>
      <w:r w:rsidR="00113959">
        <w:rPr>
          <w:noProof/>
        </w:rPr>
        <w:t xml:space="preserve">on this with </w:t>
      </w:r>
      <w:r w:rsidRPr="00403BE8">
        <w:rPr>
          <w:noProof/>
        </w:rPr>
        <w:t xml:space="preserve">the Commission, in order to proceed with the subsequent technical meetings. However, notwithstanding reminders sent by the Commission on 1 June and 23 June 2022, Vanuatu has </w:t>
      </w:r>
      <w:r w:rsidR="00113959">
        <w:rPr>
          <w:noProof/>
        </w:rPr>
        <w:t xml:space="preserve">not </w:t>
      </w:r>
      <w:r w:rsidRPr="00403BE8">
        <w:rPr>
          <w:noProof/>
        </w:rPr>
        <w:t>provide</w:t>
      </w:r>
      <w:r w:rsidR="00113959">
        <w:rPr>
          <w:noProof/>
        </w:rPr>
        <w:t>d</w:t>
      </w:r>
      <w:r w:rsidRPr="00403BE8">
        <w:rPr>
          <w:noProof/>
        </w:rPr>
        <w:t xml:space="preserve"> the Commission </w:t>
      </w:r>
      <w:r w:rsidR="008518C0">
        <w:rPr>
          <w:noProof/>
        </w:rPr>
        <w:t xml:space="preserve">with </w:t>
      </w:r>
      <w:r w:rsidRPr="00403BE8">
        <w:rPr>
          <w:noProof/>
        </w:rPr>
        <w:t xml:space="preserve">any follow-up contacts or information.  </w:t>
      </w:r>
    </w:p>
    <w:p w14:paraId="12B09A39" w14:textId="77777777" w:rsidR="00926DAE" w:rsidRDefault="00C13248" w:rsidP="00926DAE">
      <w:pPr>
        <w:widowControl w:val="0"/>
        <w:shd w:val="clear" w:color="auto" w:fill="FFFFFF"/>
        <w:autoSpaceDE w:val="0"/>
        <w:autoSpaceDN w:val="0"/>
        <w:adjustRightInd w:val="0"/>
        <w:spacing w:before="230" w:after="0" w:line="269" w:lineRule="exact"/>
        <w:ind w:right="86"/>
        <w:rPr>
          <w:noProof/>
        </w:rPr>
      </w:pPr>
      <w:r>
        <w:rPr>
          <w:noProof/>
        </w:rPr>
        <w:t>In</w:t>
      </w:r>
      <w:r w:rsidR="00926DAE" w:rsidRPr="00403BE8">
        <w:rPr>
          <w:noProof/>
        </w:rPr>
        <w:t xml:space="preserve"> September 2022</w:t>
      </w:r>
      <w:r>
        <w:rPr>
          <w:noProof/>
        </w:rPr>
        <w:t>,</w:t>
      </w:r>
      <w:r w:rsidR="00926DAE" w:rsidRPr="00403BE8">
        <w:rPr>
          <w:noProof/>
        </w:rPr>
        <w:t xml:space="preserve"> the Commission’s services</w:t>
      </w:r>
      <w:r>
        <w:rPr>
          <w:noProof/>
        </w:rPr>
        <w:t xml:space="preserve"> received an update from </w:t>
      </w:r>
      <w:r w:rsidR="00926DAE" w:rsidRPr="00403BE8">
        <w:rPr>
          <w:noProof/>
        </w:rPr>
        <w:t xml:space="preserve">Vanuatu’s </w:t>
      </w:r>
      <w:r>
        <w:rPr>
          <w:noProof/>
        </w:rPr>
        <w:t>representatives</w:t>
      </w:r>
      <w:r w:rsidR="00926DAE" w:rsidRPr="00403BE8">
        <w:rPr>
          <w:noProof/>
        </w:rPr>
        <w:t xml:space="preserve"> on the political situation of the country, with the Parliament having been dissolved on 18 August 2022 and general elections scheduled to take place on 13 October 2022. In this context, Vanuatu’s </w:t>
      </w:r>
      <w:r>
        <w:rPr>
          <w:noProof/>
        </w:rPr>
        <w:t>representatives</w:t>
      </w:r>
      <w:r w:rsidR="00926DAE" w:rsidRPr="00403BE8">
        <w:rPr>
          <w:noProof/>
        </w:rPr>
        <w:t xml:space="preserve"> explained that any decision on the continuation of the dialogue with the Commission </w:t>
      </w:r>
      <w:r>
        <w:rPr>
          <w:noProof/>
        </w:rPr>
        <w:t>would</w:t>
      </w:r>
      <w:r w:rsidR="00926DAE" w:rsidRPr="00403BE8">
        <w:rPr>
          <w:noProof/>
        </w:rPr>
        <w:t xml:space="preserve"> have to </w:t>
      </w:r>
      <w:r w:rsidR="00113959">
        <w:rPr>
          <w:noProof/>
        </w:rPr>
        <w:t>a</w:t>
      </w:r>
      <w:r w:rsidR="00926DAE" w:rsidRPr="00403BE8">
        <w:rPr>
          <w:noProof/>
        </w:rPr>
        <w:t>wait the results of the general elections and the</w:t>
      </w:r>
      <w:r w:rsidR="003348DC">
        <w:rPr>
          <w:noProof/>
        </w:rPr>
        <w:t xml:space="preserve"> formation of a new government.</w:t>
      </w:r>
    </w:p>
    <w:p w14:paraId="1C1928B1" w14:textId="77777777" w:rsidR="00926DAE" w:rsidRPr="00403BE8" w:rsidRDefault="00F8193E" w:rsidP="00926DAE">
      <w:pPr>
        <w:widowControl w:val="0"/>
        <w:shd w:val="clear" w:color="auto" w:fill="FFFFFF"/>
        <w:autoSpaceDE w:val="0"/>
        <w:autoSpaceDN w:val="0"/>
        <w:adjustRightInd w:val="0"/>
        <w:spacing w:before="230" w:after="0" w:line="269" w:lineRule="exact"/>
        <w:ind w:right="86"/>
        <w:rPr>
          <w:noProof/>
        </w:rPr>
      </w:pPr>
      <w:r>
        <w:rPr>
          <w:noProof/>
        </w:rPr>
        <w:t>Vanuatu has not taken measures in view of remedying th</w:t>
      </w:r>
      <w:r w:rsidR="000A609A">
        <w:rPr>
          <w:noProof/>
        </w:rPr>
        <w:t xml:space="preserve">e </w:t>
      </w:r>
      <w:r w:rsidR="000A609A" w:rsidRPr="00403BE8">
        <w:rPr>
          <w:noProof/>
        </w:rPr>
        <w:t>circumstances that led to the temporary suspension of the visa exemption</w:t>
      </w:r>
      <w:r w:rsidR="00C13248">
        <w:rPr>
          <w:noProof/>
        </w:rPr>
        <w:t>,</w:t>
      </w:r>
      <w:r w:rsidR="000A609A" w:rsidRPr="00403BE8">
        <w:rPr>
          <w:noProof/>
        </w:rPr>
        <w:t xml:space="preserve"> </w:t>
      </w:r>
      <w:r w:rsidR="000A609A">
        <w:rPr>
          <w:noProof/>
        </w:rPr>
        <w:t xml:space="preserve">and thus </w:t>
      </w:r>
      <w:r w:rsidR="00C13248">
        <w:rPr>
          <w:noProof/>
        </w:rPr>
        <w:t xml:space="preserve">the </w:t>
      </w:r>
      <w:r w:rsidR="000A609A">
        <w:rPr>
          <w:noProof/>
        </w:rPr>
        <w:t>increased risk to the internal security and public policy of the Member States</w:t>
      </w:r>
      <w:r w:rsidR="000A609A" w:rsidRPr="00403BE8">
        <w:rPr>
          <w:noProof/>
        </w:rPr>
        <w:t xml:space="preserve"> persist</w:t>
      </w:r>
      <w:r w:rsidR="003348DC">
        <w:rPr>
          <w:noProof/>
        </w:rPr>
        <w:t>s</w:t>
      </w:r>
      <w:r>
        <w:rPr>
          <w:noProof/>
        </w:rPr>
        <w:t xml:space="preserve">. </w:t>
      </w:r>
      <w:r w:rsidR="008775DF">
        <w:rPr>
          <w:noProof/>
        </w:rPr>
        <w:t xml:space="preserve">At the same time, the Commission considers that Vanuatu does not act </w:t>
      </w:r>
      <w:r w:rsidR="009212C7">
        <w:rPr>
          <w:noProof/>
        </w:rPr>
        <w:t xml:space="preserve">engage in a dialogue with the Union. </w:t>
      </w:r>
      <w:r w:rsidR="00540078">
        <w:rPr>
          <w:noProof/>
        </w:rPr>
        <w:t xml:space="preserve">Thus, </w:t>
      </w:r>
      <w:r w:rsidR="00926DAE" w:rsidRPr="00403BE8">
        <w:rPr>
          <w:noProof/>
        </w:rPr>
        <w:t xml:space="preserve">the Commission considers that a suspension in whole of the Agreement is </w:t>
      </w:r>
      <w:r w:rsidR="00C13248">
        <w:rPr>
          <w:noProof/>
        </w:rPr>
        <w:t>required.</w:t>
      </w:r>
      <w:r w:rsidR="00926DAE" w:rsidRPr="00403BE8">
        <w:rPr>
          <w:noProof/>
        </w:rPr>
        <w:t xml:space="preserve"> </w:t>
      </w:r>
    </w:p>
    <w:p w14:paraId="0C3AD9AF" w14:textId="77777777" w:rsidR="00926DAE" w:rsidRPr="00403BE8" w:rsidRDefault="00926DAE" w:rsidP="00926DAE">
      <w:pPr>
        <w:widowControl w:val="0"/>
        <w:shd w:val="clear" w:color="auto" w:fill="FFFFFF"/>
        <w:autoSpaceDE w:val="0"/>
        <w:autoSpaceDN w:val="0"/>
        <w:adjustRightInd w:val="0"/>
        <w:spacing w:before="230" w:after="0" w:line="269" w:lineRule="exact"/>
        <w:ind w:right="86"/>
        <w:rPr>
          <w:noProof/>
        </w:rPr>
      </w:pPr>
      <w:r w:rsidRPr="00403BE8">
        <w:rPr>
          <w:noProof/>
        </w:rPr>
        <w:t>Therefore, Council Decision (EU) 2022/366 should be replaced by a Council Decision on the suspension in whole of the application of the Agreement between the European Union and the Republic of Vanuatu on the short-stay visa waiver.</w:t>
      </w:r>
    </w:p>
    <w:p w14:paraId="48BDB7B6" w14:textId="77777777" w:rsidR="00926DAE" w:rsidRPr="00FD40BA" w:rsidRDefault="00926DAE" w:rsidP="00056155">
      <w:pPr>
        <w:rPr>
          <w:noProof/>
        </w:rPr>
        <w:sectPr w:rsidR="00926DAE" w:rsidRPr="00FD40BA" w:rsidSect="008F43B9">
          <w:footerReference w:type="default" r:id="rId18"/>
          <w:footerReference w:type="first" r:id="rId19"/>
          <w:pgSz w:w="11907" w:h="16839"/>
          <w:pgMar w:top="1134" w:right="1417" w:bottom="1134" w:left="1417" w:header="709" w:footer="709" w:gutter="0"/>
          <w:cols w:space="708"/>
          <w:docGrid w:linePitch="360"/>
        </w:sectPr>
      </w:pPr>
    </w:p>
    <w:p w14:paraId="313D903E" w14:textId="77777777" w:rsidR="00A011AD" w:rsidRDefault="00A011AD" w:rsidP="00A011AD">
      <w:pPr>
        <w:pStyle w:val="Rfrenceinterinstitutionnelle"/>
        <w:rPr>
          <w:noProof/>
        </w:rPr>
      </w:pPr>
      <w:r w:rsidRPr="00A011AD">
        <w:lastRenderedPageBreak/>
        <w:t>2022/0327 (NLE)</w:t>
      </w:r>
    </w:p>
    <w:p w14:paraId="21D36D2C" w14:textId="77777777" w:rsidR="00926DAE" w:rsidRPr="00FD40BA" w:rsidRDefault="00403BE8" w:rsidP="00403BE8">
      <w:pPr>
        <w:pStyle w:val="Statut"/>
        <w:rPr>
          <w:noProof/>
        </w:rPr>
      </w:pPr>
      <w:r w:rsidRPr="00403BE8">
        <w:rPr>
          <w:noProof/>
        </w:rPr>
        <w:t>Proposal for a</w:t>
      </w:r>
    </w:p>
    <w:p w14:paraId="470FF1DF" w14:textId="77777777" w:rsidR="00926DAE" w:rsidRPr="00FD40BA" w:rsidRDefault="00403BE8" w:rsidP="00403BE8">
      <w:pPr>
        <w:pStyle w:val="Typedudocument"/>
        <w:rPr>
          <w:noProof/>
        </w:rPr>
      </w:pPr>
      <w:r w:rsidRPr="00403BE8">
        <w:rPr>
          <w:noProof/>
        </w:rPr>
        <w:t>COUNCIL DECISION</w:t>
      </w:r>
    </w:p>
    <w:p w14:paraId="49BEDD64" w14:textId="77777777" w:rsidR="00926DAE" w:rsidRPr="00FD40BA" w:rsidRDefault="00403BE8" w:rsidP="00403BE8">
      <w:pPr>
        <w:pStyle w:val="Titreobjet"/>
        <w:rPr>
          <w:noProof/>
        </w:rPr>
      </w:pPr>
      <w:r w:rsidRPr="00403BE8">
        <w:rPr>
          <w:noProof/>
        </w:rPr>
        <w:t>on the suspension in whole of the application of the Agreement between the European Union and the Republic of Vanuatu on the short-stay visa waiver</w:t>
      </w:r>
      <w:r w:rsidRPr="00403BE8">
        <w:rPr>
          <w:noProof/>
        </w:rPr>
        <w:br/>
      </w:r>
    </w:p>
    <w:p w14:paraId="3A4015F4" w14:textId="77777777" w:rsidR="00926DAE" w:rsidRPr="00FD40BA" w:rsidRDefault="00926DAE" w:rsidP="00056155">
      <w:pPr>
        <w:pStyle w:val="Institutionquiagit"/>
        <w:rPr>
          <w:noProof/>
        </w:rPr>
      </w:pPr>
      <w:r w:rsidRPr="00FD40BA">
        <w:rPr>
          <w:noProof/>
        </w:rPr>
        <w:t xml:space="preserve">THE COUNCIL OF THE EUROPEAN </w:t>
      </w:r>
      <w:smartTag w:uri="urn:schemas-microsoft-com:office:smarttags" w:element="place">
        <w:r w:rsidRPr="00FD40BA">
          <w:rPr>
            <w:noProof/>
          </w:rPr>
          <w:t>UNION</w:t>
        </w:r>
      </w:smartTag>
      <w:r w:rsidRPr="00FD40BA">
        <w:rPr>
          <w:noProof/>
        </w:rPr>
        <w:t>,</w:t>
      </w:r>
    </w:p>
    <w:p w14:paraId="4796F633" w14:textId="77777777" w:rsidR="00926DAE" w:rsidRDefault="00926DAE" w:rsidP="00056155">
      <w:pPr>
        <w:rPr>
          <w:noProof/>
        </w:rPr>
      </w:pPr>
      <w:r w:rsidRPr="00FD40BA">
        <w:rPr>
          <w:noProof/>
        </w:rPr>
        <w:t xml:space="preserve">Having regard to the Treaty on the Functioning of the European Union, and in particular Article </w:t>
      </w:r>
      <w:r w:rsidRPr="00CC34F8">
        <w:rPr>
          <w:noProof/>
        </w:rPr>
        <w:t>77(2)</w:t>
      </w:r>
      <w:r w:rsidR="00D26FBD">
        <w:rPr>
          <w:noProof/>
        </w:rPr>
        <w:t>,</w:t>
      </w:r>
      <w:r w:rsidR="00960B9F">
        <w:rPr>
          <w:noProof/>
        </w:rPr>
        <w:t xml:space="preserve"> point (a), in conjunction with</w:t>
      </w:r>
      <w:r w:rsidRPr="00697BE7">
        <w:rPr>
          <w:noProof/>
        </w:rPr>
        <w:t xml:space="preserve"> </w:t>
      </w:r>
      <w:r w:rsidR="00960B9F" w:rsidRPr="00697BE7">
        <w:rPr>
          <w:noProof/>
        </w:rPr>
        <w:t xml:space="preserve">Article </w:t>
      </w:r>
      <w:r w:rsidR="00960B9F" w:rsidRPr="00CC34F8">
        <w:rPr>
          <w:noProof/>
        </w:rPr>
        <w:t>218(9)</w:t>
      </w:r>
      <w:r w:rsidR="00960B9F" w:rsidRPr="00697BE7">
        <w:rPr>
          <w:noProof/>
        </w:rPr>
        <w:t xml:space="preserve"> </w:t>
      </w:r>
      <w:r w:rsidRPr="00FD40BA">
        <w:rPr>
          <w:noProof/>
        </w:rPr>
        <w:t>thereof,</w:t>
      </w:r>
    </w:p>
    <w:p w14:paraId="056FE416" w14:textId="77777777" w:rsidR="00926DAE" w:rsidRPr="00FD40BA" w:rsidRDefault="00926DAE" w:rsidP="00056155">
      <w:pPr>
        <w:rPr>
          <w:noProof/>
        </w:rPr>
      </w:pPr>
      <w:r w:rsidRPr="00FD40BA">
        <w:rPr>
          <w:noProof/>
        </w:rPr>
        <w:t>Having regard to the proposal from the European Commission,</w:t>
      </w:r>
    </w:p>
    <w:p w14:paraId="308DE680" w14:textId="77777777" w:rsidR="00926DAE" w:rsidRPr="00FD40BA" w:rsidRDefault="00926DAE" w:rsidP="00056155">
      <w:pPr>
        <w:rPr>
          <w:noProof/>
        </w:rPr>
      </w:pPr>
      <w:r w:rsidRPr="00FD40BA">
        <w:rPr>
          <w:noProof/>
        </w:rPr>
        <w:t>Whereas:</w:t>
      </w:r>
    </w:p>
    <w:p w14:paraId="4ED0936B" w14:textId="77777777" w:rsidR="00926DAE" w:rsidRPr="00EF0E13" w:rsidRDefault="00764114" w:rsidP="00764114">
      <w:pPr>
        <w:pStyle w:val="ManualConsidrant"/>
        <w:rPr>
          <w:noProof/>
        </w:rPr>
      </w:pPr>
      <w:r w:rsidRPr="00764114">
        <w:t>(1)</w:t>
      </w:r>
      <w:r w:rsidRPr="00764114">
        <w:tab/>
      </w:r>
      <w:r w:rsidR="00926DAE" w:rsidRPr="00EF0E13">
        <w:rPr>
          <w:noProof/>
        </w:rPr>
        <w:t>The Agreement between the European Union and the Republic of Vanuatu on the short-stay visa waiver</w:t>
      </w:r>
      <w:r w:rsidR="00926DAE">
        <w:rPr>
          <w:rStyle w:val="FootnoteReference"/>
          <w:noProof/>
        </w:rPr>
        <w:footnoteReference w:id="4"/>
      </w:r>
      <w:r w:rsidR="00926DAE" w:rsidRPr="00EF0E13">
        <w:rPr>
          <w:noProof/>
        </w:rPr>
        <w:t xml:space="preserve"> (‘the Agreement’) was </w:t>
      </w:r>
      <w:r w:rsidR="00C41E83">
        <w:rPr>
          <w:noProof/>
        </w:rPr>
        <w:t>signed</w:t>
      </w:r>
      <w:r w:rsidR="00C41E83" w:rsidRPr="007A3BB1">
        <w:rPr>
          <w:noProof/>
        </w:rPr>
        <w:t xml:space="preserve"> </w:t>
      </w:r>
      <w:r w:rsidR="00926DAE" w:rsidRPr="007A3BB1">
        <w:rPr>
          <w:noProof/>
        </w:rPr>
        <w:t>on</w:t>
      </w:r>
      <w:r w:rsidR="00C41E83">
        <w:rPr>
          <w:noProof/>
        </w:rPr>
        <w:t xml:space="preserve"> and provisionally applied since</w:t>
      </w:r>
      <w:r w:rsidR="00926DAE" w:rsidRPr="007A3BB1">
        <w:rPr>
          <w:noProof/>
        </w:rPr>
        <w:t xml:space="preserve"> </w:t>
      </w:r>
      <w:r w:rsidR="009C6479">
        <w:rPr>
          <w:noProof/>
        </w:rPr>
        <w:t>28 May 2</w:t>
      </w:r>
      <w:r w:rsidR="009C6479" w:rsidRPr="009C6479">
        <w:rPr>
          <w:noProof/>
        </w:rPr>
        <w:t>015</w:t>
      </w:r>
      <w:r w:rsidR="00926DAE" w:rsidRPr="007A3BB1">
        <w:rPr>
          <w:rStyle w:val="FootnoteReference"/>
          <w:noProof/>
        </w:rPr>
        <w:footnoteReference w:id="5"/>
      </w:r>
      <w:r w:rsidR="00926DAE">
        <w:rPr>
          <w:noProof/>
        </w:rPr>
        <w:t xml:space="preserve"> </w:t>
      </w:r>
      <w:r w:rsidR="00926DAE" w:rsidRPr="00EF0E13">
        <w:rPr>
          <w:noProof/>
        </w:rPr>
        <w:t xml:space="preserve">to facilitate travel to the Union for </w:t>
      </w:r>
      <w:r w:rsidR="00952F7D">
        <w:rPr>
          <w:noProof/>
        </w:rPr>
        <w:t>nationals</w:t>
      </w:r>
      <w:r w:rsidR="00926DAE" w:rsidRPr="00EF0E13">
        <w:rPr>
          <w:noProof/>
        </w:rPr>
        <w:t xml:space="preserve"> of Vanuatu and travel </w:t>
      </w:r>
      <w:r w:rsidR="00952F7D">
        <w:rPr>
          <w:noProof/>
        </w:rPr>
        <w:t>to Vanuatu for</w:t>
      </w:r>
      <w:r w:rsidR="00926DAE" w:rsidRPr="00EF0E13">
        <w:rPr>
          <w:noProof/>
        </w:rPr>
        <w:t xml:space="preserve"> citizens of the Union.</w:t>
      </w:r>
      <w:r w:rsidR="004E3112">
        <w:rPr>
          <w:noProof/>
        </w:rPr>
        <w:t xml:space="preserve"> </w:t>
      </w:r>
    </w:p>
    <w:p w14:paraId="32B43E52" w14:textId="77777777" w:rsidR="00926DAE" w:rsidRPr="00352529" w:rsidRDefault="00764114" w:rsidP="00764114">
      <w:pPr>
        <w:pStyle w:val="ManualConsidrant"/>
        <w:rPr>
          <w:noProof/>
        </w:rPr>
      </w:pPr>
      <w:r w:rsidRPr="00764114">
        <w:t>(2)</w:t>
      </w:r>
      <w:r w:rsidRPr="00764114">
        <w:tab/>
      </w:r>
      <w:r w:rsidR="00926DAE" w:rsidRPr="00BD5A29">
        <w:rPr>
          <w:noProof/>
        </w:rPr>
        <w:t xml:space="preserve">The </w:t>
      </w:r>
      <w:r w:rsidR="00926DAE">
        <w:rPr>
          <w:noProof/>
        </w:rPr>
        <w:t>A</w:t>
      </w:r>
      <w:r w:rsidR="00926DAE" w:rsidRPr="00313A3E">
        <w:rPr>
          <w:noProof/>
        </w:rPr>
        <w:t>greement</w:t>
      </w:r>
      <w:r w:rsidR="00926DAE" w:rsidRPr="00BD5A29">
        <w:rPr>
          <w:noProof/>
        </w:rPr>
        <w:t xml:space="preserve"> is </w:t>
      </w:r>
      <w:r w:rsidR="00926DAE" w:rsidRPr="00A12CF1">
        <w:rPr>
          <w:noProof/>
        </w:rPr>
        <w:t>based on the</w:t>
      </w:r>
      <w:r w:rsidR="006136A7">
        <w:rPr>
          <w:noProof/>
        </w:rPr>
        <w:t xml:space="preserve"> Union</w:t>
      </w:r>
      <w:r w:rsidR="00926DAE">
        <w:rPr>
          <w:noProof/>
        </w:rPr>
        <w:t>'</w:t>
      </w:r>
      <w:r w:rsidR="006136A7">
        <w:rPr>
          <w:noProof/>
        </w:rPr>
        <w:t>s and Vanuatu’s</w:t>
      </w:r>
      <w:r w:rsidR="00926DAE" w:rsidRPr="00A12CF1">
        <w:rPr>
          <w:noProof/>
        </w:rPr>
        <w:t xml:space="preserve"> common desire to encourage people-to-people contacts, boost tourism and invigorate business between the </w:t>
      </w:r>
      <w:r w:rsidR="00926DAE" w:rsidRPr="004320C3">
        <w:rPr>
          <w:rFonts w:eastAsiaTheme="minorEastAsia"/>
          <w:noProof/>
          <w:szCs w:val="24"/>
          <w:lang w:eastAsia="zh-CN"/>
        </w:rPr>
        <w:t xml:space="preserve">Union </w:t>
      </w:r>
      <w:r w:rsidR="00926DAE" w:rsidRPr="00A12CF1">
        <w:rPr>
          <w:noProof/>
        </w:rPr>
        <w:t>and Vanuatu.</w:t>
      </w:r>
    </w:p>
    <w:p w14:paraId="47C7B072" w14:textId="77777777" w:rsidR="00926DAE" w:rsidRPr="00D03312" w:rsidRDefault="00764114" w:rsidP="00764114">
      <w:pPr>
        <w:pStyle w:val="ManualConsidrant"/>
        <w:rPr>
          <w:noProof/>
        </w:rPr>
      </w:pPr>
      <w:r w:rsidRPr="00764114">
        <w:t>(3)</w:t>
      </w:r>
      <w:r w:rsidRPr="00764114">
        <w:tab/>
      </w:r>
      <w:r w:rsidR="00926DAE">
        <w:rPr>
          <w:noProof/>
        </w:rPr>
        <w:t xml:space="preserve">Under </w:t>
      </w:r>
      <w:r w:rsidR="00926DAE" w:rsidRPr="00D03312">
        <w:rPr>
          <w:noProof/>
        </w:rPr>
        <w:t xml:space="preserve">Article 8(4) of the </w:t>
      </w:r>
      <w:r w:rsidR="00926DAE">
        <w:rPr>
          <w:noProof/>
        </w:rPr>
        <w:t>A</w:t>
      </w:r>
      <w:r w:rsidR="00926DAE" w:rsidRPr="00313A3E">
        <w:rPr>
          <w:noProof/>
        </w:rPr>
        <w:t>greement</w:t>
      </w:r>
      <w:r w:rsidR="00926DAE" w:rsidRPr="00D03312">
        <w:rPr>
          <w:noProof/>
        </w:rPr>
        <w:t xml:space="preserve">, </w:t>
      </w:r>
      <w:r w:rsidR="00926DAE">
        <w:rPr>
          <w:noProof/>
        </w:rPr>
        <w:t>either p</w:t>
      </w:r>
      <w:r w:rsidR="00926DAE" w:rsidRPr="00313A3E">
        <w:rPr>
          <w:noProof/>
        </w:rPr>
        <w:t>arty</w:t>
      </w:r>
      <w:r w:rsidR="00926DAE" w:rsidRPr="00D03312">
        <w:rPr>
          <w:noProof/>
        </w:rPr>
        <w:t xml:space="preserve"> may suspend in </w:t>
      </w:r>
      <w:r w:rsidR="00926DAE" w:rsidRPr="007872A1">
        <w:rPr>
          <w:noProof/>
        </w:rPr>
        <w:t>whole or in part the</w:t>
      </w:r>
      <w:r w:rsidR="00926DAE" w:rsidRPr="00D03312">
        <w:rPr>
          <w:noProof/>
        </w:rPr>
        <w:t xml:space="preserve"> </w:t>
      </w:r>
      <w:r w:rsidR="00926DAE">
        <w:rPr>
          <w:noProof/>
        </w:rPr>
        <w:t>A</w:t>
      </w:r>
      <w:r w:rsidR="00926DAE" w:rsidRPr="00D03312">
        <w:rPr>
          <w:noProof/>
        </w:rPr>
        <w:t>greement</w:t>
      </w:r>
      <w:r w:rsidR="00926DAE">
        <w:rPr>
          <w:noProof/>
        </w:rPr>
        <w:t xml:space="preserve">, in particular </w:t>
      </w:r>
      <w:r w:rsidR="00926DAE" w:rsidRPr="00D03312">
        <w:rPr>
          <w:noProof/>
        </w:rPr>
        <w:t>for reasons of public policy</w:t>
      </w:r>
      <w:r w:rsidR="00926DAE">
        <w:rPr>
          <w:noProof/>
        </w:rPr>
        <w:t xml:space="preserve"> and</w:t>
      </w:r>
      <w:r w:rsidR="00926DAE" w:rsidRPr="00D03312">
        <w:rPr>
          <w:noProof/>
        </w:rPr>
        <w:t xml:space="preserve"> the </w:t>
      </w:r>
      <w:r w:rsidR="00926DAE">
        <w:rPr>
          <w:noProof/>
        </w:rPr>
        <w:t xml:space="preserve">protection of national security. </w:t>
      </w:r>
      <w:r w:rsidR="00926DAE" w:rsidRPr="00D03312">
        <w:rPr>
          <w:noProof/>
        </w:rPr>
        <w:t xml:space="preserve">The decision on suspension is to be notified to the other </w:t>
      </w:r>
      <w:r w:rsidR="00926DAE">
        <w:rPr>
          <w:noProof/>
        </w:rPr>
        <w:t>p</w:t>
      </w:r>
      <w:r w:rsidR="00926DAE" w:rsidRPr="00313A3E">
        <w:rPr>
          <w:noProof/>
        </w:rPr>
        <w:t>arty</w:t>
      </w:r>
      <w:r w:rsidR="00926DAE" w:rsidRPr="00D03312">
        <w:rPr>
          <w:noProof/>
        </w:rPr>
        <w:t xml:space="preserve"> no later than </w:t>
      </w:r>
      <w:r w:rsidR="00926DAE">
        <w:rPr>
          <w:noProof/>
        </w:rPr>
        <w:t>2</w:t>
      </w:r>
      <w:r w:rsidR="00926DAE" w:rsidRPr="00313A3E">
        <w:rPr>
          <w:noProof/>
        </w:rPr>
        <w:t xml:space="preserve"> </w:t>
      </w:r>
      <w:r w:rsidR="00926DAE" w:rsidRPr="00D03312">
        <w:rPr>
          <w:noProof/>
        </w:rPr>
        <w:t xml:space="preserve">months before its planned entry into force. </w:t>
      </w:r>
      <w:r w:rsidR="00926DAE">
        <w:rPr>
          <w:noProof/>
        </w:rPr>
        <w:t>S</w:t>
      </w:r>
      <w:r w:rsidR="00926DAE" w:rsidRPr="00313A3E">
        <w:rPr>
          <w:noProof/>
        </w:rPr>
        <w:t>hould the reasons for that suspension cease to exist</w:t>
      </w:r>
      <w:r w:rsidR="00926DAE">
        <w:rPr>
          <w:noProof/>
        </w:rPr>
        <w:t>, the</w:t>
      </w:r>
      <w:r w:rsidR="00926DAE" w:rsidRPr="00D03312">
        <w:rPr>
          <w:noProof/>
        </w:rPr>
        <w:t xml:space="preserve"> </w:t>
      </w:r>
      <w:r w:rsidR="00926DAE">
        <w:rPr>
          <w:noProof/>
        </w:rPr>
        <w:t>p</w:t>
      </w:r>
      <w:r w:rsidR="00926DAE" w:rsidRPr="00313A3E">
        <w:rPr>
          <w:noProof/>
        </w:rPr>
        <w:t>arty</w:t>
      </w:r>
      <w:r w:rsidR="00926DAE" w:rsidRPr="00D03312">
        <w:rPr>
          <w:noProof/>
        </w:rPr>
        <w:t xml:space="preserve"> that has suspended </w:t>
      </w:r>
      <w:r w:rsidR="00926DAE">
        <w:rPr>
          <w:noProof/>
        </w:rPr>
        <w:t>the A</w:t>
      </w:r>
      <w:r w:rsidR="00926DAE" w:rsidRPr="00D03312">
        <w:rPr>
          <w:noProof/>
        </w:rPr>
        <w:t xml:space="preserve">greement is to inform the other </w:t>
      </w:r>
      <w:r w:rsidR="00926DAE">
        <w:rPr>
          <w:noProof/>
        </w:rPr>
        <w:t>p</w:t>
      </w:r>
      <w:r w:rsidR="00926DAE" w:rsidRPr="00313A3E">
        <w:rPr>
          <w:noProof/>
        </w:rPr>
        <w:t>arty immediately</w:t>
      </w:r>
      <w:r w:rsidR="00926DAE" w:rsidRPr="00D03312">
        <w:rPr>
          <w:noProof/>
        </w:rPr>
        <w:t xml:space="preserve"> and </w:t>
      </w:r>
      <w:r w:rsidR="00926DAE">
        <w:rPr>
          <w:noProof/>
        </w:rPr>
        <w:t>to</w:t>
      </w:r>
      <w:r w:rsidR="00926DAE" w:rsidRPr="00313A3E">
        <w:rPr>
          <w:noProof/>
        </w:rPr>
        <w:t xml:space="preserve"> </w:t>
      </w:r>
      <w:r w:rsidR="00926DAE" w:rsidRPr="00D03312">
        <w:rPr>
          <w:noProof/>
        </w:rPr>
        <w:t xml:space="preserve">lift </w:t>
      </w:r>
      <w:r w:rsidR="00926DAE">
        <w:rPr>
          <w:noProof/>
        </w:rPr>
        <w:t>the</w:t>
      </w:r>
      <w:r w:rsidR="00926DAE" w:rsidRPr="00313A3E">
        <w:rPr>
          <w:noProof/>
        </w:rPr>
        <w:t xml:space="preserve"> </w:t>
      </w:r>
      <w:r w:rsidR="00926DAE" w:rsidRPr="00D03312">
        <w:rPr>
          <w:noProof/>
        </w:rPr>
        <w:t>suspension.</w:t>
      </w:r>
    </w:p>
    <w:p w14:paraId="52C8EB64" w14:textId="77777777" w:rsidR="00926DAE" w:rsidRDefault="00764114" w:rsidP="00764114">
      <w:pPr>
        <w:pStyle w:val="ManualConsidrant"/>
        <w:rPr>
          <w:noProof/>
        </w:rPr>
      </w:pPr>
      <w:r w:rsidRPr="00764114">
        <w:t>(4)</w:t>
      </w:r>
      <w:r w:rsidRPr="00764114">
        <w:tab/>
      </w:r>
      <w:r w:rsidR="00926DAE">
        <w:rPr>
          <w:noProof/>
        </w:rPr>
        <w:t xml:space="preserve">Vanuatu operates investor citizenship </w:t>
      </w:r>
      <w:r w:rsidR="00926DAE" w:rsidRPr="004867E0">
        <w:rPr>
          <w:noProof/>
        </w:rPr>
        <w:t>scheme</w:t>
      </w:r>
      <w:r w:rsidR="00926DAE">
        <w:rPr>
          <w:noProof/>
        </w:rPr>
        <w:t>s, whereby</w:t>
      </w:r>
      <w:r w:rsidR="00926DAE">
        <w:rPr>
          <w:noProof/>
          <w:lang w:eastAsia="zh-CN"/>
        </w:rPr>
        <w:t xml:space="preserve"> it has granted </w:t>
      </w:r>
      <w:r w:rsidR="00926DAE">
        <w:rPr>
          <w:noProof/>
        </w:rPr>
        <w:t xml:space="preserve">Vanuatu </w:t>
      </w:r>
      <w:r w:rsidR="00926DAE">
        <w:rPr>
          <w:noProof/>
          <w:lang w:eastAsia="zh-CN"/>
        </w:rPr>
        <w:t xml:space="preserve">nationality to nationals of other countries </w:t>
      </w:r>
      <w:r w:rsidR="00926DAE" w:rsidRPr="00313A3E">
        <w:rPr>
          <w:noProof/>
          <w:lang w:eastAsia="zh-CN"/>
        </w:rPr>
        <w:t>with</w:t>
      </w:r>
      <w:r w:rsidR="00926DAE">
        <w:rPr>
          <w:noProof/>
          <w:lang w:eastAsia="zh-CN"/>
        </w:rPr>
        <w:t xml:space="preserve"> no previous connection to Vanuatu, issuing positive decisions on the vast majority of applications.</w:t>
      </w:r>
      <w:r w:rsidR="00926DAE">
        <w:rPr>
          <w:noProof/>
        </w:rPr>
        <w:t xml:space="preserve"> Until March 2021, it issued over 10 500 passports with an extremely low rejection rate.</w:t>
      </w:r>
      <w:r w:rsidR="00926DAE">
        <w:rPr>
          <w:rStyle w:val="FootnoteReference"/>
          <w:noProof/>
        </w:rPr>
        <w:footnoteReference w:id="6"/>
      </w:r>
      <w:r w:rsidR="00926DAE">
        <w:rPr>
          <w:noProof/>
        </w:rPr>
        <w:t xml:space="preserve"> This raises doubts as to the reliability of the security and due diligence screening carried out by the Vanuatu</w:t>
      </w:r>
      <w:r w:rsidR="00926DAE" w:rsidRPr="00E46028">
        <w:rPr>
          <w:noProof/>
        </w:rPr>
        <w:t xml:space="preserve"> </w:t>
      </w:r>
      <w:r w:rsidR="00926DAE" w:rsidRPr="00313A3E">
        <w:rPr>
          <w:noProof/>
        </w:rPr>
        <w:t>authorities</w:t>
      </w:r>
      <w:r w:rsidR="00926DAE">
        <w:rPr>
          <w:noProof/>
        </w:rPr>
        <w:t>.</w:t>
      </w:r>
    </w:p>
    <w:p w14:paraId="00FB3D57" w14:textId="77777777" w:rsidR="007D5D50" w:rsidRDefault="00764114" w:rsidP="00764114">
      <w:pPr>
        <w:pStyle w:val="ManualConsidrant"/>
        <w:rPr>
          <w:noProof/>
        </w:rPr>
      </w:pPr>
      <w:r w:rsidRPr="00764114">
        <w:t>(5)</w:t>
      </w:r>
      <w:r w:rsidRPr="00764114">
        <w:tab/>
      </w:r>
      <w:r w:rsidR="007D5D50" w:rsidRPr="007D5D50">
        <w:rPr>
          <w:noProof/>
        </w:rPr>
        <w:t>Furthermore, the countries of origin of successful applicants include several countries whose nationals are required to possess visas when crossing the external borders of the Union.</w:t>
      </w:r>
    </w:p>
    <w:p w14:paraId="416CD632" w14:textId="77777777" w:rsidR="007D5D50" w:rsidRDefault="00764114" w:rsidP="00764114">
      <w:pPr>
        <w:pStyle w:val="ManualConsidrant"/>
        <w:rPr>
          <w:noProof/>
        </w:rPr>
      </w:pPr>
      <w:r w:rsidRPr="00764114">
        <w:lastRenderedPageBreak/>
        <w:t>(6)</w:t>
      </w:r>
      <w:r w:rsidRPr="00764114">
        <w:tab/>
      </w:r>
      <w:r w:rsidR="00E84226" w:rsidRPr="00E84226">
        <w:rPr>
          <w:noProof/>
        </w:rPr>
        <w:t>In exchanges between the Commission and Vanuatu’s authorities in October 2017, November 2019, June 2020 and March 2021, the Commission expressed serious concerns regarding</w:t>
      </w:r>
      <w:r w:rsidR="001B37BB">
        <w:rPr>
          <w:noProof/>
        </w:rPr>
        <w:t xml:space="preserve"> Vanuatu’s investor citizenship schemes, in particular</w:t>
      </w:r>
      <w:r w:rsidR="00E84226" w:rsidRPr="00E84226">
        <w:rPr>
          <w:noProof/>
        </w:rPr>
        <w:t xml:space="preserve"> the granting of citizenship to persons listed in Interpol databases, the absence of physical presence or residence requirements, the schemes’ short processing periods and the lack of systematic exchange of information with applicants’ countries of origin or past main residence, and warned the government of Vanuatu of the possibility of the visa requirement being reinstated</w:t>
      </w:r>
      <w:r w:rsidR="00113959" w:rsidRPr="00113959">
        <w:rPr>
          <w:noProof/>
        </w:rPr>
        <w:t xml:space="preserve"> should the concerns not be addressed</w:t>
      </w:r>
      <w:r w:rsidR="00E84226" w:rsidRPr="00E84226">
        <w:rPr>
          <w:noProof/>
        </w:rPr>
        <w:t>. The explanations provided by Vanuatu were not sufficient to alleviate those concerns.</w:t>
      </w:r>
    </w:p>
    <w:p w14:paraId="076220B9" w14:textId="77777777" w:rsidR="00926DAE" w:rsidRDefault="00764114" w:rsidP="00764114">
      <w:pPr>
        <w:pStyle w:val="ManualConsidrant"/>
        <w:rPr>
          <w:noProof/>
        </w:rPr>
      </w:pPr>
      <w:r w:rsidRPr="00764114">
        <w:t>(7)</w:t>
      </w:r>
      <w:r w:rsidRPr="00764114">
        <w:tab/>
      </w:r>
      <w:r w:rsidR="00926DAE">
        <w:rPr>
          <w:noProof/>
        </w:rPr>
        <w:t xml:space="preserve">Consequently, </w:t>
      </w:r>
      <w:r w:rsidR="001D6327">
        <w:rPr>
          <w:noProof/>
        </w:rPr>
        <w:t>the application of the Agreement was partially suspended</w:t>
      </w:r>
      <w:r w:rsidR="001D6327">
        <w:rPr>
          <w:noProof/>
          <w:lang w:val="en-IE"/>
        </w:rPr>
        <w:t xml:space="preserve"> </w:t>
      </w:r>
      <w:r w:rsidR="00926DAE" w:rsidRPr="00BE6BE3">
        <w:rPr>
          <w:noProof/>
          <w:lang w:val="en-IE"/>
        </w:rPr>
        <w:t>with</w:t>
      </w:r>
      <w:r w:rsidR="00926DAE">
        <w:rPr>
          <w:noProof/>
          <w:lang w:val="en-IE"/>
        </w:rPr>
        <w:t xml:space="preserve"> </w:t>
      </w:r>
      <w:r w:rsidR="00926DAE" w:rsidRPr="00BE6BE3" w:rsidDel="00F8114E">
        <w:rPr>
          <w:noProof/>
          <w:lang w:val="en-IE"/>
        </w:rPr>
        <w:t>Council</w:t>
      </w:r>
      <w:r w:rsidR="00926DAE" w:rsidDel="00F8114E">
        <w:rPr>
          <w:noProof/>
          <w:lang w:val="en-IE"/>
        </w:rPr>
        <w:t xml:space="preserve"> </w:t>
      </w:r>
      <w:r w:rsidR="00926DAE" w:rsidRPr="000F4429">
        <w:rPr>
          <w:noProof/>
          <w:lang w:val="en-IE"/>
        </w:rPr>
        <w:t>Decision (EU) 2022/366</w:t>
      </w:r>
      <w:r w:rsidR="00A822B8">
        <w:rPr>
          <w:rStyle w:val="FootnoteReference"/>
          <w:noProof/>
          <w:lang w:val="en-IE"/>
        </w:rPr>
        <w:footnoteReference w:id="7"/>
      </w:r>
      <w:r w:rsidR="00926DAE">
        <w:rPr>
          <w:noProof/>
        </w:rPr>
        <w:t>. The suspension is</w:t>
      </w:r>
      <w:r w:rsidR="00926DAE" w:rsidRPr="00FF3E64">
        <w:rPr>
          <w:noProof/>
        </w:rPr>
        <w:t xml:space="preserve"> limited to ordinary passports issued </w:t>
      </w:r>
      <w:r w:rsidR="00FD4DA3">
        <w:rPr>
          <w:noProof/>
        </w:rPr>
        <w:t xml:space="preserve">by Vanuatu </w:t>
      </w:r>
      <w:r w:rsidR="00926DAE">
        <w:rPr>
          <w:noProof/>
        </w:rPr>
        <w:t>as of</w:t>
      </w:r>
      <w:r w:rsidR="00926DAE" w:rsidRPr="00FF3E64">
        <w:rPr>
          <w:noProof/>
        </w:rPr>
        <w:t xml:space="preserve"> </w:t>
      </w:r>
      <w:r w:rsidR="00926DAE">
        <w:rPr>
          <w:noProof/>
        </w:rPr>
        <w:t xml:space="preserve">25 May </w:t>
      </w:r>
      <w:r w:rsidR="00926DAE" w:rsidRPr="00FF3E64">
        <w:rPr>
          <w:noProof/>
        </w:rPr>
        <w:t>2015</w:t>
      </w:r>
      <w:r w:rsidR="00926DAE">
        <w:rPr>
          <w:noProof/>
        </w:rPr>
        <w:t xml:space="preserve">, when the </w:t>
      </w:r>
      <w:r w:rsidR="00926DAE">
        <w:rPr>
          <w:rFonts w:eastAsiaTheme="minorEastAsia"/>
          <w:noProof/>
          <w:szCs w:val="24"/>
          <w:lang w:eastAsia="zh-CN"/>
        </w:rPr>
        <w:t>number of successful applicants under Vanuatu's investor citizenship schemes started to increase significantly</w:t>
      </w:r>
      <w:r w:rsidR="00926DAE" w:rsidRPr="00FF3E64">
        <w:rPr>
          <w:noProof/>
        </w:rPr>
        <w:t>.</w:t>
      </w:r>
    </w:p>
    <w:p w14:paraId="5A8E0F01" w14:textId="77777777" w:rsidR="00926DAE" w:rsidRPr="00ED4E43" w:rsidRDefault="00764114" w:rsidP="00764114">
      <w:pPr>
        <w:pStyle w:val="ManualConsidrant"/>
        <w:rPr>
          <w:noProof/>
        </w:rPr>
      </w:pPr>
      <w:r w:rsidRPr="00764114">
        <w:t>(8)</w:t>
      </w:r>
      <w:r w:rsidRPr="00764114">
        <w:tab/>
      </w:r>
      <w:r w:rsidR="00926DAE" w:rsidRPr="00ED4E43">
        <w:rPr>
          <w:noProof/>
        </w:rPr>
        <w:t xml:space="preserve">Whilst </w:t>
      </w:r>
      <w:r w:rsidR="00926DAE" w:rsidRPr="00602957">
        <w:rPr>
          <w:noProof/>
        </w:rPr>
        <w:t>Decision</w:t>
      </w:r>
      <w:r w:rsidR="00926DAE" w:rsidRPr="00ED4E43">
        <w:rPr>
          <w:noProof/>
        </w:rPr>
        <w:t xml:space="preserve"> (EU) 2022/366 </w:t>
      </w:r>
      <w:r w:rsidR="000C6FAD">
        <w:rPr>
          <w:noProof/>
        </w:rPr>
        <w:t>partially</w:t>
      </w:r>
      <w:r w:rsidR="000C6FAD" w:rsidRPr="00ED4E43">
        <w:rPr>
          <w:noProof/>
        </w:rPr>
        <w:t xml:space="preserve"> </w:t>
      </w:r>
      <w:r w:rsidR="00926DAE" w:rsidRPr="00ED4E43">
        <w:rPr>
          <w:noProof/>
        </w:rPr>
        <w:t>suspended the Agreement, it was also necessary to provide for the suspension at the level of Union law.</w:t>
      </w:r>
    </w:p>
    <w:p w14:paraId="16E2833D" w14:textId="77777777" w:rsidR="00926DAE" w:rsidRPr="00ED4E43" w:rsidRDefault="00764114" w:rsidP="00764114">
      <w:pPr>
        <w:pStyle w:val="ManualConsidrant"/>
        <w:rPr>
          <w:noProof/>
        </w:rPr>
      </w:pPr>
      <w:r w:rsidRPr="00764114">
        <w:t>(9)</w:t>
      </w:r>
      <w:r w:rsidRPr="00764114">
        <w:tab/>
      </w:r>
      <w:r w:rsidR="00926DAE" w:rsidRPr="00ED4E43">
        <w:rPr>
          <w:noProof/>
        </w:rPr>
        <w:t>Therefore, based on Regulation (EU) 2018/1806</w:t>
      </w:r>
      <w:r w:rsidR="00FD4DA3">
        <w:rPr>
          <w:noProof/>
        </w:rPr>
        <w:t xml:space="preserve"> of the European Parliament and of the Council</w:t>
      </w:r>
      <w:r w:rsidR="00FD4DA3">
        <w:rPr>
          <w:rStyle w:val="FootnoteReference"/>
          <w:noProof/>
        </w:rPr>
        <w:footnoteReference w:id="8"/>
      </w:r>
      <w:r w:rsidR="00926DAE">
        <w:rPr>
          <w:noProof/>
        </w:rPr>
        <w:t>,</w:t>
      </w:r>
      <w:r w:rsidR="00926DAE" w:rsidRPr="00ED4E43">
        <w:rPr>
          <w:noProof/>
        </w:rPr>
        <w:t xml:space="preserve"> on 27 April 2022</w:t>
      </w:r>
      <w:r w:rsidR="00926DAE">
        <w:rPr>
          <w:noProof/>
        </w:rPr>
        <w:t>,</w:t>
      </w:r>
      <w:r w:rsidR="00926DAE" w:rsidRPr="00ED4E43">
        <w:rPr>
          <w:noProof/>
        </w:rPr>
        <w:t xml:space="preserve"> the Commission adopted Implementing Regulation (EU) 2022/693</w:t>
      </w:r>
      <w:r w:rsidR="009E1FE3">
        <w:rPr>
          <w:rStyle w:val="FootnoteReference"/>
          <w:noProof/>
        </w:rPr>
        <w:footnoteReference w:id="9"/>
      </w:r>
      <w:r w:rsidR="00926DAE" w:rsidRPr="00ED4E43">
        <w:rPr>
          <w:noProof/>
        </w:rPr>
        <w:t xml:space="preserve"> temporary suspen</w:t>
      </w:r>
      <w:r w:rsidR="009E1FE3">
        <w:rPr>
          <w:noProof/>
        </w:rPr>
        <w:t>ding</w:t>
      </w:r>
      <w:r w:rsidR="00926DAE" w:rsidRPr="00ED4E43">
        <w:rPr>
          <w:noProof/>
        </w:rPr>
        <w:t xml:space="preserve"> the exemption</w:t>
      </w:r>
      <w:r w:rsidR="00926DAE" w:rsidRPr="007D5D50">
        <w:rPr>
          <w:noProof/>
        </w:rPr>
        <w:t xml:space="preserve"> </w:t>
      </w:r>
      <w:r w:rsidR="009E1FE3">
        <w:rPr>
          <w:noProof/>
        </w:rPr>
        <w:t>from the visa requirement</w:t>
      </w:r>
      <w:r w:rsidR="00926DAE" w:rsidRPr="00ED4E43">
        <w:rPr>
          <w:noProof/>
          <w:color w:val="008000"/>
        </w:rPr>
        <w:t xml:space="preserve"> </w:t>
      </w:r>
      <w:r w:rsidR="00926DAE" w:rsidRPr="00ED4E43">
        <w:rPr>
          <w:noProof/>
        </w:rPr>
        <w:t>for nationals of Vanuatu</w:t>
      </w:r>
      <w:r w:rsidR="00926DAE">
        <w:rPr>
          <w:noProof/>
        </w:rPr>
        <w:t xml:space="preserve"> holding </w:t>
      </w:r>
      <w:r w:rsidR="00926DAE" w:rsidRPr="000D6A94">
        <w:rPr>
          <w:noProof/>
        </w:rPr>
        <w:t>ordinary passports issued</w:t>
      </w:r>
      <w:r w:rsidR="00D87782" w:rsidRPr="007D5D50">
        <w:rPr>
          <w:noProof/>
        </w:rPr>
        <w:t xml:space="preserve"> </w:t>
      </w:r>
      <w:r w:rsidR="00D87782">
        <w:rPr>
          <w:noProof/>
          <w:color w:val="333333"/>
          <w:szCs w:val="24"/>
          <w:shd w:val="clear" w:color="auto" w:fill="FFFFFF"/>
        </w:rPr>
        <w:t>by</w:t>
      </w:r>
      <w:r w:rsidR="00926DAE" w:rsidRPr="000D6A94">
        <w:rPr>
          <w:noProof/>
        </w:rPr>
        <w:t xml:space="preserve"> </w:t>
      </w:r>
      <w:r w:rsidR="00D87782">
        <w:rPr>
          <w:noProof/>
        </w:rPr>
        <w:t xml:space="preserve">Vanuatu </w:t>
      </w:r>
      <w:r w:rsidR="00926DAE" w:rsidRPr="000D6A94">
        <w:rPr>
          <w:noProof/>
        </w:rPr>
        <w:t>as of 25 May 2015</w:t>
      </w:r>
      <w:r w:rsidR="00926DAE" w:rsidRPr="00ED4E43">
        <w:rPr>
          <w:noProof/>
        </w:rPr>
        <w:t xml:space="preserve"> for a period of nine months</w:t>
      </w:r>
      <w:r w:rsidR="00926DAE">
        <w:rPr>
          <w:noProof/>
        </w:rPr>
        <w:t>, applicable</w:t>
      </w:r>
      <w:r w:rsidR="00926DAE" w:rsidRPr="0099193B">
        <w:rPr>
          <w:noProof/>
        </w:rPr>
        <w:t xml:space="preserve"> from 4 May 2022 to 3 February 2023</w:t>
      </w:r>
      <w:r w:rsidR="00926DAE" w:rsidRPr="00ED4E43">
        <w:rPr>
          <w:noProof/>
        </w:rPr>
        <w:t>.</w:t>
      </w:r>
    </w:p>
    <w:p w14:paraId="0AD187E4" w14:textId="77777777" w:rsidR="00926DAE" w:rsidRDefault="00764114" w:rsidP="00764114">
      <w:pPr>
        <w:pStyle w:val="ManualConsidrant"/>
        <w:rPr>
          <w:noProof/>
        </w:rPr>
      </w:pPr>
      <w:r w:rsidRPr="00764114">
        <w:t>(10)</w:t>
      </w:r>
      <w:r w:rsidRPr="00764114">
        <w:tab/>
      </w:r>
      <w:r w:rsidR="00926DAE" w:rsidRPr="00ED4E43">
        <w:rPr>
          <w:noProof/>
        </w:rPr>
        <w:t>Following the ent</w:t>
      </w:r>
      <w:r w:rsidR="00926DAE">
        <w:rPr>
          <w:noProof/>
        </w:rPr>
        <w:t>ry into force of th</w:t>
      </w:r>
      <w:r w:rsidR="00900CE6">
        <w:rPr>
          <w:noProof/>
        </w:rPr>
        <w:t>at</w:t>
      </w:r>
      <w:r w:rsidR="00926DAE">
        <w:rPr>
          <w:noProof/>
        </w:rPr>
        <w:t xml:space="preserve"> suspension, </w:t>
      </w:r>
      <w:r w:rsidR="00926DAE" w:rsidRPr="00ED4E43">
        <w:rPr>
          <w:noProof/>
        </w:rPr>
        <w:t>in accordance with Regulation</w:t>
      </w:r>
      <w:r w:rsidR="00E26897">
        <w:rPr>
          <w:noProof/>
        </w:rPr>
        <w:t xml:space="preserve"> (EU) 2018/1806</w:t>
      </w:r>
      <w:r w:rsidR="00926DAE" w:rsidRPr="00ED4E43">
        <w:rPr>
          <w:noProof/>
        </w:rPr>
        <w:t xml:space="preserve">, the Commission has launched an enhanced dialogue </w:t>
      </w:r>
      <w:r w:rsidR="00926DAE" w:rsidRPr="0074690D">
        <w:rPr>
          <w:noProof/>
        </w:rPr>
        <w:t xml:space="preserve">with Vanuatu with a view to </w:t>
      </w:r>
      <w:r w:rsidR="004C454B" w:rsidRPr="0074690D">
        <w:rPr>
          <w:noProof/>
        </w:rPr>
        <w:t>remed</w:t>
      </w:r>
      <w:r w:rsidR="004C454B">
        <w:rPr>
          <w:noProof/>
        </w:rPr>
        <w:t>ying</w:t>
      </w:r>
      <w:r w:rsidR="00926DAE" w:rsidRPr="0074690D">
        <w:rPr>
          <w:noProof/>
        </w:rPr>
        <w:t xml:space="preserve"> </w:t>
      </w:r>
      <w:r w:rsidR="00926DAE" w:rsidRPr="00ED4E43">
        <w:rPr>
          <w:noProof/>
        </w:rPr>
        <w:t xml:space="preserve">the </w:t>
      </w:r>
      <w:r w:rsidR="007123DF">
        <w:rPr>
          <w:noProof/>
        </w:rPr>
        <w:t>circumstances</w:t>
      </w:r>
      <w:r w:rsidR="00926DAE">
        <w:rPr>
          <w:noProof/>
        </w:rPr>
        <w:t xml:space="preserve"> </w:t>
      </w:r>
      <w:r w:rsidR="00113959">
        <w:rPr>
          <w:noProof/>
        </w:rPr>
        <w:t>that</w:t>
      </w:r>
      <w:r w:rsidR="00926DAE">
        <w:rPr>
          <w:noProof/>
        </w:rPr>
        <w:t xml:space="preserve"> gave rise to the temporary suspension of the exemption</w:t>
      </w:r>
      <w:r w:rsidR="00E26897">
        <w:rPr>
          <w:noProof/>
        </w:rPr>
        <w:t xml:space="preserve"> from the visa requirement</w:t>
      </w:r>
      <w:r w:rsidR="00926DAE" w:rsidRPr="00ED4E43">
        <w:rPr>
          <w:noProof/>
        </w:rPr>
        <w:t>.</w:t>
      </w:r>
    </w:p>
    <w:p w14:paraId="2356E94E" w14:textId="77777777" w:rsidR="00926DAE" w:rsidRDefault="00764114" w:rsidP="00764114">
      <w:pPr>
        <w:pStyle w:val="ManualConsidrant"/>
        <w:rPr>
          <w:noProof/>
        </w:rPr>
      </w:pPr>
      <w:r w:rsidRPr="00764114">
        <w:t>(11)</w:t>
      </w:r>
      <w:r w:rsidRPr="00764114">
        <w:tab/>
      </w:r>
      <w:r w:rsidR="00926DAE" w:rsidRPr="001A229F">
        <w:rPr>
          <w:noProof/>
        </w:rPr>
        <w:t>While this dialogue comme</w:t>
      </w:r>
      <w:r w:rsidR="00926DAE">
        <w:rPr>
          <w:noProof/>
        </w:rPr>
        <w:t>nced on 12 May 2022</w:t>
      </w:r>
      <w:r w:rsidR="00926DAE" w:rsidRPr="001A229F">
        <w:rPr>
          <w:noProof/>
        </w:rPr>
        <w:t xml:space="preserve">, </w:t>
      </w:r>
      <w:r w:rsidR="00926DAE">
        <w:rPr>
          <w:noProof/>
        </w:rPr>
        <w:t xml:space="preserve">subsequently </w:t>
      </w:r>
      <w:r w:rsidR="00926DAE" w:rsidRPr="001A229F">
        <w:rPr>
          <w:noProof/>
        </w:rPr>
        <w:t>Vanuatu has not engaged in a</w:t>
      </w:r>
      <w:r w:rsidR="00926DAE">
        <w:rPr>
          <w:noProof/>
        </w:rPr>
        <w:t>ny</w:t>
      </w:r>
      <w:r w:rsidR="00926DAE" w:rsidRPr="001A229F">
        <w:rPr>
          <w:noProof/>
        </w:rPr>
        <w:t xml:space="preserve"> meaningful way. </w:t>
      </w:r>
      <w:r w:rsidR="006D70C9">
        <w:rPr>
          <w:noProof/>
        </w:rPr>
        <w:t>D</w:t>
      </w:r>
      <w:r w:rsidR="00A35755">
        <w:rPr>
          <w:noProof/>
        </w:rPr>
        <w:t xml:space="preserve">uring the nine-month period set down by </w:t>
      </w:r>
      <w:r w:rsidR="006D70C9" w:rsidRPr="007D5D50">
        <w:rPr>
          <w:noProof/>
        </w:rPr>
        <w:t>Implementing Regulation (EU) 2022/693</w:t>
      </w:r>
      <w:r w:rsidR="00A35755">
        <w:rPr>
          <w:noProof/>
        </w:rPr>
        <w:t>, i</w:t>
      </w:r>
      <w:r w:rsidR="00926DAE" w:rsidRPr="001A229F">
        <w:rPr>
          <w:noProof/>
        </w:rPr>
        <w:t xml:space="preserve">t has thus not been possible to remedy the </w:t>
      </w:r>
      <w:r w:rsidR="007123DF">
        <w:rPr>
          <w:noProof/>
        </w:rPr>
        <w:t>circumstances</w:t>
      </w:r>
      <w:r w:rsidR="00926DAE" w:rsidRPr="001A229F">
        <w:rPr>
          <w:noProof/>
        </w:rPr>
        <w:t xml:space="preserve"> which gave rise to the temporary suspension of the exemption</w:t>
      </w:r>
      <w:r w:rsidR="00F12BD9">
        <w:rPr>
          <w:noProof/>
        </w:rPr>
        <w:t xml:space="preserve"> from the visa requirement</w:t>
      </w:r>
      <w:r w:rsidR="00926DAE" w:rsidRPr="001A229F">
        <w:rPr>
          <w:noProof/>
        </w:rPr>
        <w:t>.</w:t>
      </w:r>
    </w:p>
    <w:p w14:paraId="58412702" w14:textId="77777777" w:rsidR="00926DAE" w:rsidRDefault="00764114" w:rsidP="00764114">
      <w:pPr>
        <w:pStyle w:val="ManualConsidrant"/>
        <w:rPr>
          <w:noProof/>
        </w:rPr>
      </w:pPr>
      <w:r w:rsidRPr="00764114">
        <w:t>(12)</w:t>
      </w:r>
      <w:r w:rsidRPr="00764114">
        <w:tab/>
      </w:r>
      <w:r w:rsidR="008B4F1B">
        <w:rPr>
          <w:noProof/>
        </w:rPr>
        <w:t>T</w:t>
      </w:r>
      <w:r w:rsidR="009212C7">
        <w:rPr>
          <w:noProof/>
        </w:rPr>
        <w:t xml:space="preserve">he </w:t>
      </w:r>
      <w:r w:rsidR="003D71FD" w:rsidRPr="00540078">
        <w:rPr>
          <w:noProof/>
        </w:rPr>
        <w:t xml:space="preserve">investor citizenship schemes operated by Vanuatu </w:t>
      </w:r>
      <w:r w:rsidR="009D11CC">
        <w:rPr>
          <w:noProof/>
        </w:rPr>
        <w:t xml:space="preserve">continue </w:t>
      </w:r>
      <w:r w:rsidR="003D71FD" w:rsidRPr="00540078">
        <w:rPr>
          <w:noProof/>
        </w:rPr>
        <w:t>represent</w:t>
      </w:r>
      <w:r w:rsidR="009D11CC">
        <w:rPr>
          <w:noProof/>
        </w:rPr>
        <w:t>ing</w:t>
      </w:r>
      <w:r w:rsidR="003D71FD" w:rsidRPr="00540078">
        <w:rPr>
          <w:noProof/>
        </w:rPr>
        <w:t xml:space="preserve"> an increased risk to the internal security</w:t>
      </w:r>
      <w:r w:rsidR="003D71FD">
        <w:rPr>
          <w:noProof/>
        </w:rPr>
        <w:t xml:space="preserve"> </w:t>
      </w:r>
      <w:r w:rsidR="00ED79E6">
        <w:rPr>
          <w:noProof/>
        </w:rPr>
        <w:t xml:space="preserve">of the Member States </w:t>
      </w:r>
      <w:r w:rsidR="003D71FD">
        <w:rPr>
          <w:noProof/>
        </w:rPr>
        <w:t xml:space="preserve">and </w:t>
      </w:r>
      <w:r w:rsidR="003D71FD" w:rsidRPr="00403BE8">
        <w:rPr>
          <w:noProof/>
        </w:rPr>
        <w:t>a circumvention of the Union short-stay visa procedure and</w:t>
      </w:r>
      <w:r w:rsidR="008B4F1B">
        <w:rPr>
          <w:noProof/>
        </w:rPr>
        <w:t xml:space="preserve"> of</w:t>
      </w:r>
      <w:r w:rsidR="003D71FD" w:rsidRPr="00403BE8">
        <w:rPr>
          <w:noProof/>
        </w:rPr>
        <w:t xml:space="preserve"> the assessment of security and migratory risks it entails.</w:t>
      </w:r>
      <w:r w:rsidR="003D71FD">
        <w:rPr>
          <w:noProof/>
        </w:rPr>
        <w:t xml:space="preserve"> </w:t>
      </w:r>
      <w:r w:rsidR="00ED79E6">
        <w:rPr>
          <w:noProof/>
        </w:rPr>
        <w:t>In the absence</w:t>
      </w:r>
      <w:r w:rsidR="008B4F1B">
        <w:rPr>
          <w:noProof/>
        </w:rPr>
        <w:t xml:space="preserve"> of engagement of Vanuatu to remedy these circumstances</w:t>
      </w:r>
      <w:r w:rsidR="00ED79E6">
        <w:rPr>
          <w:noProof/>
        </w:rPr>
        <w:t>,</w:t>
      </w:r>
      <w:r w:rsidR="008B4F1B">
        <w:rPr>
          <w:noProof/>
        </w:rPr>
        <w:t xml:space="preserve"> </w:t>
      </w:r>
      <w:r w:rsidR="00926DAE" w:rsidRPr="006C74B0">
        <w:rPr>
          <w:noProof/>
        </w:rPr>
        <w:t>Decision</w:t>
      </w:r>
      <w:r w:rsidR="00926DAE" w:rsidRPr="00ED4E43">
        <w:rPr>
          <w:noProof/>
        </w:rPr>
        <w:t xml:space="preserve"> (EU) 2022/366</w:t>
      </w:r>
      <w:r w:rsidR="00926DAE">
        <w:rPr>
          <w:noProof/>
        </w:rPr>
        <w:t xml:space="preserve"> should therefore be repealed and the application of the Agreement </w:t>
      </w:r>
      <w:r w:rsidR="007872A1">
        <w:rPr>
          <w:noProof/>
        </w:rPr>
        <w:t xml:space="preserve">in </w:t>
      </w:r>
      <w:r w:rsidR="007872A1" w:rsidRPr="007872A1">
        <w:rPr>
          <w:noProof/>
        </w:rPr>
        <w:t xml:space="preserve">whole </w:t>
      </w:r>
      <w:r w:rsidR="00926DAE" w:rsidRPr="007872A1">
        <w:rPr>
          <w:noProof/>
        </w:rPr>
        <w:t xml:space="preserve">as regards all </w:t>
      </w:r>
      <w:r w:rsidR="000A0DE7">
        <w:rPr>
          <w:noProof/>
        </w:rPr>
        <w:t>nationals</w:t>
      </w:r>
      <w:r w:rsidR="00926DAE" w:rsidRPr="007872A1">
        <w:rPr>
          <w:noProof/>
        </w:rPr>
        <w:t xml:space="preserve"> of Vanuatu</w:t>
      </w:r>
      <w:r w:rsidR="00926DAE">
        <w:rPr>
          <w:noProof/>
        </w:rPr>
        <w:t xml:space="preserve"> should be suspended.</w:t>
      </w:r>
    </w:p>
    <w:p w14:paraId="5682511D" w14:textId="77777777" w:rsidR="00926DAE" w:rsidRPr="00FD40BA" w:rsidRDefault="00764114" w:rsidP="00764114">
      <w:pPr>
        <w:pStyle w:val="ManualConsidrant"/>
        <w:rPr>
          <w:noProof/>
        </w:rPr>
      </w:pPr>
      <w:r w:rsidRPr="00764114">
        <w:t>(13)</w:t>
      </w:r>
      <w:r w:rsidRPr="00764114">
        <w:tab/>
      </w:r>
      <w:r w:rsidR="00926DAE" w:rsidRPr="00D24E06">
        <w:rPr>
          <w:noProof/>
        </w:rPr>
        <w:t xml:space="preserve">This Decision constitutes a development of the provisions of the Schengen </w:t>
      </w:r>
      <w:r w:rsidR="00926DAE" w:rsidRPr="0049466C">
        <w:rPr>
          <w:i/>
          <w:iCs/>
          <w:noProof/>
        </w:rPr>
        <w:t>acquis</w:t>
      </w:r>
      <w:r w:rsidR="00926DAE" w:rsidRPr="00D24E06">
        <w:rPr>
          <w:noProof/>
        </w:rPr>
        <w:t xml:space="preserve"> in which Ireland does not take part, in accordance with </w:t>
      </w:r>
      <w:r w:rsidR="00926DAE">
        <w:rPr>
          <w:noProof/>
        </w:rPr>
        <w:t>Council Decision 2002/192/EC</w:t>
      </w:r>
      <w:r w:rsidR="00926DAE">
        <w:rPr>
          <w:rStyle w:val="FootnoteReference"/>
          <w:noProof/>
        </w:rPr>
        <w:footnoteReference w:id="10"/>
      </w:r>
      <w:r w:rsidR="00926DAE" w:rsidRPr="00D24E06">
        <w:rPr>
          <w:noProof/>
        </w:rPr>
        <w:t xml:space="preserve">; </w:t>
      </w:r>
      <w:r w:rsidR="00926DAE" w:rsidRPr="00D24E06">
        <w:rPr>
          <w:noProof/>
        </w:rPr>
        <w:lastRenderedPageBreak/>
        <w:t>Ireland is therefore not taking part in the adoption of this Decision and is not bound by it or subject to its application</w:t>
      </w:r>
      <w:r w:rsidR="002A6220">
        <w:rPr>
          <w:noProof/>
        </w:rPr>
        <w:t>,</w:t>
      </w:r>
    </w:p>
    <w:p w14:paraId="606EBA1F" w14:textId="77777777" w:rsidR="00926DAE" w:rsidRPr="00FD40BA" w:rsidRDefault="00926DAE" w:rsidP="00056155">
      <w:pPr>
        <w:pStyle w:val="Formuledadoption"/>
        <w:rPr>
          <w:noProof/>
        </w:rPr>
      </w:pPr>
      <w:r w:rsidRPr="00FD40BA">
        <w:rPr>
          <w:noProof/>
        </w:rPr>
        <w:t xml:space="preserve">HAS ADOPTED THIS DECISION: </w:t>
      </w:r>
    </w:p>
    <w:p w14:paraId="12E72961" w14:textId="77777777" w:rsidR="00926DAE" w:rsidRPr="00FD40BA" w:rsidRDefault="00926DAE" w:rsidP="00056155">
      <w:pPr>
        <w:pStyle w:val="Titrearticle"/>
        <w:rPr>
          <w:noProof/>
        </w:rPr>
      </w:pPr>
      <w:r w:rsidRPr="00FD40BA">
        <w:rPr>
          <w:noProof/>
        </w:rPr>
        <w:t>Article 1</w:t>
      </w:r>
    </w:p>
    <w:p w14:paraId="492B3A37" w14:textId="77777777" w:rsidR="00926DAE" w:rsidRDefault="00926DAE" w:rsidP="3A4FEB74">
      <w:pPr>
        <w:rPr>
          <w:noProof/>
        </w:rPr>
      </w:pPr>
      <w:r>
        <w:rPr>
          <w:noProof/>
        </w:rPr>
        <w:t xml:space="preserve">The </w:t>
      </w:r>
      <w:r w:rsidR="00F179AC">
        <w:rPr>
          <w:noProof/>
        </w:rPr>
        <w:t xml:space="preserve">application of the </w:t>
      </w:r>
      <w:r>
        <w:rPr>
          <w:noProof/>
        </w:rPr>
        <w:t xml:space="preserve">Agreement between the European Union and the Republic of Vanuatu on the short-stay visa waiver is suspended </w:t>
      </w:r>
      <w:r w:rsidRPr="00EB76EE">
        <w:rPr>
          <w:noProof/>
        </w:rPr>
        <w:t xml:space="preserve">in whole as regards </w:t>
      </w:r>
      <w:r w:rsidR="000A0DE7">
        <w:rPr>
          <w:noProof/>
        </w:rPr>
        <w:t>nationals</w:t>
      </w:r>
      <w:r w:rsidRPr="00EB76EE">
        <w:rPr>
          <w:noProof/>
        </w:rPr>
        <w:t xml:space="preserve"> of Vanuatu, as from 4 February 2023</w:t>
      </w:r>
      <w:r>
        <w:rPr>
          <w:noProof/>
        </w:rPr>
        <w:t>.</w:t>
      </w:r>
    </w:p>
    <w:p w14:paraId="1A6530DE" w14:textId="77777777" w:rsidR="00926DAE" w:rsidRPr="00697BE7" w:rsidRDefault="00926DAE" w:rsidP="00056155">
      <w:pPr>
        <w:pStyle w:val="Titrearticle"/>
        <w:keepNext w:val="0"/>
        <w:rPr>
          <w:noProof/>
        </w:rPr>
      </w:pPr>
      <w:r w:rsidRPr="00697BE7">
        <w:rPr>
          <w:noProof/>
        </w:rPr>
        <w:t xml:space="preserve">Article </w:t>
      </w:r>
      <w:r w:rsidRPr="00CC34F8">
        <w:rPr>
          <w:noProof/>
        </w:rPr>
        <w:t>2</w:t>
      </w:r>
    </w:p>
    <w:p w14:paraId="371062CE" w14:textId="77777777" w:rsidR="00926DAE" w:rsidRDefault="00926DAE" w:rsidP="00926DAE">
      <w:pPr>
        <w:rPr>
          <w:noProof/>
        </w:rPr>
      </w:pPr>
      <w:r>
        <w:rPr>
          <w:noProof/>
        </w:rPr>
        <w:t>Decision (EU) 2022/366 is repealed.</w:t>
      </w:r>
    </w:p>
    <w:p w14:paraId="0AAB4E7C" w14:textId="77777777" w:rsidR="00926DAE" w:rsidRPr="00CC34F8" w:rsidRDefault="00926DAE" w:rsidP="00056155">
      <w:pPr>
        <w:pStyle w:val="Titrearticle"/>
        <w:keepNext w:val="0"/>
        <w:rPr>
          <w:noProof/>
        </w:rPr>
      </w:pPr>
      <w:r w:rsidRPr="00697BE7">
        <w:rPr>
          <w:noProof/>
        </w:rPr>
        <w:t xml:space="preserve">Article </w:t>
      </w:r>
      <w:r w:rsidRPr="00CC34F8">
        <w:rPr>
          <w:noProof/>
        </w:rPr>
        <w:t>3</w:t>
      </w:r>
    </w:p>
    <w:p w14:paraId="68EE8FC2" w14:textId="77777777" w:rsidR="00926DAE" w:rsidRPr="00FD40BA" w:rsidRDefault="00926DAE" w:rsidP="00926DAE">
      <w:pPr>
        <w:keepLines/>
        <w:rPr>
          <w:noProof/>
        </w:rPr>
      </w:pPr>
      <w:r w:rsidRPr="00FD40BA">
        <w:rPr>
          <w:noProof/>
        </w:rPr>
        <w:t xml:space="preserve">This Decision shall </w:t>
      </w:r>
      <w:r w:rsidRPr="002C64A0">
        <w:rPr>
          <w:noProof/>
        </w:rPr>
        <w:t xml:space="preserve">enter into force on the </w:t>
      </w:r>
      <w:r w:rsidR="000A0DE7">
        <w:rPr>
          <w:noProof/>
        </w:rPr>
        <w:t xml:space="preserve">twentieth </w:t>
      </w:r>
      <w:r w:rsidRPr="002C64A0">
        <w:rPr>
          <w:noProof/>
        </w:rPr>
        <w:t>day following</w:t>
      </w:r>
      <w:r w:rsidRPr="00FD40BA">
        <w:rPr>
          <w:noProof/>
        </w:rPr>
        <w:t xml:space="preserve"> that of its publication in the </w:t>
      </w:r>
      <w:r w:rsidRPr="00FD40BA">
        <w:rPr>
          <w:i/>
          <w:noProof/>
        </w:rPr>
        <w:t>Official Journal of the European Union</w:t>
      </w:r>
      <w:r>
        <w:rPr>
          <w:noProof/>
        </w:rPr>
        <w:t>.</w:t>
      </w:r>
    </w:p>
    <w:p w14:paraId="230E05D5" w14:textId="77777777" w:rsidR="00926DAE" w:rsidRPr="00B97935" w:rsidRDefault="00926DAE" w:rsidP="00056155">
      <w:pPr>
        <w:rPr>
          <w:noProof/>
          <w:color w:val="008000"/>
        </w:rPr>
      </w:pPr>
    </w:p>
    <w:p w14:paraId="6C02759F" w14:textId="77777777" w:rsidR="00926DAE" w:rsidRDefault="00242A5B" w:rsidP="007549BA">
      <w:pPr>
        <w:pStyle w:val="Fait"/>
        <w:rPr>
          <w:noProof/>
        </w:rPr>
      </w:pPr>
      <w:r w:rsidRPr="00242A5B">
        <w:t>Done at Brussels,</w:t>
      </w:r>
    </w:p>
    <w:p w14:paraId="35674C46" w14:textId="77777777" w:rsidR="00926DAE" w:rsidRDefault="00926DAE" w:rsidP="007549BA">
      <w:pPr>
        <w:pStyle w:val="Institutionquisigne"/>
        <w:rPr>
          <w:noProof/>
        </w:rPr>
      </w:pPr>
      <w:r w:rsidRPr="00926DAE">
        <w:rPr>
          <w:noProof/>
        </w:rPr>
        <w:tab/>
        <w:t>For the Council</w:t>
      </w:r>
    </w:p>
    <w:p w14:paraId="56E5E87A" w14:textId="77777777" w:rsidR="00926DAE" w:rsidRPr="00926DAE" w:rsidRDefault="00926DAE" w:rsidP="00926DAE">
      <w:pPr>
        <w:pStyle w:val="Personnequisigne"/>
        <w:rPr>
          <w:noProof/>
        </w:rPr>
      </w:pPr>
      <w:r w:rsidRPr="00926DAE">
        <w:rPr>
          <w:noProof/>
        </w:rPr>
        <w:tab/>
        <w:t>The President</w:t>
      </w:r>
    </w:p>
    <w:sectPr w:rsidR="00926DAE" w:rsidRPr="00926DAE" w:rsidSect="008F43B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10E9" w14:textId="77777777" w:rsidR="009F060E" w:rsidRDefault="009F060E" w:rsidP="00926DAE">
      <w:pPr>
        <w:spacing w:before="0" w:after="0"/>
      </w:pPr>
      <w:r>
        <w:separator/>
      </w:r>
    </w:p>
  </w:endnote>
  <w:endnote w:type="continuationSeparator" w:id="0">
    <w:p w14:paraId="27E90DA3" w14:textId="77777777" w:rsidR="009F060E" w:rsidRDefault="009F060E" w:rsidP="00926DAE">
      <w:pPr>
        <w:spacing w:before="0" w:after="0"/>
      </w:pPr>
      <w:r>
        <w:continuationSeparator/>
      </w:r>
    </w:p>
  </w:endnote>
  <w:endnote w:type="continuationNotice" w:id="1">
    <w:p w14:paraId="17AC6B47" w14:textId="77777777" w:rsidR="009F060E" w:rsidRDefault="009F060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473B" w14:textId="77777777" w:rsidR="00E274EC" w:rsidRDefault="00E27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EB11" w14:textId="77777777" w:rsidR="006F2107" w:rsidRPr="008F43B9" w:rsidRDefault="008F43B9" w:rsidP="008F43B9">
    <w:pPr>
      <w:pStyle w:val="Footer"/>
      <w:rPr>
        <w:rFonts w:ascii="Arial" w:hAnsi="Arial" w:cs="Arial"/>
        <w:b/>
        <w:sz w:val="48"/>
      </w:rPr>
    </w:pPr>
    <w:r w:rsidRPr="008F43B9">
      <w:rPr>
        <w:rFonts w:ascii="Arial" w:hAnsi="Arial" w:cs="Arial"/>
        <w:b/>
        <w:sz w:val="48"/>
      </w:rPr>
      <w:t>EN</w:t>
    </w:r>
    <w:r w:rsidRPr="008F43B9">
      <w:rPr>
        <w:rFonts w:ascii="Arial" w:hAnsi="Arial" w:cs="Arial"/>
        <w:b/>
        <w:sz w:val="48"/>
      </w:rPr>
      <w:tab/>
    </w:r>
    <w:r w:rsidRPr="008F43B9">
      <w:rPr>
        <w:rFonts w:ascii="Arial" w:hAnsi="Arial" w:cs="Arial"/>
        <w:b/>
        <w:sz w:val="48"/>
      </w:rPr>
      <w:tab/>
    </w:r>
    <w:r w:rsidRPr="008F43B9">
      <w:tab/>
    </w:r>
    <w:r w:rsidRPr="008F43B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4E7B" w14:textId="77777777" w:rsidR="00E274EC" w:rsidRDefault="00E274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3E58" w14:textId="77777777" w:rsidR="008F43B9" w:rsidRPr="008F43B9" w:rsidRDefault="008F43B9" w:rsidP="008F43B9">
    <w:pPr>
      <w:pStyle w:val="Footer"/>
      <w:rPr>
        <w:rFonts w:ascii="Arial" w:hAnsi="Arial" w:cs="Arial"/>
        <w:b/>
        <w:sz w:val="48"/>
      </w:rPr>
    </w:pPr>
    <w:r w:rsidRPr="008F43B9">
      <w:rPr>
        <w:rFonts w:ascii="Arial" w:hAnsi="Arial" w:cs="Arial"/>
        <w:b/>
        <w:sz w:val="48"/>
      </w:rPr>
      <w:t>EN</w:t>
    </w:r>
    <w:r w:rsidRPr="008F43B9">
      <w:rPr>
        <w:rFonts w:ascii="Arial" w:hAnsi="Arial" w:cs="Arial"/>
        <w:b/>
        <w:sz w:val="48"/>
      </w:rPr>
      <w:tab/>
    </w:r>
    <w:r>
      <w:fldChar w:fldCharType="begin"/>
    </w:r>
    <w:r>
      <w:instrText xml:space="preserve"> PAGE  \* MERGEFORMAT </w:instrText>
    </w:r>
    <w:r>
      <w:fldChar w:fldCharType="separate"/>
    </w:r>
    <w:r w:rsidR="007549BA">
      <w:rPr>
        <w:noProof/>
      </w:rPr>
      <w:t>5</w:t>
    </w:r>
    <w:r>
      <w:fldChar w:fldCharType="end"/>
    </w:r>
    <w:r>
      <w:tab/>
    </w:r>
    <w:r w:rsidRPr="008F43B9">
      <w:tab/>
    </w:r>
    <w:r w:rsidRPr="008F43B9">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CCDC" w14:textId="77777777" w:rsidR="008F43B9" w:rsidRPr="008F43B9" w:rsidRDefault="008F43B9" w:rsidP="008F4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AC6C1" w14:textId="77777777" w:rsidR="009F060E" w:rsidRDefault="009F060E" w:rsidP="00926DAE">
      <w:pPr>
        <w:spacing w:before="0" w:after="0"/>
      </w:pPr>
      <w:r>
        <w:separator/>
      </w:r>
    </w:p>
  </w:footnote>
  <w:footnote w:type="continuationSeparator" w:id="0">
    <w:p w14:paraId="5345355B" w14:textId="77777777" w:rsidR="009F060E" w:rsidRDefault="009F060E" w:rsidP="00926DAE">
      <w:pPr>
        <w:spacing w:before="0" w:after="0"/>
      </w:pPr>
      <w:r>
        <w:continuationSeparator/>
      </w:r>
    </w:p>
  </w:footnote>
  <w:footnote w:type="continuationNotice" w:id="1">
    <w:p w14:paraId="678E2823" w14:textId="77777777" w:rsidR="009F060E" w:rsidRDefault="009F060E">
      <w:pPr>
        <w:spacing w:before="0" w:after="0"/>
      </w:pPr>
    </w:p>
  </w:footnote>
  <w:footnote w:id="2">
    <w:p w14:paraId="00BB166E" w14:textId="77777777" w:rsidR="0082103C" w:rsidRPr="003D71FD" w:rsidRDefault="0082103C" w:rsidP="000A0DE7">
      <w:pPr>
        <w:pStyle w:val="FootnoteText"/>
      </w:pPr>
      <w:r w:rsidRPr="00222DC7">
        <w:rPr>
          <w:rStyle w:val="FootnoteReference"/>
        </w:rPr>
        <w:footnoteRef/>
      </w:r>
      <w:r w:rsidR="00222DC7">
        <w:tab/>
      </w:r>
      <w:r w:rsidR="000A0DE7">
        <w:t>Regulation (EU) 2018/1806 of the European Parliament and of the Council of 14 November 2018 listing the third countries whose nationals must be in possession of visas when crossing the external borders and those whose nationals are exempt from that requirement (OJ L 303, 28.11.2018, p. 39).</w:t>
      </w:r>
    </w:p>
  </w:footnote>
  <w:footnote w:id="3">
    <w:p w14:paraId="245823FF" w14:textId="77777777" w:rsidR="0082103C" w:rsidRPr="003D71FD" w:rsidRDefault="0082103C" w:rsidP="0082103C">
      <w:pPr>
        <w:pStyle w:val="FootnoteText"/>
      </w:pPr>
      <w:r w:rsidRPr="00222DC7">
        <w:rPr>
          <w:rStyle w:val="FootnoteReference"/>
        </w:rPr>
        <w:footnoteRef/>
      </w:r>
      <w:r w:rsidR="00222DC7">
        <w:tab/>
      </w:r>
      <w:r w:rsidR="000A0DE7">
        <w:t>Commission Implementing Regulation (EU) 2022/693 of 27 April 2022 on the temporary suspension of the visa exemption for nationals of Vanuatu (OJ L 129, 3.5.2022, p. 18).</w:t>
      </w:r>
    </w:p>
  </w:footnote>
  <w:footnote w:id="4">
    <w:p w14:paraId="6469C3A7" w14:textId="77777777" w:rsidR="006F2107" w:rsidRDefault="006F2107" w:rsidP="00926DAE">
      <w:pPr>
        <w:pStyle w:val="FootnoteText"/>
      </w:pPr>
      <w:r w:rsidRPr="00293683">
        <w:rPr>
          <w:rStyle w:val="FootnoteReference"/>
        </w:rPr>
        <w:footnoteRef/>
      </w:r>
      <w:r>
        <w:tab/>
      </w:r>
      <w:r w:rsidRPr="00C41B45">
        <w:t>OJ L 173, 3.7.2015, p. 48</w:t>
      </w:r>
      <w:r>
        <w:t>.</w:t>
      </w:r>
    </w:p>
  </w:footnote>
  <w:footnote w:id="5">
    <w:p w14:paraId="4883D717" w14:textId="77777777" w:rsidR="006F2107" w:rsidRDefault="006F2107" w:rsidP="00926DAE">
      <w:pPr>
        <w:pStyle w:val="FootnoteText"/>
      </w:pPr>
      <w:r w:rsidRPr="00293683">
        <w:rPr>
          <w:rStyle w:val="FootnoteReference"/>
        </w:rPr>
        <w:footnoteRef/>
      </w:r>
      <w:r>
        <w:tab/>
      </w:r>
      <w:r w:rsidR="009C6479" w:rsidRPr="009C6479">
        <w:t>Council Decision (EU) 2015/1035 of 7 May 2015 on the signing, on behalf of the European Union, and provisional application of the Agreement between the European Union and the Republic of Vanuatu on the short-stay visa waiver</w:t>
      </w:r>
      <w:r w:rsidR="009C6479" w:rsidRPr="009C6479" w:rsidDel="009C6479">
        <w:t xml:space="preserve"> </w:t>
      </w:r>
      <w:r w:rsidR="009C6479">
        <w:t xml:space="preserve"> (OJ L 173, 3.7.2015, p. 46–47) </w:t>
      </w:r>
    </w:p>
  </w:footnote>
  <w:footnote w:id="6">
    <w:p w14:paraId="04DF616E" w14:textId="77777777" w:rsidR="006F2107" w:rsidRDefault="006F2107" w:rsidP="00926DAE">
      <w:pPr>
        <w:pStyle w:val="FootnoteText"/>
      </w:pPr>
      <w:r w:rsidRPr="002C1736">
        <w:rPr>
          <w:rStyle w:val="FootnoteReference"/>
        </w:rPr>
        <w:footnoteRef/>
      </w:r>
      <w:r>
        <w:tab/>
        <w:t>Information provided by Vanuatu's Passport Office on 14 June 2021.</w:t>
      </w:r>
    </w:p>
  </w:footnote>
  <w:footnote w:id="7">
    <w:p w14:paraId="08A964CC" w14:textId="77777777" w:rsidR="006F2107" w:rsidRPr="000A0DE7" w:rsidRDefault="006F2107">
      <w:pPr>
        <w:pStyle w:val="FootnoteText"/>
      </w:pPr>
      <w:r w:rsidRPr="00222DC7">
        <w:rPr>
          <w:rStyle w:val="FootnoteReference"/>
        </w:rPr>
        <w:footnoteRef/>
      </w:r>
      <w:r w:rsidR="00222DC7">
        <w:tab/>
      </w:r>
      <w:r w:rsidRPr="00C41E83">
        <w:t xml:space="preserve">Council </w:t>
      </w:r>
      <w:r w:rsidRPr="00222DC7">
        <w:t>Decision</w:t>
      </w:r>
      <w:r w:rsidRPr="00C41E83">
        <w:t xml:space="preserve"> (EU) 2022/366 of 3 March 2022 on the partial suspension of the application of the </w:t>
      </w:r>
      <w:r>
        <w:rPr>
          <w:lang w:val="en-US"/>
        </w:rPr>
        <w:t>Agreement between the European Union and the Republic of Vanuatu on the short-stay visa waiver (OJ L 69, 4.3.2022, p. 105).</w:t>
      </w:r>
    </w:p>
  </w:footnote>
  <w:footnote w:id="8">
    <w:p w14:paraId="658CA38C" w14:textId="77777777" w:rsidR="006F2107" w:rsidRPr="000A0DE7" w:rsidRDefault="006F2107">
      <w:pPr>
        <w:pStyle w:val="FootnoteText"/>
      </w:pPr>
      <w:r w:rsidRPr="00222DC7">
        <w:rPr>
          <w:rStyle w:val="FootnoteReference"/>
        </w:rPr>
        <w:footnoteRef/>
      </w:r>
      <w:r w:rsidR="00222DC7">
        <w:tab/>
      </w:r>
      <w:r w:rsidRPr="00FD4DA3">
        <w:t>Regulation (EU) 2018/1806 of the European Parliament and of the Council of 14 November 2018 listing the third countries whose nationals must be in possession of visas when crossing the external borders and those whose nationals are exempt from that requirement</w:t>
      </w:r>
      <w:r>
        <w:t xml:space="preserve"> (OJ L 303, 28.11.2018, p. 39).</w:t>
      </w:r>
    </w:p>
  </w:footnote>
  <w:footnote w:id="9">
    <w:p w14:paraId="5F6B2FF6" w14:textId="77777777" w:rsidR="006F2107" w:rsidRPr="008755C0" w:rsidRDefault="006F2107" w:rsidP="009E1FE3">
      <w:pPr>
        <w:pStyle w:val="FootnoteText"/>
        <w:rPr>
          <w:lang w:val="en-US"/>
        </w:rPr>
      </w:pPr>
      <w:r w:rsidRPr="00222DC7">
        <w:rPr>
          <w:rStyle w:val="FootnoteReference"/>
        </w:rPr>
        <w:footnoteRef/>
      </w:r>
      <w:r w:rsidR="00222DC7">
        <w:tab/>
      </w:r>
      <w:r w:rsidRPr="008755C0">
        <w:rPr>
          <w:lang w:val="en-US"/>
        </w:rPr>
        <w:t xml:space="preserve">Commission Implementing Regulation (EU) 2022/693 of 27 </w:t>
      </w:r>
      <w:r>
        <w:rPr>
          <w:lang w:val="en-US"/>
        </w:rPr>
        <w:t>April 2022 on the temporary suspension of the visa exemption for nationals of Vanuatu (OJ L 129, 3.5.2022, p. 18).</w:t>
      </w:r>
    </w:p>
  </w:footnote>
  <w:footnote w:id="10">
    <w:p w14:paraId="2E1BE51B" w14:textId="77777777" w:rsidR="006F2107" w:rsidRDefault="006F2107" w:rsidP="00926DAE">
      <w:pPr>
        <w:pStyle w:val="FootnoteText"/>
      </w:pPr>
      <w:r w:rsidRPr="00AE72BB">
        <w:rPr>
          <w:rStyle w:val="FootnoteReference"/>
        </w:rPr>
        <w:footnoteRef/>
      </w:r>
      <w:r>
        <w:tab/>
      </w:r>
      <w:r>
        <w:rPr>
          <w:color w:val="000000"/>
          <w:sz w:val="19"/>
          <w:szCs w:val="19"/>
          <w:shd w:val="clear" w:color="auto" w:fill="FFFFFF"/>
        </w:rPr>
        <w:t>Council Decision 2002/192/EC of 28 February 2002 concerning Ireland’s request to take part in some of the provisions of the Schengen </w:t>
      </w:r>
      <w:r>
        <w:rPr>
          <w:rStyle w:val="oj-italic"/>
          <w:i/>
          <w:iCs/>
          <w:color w:val="000000"/>
          <w:sz w:val="19"/>
          <w:szCs w:val="19"/>
          <w:shd w:val="clear" w:color="auto" w:fill="FFFFFF"/>
        </w:rPr>
        <w:t>acquis</w:t>
      </w:r>
      <w:r>
        <w:rPr>
          <w:color w:val="000000"/>
          <w:sz w:val="19"/>
          <w:szCs w:val="19"/>
          <w:shd w:val="clear" w:color="auto" w:fill="FFFFFF"/>
        </w:rPr>
        <w:t> (</w:t>
      </w:r>
      <w:r w:rsidRPr="008C7D7B">
        <w:rPr>
          <w:sz w:val="19"/>
          <w:szCs w:val="19"/>
          <w:shd w:val="clear" w:color="auto" w:fill="FFFFFF"/>
        </w:rPr>
        <w:t>OJ L 64, 7.3.2002, p. 20</w:t>
      </w:r>
      <w:r>
        <w:rPr>
          <w:color w:val="000000"/>
          <w:sz w:val="19"/>
          <w:szCs w:val="19"/>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E77B" w14:textId="77777777" w:rsidR="00E274EC" w:rsidRDefault="00E27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9E27" w14:textId="77777777" w:rsidR="00E274EC" w:rsidRDefault="00E27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74E8" w14:textId="77777777" w:rsidR="00E274EC" w:rsidRDefault="00E27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30C441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80F0123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9FE34C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9D4814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0621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7E610C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1CE42B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37EACC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ttachedTemplate r:id="rId1"/>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QCDateTime" w:val="2022-10-07 11:16:56"/>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Yellow"/>
    <w:docVar w:name="DQCVersion" w:val="3"/>
    <w:docVar w:name="DQCWithWarnings" w:val="0"/>
    <w:docVar w:name="LW_CORRIGENDUM" w:val="&lt;UNUSED&gt;"/>
    <w:docVar w:name="LW_COVERPAGE_EXISTS" w:val="True"/>
    <w:docVar w:name="LW_COVERPAGE_GUID" w:val="4F33CD26-1FA1-4CC4-8603-783F10044B1E"/>
    <w:docVar w:name="LW_COVERPAGE_TYPE" w:val="1"/>
    <w:docVar w:name="LW_CROSSREFERENCE" w:val="&lt;UNUSED&gt;"/>
    <w:docVar w:name="LW_DocType" w:val="COM"/>
    <w:docVar w:name="LW_EMISSION" w:val="12.10.2022"/>
    <w:docVar w:name="LW_EMISSION_ISODATE" w:val="2022-10-1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27"/>
    <w:docVar w:name="LW_REF.II.NEW.CP_YEAR" w:val="2022"/>
    <w:docVar w:name="LW_REF.INST.NEW" w:val="COM"/>
    <w:docVar w:name="LW_REF.INST.NEW_ADOPTED" w:val="final"/>
    <w:docVar w:name="LW_REF.INST.NEW_TEXT" w:val="(2022) 5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suspension in whole of the application of the Agreement between the European Union and the Republic of Vanuatu on the short-stay visa waiver_x000b_"/>
    <w:docVar w:name="LW_TYPE.DOC.CP" w:val="COUNCIL DECISION"/>
    <w:docVar w:name="LwApiVersions" w:val="LW4CoDe 1.23.2.0; LW 8.0, Build 20211117"/>
  </w:docVars>
  <w:rsids>
    <w:rsidRoot w:val="00926DAE"/>
    <w:rsid w:val="000247A9"/>
    <w:rsid w:val="00027EC4"/>
    <w:rsid w:val="00056155"/>
    <w:rsid w:val="000803BE"/>
    <w:rsid w:val="000A0C3E"/>
    <w:rsid w:val="000A0DE7"/>
    <w:rsid w:val="000A4A45"/>
    <w:rsid w:val="000A609A"/>
    <w:rsid w:val="000B128E"/>
    <w:rsid w:val="000B1FF4"/>
    <w:rsid w:val="000B26B7"/>
    <w:rsid w:val="000B3A32"/>
    <w:rsid w:val="000B7A7D"/>
    <w:rsid w:val="000C6FAD"/>
    <w:rsid w:val="00103631"/>
    <w:rsid w:val="00113959"/>
    <w:rsid w:val="00146715"/>
    <w:rsid w:val="00152894"/>
    <w:rsid w:val="00157651"/>
    <w:rsid w:val="00166F47"/>
    <w:rsid w:val="0016706E"/>
    <w:rsid w:val="00167C4A"/>
    <w:rsid w:val="001B1629"/>
    <w:rsid w:val="001B37BB"/>
    <w:rsid w:val="001D6327"/>
    <w:rsid w:val="001F4DAD"/>
    <w:rsid w:val="00207EA7"/>
    <w:rsid w:val="00222DC7"/>
    <w:rsid w:val="00242A5B"/>
    <w:rsid w:val="0025318B"/>
    <w:rsid w:val="00256C2B"/>
    <w:rsid w:val="0028048D"/>
    <w:rsid w:val="00282C00"/>
    <w:rsid w:val="002860FA"/>
    <w:rsid w:val="002A1272"/>
    <w:rsid w:val="002A5004"/>
    <w:rsid w:val="002A5C9C"/>
    <w:rsid w:val="002A6220"/>
    <w:rsid w:val="002B3211"/>
    <w:rsid w:val="002B67D6"/>
    <w:rsid w:val="002C419C"/>
    <w:rsid w:val="002C64A0"/>
    <w:rsid w:val="002F03D5"/>
    <w:rsid w:val="0030325A"/>
    <w:rsid w:val="00312AEE"/>
    <w:rsid w:val="00320119"/>
    <w:rsid w:val="003348DC"/>
    <w:rsid w:val="00335041"/>
    <w:rsid w:val="0034430C"/>
    <w:rsid w:val="00354803"/>
    <w:rsid w:val="00355DC2"/>
    <w:rsid w:val="00373E52"/>
    <w:rsid w:val="00380433"/>
    <w:rsid w:val="0038180C"/>
    <w:rsid w:val="00396ACD"/>
    <w:rsid w:val="003B6EB7"/>
    <w:rsid w:val="003D71FD"/>
    <w:rsid w:val="003E0013"/>
    <w:rsid w:val="004008F7"/>
    <w:rsid w:val="00403BE8"/>
    <w:rsid w:val="0042344C"/>
    <w:rsid w:val="00437AA5"/>
    <w:rsid w:val="0044279C"/>
    <w:rsid w:val="00447301"/>
    <w:rsid w:val="00491B6E"/>
    <w:rsid w:val="00492396"/>
    <w:rsid w:val="00492527"/>
    <w:rsid w:val="004930AB"/>
    <w:rsid w:val="004A00FC"/>
    <w:rsid w:val="004B2B07"/>
    <w:rsid w:val="004B40C6"/>
    <w:rsid w:val="004C454B"/>
    <w:rsid w:val="004C5CC6"/>
    <w:rsid w:val="004E19F9"/>
    <w:rsid w:val="004E29E6"/>
    <w:rsid w:val="004E3112"/>
    <w:rsid w:val="00516663"/>
    <w:rsid w:val="00517205"/>
    <w:rsid w:val="0052276F"/>
    <w:rsid w:val="005252C8"/>
    <w:rsid w:val="00525E89"/>
    <w:rsid w:val="00540078"/>
    <w:rsid w:val="00542487"/>
    <w:rsid w:val="005472B5"/>
    <w:rsid w:val="00550B7D"/>
    <w:rsid w:val="00572873"/>
    <w:rsid w:val="00582201"/>
    <w:rsid w:val="00582810"/>
    <w:rsid w:val="00595540"/>
    <w:rsid w:val="005B35F9"/>
    <w:rsid w:val="005B5FA6"/>
    <w:rsid w:val="005F0AE1"/>
    <w:rsid w:val="005F2DAC"/>
    <w:rsid w:val="00602957"/>
    <w:rsid w:val="006136A7"/>
    <w:rsid w:val="00631BAD"/>
    <w:rsid w:val="00645483"/>
    <w:rsid w:val="00650E73"/>
    <w:rsid w:val="00657706"/>
    <w:rsid w:val="006654AB"/>
    <w:rsid w:val="006707A1"/>
    <w:rsid w:val="00684FD4"/>
    <w:rsid w:val="0068594E"/>
    <w:rsid w:val="00697BE7"/>
    <w:rsid w:val="006A2F29"/>
    <w:rsid w:val="006C74B0"/>
    <w:rsid w:val="006C77C1"/>
    <w:rsid w:val="006D70C9"/>
    <w:rsid w:val="006F2107"/>
    <w:rsid w:val="006F574F"/>
    <w:rsid w:val="006F7EFE"/>
    <w:rsid w:val="0070149B"/>
    <w:rsid w:val="007123DF"/>
    <w:rsid w:val="007549BA"/>
    <w:rsid w:val="00764114"/>
    <w:rsid w:val="00773040"/>
    <w:rsid w:val="0078283C"/>
    <w:rsid w:val="007872A1"/>
    <w:rsid w:val="00787695"/>
    <w:rsid w:val="007A0F3C"/>
    <w:rsid w:val="007A3BB1"/>
    <w:rsid w:val="007D0861"/>
    <w:rsid w:val="007D3503"/>
    <w:rsid w:val="007D5D50"/>
    <w:rsid w:val="007E010B"/>
    <w:rsid w:val="007F69C7"/>
    <w:rsid w:val="007F7A93"/>
    <w:rsid w:val="00802FC2"/>
    <w:rsid w:val="0081121B"/>
    <w:rsid w:val="00811BFB"/>
    <w:rsid w:val="0082103C"/>
    <w:rsid w:val="00850F42"/>
    <w:rsid w:val="008518C0"/>
    <w:rsid w:val="00854D41"/>
    <w:rsid w:val="008775DF"/>
    <w:rsid w:val="008B2DA2"/>
    <w:rsid w:val="008B4F1B"/>
    <w:rsid w:val="008C7D7B"/>
    <w:rsid w:val="008E1C5F"/>
    <w:rsid w:val="008E2694"/>
    <w:rsid w:val="008E64F8"/>
    <w:rsid w:val="008F0282"/>
    <w:rsid w:val="008F1E46"/>
    <w:rsid w:val="008F43B9"/>
    <w:rsid w:val="00900CE6"/>
    <w:rsid w:val="00904018"/>
    <w:rsid w:val="009212C7"/>
    <w:rsid w:val="00926DAE"/>
    <w:rsid w:val="0093578B"/>
    <w:rsid w:val="00940731"/>
    <w:rsid w:val="00943329"/>
    <w:rsid w:val="00952F7D"/>
    <w:rsid w:val="00960B9F"/>
    <w:rsid w:val="00985E61"/>
    <w:rsid w:val="009957C5"/>
    <w:rsid w:val="009C6479"/>
    <w:rsid w:val="009D11CC"/>
    <w:rsid w:val="009D4E14"/>
    <w:rsid w:val="009E1FE3"/>
    <w:rsid w:val="009F060E"/>
    <w:rsid w:val="00A011AD"/>
    <w:rsid w:val="00A01B93"/>
    <w:rsid w:val="00A0620B"/>
    <w:rsid w:val="00A13359"/>
    <w:rsid w:val="00A16BAE"/>
    <w:rsid w:val="00A1718D"/>
    <w:rsid w:val="00A3105C"/>
    <w:rsid w:val="00A35755"/>
    <w:rsid w:val="00A41E1D"/>
    <w:rsid w:val="00A565C7"/>
    <w:rsid w:val="00A57074"/>
    <w:rsid w:val="00A57858"/>
    <w:rsid w:val="00A822B8"/>
    <w:rsid w:val="00A951E6"/>
    <w:rsid w:val="00AA5144"/>
    <w:rsid w:val="00AC4578"/>
    <w:rsid w:val="00AD27F3"/>
    <w:rsid w:val="00AE7F5C"/>
    <w:rsid w:val="00B10B45"/>
    <w:rsid w:val="00B12D36"/>
    <w:rsid w:val="00B16BB7"/>
    <w:rsid w:val="00B17BE1"/>
    <w:rsid w:val="00B3789D"/>
    <w:rsid w:val="00B443B0"/>
    <w:rsid w:val="00B53BBB"/>
    <w:rsid w:val="00B9764B"/>
    <w:rsid w:val="00BC6CA6"/>
    <w:rsid w:val="00BE6BE3"/>
    <w:rsid w:val="00BF5823"/>
    <w:rsid w:val="00C00A1A"/>
    <w:rsid w:val="00C03131"/>
    <w:rsid w:val="00C13248"/>
    <w:rsid w:val="00C17840"/>
    <w:rsid w:val="00C17B01"/>
    <w:rsid w:val="00C213C1"/>
    <w:rsid w:val="00C3731F"/>
    <w:rsid w:val="00C40A7A"/>
    <w:rsid w:val="00C41E83"/>
    <w:rsid w:val="00C45332"/>
    <w:rsid w:val="00C4666C"/>
    <w:rsid w:val="00C71BBB"/>
    <w:rsid w:val="00C848D4"/>
    <w:rsid w:val="00C90D29"/>
    <w:rsid w:val="00C927C7"/>
    <w:rsid w:val="00CA4E99"/>
    <w:rsid w:val="00CC2BAA"/>
    <w:rsid w:val="00CC34F8"/>
    <w:rsid w:val="00D150D9"/>
    <w:rsid w:val="00D26FBD"/>
    <w:rsid w:val="00D47696"/>
    <w:rsid w:val="00D55405"/>
    <w:rsid w:val="00D65838"/>
    <w:rsid w:val="00D767E9"/>
    <w:rsid w:val="00D87782"/>
    <w:rsid w:val="00D9433C"/>
    <w:rsid w:val="00DA2632"/>
    <w:rsid w:val="00DB16A3"/>
    <w:rsid w:val="00DB4B20"/>
    <w:rsid w:val="00DD0AFC"/>
    <w:rsid w:val="00DF2B96"/>
    <w:rsid w:val="00DF46F6"/>
    <w:rsid w:val="00E07235"/>
    <w:rsid w:val="00E13215"/>
    <w:rsid w:val="00E13FC4"/>
    <w:rsid w:val="00E26897"/>
    <w:rsid w:val="00E274EC"/>
    <w:rsid w:val="00E32B34"/>
    <w:rsid w:val="00E3326A"/>
    <w:rsid w:val="00E33C9F"/>
    <w:rsid w:val="00E45B09"/>
    <w:rsid w:val="00E84226"/>
    <w:rsid w:val="00E95292"/>
    <w:rsid w:val="00E979AB"/>
    <w:rsid w:val="00EA1A7B"/>
    <w:rsid w:val="00EB76EE"/>
    <w:rsid w:val="00EC39BC"/>
    <w:rsid w:val="00EC577D"/>
    <w:rsid w:val="00ED0E12"/>
    <w:rsid w:val="00ED79E6"/>
    <w:rsid w:val="00EE140B"/>
    <w:rsid w:val="00EE6B0D"/>
    <w:rsid w:val="00F10776"/>
    <w:rsid w:val="00F12BD9"/>
    <w:rsid w:val="00F17216"/>
    <w:rsid w:val="00F179AC"/>
    <w:rsid w:val="00F4756E"/>
    <w:rsid w:val="00F540F9"/>
    <w:rsid w:val="00F549D8"/>
    <w:rsid w:val="00F62536"/>
    <w:rsid w:val="00F7481B"/>
    <w:rsid w:val="00F760D1"/>
    <w:rsid w:val="00F7796A"/>
    <w:rsid w:val="00F8114E"/>
    <w:rsid w:val="00F8193E"/>
    <w:rsid w:val="00F864B0"/>
    <w:rsid w:val="00F97705"/>
    <w:rsid w:val="00FA19F9"/>
    <w:rsid w:val="00FB4242"/>
    <w:rsid w:val="00FC2396"/>
    <w:rsid w:val="00FD4DA3"/>
    <w:rsid w:val="00FD6CBA"/>
    <w:rsid w:val="34D0FFBF"/>
    <w:rsid w:val="3A4FE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6385"/>
    <o:shapelayout v:ext="edit">
      <o:idmap v:ext="edit" data="1"/>
    </o:shapelayout>
  </w:shapeDefaults>
  <w:decimalSymbol w:val=","/>
  <w:listSeparator w:val=";"/>
  <w14:docId w14:val="38650F6E"/>
  <w15:docId w15:val="{0BD9DFC0-BDA1-4DEB-A2D7-CB534A0D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17205"/>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17"/>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DAE"/>
    <w:rPr>
      <w:color w:val="0563C1"/>
      <w:u w:val="single"/>
    </w:rPr>
  </w:style>
  <w:style w:type="character" w:customStyle="1" w:styleId="oj-italic">
    <w:name w:val="oj-italic"/>
    <w:basedOn w:val="DefaultParagraphFont"/>
    <w:rsid w:val="00926DAE"/>
  </w:style>
  <w:style w:type="paragraph" w:styleId="Caption">
    <w:name w:val="caption"/>
    <w:basedOn w:val="Normal"/>
    <w:next w:val="Normal"/>
    <w:uiPriority w:val="35"/>
    <w:semiHidden/>
    <w:unhideWhenUsed/>
    <w:qFormat/>
    <w:rsid w:val="0042344C"/>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42344C"/>
    <w:pPr>
      <w:spacing w:after="0"/>
    </w:pPr>
  </w:style>
  <w:style w:type="paragraph" w:styleId="ListBullet">
    <w:name w:val="List Bullet"/>
    <w:basedOn w:val="Normal"/>
    <w:uiPriority w:val="99"/>
    <w:semiHidden/>
    <w:unhideWhenUsed/>
    <w:rsid w:val="0042344C"/>
    <w:pPr>
      <w:numPr>
        <w:numId w:val="2"/>
      </w:numPr>
      <w:contextualSpacing/>
    </w:pPr>
  </w:style>
  <w:style w:type="paragraph" w:styleId="ListBullet2">
    <w:name w:val="List Bullet 2"/>
    <w:basedOn w:val="Normal"/>
    <w:uiPriority w:val="99"/>
    <w:semiHidden/>
    <w:unhideWhenUsed/>
    <w:rsid w:val="0042344C"/>
    <w:pPr>
      <w:numPr>
        <w:numId w:val="3"/>
      </w:numPr>
      <w:contextualSpacing/>
    </w:pPr>
  </w:style>
  <w:style w:type="paragraph" w:styleId="ListBullet3">
    <w:name w:val="List Bullet 3"/>
    <w:basedOn w:val="Normal"/>
    <w:uiPriority w:val="99"/>
    <w:semiHidden/>
    <w:unhideWhenUsed/>
    <w:rsid w:val="0042344C"/>
    <w:pPr>
      <w:numPr>
        <w:numId w:val="4"/>
      </w:numPr>
      <w:contextualSpacing/>
    </w:pPr>
  </w:style>
  <w:style w:type="paragraph" w:styleId="ListBullet4">
    <w:name w:val="List Bullet 4"/>
    <w:basedOn w:val="Normal"/>
    <w:uiPriority w:val="99"/>
    <w:semiHidden/>
    <w:unhideWhenUsed/>
    <w:rsid w:val="0042344C"/>
    <w:pPr>
      <w:numPr>
        <w:numId w:val="5"/>
      </w:numPr>
      <w:contextualSpacing/>
    </w:pPr>
  </w:style>
  <w:style w:type="paragraph" w:styleId="ListNumber">
    <w:name w:val="List Number"/>
    <w:basedOn w:val="Normal"/>
    <w:uiPriority w:val="99"/>
    <w:semiHidden/>
    <w:unhideWhenUsed/>
    <w:rsid w:val="0042344C"/>
    <w:pPr>
      <w:numPr>
        <w:numId w:val="6"/>
      </w:numPr>
      <w:contextualSpacing/>
    </w:pPr>
  </w:style>
  <w:style w:type="paragraph" w:styleId="ListNumber2">
    <w:name w:val="List Number 2"/>
    <w:basedOn w:val="Normal"/>
    <w:uiPriority w:val="99"/>
    <w:semiHidden/>
    <w:unhideWhenUsed/>
    <w:rsid w:val="0042344C"/>
    <w:pPr>
      <w:numPr>
        <w:numId w:val="7"/>
      </w:numPr>
      <w:contextualSpacing/>
    </w:pPr>
  </w:style>
  <w:style w:type="paragraph" w:styleId="ListNumber3">
    <w:name w:val="List Number 3"/>
    <w:basedOn w:val="Normal"/>
    <w:uiPriority w:val="99"/>
    <w:semiHidden/>
    <w:unhideWhenUsed/>
    <w:rsid w:val="0042344C"/>
    <w:pPr>
      <w:numPr>
        <w:numId w:val="8"/>
      </w:numPr>
      <w:contextualSpacing/>
    </w:pPr>
  </w:style>
  <w:style w:type="paragraph" w:styleId="ListNumber4">
    <w:name w:val="List Number 4"/>
    <w:basedOn w:val="Normal"/>
    <w:uiPriority w:val="99"/>
    <w:semiHidden/>
    <w:unhideWhenUsed/>
    <w:rsid w:val="0042344C"/>
    <w:pPr>
      <w:numPr>
        <w:numId w:val="9"/>
      </w:numPr>
      <w:contextualSpacing/>
    </w:pPr>
  </w:style>
  <w:style w:type="character" w:styleId="CommentReference">
    <w:name w:val="annotation reference"/>
    <w:basedOn w:val="DefaultParagraphFont"/>
    <w:uiPriority w:val="99"/>
    <w:semiHidden/>
    <w:unhideWhenUsed/>
    <w:rsid w:val="00CC34F8"/>
    <w:rPr>
      <w:sz w:val="16"/>
      <w:szCs w:val="16"/>
    </w:rPr>
  </w:style>
  <w:style w:type="paragraph" w:styleId="CommentText">
    <w:name w:val="annotation text"/>
    <w:basedOn w:val="Normal"/>
    <w:link w:val="CommentTextChar"/>
    <w:uiPriority w:val="99"/>
    <w:unhideWhenUsed/>
    <w:rsid w:val="00AD27F3"/>
    <w:rPr>
      <w:sz w:val="20"/>
      <w:szCs w:val="20"/>
    </w:rPr>
  </w:style>
  <w:style w:type="character" w:customStyle="1" w:styleId="CommentTextChar">
    <w:name w:val="Comment Text Char"/>
    <w:basedOn w:val="DefaultParagraphFont"/>
    <w:link w:val="CommentText"/>
    <w:uiPriority w:val="99"/>
    <w:rsid w:val="00CC34F8"/>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C34F8"/>
    <w:rPr>
      <w:b/>
      <w:bCs/>
    </w:rPr>
  </w:style>
  <w:style w:type="character" w:customStyle="1" w:styleId="CommentSubjectChar">
    <w:name w:val="Comment Subject Char"/>
    <w:basedOn w:val="CommentTextChar"/>
    <w:link w:val="CommentSubject"/>
    <w:uiPriority w:val="99"/>
    <w:semiHidden/>
    <w:rsid w:val="00CC34F8"/>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CC34F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4F8"/>
    <w:rPr>
      <w:rFonts w:ascii="Segoe UI" w:hAnsi="Segoe UI" w:cs="Segoe UI"/>
      <w:sz w:val="18"/>
      <w:szCs w:val="18"/>
      <w:lang w:val="en-GB"/>
    </w:rPr>
  </w:style>
  <w:style w:type="paragraph" w:styleId="Revision">
    <w:name w:val="Revision"/>
    <w:hidden/>
    <w:uiPriority w:val="99"/>
    <w:semiHidden/>
    <w:rsid w:val="004C5CC6"/>
    <w:pPr>
      <w:spacing w:after="0" w:line="240" w:lineRule="auto"/>
    </w:pPr>
    <w:rPr>
      <w:rFonts w:ascii="Times New Roman" w:hAnsi="Times New Roman" w:cs="Times New Roman"/>
      <w:sz w:val="24"/>
      <w:lang w:val="en-GB"/>
    </w:rPr>
  </w:style>
  <w:style w:type="character" w:customStyle="1" w:styleId="markedcontent">
    <w:name w:val="markedcontent"/>
    <w:basedOn w:val="DefaultParagraphFont"/>
    <w:rsid w:val="00AD27F3"/>
  </w:style>
  <w:style w:type="character" w:styleId="FollowedHyperlink">
    <w:name w:val="FollowedHyperlink"/>
    <w:basedOn w:val="DefaultParagraphFont"/>
    <w:uiPriority w:val="99"/>
    <w:semiHidden/>
    <w:unhideWhenUsed/>
    <w:rsid w:val="00952F7D"/>
    <w:rPr>
      <w:color w:val="800080" w:themeColor="followedHyperlink"/>
      <w:u w:val="single"/>
    </w:rPr>
  </w:style>
  <w:style w:type="paragraph" w:styleId="Header">
    <w:name w:val="header"/>
    <w:basedOn w:val="Normal"/>
    <w:link w:val="HeaderChar"/>
    <w:uiPriority w:val="99"/>
    <w:unhideWhenUsed/>
    <w:rsid w:val="008F43B9"/>
    <w:pPr>
      <w:tabs>
        <w:tab w:val="center" w:pos="4535"/>
        <w:tab w:val="right" w:pos="9071"/>
      </w:tabs>
      <w:spacing w:before="0"/>
    </w:pPr>
  </w:style>
  <w:style w:type="character" w:customStyle="1" w:styleId="HeaderChar">
    <w:name w:val="Header Char"/>
    <w:basedOn w:val="DefaultParagraphFont"/>
    <w:link w:val="Header"/>
    <w:uiPriority w:val="99"/>
    <w:rsid w:val="008F43B9"/>
    <w:rPr>
      <w:rFonts w:ascii="Times New Roman" w:hAnsi="Times New Roman" w:cs="Times New Roman"/>
      <w:sz w:val="24"/>
      <w:lang w:val="en-GB"/>
    </w:rPr>
  </w:style>
  <w:style w:type="paragraph" w:styleId="Footer">
    <w:name w:val="footer"/>
    <w:basedOn w:val="Normal"/>
    <w:link w:val="FooterChar"/>
    <w:uiPriority w:val="99"/>
    <w:unhideWhenUsed/>
    <w:rsid w:val="008F43B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F43B9"/>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8F43B9"/>
    <w:pPr>
      <w:tabs>
        <w:tab w:val="center" w:pos="7285"/>
        <w:tab w:val="right" w:pos="14003"/>
      </w:tabs>
      <w:spacing w:before="0"/>
    </w:pPr>
  </w:style>
  <w:style w:type="paragraph" w:customStyle="1" w:styleId="FooterLandscape">
    <w:name w:val="FooterLandscape"/>
    <w:basedOn w:val="Normal"/>
    <w:rsid w:val="008F43B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8F43B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F43B9"/>
    <w:pPr>
      <w:spacing w:before="0"/>
      <w:jc w:val="right"/>
    </w:pPr>
    <w:rPr>
      <w:sz w:val="28"/>
    </w:rPr>
  </w:style>
  <w:style w:type="paragraph" w:customStyle="1" w:styleId="FooterSensitivity">
    <w:name w:val="Footer Sensitivity"/>
    <w:basedOn w:val="Normal"/>
    <w:rsid w:val="008F43B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0"/>
      </w:numPr>
    </w:pPr>
  </w:style>
  <w:style w:type="paragraph" w:customStyle="1" w:styleId="Tiret1">
    <w:name w:val="Tiret 1"/>
    <w:basedOn w:val="Point1"/>
    <w:rsid w:val="00517205"/>
    <w:pPr>
      <w:numPr>
        <w:numId w:val="11"/>
      </w:numPr>
    </w:pPr>
  </w:style>
  <w:style w:type="paragraph" w:customStyle="1" w:styleId="Tiret2">
    <w:name w:val="Tiret 2"/>
    <w:basedOn w:val="Point2"/>
    <w:rsid w:val="00517205"/>
    <w:pPr>
      <w:numPr>
        <w:numId w:val="12"/>
      </w:numPr>
    </w:pPr>
  </w:style>
  <w:style w:type="paragraph" w:customStyle="1" w:styleId="Tiret3">
    <w:name w:val="Tiret 3"/>
    <w:basedOn w:val="Point3"/>
    <w:rsid w:val="00517205"/>
    <w:pPr>
      <w:numPr>
        <w:numId w:val="13"/>
      </w:numPr>
    </w:pPr>
  </w:style>
  <w:style w:type="paragraph" w:customStyle="1" w:styleId="Tiret4">
    <w:name w:val="Tiret 4"/>
    <w:basedOn w:val="Point4"/>
    <w:rsid w:val="00517205"/>
    <w:pPr>
      <w:numPr>
        <w:numId w:val="14"/>
      </w:numPr>
    </w:pPr>
  </w:style>
  <w:style w:type="paragraph" w:customStyle="1" w:styleId="Tiret5">
    <w:name w:val="Tiret 5"/>
    <w:basedOn w:val="Point5"/>
    <w:rsid w:val="00517205"/>
    <w:pPr>
      <w:numPr>
        <w:numId w:val="15"/>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16"/>
      </w:numPr>
    </w:pPr>
  </w:style>
  <w:style w:type="paragraph" w:customStyle="1" w:styleId="NumPar2">
    <w:name w:val="NumPar 2"/>
    <w:basedOn w:val="Normal"/>
    <w:next w:val="Text1"/>
    <w:rsid w:val="00517205"/>
    <w:pPr>
      <w:numPr>
        <w:ilvl w:val="1"/>
        <w:numId w:val="16"/>
      </w:numPr>
    </w:pPr>
  </w:style>
  <w:style w:type="paragraph" w:customStyle="1" w:styleId="NumPar3">
    <w:name w:val="NumPar 3"/>
    <w:basedOn w:val="Normal"/>
    <w:next w:val="Text1"/>
    <w:rsid w:val="00517205"/>
    <w:pPr>
      <w:numPr>
        <w:ilvl w:val="2"/>
        <w:numId w:val="16"/>
      </w:numPr>
    </w:pPr>
  </w:style>
  <w:style w:type="paragraph" w:customStyle="1" w:styleId="NumPar4">
    <w:name w:val="NumPar 4"/>
    <w:basedOn w:val="Normal"/>
    <w:next w:val="Text1"/>
    <w:rsid w:val="00517205"/>
    <w:pPr>
      <w:numPr>
        <w:ilvl w:val="3"/>
        <w:numId w:val="16"/>
      </w:numPr>
    </w:pPr>
  </w:style>
  <w:style w:type="paragraph" w:customStyle="1" w:styleId="NumPar5">
    <w:name w:val="NumPar 5"/>
    <w:basedOn w:val="Normal"/>
    <w:next w:val="Text2"/>
    <w:rsid w:val="00517205"/>
    <w:pPr>
      <w:numPr>
        <w:ilvl w:val="4"/>
        <w:numId w:val="16"/>
      </w:numPr>
    </w:pPr>
  </w:style>
  <w:style w:type="paragraph" w:customStyle="1" w:styleId="NumPar6">
    <w:name w:val="NumPar 6"/>
    <w:basedOn w:val="Normal"/>
    <w:next w:val="Text2"/>
    <w:rsid w:val="00517205"/>
    <w:pPr>
      <w:numPr>
        <w:ilvl w:val="5"/>
        <w:numId w:val="16"/>
      </w:numPr>
    </w:pPr>
  </w:style>
  <w:style w:type="paragraph" w:customStyle="1" w:styleId="NumPar7">
    <w:name w:val="NumPar 7"/>
    <w:basedOn w:val="Normal"/>
    <w:next w:val="Text2"/>
    <w:rsid w:val="00517205"/>
    <w:pPr>
      <w:numPr>
        <w:ilvl w:val="6"/>
        <w:numId w:val="16"/>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18"/>
      </w:numPr>
    </w:pPr>
  </w:style>
  <w:style w:type="paragraph" w:customStyle="1" w:styleId="Point1number">
    <w:name w:val="Point 1 (number)"/>
    <w:basedOn w:val="Normal"/>
    <w:rsid w:val="00517205"/>
    <w:pPr>
      <w:numPr>
        <w:ilvl w:val="2"/>
        <w:numId w:val="18"/>
      </w:numPr>
    </w:pPr>
  </w:style>
  <w:style w:type="paragraph" w:customStyle="1" w:styleId="Point2number">
    <w:name w:val="Point 2 (number)"/>
    <w:basedOn w:val="Normal"/>
    <w:rsid w:val="00517205"/>
    <w:pPr>
      <w:numPr>
        <w:ilvl w:val="4"/>
        <w:numId w:val="18"/>
      </w:numPr>
    </w:pPr>
  </w:style>
  <w:style w:type="paragraph" w:customStyle="1" w:styleId="Point3number">
    <w:name w:val="Point 3 (number)"/>
    <w:basedOn w:val="Normal"/>
    <w:rsid w:val="00517205"/>
    <w:pPr>
      <w:numPr>
        <w:ilvl w:val="6"/>
        <w:numId w:val="18"/>
      </w:numPr>
    </w:pPr>
  </w:style>
  <w:style w:type="paragraph" w:customStyle="1" w:styleId="Point0letter">
    <w:name w:val="Point 0 (letter)"/>
    <w:basedOn w:val="Normal"/>
    <w:rsid w:val="00517205"/>
    <w:pPr>
      <w:numPr>
        <w:ilvl w:val="1"/>
        <w:numId w:val="18"/>
      </w:numPr>
    </w:pPr>
  </w:style>
  <w:style w:type="paragraph" w:customStyle="1" w:styleId="Point1letter">
    <w:name w:val="Point 1 (letter)"/>
    <w:basedOn w:val="Normal"/>
    <w:rsid w:val="00517205"/>
    <w:pPr>
      <w:numPr>
        <w:ilvl w:val="3"/>
        <w:numId w:val="18"/>
      </w:numPr>
    </w:pPr>
  </w:style>
  <w:style w:type="paragraph" w:customStyle="1" w:styleId="Point2letter">
    <w:name w:val="Point 2 (letter)"/>
    <w:basedOn w:val="Normal"/>
    <w:rsid w:val="00517205"/>
    <w:pPr>
      <w:numPr>
        <w:ilvl w:val="5"/>
        <w:numId w:val="18"/>
      </w:numPr>
    </w:pPr>
  </w:style>
  <w:style w:type="paragraph" w:customStyle="1" w:styleId="Point3letter">
    <w:name w:val="Point 3 (letter)"/>
    <w:basedOn w:val="Normal"/>
    <w:rsid w:val="00517205"/>
    <w:pPr>
      <w:numPr>
        <w:ilvl w:val="7"/>
        <w:numId w:val="18"/>
      </w:numPr>
    </w:pPr>
  </w:style>
  <w:style w:type="paragraph" w:customStyle="1" w:styleId="Point4letter">
    <w:name w:val="Point 4 (letter)"/>
    <w:basedOn w:val="Normal"/>
    <w:rsid w:val="00517205"/>
    <w:pPr>
      <w:numPr>
        <w:ilvl w:val="8"/>
        <w:numId w:val="18"/>
      </w:numPr>
    </w:pPr>
  </w:style>
  <w:style w:type="paragraph" w:customStyle="1" w:styleId="Bullet0">
    <w:name w:val="Bullet 0"/>
    <w:basedOn w:val="Normal"/>
    <w:rsid w:val="00517205"/>
    <w:pPr>
      <w:numPr>
        <w:numId w:val="19"/>
      </w:numPr>
    </w:pPr>
  </w:style>
  <w:style w:type="paragraph" w:customStyle="1" w:styleId="Bullet1">
    <w:name w:val="Bullet 1"/>
    <w:basedOn w:val="Normal"/>
    <w:rsid w:val="00517205"/>
    <w:pPr>
      <w:numPr>
        <w:numId w:val="20"/>
      </w:numPr>
    </w:pPr>
  </w:style>
  <w:style w:type="paragraph" w:customStyle="1" w:styleId="Bullet2">
    <w:name w:val="Bullet 2"/>
    <w:basedOn w:val="Normal"/>
    <w:rsid w:val="00517205"/>
    <w:pPr>
      <w:numPr>
        <w:numId w:val="21"/>
      </w:numPr>
    </w:pPr>
  </w:style>
  <w:style w:type="paragraph" w:customStyle="1" w:styleId="Bullet3">
    <w:name w:val="Bullet 3"/>
    <w:basedOn w:val="Normal"/>
    <w:rsid w:val="00517205"/>
    <w:pPr>
      <w:numPr>
        <w:numId w:val="22"/>
      </w:numPr>
    </w:pPr>
  </w:style>
  <w:style w:type="paragraph" w:customStyle="1" w:styleId="Bullet4">
    <w:name w:val="Bullet 4"/>
    <w:basedOn w:val="Normal"/>
    <w:rsid w:val="00517205"/>
    <w:pPr>
      <w:numPr>
        <w:numId w:val="23"/>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24"/>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667411">
      <w:bodyDiv w:val="1"/>
      <w:marLeft w:val="0"/>
      <w:marRight w:val="0"/>
      <w:marTop w:val="0"/>
      <w:marBottom w:val="0"/>
      <w:divBdr>
        <w:top w:val="none" w:sz="0" w:space="0" w:color="auto"/>
        <w:left w:val="none" w:sz="0" w:space="0" w:color="auto"/>
        <w:bottom w:val="none" w:sz="0" w:space="0" w:color="auto"/>
        <w:right w:val="none" w:sz="0" w:space="0" w:color="auto"/>
      </w:divBdr>
    </w:div>
    <w:div w:id="13539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31DAD5A7FDD944875FA0996A4AEE24" ma:contentTypeVersion="6" ma:contentTypeDescription="Create a new document." ma:contentTypeScope="" ma:versionID="4ad826d22097d129104b3fe4b9c6e638">
  <xsd:schema xmlns:xsd="http://www.w3.org/2001/XMLSchema" xmlns:xs="http://www.w3.org/2001/XMLSchema" xmlns:p="http://schemas.microsoft.com/office/2006/metadata/properties" xmlns:ns2="1de22d93-b4db-40b3-b539-9cd128ca414e" xmlns:ns3="d682ccd9-731a-4685-8a70-5bf593b8e58c" targetNamespace="http://schemas.microsoft.com/office/2006/metadata/properties" ma:root="true" ma:fieldsID="46befe37abe726a19a87cfdc03a72b33" ns2:_="" ns3:_="">
    <xsd:import namespace="1de22d93-b4db-40b3-b539-9cd128ca414e"/>
    <xsd:import namespace="d682ccd9-731a-4685-8a70-5bf593b8e5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22d93-b4db-40b3-b539-9cd128ca4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82ccd9-731a-4685-8a70-5bf593b8e5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366A30C-B1BB-44F7-8F67-A0676E20901A}">
  <ds:schemaRefs>
    <ds:schemaRef ds:uri="http://schemas.microsoft.com/sharepoint/v3/contenttype/forms"/>
  </ds:schemaRefs>
</ds:datastoreItem>
</file>

<file path=customXml/itemProps2.xml><?xml version="1.0" encoding="utf-8"?>
<ds:datastoreItem xmlns:ds="http://schemas.openxmlformats.org/officeDocument/2006/customXml" ds:itemID="{0939623C-C76E-47C9-A186-5FF2C6F0A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22d93-b4db-40b3-b539-9cd128ca414e"/>
    <ds:schemaRef ds:uri="d682ccd9-731a-4685-8a70-5bf593b8e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9319E-8301-4ECC-9EFA-3791109CF1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67091A-8A11-4AEC-BABB-9AD041A8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6</Pages>
  <Words>1632</Words>
  <Characters>8748</Characters>
  <Application>Microsoft Office Word</Application>
  <DocSecurity>4</DocSecurity>
  <Lines>150</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 Sandrine (SG)</dc:creator>
  <cp:keywords/>
  <dc:description/>
  <cp:lastModifiedBy>PETIT Sandrine (SG)</cp:lastModifiedBy>
  <cp:revision>2</cp:revision>
  <dcterms:created xsi:type="dcterms:W3CDTF">2022-10-07T09:20:00Z</dcterms:created>
  <dcterms:modified xsi:type="dcterms:W3CDTF">2022-10-07T09:20:00Z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ContentTypeId">
    <vt:lpwstr>0x0101004D31DAD5A7FDD944875FA0996A4AEE24</vt:lpwstr>
  </property>
  <property fmtid="{D5CDD505-2E9C-101B-9397-08002B2CF9AE}" pid="11" name="DQCStatus">
    <vt:lpwstr>Yellow (DQC version 03)</vt:lpwstr>
  </property>
  <property fmtid="{D5CDD505-2E9C-101B-9397-08002B2CF9AE}" pid="12" name="MSIP_Label_6bd9ddd1-4d20-43f6-abfa-fc3c07406f94_Enabled">
    <vt:lpwstr>true</vt:lpwstr>
  </property>
  <property fmtid="{D5CDD505-2E9C-101B-9397-08002B2CF9AE}" pid="13" name="MSIP_Label_6bd9ddd1-4d20-43f6-abfa-fc3c07406f94_SetDate">
    <vt:lpwstr>2022-10-07T09:19:58Z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4f8f42b5-fd9f-45e4-a54f-ffde1f6b8e53</vt:lpwstr>
  </property>
  <property fmtid="{D5CDD505-2E9C-101B-9397-08002B2CF9AE}" pid="18" name="MSIP_Label_6bd9ddd1-4d20-43f6-abfa-fc3c07406f94_ContentBits">
    <vt:lpwstr>0</vt:lpwstr>
  </property>
</Properties>
</file>