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42CF8" w14:textId="7DFE1073" w:rsidR="00E0751B" w:rsidRPr="00A33812" w:rsidRDefault="005F6527" w:rsidP="005F6527">
      <w:pPr>
        <w:pStyle w:val="Pagedecouverture"/>
        <w:rPr>
          <w:noProof/>
        </w:rPr>
      </w:pPr>
      <w:bookmarkStart w:id="0" w:name="LW_BM_COVERPAGE"/>
      <w:r>
        <w:rPr>
          <w:noProof/>
        </w:rPr>
        <w:pict w14:anchorId="50E3E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88C6B8A-063F-43AB-9C1D-47B3EA821412" style="width:455.25pt;height:336.75pt">
            <v:imagedata r:id="rId8" o:title=""/>
          </v:shape>
        </w:pict>
      </w:r>
    </w:p>
    <w:bookmarkEnd w:id="0"/>
    <w:p w14:paraId="3E8B5C9B" w14:textId="5A41576F" w:rsidR="00E0751B" w:rsidRPr="00A33812" w:rsidRDefault="00E0751B" w:rsidP="00E0751B">
      <w:pPr>
        <w:pStyle w:val="Pagedecouverture"/>
        <w:rPr>
          <w:noProof/>
        </w:rPr>
        <w:sectPr w:rsidR="00E0751B" w:rsidRPr="00A33812" w:rsidSect="005F652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36CE07B4" w14:textId="01AA29E2" w:rsidR="0049628E" w:rsidRPr="009F7008" w:rsidRDefault="000A5A16" w:rsidP="0049628E">
      <w:pPr>
        <w:pStyle w:val="ListParagraph"/>
        <w:numPr>
          <w:ilvl w:val="0"/>
          <w:numId w:val="13"/>
        </w:numPr>
        <w:jc w:val="both"/>
        <w:rPr>
          <w:rFonts w:ascii="Times New Roman" w:hAnsi="Times New Roman" w:cs="Times New Roman"/>
          <w:b/>
          <w:noProof/>
        </w:rPr>
      </w:pPr>
      <w:bookmarkStart w:id="1" w:name="_GoBack"/>
      <w:bookmarkEnd w:id="1"/>
      <w:r>
        <w:rPr>
          <w:rFonts w:ascii="Times New Roman" w:hAnsi="Times New Roman"/>
          <w:b/>
          <w:smallCaps/>
          <w:noProof/>
        </w:rPr>
        <w:lastRenderedPageBreak/>
        <w:t>Bevezetés</w:t>
      </w:r>
    </w:p>
    <w:p w14:paraId="799FC5FF" w14:textId="5E9B6D6B" w:rsidR="001F0856" w:rsidRPr="009F7008" w:rsidRDefault="00BC2958" w:rsidP="009E07FC">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Az azbeszt rendkívül veszélyes, rákkeltő anyag</w:t>
      </w:r>
      <w:r>
        <w:rPr>
          <w:rStyle w:val="FootnoteReference"/>
          <w:noProof/>
          <w:sz w:val="24"/>
        </w:rPr>
        <w:footnoteReference w:id="2"/>
      </w:r>
      <w:r>
        <w:rPr>
          <w:rFonts w:ascii="Times New Roman" w:hAnsi="Times New Roman"/>
          <w:b/>
          <w:noProof/>
          <w:color w:val="000000" w:themeColor="text1"/>
          <w:sz w:val="24"/>
        </w:rPr>
        <w:t>.</w:t>
      </w:r>
      <w:r>
        <w:rPr>
          <w:rFonts w:ascii="Times New Roman" w:hAnsi="Times New Roman"/>
          <w:noProof/>
          <w:color w:val="000000" w:themeColor="text1"/>
          <w:sz w:val="24"/>
        </w:rPr>
        <w:t xml:space="preserve"> Az azbesztnek való környezeti és foglalkoztatási expozíció ismert módon hozzájárul a rák jelentette magas teherhez Európában, és</w:t>
      </w:r>
      <w:r>
        <w:rPr>
          <w:rFonts w:ascii="Times New Roman" w:hAnsi="Times New Roman"/>
          <w:noProof/>
          <w:sz w:val="24"/>
        </w:rPr>
        <w:t xml:space="preserve"> számos elkerülhető halálesetet okoz. A foglalkozási eredetű rákként elismert rákos megbetegedések 78 %-a, valamint a foglalkozási eredetű tüdőrák 88 %-a összefügg az azbeszttel</w:t>
      </w:r>
      <w:r>
        <w:rPr>
          <w:rStyle w:val="FootnoteReference"/>
          <w:rFonts w:ascii="Times New Roman" w:hAnsi="Times New Roman" w:cs="Times New Roman"/>
          <w:noProof/>
          <w:sz w:val="24"/>
        </w:rPr>
        <w:footnoteReference w:id="3"/>
      </w:r>
      <w:r>
        <w:rPr>
          <w:rFonts w:ascii="Times New Roman" w:hAnsi="Times New Roman"/>
          <w:noProof/>
          <w:sz w:val="24"/>
        </w:rPr>
        <w:t xml:space="preserve">. </w:t>
      </w:r>
      <w:r>
        <w:rPr>
          <w:rFonts w:ascii="Times New Roman" w:hAnsi="Times New Roman"/>
          <w:b/>
          <w:noProof/>
          <w:sz w:val="24"/>
        </w:rPr>
        <w:t>Az azbesztnek való foglalkozási expozíció 2019-ben több mint 70 000 emberéletet követelt az EU 27 tagállamában</w:t>
      </w:r>
      <w:r>
        <w:rPr>
          <w:rStyle w:val="FootnoteReference"/>
          <w:rFonts w:ascii="Times New Roman" w:hAnsi="Times New Roman" w:cs="Times New Roman"/>
          <w:noProof/>
          <w:sz w:val="24"/>
        </w:rPr>
        <w:footnoteReference w:id="4"/>
      </w:r>
      <w:r>
        <w:rPr>
          <w:rFonts w:ascii="Times New Roman" w:hAnsi="Times New Roman"/>
          <w:noProof/>
          <w:sz w:val="24"/>
        </w:rPr>
        <w:t xml:space="preserve">. Bár ez főként a munkával összefüggő korábbi expozíciónak tudható be, megerősíti az azbesztnek való kitettség súlyos következményeit. </w:t>
      </w:r>
      <w:bookmarkStart w:id="2" w:name="_Hlk101975796"/>
    </w:p>
    <w:p w14:paraId="472B7D52" w14:textId="703538C9" w:rsidR="00F64F73" w:rsidRPr="009F7008" w:rsidRDefault="008B2CBD" w:rsidP="00F64F73">
      <w:pPr>
        <w:spacing w:before="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Az EU az elmúlt 40 évben</w:t>
      </w:r>
      <w:r>
        <w:rPr>
          <w:rFonts w:ascii="Times New Roman" w:hAnsi="Times New Roman"/>
          <w:noProof/>
          <w:color w:val="000000" w:themeColor="text1"/>
          <w:sz w:val="24"/>
        </w:rPr>
        <w:t xml:space="preserve"> </w:t>
      </w:r>
      <w:r>
        <w:rPr>
          <w:rFonts w:ascii="Times New Roman" w:hAnsi="Times New Roman"/>
          <w:b/>
          <w:noProof/>
          <w:color w:val="000000" w:themeColor="text1"/>
          <w:sz w:val="24"/>
        </w:rPr>
        <w:t>intézkedéseket hozott az azbeszt felhasználásának korlátozása, majd az azbeszt mindenfajta felhasználásának betiltása érdekében</w:t>
      </w:r>
      <w:r>
        <w:rPr>
          <w:rFonts w:ascii="Times New Roman" w:hAnsi="Times New Roman"/>
          <w:noProof/>
          <w:color w:val="000000" w:themeColor="text1"/>
          <w:sz w:val="24"/>
        </w:rPr>
        <w:t>. 1983</w:t>
      </w:r>
      <w:r>
        <w:rPr>
          <w:rStyle w:val="FootnoteReference"/>
          <w:rFonts w:ascii="Times New Roman" w:hAnsi="Times New Roman" w:cs="Times New Roman"/>
          <w:noProof/>
          <w:color w:val="000000" w:themeColor="text1"/>
          <w:sz w:val="24"/>
        </w:rPr>
        <w:footnoteReference w:id="5"/>
      </w:r>
      <w:r>
        <w:rPr>
          <w:rFonts w:ascii="Times New Roman" w:hAnsi="Times New Roman"/>
          <w:noProof/>
          <w:color w:val="000000" w:themeColor="text1"/>
          <w:sz w:val="24"/>
        </w:rPr>
        <w:t xml:space="preserve"> és 1985</w:t>
      </w:r>
      <w:r>
        <w:rPr>
          <w:rStyle w:val="FootnoteReference"/>
          <w:rFonts w:ascii="Times New Roman" w:hAnsi="Times New Roman" w:cs="Times New Roman"/>
          <w:noProof/>
          <w:color w:val="000000" w:themeColor="text1"/>
          <w:sz w:val="24"/>
        </w:rPr>
        <w:footnoteReference w:id="6"/>
      </w:r>
      <w:r>
        <w:rPr>
          <w:rFonts w:ascii="Times New Roman" w:hAnsi="Times New Roman"/>
          <w:noProof/>
          <w:color w:val="000000" w:themeColor="text1"/>
          <w:sz w:val="24"/>
        </w:rPr>
        <w:t>között az EU hat azbesztrosttípus felhasználását korlátozta. Az EU 1991-ben ezek közül öt azbesztrosttípus forgalomba hozatalát és felhasználását tiltotta be</w:t>
      </w:r>
      <w:r>
        <w:rPr>
          <w:rStyle w:val="FootnoteReference"/>
          <w:rFonts w:ascii="Times New Roman" w:hAnsi="Times New Roman" w:cs="Times New Roman"/>
          <w:noProof/>
          <w:color w:val="000000" w:themeColor="text1"/>
          <w:sz w:val="24"/>
        </w:rPr>
        <w:footnoteReference w:id="7"/>
      </w:r>
      <w:r>
        <w:rPr>
          <w:rFonts w:ascii="Times New Roman" w:hAnsi="Times New Roman"/>
          <w:noProof/>
          <w:color w:val="000000" w:themeColor="text1"/>
          <w:sz w:val="24"/>
        </w:rPr>
        <w:t>, továbbá többek között megtiltotta az építőipari termékekben széles körben alkalmazott krizotilazbeszt felhasználását</w:t>
      </w:r>
      <w:r>
        <w:rPr>
          <w:rStyle w:val="FootnoteReference"/>
          <w:rFonts w:ascii="Times New Roman" w:hAnsi="Times New Roman" w:cs="Times New Roman"/>
          <w:noProof/>
          <w:color w:val="000000" w:themeColor="text1"/>
          <w:sz w:val="24"/>
        </w:rPr>
        <w:footnoteReference w:id="8"/>
      </w:r>
      <w:r>
        <w:rPr>
          <w:rFonts w:ascii="Times New Roman" w:hAnsi="Times New Roman"/>
          <w:noProof/>
          <w:color w:val="000000" w:themeColor="text1"/>
          <w:sz w:val="24"/>
        </w:rPr>
        <w:t>. Az EU 1999-ben betiltotta az azbesztrostok mind a hat típusát</w:t>
      </w:r>
      <w:r>
        <w:rPr>
          <w:rStyle w:val="FootnoteReference"/>
          <w:rFonts w:ascii="Times New Roman" w:hAnsi="Times New Roman" w:cs="Times New Roman"/>
          <w:noProof/>
          <w:color w:val="000000" w:themeColor="text1"/>
          <w:sz w:val="24"/>
        </w:rPr>
        <w:footnoteReference w:id="9"/>
      </w:r>
      <w:r>
        <w:rPr>
          <w:rFonts w:ascii="Times New Roman" w:hAnsi="Times New Roman"/>
          <w:noProof/>
          <w:color w:val="000000" w:themeColor="text1"/>
          <w:sz w:val="24"/>
        </w:rPr>
        <w:t xml:space="preserve">, és az uniós azbeszttilalom 2005-ben lépett hatályba. </w:t>
      </w:r>
      <w:bookmarkEnd w:id="2"/>
      <w:r>
        <w:rPr>
          <w:rFonts w:ascii="Times New Roman" w:hAnsi="Times New Roman"/>
          <w:noProof/>
          <w:color w:val="000000" w:themeColor="text1"/>
          <w:sz w:val="24"/>
        </w:rPr>
        <w:t>A tilalom az EU-ban előállított és az EU-ba behozott termékekre is alkalmazandó</w:t>
      </w:r>
      <w:r>
        <w:rPr>
          <w:rStyle w:val="FootnoteReference"/>
          <w:rFonts w:ascii="Times New Roman" w:hAnsi="Times New Roman" w:cs="Times New Roman"/>
          <w:noProof/>
          <w:color w:val="000000" w:themeColor="text1"/>
          <w:sz w:val="24"/>
        </w:rPr>
        <w:footnoteReference w:id="10"/>
      </w:r>
      <w:r>
        <w:rPr>
          <w:rFonts w:ascii="Times New Roman" w:hAnsi="Times New Roman"/>
          <w:noProof/>
          <w:color w:val="000000" w:themeColor="text1"/>
          <w:sz w:val="24"/>
        </w:rPr>
        <w:t>.</w:t>
      </w:r>
    </w:p>
    <w:p w14:paraId="187A5342" w14:textId="5F50D63C" w:rsidR="00B85590" w:rsidRPr="009F7008" w:rsidRDefault="00B85590" w:rsidP="00862C9E">
      <w:pPr>
        <w:spacing w:before="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A rák elleni küzdelem uniós prioritás</w:t>
      </w:r>
      <w:r>
        <w:rPr>
          <w:rFonts w:ascii="Times New Roman" w:hAnsi="Times New Roman"/>
          <w:noProof/>
          <w:color w:val="000000" w:themeColor="text1"/>
          <w:sz w:val="24"/>
        </w:rPr>
        <w:t>. A Bizottság az európai rákellenes terv</w:t>
      </w:r>
      <w:r>
        <w:rPr>
          <w:rStyle w:val="FootnoteReference"/>
          <w:rFonts w:ascii="Times New Roman" w:hAnsi="Times New Roman" w:cs="Times New Roman"/>
          <w:noProof/>
          <w:color w:val="000000" w:themeColor="text1"/>
          <w:sz w:val="24"/>
        </w:rPr>
        <w:footnoteReference w:id="11"/>
      </w:r>
      <w:r>
        <w:rPr>
          <w:rFonts w:ascii="Times New Roman" w:hAnsi="Times New Roman"/>
          <w:noProof/>
          <w:color w:val="000000" w:themeColor="text1"/>
          <w:sz w:val="24"/>
        </w:rPr>
        <w:t xml:space="preserve"> és a szennyezőanyag-mentességi cselekvési terv</w:t>
      </w:r>
      <w:r>
        <w:rPr>
          <w:rStyle w:val="FootnoteReference"/>
          <w:rFonts w:ascii="Times New Roman" w:hAnsi="Times New Roman" w:cs="Times New Roman"/>
          <w:noProof/>
          <w:color w:val="000000" w:themeColor="text1"/>
          <w:sz w:val="24"/>
        </w:rPr>
        <w:footnoteReference w:id="12"/>
      </w:r>
      <w:r>
        <w:rPr>
          <w:rFonts w:ascii="Times New Roman" w:hAnsi="Times New Roman"/>
          <w:noProof/>
          <w:color w:val="000000" w:themeColor="text1"/>
          <w:sz w:val="24"/>
        </w:rPr>
        <w:t xml:space="preserve"> részeként kötelezettséget vállalt a rákkeltő anyagoknak, például az azbesztnek való kitettség hatékony csökkentésére. Mivel az azbeszt még mindig számos épületben, köztük magánlakásokban is megtalálható, </w:t>
      </w:r>
      <w:r>
        <w:rPr>
          <w:rFonts w:ascii="Times New Roman" w:hAnsi="Times New Roman"/>
          <w:noProof/>
          <w:sz w:val="24"/>
        </w:rPr>
        <w:t>ezért egy számos szakpolitikai területet átfogó és integrált megközelítésre van szükség a múltból ránk maradt e probléma kezeléséhez.</w:t>
      </w:r>
      <w:r>
        <w:rPr>
          <w:rFonts w:ascii="Times New Roman" w:hAnsi="Times New Roman"/>
          <w:noProof/>
          <w:color w:val="000000" w:themeColor="text1"/>
          <w:sz w:val="24"/>
        </w:rPr>
        <w:t xml:space="preserve"> Az azbesztnek való kitettséggel járó kockázatok kezelésére irányuló további intézkedések megvédik az embereket a betegségektől, előmozdítják a jóllétet és segítenek az európai egészségügyi unió megerősítésében. </w:t>
      </w:r>
    </w:p>
    <w:p w14:paraId="435D4675" w14:textId="0F8D325C" w:rsidR="005831C5" w:rsidRPr="009F7008" w:rsidRDefault="00D4201C" w:rsidP="00862C9E">
      <w:pPr>
        <w:spacing w:before="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A lakosság azbesztnek való kitettséggel szembeni védelme különösen fontos az európai zöld megállapodás fényében, amelynek keretében az EU többek között az épületfelújítások arányát szeretné növelni</w:t>
      </w:r>
      <w:r>
        <w:rPr>
          <w:rFonts w:ascii="Times New Roman" w:hAnsi="Times New Roman"/>
          <w:b/>
          <w:noProof/>
          <w:sz w:val="24"/>
        </w:rPr>
        <w:t xml:space="preserve">. </w:t>
      </w:r>
      <w:r>
        <w:rPr>
          <w:rFonts w:ascii="Times New Roman" w:hAnsi="Times New Roman"/>
          <w:noProof/>
          <w:sz w:val="24"/>
        </w:rPr>
        <w:t>Az épületek az energiával kapcsolatos üvegházhatásúgáz-kibocsátás 36 %-áért felelősek. Mivel a becslések szerint a jelenlegi épületek több mint 85 %-a még 2050-ben is állni fog, az energiahatékonysági felújítások elengedhetetlenek lesznek az európai zöld megállapodás célkitűzéseinek</w:t>
      </w:r>
      <w:r>
        <w:rPr>
          <w:rStyle w:val="FootnoteReference"/>
          <w:rFonts w:ascii="Times New Roman" w:hAnsi="Times New Roman" w:cs="Times New Roman"/>
          <w:noProof/>
          <w:color w:val="000000" w:themeColor="text1"/>
          <w:sz w:val="24"/>
        </w:rPr>
        <w:footnoteReference w:id="13"/>
      </w:r>
      <w:r>
        <w:rPr>
          <w:rFonts w:ascii="Times New Roman" w:hAnsi="Times New Roman"/>
          <w:noProof/>
          <w:sz w:val="24"/>
        </w:rPr>
        <w:t xml:space="preserve"> eléréséhez. Ebben az összefüggésben </w:t>
      </w:r>
      <w:bookmarkStart w:id="3" w:name="_Hlk109661774"/>
      <w:r>
        <w:rPr>
          <w:rFonts w:ascii="Times New Roman" w:hAnsi="Times New Roman"/>
          <w:noProof/>
          <w:sz w:val="24"/>
        </w:rPr>
        <w:t>az épületkorszerűsítési program</w:t>
      </w:r>
      <w:r>
        <w:rPr>
          <w:rStyle w:val="FootnoteReference"/>
          <w:rFonts w:ascii="Times New Roman" w:hAnsi="Times New Roman" w:cs="Times New Roman"/>
          <w:noProof/>
          <w:sz w:val="24"/>
        </w:rPr>
        <w:footnoteReference w:id="14"/>
      </w:r>
      <w:r>
        <w:rPr>
          <w:rFonts w:ascii="Times New Roman" w:hAnsi="Times New Roman"/>
          <w:noProof/>
          <w:sz w:val="24"/>
        </w:rPr>
        <w:t xml:space="preserve"> célja, hogy 2030-ig megkétszerezze az épületek energetikai felújításának éves arányát</w:t>
      </w:r>
      <w:bookmarkEnd w:id="3"/>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Az energiafogyasztás csökkentését célzó speciális felújítási munkálatok jobbá tehetik a lakosok egészségügyi és életkörülményeit, javíthatják a levegőminőséget, enyhíthetik az energiaszegénységet és előmozdíthatják a társadalmi befogadást. Emellett hosszú távon növelhetik az ingatlanok értékét, valamint munkahelyeket és beruházásokat teremthetnek, amelyek gyakran a helyi ellátási láncokból erednek. Ugyanakkor mivel sok rossz energiahatékonyságú épületet azbeszt felhasználásával építettek fel, a magasabb épületfelújítási arány jelentős mértékben növelheti az azbeszttel összefüggő egészségügyi kockázatoknak kitett emberek számát is, mert a felújítási munkák során a levegőbe juthat az épületekben lévő azbeszt.</w:t>
      </w:r>
      <w:r>
        <w:rPr>
          <w:rFonts w:ascii="Times New Roman" w:hAnsi="Times New Roman"/>
          <w:noProof/>
          <w:color w:val="000000" w:themeColor="text1"/>
          <w:sz w:val="24"/>
        </w:rPr>
        <w:t xml:space="preserve"> </w:t>
      </w:r>
      <w:r>
        <w:rPr>
          <w:rFonts w:ascii="Times New Roman" w:hAnsi="Times New Roman"/>
          <w:noProof/>
          <w:sz w:val="24"/>
        </w:rPr>
        <w:t>Az azbesztnek kitett munkavállalók jelenlegi 4,1–7,3 milliós száma a következő 10 évben várhatóan évi 4 %-kal nő</w:t>
      </w:r>
      <w:r>
        <w:rPr>
          <w:rStyle w:val="FootnoteReference"/>
          <w:rFonts w:ascii="Times New Roman" w:hAnsi="Times New Roman" w:cs="Times New Roman"/>
          <w:noProof/>
          <w:sz w:val="24"/>
        </w:rPr>
        <w:footnoteReference w:id="15"/>
      </w:r>
      <w:r>
        <w:rPr>
          <w:rFonts w:ascii="Times New Roman" w:hAnsi="Times New Roman"/>
          <w:noProof/>
          <w:sz w:val="24"/>
        </w:rPr>
        <w:t xml:space="preserve">. </w:t>
      </w:r>
    </w:p>
    <w:p w14:paraId="73D3F354" w14:textId="3932E50C" w:rsidR="007641FD" w:rsidRPr="009F7008" w:rsidRDefault="007641FD" w:rsidP="009E07FC">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Az Európai Parlament 2021 októberében állásfoglalást</w:t>
      </w:r>
      <w:r>
        <w:rPr>
          <w:rStyle w:val="FootnoteReference"/>
          <w:rFonts w:ascii="Times New Roman" w:hAnsi="Times New Roman" w:cs="Times New Roman"/>
          <w:b/>
          <w:noProof/>
          <w:color w:val="000000" w:themeColor="text1"/>
          <w:sz w:val="24"/>
        </w:rPr>
        <w:footnoteReference w:id="16"/>
      </w:r>
      <w:r>
        <w:rPr>
          <w:rFonts w:ascii="Times New Roman" w:hAnsi="Times New Roman"/>
          <w:b/>
          <w:noProof/>
          <w:color w:val="000000" w:themeColor="text1"/>
          <w:sz w:val="24"/>
        </w:rPr>
        <w:t xml:space="preserve"> fogadott el, amelyben felszólított</w:t>
      </w:r>
      <w:r>
        <w:rPr>
          <w:rFonts w:ascii="Times New Roman" w:hAnsi="Times New Roman"/>
          <w:noProof/>
          <w:color w:val="000000" w:themeColor="text1"/>
          <w:sz w:val="24"/>
        </w:rPr>
        <w:t xml:space="preserve"> </w:t>
      </w:r>
      <w:r>
        <w:rPr>
          <w:rFonts w:ascii="Times New Roman" w:hAnsi="Times New Roman"/>
          <w:b/>
          <w:noProof/>
          <w:color w:val="000000" w:themeColor="text1"/>
          <w:sz w:val="24"/>
        </w:rPr>
        <w:t>az összes azbeszt eltávolítására irányuló európai stratégia elfogadására.</w:t>
      </w:r>
      <w:r>
        <w:rPr>
          <w:rFonts w:ascii="Times New Roman" w:hAnsi="Times New Roman"/>
          <w:noProof/>
          <w:color w:val="000000" w:themeColor="text1"/>
          <w:sz w:val="24"/>
        </w:rPr>
        <w:t xml:space="preserve"> A Parlament az állásfoglalásban további uniós fellépésre szólított fel a munkavállalók és polgárok azbesztnek való kitettséggel összefüggő egészségügyi kockázatoktól való védelme érdekében, különösen az energetikai átmenettel összefüggésben. Az Európai Gazdasági és Szociális Bizottság is felszólított az azbeszt eltávolítására</w:t>
      </w:r>
      <w:r>
        <w:rPr>
          <w:rStyle w:val="FootnoteReference"/>
          <w:rFonts w:ascii="Times New Roman" w:hAnsi="Times New Roman" w:cs="Times New Roman"/>
          <w:noProof/>
          <w:color w:val="000000" w:themeColor="text1"/>
          <w:sz w:val="24"/>
        </w:rPr>
        <w:footnoteReference w:id="17"/>
      </w:r>
      <w:r>
        <w:rPr>
          <w:rFonts w:ascii="Times New Roman" w:hAnsi="Times New Roman"/>
          <w:noProof/>
          <w:color w:val="000000" w:themeColor="text1"/>
          <w:sz w:val="24"/>
        </w:rPr>
        <w:t>, hangsúlyozva, hogy az energetikai felújítási munkálatok szinergiákat teremtenek a káros anyagok eltávolításával</w:t>
      </w:r>
      <w:r>
        <w:rPr>
          <w:rStyle w:val="FootnoteReference"/>
          <w:rFonts w:ascii="Times New Roman" w:hAnsi="Times New Roman" w:cs="Times New Roman"/>
          <w:noProof/>
          <w:color w:val="000000" w:themeColor="text1"/>
          <w:sz w:val="24"/>
        </w:rPr>
        <w:footnoteReference w:id="18"/>
      </w:r>
      <w:r>
        <w:rPr>
          <w:rFonts w:ascii="Times New Roman" w:hAnsi="Times New Roman"/>
          <w:noProof/>
          <w:color w:val="000000" w:themeColor="text1"/>
          <w:sz w:val="24"/>
        </w:rPr>
        <w:t xml:space="preserve">. </w:t>
      </w:r>
      <w:bookmarkStart w:id="4" w:name="_Hlk109831127"/>
      <w:r>
        <w:rPr>
          <w:rFonts w:ascii="Times New Roman" w:hAnsi="Times New Roman"/>
          <w:noProof/>
          <w:color w:val="000000" w:themeColor="text1"/>
          <w:sz w:val="24"/>
        </w:rPr>
        <w:t>A polgárok által az Európa jövőjéről szóló konferencia keretében megfogalmazott ajánlások is kiemelték a méltányos munkafeltételek fontosságát, különös tekintettel a munkahelyi azbesztről szóló irányelv és az egészséggel kapcsolatos holisztikus megközelítés felülvizsgálatára</w:t>
      </w:r>
      <w:r>
        <w:rPr>
          <w:rStyle w:val="FootnoteReference"/>
          <w:rFonts w:ascii="Times New Roman" w:hAnsi="Times New Roman" w:cs="Times New Roman"/>
          <w:noProof/>
          <w:color w:val="000000" w:themeColor="text1"/>
          <w:sz w:val="24"/>
        </w:rPr>
        <w:footnoteReference w:id="19"/>
      </w:r>
      <w:r>
        <w:rPr>
          <w:rFonts w:ascii="Times New Roman" w:hAnsi="Times New Roman"/>
          <w:noProof/>
          <w:color w:val="000000" w:themeColor="text1"/>
          <w:sz w:val="24"/>
        </w:rPr>
        <w:t>.</w:t>
      </w:r>
      <w:bookmarkEnd w:id="4"/>
    </w:p>
    <w:p w14:paraId="7E95B378" w14:textId="7141D9D5" w:rsidR="001F5778" w:rsidRPr="00595692" w:rsidRDefault="00794FB9" w:rsidP="009E07FC">
      <w:pPr>
        <w:spacing w:before="120" w:after="120"/>
        <w:jc w:val="both"/>
        <w:rPr>
          <w:rFonts w:ascii="Times New Roman" w:hAnsi="Times New Roman" w:cs="Times New Roman"/>
          <w:noProof/>
          <w:sz w:val="24"/>
        </w:rPr>
      </w:pPr>
      <w:r>
        <w:rPr>
          <w:rFonts w:ascii="Times New Roman" w:hAnsi="Times New Roman"/>
          <w:b/>
          <w:noProof/>
          <w:sz w:val="24"/>
        </w:rPr>
        <w:t xml:space="preserve">Az azbeszttel kapcsolatban európai megközelítésre van szükség az emberi egészség és környezet védelme érdekében, különös tekintettel az európai zöld megállapodás és az európai rákellenes terv végrehajtása során. </w:t>
      </w:r>
      <w:r>
        <w:rPr>
          <w:rFonts w:ascii="Times New Roman" w:hAnsi="Times New Roman"/>
          <w:noProof/>
          <w:sz w:val="24"/>
        </w:rPr>
        <w:t>E cél elérése érdekében ez a közlemény egy átfogó közegészségügyi célkitűzés által alátámasztott életciklus-szemléletet mutat be. Ez magában foglalja az épületekben lévő azbeszt azonosításához és az ilyen jellegű információk nyilvántartásba vételéhez, adott esetben az azbeszt biztonságos eltávolításának vagy kezelésének biztosításához, valamint az azbeszttartalmú hulladék kezeléséhez szükséges fellépéseket, miközben maximalizálja a munkavállalók védelmét és biztosítja az azbeszttel összefüggő betegségek megfelelő nyomon követését. E közlemény az azbeszt jelentette kockázatok elleni küzdelem nemzetközi vezető szerepét az EU-ra osztja. Kiemeli továbbá az azbeszt nemzeti, regionális és helyi szinten történő biztonságos eltávolítása céljából már létező vagy tervezett programok alapján rendelkezésre álló uniós forrásokat. A meghozott intézkedések a fenntartható fejlődési célokhoz (SDG-k) is hozzájárulnának</w:t>
      </w:r>
      <w:r>
        <w:rPr>
          <w:rStyle w:val="FootnoteReference"/>
          <w:rFonts w:ascii="Times New Roman" w:hAnsi="Times New Roman" w:cs="Times New Roman"/>
          <w:noProof/>
          <w:sz w:val="24"/>
        </w:rPr>
        <w:footnoteReference w:id="20"/>
      </w:r>
      <w:r>
        <w:rPr>
          <w:rFonts w:ascii="Times New Roman" w:hAnsi="Times New Roman"/>
          <w:noProof/>
          <w:sz w:val="24"/>
        </w:rPr>
        <w:t xml:space="preserve">. </w:t>
      </w:r>
    </w:p>
    <w:p w14:paraId="0A2593E3" w14:textId="77777777" w:rsidR="000676B7" w:rsidRPr="009F7008" w:rsidRDefault="000676B7" w:rsidP="009E07FC">
      <w:pPr>
        <w:spacing w:before="120" w:after="120"/>
        <w:jc w:val="both"/>
        <w:rPr>
          <w:rFonts w:ascii="Times New Roman" w:hAnsi="Times New Roman" w:cs="Times New Roman"/>
          <w:noProof/>
          <w:sz w:val="24"/>
        </w:rPr>
      </w:pPr>
    </w:p>
    <w:p w14:paraId="5FBB23CA" w14:textId="0E8A9EBE" w:rsidR="00907F65" w:rsidRPr="009F7008" w:rsidRDefault="008F27A4" w:rsidP="00907F65">
      <w:pPr>
        <w:pStyle w:val="ListParagraph"/>
        <w:numPr>
          <w:ilvl w:val="0"/>
          <w:numId w:val="13"/>
        </w:numPr>
        <w:spacing w:after="240"/>
        <w:ind w:left="714" w:hanging="357"/>
        <w:jc w:val="both"/>
        <w:rPr>
          <w:rFonts w:ascii="Times New Roman" w:hAnsi="Times New Roman" w:cs="Times New Roman"/>
          <w:b/>
          <w:smallCaps/>
          <w:noProof/>
        </w:rPr>
      </w:pPr>
      <w:bookmarkStart w:id="5" w:name="_Hlk105505764"/>
      <w:r>
        <w:rPr>
          <w:rFonts w:ascii="Times New Roman" w:hAnsi="Times New Roman"/>
          <w:b/>
          <w:smallCaps/>
          <w:noProof/>
        </w:rPr>
        <w:t>Az áldozatok támogatása: az azbeszttel összefüggő betegségek felismerésének és kezelésének javítása</w:t>
      </w:r>
    </w:p>
    <w:p w14:paraId="2B0EA496" w14:textId="7E9BF10C" w:rsidR="00E21720" w:rsidRPr="00A33812" w:rsidRDefault="00803F98" w:rsidP="009E07FC">
      <w:pPr>
        <w:spacing w:before="120" w:after="120"/>
        <w:jc w:val="both"/>
        <w:rPr>
          <w:noProof/>
          <w:shd w:val="clear" w:color="auto" w:fill="FFFFFF"/>
        </w:rPr>
      </w:pPr>
      <w:r>
        <w:rPr>
          <w:rFonts w:ascii="Times New Roman" w:hAnsi="Times New Roman"/>
          <w:b/>
          <w:noProof/>
          <w:sz w:val="24"/>
        </w:rPr>
        <w:t>Az azbeszttel kapcsolatos határozott és ambiciózus politika jelentős előnyöket hozna az emberi egészség és jóllét szempontjából.</w:t>
      </w:r>
      <w:r>
        <w:rPr>
          <w:rFonts w:ascii="Times New Roman" w:hAnsi="Times New Roman"/>
          <w:noProof/>
          <w:sz w:val="24"/>
        </w:rPr>
        <w:t xml:space="preserve"> </w:t>
      </w:r>
      <w:r>
        <w:rPr>
          <w:rFonts w:ascii="Times New Roman" w:hAnsi="Times New Roman"/>
          <w:noProof/>
          <w:color w:val="000000" w:themeColor="text1"/>
          <w:sz w:val="24"/>
        </w:rPr>
        <w:t>Az azbesztnek való kitettség</w:t>
      </w:r>
      <w:r>
        <w:rPr>
          <w:rFonts w:ascii="Times New Roman" w:hAnsi="Times New Roman"/>
          <w:noProof/>
          <w:sz w:val="24"/>
        </w:rPr>
        <w:t xml:space="preserve"> olyan betegségeket okozhat, mint a mezotelióma</w:t>
      </w:r>
      <w:r>
        <w:rPr>
          <w:rStyle w:val="FootnoteReference"/>
          <w:rFonts w:ascii="Times New Roman" w:hAnsi="Times New Roman" w:cs="Times New Roman"/>
          <w:noProof/>
          <w:sz w:val="24"/>
        </w:rPr>
        <w:footnoteReference w:id="21"/>
      </w:r>
      <w:r>
        <w:rPr>
          <w:rFonts w:ascii="Times New Roman" w:hAnsi="Times New Roman"/>
          <w:noProof/>
          <w:sz w:val="24"/>
        </w:rPr>
        <w:t>, az azbesztózis és a tüdőrák.</w:t>
      </w:r>
      <w:r>
        <w:rPr>
          <w:rFonts w:ascii="Times New Roman" w:hAnsi="Times New Roman"/>
          <w:b/>
          <w:noProof/>
          <w:sz w:val="24"/>
        </w:rPr>
        <w:t xml:space="preserve"> </w:t>
      </w:r>
      <w:r>
        <w:rPr>
          <w:rFonts w:ascii="Times New Roman" w:hAnsi="Times New Roman"/>
          <w:noProof/>
          <w:color w:val="000000" w:themeColor="text1"/>
          <w:sz w:val="24"/>
        </w:rPr>
        <w:t>Az azbeszt által okozott rákos megbetegedések súlyosak és túlélési arányuk alacsony.</w:t>
      </w:r>
      <w:r>
        <w:rPr>
          <w:rFonts w:ascii="Times New Roman" w:hAnsi="Times New Roman"/>
          <w:noProof/>
          <w:sz w:val="24"/>
        </w:rPr>
        <w:t xml:space="preserve"> A mezotelióma nem gyógyítható és a betegek várható élettartama 4–18 hónap</w:t>
      </w:r>
      <w:r>
        <w:rPr>
          <w:rStyle w:val="FootnoteReference"/>
          <w:rFonts w:ascii="Times New Roman" w:hAnsi="Times New Roman" w:cs="Times New Roman"/>
          <w:noProof/>
          <w:sz w:val="24"/>
        </w:rPr>
        <w:footnoteReference w:id="22"/>
      </w:r>
      <w:r>
        <w:rPr>
          <w:rFonts w:ascii="Times New Roman" w:hAnsi="Times New Roman"/>
          <w:noProof/>
          <w:sz w:val="24"/>
        </w:rPr>
        <w:t xml:space="preserve">. </w:t>
      </w:r>
      <w:r>
        <w:rPr>
          <w:rFonts w:ascii="Times New Roman" w:hAnsi="Times New Roman"/>
          <w:noProof/>
          <w:sz w:val="24"/>
          <w:shd w:val="clear" w:color="auto" w:fill="FFFFFF"/>
        </w:rPr>
        <w:t>Az azbesztnek való kitettség felel a mezoteliómiás esetek 92 %-áért</w:t>
      </w:r>
      <w:r>
        <w:rPr>
          <w:rStyle w:val="FootnoteReference"/>
          <w:rFonts w:ascii="Times New Roman" w:hAnsi="Times New Roman" w:cs="Times New Roman"/>
          <w:noProof/>
          <w:sz w:val="24"/>
          <w:shd w:val="clear" w:color="auto" w:fill="FFFFFF"/>
        </w:rPr>
        <w:footnoteReference w:id="23"/>
      </w:r>
      <w:r>
        <w:rPr>
          <w:rFonts w:ascii="Times New Roman" w:hAnsi="Times New Roman"/>
          <w:noProof/>
          <w:sz w:val="24"/>
          <w:shd w:val="clear" w:color="auto" w:fill="FFFFFF"/>
        </w:rPr>
        <w:t>. A tüdőrák – amely a második leggyakrabban diagnosztizált rákfajta a férfiak és a harmadik leggyakoribb a nők esetében – a diagnózist követően viszonylag alacsony túlélési aránnyal rendelkezik az egyéb gyakori rákfajtákhoz képest</w:t>
      </w:r>
      <w:r>
        <w:rPr>
          <w:rStyle w:val="FootnoteReference"/>
          <w:rFonts w:ascii="Times New Roman" w:hAnsi="Times New Roman" w:cs="Times New Roman"/>
          <w:noProof/>
          <w:sz w:val="24"/>
          <w:shd w:val="clear" w:color="auto" w:fill="FFFFFF"/>
        </w:rPr>
        <w:footnoteReference w:id="24"/>
      </w:r>
      <w:r>
        <w:rPr>
          <w:rFonts w:ascii="Times New Roman" w:hAnsi="Times New Roman"/>
          <w:noProof/>
          <w:sz w:val="24"/>
          <w:shd w:val="clear" w:color="auto" w:fill="FFFFFF"/>
        </w:rPr>
        <w:t xml:space="preserve">. </w:t>
      </w:r>
    </w:p>
    <w:p w14:paraId="6A7D2B49" w14:textId="2E0DFF58" w:rsidR="00EE3AE9" w:rsidRPr="009F7008" w:rsidRDefault="00907F65" w:rsidP="009E07FC">
      <w:pPr>
        <w:spacing w:before="120" w:after="120"/>
        <w:jc w:val="both"/>
        <w:rPr>
          <w:rFonts w:ascii="Times New Roman" w:hAnsi="Times New Roman" w:cs="Times New Roman"/>
          <w:noProof/>
          <w:color w:val="000000" w:themeColor="text1"/>
          <w:sz w:val="24"/>
        </w:rPr>
      </w:pPr>
      <w:r>
        <w:rPr>
          <w:rFonts w:ascii="Times New Roman" w:hAnsi="Times New Roman"/>
          <w:b/>
          <w:noProof/>
          <w:sz w:val="24"/>
        </w:rPr>
        <w:t>Az azbeszttel összefüggő megbetegedéseknek hosszú lappangási idejük van</w:t>
      </w:r>
      <w:r>
        <w:rPr>
          <w:rFonts w:ascii="Times New Roman" w:hAnsi="Times New Roman"/>
          <w:noProof/>
          <w:sz w:val="24"/>
        </w:rPr>
        <w:t xml:space="preserve">. Mivel a kitettség időpontja és a betegség első jelei között átlagosan 30 év telhet el, az azbeszt 2005-ben történő betiltását megelőzően fennálló kitettség okozta azbeszttel összefüggő halálesetek és megbetegedések várhatóan a 2020-as és 2030-as évek végén következnek be. </w:t>
      </w:r>
    </w:p>
    <w:p w14:paraId="3733DA0A" w14:textId="619F6FF6" w:rsidR="000D2D33" w:rsidRPr="00A33812" w:rsidRDefault="00845548" w:rsidP="000D2D33">
      <w:pPr>
        <w:pStyle w:val="typedudocumentcp"/>
        <w:shd w:val="clear" w:color="auto" w:fill="FFFFFF"/>
        <w:spacing w:before="120" w:beforeAutospacing="0" w:after="120" w:afterAutospacing="0" w:line="259" w:lineRule="auto"/>
        <w:jc w:val="both"/>
        <w:textAlignment w:val="baseline"/>
        <w:rPr>
          <w:b/>
          <w:noProof/>
        </w:rPr>
      </w:pPr>
      <w:r>
        <w:rPr>
          <w:b/>
          <w:noProof/>
        </w:rPr>
        <w:t>A szűrés és a korai felismerés alapvető fontosságú a rák megelőzése szempontjából.</w:t>
      </w:r>
      <w:r>
        <w:rPr>
          <w:noProof/>
        </w:rPr>
        <w:t xml:space="preserve"> Az európai rákellenes terv részeként a Bizottság kötelezettséget vállalt egy új, az EU által támogatott rákszűrési rendszer</w:t>
      </w:r>
      <w:r>
        <w:rPr>
          <w:rStyle w:val="FootnoteReference"/>
          <w:noProof/>
        </w:rPr>
        <w:footnoteReference w:id="25"/>
      </w:r>
      <w:r>
        <w:rPr>
          <w:noProof/>
        </w:rPr>
        <w:t xml:space="preserve"> előterjesztésére annak érdekében, hogy elősegítse a tagállamok korai felismeréshez való jobb hozzáférését. Az új rendszer kulcsfontosságú elemei közé tartozik a rákszűrésről szóló 2003. évi tanácsi ajánlás aktualizálására irányuló bizottsági javaslat</w:t>
      </w:r>
      <w:r>
        <w:rPr>
          <w:rStyle w:val="FootnoteReference"/>
          <w:noProof/>
        </w:rPr>
        <w:footnoteReference w:id="26"/>
      </w:r>
      <w:r>
        <w:rPr>
          <w:noProof/>
        </w:rPr>
        <w:t xml:space="preserve">, amely magában foglalja a népességalapú szűrés kiterjesztését a tüdőrákra. A rendszert továbbá a rákgyógyászatbeli képalkotásra vonatkozó európai kezdeményezés támogatja. A rákkal kapcsolatos képek és adatok „atlaszára”, valamint a nagy teljesítményű számítástechnikához és mesterséges intelligenciához hasonló új eszközökre építve a kezdeményezés biztosítani fogja az új szűrőmódszerek és -algoritmusok kidolgozásához szükséges ökoszisztémát. A szűrés és a korai felismerés területén történő beruházások jelentős mértékben segíthetik az azbesztnek való kitettség áldozatait, mivel a gyors diagnózis és kezelés enyhíti az azbeszttel összefüggő betegségek hatásait, ideértve a rákos megbetegedéseket is. Emellett a rákellenes terv számos kulcsfontosságú fellépése a diagnózis optimalizálására, a rákos betegek kezelésére és ellátására összpontosít, ideértve az olyan rossz diagnózisú összetett rákos megbetegedéseket is, mint az azbesztnek való kitettség által okozott betegségek. Például az egyes tagállamokban elismert komplex nemzeti rákközpontokat összekapcsoló uniós hálózat létrehozása javítani fogja a magas színvonalú diagnózishoz való hozzáférést és ellátást, a „rákdiagnosztika és kezelés mindenki számára” kezdeményezés javítani fogja az innovatív rákkezelési módszerekhez való hozzáférést, és az onkológiára, sebészetre, radiológiára és ápolási tevékenységekre összpontosító „interspecializációs képzési program” javítani fogja a rákkezeléssel foglalkozó munkaerő készségeit.  </w:t>
      </w:r>
    </w:p>
    <w:p w14:paraId="2968890D" w14:textId="5B40701F" w:rsidR="00845548" w:rsidRPr="00A33812" w:rsidRDefault="00845548" w:rsidP="008814CD">
      <w:pPr>
        <w:pStyle w:val="typedudocumentcp"/>
        <w:shd w:val="clear" w:color="auto" w:fill="FFFFFF"/>
        <w:spacing w:before="120" w:beforeAutospacing="0" w:after="120" w:afterAutospacing="0" w:line="259" w:lineRule="auto"/>
        <w:jc w:val="both"/>
        <w:textAlignment w:val="baseline"/>
        <w:rPr>
          <w:b/>
          <w:noProof/>
        </w:rPr>
      </w:pPr>
    </w:p>
    <w:p w14:paraId="3085D97B" w14:textId="2353E951" w:rsidR="00895775" w:rsidRDefault="00AB09FD" w:rsidP="00862C9E">
      <w:pPr>
        <w:pStyle w:val="typedudocumentcp"/>
        <w:shd w:val="clear" w:color="auto" w:fill="FFFFFF"/>
        <w:spacing w:before="120" w:beforeAutospacing="0" w:after="120" w:afterAutospacing="0" w:line="259" w:lineRule="auto"/>
        <w:jc w:val="both"/>
        <w:textAlignment w:val="baseline"/>
        <w:rPr>
          <w:noProof/>
        </w:rPr>
      </w:pPr>
      <w:r>
        <w:rPr>
          <w:b/>
          <w:noProof/>
        </w:rPr>
        <w:t>Az azbesztnek való kitettség kockázata munkahelyi környezetben a legmagasabb.</w:t>
      </w:r>
      <w:r>
        <w:rPr>
          <w:noProof/>
        </w:rPr>
        <w:t xml:space="preserve"> 2016-ban a 27 uniós tagállamban a becslések szerint 66 808 haláleset volt tulajdonítható az azbesztnek való múltbeli munkahelyi expozíciónak</w:t>
      </w:r>
      <w:r>
        <w:rPr>
          <w:rStyle w:val="FootnoteReference"/>
          <w:rFonts w:eastAsiaTheme="minorEastAsia"/>
          <w:noProof/>
        </w:rPr>
        <w:footnoteReference w:id="27"/>
      </w:r>
      <w:r>
        <w:rPr>
          <w:noProof/>
        </w:rPr>
        <w:t>. 2019-ben a halálesetek száma 71 750-re emelkedett</w:t>
      </w:r>
      <w:r>
        <w:rPr>
          <w:noProof/>
          <w:vertAlign w:val="superscript"/>
        </w:rPr>
        <w:footnoteReference w:id="28"/>
      </w:r>
      <w:r>
        <w:rPr>
          <w:noProof/>
        </w:rPr>
        <w:t>.</w:t>
      </w:r>
      <w:r>
        <w:rPr>
          <w:b/>
          <w:noProof/>
        </w:rPr>
        <w:t xml:space="preserve"> </w:t>
      </w:r>
      <w:r>
        <w:rPr>
          <w:noProof/>
        </w:rPr>
        <w:t xml:space="preserve">Annak érdekében, hogy az érintett munkavállalók hozzáférjenek a megfelelő kártalanítási rendszerekhez, el kell ismerni az azbeszttel összefüggő betegségek foglalkozási eredetét. Mivel a Szerződés nem teszi lehetővé, hogy a Bizottság jogilag kötelező erejű eszközt javasoljon e területen, ezért a foglalkozási megbetegedések elismerésének uniós szinten való </w:t>
      </w:r>
      <w:r>
        <w:rPr>
          <w:noProof/>
          <w:shd w:val="clear" w:color="auto" w:fill="FFFFFF"/>
        </w:rPr>
        <w:t>elősegítésének</w:t>
      </w:r>
      <w:r>
        <w:rPr>
          <w:noProof/>
        </w:rPr>
        <w:t xml:space="preserve"> fő alapja a </w:t>
      </w:r>
      <w:r>
        <w:rPr>
          <w:noProof/>
          <w:color w:val="000000" w:themeColor="text1"/>
        </w:rPr>
        <w:t>2003/670/EK</w:t>
      </w:r>
      <w:r>
        <w:rPr>
          <w:noProof/>
        </w:rPr>
        <w:t xml:space="preserve"> bizottsági ajánlás</w:t>
      </w:r>
      <w:r>
        <w:rPr>
          <w:noProof/>
          <w:vertAlign w:val="superscript"/>
        </w:rPr>
        <w:footnoteReference w:id="29"/>
      </w:r>
      <w:r>
        <w:rPr>
          <w:noProof/>
        </w:rPr>
        <w:t>. Ezen ajánlás jelenleg az azbesztnek való munkahelyi expozíció által okozott rákos megbetegedésekre és egyéb betegségekre terjed ki. A Bizottság konzultációt folytat majd a háromoldalú munkahelyi biztonsági és egészségvédelmi tanácsadó bizottsággal (ACSH) az ajánlás legújabb tudományos eredmények tükrében történő aktualizálásának szükségességéről</w:t>
      </w:r>
      <w:r>
        <w:rPr>
          <w:rStyle w:val="FootnoteReference"/>
          <w:noProof/>
        </w:rPr>
        <w:footnoteReference w:id="30"/>
      </w:r>
      <w:r>
        <w:rPr>
          <w:noProof/>
        </w:rPr>
        <w:t>.</w:t>
      </w:r>
    </w:p>
    <w:tbl>
      <w:tblPr>
        <w:tblStyle w:val="TableGrid"/>
        <w:tblW w:w="0" w:type="auto"/>
        <w:tblLook w:val="0600" w:firstRow="0" w:lastRow="0" w:firstColumn="0" w:lastColumn="0" w:noHBand="1" w:noVBand="1"/>
      </w:tblPr>
      <w:tblGrid>
        <w:gridCol w:w="9242"/>
      </w:tblGrid>
      <w:tr w:rsidR="0038683A" w:rsidRPr="009F7008" w14:paraId="7E0913F4" w14:textId="77777777" w:rsidTr="00C86FBD">
        <w:tc>
          <w:tcPr>
            <w:tcW w:w="9576" w:type="dxa"/>
          </w:tcPr>
          <w:p w14:paraId="089753C1" w14:textId="3F1D67B3" w:rsidR="0038683A" w:rsidRPr="00A33812" w:rsidRDefault="0038683A" w:rsidP="00A33812">
            <w:pPr>
              <w:spacing w:before="120" w:after="120"/>
              <w:jc w:val="both"/>
              <w:rPr>
                <w:rFonts w:ascii="Times New Roman" w:hAnsi="Times New Roman" w:cs="Times New Roman"/>
                <w:b/>
                <w:noProof/>
                <w:sz w:val="28"/>
              </w:rPr>
            </w:pPr>
            <w:r>
              <w:rPr>
                <w:rFonts w:ascii="Times New Roman" w:hAnsi="Times New Roman"/>
                <w:b/>
                <w:noProof/>
              </w:rPr>
              <w:t xml:space="preserve">A Bizottság: </w:t>
            </w:r>
          </w:p>
          <w:p w14:paraId="47A09371" w14:textId="6C4392D3" w:rsidR="00E12FE1" w:rsidRPr="009F7008" w:rsidRDefault="00803F98" w:rsidP="00EC4BEE">
            <w:pPr>
              <w:pStyle w:val="ListParagraph"/>
              <w:numPr>
                <w:ilvl w:val="0"/>
                <w:numId w:val="37"/>
              </w:numPr>
              <w:jc w:val="both"/>
              <w:rPr>
                <w:rFonts w:ascii="Times New Roman" w:hAnsi="Times New Roman" w:cs="Times New Roman"/>
                <w:noProof/>
              </w:rPr>
            </w:pPr>
            <w:r>
              <w:rPr>
                <w:rFonts w:ascii="Times New Roman" w:hAnsi="Times New Roman"/>
                <w:noProof/>
              </w:rPr>
              <w:t>elindítja a rákgyógyászatbeli képalkotásra vonatkozó európai kezdeményezést (2022),</w:t>
            </w:r>
          </w:p>
          <w:p w14:paraId="198E2AB5" w14:textId="6AA07776" w:rsidR="00EB2AD8" w:rsidRPr="009F7008" w:rsidRDefault="00803F98" w:rsidP="00EC4BEE">
            <w:pPr>
              <w:pStyle w:val="ListParagraph"/>
              <w:numPr>
                <w:ilvl w:val="0"/>
                <w:numId w:val="37"/>
              </w:numPr>
              <w:jc w:val="both"/>
              <w:rPr>
                <w:rFonts w:ascii="Times New Roman" w:hAnsi="Times New Roman" w:cs="Times New Roman"/>
                <w:noProof/>
              </w:rPr>
            </w:pPr>
            <w:r>
              <w:rPr>
                <w:rFonts w:ascii="Times New Roman" w:hAnsi="Times New Roman"/>
                <w:noProof/>
              </w:rPr>
              <w:t xml:space="preserve">konzultál a háromoldalú munkahelyi biztonsági és egészségvédelmi tanácsadó bizottsággal (ACSH) a foglalkozási betegségek európai jegyzékéről szóló bizottsági ajánlás azbeszttel összefüggő további betegségek jegyzékhez történő hozzáadása révén való aktualizálásának szükségességéről </w:t>
            </w:r>
          </w:p>
        </w:tc>
      </w:tr>
      <w:bookmarkEnd w:id="5"/>
    </w:tbl>
    <w:p w14:paraId="73A0F332" w14:textId="77777777" w:rsidR="00286E3B" w:rsidRPr="009F7008" w:rsidRDefault="00286E3B">
      <w:pPr>
        <w:rPr>
          <w:rFonts w:ascii="Times New Roman" w:eastAsiaTheme="minorEastAsia" w:hAnsi="Times New Roman" w:cs="Times New Roman"/>
          <w:b/>
          <w:smallCaps/>
          <w:noProof/>
          <w:sz w:val="24"/>
        </w:rPr>
      </w:pPr>
    </w:p>
    <w:p w14:paraId="2F44CED7" w14:textId="4EC0E410" w:rsidR="00233B97" w:rsidRPr="009F7008" w:rsidRDefault="00701FCA" w:rsidP="00F66099">
      <w:pPr>
        <w:pStyle w:val="ListParagraph"/>
        <w:numPr>
          <w:ilvl w:val="0"/>
          <w:numId w:val="13"/>
        </w:numPr>
        <w:spacing w:after="240"/>
        <w:ind w:left="714" w:hanging="357"/>
        <w:jc w:val="both"/>
        <w:rPr>
          <w:rFonts w:ascii="Times New Roman" w:hAnsi="Times New Roman" w:cs="Times New Roman"/>
          <w:b/>
          <w:smallCaps/>
          <w:noProof/>
        </w:rPr>
      </w:pPr>
      <w:r>
        <w:rPr>
          <w:rFonts w:ascii="Times New Roman" w:hAnsi="Times New Roman"/>
          <w:b/>
          <w:smallCaps/>
          <w:noProof/>
        </w:rPr>
        <w:t>A munkavállalók azbesztnek való kitettséggel szembeni védelme</w:t>
      </w:r>
    </w:p>
    <w:p w14:paraId="5998F008" w14:textId="0F8E754E" w:rsidR="00920DEE" w:rsidRPr="00C0766C" w:rsidRDefault="00E62131" w:rsidP="00C0766C">
      <w:pPr>
        <w:spacing w:before="120" w:after="120"/>
        <w:jc w:val="both"/>
        <w:rPr>
          <w:rFonts w:ascii="Times New Roman" w:hAnsi="Times New Roman" w:cs="Times New Roman"/>
          <w:noProof/>
          <w:color w:val="000000" w:themeColor="text1"/>
          <w:sz w:val="24"/>
        </w:rPr>
      </w:pPr>
      <w:r>
        <w:rPr>
          <w:rFonts w:ascii="Times New Roman" w:hAnsi="Times New Roman"/>
          <w:b/>
          <w:noProof/>
          <w:sz w:val="24"/>
        </w:rPr>
        <w:t>Az azbesztnek való kitettség kockázata főként az azbeszt kezelésével és az azbesztszálak építési munkálatok – például felújítás és bontás – során történő szétszóródásával függ össze.</w:t>
      </w:r>
      <w:r>
        <w:rPr>
          <w:rFonts w:ascii="Times New Roman" w:hAnsi="Times New Roman"/>
          <w:noProof/>
          <w:sz w:val="24"/>
        </w:rPr>
        <w:t xml:space="preserve"> Becslések szerint 4,1–7,3 millió munkavállaló van kitéve azbesztnek. E munkavállalók 97 %-a dolgozik az építőiparban, ideértve az olyan kapcsolódó foglalkozásokat is, mint a tetőfedés, vízvezeték-szerelés, asztalosmunkák vagy padlóburkolás, továbbá a munkavállalók 2 %-a dolgozik a hulladékgazdálkodás területén. </w:t>
      </w:r>
      <w:bookmarkStart w:id="6" w:name="_Hlk105656269"/>
      <w:r>
        <w:rPr>
          <w:rFonts w:ascii="Times New Roman" w:hAnsi="Times New Roman"/>
          <w:noProof/>
          <w:sz w:val="24"/>
        </w:rPr>
        <w:t>A foglalkozási eredetű rákos megbetegedések jelentik a munkával összefüggő halálesetek első számú okát az EU-ban</w:t>
      </w:r>
      <w:r>
        <w:rPr>
          <w:rStyle w:val="FootnoteReference"/>
          <w:rFonts w:ascii="Times New Roman" w:hAnsi="Times New Roman" w:cs="Times New Roman"/>
          <w:noProof/>
          <w:sz w:val="24"/>
        </w:rPr>
        <w:footnoteReference w:id="31"/>
      </w:r>
      <w:r>
        <w:rPr>
          <w:rFonts w:ascii="Times New Roman" w:hAnsi="Times New Roman"/>
          <w:noProof/>
          <w:sz w:val="24"/>
        </w:rPr>
        <w:t xml:space="preserve"> és a tagállamokban az elismert foglalkozási eredetű rákos megbetegedések 78 %-a az azbeszttel függ össze</w:t>
      </w:r>
      <w:r>
        <w:rPr>
          <w:rFonts w:ascii="Times New Roman" w:hAnsi="Times New Roman" w:cs="Times New Roman"/>
          <w:noProof/>
          <w:sz w:val="24"/>
          <w:vertAlign w:val="superscript"/>
        </w:rPr>
        <w:footnoteReference w:id="32"/>
      </w:r>
      <w:bookmarkEnd w:id="6"/>
      <w:r>
        <w:rPr>
          <w:rFonts w:ascii="Times New Roman" w:hAnsi="Times New Roman"/>
          <w:noProof/>
          <w:sz w:val="24"/>
        </w:rPr>
        <w:t>.</w:t>
      </w:r>
      <w:r>
        <w:rPr>
          <w:rFonts w:ascii="Times New Roman" w:hAnsi="Times New Roman"/>
          <w:noProof/>
          <w:color w:val="000000" w:themeColor="text1"/>
          <w:sz w:val="24"/>
        </w:rPr>
        <w:t xml:space="preserve"> Ezért az azbesztnek való munkahelyi kitettség a 2021–2027-es munkahelyi biztonsági és egészségvédelmi stratégiai keret egyik prioritása</w:t>
      </w:r>
      <w:r>
        <w:rPr>
          <w:rStyle w:val="FootnoteReference"/>
          <w:rFonts w:ascii="Times New Roman" w:hAnsi="Times New Roman" w:cs="Times New Roman"/>
          <w:noProof/>
          <w:color w:val="000000" w:themeColor="text1"/>
          <w:sz w:val="24"/>
        </w:rPr>
        <w:footnoteReference w:id="33"/>
      </w:r>
      <w:r>
        <w:rPr>
          <w:rFonts w:ascii="Times New Roman" w:hAnsi="Times New Roman"/>
          <w:noProof/>
          <w:color w:val="000000" w:themeColor="text1"/>
          <w:sz w:val="24"/>
        </w:rPr>
        <w:t>.</w:t>
      </w:r>
    </w:p>
    <w:p w14:paraId="46D5D937" w14:textId="16F895D6" w:rsidR="00D14399" w:rsidRPr="009F7008" w:rsidRDefault="00D14399" w:rsidP="00E31229">
      <w:pPr>
        <w:spacing w:before="120"/>
        <w:jc w:val="both"/>
        <w:rPr>
          <w:rFonts w:ascii="Times New Roman" w:hAnsi="Times New Roman" w:cs="Times New Roman"/>
          <w:b/>
          <w:noProof/>
          <w:sz w:val="24"/>
        </w:rPr>
      </w:pPr>
      <w:r>
        <w:rPr>
          <w:rFonts w:ascii="Times New Roman" w:hAnsi="Times New Roman"/>
          <w:b/>
          <w:noProof/>
          <w:color w:val="000000" w:themeColor="text1"/>
          <w:sz w:val="24"/>
        </w:rPr>
        <w:t xml:space="preserve">A foglalkozási expozíciós határérték csökkentése az azbeszt tekintetében </w:t>
      </w:r>
    </w:p>
    <w:p w14:paraId="14FAE7BA" w14:textId="452BC0F3" w:rsidR="00BF0D9B" w:rsidRPr="009F7008" w:rsidRDefault="001A5958" w:rsidP="009E07FC">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A munkavállalóknak az azbesztnek való kitettség sajátos kockázataival szembeni uniós jogi védelme 1983-ra nyúlik vissza</w:t>
      </w:r>
      <w:r>
        <w:rPr>
          <w:rStyle w:val="FootnoteReference"/>
          <w:rFonts w:ascii="Times New Roman" w:hAnsi="Times New Roman" w:cs="Times New Roman"/>
          <w:noProof/>
          <w:color w:val="000000" w:themeColor="text1"/>
          <w:sz w:val="24"/>
        </w:rPr>
        <w:footnoteReference w:id="34"/>
      </w:r>
      <w:r>
        <w:rPr>
          <w:rFonts w:ascii="Times New Roman" w:hAnsi="Times New Roman"/>
          <w:noProof/>
          <w:color w:val="000000" w:themeColor="text1"/>
          <w:sz w:val="24"/>
        </w:rPr>
        <w:t xml:space="preserve">. Azóta ezt a védelmét többször frissítették. A legutolsó jogszabály a 2009/148/EK, azaz a munkahelyi azbesztről szóló irányelv, amely szigorú kötelezettségeket ír elő a munkáltatók számára a </w:t>
      </w:r>
      <w:r>
        <w:rPr>
          <w:rFonts w:ascii="Times New Roman" w:hAnsi="Times New Roman"/>
          <w:noProof/>
          <w:sz w:val="24"/>
        </w:rPr>
        <w:t>védelem</w:t>
      </w:r>
      <w:r>
        <w:rPr>
          <w:rFonts w:ascii="Times New Roman" w:hAnsi="Times New Roman"/>
          <w:noProof/>
          <w:color w:val="000000" w:themeColor="text1"/>
          <w:sz w:val="24"/>
        </w:rPr>
        <w:t>, a tervezés és a képzés tekintetében. Ezenkívül, mivel az azbeszt rákkeltő anyag, a munkavállalóknak a munkájuk során rákkeltő anyagoknak, mutagéneknek és reprodukciót károsító anyagoknak való expozícióval kapcsolatos kockázatokkal szembeni védelméről szóló 2004/37/EK irányelv</w:t>
      </w:r>
      <w:r>
        <w:rPr>
          <w:rStyle w:val="FootnoteReference"/>
          <w:rFonts w:ascii="Times New Roman" w:hAnsi="Times New Roman" w:cs="Times New Roman"/>
          <w:noProof/>
          <w:color w:val="000000" w:themeColor="text1"/>
          <w:sz w:val="24"/>
        </w:rPr>
        <w:footnoteReference w:id="35"/>
      </w:r>
      <w:r>
        <w:rPr>
          <w:rFonts w:ascii="Times New Roman" w:hAnsi="Times New Roman"/>
          <w:noProof/>
          <w:color w:val="000000" w:themeColor="text1"/>
          <w:sz w:val="24"/>
        </w:rPr>
        <w:t xml:space="preserve"> rendelkezései alkalmazandók, amennyiben azok kedvezőbbek a munkavállalók egészségére és biztonságára nézve. </w:t>
      </w:r>
    </w:p>
    <w:p w14:paraId="593FACFC" w14:textId="79307F69" w:rsidR="00406C26" w:rsidRPr="009F7008" w:rsidRDefault="002F1938" w:rsidP="009E07FC">
      <w:pPr>
        <w:pStyle w:val="typedudocumentcp"/>
        <w:shd w:val="clear" w:color="auto" w:fill="FFFFFF"/>
        <w:spacing w:before="120" w:beforeAutospacing="0" w:after="120" w:afterAutospacing="0" w:line="259" w:lineRule="auto"/>
        <w:jc w:val="both"/>
        <w:textAlignment w:val="baseline"/>
        <w:rPr>
          <w:noProof/>
        </w:rPr>
      </w:pPr>
      <w:r>
        <w:rPr>
          <w:b/>
          <w:noProof/>
          <w:color w:val="000000" w:themeColor="text1"/>
        </w:rPr>
        <w:t>Összességében a munkahelyi azbesztről szóló irányelv továbbra is betölti a célját</w:t>
      </w:r>
      <w:r>
        <w:rPr>
          <w:rFonts w:eastAsiaTheme="minorHAnsi"/>
          <w:noProof/>
          <w:color w:val="000000" w:themeColor="text1"/>
          <w:vertAlign w:val="superscript"/>
        </w:rPr>
        <w:footnoteReference w:id="36"/>
      </w:r>
      <w:r>
        <w:rPr>
          <w:noProof/>
          <w:color w:val="000000" w:themeColor="text1"/>
        </w:rPr>
        <w:t>.</w:t>
      </w:r>
      <w:r>
        <w:rPr>
          <w:noProof/>
          <w:color w:val="000000" w:themeColor="text1"/>
          <w:vertAlign w:val="superscript"/>
        </w:rPr>
        <w:t xml:space="preserve"> </w:t>
      </w:r>
      <w:r>
        <w:rPr>
          <w:noProof/>
          <w:color w:val="000000" w:themeColor="text1"/>
        </w:rPr>
        <w:t>Ugyanakkor a legújabb tudományos ismeretek alátámasztják a jelenlegi foglalkozási expozíciós határérték (a továbbiakban: OEL) csökkentésének szükségességét</w:t>
      </w:r>
      <w:r>
        <w:rPr>
          <w:rFonts w:eastAsiaTheme="minorHAnsi"/>
          <w:noProof/>
          <w:color w:val="000000" w:themeColor="text1"/>
          <w:vertAlign w:val="superscript"/>
        </w:rPr>
        <w:footnoteReference w:id="37"/>
      </w:r>
      <w:r>
        <w:rPr>
          <w:noProof/>
          <w:color w:val="000000" w:themeColor="text1"/>
        </w:rPr>
        <w:t xml:space="preserve"> </w:t>
      </w:r>
      <w:r>
        <w:rPr>
          <w:rFonts w:eastAsiaTheme="minorHAnsi"/>
          <w:noProof/>
          <w:color w:val="000000" w:themeColor="text1"/>
          <w:vertAlign w:val="superscript"/>
        </w:rPr>
        <w:footnoteReference w:id="38"/>
      </w:r>
      <w:r>
        <w:rPr>
          <w:noProof/>
          <w:color w:val="000000" w:themeColor="text1"/>
        </w:rPr>
        <w:t>. Négy tagállam (Dánia, Franciaország, Hollandia és Németország) a jelenlegi uniós szintű foglalkozási expozíciós határérték alatt alatti kötelező OEL-eket határozott meg. Németország a kötelező OEL mellett rendelkezik egy elfogadható koncentrációnak megfelelő határértékkel is. Az expozíció elfogadható szint alatt tartásának érdekében a kötelező iránymutatások a gyakorlatban megfontolandó intézkedéseket írnak elő. A többi uniós tagállam a jelenlegi uniós szintű OEL-t alkalmazza.</w:t>
      </w:r>
    </w:p>
    <w:p w14:paraId="2701CEED" w14:textId="714398CE" w:rsidR="00233B97" w:rsidRPr="009F7008" w:rsidRDefault="00406C26" w:rsidP="009E07FC">
      <w:pPr>
        <w:pStyle w:val="typedudocumentcp"/>
        <w:shd w:val="clear" w:color="auto" w:fill="FFFFFF"/>
        <w:spacing w:before="120" w:beforeAutospacing="0" w:after="120" w:afterAutospacing="0" w:line="259" w:lineRule="auto"/>
        <w:jc w:val="both"/>
        <w:textAlignment w:val="baseline"/>
        <w:rPr>
          <w:noProof/>
          <w:color w:val="000000" w:themeColor="text1"/>
        </w:rPr>
      </w:pPr>
      <w:r>
        <w:rPr>
          <w:b/>
          <w:noProof/>
          <w:color w:val="000000" w:themeColor="text1"/>
        </w:rPr>
        <w:t xml:space="preserve">A Bizottság ma jogalkotási javaslatot fogad el az azbeszt tekintetében fennálló OEL jelentős csökkentése érdekében, </w:t>
      </w:r>
      <w:r>
        <w:rPr>
          <w:noProof/>
          <w:color w:val="000000" w:themeColor="text1"/>
        </w:rPr>
        <w:t xml:space="preserve">amely szerint ezen értéket 0,1 rost/cm³-ről (f/cm³) 0,01 f/cm³-re, azaz a jelenlegi értéknél tízszer alacsonyabb értékre csökkentik. Az azbesztre vonatkozó OEL felülvizsgálata a határértékek nagyobb mértékű harmonizációját fogja eredményezni az egész EU-ban. Ez várhatóan jobb munkakörülményeket eredményez majd, többek között a </w:t>
      </w:r>
      <w:r>
        <w:rPr>
          <w:noProof/>
        </w:rPr>
        <w:t>jelentős</w:t>
      </w:r>
      <w:r>
        <w:rPr>
          <w:noProof/>
          <w:color w:val="000000" w:themeColor="text1"/>
        </w:rPr>
        <w:t xml:space="preserve"> számú építőiparban dolgozó kiküldött munkavállaló esetében, továbbá az egészségügyi költségek tagállamok közötti méltányosabb elosztásához vezet. </w:t>
      </w:r>
    </w:p>
    <w:p w14:paraId="0CA9592C" w14:textId="113B0B5C" w:rsidR="00DA36FA" w:rsidRPr="00A33812" w:rsidRDefault="00DA36FA" w:rsidP="009E07FC">
      <w:pPr>
        <w:pStyle w:val="typedudocumentcp"/>
        <w:shd w:val="clear" w:color="auto" w:fill="FFFFFF"/>
        <w:spacing w:before="120" w:beforeAutospacing="0" w:after="120" w:afterAutospacing="0" w:line="259" w:lineRule="auto"/>
        <w:jc w:val="both"/>
        <w:textAlignment w:val="baseline"/>
        <w:rPr>
          <w:noProof/>
          <w:color w:val="000000" w:themeColor="text1"/>
        </w:rPr>
      </w:pPr>
      <w:r>
        <w:rPr>
          <w:noProof/>
          <w:color w:val="000000" w:themeColor="text1"/>
        </w:rPr>
        <w:t xml:space="preserve">A munkavállalók azbesztnek való kitettséggel szembeni védelme érdekében fontos, hogy a legkorszerűbb tudományos módszerek alkalmazzuk a levegőben lévő rostok koncentrációjának mérésére. Ez a kockázatok pontos értékeléséhez és következésképpen a munkavállalók jobb védelméhez vezet. Bár jelenleg a leggyakrabban használt módszer a </w:t>
      </w:r>
      <w:r>
        <w:rPr>
          <w:b/>
          <w:noProof/>
          <w:color w:val="000000" w:themeColor="text1"/>
        </w:rPr>
        <w:t>fáziskontraszt-optikai mikroszkópos módszer, amint</w:t>
      </w:r>
      <w:r>
        <w:rPr>
          <w:noProof/>
          <w:color w:val="000000" w:themeColor="text1"/>
        </w:rPr>
        <w:t xml:space="preserve"> </w:t>
      </w:r>
      <w:r>
        <w:rPr>
          <w:b/>
          <w:noProof/>
          <w:color w:val="000000" w:themeColor="text1"/>
        </w:rPr>
        <w:t>azt a WHO 1997-ben javasolta</w:t>
      </w:r>
      <w:r>
        <w:rPr>
          <w:noProof/>
          <w:color w:val="000000" w:themeColor="text1"/>
        </w:rPr>
        <w:t>, más hatékony módszerek is rendelkezésre állnak.</w:t>
      </w:r>
      <w:r>
        <w:rPr>
          <w:b/>
          <w:noProof/>
          <w:color w:val="000000" w:themeColor="text1"/>
        </w:rPr>
        <w:t xml:space="preserve"> </w:t>
      </w:r>
      <w:r>
        <w:rPr>
          <w:noProof/>
          <w:color w:val="000000" w:themeColor="text1"/>
        </w:rPr>
        <w:t>A tudományos bizonyítékok azt sugallják, hogy az elektronmikroszkópos módszer pontosabban meg lehet számolni a rostokat, ami esetlegesen jobb védelmi intézkedéseket eredményezhet</w:t>
      </w:r>
      <w:r>
        <w:rPr>
          <w:rStyle w:val="FootnoteReference"/>
          <w:noProof/>
          <w:color w:val="000000" w:themeColor="text1"/>
        </w:rPr>
        <w:footnoteReference w:id="39"/>
      </w:r>
      <w:r>
        <w:rPr>
          <w:noProof/>
          <w:color w:val="000000" w:themeColor="text1"/>
        </w:rPr>
        <w:t xml:space="preserve">. A Bizottság ezért a munkahelyi azbesztről szóló irányelv módosítására irányuló javaslatába foglalta a mérési módszerek alkalmazását. </w:t>
      </w:r>
    </w:p>
    <w:p w14:paraId="4BA20E74" w14:textId="77777777" w:rsidR="00D14399" w:rsidRPr="009F7008" w:rsidRDefault="001803C4" w:rsidP="00F66099">
      <w:pPr>
        <w:spacing w:before="120"/>
        <w:jc w:val="both"/>
        <w:rPr>
          <w:rFonts w:ascii="Times New Roman" w:hAnsi="Times New Roman" w:cs="Times New Roman"/>
          <w:b/>
          <w:noProof/>
          <w:color w:val="000000" w:themeColor="text1"/>
          <w:sz w:val="24"/>
        </w:rPr>
      </w:pPr>
      <w:r>
        <w:rPr>
          <w:rFonts w:ascii="Times New Roman" w:hAnsi="Times New Roman"/>
          <w:b/>
          <w:noProof/>
          <w:color w:val="000000" w:themeColor="text1"/>
          <w:sz w:val="24"/>
        </w:rPr>
        <w:t xml:space="preserve">A munkahelyi azbesztről szóló irányelv végrehajtását </w:t>
      </w:r>
      <w:r>
        <w:rPr>
          <w:rFonts w:ascii="Times New Roman" w:hAnsi="Times New Roman"/>
          <w:b/>
          <w:noProof/>
          <w:sz w:val="24"/>
        </w:rPr>
        <w:t>támogató</w:t>
      </w:r>
      <w:r>
        <w:rPr>
          <w:rFonts w:ascii="Times New Roman" w:hAnsi="Times New Roman"/>
          <w:b/>
          <w:noProof/>
          <w:color w:val="000000" w:themeColor="text1"/>
          <w:sz w:val="24"/>
        </w:rPr>
        <w:t xml:space="preserve"> iránymutatások </w:t>
      </w:r>
    </w:p>
    <w:p w14:paraId="2311513C" w14:textId="60BC6F16" w:rsidR="0054737C" w:rsidRPr="009F7008" w:rsidRDefault="002F1938" w:rsidP="009E07FC">
      <w:pPr>
        <w:pStyle w:val="typedudocumentcp"/>
        <w:shd w:val="clear" w:color="auto" w:fill="FFFFFF"/>
        <w:spacing w:before="120" w:beforeAutospacing="0" w:after="120" w:afterAutospacing="0" w:line="259" w:lineRule="auto"/>
        <w:jc w:val="both"/>
        <w:textAlignment w:val="baseline"/>
        <w:rPr>
          <w:noProof/>
        </w:rPr>
      </w:pPr>
      <w:bookmarkStart w:id="7" w:name="_Hlk106631367"/>
      <w:r>
        <w:rPr>
          <w:b/>
          <w:noProof/>
        </w:rPr>
        <w:t>Az elkövetkező években várható jelentős számú felújítási és bontási munkálatok következtében a munkavállalók teljes körű védelméhez megfelelően végre kell hajtani a munkahelyi azbesztről szóló irányelvet.</w:t>
      </w:r>
      <w:r>
        <w:rPr>
          <w:noProof/>
        </w:rPr>
        <w:t xml:space="preserve"> A tagállamok, a munkáltatók (különösen a kis- és középvállalkozások [kkv-k], amelyek az azbeszttel dolgozó vállalatok 99 %-át teszik ki) és a munkavállalók további támogatásban részesülhetnek a megfelelés biztosítása érdekében. A Bizottság e célból iránymutatásokat dolgoz ki a munkahelyi azbesztről szóló felülvizsgált irányelv elfogadását követően annak végrehajtásának támogatása érdekében. Az iránymutatások részletes tájékoztatást nyújtanak a jelenleg hatályos irányelv azon rendelkezéseiről (például a képzés és az egyéni védőeszköz használata), amelyek pontosításra szorulnak és amelyek esetében érdemes tanácsokat adni. Alapvető fontosságú az építési, felújítási és bontási munkálatok keretében azbesztet kezelő munkavállalók megfelelő képzésének előmozdítása. Az iránymutatások segíthetik a tagállamokat és a munkáltatókat, különösen a kkv-kat annak biztosításában, hogy a legmagasabb szintű védelem elérése érdekében a munkavállalók tisztában legyenek a szükséges óvintézkedésekkel. Az iránymutatások felölelhetnének néhány olyan rendelkezést is, amelyek a tagállamok hatáskörébe tartoznak (például az azbesztmentesítéssel foglalkozó vállalkozások tanúsítása) és amelyekhez hasznos lehetne további magyarázatokat fűzni. Ez lehetővé tenné, hogy minden érintett fél az elvárható számú felújítást végezze el, miközben biztosítják a munkavállalók legmagasabb szintű védelmét az azbesztnek való kitettséggel szemben. </w:t>
      </w:r>
    </w:p>
    <w:bookmarkEnd w:id="7"/>
    <w:p w14:paraId="53CF6BA7" w14:textId="4353F2C5" w:rsidR="00331201" w:rsidRPr="009F7008" w:rsidRDefault="008C704B" w:rsidP="00E25F3A">
      <w:pPr>
        <w:spacing w:before="120"/>
        <w:jc w:val="both"/>
        <w:rPr>
          <w:rFonts w:ascii="Times New Roman" w:eastAsia="Calibri" w:hAnsi="Times New Roman" w:cs="Times New Roman"/>
          <w:b/>
          <w:noProof/>
          <w:color w:val="000000" w:themeColor="text1"/>
          <w:sz w:val="24"/>
        </w:rPr>
      </w:pPr>
      <w:r>
        <w:rPr>
          <w:rFonts w:ascii="Times New Roman" w:hAnsi="Times New Roman"/>
          <w:b/>
          <w:noProof/>
          <w:color w:val="000000" w:themeColor="text1"/>
          <w:sz w:val="24"/>
        </w:rPr>
        <w:t>Figyelemfelkeltés</w:t>
      </w:r>
    </w:p>
    <w:p w14:paraId="4AAE7FE8" w14:textId="26D00038" w:rsidR="001F5778" w:rsidRPr="009F7008" w:rsidRDefault="00F12CB8" w:rsidP="005D668C">
      <w:pPr>
        <w:pStyle w:val="typedudocumentcp"/>
        <w:shd w:val="clear" w:color="auto" w:fill="FFFFFF"/>
        <w:spacing w:before="120" w:beforeAutospacing="0" w:after="120" w:afterAutospacing="0" w:line="259" w:lineRule="auto"/>
        <w:jc w:val="both"/>
        <w:textAlignment w:val="baseline"/>
        <w:rPr>
          <w:noProof/>
          <w:color w:val="000000" w:themeColor="text1"/>
        </w:rPr>
      </w:pPr>
      <w:bookmarkStart w:id="8" w:name="_Hlk114740782"/>
      <w:bookmarkStart w:id="9" w:name="_Hlk103844596"/>
      <w:r>
        <w:rPr>
          <w:b/>
          <w:noProof/>
          <w:color w:val="000000" w:themeColor="text1"/>
        </w:rPr>
        <w:t>Az európai rákellenes terv részeként az Európai Munkahelyi Biztonsági és Egészségvédelmi Ügynökség (EU-OSHA) a rák kockázati tényezőire vonatkozó munkavállalói expozíciós felmérést készít</w:t>
      </w:r>
      <w:r>
        <w:rPr>
          <w:rStyle w:val="FootnoteReference"/>
          <w:b/>
          <w:noProof/>
          <w:color w:val="000000" w:themeColor="text1"/>
        </w:rPr>
        <w:footnoteReference w:id="40"/>
      </w:r>
      <w:r>
        <w:rPr>
          <w:b/>
          <w:noProof/>
          <w:color w:val="000000" w:themeColor="text1"/>
        </w:rPr>
        <w:t xml:space="preserve">. </w:t>
      </w:r>
      <w:r>
        <w:rPr>
          <w:noProof/>
          <w:color w:val="000000" w:themeColor="text1"/>
        </w:rPr>
        <w:t>A felmérés megvizsgálja a legelterjedtebb expozíciós helyzeteket és a rák kockázati tényezőinek, köztük az azbesztnek kitett munkavállalók számát és jellemzőit</w:t>
      </w:r>
      <w:r>
        <w:rPr>
          <w:rStyle w:val="FootnoteReference"/>
          <w:noProof/>
          <w:color w:val="000000" w:themeColor="text1"/>
        </w:rPr>
        <w:footnoteReference w:id="41"/>
      </w:r>
      <w:r>
        <w:rPr>
          <w:noProof/>
          <w:color w:val="000000" w:themeColor="text1"/>
        </w:rPr>
        <w:t xml:space="preserve">. </w:t>
      </w:r>
      <w:bookmarkEnd w:id="8"/>
      <w:r>
        <w:rPr>
          <w:noProof/>
          <w:color w:val="000000" w:themeColor="text1"/>
        </w:rPr>
        <w:t xml:space="preserve">Ez lehetővé teszi a célzottabb figyelemfelhívó kampányokat és megelőző intézkedéseket, továbbá hozzájárul a tényeken alapuló szakpolitikai döntéshozatalhoz. </w:t>
      </w:r>
      <w:r>
        <w:rPr>
          <w:noProof/>
          <w:color w:val="FF0000"/>
        </w:rPr>
        <w:t xml:space="preserve"> </w:t>
      </w:r>
      <w:r>
        <w:rPr>
          <w:noProof/>
          <w:color w:val="000000" w:themeColor="text1"/>
        </w:rPr>
        <w:t xml:space="preserve">Ez különösen fontos lesz, </w:t>
      </w:r>
      <w:bookmarkEnd w:id="9"/>
      <w:r>
        <w:rPr>
          <w:noProof/>
          <w:color w:val="000000" w:themeColor="text1"/>
        </w:rPr>
        <w:t xml:space="preserve">tekintettel az azbeszt eltávolítása révén érintett vállalatok, munkavállalók, valamint magán- és középület-tulajdonosok növekvő számára. Ugyanezen okokból a Bizottság együtt fog működni a Vezető Munkaügyi Felügyeleti Tisztviselők Bizottságával (SLIC) egy naprakész figyelemfelhívó kampány elindítása érdekében. </w:t>
      </w:r>
    </w:p>
    <w:tbl>
      <w:tblPr>
        <w:tblStyle w:val="TableGrid"/>
        <w:tblW w:w="0" w:type="auto"/>
        <w:tblLook w:val="04A0" w:firstRow="1" w:lastRow="0" w:firstColumn="1" w:lastColumn="0" w:noHBand="0" w:noVBand="1"/>
      </w:tblPr>
      <w:tblGrid>
        <w:gridCol w:w="9242"/>
      </w:tblGrid>
      <w:tr w:rsidR="004A1D77" w:rsidRPr="009F7008" w14:paraId="49ED6775" w14:textId="77777777" w:rsidTr="004A1D77">
        <w:tc>
          <w:tcPr>
            <w:tcW w:w="9576" w:type="dxa"/>
          </w:tcPr>
          <w:p w14:paraId="14B9273A" w14:textId="2AE8712D" w:rsidR="004A1D77" w:rsidRPr="009F7008" w:rsidRDefault="004A1D77" w:rsidP="009E07FC">
            <w:pPr>
              <w:spacing w:before="120" w:after="120"/>
              <w:rPr>
                <w:rFonts w:ascii="Times New Roman" w:hAnsi="Times New Roman" w:cs="Times New Roman"/>
                <w:b/>
                <w:noProof/>
              </w:rPr>
            </w:pPr>
            <w:r>
              <w:rPr>
                <w:rFonts w:ascii="Times New Roman" w:hAnsi="Times New Roman"/>
                <w:b/>
                <w:noProof/>
              </w:rPr>
              <w:t>A Bizottság:</w:t>
            </w:r>
          </w:p>
          <w:p w14:paraId="2D6890DD" w14:textId="5BBEC2D0" w:rsidR="00B5056C" w:rsidRPr="009F7008" w:rsidRDefault="00F86A6C" w:rsidP="009E07FC">
            <w:pPr>
              <w:pStyle w:val="ListParagraph"/>
              <w:numPr>
                <w:ilvl w:val="0"/>
                <w:numId w:val="18"/>
              </w:numPr>
              <w:spacing w:before="120" w:after="120"/>
              <w:ind w:left="1077" w:hanging="357"/>
              <w:jc w:val="both"/>
              <w:rPr>
                <w:rFonts w:ascii="Times New Roman" w:hAnsi="Times New Roman" w:cs="Times New Roman"/>
                <w:noProof/>
              </w:rPr>
            </w:pPr>
            <w:r>
              <w:rPr>
                <w:rFonts w:ascii="Times New Roman" w:hAnsi="Times New Roman"/>
                <w:noProof/>
              </w:rPr>
              <w:t>javasolja a munkahelyi azbesztről szóló irányelv felülvizsgálatát a jelenlegi foglalkozási expozíciós határérték csökkentése és az (e közleményt kísérő) kapcsolódó rendelkezések pontosítása érdekében, és felszólítja az Európai Parlamentet és a Tanácsot annak mielőbbi elfogadására,</w:t>
            </w:r>
          </w:p>
          <w:p w14:paraId="5C66A426" w14:textId="146D3246" w:rsidR="00904D07" w:rsidRPr="009F7008" w:rsidRDefault="00F86A6C" w:rsidP="009E07FC">
            <w:pPr>
              <w:pStyle w:val="ListParagraph"/>
              <w:numPr>
                <w:ilvl w:val="0"/>
                <w:numId w:val="18"/>
              </w:numPr>
              <w:jc w:val="both"/>
              <w:rPr>
                <w:rFonts w:ascii="Times New Roman" w:hAnsi="Times New Roman" w:cs="Times New Roman"/>
                <w:noProof/>
              </w:rPr>
            </w:pPr>
            <w:r>
              <w:rPr>
                <w:rFonts w:ascii="Times New Roman" w:hAnsi="Times New Roman"/>
                <w:noProof/>
              </w:rPr>
              <w:t xml:space="preserve">aktualizált iránymutatásokat dolgoz ki annak érdekében, hogy támogassa a tagállamokat, a munkáltatókat és a munkavállalókat a munkahelyi azbesztről szóló irányelv végrehajtásában, annak felülvizsgálatát követően, </w:t>
            </w:r>
          </w:p>
          <w:p w14:paraId="0D45CD9B" w14:textId="3C2E6A31" w:rsidR="004A1D77" w:rsidRPr="009F7008" w:rsidRDefault="00F86A6C" w:rsidP="00AA5F9F">
            <w:pPr>
              <w:pStyle w:val="ListParagraph"/>
              <w:numPr>
                <w:ilvl w:val="0"/>
                <w:numId w:val="18"/>
              </w:numPr>
              <w:jc w:val="both"/>
              <w:rPr>
                <w:rFonts w:ascii="Times New Roman" w:hAnsi="Times New Roman" w:cs="Times New Roman"/>
                <w:noProof/>
              </w:rPr>
            </w:pPr>
            <w:r>
              <w:rPr>
                <w:rFonts w:ascii="Times New Roman" w:hAnsi="Times New Roman"/>
                <w:noProof/>
              </w:rPr>
              <w:t xml:space="preserve">együttműködik a Vezető Munkaügyi Felügyeleti Tisztviselők Bizottságával (SLIC) annak érdekében, hogy a vállalatok, a munkavállalók, a tulajdonosok és a közigazgatási szervek számára naprakész figyelemfelhívó kampányt indítson az azbeszt biztonságos eltávolításáról </w:t>
            </w:r>
          </w:p>
        </w:tc>
      </w:tr>
    </w:tbl>
    <w:p w14:paraId="17E7A6B7" w14:textId="77777777" w:rsidR="00850204" w:rsidRPr="00850204" w:rsidRDefault="00850204" w:rsidP="00850204">
      <w:pPr>
        <w:spacing w:after="240"/>
        <w:jc w:val="both"/>
        <w:rPr>
          <w:rFonts w:ascii="Times New Roman" w:hAnsi="Times New Roman" w:cs="Times New Roman"/>
          <w:b/>
          <w:smallCaps/>
          <w:noProof/>
        </w:rPr>
      </w:pPr>
    </w:p>
    <w:p w14:paraId="3DA6DF4B" w14:textId="05ADF6C7" w:rsidR="006C734B" w:rsidRPr="009F7008" w:rsidRDefault="006C734B" w:rsidP="006C734B">
      <w:pPr>
        <w:pStyle w:val="ListParagraph"/>
        <w:numPr>
          <w:ilvl w:val="0"/>
          <w:numId w:val="13"/>
        </w:numPr>
        <w:spacing w:after="240"/>
        <w:ind w:left="714" w:hanging="357"/>
        <w:jc w:val="both"/>
        <w:rPr>
          <w:rFonts w:ascii="Times New Roman" w:hAnsi="Times New Roman" w:cs="Times New Roman"/>
          <w:b/>
          <w:smallCaps/>
          <w:noProof/>
        </w:rPr>
      </w:pPr>
      <w:r>
        <w:rPr>
          <w:rFonts w:ascii="Times New Roman" w:hAnsi="Times New Roman"/>
          <w:b/>
          <w:smallCaps/>
          <w:noProof/>
        </w:rPr>
        <w:t xml:space="preserve">Az épületekben lévő azbeszt kezelése </w:t>
      </w:r>
    </w:p>
    <w:p w14:paraId="45D102B5" w14:textId="0235CEB4" w:rsidR="006C734B" w:rsidRPr="009F7008" w:rsidRDefault="006C734B" w:rsidP="006C734B">
      <w:pPr>
        <w:spacing w:before="120" w:after="120"/>
        <w:jc w:val="both"/>
        <w:rPr>
          <w:rFonts w:ascii="Times New Roman" w:hAnsi="Times New Roman" w:cs="Times New Roman"/>
          <w:noProof/>
          <w:sz w:val="24"/>
        </w:rPr>
      </w:pPr>
      <w:r>
        <w:rPr>
          <w:rFonts w:ascii="Times New Roman" w:hAnsi="Times New Roman"/>
          <w:b/>
          <w:noProof/>
          <w:sz w:val="24"/>
        </w:rPr>
        <w:t>Az uniós tilalom előtt az azbesztet széles körben használták, főként az építőiparban.</w:t>
      </w:r>
      <w:r>
        <w:rPr>
          <w:rFonts w:ascii="Times New Roman" w:hAnsi="Times New Roman"/>
          <w:noProof/>
          <w:sz w:val="24"/>
        </w:rPr>
        <w:t xml:space="preserve"> </w:t>
      </w:r>
      <w:r>
        <w:rPr>
          <w:rFonts w:ascii="Times New Roman" w:hAnsi="Times New Roman"/>
          <w:noProof/>
          <w:color w:val="000000" w:themeColor="text1"/>
          <w:sz w:val="24"/>
        </w:rPr>
        <w:t>Az azbeszt 70–80 %-át cementtermékekhez használták, míg a maradékot főként egyéb építési termékekhez, például padlóburkolatokhoz, textiltermékekhez, kartonokhoz vagy szigetelésekhez. 1970-ben a mai EU-t alkotó országokban több mint 920 000 tonna nyers azbesztet használtak fel, ami 1980-ban elérte az 1 200 000 tonnás csúcsértéket, mielőtt 2000-re kevesebb mint 40 000 tonnára esett vissza</w:t>
      </w:r>
      <w:r>
        <w:rPr>
          <w:rStyle w:val="FootnoteReference"/>
          <w:rFonts w:ascii="Times New Roman" w:hAnsi="Times New Roman" w:cs="Times New Roman"/>
          <w:noProof/>
          <w:color w:val="000000" w:themeColor="text1"/>
          <w:sz w:val="24"/>
        </w:rPr>
        <w:footnoteReference w:id="42"/>
      </w:r>
      <w:r>
        <w:rPr>
          <w:rFonts w:ascii="Times New Roman" w:hAnsi="Times New Roman"/>
          <w:noProof/>
          <w:color w:val="000000" w:themeColor="text1"/>
          <w:sz w:val="24"/>
        </w:rPr>
        <w:t xml:space="preserve">. </w:t>
      </w:r>
      <w:r>
        <w:rPr>
          <w:rFonts w:ascii="Times New Roman" w:hAnsi="Times New Roman"/>
          <w:noProof/>
          <w:sz w:val="24"/>
        </w:rPr>
        <w:t>Mivel több mint 220 millió épületegység (az összes egység 85 %-a) 2001 előtt épült</w:t>
      </w:r>
      <w:r>
        <w:rPr>
          <w:rFonts w:ascii="Times New Roman" w:hAnsi="Times New Roman" w:cs="Times New Roman"/>
          <w:noProof/>
          <w:sz w:val="24"/>
          <w:vertAlign w:val="superscript"/>
        </w:rPr>
        <w:footnoteReference w:id="43"/>
      </w:r>
      <w:r>
        <w:rPr>
          <w:rFonts w:ascii="Times New Roman" w:hAnsi="Times New Roman"/>
          <w:noProof/>
          <w:sz w:val="24"/>
        </w:rPr>
        <w:t>, ezért valószínűleg a mai épületállomány jelentős része azbesztet tartalmaz</w:t>
      </w:r>
      <w:r>
        <w:rPr>
          <w:rFonts w:ascii="Times New Roman" w:hAnsi="Times New Roman" w:cs="Times New Roman"/>
          <w:noProof/>
          <w:sz w:val="24"/>
          <w:vertAlign w:val="superscript"/>
        </w:rPr>
        <w:footnoteReference w:id="44"/>
      </w:r>
      <w:r>
        <w:rPr>
          <w:rFonts w:ascii="Times New Roman" w:hAnsi="Times New Roman"/>
          <w:noProof/>
          <w:sz w:val="24"/>
        </w:rPr>
        <w:t xml:space="preserve">. </w:t>
      </w:r>
    </w:p>
    <w:p w14:paraId="7E61B803" w14:textId="590CB5AE" w:rsidR="006C734B" w:rsidRPr="009F7008" w:rsidRDefault="006C734B" w:rsidP="006C734B">
      <w:pPr>
        <w:spacing w:before="120" w:after="120"/>
        <w:jc w:val="both"/>
        <w:rPr>
          <w:rFonts w:ascii="Times New Roman" w:hAnsi="Times New Roman" w:cs="Times New Roman"/>
          <w:noProof/>
          <w:sz w:val="24"/>
        </w:rPr>
      </w:pPr>
      <w:r>
        <w:rPr>
          <w:rFonts w:ascii="Times New Roman" w:hAnsi="Times New Roman"/>
          <w:b/>
          <w:noProof/>
          <w:sz w:val="24"/>
        </w:rPr>
        <w:t xml:space="preserve">Az azbesztfelhasználás csúcsidőszaka tagállamonként eltérő </w:t>
      </w:r>
      <w:r>
        <w:rPr>
          <w:rFonts w:ascii="Times New Roman" w:hAnsi="Times New Roman"/>
          <w:noProof/>
          <w:sz w:val="24"/>
        </w:rPr>
        <w:t>(lásd az 1. ábrát</w:t>
      </w:r>
      <w:r>
        <w:rPr>
          <w:rStyle w:val="FootnoteReference"/>
          <w:rFonts w:ascii="Times New Roman" w:hAnsi="Times New Roman" w:cs="Times New Roman"/>
          <w:noProof/>
          <w:color w:val="000000" w:themeColor="text1"/>
          <w:sz w:val="24"/>
        </w:rPr>
        <w:footnoteReference w:id="45"/>
      </w:r>
      <w:r>
        <w:rPr>
          <w:rFonts w:ascii="Times New Roman" w:hAnsi="Times New Roman"/>
          <w:noProof/>
          <w:color w:val="000000" w:themeColor="text1"/>
          <w:sz w:val="24"/>
        </w:rPr>
        <w:t>)</w:t>
      </w:r>
      <w:r>
        <w:rPr>
          <w:rFonts w:ascii="Times New Roman" w:hAnsi="Times New Roman"/>
          <w:noProof/>
          <w:sz w:val="24"/>
        </w:rPr>
        <w:t xml:space="preserve">. 1970 és 1990 között valamennyi tagállamban magas volt az azbesztfelhasználás aránya. Cipruson, Belgiumban, Dániában, Luxemburgban, Hollandiában és Svédországban azonban az azbeszt nagy részét az 1970-es évek előtt használták fel, míg Horvátországban, Írországban, Portugáliában, Romániában, Szlovéniában és Szlovákiában az 1990-es években vagy a 2000-es évek elején volt magas az azbesztfelhasználás szintje. </w:t>
      </w:r>
    </w:p>
    <w:p w14:paraId="05DD3844" w14:textId="4F8E28AE" w:rsidR="006C734B" w:rsidRPr="00A33812" w:rsidRDefault="006C734B" w:rsidP="006C734B">
      <w:pPr>
        <w:pStyle w:val="Caption"/>
        <w:keepNext/>
        <w:jc w:val="center"/>
        <w:rPr>
          <w:rFonts w:ascii="Times New Roman" w:hAnsi="Times New Roman" w:cs="Times New Roman"/>
          <w:i w:val="0"/>
          <w:noProof/>
          <w:sz w:val="20"/>
        </w:rPr>
      </w:pPr>
      <w:r>
        <w:rPr>
          <w:rFonts w:ascii="Times New Roman" w:hAnsi="Times New Roman" w:cs="Times New Roman"/>
          <w:noProof/>
          <w:sz w:val="20"/>
        </w:rPr>
        <w:fldChar w:fldCharType="begin" w:fldLock="1"/>
      </w:r>
      <w:r>
        <w:rPr>
          <w:rFonts w:ascii="Times New Roman" w:hAnsi="Times New Roman" w:cs="Times New Roman"/>
          <w:i w:val="0"/>
          <w:noProof/>
          <w:sz w:val="20"/>
        </w:rPr>
        <w:instrText xml:space="preserve"> SEQ Figure \* ARABIC </w:instrText>
      </w:r>
      <w:r>
        <w:rPr>
          <w:rFonts w:ascii="Times New Roman" w:hAnsi="Times New Roman" w:cs="Times New Roman"/>
          <w:noProof/>
          <w:sz w:val="20"/>
        </w:rPr>
        <w:fldChar w:fldCharType="separate"/>
      </w:r>
      <w:r>
        <w:rPr>
          <w:rFonts w:ascii="Times New Roman" w:hAnsi="Times New Roman" w:cs="Times New Roman"/>
          <w:i w:val="0"/>
          <w:noProof/>
          <w:sz w:val="20"/>
        </w:rPr>
        <w:t>1</w:t>
      </w:r>
      <w:r>
        <w:rPr>
          <w:rFonts w:ascii="Times New Roman" w:hAnsi="Times New Roman" w:cs="Times New Roman"/>
          <w:noProof/>
          <w:sz w:val="20"/>
        </w:rPr>
        <w:fldChar w:fldCharType="end"/>
      </w:r>
      <w:r>
        <w:rPr>
          <w:rFonts w:ascii="Times New Roman" w:hAnsi="Times New Roman"/>
          <w:i w:val="0"/>
          <w:noProof/>
          <w:sz w:val="20"/>
        </w:rPr>
        <w:t>. ábra</w:t>
      </w:r>
      <w:r>
        <w:rPr>
          <w:noProof/>
        </w:rPr>
        <w:t>:</w:t>
      </w:r>
      <w:r>
        <w:rPr>
          <w:rFonts w:ascii="Times New Roman" w:hAnsi="Times New Roman"/>
          <w:i w:val="0"/>
          <w:noProof/>
          <w:sz w:val="20"/>
        </w:rPr>
        <w:t xml:space="preserve"> Az azbesztfelhasználás becsült aránya az épületek építésének fő időszakaiban a 27 uniós tagállamban</w:t>
      </w:r>
    </w:p>
    <w:p w14:paraId="12C42ED8" w14:textId="3E2ACE41" w:rsidR="006C734B" w:rsidRPr="00A33812" w:rsidRDefault="00632082" w:rsidP="006C734B">
      <w:pPr>
        <w:rPr>
          <w:noProof/>
        </w:rPr>
      </w:pPr>
      <w:r>
        <w:rPr>
          <w:noProof/>
          <w:lang w:val="en-GB" w:eastAsia="en-GB"/>
        </w:rPr>
        <w:drawing>
          <wp:inline distT="0" distB="0" distL="0" distR="0" wp14:anchorId="0B375D7F" wp14:editId="0FCFCE54">
            <wp:extent cx="5731510" cy="2501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501265"/>
                    </a:xfrm>
                    <a:prstGeom prst="rect">
                      <a:avLst/>
                    </a:prstGeom>
                  </pic:spPr>
                </pic:pic>
              </a:graphicData>
            </a:graphic>
          </wp:inline>
        </w:drawing>
      </w:r>
    </w:p>
    <w:p w14:paraId="0B45D968" w14:textId="57A2B564" w:rsidR="006C734B" w:rsidRPr="009F7008" w:rsidRDefault="006C734B" w:rsidP="006C734B">
      <w:pPr>
        <w:spacing w:before="120"/>
        <w:jc w:val="center"/>
        <w:rPr>
          <w:rFonts w:ascii="Times New Roman" w:hAnsi="Times New Roman" w:cs="Times New Roman"/>
          <w:noProof/>
          <w:color w:val="000000" w:themeColor="text1"/>
          <w:sz w:val="20"/>
          <w:vertAlign w:val="superscript"/>
        </w:rPr>
      </w:pPr>
      <w:r>
        <w:rPr>
          <w:rFonts w:ascii="Times New Roman" w:hAnsi="Times New Roman"/>
          <w:noProof/>
          <w:color w:val="000000" w:themeColor="text1"/>
          <w:sz w:val="20"/>
        </w:rPr>
        <w:t>Forrás: JRC-adatok</w:t>
      </w:r>
      <w:r>
        <w:rPr>
          <w:rStyle w:val="FootnoteReference"/>
          <w:rFonts w:ascii="Times New Roman" w:hAnsi="Times New Roman" w:cs="Times New Roman"/>
          <w:noProof/>
          <w:color w:val="000000" w:themeColor="text1"/>
          <w:sz w:val="20"/>
        </w:rPr>
        <w:footnoteReference w:id="46"/>
      </w:r>
    </w:p>
    <w:p w14:paraId="11B22275" w14:textId="61589B2E" w:rsidR="006C734B" w:rsidRPr="009F7008" w:rsidRDefault="006C734B" w:rsidP="006C734B">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A múltból ránk maradt azbeszt jelentette kihívás nagyságrendje régiónként eltérő</w:t>
      </w:r>
      <w:r>
        <w:rPr>
          <w:rFonts w:ascii="Times New Roman" w:hAnsi="Times New Roman"/>
          <w:noProof/>
          <w:color w:val="000000" w:themeColor="text1"/>
          <w:sz w:val="24"/>
        </w:rPr>
        <w:t xml:space="preserve">. A lakóépületek átlagos kora és az azbeszt becsült átlagmennyisége (kg/lakás) alapján az alábbi térkép bemutatja az uniós régiók azbeszttel szembeni sebezhetőségét, amely a beépített azbeszt két változójának alacsony szintjétől (alacsony mennyiségű azbeszt, újabb épületek) a magas szintig terjed (nagy mennyiségű azbeszt, régebbi épületek). Úgy tűnik, hogy az EU központi régióiban többnyire régi épületek és nagy mennyiségű azbeszt található, míg általában véve a keleti és északkeleti uniós régiókban nagy mennyiségű azbeszt található az újabb épületekben. Az eredmények révén azonosítani lehet azokat a tagállamokat és régiókat, ahol az azbeszt szűrésének prioritást kell élveznie a felújítások előtt. </w:t>
      </w:r>
    </w:p>
    <w:p w14:paraId="79E09467" w14:textId="26595AAE" w:rsidR="006C734B" w:rsidRPr="00A33812" w:rsidRDefault="006C734B" w:rsidP="006C734B">
      <w:pPr>
        <w:spacing w:before="120"/>
        <w:jc w:val="both"/>
        <w:rPr>
          <w:rFonts w:ascii="Times New Roman" w:hAnsi="Times New Roman" w:cs="Times New Roman"/>
          <w:noProof/>
          <w:sz w:val="20"/>
        </w:rPr>
      </w:pPr>
      <w:r>
        <w:rPr>
          <w:rFonts w:ascii="Times New Roman" w:hAnsi="Times New Roman" w:cs="Times New Roman"/>
          <w:noProof/>
          <w:sz w:val="20"/>
        </w:rPr>
        <w:fldChar w:fldCharType="begin" w:fldLock="1"/>
      </w:r>
      <w:r>
        <w:rPr>
          <w:rFonts w:ascii="Times New Roman" w:hAnsi="Times New Roman" w:cs="Times New Roman"/>
          <w:noProof/>
          <w:sz w:val="20"/>
        </w:rPr>
        <w:instrText xml:space="preserve"> SEQ Figure \* ARABIC </w:instrText>
      </w:r>
      <w:r>
        <w:rPr>
          <w:rFonts w:ascii="Times New Roman" w:hAnsi="Times New Roman" w:cs="Times New Roman"/>
          <w:noProof/>
          <w:sz w:val="20"/>
        </w:rPr>
        <w:fldChar w:fldCharType="separate"/>
      </w:r>
      <w:r>
        <w:rPr>
          <w:rFonts w:ascii="Times New Roman" w:hAnsi="Times New Roman" w:cs="Times New Roman"/>
          <w:noProof/>
          <w:sz w:val="20"/>
        </w:rPr>
        <w:t>2</w:t>
      </w:r>
      <w:r>
        <w:rPr>
          <w:rFonts w:ascii="Times New Roman" w:hAnsi="Times New Roman" w:cs="Times New Roman"/>
          <w:noProof/>
          <w:sz w:val="20"/>
        </w:rPr>
        <w:fldChar w:fldCharType="end"/>
      </w:r>
      <w:r>
        <w:rPr>
          <w:rFonts w:ascii="Times New Roman" w:hAnsi="Times New Roman"/>
          <w:noProof/>
          <w:sz w:val="20"/>
        </w:rPr>
        <w:t xml:space="preserve">. ábra: A lakóépületek átlagos korát (év) és az azbeszt átlagmennyiségét (kg/lakás) bemutató kétváltozós térkép </w:t>
      </w:r>
    </w:p>
    <w:p w14:paraId="1762EE52" w14:textId="77777777" w:rsidR="006C734B" w:rsidRPr="009F7008" w:rsidRDefault="006C734B" w:rsidP="006C734B">
      <w:pPr>
        <w:spacing w:before="120"/>
        <w:jc w:val="center"/>
        <w:rPr>
          <w:rFonts w:ascii="Times New Roman" w:hAnsi="Times New Roman" w:cs="Times New Roman"/>
          <w:noProof/>
          <w:color w:val="000000" w:themeColor="text1"/>
          <w:sz w:val="24"/>
        </w:rPr>
      </w:pPr>
      <w:r>
        <w:rPr>
          <w:noProof/>
          <w:lang w:val="en-GB" w:eastAsia="en-GB"/>
        </w:rPr>
        <w:drawing>
          <wp:inline distT="0" distB="0" distL="0" distR="0" wp14:anchorId="2736C344" wp14:editId="7AEDD088">
            <wp:extent cx="4724400" cy="4724400"/>
            <wp:effectExtent l="0" t="0" r="0" b="0"/>
            <wp:docPr id="6" name="Picture 6" descr="\\net1.cec.eu.int\jrc-services\IPR-Users\madutca\My Documents\Self Cities\maps\MicrosoftTeam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1.cec.eu.int\jrc-services\IPR-Users\madutca\My Documents\Self Cities\maps\MicrosoftTeams-imag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4400" cy="4724400"/>
                    </a:xfrm>
                    <a:prstGeom prst="rect">
                      <a:avLst/>
                    </a:prstGeom>
                    <a:noFill/>
                    <a:ln>
                      <a:noFill/>
                    </a:ln>
                  </pic:spPr>
                </pic:pic>
              </a:graphicData>
            </a:graphic>
          </wp:inline>
        </w:drawing>
      </w:r>
    </w:p>
    <w:p w14:paraId="495D8D1D" w14:textId="4CF8837A" w:rsidR="006C734B" w:rsidRPr="009F7008" w:rsidRDefault="006C734B" w:rsidP="006C734B">
      <w:pPr>
        <w:spacing w:before="120"/>
        <w:jc w:val="center"/>
        <w:rPr>
          <w:rFonts w:ascii="Times New Roman" w:hAnsi="Times New Roman" w:cs="Times New Roman"/>
          <w:noProof/>
          <w:color w:val="000000" w:themeColor="text1"/>
          <w:sz w:val="24"/>
        </w:rPr>
      </w:pPr>
      <w:r>
        <w:rPr>
          <w:rFonts w:ascii="Times New Roman" w:hAnsi="Times New Roman"/>
          <w:noProof/>
          <w:color w:val="000000" w:themeColor="text1"/>
          <w:sz w:val="20"/>
        </w:rPr>
        <w:t>Forrás: JRC-adatok</w:t>
      </w:r>
      <w:r>
        <w:rPr>
          <w:rStyle w:val="FootnoteReference"/>
          <w:rFonts w:ascii="Times New Roman" w:hAnsi="Times New Roman" w:cs="Times New Roman"/>
          <w:noProof/>
          <w:color w:val="000000" w:themeColor="text1"/>
          <w:sz w:val="20"/>
        </w:rPr>
        <w:footnoteReference w:id="47"/>
      </w:r>
    </w:p>
    <w:p w14:paraId="24FB7CC2" w14:textId="77777777" w:rsidR="006C734B" w:rsidRPr="009F7008" w:rsidRDefault="006C734B" w:rsidP="006C734B">
      <w:pPr>
        <w:spacing w:before="120" w:after="120"/>
        <w:jc w:val="both"/>
        <w:rPr>
          <w:rFonts w:ascii="Times New Roman" w:hAnsi="Times New Roman" w:cs="Times New Roman"/>
          <w:noProof/>
          <w:sz w:val="24"/>
        </w:rPr>
      </w:pPr>
    </w:p>
    <w:p w14:paraId="5EEDF58B" w14:textId="38F0CF51" w:rsidR="006C734B" w:rsidRPr="009F7008" w:rsidRDefault="008D5D27" w:rsidP="006C734B">
      <w:pPr>
        <w:spacing w:before="120" w:after="120"/>
        <w:jc w:val="both"/>
        <w:rPr>
          <w:rFonts w:ascii="Times New Roman" w:hAnsi="Times New Roman" w:cs="Times New Roman"/>
          <w:b/>
          <w:noProof/>
          <w:sz w:val="24"/>
        </w:rPr>
      </w:pPr>
      <w:r>
        <w:rPr>
          <w:rFonts w:ascii="Times New Roman" w:hAnsi="Times New Roman"/>
          <w:b/>
          <w:noProof/>
          <w:sz w:val="24"/>
        </w:rPr>
        <w:t>Az épületekben lévő azbesztre vonatkozó több információ és átláthatóság</w:t>
      </w:r>
    </w:p>
    <w:p w14:paraId="69F1B1E1" w14:textId="1F462049" w:rsidR="006C734B" w:rsidRPr="00A33812" w:rsidRDefault="006C734B" w:rsidP="006C734B">
      <w:pPr>
        <w:spacing w:before="120" w:after="120"/>
        <w:jc w:val="both"/>
        <w:rPr>
          <w:rFonts w:ascii="Times New Roman" w:hAnsi="Times New Roman" w:cs="Times New Roman"/>
          <w:noProof/>
          <w:sz w:val="24"/>
        </w:rPr>
      </w:pPr>
      <w:r>
        <w:rPr>
          <w:rFonts w:ascii="Times New Roman" w:hAnsi="Times New Roman"/>
          <w:b/>
          <w:noProof/>
          <w:sz w:val="24"/>
        </w:rPr>
        <w:t>Az azbeszt által az emberi egészségre jelentett fő veszély akkor áll fenn, ha az azbeszttartalmú anyagokat megbolygatják</w:t>
      </w:r>
      <w:r>
        <w:rPr>
          <w:rFonts w:ascii="Times New Roman" w:hAnsi="Times New Roman"/>
          <w:noProof/>
          <w:sz w:val="24"/>
        </w:rPr>
        <w:t>, mivel ilyenkor rostok juthatnak a levegőbe, amelyek később esetlegesen belégzésre kerülnek. Egyes azbeszttermékek öregedésük során bekövetkező romlás végül a rostok levegőbe bocsátását eredményezheti. Mivel az azbeszt főként építőanyagokban található, és ezen anyagok a felújítási munkálatok során lényegesen megváltozhatnak, a védelmi intézkedések kidolgozása során különös figyelmet kell fordítani az építőiparra. A rostok kibocsátásának valószínűsége az azbeszt típusától és előfordulási helyétől függően változik. Például a porló azbeszt rendkívül veszélyes, mivel rostjai a nem porló azbesztnél könnyebben a levegőbe jutnak. Ezzel szemben a szilárd anyagokba ágyazott azbeszt kevésbé bolygatható meg és érintetlenül hagyva lényegesen kisebb kockázatot jelent.</w:t>
      </w:r>
    </w:p>
    <w:p w14:paraId="78420384" w14:textId="60514B90" w:rsidR="006C734B" w:rsidRPr="009F7008" w:rsidRDefault="006C734B" w:rsidP="006C734B">
      <w:pPr>
        <w:spacing w:before="120" w:after="120"/>
        <w:jc w:val="both"/>
        <w:rPr>
          <w:rFonts w:ascii="Times New Roman" w:hAnsi="Times New Roman" w:cs="Times New Roman"/>
          <w:noProof/>
          <w:sz w:val="24"/>
        </w:rPr>
      </w:pPr>
      <w:r>
        <w:rPr>
          <w:rFonts w:ascii="Times New Roman" w:hAnsi="Times New Roman"/>
          <w:b/>
          <w:noProof/>
          <w:sz w:val="24"/>
        </w:rPr>
        <w:t xml:space="preserve">Az azbeszt épületállományból való eltávolítása során fennálló fő kihívás az, hogy nem tudjuk, hogy az adott épület tartalmaz-e azbesztet. </w:t>
      </w:r>
      <w:r>
        <w:rPr>
          <w:rFonts w:ascii="Times New Roman" w:hAnsi="Times New Roman"/>
          <w:noProof/>
          <w:sz w:val="24"/>
        </w:rPr>
        <w:t>A következő években tervezett felújítások és az európai épületállománynak a klímasemlegesség hosszú távú céljának elérése érdekében történő felújítása határozottan alátámasztja az esetlegesen azbesztet tartalmazó olyan épületek átfogó értékelésének szükségességét, ahol a felújítás egészségügyi veszélyt jelenthet. Az azbeszttartalmú anyagok késedelmes azonosítása késleltetheti a felújításokat, és ezen anyagok felújítási munkálatok során való váratlan felfedezése az azbesztrostok véletlen kibocsátásához vezethet, ami súlyos kockázatot jelent a munkavállalókra, lakosokra és szomszédokra nézve. A munkahelyi azbesztről szóló 2009/148/EK irányelv</w:t>
      </w:r>
      <w:r>
        <w:rPr>
          <w:rStyle w:val="FootnoteReference"/>
          <w:rFonts w:ascii="Times New Roman" w:hAnsi="Times New Roman" w:cs="Times New Roman"/>
          <w:noProof/>
          <w:color w:val="000000" w:themeColor="text1"/>
          <w:sz w:val="24"/>
        </w:rPr>
        <w:footnoteReference w:id="48"/>
      </w:r>
      <w:r>
        <w:rPr>
          <w:rFonts w:ascii="Times New Roman" w:hAnsi="Times New Roman"/>
          <w:noProof/>
          <w:sz w:val="24"/>
        </w:rPr>
        <w:t xml:space="preserve"> értelmében a munkálatok megkezdése előtt már most is kötelező értékelni az azbesztnek való kitettség kockázatát. Azonban, mivel az azbeszt szűrésére, nyilvántartásba vételére és eltávolítására vonatkozó stratégiák jelentős mértékben eltérnek a tagállamok között</w:t>
      </w:r>
      <w:r>
        <w:rPr>
          <w:rStyle w:val="FootnoteReference"/>
          <w:rFonts w:ascii="Times New Roman" w:hAnsi="Times New Roman" w:cs="Times New Roman"/>
          <w:noProof/>
          <w:sz w:val="24"/>
        </w:rPr>
        <w:footnoteReference w:id="49"/>
      </w:r>
      <w:r>
        <w:rPr>
          <w:rFonts w:ascii="Times New Roman" w:hAnsi="Times New Roman"/>
          <w:noProof/>
          <w:sz w:val="24"/>
        </w:rPr>
        <w:t xml:space="preserve">, hasznos lenne egy közös uniós kerete létrehozni az uniós épületállományban lévő azbeszt egyszerűbb azonosítása és eltávolítása érdekében. </w:t>
      </w:r>
    </w:p>
    <w:p w14:paraId="178DC5AF" w14:textId="4A033783" w:rsidR="006C734B" w:rsidRPr="00A33812" w:rsidRDefault="006C734B" w:rsidP="00A33812">
      <w:pPr>
        <w:jc w:val="both"/>
        <w:rPr>
          <w:rStyle w:val="normaltextrun"/>
          <w:rFonts w:ascii="Times New Roman" w:hAnsi="Times New Roman" w:cs="Times New Roman"/>
          <w:noProof/>
          <w:sz w:val="24"/>
        </w:rPr>
      </w:pPr>
      <w:r>
        <w:rPr>
          <w:rFonts w:ascii="Times New Roman" w:hAnsi="Times New Roman"/>
          <w:b/>
          <w:noProof/>
          <w:sz w:val="24"/>
        </w:rPr>
        <w:t>A Bizottság jogalkotási javaslatot fog előterjeszteni az épületekben lévő azbeszt kötelező szűrésére és nyilvántartásba vételére vonatkozóan</w:t>
      </w:r>
      <w:r>
        <w:rPr>
          <w:rFonts w:ascii="Times New Roman" w:hAnsi="Times New Roman"/>
          <w:noProof/>
          <w:sz w:val="24"/>
        </w:rPr>
        <w:t xml:space="preserve">, miközben tiszteletben tartja a szubszidiaritás és arányosság elvét, valamint a tagállami hatásköröket. Az azbeszt jelenlétének a felújítási munkálatok megkezdése előtt történő értékelésére vonatkozó meglévő kötelezettségen túl a jogalkotási javaslat fontolóra veheti az azbeszt jelenlétének szűrését és nyilvántartásba vételét a gazdasági tranzakciók végrehajtása során (pl. értékesítés vagy bérlés előtt) és/vagy az épület életciklusának más döntő pillanataiban. </w:t>
      </w:r>
      <w:r>
        <w:rPr>
          <w:rStyle w:val="normaltextrun"/>
          <w:rFonts w:ascii="Times New Roman" w:hAnsi="Times New Roman"/>
          <w:noProof/>
          <w:sz w:val="24"/>
        </w:rPr>
        <w:t xml:space="preserve">A tagállamokat arra is felkérik, hogy </w:t>
      </w:r>
      <w:r>
        <w:rPr>
          <w:rFonts w:ascii="Times New Roman" w:hAnsi="Times New Roman"/>
          <w:noProof/>
          <w:sz w:val="24"/>
        </w:rPr>
        <w:t>dolgozzanak ki az azbeszt eltávolítására vonatkozó nemzeti stratégiákat</w:t>
      </w:r>
      <w:r>
        <w:rPr>
          <w:rStyle w:val="normaltextrun"/>
          <w:rFonts w:ascii="Times New Roman" w:hAnsi="Times New Roman"/>
          <w:noProof/>
          <w:sz w:val="24"/>
        </w:rPr>
        <w:t>, amelyek tükrözik a helyi építési szabályzatokat, illetve figyelembe veszik a nemzeti körülményeket, valamint az azbeszt felhasználásának történeti előzményeit.</w:t>
      </w:r>
    </w:p>
    <w:p w14:paraId="34E57F40" w14:textId="1E01CF66" w:rsidR="006C734B" w:rsidRPr="00A33812" w:rsidRDefault="00AD68C0" w:rsidP="006C734B">
      <w:pPr>
        <w:spacing w:before="120" w:after="120"/>
        <w:jc w:val="both"/>
        <w:rPr>
          <w:rStyle w:val="normaltextrun"/>
          <w:rFonts w:ascii="Times New Roman" w:hAnsi="Times New Roman" w:cs="Times New Roman"/>
          <w:noProof/>
          <w:sz w:val="24"/>
        </w:rPr>
      </w:pPr>
      <w:r>
        <w:rPr>
          <w:rStyle w:val="normaltextrun"/>
          <w:rFonts w:ascii="Times New Roman" w:hAnsi="Times New Roman"/>
          <w:b/>
          <w:noProof/>
          <w:sz w:val="24"/>
        </w:rPr>
        <w:t xml:space="preserve">A jogalkotási javaslat előkészítése során a Bizottság továbbá mérlegeli majd az azbeszt épületekben való jelenlétével kapcsolatos adatgyűjtésre és -terjesztésre vonatkozó minimumkövetelményeket. </w:t>
      </w:r>
      <w:r>
        <w:rPr>
          <w:rStyle w:val="normaltextrun"/>
          <w:rFonts w:ascii="Times New Roman" w:hAnsi="Times New Roman"/>
          <w:noProof/>
          <w:sz w:val="24"/>
        </w:rPr>
        <w:t>Elengedhetetlen, hogy</w:t>
      </w:r>
      <w:r>
        <w:rPr>
          <w:rStyle w:val="normaltextrun"/>
          <w:rFonts w:ascii="Times New Roman" w:hAnsi="Times New Roman"/>
          <w:b/>
          <w:noProof/>
          <w:sz w:val="24"/>
        </w:rPr>
        <w:t xml:space="preserve"> </w:t>
      </w:r>
      <w:r>
        <w:rPr>
          <w:rFonts w:ascii="Times New Roman" w:hAnsi="Times New Roman"/>
          <w:noProof/>
          <w:sz w:val="24"/>
        </w:rPr>
        <w:t xml:space="preserve">az azbeszt jelenlétéről átlátható információk álljanak rendelkezésre az épületek teljes életciklusa során, hogy minimalizálni lehessen a kitettség kockázatait és elő lehessen mozdítani az azbeszt eltávolítását. A következő szakaszban leírtaknak megfelelően a digitális formátumban történő regisztráció ezeket az információkat könnyebben hozzáférhetővé tenné. </w:t>
      </w:r>
      <w:r>
        <w:rPr>
          <w:rStyle w:val="normaltextrun"/>
          <w:rFonts w:ascii="Times New Roman" w:hAnsi="Times New Roman"/>
          <w:noProof/>
          <w:sz w:val="24"/>
        </w:rPr>
        <w:t xml:space="preserve"> </w:t>
      </w:r>
    </w:p>
    <w:p w14:paraId="634F8853" w14:textId="49E4D5C0" w:rsidR="006C734B" w:rsidRPr="00A33812" w:rsidRDefault="006C734B" w:rsidP="006C734B">
      <w:pPr>
        <w:spacing w:before="240" w:after="120"/>
        <w:jc w:val="both"/>
        <w:rPr>
          <w:rStyle w:val="normaltextrun"/>
          <w:rFonts w:ascii="Times New Roman" w:hAnsi="Times New Roman" w:cs="Times New Roman"/>
          <w:noProof/>
          <w:sz w:val="24"/>
        </w:rPr>
      </w:pPr>
      <w:r>
        <w:rPr>
          <w:rFonts w:ascii="Times New Roman" w:hAnsi="Times New Roman"/>
          <w:b/>
          <w:noProof/>
          <w:sz w:val="24"/>
        </w:rPr>
        <w:t>A javaslatot a szakértőkkel és az érdekelt felekkel folytatott széles körű konzultáció keretében dolgozzák ki.</w:t>
      </w:r>
      <w:r>
        <w:rPr>
          <w:rFonts w:ascii="Times New Roman" w:hAnsi="Times New Roman"/>
          <w:noProof/>
          <w:sz w:val="24"/>
        </w:rPr>
        <w:t xml:space="preserve"> A javaslat továbbá egy hatásvizsgálati tanulmányra is támaszkodni fog, hogy a rendelkezésre álló legjobb tudományos bizonyítékok alapján, valamint a Szerződésben biztosított jogalapot tiszteletben tartva azonosítani tudja a rendelkezésre álló legjobb szakpolitikai lehetőségeket.</w:t>
      </w:r>
      <w:r>
        <w:rPr>
          <w:rStyle w:val="normaltextrun"/>
          <w:rFonts w:ascii="Times New Roman" w:hAnsi="Times New Roman"/>
          <w:noProof/>
          <w:sz w:val="24"/>
        </w:rPr>
        <w:t xml:space="preserve"> </w:t>
      </w:r>
    </w:p>
    <w:p w14:paraId="6F8CA1FE" w14:textId="6F96F924" w:rsidR="00920DEE" w:rsidRDefault="006C734B" w:rsidP="00A33812">
      <w:pPr>
        <w:spacing w:before="240" w:after="120"/>
        <w:jc w:val="both"/>
        <w:rPr>
          <w:rStyle w:val="normaltextrun"/>
          <w:rFonts w:ascii="Times New Roman" w:hAnsi="Times New Roman" w:cs="Times New Roman"/>
          <w:noProof/>
          <w:sz w:val="24"/>
        </w:rPr>
      </w:pPr>
      <w:r>
        <w:rPr>
          <w:rStyle w:val="normaltextrun"/>
          <w:rFonts w:ascii="Times New Roman" w:hAnsi="Times New Roman"/>
          <w:noProof/>
          <w:sz w:val="24"/>
        </w:rPr>
        <w:t xml:space="preserve">A javaslat ezenkívül az azbeszttel kapcsolatos kockázatok tagállami kezelésére vonatkozó </w:t>
      </w:r>
      <w:r>
        <w:rPr>
          <w:rStyle w:val="normaltextrun"/>
          <w:rFonts w:ascii="Times New Roman" w:hAnsi="Times New Roman"/>
          <w:b/>
          <w:noProof/>
          <w:sz w:val="24"/>
        </w:rPr>
        <w:t>bevált gyakorlatok értékelésére és azonosítására</w:t>
      </w:r>
      <w:r>
        <w:rPr>
          <w:rStyle w:val="normaltextrun"/>
          <w:rFonts w:ascii="Times New Roman" w:hAnsi="Times New Roman"/>
          <w:noProof/>
          <w:sz w:val="24"/>
        </w:rPr>
        <w:t xml:space="preserve"> is támaszkodik</w:t>
      </w:r>
      <w:bookmarkStart w:id="10" w:name="_Hlk107004319"/>
      <w:r>
        <w:rPr>
          <w:rStyle w:val="normaltextrun"/>
          <w:rFonts w:ascii="Times New Roman" w:hAnsi="Times New Roman"/>
          <w:noProof/>
          <w:sz w:val="24"/>
        </w:rPr>
        <w:t>, többek között az épületkorszerűsítési programra vonatkozó cselekvési terv végrehajtásával összefüggésben.</w:t>
      </w:r>
      <w:bookmarkEnd w:id="10"/>
      <w:r>
        <w:rPr>
          <w:rStyle w:val="normaltextrun"/>
          <w:rFonts w:ascii="Times New Roman" w:hAnsi="Times New Roman"/>
          <w:noProof/>
          <w:sz w:val="24"/>
        </w:rPr>
        <w:t xml:space="preserve"> </w:t>
      </w:r>
    </w:p>
    <w:p w14:paraId="3E96F0E9" w14:textId="32AD2A6A" w:rsidR="009E747F" w:rsidRPr="00A33812" w:rsidRDefault="00826BFF" w:rsidP="00A33812">
      <w:pPr>
        <w:pStyle w:val="ListParagraph"/>
        <w:numPr>
          <w:ilvl w:val="0"/>
          <w:numId w:val="36"/>
        </w:numPr>
        <w:spacing w:before="120" w:after="120"/>
        <w:ind w:left="714" w:hanging="357"/>
        <w:contextualSpacing w:val="0"/>
        <w:jc w:val="both"/>
        <w:rPr>
          <w:rStyle w:val="normaltextrun"/>
          <w:rFonts w:ascii="Times New Roman" w:hAnsi="Times New Roman" w:cs="Times New Roman"/>
          <w:noProof/>
        </w:rPr>
      </w:pPr>
      <w:r>
        <w:rPr>
          <w:rStyle w:val="normaltextrun"/>
          <w:rFonts w:ascii="Times New Roman" w:hAnsi="Times New Roman"/>
          <w:noProof/>
        </w:rPr>
        <w:t>Franciaországban például jogszabályt fogadtak el annak érdekében, hogy kötelezővé tegyék az azbeszt azonosítását az épületekben elvégzett bizonyos műveletek engedélyezését megelőzően (2017. májusi rendelet</w:t>
      </w:r>
      <w:r>
        <w:rPr>
          <w:rStyle w:val="FootnoteReference"/>
          <w:rFonts w:ascii="Times New Roman" w:hAnsi="Times New Roman" w:cs="Times New Roman"/>
          <w:noProof/>
        </w:rPr>
        <w:footnoteReference w:id="50"/>
      </w:r>
      <w:r>
        <w:rPr>
          <w:rStyle w:val="normaltextrun"/>
          <w:rFonts w:ascii="Times New Roman" w:hAnsi="Times New Roman"/>
          <w:noProof/>
        </w:rPr>
        <w:t xml:space="preserve"> és 2019. júliusi rendelet</w:t>
      </w:r>
      <w:r>
        <w:rPr>
          <w:rStyle w:val="FootnoteReference"/>
          <w:rFonts w:ascii="Times New Roman" w:hAnsi="Times New Roman" w:cs="Times New Roman"/>
          <w:noProof/>
        </w:rPr>
        <w:footnoteReference w:id="51"/>
      </w:r>
      <w:r>
        <w:rPr>
          <w:rStyle w:val="normaltextrun"/>
          <w:rFonts w:ascii="Times New Roman" w:hAnsi="Times New Roman"/>
          <w:noProof/>
        </w:rPr>
        <w:t xml:space="preserve">). Az azbesztnek való kitettség kockázatával járható építési munkák esetében a munkálatokat megrendelő személynek vagy szervnek (például az épület tulajdonosa vagy az ajánlatkérő szerv) a munkálatok megkezdése előtt előzetesen azonosítani kell az azbesztet. Ez a munkálatok által valószínűleg érintett azbeszttartalmú anyagok és termékek szükséges felkutatását, azonosítását és helymeghatározását jelenti. </w:t>
      </w:r>
    </w:p>
    <w:p w14:paraId="59196790" w14:textId="24EEC49B" w:rsidR="009E747F" w:rsidRPr="00A33812" w:rsidRDefault="00082D61" w:rsidP="00A33812">
      <w:pPr>
        <w:pStyle w:val="ListParagraph"/>
        <w:numPr>
          <w:ilvl w:val="0"/>
          <w:numId w:val="36"/>
        </w:numPr>
        <w:spacing w:before="120" w:after="120"/>
        <w:ind w:left="714" w:hanging="357"/>
        <w:contextualSpacing w:val="0"/>
        <w:jc w:val="both"/>
        <w:rPr>
          <w:rStyle w:val="normaltextrun"/>
          <w:rFonts w:ascii="Times New Roman" w:hAnsi="Times New Roman" w:cs="Times New Roman"/>
          <w:noProof/>
        </w:rPr>
      </w:pPr>
      <w:r>
        <w:rPr>
          <w:rStyle w:val="normaltextrun"/>
          <w:rFonts w:ascii="Times New Roman" w:hAnsi="Times New Roman"/>
          <w:noProof/>
        </w:rPr>
        <w:t xml:space="preserve">Lengyelország rendelkezik az azbeszt biztonságos eltávolítására irányuló nemzeti programmal (2009–2032), továbbá 2013 óta azbesztadatbázist üzemeltet. A nemzeti program magában foglalja az azbeszt eltávolítására vonatkozó jogalkotási intézkedéseket, a tájékoztatást és képzést, továbbá a területi információs rendszeren keresztül történő nyomon követést. </w:t>
      </w:r>
    </w:p>
    <w:p w14:paraId="48D832C6" w14:textId="1189B03D" w:rsidR="00082D61" w:rsidRPr="00A33812" w:rsidRDefault="00082D61" w:rsidP="00A33812">
      <w:pPr>
        <w:pStyle w:val="ListParagraph"/>
        <w:numPr>
          <w:ilvl w:val="0"/>
          <w:numId w:val="36"/>
        </w:numPr>
        <w:spacing w:before="240" w:after="120"/>
        <w:jc w:val="both"/>
        <w:rPr>
          <w:rStyle w:val="normaltextrun"/>
          <w:rFonts w:ascii="Times New Roman" w:hAnsi="Times New Roman" w:cs="Times New Roman"/>
          <w:noProof/>
        </w:rPr>
      </w:pPr>
      <w:r>
        <w:rPr>
          <w:rStyle w:val="normaltextrun"/>
          <w:rFonts w:ascii="Times New Roman" w:hAnsi="Times New Roman"/>
          <w:noProof/>
        </w:rPr>
        <w:t>Belgiumban a flamand kormány célja, hogy legkésőbb 2040-re azbesztmentessé tegyék az épületeket és az infrastruktúrát. Ennek elérése érdekében intézkedéseket hoztak, például a fotovoltaikus panelek telepítésének előfeltételévé tették az azbeszt eltávolítását, továbbá azt tervezik, hogy 2022-ben azbeszttanúsítványt vezetnek be az értékesítésre szánt épületek esetében</w:t>
      </w:r>
      <w:r>
        <w:rPr>
          <w:rStyle w:val="FootnoteReference"/>
          <w:rFonts w:ascii="Times New Roman" w:hAnsi="Times New Roman" w:cs="Times New Roman"/>
          <w:noProof/>
        </w:rPr>
        <w:footnoteReference w:id="52"/>
      </w:r>
      <w:r>
        <w:rPr>
          <w:rStyle w:val="normaltextrun"/>
          <w:rFonts w:ascii="Times New Roman" w:hAnsi="Times New Roman"/>
          <w:noProof/>
        </w:rPr>
        <w:t xml:space="preserve">.   </w:t>
      </w:r>
    </w:p>
    <w:p w14:paraId="5E9EDD19" w14:textId="1D2553AF" w:rsidR="006C734B" w:rsidRPr="009F7008" w:rsidRDefault="006C734B" w:rsidP="007661CF">
      <w:pPr>
        <w:spacing w:before="120" w:after="120"/>
        <w:jc w:val="both"/>
        <w:rPr>
          <w:rFonts w:ascii="Times New Roman" w:hAnsi="Times New Roman" w:cs="Times New Roman"/>
          <w:b/>
          <w:noProof/>
          <w:sz w:val="24"/>
        </w:rPr>
      </w:pPr>
      <w:r>
        <w:rPr>
          <w:rFonts w:ascii="Times New Roman" w:hAnsi="Times New Roman"/>
          <w:b/>
          <w:noProof/>
          <w:sz w:val="24"/>
        </w:rPr>
        <w:t>Az épületkorszerűsítési program és az energiahatékonyság</w:t>
      </w:r>
    </w:p>
    <w:p w14:paraId="0F94E838" w14:textId="6E25754C" w:rsidR="006C734B" w:rsidRPr="009F7008" w:rsidRDefault="006C734B" w:rsidP="006C734B">
      <w:pPr>
        <w:spacing w:before="120" w:after="120"/>
        <w:jc w:val="both"/>
        <w:rPr>
          <w:rFonts w:ascii="Times New Roman" w:hAnsi="Times New Roman" w:cs="Times New Roman"/>
          <w:b/>
          <w:noProof/>
          <w:sz w:val="24"/>
        </w:rPr>
      </w:pPr>
      <w:r>
        <w:rPr>
          <w:rFonts w:ascii="Times New Roman" w:hAnsi="Times New Roman"/>
          <w:b/>
          <w:noProof/>
          <w:sz w:val="24"/>
        </w:rPr>
        <w:t>Az európai épületkorszerűsítési program hangsúlyozza a fenntartható és biztonságos épületekre vonatkozó szabványok fenntartásának jelentőségét.</w:t>
      </w:r>
      <w:r>
        <w:rPr>
          <w:rFonts w:ascii="Times New Roman" w:hAnsi="Times New Roman"/>
          <w:noProof/>
          <w:sz w:val="24"/>
        </w:rPr>
        <w:t xml:space="preserve"> Ezért fontos, hogy intézkedéseket tegyünk a káros anyagok, különösen az azbeszt eltávolítása és az ilyen anyagok elleni védekezés érdekében. Az épületkorszerűsítési program végrehajtási akcióterve</w:t>
      </w:r>
      <w:r>
        <w:rPr>
          <w:rStyle w:val="FootnoteReference"/>
          <w:rFonts w:ascii="Times New Roman" w:hAnsi="Times New Roman" w:cs="Times New Roman"/>
          <w:noProof/>
          <w:sz w:val="24"/>
        </w:rPr>
        <w:footnoteReference w:id="53"/>
      </w:r>
      <w:r>
        <w:rPr>
          <w:rFonts w:ascii="Times New Roman" w:hAnsi="Times New Roman"/>
          <w:noProof/>
          <w:sz w:val="24"/>
        </w:rPr>
        <w:t xml:space="preserve"> szabályozási </w:t>
      </w:r>
      <w:r>
        <w:rPr>
          <w:rFonts w:ascii="Times New Roman" w:hAnsi="Times New Roman"/>
          <w:noProof/>
          <w:color w:val="000000" w:themeColor="text1"/>
          <w:sz w:val="24"/>
        </w:rPr>
        <w:t>intézkedéseket</w:t>
      </w:r>
      <w:r>
        <w:rPr>
          <w:rFonts w:ascii="Times New Roman" w:hAnsi="Times New Roman"/>
          <w:noProof/>
          <w:sz w:val="24"/>
        </w:rPr>
        <w:t xml:space="preserve"> tartalmaz, amelyek megerősítik az uniós jogszabályi keretet, különösen az épületek energiahatékonyságáról szóló 2010/31/EU irányelvet.</w:t>
      </w:r>
      <w:r>
        <w:rPr>
          <w:rFonts w:ascii="Times New Roman" w:hAnsi="Times New Roman"/>
          <w:b/>
          <w:noProof/>
          <w:sz w:val="24"/>
        </w:rPr>
        <w:t xml:space="preserve"> </w:t>
      </w:r>
      <w:r>
        <w:rPr>
          <w:rFonts w:ascii="Times New Roman" w:hAnsi="Times New Roman"/>
          <w:noProof/>
          <w:sz w:val="24"/>
        </w:rPr>
        <w:t>A Bizottság 2021 decemberében javaslatot tett</w:t>
      </w:r>
      <w:r>
        <w:rPr>
          <w:rStyle w:val="FootnoteReference"/>
          <w:rFonts w:ascii="Times New Roman" w:hAnsi="Times New Roman" w:cs="Times New Roman"/>
          <w:noProof/>
          <w:sz w:val="24"/>
        </w:rPr>
        <w:footnoteReference w:id="54"/>
      </w:r>
      <w:r>
        <w:rPr>
          <w:rFonts w:ascii="Times New Roman" w:hAnsi="Times New Roman"/>
          <w:noProof/>
          <w:sz w:val="24"/>
        </w:rPr>
        <w:t xml:space="preserve"> ezen irányelv felülvizsgálatára, amely kihangsúlyozza az egészséges beltéri környezet fontosságát. A javaslat rendelkezéseket tartalmaz a tagállamok számára a veszélyes anyagok – köztük az azbeszt – eltávolításának kezelésére a jelentős felújítás alatt álló épületekben.</w:t>
      </w:r>
      <w:r>
        <w:rPr>
          <w:rFonts w:ascii="Times New Roman" w:hAnsi="Times New Roman"/>
          <w:b/>
          <w:noProof/>
          <w:sz w:val="24"/>
        </w:rPr>
        <w:t xml:space="preserve"> </w:t>
      </w:r>
    </w:p>
    <w:p w14:paraId="14DEDE5F" w14:textId="4955BE1C" w:rsidR="00850204" w:rsidRPr="009F7008" w:rsidRDefault="006C734B" w:rsidP="006C734B">
      <w:pPr>
        <w:spacing w:before="120" w:after="120"/>
        <w:jc w:val="both"/>
        <w:rPr>
          <w:rFonts w:ascii="Times New Roman" w:hAnsi="Times New Roman" w:cs="Times New Roman"/>
          <w:noProof/>
          <w:sz w:val="24"/>
        </w:rPr>
      </w:pPr>
      <w:r>
        <w:rPr>
          <w:rFonts w:ascii="Times New Roman" w:hAnsi="Times New Roman"/>
          <w:b/>
          <w:noProof/>
          <w:sz w:val="24"/>
        </w:rPr>
        <w:t>A beltéri levegő jó minőségének biztosítása még fontosabbá válik, különösen az energiaveszteség épületszigetelések javításával elért csökkentésével összefüggésben.</w:t>
      </w:r>
      <w:r>
        <w:rPr>
          <w:rFonts w:ascii="Times New Roman" w:hAnsi="Times New Roman"/>
          <w:noProof/>
          <w:sz w:val="24"/>
        </w:rPr>
        <w:t xml:space="preserve"> Habár az uniós szakpolitikák számos olyan tényezővel foglalkoztak, amelyek hozzájárulnak a jó levegőminőséghez (a környezeti levegőtől kezdve a fűtő-, hűtő- és szellőzőrendszereken, építőanyagokon és fogyasztási cikkeken át a dohányzásig és a lakók hasonló magatartásáig), de az ezen elemek kezelésére szolgáló fő szabályozási eszközök – helyi építési szabályzatok – a tagállamok és tagállami régiók hatáskörébe tartoznak. Ezért az EU nem rendelkezik átfogó, integrált megközelítéssel a beltéri levegő minőségére vonatkozóan.</w:t>
      </w:r>
      <w:r>
        <w:rPr>
          <w:noProof/>
        </w:rPr>
        <w:t xml:space="preserve"> </w:t>
      </w:r>
      <w:r>
        <w:rPr>
          <w:rFonts w:ascii="Times New Roman" w:hAnsi="Times New Roman"/>
          <w:noProof/>
          <w:sz w:val="24"/>
        </w:rPr>
        <w:t xml:space="preserve">Ugyanakkor a szennyezőanyag-mentességi cselekvési tervben bejelentetteknek megfelelően a Bizottság 2023-ig értékeli majd a beltéri levegőminőség fejlesztési útvonalait és szakpolitikai alternatíváit, a levegőminőség kulcsfontosságú tényezőire és a szennyezés fő forrásaira összpontosítva, ideértve az azbesztet is. A Bizottság meg fogja vizsgálni, miként lehetne a közvélemény figyelmét felkelteni és csökkenteni a kockázatokat. </w:t>
      </w:r>
    </w:p>
    <w:p w14:paraId="56B3E9FC" w14:textId="77777777" w:rsidR="006C734B" w:rsidRPr="009F7008" w:rsidRDefault="006C734B" w:rsidP="006C734B">
      <w:pPr>
        <w:spacing w:before="240" w:after="120"/>
        <w:jc w:val="both"/>
        <w:rPr>
          <w:rFonts w:ascii="Times New Roman" w:hAnsi="Times New Roman" w:cs="Times New Roman"/>
          <w:b/>
          <w:noProof/>
          <w:sz w:val="24"/>
        </w:rPr>
      </w:pPr>
      <w:r>
        <w:rPr>
          <w:rFonts w:ascii="Times New Roman" w:hAnsi="Times New Roman"/>
          <w:b/>
          <w:noProof/>
          <w:sz w:val="24"/>
        </w:rPr>
        <w:t>Digitális építési napló</w:t>
      </w:r>
    </w:p>
    <w:p w14:paraId="4F24563E" w14:textId="6D1B0216" w:rsidR="006C734B" w:rsidRPr="009F7008" w:rsidRDefault="006C734B" w:rsidP="006C734B">
      <w:pPr>
        <w:spacing w:before="120" w:after="120"/>
        <w:jc w:val="both"/>
        <w:rPr>
          <w:rFonts w:ascii="Times New Roman" w:hAnsi="Times New Roman" w:cs="Times New Roman"/>
          <w:noProof/>
          <w:sz w:val="24"/>
        </w:rPr>
      </w:pPr>
      <w:r>
        <w:rPr>
          <w:rFonts w:ascii="Times New Roman" w:hAnsi="Times New Roman"/>
          <w:b/>
          <w:noProof/>
          <w:sz w:val="24"/>
        </w:rPr>
        <w:t xml:space="preserve">A digitális technológiák megkönnyíthetik az azbeszttel kapcsolatban a szűrések során összegyűjtött adatok nyilvántartásba vételét és megosztását. </w:t>
      </w:r>
      <w:r>
        <w:rPr>
          <w:rFonts w:ascii="Times New Roman" w:hAnsi="Times New Roman"/>
          <w:noProof/>
          <w:sz w:val="24"/>
        </w:rPr>
        <w:t xml:space="preserve">A digitális építési naplók tartalmazzák az építéssel kapcsolatos valamennyi adatot, és lehetővé teszik az épület – tervezéstől az építésig, a felújításig, majd a bontásig tartó – élettartama során létrehozott valamennyi információtípus megosztását. </w:t>
      </w:r>
    </w:p>
    <w:p w14:paraId="400D5F5E" w14:textId="2032B776" w:rsidR="006C734B" w:rsidRPr="00A33812" w:rsidRDefault="006C734B" w:rsidP="006C734B">
      <w:pPr>
        <w:spacing w:before="120" w:after="120"/>
        <w:jc w:val="both"/>
        <w:rPr>
          <w:rFonts w:ascii="Times New Roman" w:hAnsi="Times New Roman" w:cs="Times New Roman"/>
          <w:b/>
          <w:noProof/>
          <w:sz w:val="24"/>
        </w:rPr>
      </w:pPr>
      <w:r>
        <w:rPr>
          <w:rFonts w:ascii="Times New Roman" w:hAnsi="Times New Roman"/>
          <w:b/>
          <w:noProof/>
          <w:sz w:val="24"/>
        </w:rPr>
        <w:t>A Bizottság szabályozási megközelítést fog javasolni az uniós digitális építési napló modelljére vonatkozóan.</w:t>
      </w:r>
      <w:r>
        <w:rPr>
          <w:rFonts w:ascii="Times New Roman" w:hAnsi="Times New Roman"/>
          <w:noProof/>
          <w:sz w:val="24"/>
        </w:rPr>
        <w:t xml:space="preserve"> A modell a különböző tagállamokban már létező kötelező és önkéntes kezdeményezésekre, valamint az uniós szinten kidolgozott digitális eszközökre és épülettanúsítványokra fog épülni (pl. energiahatékonysági tanúsítványok). A naplók az épületek fenntarthatóságát és energiahatékonyságát nyomon követő „szint(ek)”</w:t>
      </w:r>
      <w:r>
        <w:rPr>
          <w:rStyle w:val="FootnoteReference"/>
          <w:rFonts w:ascii="Times New Roman" w:hAnsi="Times New Roman" w:cs="Times New Roman"/>
          <w:noProof/>
          <w:sz w:val="24"/>
        </w:rPr>
        <w:footnoteReference w:id="55"/>
      </w:r>
      <w:r>
        <w:rPr>
          <w:rFonts w:ascii="Times New Roman" w:hAnsi="Times New Roman"/>
          <w:noProof/>
          <w:sz w:val="24"/>
        </w:rPr>
        <w:t xml:space="preserve"> alapmutatókhoz kapcsolódó valamennyi rendelkezésre álló információt is képesek tárolni. A modellre vonatkozó e javaslat magában foglalja az adatgyűjtés, adatkezelés és interoperabilitás szabványosított megközelítését. E megközelítés magában foglalja a végrehajtási keretét is, a szűrési kötelezettségből származó adatok vonatkozásában is. Az azbeszt épületekben való jelenlétére vonatkozó információkat a naplók révén kell elérhetővé tenni, és ezeket össze kell kapcsolni a naplókban lévő egyéb adatbázisokkal is (pl. az épület tervrajzával). </w:t>
      </w:r>
    </w:p>
    <w:tbl>
      <w:tblPr>
        <w:tblStyle w:val="TableGrid"/>
        <w:tblW w:w="0" w:type="auto"/>
        <w:tblLook w:val="04A0" w:firstRow="1" w:lastRow="0" w:firstColumn="1" w:lastColumn="0" w:noHBand="0" w:noVBand="1"/>
      </w:tblPr>
      <w:tblGrid>
        <w:gridCol w:w="9242"/>
      </w:tblGrid>
      <w:tr w:rsidR="006C734B" w:rsidRPr="009F7008" w14:paraId="0B62C8A5" w14:textId="77777777" w:rsidTr="00F0380E">
        <w:tc>
          <w:tcPr>
            <w:tcW w:w="9576" w:type="dxa"/>
          </w:tcPr>
          <w:p w14:paraId="5C1060A1" w14:textId="77777777" w:rsidR="006C734B" w:rsidRPr="009F7008" w:rsidRDefault="006C734B" w:rsidP="00F0380E">
            <w:pPr>
              <w:spacing w:before="120" w:after="120"/>
              <w:jc w:val="both"/>
              <w:rPr>
                <w:rFonts w:ascii="Times New Roman" w:hAnsi="Times New Roman" w:cs="Times New Roman"/>
                <w:noProof/>
              </w:rPr>
            </w:pPr>
            <w:r>
              <w:rPr>
                <w:rFonts w:ascii="Times New Roman" w:hAnsi="Times New Roman"/>
                <w:b/>
                <w:noProof/>
              </w:rPr>
              <w:t xml:space="preserve">A Bizottság: </w:t>
            </w:r>
          </w:p>
          <w:p w14:paraId="27834D6D" w14:textId="6AE90A54" w:rsidR="00997A51" w:rsidRPr="009F7008" w:rsidRDefault="009E747F" w:rsidP="00997A51">
            <w:pPr>
              <w:pStyle w:val="ListParagraph"/>
              <w:numPr>
                <w:ilvl w:val="0"/>
                <w:numId w:val="35"/>
              </w:numPr>
              <w:spacing w:before="120" w:after="120"/>
              <w:ind w:left="1077" w:hanging="357"/>
              <w:jc w:val="both"/>
              <w:rPr>
                <w:rFonts w:ascii="Times New Roman" w:hAnsi="Times New Roman" w:cs="Times New Roman"/>
                <w:noProof/>
              </w:rPr>
            </w:pPr>
            <w:r>
              <w:rPr>
                <w:rFonts w:ascii="Times New Roman" w:hAnsi="Times New Roman"/>
                <w:noProof/>
              </w:rPr>
              <w:t>jogalkotási javaslatot terjeszt elő az épületekben lévő azbeszt szűrésére és nyilvántartásba vételére vonatkozóan, és felkéri a tagállamokat az azbeszt eltávolításáról szóló nemzeti stratégiák kidolgozására (2023),</w:t>
            </w:r>
          </w:p>
          <w:p w14:paraId="7603474E" w14:textId="0D645D98" w:rsidR="006C734B" w:rsidRPr="009F7008" w:rsidRDefault="009E747F" w:rsidP="00F0380E">
            <w:pPr>
              <w:pStyle w:val="ListParagraph"/>
              <w:numPr>
                <w:ilvl w:val="0"/>
                <w:numId w:val="18"/>
              </w:numPr>
              <w:spacing w:before="120" w:after="120"/>
              <w:ind w:left="1077" w:hanging="357"/>
              <w:jc w:val="both"/>
              <w:rPr>
                <w:rFonts w:ascii="Times New Roman" w:hAnsi="Times New Roman" w:cs="Times New Roman"/>
                <w:noProof/>
              </w:rPr>
            </w:pPr>
            <w:r>
              <w:rPr>
                <w:rFonts w:ascii="Times New Roman" w:hAnsi="Times New Roman"/>
                <w:noProof/>
              </w:rPr>
              <w:t>szabályozási megközelítést javasol a digitális építési naplók uniós modelljére vonatkozóan (2023),</w:t>
            </w:r>
          </w:p>
          <w:p w14:paraId="76D360DC" w14:textId="57173041" w:rsidR="006C734B" w:rsidRPr="009F7008" w:rsidRDefault="00174A60" w:rsidP="00F0380E">
            <w:pPr>
              <w:pStyle w:val="ListParagraph"/>
              <w:numPr>
                <w:ilvl w:val="0"/>
                <w:numId w:val="18"/>
              </w:numPr>
              <w:spacing w:before="120" w:after="120"/>
              <w:ind w:left="1077" w:hanging="357"/>
              <w:jc w:val="both"/>
              <w:rPr>
                <w:rFonts w:ascii="Times New Roman" w:hAnsi="Times New Roman" w:cs="Times New Roman"/>
                <w:noProof/>
              </w:rPr>
            </w:pPr>
            <w:r>
              <w:rPr>
                <w:rFonts w:ascii="Times New Roman" w:hAnsi="Times New Roman"/>
                <w:noProof/>
              </w:rPr>
              <w:t xml:space="preserve">támogatja azokat a tagállamokat, amelyek digitális építési naplót kívánnak bevezetni vagy meglévő rendszereiket kívánják kibővíteni és az uniós modellhez igazítani, </w:t>
            </w:r>
          </w:p>
          <w:p w14:paraId="2637DCEC" w14:textId="47D472DA" w:rsidR="006C734B" w:rsidRPr="009F7008" w:rsidRDefault="00174A60" w:rsidP="00F0380E">
            <w:pPr>
              <w:pStyle w:val="ListParagraph"/>
              <w:numPr>
                <w:ilvl w:val="0"/>
                <w:numId w:val="18"/>
              </w:numPr>
              <w:spacing w:before="120" w:after="120"/>
              <w:ind w:left="1077" w:hanging="357"/>
              <w:jc w:val="both"/>
              <w:rPr>
                <w:rFonts w:ascii="Times New Roman" w:hAnsi="Times New Roman" w:cs="Times New Roman"/>
                <w:noProof/>
              </w:rPr>
            </w:pPr>
            <w:r>
              <w:rPr>
                <w:rFonts w:ascii="Times New Roman" w:hAnsi="Times New Roman"/>
                <w:noProof/>
              </w:rPr>
              <w:t>értékeli a beltéri levegőminőség fejlesztési útvonalait és szakpolitikai alternatíváit, a levegőminőség fő tényezőire és a fő szennyezőforrásokra összpontosítva, ideértve az azbesztet is, valamint megvizsgálja, hogy miként lehetne növelni a közvélemény figyelmét felkelteni és csökkenteni a kockázatokat (2023).</w:t>
            </w:r>
          </w:p>
          <w:p w14:paraId="48230D18" w14:textId="77777777" w:rsidR="006C734B" w:rsidRPr="00A33812" w:rsidRDefault="006C734B" w:rsidP="00F0380E">
            <w:pPr>
              <w:spacing w:before="120" w:after="120"/>
              <w:jc w:val="both"/>
              <w:rPr>
                <w:rFonts w:ascii="Times New Roman" w:hAnsi="Times New Roman" w:cs="Times New Roman"/>
                <w:b/>
                <w:noProof/>
              </w:rPr>
            </w:pPr>
            <w:r>
              <w:rPr>
                <w:rFonts w:ascii="Times New Roman" w:hAnsi="Times New Roman"/>
                <w:b/>
                <w:noProof/>
              </w:rPr>
              <w:t xml:space="preserve">A Bizottság az alábbiakra ösztönzi a tagállamokat: </w:t>
            </w:r>
          </w:p>
          <w:p w14:paraId="03BA36E0" w14:textId="0A46E72F" w:rsidR="006C734B" w:rsidRPr="009F7008" w:rsidRDefault="00174A60" w:rsidP="00F0380E">
            <w:pPr>
              <w:pStyle w:val="ListParagraph"/>
              <w:numPr>
                <w:ilvl w:val="0"/>
                <w:numId w:val="18"/>
              </w:numPr>
              <w:spacing w:before="120" w:after="120"/>
              <w:ind w:left="1077" w:hanging="357"/>
              <w:jc w:val="both"/>
              <w:rPr>
                <w:rFonts w:ascii="Times New Roman" w:hAnsi="Times New Roman" w:cs="Times New Roman"/>
                <w:noProof/>
              </w:rPr>
            </w:pPr>
            <w:r>
              <w:rPr>
                <w:rFonts w:ascii="Times New Roman" w:hAnsi="Times New Roman"/>
                <w:noProof/>
              </w:rPr>
              <w:t>az épületekkel kapcsolatos információk és a meglévő nyilvántartások digitalizálásának felgyorsítása, az épületjellemzőkre vonatkozó adatok gyűjtésének, tárolásának, összehasonlíthatóságának és cserélhetőségének javítása,</w:t>
            </w:r>
          </w:p>
          <w:p w14:paraId="19D7EB18" w14:textId="5D1FACB2" w:rsidR="006C734B" w:rsidRPr="009F7008" w:rsidRDefault="00DA0211" w:rsidP="00F0380E">
            <w:pPr>
              <w:pStyle w:val="ListParagraph"/>
              <w:numPr>
                <w:ilvl w:val="0"/>
                <w:numId w:val="18"/>
              </w:numPr>
              <w:spacing w:before="120" w:after="120"/>
              <w:ind w:left="1077" w:hanging="357"/>
              <w:jc w:val="both"/>
              <w:rPr>
                <w:rFonts w:ascii="Times New Roman" w:hAnsi="Times New Roman" w:cs="Times New Roman"/>
                <w:noProof/>
              </w:rPr>
            </w:pPr>
            <w:r>
              <w:rPr>
                <w:rFonts w:ascii="Times New Roman" w:hAnsi="Times New Roman"/>
                <w:noProof/>
              </w:rPr>
              <w:t>digitális építési naplók bevezetése vagy a meglévő kezdeményezések továbbfejlesztése az uniós iránymutatásoknak megfelelően</w:t>
            </w:r>
          </w:p>
        </w:tc>
      </w:tr>
    </w:tbl>
    <w:p w14:paraId="08EA3126" w14:textId="5395C01C" w:rsidR="00F61388" w:rsidRDefault="00F61388" w:rsidP="009D1861">
      <w:pPr>
        <w:spacing w:after="240"/>
        <w:jc w:val="both"/>
        <w:rPr>
          <w:rFonts w:ascii="Times New Roman" w:hAnsi="Times New Roman" w:cs="Times New Roman"/>
          <w:b/>
          <w:smallCaps/>
          <w:noProof/>
        </w:rPr>
      </w:pPr>
    </w:p>
    <w:p w14:paraId="238D5EB5" w14:textId="23311277" w:rsidR="009469F5" w:rsidRPr="009F7008" w:rsidRDefault="00AA5F9F" w:rsidP="009E07FC">
      <w:pPr>
        <w:pStyle w:val="ListParagraph"/>
        <w:numPr>
          <w:ilvl w:val="0"/>
          <w:numId w:val="13"/>
        </w:numPr>
        <w:spacing w:after="240"/>
        <w:ind w:left="714" w:hanging="357"/>
        <w:jc w:val="both"/>
        <w:rPr>
          <w:rFonts w:ascii="Times New Roman" w:hAnsi="Times New Roman" w:cs="Times New Roman"/>
          <w:b/>
          <w:smallCaps/>
          <w:noProof/>
        </w:rPr>
      </w:pPr>
      <w:r>
        <w:rPr>
          <w:rFonts w:ascii="Times New Roman" w:hAnsi="Times New Roman"/>
          <w:b/>
          <w:smallCaps/>
          <w:noProof/>
        </w:rPr>
        <w:t>Az azbeszthulladék biztonságos ártalmatlanítása – szennyezőanyag-mentesség</w:t>
      </w:r>
    </w:p>
    <w:p w14:paraId="1A577173" w14:textId="6843B745" w:rsidR="00D44416" w:rsidRPr="009F7008" w:rsidRDefault="00174A60" w:rsidP="009E07FC">
      <w:pPr>
        <w:pStyle w:val="typedudocumentcp"/>
        <w:shd w:val="clear" w:color="auto" w:fill="FFFFFF"/>
        <w:spacing w:before="120" w:beforeAutospacing="0" w:after="120" w:afterAutospacing="0" w:line="259" w:lineRule="auto"/>
        <w:jc w:val="both"/>
        <w:textAlignment w:val="baseline"/>
        <w:rPr>
          <w:noProof/>
        </w:rPr>
      </w:pPr>
      <w:r>
        <w:rPr>
          <w:b/>
          <w:noProof/>
        </w:rPr>
        <w:t>Bár az azbeszt használatát régóta betiltották az EU-ban, továbbra is szükséges lépéseket tenni a bontásból és az azbeszt eltávolításából származó termékek kezelése és ártalmatlanítása érdekében.</w:t>
      </w:r>
      <w:r>
        <w:rPr>
          <w:noProof/>
        </w:rPr>
        <w:t xml:space="preserve"> Az építési és bontási hulladék az EU-ban keletkező összes hulladék több mint egyharmadát teszi ki</w:t>
      </w:r>
      <w:r>
        <w:rPr>
          <w:noProof/>
          <w:vertAlign w:val="superscript"/>
        </w:rPr>
        <w:footnoteReference w:id="56"/>
      </w:r>
      <w:r>
        <w:rPr>
          <w:noProof/>
        </w:rPr>
        <w:t>.</w:t>
      </w:r>
      <w:r>
        <w:rPr>
          <w:b/>
          <w:noProof/>
        </w:rPr>
        <w:t xml:space="preserve"> </w:t>
      </w:r>
      <w:r>
        <w:rPr>
          <w:noProof/>
        </w:rPr>
        <w:t xml:space="preserve">Az azbeszttartalmú anyagok mennyisége – főként épületek részeként – több tízmillió tonnát tesz ki és valószínűleg meghaladja a 100 millió tonnát. </w:t>
      </w:r>
      <w:bookmarkStart w:id="11" w:name="_Hlk103845355"/>
      <w:r>
        <w:rPr>
          <w:noProof/>
        </w:rPr>
        <w:t xml:space="preserve">Az épületkorszerűsítési program célja, hogy 2030-ig megkétszerezze az épületek energetikai felújításának éves </w:t>
      </w:r>
      <w:bookmarkEnd w:id="11"/>
      <w:r>
        <w:rPr>
          <w:noProof/>
        </w:rPr>
        <w:t xml:space="preserve">arányát. Ez rávilágít annak fontosságára, hogy az azbeszt teljes életciklusával foglalkozni szükséges. </w:t>
      </w:r>
    </w:p>
    <w:p w14:paraId="27A81701" w14:textId="62F8898B" w:rsidR="00D44416" w:rsidRPr="009F7008" w:rsidRDefault="00D44416" w:rsidP="009E07FC">
      <w:pPr>
        <w:pStyle w:val="typedudocumentcp"/>
        <w:shd w:val="clear" w:color="auto" w:fill="FFFFFF"/>
        <w:spacing w:before="120" w:beforeAutospacing="0" w:after="120" w:afterAutospacing="0" w:line="259" w:lineRule="auto"/>
        <w:jc w:val="both"/>
        <w:textAlignment w:val="baseline"/>
        <w:rPr>
          <w:noProof/>
        </w:rPr>
      </w:pPr>
      <w:bookmarkStart w:id="12" w:name="_Hlk104282128"/>
      <w:r>
        <w:rPr>
          <w:b/>
          <w:noProof/>
        </w:rPr>
        <w:t>A hulladékkal kapcsolatos uniós jogszabályok átfogóan szabályozzák az azbeszthulladék keletkezése utáni, környezetvédelmi szempontból megfelelő kezelését</w:t>
      </w:r>
      <w:r>
        <w:rPr>
          <w:noProof/>
          <w:vertAlign w:val="superscript"/>
        </w:rPr>
        <w:footnoteReference w:id="57"/>
      </w:r>
      <w:r>
        <w:rPr>
          <w:noProof/>
        </w:rPr>
        <w:t>. Mivel az azbeszthulladék veszélyes hulladéknak minősül</w:t>
      </w:r>
      <w:r>
        <w:rPr>
          <w:rStyle w:val="FootnoteReference"/>
          <w:noProof/>
        </w:rPr>
        <w:footnoteReference w:id="58"/>
      </w:r>
      <w:r>
        <w:rPr>
          <w:noProof/>
        </w:rPr>
        <w:t xml:space="preserve">, a hulladékkal kapcsolatos uniós jogszabályok értelmében már most is egyedi és szigorú rendelkezések vonatkoznak az ilyen hulladék keletkezésére, szállítására és kezelésére. Ez magában foglalja a jelentéstételi és nyomonkövethetőségi kötelezettségeket annak biztosítása érdekében, hogy a hulladékkezelés a környezet védelmét szolgáló módon történjen. </w:t>
      </w:r>
      <w:bookmarkEnd w:id="12"/>
      <w:r>
        <w:rPr>
          <w:noProof/>
        </w:rPr>
        <w:t xml:space="preserve">A Bizottság két iránymutatásokat tartalmazó dokumentációt adott ki, hogy segítse az érdekelteket e kötelezettségek teljesítésében: az </w:t>
      </w:r>
      <w:bookmarkStart w:id="13" w:name="_Hlk103845405"/>
      <w:r>
        <w:rPr>
          <w:noProof/>
        </w:rPr>
        <w:t>építési és bontási hulladék kezeléséről szóló uniós jegyzőkönyv (2016)</w:t>
      </w:r>
      <w:r>
        <w:rPr>
          <w:rStyle w:val="FootnoteReference"/>
          <w:noProof/>
        </w:rPr>
        <w:footnoteReference w:id="59"/>
      </w:r>
      <w:r>
        <w:rPr>
          <w:noProof/>
        </w:rPr>
        <w:t xml:space="preserve"> és az iránymutatások az épületek bontási és felújítási munkáit megelőző hulladékellenőrzésekhez (2018)</w:t>
      </w:r>
      <w:r>
        <w:rPr>
          <w:rStyle w:val="FootnoteReference"/>
          <w:noProof/>
        </w:rPr>
        <w:footnoteReference w:id="60"/>
      </w:r>
      <w:r>
        <w:rPr>
          <w:noProof/>
        </w:rPr>
        <w:t xml:space="preserve">. </w:t>
      </w:r>
      <w:bookmarkStart w:id="14" w:name="_Hlk103244533"/>
      <w:bookmarkEnd w:id="13"/>
    </w:p>
    <w:bookmarkEnd w:id="14"/>
    <w:p w14:paraId="2F54976A" w14:textId="2A30FD70" w:rsidR="00AA5F9F" w:rsidRPr="009F7008" w:rsidRDefault="00D44416" w:rsidP="009E07FC">
      <w:pPr>
        <w:pStyle w:val="typedudocumentcp"/>
        <w:shd w:val="clear" w:color="auto" w:fill="FFFFFF"/>
        <w:spacing w:before="120" w:beforeAutospacing="0" w:after="120" w:afterAutospacing="0" w:line="259" w:lineRule="auto"/>
        <w:jc w:val="both"/>
        <w:textAlignment w:val="baseline"/>
        <w:rPr>
          <w:noProof/>
        </w:rPr>
      </w:pPr>
      <w:r>
        <w:rPr>
          <w:b/>
          <w:noProof/>
        </w:rPr>
        <w:t xml:space="preserve">A nagy mennyiségű azbeszttartalmú hulladék környezetvédelmi szempontból megfelelő kezelése érdekében a hulladék biztonságos ártalmatlanításának fő módja továbbra is a hulladéklerakás marad. </w:t>
      </w:r>
      <w:r>
        <w:rPr>
          <w:noProof/>
        </w:rPr>
        <w:t>Az egyéb kezelési módszerek korlátozottak a nagy mennyiségű érintett hulladék, az alternatív kezeléseket kínáló létesítmények hiánya, valamint a módszerek magas költségei és energiaintenzitása miatt</w:t>
      </w:r>
      <w:r>
        <w:rPr>
          <w:noProof/>
          <w:vertAlign w:val="superscript"/>
        </w:rPr>
        <w:footnoteReference w:id="61"/>
      </w:r>
      <w:r>
        <w:rPr>
          <w:noProof/>
        </w:rPr>
        <w:t xml:space="preserve">. </w:t>
      </w:r>
      <w:bookmarkStart w:id="15" w:name="_Hlk103244881"/>
      <w:r>
        <w:rPr>
          <w:noProof/>
        </w:rPr>
        <w:t xml:space="preserve">Bár a hulladéklerakás nem teszi tönkre az azbesztrostokat, ugyanakkor stabilizálja és feltartóztatja azokat, ezáltal biztonságos módot biztosít az azbeszthulladék kezelésére </w:t>
      </w:r>
      <w:bookmarkEnd w:id="15"/>
      <w:r>
        <w:rPr>
          <w:noProof/>
        </w:rPr>
        <w:t>mindaddig, amíg az alternatív kezelési lehetőségek széles körben elérhetővé és megfizethetővé nem válnak. A hulladékkal kapcsolatos uniós jogszabályok szigorú követelményeket határoznak meg az azbeszt hulladéklerakókban való ártalmatlanítása tekintetében</w:t>
      </w:r>
      <w:r>
        <w:rPr>
          <w:noProof/>
          <w:color w:val="000000" w:themeColor="text1"/>
          <w:vertAlign w:val="superscript"/>
        </w:rPr>
        <w:footnoteReference w:id="62"/>
      </w:r>
      <w:r>
        <w:rPr>
          <w:noProof/>
        </w:rPr>
        <w:t>.</w:t>
      </w:r>
    </w:p>
    <w:p w14:paraId="27FB6B46" w14:textId="1CED0BF7" w:rsidR="001F5778" w:rsidRPr="009F7008" w:rsidRDefault="00AA5F9F" w:rsidP="009E07FC">
      <w:pPr>
        <w:pStyle w:val="typedudocumentcp"/>
        <w:shd w:val="clear" w:color="auto" w:fill="FFFFFF"/>
        <w:spacing w:before="120" w:beforeAutospacing="0" w:after="120" w:afterAutospacing="0" w:line="259" w:lineRule="auto"/>
        <w:jc w:val="both"/>
        <w:textAlignment w:val="baseline"/>
        <w:rPr>
          <w:noProof/>
        </w:rPr>
      </w:pPr>
      <w:r>
        <w:rPr>
          <w:b/>
          <w:noProof/>
        </w:rPr>
        <w:t>Az azbeszthulladék környezetvédelmi szempontból megfelelő, alternatív kezelési módjainak feltárása prioritást élvez.</w:t>
      </w:r>
      <w:r>
        <w:rPr>
          <w:noProof/>
        </w:rPr>
        <w:t xml:space="preserve"> A hulladékhierarchia</w:t>
      </w:r>
      <w:r>
        <w:rPr>
          <w:rStyle w:val="FootnoteReference"/>
          <w:noProof/>
        </w:rPr>
        <w:footnoteReference w:id="63"/>
      </w:r>
      <w:r>
        <w:rPr>
          <w:noProof/>
        </w:rPr>
        <w:t xml:space="preserve"> a hulladék hasznosítását előnyben részesíti az ártalmatlanítással szemben. A Bizottság 2022 végéig tanulmányt készít </w:t>
      </w:r>
      <w:bookmarkStart w:id="16" w:name="_Hlk103845467"/>
      <w:r>
        <w:rPr>
          <w:noProof/>
        </w:rPr>
        <w:t xml:space="preserve">az azbeszthulladék kezelésére vonatkozó technológiák és gyakorlatok azonosítása, illetve ezek és környezeti hatásuk összehasonlító elemzésének elvégzése érdekében. Ez magában foglalja az azbeszthulladékkal való gazdálkodás hiányosságainak és jövőbeli kilátásainak kielemzését. A tanulmány eredményeit annak értékelésre fogják használni, hogy indokolt-e a hulladékkal kapcsolatos uniós jogszabályok módosítása az azbeszttartalmú hulladék, különösen a bontási hulladék környezetvédelmi szempontból megfelelő kezelésének javítása érdekében. </w:t>
      </w:r>
    </w:p>
    <w:tbl>
      <w:tblPr>
        <w:tblStyle w:val="TableGrid"/>
        <w:tblW w:w="0" w:type="auto"/>
        <w:tblLook w:val="04A0" w:firstRow="1" w:lastRow="0" w:firstColumn="1" w:lastColumn="0" w:noHBand="0" w:noVBand="1"/>
      </w:tblPr>
      <w:tblGrid>
        <w:gridCol w:w="9242"/>
      </w:tblGrid>
      <w:tr w:rsidR="004A1D77" w:rsidRPr="009F7008" w14:paraId="087C5500" w14:textId="77777777" w:rsidTr="004A1D77">
        <w:tc>
          <w:tcPr>
            <w:tcW w:w="9576" w:type="dxa"/>
          </w:tcPr>
          <w:bookmarkEnd w:id="16"/>
          <w:p w14:paraId="217C2781" w14:textId="77777777" w:rsidR="004A1D77" w:rsidRPr="009F7008" w:rsidRDefault="004A1D77" w:rsidP="009E07FC">
            <w:pPr>
              <w:spacing w:before="120" w:after="120"/>
              <w:jc w:val="both"/>
              <w:rPr>
                <w:rFonts w:ascii="Times New Roman" w:hAnsi="Times New Roman" w:cs="Times New Roman"/>
                <w:noProof/>
              </w:rPr>
            </w:pPr>
            <w:r>
              <w:rPr>
                <w:rFonts w:ascii="Times New Roman" w:hAnsi="Times New Roman"/>
                <w:b/>
                <w:bCs/>
                <w:noProof/>
              </w:rPr>
              <w:t>A Bizottság</w:t>
            </w:r>
            <w:r>
              <w:rPr>
                <w:rFonts w:ascii="Times New Roman" w:hAnsi="Times New Roman"/>
                <w:noProof/>
              </w:rPr>
              <w:t xml:space="preserve">: </w:t>
            </w:r>
          </w:p>
          <w:p w14:paraId="4326E2CB" w14:textId="06F21840" w:rsidR="009A5BB9" w:rsidRPr="009F7008" w:rsidRDefault="00AA2B81" w:rsidP="009E07FC">
            <w:pPr>
              <w:pStyle w:val="ListParagraph"/>
              <w:numPr>
                <w:ilvl w:val="0"/>
                <w:numId w:val="18"/>
              </w:numPr>
              <w:spacing w:before="120" w:after="120"/>
              <w:ind w:left="1077" w:hanging="357"/>
              <w:jc w:val="both"/>
              <w:rPr>
                <w:rFonts w:ascii="Times New Roman" w:hAnsi="Times New Roman" w:cs="Times New Roman"/>
                <w:noProof/>
              </w:rPr>
            </w:pPr>
            <w:r>
              <w:rPr>
                <w:rFonts w:ascii="Times New Roman" w:hAnsi="Times New Roman"/>
                <w:noProof/>
              </w:rPr>
              <w:t>kezdeményezi az építési és bontási hulladék kezeléséről szóló uniós jegyzőkönyv, valamint az épületek bontási és felújítási munkáit megelőző hulladékellenőrzésekhez használandó iránymutatások felülvizsgálatát, különös tekintettel a felújítási munkálatokra és az azbesztre (2023),</w:t>
            </w:r>
          </w:p>
          <w:p w14:paraId="1B46DC40" w14:textId="620AB4C5" w:rsidR="004A1D77" w:rsidRPr="009F7008" w:rsidRDefault="00174A60" w:rsidP="009E07FC">
            <w:pPr>
              <w:pStyle w:val="ListParagraph"/>
              <w:numPr>
                <w:ilvl w:val="0"/>
                <w:numId w:val="18"/>
              </w:numPr>
              <w:spacing w:before="120" w:after="120"/>
              <w:ind w:left="1077" w:hanging="357"/>
              <w:jc w:val="both"/>
              <w:rPr>
                <w:noProof/>
              </w:rPr>
            </w:pPr>
            <w:r>
              <w:rPr>
                <w:rFonts w:ascii="Times New Roman" w:hAnsi="Times New Roman"/>
                <w:noProof/>
              </w:rPr>
              <w:t xml:space="preserve">tanulmányt készít az azbeszthulladék kezelésére vonatkozó gyakorlatok és újszerű kezelési technológiák meghatározása érdekében, és e tanulmány eredményeit annak értékelésére használja, hogy indokolt-e a hulladékkal kapcsolatos uniós jogszabályok módosítása (2022 végéig) </w:t>
            </w:r>
          </w:p>
        </w:tc>
      </w:tr>
    </w:tbl>
    <w:p w14:paraId="24D59AFF" w14:textId="77777777" w:rsidR="000C5E44" w:rsidRPr="009F7008" w:rsidRDefault="000C5E44">
      <w:pPr>
        <w:rPr>
          <w:rFonts w:ascii="Times New Roman" w:eastAsiaTheme="minorEastAsia" w:hAnsi="Times New Roman" w:cs="Times New Roman"/>
          <w:b/>
          <w:smallCaps/>
          <w:noProof/>
          <w:sz w:val="24"/>
        </w:rPr>
      </w:pPr>
    </w:p>
    <w:p w14:paraId="31A7F2BE" w14:textId="77777777" w:rsidR="009112DF" w:rsidRPr="009F7008" w:rsidRDefault="00A2325D" w:rsidP="00CD292C">
      <w:pPr>
        <w:pStyle w:val="ListParagraph"/>
        <w:numPr>
          <w:ilvl w:val="0"/>
          <w:numId w:val="13"/>
        </w:numPr>
        <w:jc w:val="both"/>
        <w:rPr>
          <w:rFonts w:ascii="Times New Roman" w:hAnsi="Times New Roman" w:cs="Times New Roman"/>
          <w:b/>
          <w:smallCaps/>
          <w:noProof/>
        </w:rPr>
      </w:pPr>
      <w:r>
        <w:rPr>
          <w:rFonts w:ascii="Times New Roman" w:hAnsi="Times New Roman"/>
          <w:b/>
          <w:smallCaps/>
          <w:noProof/>
        </w:rPr>
        <w:t xml:space="preserve">Finanszírozás  </w:t>
      </w:r>
    </w:p>
    <w:p w14:paraId="4C020CEF" w14:textId="0BD7E8F3" w:rsidR="00233E7D" w:rsidRPr="00A33812" w:rsidRDefault="0048547D" w:rsidP="009E07FC">
      <w:pPr>
        <w:pStyle w:val="typedudocumentcp"/>
        <w:shd w:val="clear" w:color="auto" w:fill="FFFFFF"/>
        <w:spacing w:before="120" w:beforeAutospacing="0" w:after="120" w:afterAutospacing="0" w:line="259" w:lineRule="auto"/>
        <w:jc w:val="both"/>
        <w:textAlignment w:val="baseline"/>
        <w:rPr>
          <w:noProof/>
        </w:rPr>
      </w:pPr>
      <w:r>
        <w:rPr>
          <w:b/>
          <w:noProof/>
        </w:rPr>
        <w:t xml:space="preserve">Az EU jelentős finanszírozást biztosít a Helyreállítási és Rezilienciaépítési Eszközön (RRF) keresztül, amelyet az azbeszt felújítások keretében történő eltávolítására irányuló nemzeti intézkedések támogatására lehet felhasználni. </w:t>
      </w:r>
      <w:bookmarkStart w:id="17" w:name="_Hlk104283322"/>
      <w:r>
        <w:rPr>
          <w:noProof/>
        </w:rPr>
        <w:t>A Helyreállítási és Rezilienciaépítési Eszköz (folyó árakon) 723,8 milliárd EUR-t tesz elérhetővé hitelek (385,8 milliárd EUR) és vissza nem térítendő támogatások (338 milliárd EUR) formájában a tagállami beruházások és reformok támogatására az európai gazdaságok és társadalmak fenntarthatóbbá</w:t>
      </w:r>
      <w:bookmarkEnd w:id="17"/>
      <w:r>
        <w:rPr>
          <w:noProof/>
        </w:rPr>
        <w:t xml:space="preserve"> és ellenállóbbá tétele és annak biztosítása érdekében, hogy felkészültebbek legyenek a zöld és digitális átállással kapcsolatos kihívásokra és lehetőségekre. A Helyreállítási és Rezilienciaépítési Eszköz hét kiemelt kezdeményezésének egyike a felújítási kiemelt kezdeményezés, amely több millió négyzetméternyi, közepes és mélyfelújítás alatt álló lakó- és középületre fog kiterjedni. </w:t>
      </w:r>
      <w:bookmarkStart w:id="18" w:name="_Hlk103245181"/>
      <w:r>
        <w:rPr>
          <w:noProof/>
        </w:rPr>
        <w:t xml:space="preserve">A tagállamok a Helyreállítási és Rezilienciaépítési Eszközt az azbeszttartalmú anyagok épületekből – a nemzeti helyreállítási és rezilienciaépítési terveikben tervezett energiahatékonysági felújítási munkálatok részeként – történő eltávolításának finanszírozására használhatják. </w:t>
      </w:r>
      <w:bookmarkEnd w:id="18"/>
      <w:r>
        <w:rPr>
          <w:noProof/>
        </w:rPr>
        <w:t xml:space="preserve">A tagállamok is felhasználhatják a Helyreállítási és Rezilienciaépítési Eszköz finanszírozását, különösen a 6. pillér (a következő generációkra vonatkozó szakpolitikák) és a 7. kiemelt kezdeményezés (átképzés és továbbképzés) keretében, hogy előmozdítsák az azbesztet (például az építőiparban vagy a hulladékgazdálkodási ágazatban) kezelő munkavállalók készségfejlesztését, valamint hogy az új piaci igényeknek megfelelően frissítsék a munkavállalók készségeit. </w:t>
      </w:r>
    </w:p>
    <w:p w14:paraId="02DAA0CA" w14:textId="75105EA2" w:rsidR="00BF70F3" w:rsidRPr="009F7008" w:rsidRDefault="0048547D" w:rsidP="009E07FC">
      <w:pPr>
        <w:pStyle w:val="typedudocumentcp"/>
        <w:shd w:val="clear" w:color="auto" w:fill="FFFFFF"/>
        <w:spacing w:before="120" w:beforeAutospacing="0" w:after="120" w:afterAutospacing="0" w:line="259" w:lineRule="auto"/>
        <w:jc w:val="both"/>
        <w:textAlignment w:val="baseline"/>
        <w:rPr>
          <w:b/>
          <w:noProof/>
        </w:rPr>
      </w:pPr>
      <w:r>
        <w:rPr>
          <w:b/>
          <w:noProof/>
        </w:rPr>
        <w:t xml:space="preserve">Emellett az európai strukturális és beruházási alapok </w:t>
      </w:r>
      <w:bookmarkStart w:id="19" w:name="_Hlk104283448"/>
      <w:r>
        <w:rPr>
          <w:b/>
          <w:noProof/>
        </w:rPr>
        <w:t>a felújításokkal kapcsolatos számos intézkedést támogatnak.</w:t>
      </w:r>
      <w:r>
        <w:rPr>
          <w:noProof/>
        </w:rPr>
        <w:t xml:space="preserve"> </w:t>
      </w:r>
      <w:bookmarkStart w:id="20" w:name="_Hlk103863263"/>
      <w:r>
        <w:rPr>
          <w:noProof/>
        </w:rPr>
        <w:t>Az Európai Szociális Alap Plusz (ESZA+)</w:t>
      </w:r>
      <w:r>
        <w:rPr>
          <w:rStyle w:val="FootnoteReference"/>
          <w:noProof/>
        </w:rPr>
        <w:footnoteReference w:id="64"/>
      </w:r>
      <w:r>
        <w:rPr>
          <w:noProof/>
        </w:rPr>
        <w:t xml:space="preserve"> egyik fő célkitűzése, hogy segítse a továbbképzést, átképzést és egész életen át tartó tanulást, valamint a munkavállalók, vállalkozások és vállalkozók változásokhoz való alkalmazkodását elősegítő tagállami szakpolitikák és strukturális reformok finanszírozását. Ez magában foglalhatja a zöld átállás keretében hozott intézkedések, például a felújítási munkálatok által előidézett változásokat is. A 2014 és 2020 közötti programozási időszakban az Európai Regionális Fejlesztési Alap (ERFA) nagyszabású azbesztmentesítési projekteket társfinanszírozott</w:t>
      </w:r>
      <w:r>
        <w:rPr>
          <w:rStyle w:val="FootnoteReference"/>
          <w:noProof/>
        </w:rPr>
        <w:footnoteReference w:id="65"/>
      </w:r>
      <w:r>
        <w:rPr>
          <w:noProof/>
        </w:rPr>
        <w:t xml:space="preserve"> Lengyelországban, Olaszországban</w:t>
      </w:r>
      <w:bookmarkEnd w:id="20"/>
      <w:r>
        <w:rPr>
          <w:noProof/>
        </w:rPr>
        <w:t xml:space="preserve"> és más országokban. Több tagállam is jelezte, hogy hasonló projekteket kíván beépíteni a 2021–2027-es időszakra vonatkozó programjaiba</w:t>
      </w:r>
      <w:bookmarkEnd w:id="19"/>
      <w:r>
        <w:rPr>
          <w:noProof/>
        </w:rPr>
        <w:t xml:space="preserve">. </w:t>
      </w:r>
      <w:bookmarkStart w:id="21" w:name="_Hlk114215545"/>
      <w:bookmarkStart w:id="22" w:name="_Hlk104283501"/>
      <w:r>
        <w:rPr>
          <w:noProof/>
        </w:rPr>
        <w:t>A Bizottság a tagállamok kérésére rendelkezésre álló REGIO Peer2Peer+ kezdeményezésen keresztül támogatást nyújthat az igazgatási kapacitásépítéshez, valamint a kohéziós szakpolitikai programokat irányító nemzeti hatóságok közötti tapasztalat- és tudáscseréhez is</w:t>
      </w:r>
      <w:r>
        <w:rPr>
          <w:b/>
          <w:noProof/>
        </w:rPr>
        <w:t>.</w:t>
      </w:r>
    </w:p>
    <w:bookmarkEnd w:id="21"/>
    <w:p w14:paraId="1B9C9DA9" w14:textId="05298CDD" w:rsidR="00F8786F" w:rsidRPr="00A33812" w:rsidRDefault="00F8786F" w:rsidP="009E07FC">
      <w:pPr>
        <w:pStyle w:val="typedudocumentcp"/>
        <w:shd w:val="clear" w:color="auto" w:fill="FFFFFF"/>
        <w:spacing w:before="120" w:beforeAutospacing="0" w:after="120" w:afterAutospacing="0" w:line="259" w:lineRule="auto"/>
        <w:jc w:val="both"/>
        <w:textAlignment w:val="baseline"/>
        <w:rPr>
          <w:noProof/>
        </w:rPr>
      </w:pPr>
      <w:r>
        <w:rPr>
          <w:noProof/>
        </w:rPr>
        <w:t xml:space="preserve">Tekintettel az energetikai felújítások és energiahatékonyság támogatása érdekében rendelkezésre álló uniós finanszírozási mechanizmusok széles körét, a tagállamoknak képesnek kell lenniük annak meghatározására, hogy miként tudják ezeket a forrásokat a lehető legjobban felhasználni az azbeszt azonosítására és eltávolítására is. </w:t>
      </w:r>
    </w:p>
    <w:bookmarkEnd w:id="22"/>
    <w:p w14:paraId="1025E48C" w14:textId="0E0DC887" w:rsidR="0048547D" w:rsidRPr="009F7008" w:rsidRDefault="0048547D" w:rsidP="00595692">
      <w:pPr>
        <w:pStyle w:val="typedudocumentcp"/>
        <w:shd w:val="clear" w:color="auto" w:fill="FFFFFF"/>
        <w:spacing w:before="120" w:after="120"/>
        <w:jc w:val="both"/>
        <w:textAlignment w:val="baseline"/>
        <w:rPr>
          <w:noProof/>
        </w:rPr>
      </w:pPr>
      <w:r>
        <w:rPr>
          <w:b/>
          <w:noProof/>
        </w:rPr>
        <w:t xml:space="preserve">A nemzeti helyreállítási és rezilienciaépítési tervek jelentős mértékben javíthatják továbbá az </w:t>
      </w:r>
      <w:bookmarkStart w:id="23" w:name="_Hlk104283537"/>
      <w:r>
        <w:rPr>
          <w:b/>
          <w:noProof/>
        </w:rPr>
        <w:t>egészségügyi reformokat és beruházásokat</w:t>
      </w:r>
      <w:r>
        <w:rPr>
          <w:noProof/>
        </w:rPr>
        <w:t xml:space="preserve">, </w:t>
      </w:r>
      <w:bookmarkStart w:id="24" w:name="_Hlk103863648"/>
      <w:r>
        <w:rPr>
          <w:noProof/>
        </w:rPr>
        <w:t>a megelőzésre, valamint a diagnózis és a kezelés minőségének javítására összpontosítva, ideértve a rákos betegeket is. Különösen a diagnózist és kezelést elősegítő orvostechnikai eszközökbe, a nemzeti onkológiai programokba, az onkológiai szakellátás fejlesztésébe és a rákmegelőzési infrastruktúra kialakításába történő beruházások erősíthetik a rákmegelőzési és -gondozási rendszer általános rezilienciáját</w:t>
      </w:r>
      <w:bookmarkEnd w:id="23"/>
      <w:r>
        <w:rPr>
          <w:noProof/>
        </w:rPr>
        <w:t xml:space="preserve">. </w:t>
      </w:r>
      <w:bookmarkStart w:id="25" w:name="_Hlk114738745"/>
      <w:r>
        <w:rPr>
          <w:noProof/>
        </w:rPr>
        <w:t xml:space="preserve">Végül az európai rákellenes terv végrehajtása a Bizottság rendelkezésére álló finanszírozási eszközök teljes skálájának felhasználásával történik. Összesen 4 milliárd EUR-t különítettek el a rák elleni küzdelemre, többek között az uniós egészségügyi cselekvési programból, a Horizont Európa programból és a Digitális Európa programból. </w:t>
      </w:r>
      <w:bookmarkEnd w:id="25"/>
    </w:p>
    <w:tbl>
      <w:tblPr>
        <w:tblStyle w:val="TableGrid1"/>
        <w:tblW w:w="0" w:type="auto"/>
        <w:tblInd w:w="0" w:type="dxa"/>
        <w:tblLook w:val="04A0" w:firstRow="1" w:lastRow="0" w:firstColumn="1" w:lastColumn="0" w:noHBand="0" w:noVBand="1"/>
      </w:tblPr>
      <w:tblGrid>
        <w:gridCol w:w="9242"/>
      </w:tblGrid>
      <w:tr w:rsidR="00A87090" w:rsidRPr="009F7008" w14:paraId="52360943" w14:textId="77777777" w:rsidTr="009E07FC">
        <w:trPr>
          <w:trHeight w:val="416"/>
        </w:trPr>
        <w:tc>
          <w:tcPr>
            <w:tcW w:w="9828" w:type="dxa"/>
            <w:shd w:val="clear" w:color="auto" w:fill="auto"/>
            <w:hideMark/>
          </w:tcPr>
          <w:bookmarkEnd w:id="24"/>
          <w:p w14:paraId="6C40A53B" w14:textId="5649F5AF" w:rsidR="004A1D77" w:rsidRPr="009F7008" w:rsidRDefault="004A1D77" w:rsidP="009E07FC">
            <w:pPr>
              <w:spacing w:before="120" w:after="120"/>
              <w:jc w:val="both"/>
              <w:rPr>
                <w:rFonts w:ascii="Times New Roman" w:hAnsi="Times New Roman" w:cs="Times New Roman"/>
                <w:b/>
                <w:noProof/>
              </w:rPr>
            </w:pPr>
            <w:r>
              <w:rPr>
                <w:rFonts w:ascii="Times New Roman" w:hAnsi="Times New Roman"/>
                <w:b/>
                <w:noProof/>
              </w:rPr>
              <w:t>A Bizottság az alábbiakra ösztönzi a tagállamokat:</w:t>
            </w:r>
          </w:p>
          <w:p w14:paraId="02E46EBA" w14:textId="66F9DBB6" w:rsidR="00220F19" w:rsidRPr="009F7008" w:rsidRDefault="00715362" w:rsidP="009E07FC">
            <w:pPr>
              <w:pStyle w:val="ListParagraph"/>
              <w:numPr>
                <w:ilvl w:val="0"/>
                <w:numId w:val="18"/>
              </w:numPr>
              <w:spacing w:before="120" w:after="120"/>
              <w:ind w:left="1077" w:hanging="357"/>
              <w:jc w:val="both"/>
              <w:rPr>
                <w:rFonts w:ascii="Times New Roman" w:eastAsiaTheme="minorHAnsi" w:hAnsi="Times New Roman" w:cs="Times New Roman"/>
                <w:noProof/>
              </w:rPr>
            </w:pPr>
            <w:r>
              <w:rPr>
                <w:rFonts w:ascii="Times New Roman" w:hAnsi="Times New Roman"/>
                <w:noProof/>
              </w:rPr>
              <w:t>a lehető legjobban használják ki az uniós programok és alapok által kínált valamennyi konkrét lehetőséget az azbeszt szűrésére és eltávolítására összpontosító kezdeményezések fedezése érdekében,</w:t>
            </w:r>
          </w:p>
          <w:p w14:paraId="78F81C82" w14:textId="66BCB237" w:rsidR="00220F19" w:rsidRPr="009F7008" w:rsidRDefault="00715362" w:rsidP="009E07FC">
            <w:pPr>
              <w:pStyle w:val="ListParagraph"/>
              <w:numPr>
                <w:ilvl w:val="0"/>
                <w:numId w:val="18"/>
              </w:numPr>
              <w:spacing w:after="120"/>
              <w:jc w:val="both"/>
              <w:rPr>
                <w:rFonts w:ascii="Times New Roman" w:eastAsiaTheme="minorHAnsi" w:hAnsi="Times New Roman" w:cs="Times New Roman"/>
                <w:noProof/>
              </w:rPr>
            </w:pPr>
            <w:r>
              <w:rPr>
                <w:rFonts w:ascii="Times New Roman" w:hAnsi="Times New Roman"/>
                <w:noProof/>
              </w:rPr>
              <w:t>építsék be az azbeszt eltávolítására irányuló stratégiáikat valamennyi programjukba és szakpolitikájukba, különösen a nemzeti helyreállítási és rezilienciaépítési terveik végrehajtása során,</w:t>
            </w:r>
          </w:p>
          <w:p w14:paraId="616A9DD6" w14:textId="5AA4ED27" w:rsidR="004A1D77" w:rsidRPr="009F7008" w:rsidRDefault="00C4047C" w:rsidP="0086521E">
            <w:pPr>
              <w:pStyle w:val="ListParagraph"/>
              <w:numPr>
                <w:ilvl w:val="0"/>
                <w:numId w:val="18"/>
              </w:numPr>
              <w:spacing w:after="120"/>
              <w:jc w:val="both"/>
              <w:rPr>
                <w:rFonts w:ascii="Times New Roman" w:eastAsiaTheme="minorHAnsi" w:hAnsi="Times New Roman" w:cs="Times New Roman"/>
                <w:b/>
                <w:noProof/>
              </w:rPr>
            </w:pPr>
            <w:bookmarkStart w:id="26" w:name="_Hlk105620426"/>
            <w:r>
              <w:rPr>
                <w:rFonts w:ascii="Times New Roman" w:hAnsi="Times New Roman"/>
                <w:noProof/>
              </w:rPr>
              <w:t>terjesszék az uniós finanszírozási lehetőségekre vonatkozó információkat regionális és helyi szinten</w:t>
            </w:r>
            <w:bookmarkEnd w:id="26"/>
          </w:p>
        </w:tc>
      </w:tr>
    </w:tbl>
    <w:p w14:paraId="7E0E261A" w14:textId="77777777" w:rsidR="000C5E44" w:rsidRPr="009F7008" w:rsidRDefault="000C5E44">
      <w:pPr>
        <w:rPr>
          <w:rFonts w:ascii="Times New Roman" w:eastAsiaTheme="minorEastAsia" w:hAnsi="Times New Roman" w:cs="Times New Roman"/>
          <w:b/>
          <w:smallCaps/>
          <w:noProof/>
          <w:sz w:val="24"/>
        </w:rPr>
      </w:pPr>
    </w:p>
    <w:p w14:paraId="7FD8C0AE" w14:textId="7A5BA966" w:rsidR="00B97A3E" w:rsidRPr="00105465" w:rsidRDefault="00EB2AD8" w:rsidP="00B97A3E">
      <w:pPr>
        <w:ind w:left="426"/>
        <w:rPr>
          <w:rFonts w:ascii="Times New Roman" w:eastAsiaTheme="minorEastAsia" w:hAnsi="Times New Roman" w:cs="Times New Roman"/>
          <w:b/>
          <w:smallCaps/>
          <w:noProof/>
          <w:sz w:val="24"/>
          <w:lang w:val="fr-BE"/>
        </w:rPr>
      </w:pPr>
      <w:r w:rsidRPr="00105465">
        <w:rPr>
          <w:rFonts w:ascii="Times New Roman" w:hAnsi="Times New Roman"/>
          <w:b/>
          <w:smallCaps/>
          <w:noProof/>
          <w:sz w:val="24"/>
          <w:lang w:val="fr-BE"/>
        </w:rPr>
        <w:t>7. Az EU mint az azbeszt elleni küzdelem globális vezetője</w:t>
      </w:r>
    </w:p>
    <w:p w14:paraId="5EABC84F" w14:textId="6728C4CC" w:rsidR="002B113A" w:rsidRPr="00105465" w:rsidRDefault="002B113A" w:rsidP="005E32FB">
      <w:pPr>
        <w:pStyle w:val="typedudocumentcp"/>
        <w:shd w:val="clear" w:color="auto" w:fill="FFFFFF"/>
        <w:spacing w:before="120" w:beforeAutospacing="0" w:after="120" w:afterAutospacing="0" w:line="259" w:lineRule="auto"/>
        <w:jc w:val="both"/>
        <w:textAlignment w:val="baseline"/>
        <w:rPr>
          <w:noProof/>
          <w:color w:val="000000" w:themeColor="text1"/>
          <w:lang w:val="fr-BE"/>
        </w:rPr>
      </w:pPr>
      <w:bookmarkStart w:id="27" w:name="_Hlk102030050"/>
      <w:r w:rsidRPr="00105465">
        <w:rPr>
          <w:b/>
          <w:noProof/>
          <w:color w:val="000000" w:themeColor="text1"/>
          <w:lang w:val="fr-BE"/>
        </w:rPr>
        <w:t>Az EU-nak továbbra is globális vezető szerepet kell játszania annak érdekében, hogy megszüntesse az azbeszt valamennyi típusának felhasználását</w:t>
      </w:r>
      <w:r w:rsidRPr="00105465">
        <w:rPr>
          <w:noProof/>
          <w:color w:val="000000" w:themeColor="text1"/>
          <w:lang w:val="fr-BE"/>
        </w:rPr>
        <w:t>. Számos nem uniós ország továbbra is gyárt és használ azbeszttartalmú termékeket; a globális termelés 2021-ben megközelítőleg elérte az 1,2 millió tonnát</w:t>
      </w:r>
      <w:r>
        <w:rPr>
          <w:rStyle w:val="FootnoteReference"/>
          <w:noProof/>
        </w:rPr>
        <w:footnoteReference w:id="66"/>
      </w:r>
      <w:r w:rsidRPr="00105465">
        <w:rPr>
          <w:noProof/>
          <w:color w:val="000000" w:themeColor="text1"/>
          <w:lang w:val="fr-BE"/>
        </w:rPr>
        <w:t>. A Rotterdami Egyezmény</w:t>
      </w:r>
      <w:r>
        <w:rPr>
          <w:rStyle w:val="FootnoteReference"/>
          <w:noProof/>
          <w:color w:val="000000" w:themeColor="text1"/>
        </w:rPr>
        <w:footnoteReference w:id="67"/>
      </w:r>
      <w:r w:rsidRPr="00105465">
        <w:rPr>
          <w:noProof/>
          <w:color w:val="000000" w:themeColor="text1"/>
          <w:lang w:val="fr-BE"/>
        </w:rPr>
        <w:t xml:space="preserve"> keretében nyújtott technikai segítségnyújtás révén az EU segíti az országokat abban, hogy az azbesztanyagokat biztonságosabb helyettesítő anyagokkal váltsák fel, valamint hogy javítsák az azbeszttel kapcsolatos betegségek korai felismerését, kezelését és rehabilitációs szolgáltatásait. </w:t>
      </w:r>
    </w:p>
    <w:p w14:paraId="11283093" w14:textId="75E7AC16" w:rsidR="00FE7F3A" w:rsidRPr="00105465" w:rsidRDefault="00D86C8B" w:rsidP="005E32FB">
      <w:pPr>
        <w:pStyle w:val="typedudocumentcp"/>
        <w:shd w:val="clear" w:color="auto" w:fill="FFFFFF"/>
        <w:spacing w:before="120" w:beforeAutospacing="0" w:after="120" w:afterAutospacing="0" w:line="259" w:lineRule="auto"/>
        <w:jc w:val="both"/>
        <w:textAlignment w:val="baseline"/>
        <w:rPr>
          <w:noProof/>
          <w:color w:val="000000" w:themeColor="text1"/>
          <w:lang w:val="fr-BE"/>
        </w:rPr>
      </w:pPr>
      <w:bookmarkStart w:id="28" w:name="_Hlk106961378"/>
      <w:r w:rsidRPr="00105465">
        <w:rPr>
          <w:b/>
          <w:noProof/>
          <w:color w:val="000000" w:themeColor="text1"/>
          <w:lang w:val="fr-BE"/>
        </w:rPr>
        <w:t>Az EU a nyitott stratégiai autonómia elérésére irányuló törekvése részeként jó példával jár elöl a munkavállalók azbeszttel szembeni védelmére irányuló globális fellépés terén</w:t>
      </w:r>
      <w:r>
        <w:rPr>
          <w:rStyle w:val="FootnoteReference"/>
          <w:b/>
          <w:noProof/>
          <w:color w:val="000000" w:themeColor="text1"/>
        </w:rPr>
        <w:footnoteReference w:id="68"/>
      </w:r>
      <w:r w:rsidRPr="00105465">
        <w:rPr>
          <w:b/>
          <w:noProof/>
          <w:color w:val="000000" w:themeColor="text1"/>
          <w:lang w:val="fr-BE"/>
        </w:rPr>
        <w:t>.</w:t>
      </w:r>
      <w:r w:rsidRPr="00105465">
        <w:rPr>
          <w:noProof/>
          <w:color w:val="000000" w:themeColor="text1"/>
          <w:lang w:val="fr-BE"/>
        </w:rPr>
        <w:t xml:space="preserve"> Jelenleg az EU-n kívül kizárólag Svájc (0,01 f/cm</w:t>
      </w:r>
      <w:r w:rsidRPr="00105465">
        <w:rPr>
          <w:noProof/>
          <w:color w:val="000000" w:themeColor="text1"/>
          <w:vertAlign w:val="superscript"/>
          <w:lang w:val="fr-BE"/>
        </w:rPr>
        <w:t>3</w:t>
      </w:r>
      <w:r w:rsidRPr="00105465">
        <w:rPr>
          <w:noProof/>
          <w:color w:val="000000" w:themeColor="text1"/>
          <w:lang w:val="fr-BE"/>
        </w:rPr>
        <w:t>) és Japán (0,03 f/cm</w:t>
      </w:r>
      <w:r w:rsidRPr="00105465">
        <w:rPr>
          <w:noProof/>
          <w:color w:val="000000" w:themeColor="text1"/>
          <w:vertAlign w:val="superscript"/>
          <w:lang w:val="fr-BE"/>
        </w:rPr>
        <w:t>3</w:t>
      </w:r>
      <w:r w:rsidRPr="00105465">
        <w:rPr>
          <w:noProof/>
          <w:color w:val="000000" w:themeColor="text1"/>
          <w:lang w:val="fr-BE"/>
        </w:rPr>
        <w:t>) rendelkezik a jelenlegi uniós határértéknél szigorúbb foglalkozási expozíciós határértékkel</w:t>
      </w:r>
      <w:r>
        <w:rPr>
          <w:rStyle w:val="FootnoteReference"/>
          <w:noProof/>
          <w:color w:val="000000" w:themeColor="text1"/>
        </w:rPr>
        <w:footnoteReference w:id="69"/>
      </w:r>
      <w:r w:rsidRPr="00105465">
        <w:rPr>
          <w:noProof/>
          <w:color w:val="000000" w:themeColor="text1"/>
          <w:lang w:val="fr-BE"/>
        </w:rPr>
        <w:t>. A munkahelyi azbesztről szóló irányelv felülvizsgálatára irányuló javaslat az uniós foglalkozási expozíciós határértéket a svájci határértékkel együtt a világ legszigorúbb határértékévé tenné. Az EU 2017-ben vetette fel először a Nemzetközi Munkaügyi Szervezet (ILO) keretében, hogy a munkahelyi egészségvédelmet és biztonságot (OSH) hivatalosan is a munka világára vonatkozó alapvető elvként és jogként kell elismerni. Az EU öt éven át tartó folyamatos fellépését követően a 2022-es Nemzetközi Munkaügyi Konferencia megállapodott arról, hogy a biztonságos és egészséges munkakörnyezet is a munka világára vonatkozó alapvető elvekről és jogokról szóló ILO-keret részét képezze. Az EU továbbra is együttműködik a Nemzetközi Munkaügyi Konferenciával a biztonságos és egészséges munkahelyi környezet, valamint a mindenki számára járó munkahelyi méltóság előmozdítása érdekében. Az Európai Bizottság emellett támogatást biztosít a tagjelölt országoknak és a lehetséges tagjelölt országoknak ahhoz, hogy a munkahelyi egészségvédelmet és biztonságot szabályozó jogi kereteiket összhangba hozzák az uniós joggal.</w:t>
      </w:r>
    </w:p>
    <w:p w14:paraId="0E8CF8B2" w14:textId="4036EE43" w:rsidR="00B6792D" w:rsidRPr="00105465" w:rsidRDefault="00CB5375" w:rsidP="00A33812">
      <w:pPr>
        <w:pStyle w:val="typedudocumentcp"/>
        <w:shd w:val="clear" w:color="auto" w:fill="FFFFFF"/>
        <w:spacing w:before="120" w:beforeAutospacing="0" w:after="120" w:afterAutospacing="0" w:line="259" w:lineRule="auto"/>
        <w:jc w:val="both"/>
        <w:textAlignment w:val="baseline"/>
        <w:rPr>
          <w:noProof/>
          <w:color w:val="000000" w:themeColor="text1"/>
          <w:lang w:val="fr-BE"/>
        </w:rPr>
      </w:pPr>
      <w:r w:rsidRPr="00105465">
        <w:rPr>
          <w:b/>
          <w:noProof/>
          <w:color w:val="000000" w:themeColor="text1"/>
          <w:lang w:val="fr-BE"/>
        </w:rPr>
        <w:t>Az EU elkötelezett a munkavállalók biztonságának globális ellátási láncokban való biztosítása mellett.</w:t>
      </w:r>
      <w:r w:rsidRPr="00105465">
        <w:rPr>
          <w:noProof/>
          <w:color w:val="000000" w:themeColor="text1"/>
          <w:lang w:val="fr-BE"/>
        </w:rPr>
        <w:t xml:space="preserve"> Az Európai Bizottság nemrég elfogadott egy, a fenntarthatósággal kapcsolatos vállalati átvilágításról szóló irányelvre vonatkozó javaslatot</w:t>
      </w:r>
      <w:r>
        <w:rPr>
          <w:rStyle w:val="FootnoteReference"/>
          <w:noProof/>
          <w:color w:val="000000" w:themeColor="text1"/>
        </w:rPr>
        <w:footnoteReference w:id="70"/>
      </w:r>
      <w:r w:rsidRPr="00105465">
        <w:rPr>
          <w:noProof/>
          <w:color w:val="000000" w:themeColor="text1"/>
          <w:lang w:val="fr-BE"/>
        </w:rPr>
        <w:t xml:space="preserve"> annak biztosítása érdekében, hogy a vállalatok intézkedéseket hozzanak az EU-n belüli és kívüli műveleteik révén előidézett káros emberi jogi és a környezeti hatások minimalizálása céljából. Ez magában foglalja a leányvállalataik által és az értéklánc mentén végzett műveleteket is. Az EU ezen kívül pénzügyi támogatást biztosít számos, a munkahelyi egészségvédelem és biztonság javítása céljából zajló olyan nemzetközi projektnek, amelyek az azbeszt jelentette kockázatok kezelése szempontjából is relevánsak</w:t>
      </w:r>
      <w:r>
        <w:rPr>
          <w:rStyle w:val="FootnoteReference"/>
          <w:noProof/>
          <w:color w:val="000000" w:themeColor="text1"/>
        </w:rPr>
        <w:footnoteReference w:id="71"/>
      </w:r>
      <w:r w:rsidRPr="00105465">
        <w:rPr>
          <w:noProof/>
          <w:color w:val="000000" w:themeColor="text1"/>
          <w:lang w:val="fr-BE"/>
        </w:rPr>
        <w:t xml:space="preserve">. Az EU globális ellátási láncokban érvényesülő munkahelyi egészségvédelem és biztonság iránti globális elkötelezettségét az olyan keretkezdeményezésekben való részvétel egészíti ki, mint például a G7-ek Zéró-elképzelés Alapja, a G20-ak biztonságosabb munkahelyekre vonatkozó megállapodása és a munkahelyi egészségvédelmi és biztonsági szakértői hálózat. </w:t>
      </w:r>
      <w:bookmarkEnd w:id="28"/>
    </w:p>
    <w:p w14:paraId="380CD640" w14:textId="77777777" w:rsidR="006C7FFC" w:rsidRPr="00105465" w:rsidRDefault="006C7FFC" w:rsidP="009E07FC">
      <w:pPr>
        <w:pStyle w:val="typedudocumentcp"/>
        <w:shd w:val="clear" w:color="auto" w:fill="FFFFFF"/>
        <w:spacing w:before="120" w:beforeAutospacing="0" w:after="120" w:afterAutospacing="0" w:line="259" w:lineRule="auto"/>
        <w:jc w:val="both"/>
        <w:textAlignment w:val="baseline"/>
        <w:rPr>
          <w:noProof/>
          <w:color w:val="000000" w:themeColor="text1"/>
          <w:lang w:val="fr-BE"/>
        </w:rPr>
      </w:pPr>
      <w:bookmarkStart w:id="29" w:name="_Hlk104285806"/>
    </w:p>
    <w:bookmarkEnd w:id="27"/>
    <w:bookmarkEnd w:id="29"/>
    <w:p w14:paraId="0BC82CEC" w14:textId="299D5800" w:rsidR="00854FA1" w:rsidRPr="00105465" w:rsidRDefault="00EB2AD8" w:rsidP="00FD3EC5">
      <w:pPr>
        <w:ind w:firstLine="426"/>
        <w:jc w:val="both"/>
        <w:rPr>
          <w:rFonts w:ascii="Times New Roman" w:hAnsi="Times New Roman" w:cs="Times New Roman"/>
          <w:b/>
          <w:smallCaps/>
          <w:noProof/>
          <w:lang w:val="fr-BE"/>
        </w:rPr>
      </w:pPr>
      <w:r w:rsidRPr="00105465">
        <w:rPr>
          <w:rFonts w:ascii="Times New Roman" w:hAnsi="Times New Roman"/>
          <w:b/>
          <w:smallCaps/>
          <w:noProof/>
          <w:lang w:val="fr-BE"/>
        </w:rPr>
        <w:t>8</w:t>
      </w:r>
      <w:r w:rsidRPr="00105465">
        <w:rPr>
          <w:rFonts w:ascii="Times New Roman" w:hAnsi="Times New Roman"/>
          <w:b/>
          <w:smallCaps/>
          <w:noProof/>
          <w:sz w:val="24"/>
          <w:lang w:val="fr-BE"/>
        </w:rPr>
        <w:t>. Következtetés</w:t>
      </w:r>
      <w:r w:rsidRPr="00105465">
        <w:rPr>
          <w:rFonts w:ascii="Times New Roman" w:hAnsi="Times New Roman"/>
          <w:b/>
          <w:smallCaps/>
          <w:noProof/>
          <w:lang w:val="fr-BE"/>
        </w:rPr>
        <w:t xml:space="preserve"> </w:t>
      </w:r>
    </w:p>
    <w:p w14:paraId="42B3D841" w14:textId="6297F8E6" w:rsidR="00F26A41" w:rsidRPr="00105465" w:rsidRDefault="003C010F" w:rsidP="009E07FC">
      <w:pPr>
        <w:pStyle w:val="typedudocumentcp"/>
        <w:shd w:val="clear" w:color="auto" w:fill="FFFFFF"/>
        <w:spacing w:before="120" w:beforeAutospacing="0" w:after="120" w:afterAutospacing="0" w:line="259" w:lineRule="auto"/>
        <w:jc w:val="both"/>
        <w:textAlignment w:val="baseline"/>
        <w:rPr>
          <w:noProof/>
          <w:color w:val="000000" w:themeColor="text1"/>
          <w:lang w:val="fr-BE"/>
        </w:rPr>
      </w:pPr>
      <w:r w:rsidRPr="00105465">
        <w:rPr>
          <w:b/>
          <w:noProof/>
          <w:color w:val="000000" w:themeColor="text1"/>
          <w:lang w:val="fr-BE"/>
        </w:rPr>
        <w:t>Bár az azbesztet már 2005 óta betiltották az EU-ban, e múltból ránk maradt probléma továbbra is jelentős közegészségügyi veszélyt jelent.</w:t>
      </w:r>
      <w:r w:rsidRPr="00105465">
        <w:rPr>
          <w:noProof/>
          <w:color w:val="000000" w:themeColor="text1"/>
          <w:lang w:val="fr-BE"/>
        </w:rPr>
        <w:t xml:space="preserve"> Annak érdekében, hogy megvédjük a lakosságot az azbesztnek való kitettségtől, és megakadályozzuk a kockázatok átadását a fiatalabb generációknak, fontos, hogy uniós és nemzeti szinten is fokozzuk az azbeszt azonosítására és eltávolítására irányuló intézkedéseket. </w:t>
      </w:r>
    </w:p>
    <w:p w14:paraId="7129C6C9" w14:textId="258B171C" w:rsidR="00533BD2" w:rsidRPr="00105465" w:rsidRDefault="00A53EFE" w:rsidP="00A53EFE">
      <w:pPr>
        <w:pStyle w:val="typedudocumentcp"/>
        <w:shd w:val="clear" w:color="auto" w:fill="FFFFFF"/>
        <w:spacing w:before="120" w:beforeAutospacing="0" w:after="120" w:afterAutospacing="0" w:line="259" w:lineRule="auto"/>
        <w:jc w:val="both"/>
        <w:textAlignment w:val="baseline"/>
        <w:rPr>
          <w:noProof/>
          <w:lang w:val="fr-BE"/>
        </w:rPr>
      </w:pPr>
      <w:r w:rsidRPr="00105465">
        <w:rPr>
          <w:noProof/>
          <w:lang w:val="fr-BE"/>
        </w:rPr>
        <w:t xml:space="preserve">Ez a közlemény egy olyan időszakban jelenik meg, amikor az EU eltökélt szándéka, hogy jelentősen javítsa az épületek energiahatékonyságát, és 2050-re szén-dioxid-semlegessé tegye az épületállományt. E cél részeként az azbesztnek való kitettség egészségügyi kockázatainak kezelése alapvető fontosságú a zöld átállás eléréséhez, amely a közegészségügyet és a tisztességes élet- és munkakörülményeket helyezi a középpontba. </w:t>
      </w:r>
    </w:p>
    <w:p w14:paraId="6510374F" w14:textId="64FEEB18" w:rsidR="00460856" w:rsidRPr="00105465" w:rsidRDefault="00A53EFE" w:rsidP="00A33812">
      <w:pPr>
        <w:pStyle w:val="typedudocumentcp"/>
        <w:shd w:val="clear" w:color="auto" w:fill="FFFFFF"/>
        <w:spacing w:before="120" w:beforeAutospacing="0" w:after="120" w:afterAutospacing="0" w:line="259" w:lineRule="auto"/>
        <w:jc w:val="both"/>
        <w:textAlignment w:val="baseline"/>
        <w:rPr>
          <w:noProof/>
          <w:color w:val="000000" w:themeColor="text1"/>
          <w:lang w:val="fr-BE"/>
        </w:rPr>
      </w:pPr>
      <w:r w:rsidRPr="00105465">
        <w:rPr>
          <w:b/>
          <w:noProof/>
          <w:color w:val="000000" w:themeColor="text1"/>
          <w:lang w:val="fr-BE"/>
        </w:rPr>
        <w:t xml:space="preserve">A Bizottság felszólítja az uniós intézményeket, a tagállamokat, a szociális partnereket és egyéb érdekelteket, hogy gyorsítsák fel fellépéseiket az azbesztmentes EU jelenlegi és jövő nemzedékek számára történő elérése érdekében. </w:t>
      </w:r>
    </w:p>
    <w:sectPr w:rsidR="00460856" w:rsidRPr="00105465" w:rsidSect="00092FE4">
      <w:headerReference w:type="even" r:id="rId17"/>
      <w:headerReference w:type="default" r:id="rId18"/>
      <w:footerReference w:type="even" r:id="rId19"/>
      <w:footerReference w:type="default" r:id="rId20"/>
      <w:headerReference w:type="first" r:id="rId21"/>
      <w:footerReference w:type="first" r:id="rId22"/>
      <w:pgSz w:w="11906" w:h="16838" w:code="9"/>
      <w:pgMar w:top="1247" w:right="1440" w:bottom="1134" w:left="1440" w:header="340" w:footer="5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A12C5" w14:textId="77777777" w:rsidR="008C035D" w:rsidRDefault="008C035D" w:rsidP="00B2797C">
      <w:pPr>
        <w:spacing w:after="0" w:line="240" w:lineRule="auto"/>
      </w:pPr>
      <w:r>
        <w:separator/>
      </w:r>
    </w:p>
  </w:endnote>
  <w:endnote w:type="continuationSeparator" w:id="0">
    <w:p w14:paraId="3A1918DE" w14:textId="77777777" w:rsidR="008C035D" w:rsidRDefault="008C035D" w:rsidP="00B2797C">
      <w:pPr>
        <w:spacing w:after="0" w:line="240" w:lineRule="auto"/>
      </w:pPr>
      <w:r>
        <w:continuationSeparator/>
      </w:r>
    </w:p>
  </w:endnote>
  <w:endnote w:type="continuationNotice" w:id="1">
    <w:p w14:paraId="617AF72A" w14:textId="77777777" w:rsidR="008C035D" w:rsidRDefault="008C0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5E330" w14:textId="77777777" w:rsidR="005F6527" w:rsidRPr="005F6527" w:rsidRDefault="005F6527" w:rsidP="005F6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A7A43" w14:textId="5C724935" w:rsidR="00105465" w:rsidRPr="005F6527" w:rsidRDefault="005F6527" w:rsidP="005F6527">
    <w:pPr>
      <w:pStyle w:val="FooterCoverPage"/>
      <w:rPr>
        <w:rFonts w:ascii="Arial" w:hAnsi="Arial" w:cs="Arial"/>
        <w:b/>
        <w:sz w:val="48"/>
      </w:rPr>
    </w:pPr>
    <w:r w:rsidRPr="005F6527">
      <w:rPr>
        <w:rFonts w:ascii="Arial" w:hAnsi="Arial" w:cs="Arial"/>
        <w:b/>
        <w:sz w:val="48"/>
      </w:rPr>
      <w:t>HU</w:t>
    </w:r>
    <w:r w:rsidRPr="005F6527">
      <w:rPr>
        <w:rFonts w:ascii="Arial" w:hAnsi="Arial" w:cs="Arial"/>
        <w:b/>
        <w:sz w:val="48"/>
      </w:rPr>
      <w:tab/>
    </w:r>
    <w:r w:rsidRPr="005F6527">
      <w:rPr>
        <w:rFonts w:ascii="Arial" w:hAnsi="Arial" w:cs="Arial"/>
        <w:b/>
        <w:sz w:val="48"/>
      </w:rPr>
      <w:tab/>
    </w:r>
    <w:r w:rsidRPr="005F6527">
      <w:tab/>
    </w:r>
    <w:r w:rsidRPr="005F6527">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234D" w14:textId="77777777" w:rsidR="005F6527" w:rsidRPr="005F6527" w:rsidRDefault="005F6527" w:rsidP="005F652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9D0D" w14:textId="77777777" w:rsidR="00F0380E" w:rsidRDefault="00F038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885658"/>
      <w:docPartObj>
        <w:docPartGallery w:val="Page Numbers (Bottom of Page)"/>
        <w:docPartUnique/>
      </w:docPartObj>
    </w:sdtPr>
    <w:sdtEndPr/>
    <w:sdtContent>
      <w:p w14:paraId="41760945" w14:textId="158E8600" w:rsidR="00F0380E" w:rsidRDefault="00F0380E">
        <w:pPr>
          <w:pStyle w:val="Footer"/>
          <w:jc w:val="right"/>
        </w:pPr>
        <w:r>
          <w:fldChar w:fldCharType="begin"/>
        </w:r>
        <w:r>
          <w:instrText xml:space="preserve"> PAGE   \* MERGEFORMAT </w:instrText>
        </w:r>
        <w:r>
          <w:fldChar w:fldCharType="separate"/>
        </w:r>
        <w:r w:rsidR="005F6527">
          <w:rPr>
            <w:noProof/>
          </w:rPr>
          <w:t>17</w:t>
        </w:r>
        <w:r>
          <w:fldChar w:fldCharType="end"/>
        </w:r>
      </w:p>
    </w:sdtContent>
  </w:sdt>
  <w:p w14:paraId="684E6E7C" w14:textId="77777777" w:rsidR="00F0380E" w:rsidRPr="00433E2B" w:rsidRDefault="00F0380E">
    <w:pPr>
      <w:pStyle w:val="Footer"/>
      <w:rPr>
        <w:rFonts w:ascii="Times New Roman" w:hAnsi="Times New Roman" w:cs="Times New Roman"/>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663568"/>
      <w:docPartObj>
        <w:docPartGallery w:val="Page Numbers (Bottom of Page)"/>
        <w:docPartUnique/>
      </w:docPartObj>
    </w:sdtPr>
    <w:sdtEndPr/>
    <w:sdtContent>
      <w:p w14:paraId="688EB537" w14:textId="52F10936" w:rsidR="00F0380E" w:rsidRDefault="00F0380E">
        <w:pPr>
          <w:pStyle w:val="Footer"/>
          <w:jc w:val="right"/>
        </w:pPr>
        <w:r>
          <w:fldChar w:fldCharType="begin"/>
        </w:r>
        <w:r>
          <w:instrText xml:space="preserve"> PAGE   \* MERGEFORMAT </w:instrText>
        </w:r>
        <w:r>
          <w:fldChar w:fldCharType="separate"/>
        </w:r>
        <w:r w:rsidR="005F6527">
          <w:rPr>
            <w:noProof/>
          </w:rPr>
          <w:t>1</w:t>
        </w:r>
        <w:r>
          <w:fldChar w:fldCharType="end"/>
        </w:r>
      </w:p>
    </w:sdtContent>
  </w:sdt>
  <w:p w14:paraId="45CAF24C" w14:textId="77777777" w:rsidR="00F0380E" w:rsidRDefault="00F03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18E9E" w14:textId="77777777" w:rsidR="008C035D" w:rsidRDefault="008C035D" w:rsidP="00B2797C">
      <w:pPr>
        <w:spacing w:after="0" w:line="240" w:lineRule="auto"/>
      </w:pPr>
      <w:r>
        <w:separator/>
      </w:r>
    </w:p>
  </w:footnote>
  <w:footnote w:type="continuationSeparator" w:id="0">
    <w:p w14:paraId="5D174D0E" w14:textId="77777777" w:rsidR="008C035D" w:rsidRDefault="008C035D" w:rsidP="00B2797C">
      <w:pPr>
        <w:spacing w:after="0" w:line="240" w:lineRule="auto"/>
      </w:pPr>
      <w:r>
        <w:continuationSeparator/>
      </w:r>
    </w:p>
  </w:footnote>
  <w:footnote w:type="continuationNotice" w:id="1">
    <w:p w14:paraId="6A4EFF7C" w14:textId="77777777" w:rsidR="008C035D" w:rsidRDefault="008C035D">
      <w:pPr>
        <w:spacing w:after="0" w:line="240" w:lineRule="auto"/>
      </w:pPr>
    </w:p>
  </w:footnote>
  <w:footnote w:id="2">
    <w:p w14:paraId="3CC7B13F" w14:textId="228DEE1C"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 w:history="1">
        <w:r>
          <w:rPr>
            <w:rStyle w:val="Hyperlink"/>
            <w:rFonts w:ascii="Times New Roman" w:hAnsi="Times New Roman"/>
          </w:rPr>
          <w:t>https://monographs.iarc.who.int/wp-content/uploads/2018/06/mono100C-11.pdf</w:t>
        </w:r>
      </w:hyperlink>
      <w:r>
        <w:rPr>
          <w:rFonts w:ascii="Times New Roman" w:hAnsi="Times New Roman"/>
        </w:rPr>
        <w:t xml:space="preserve"> </w:t>
      </w:r>
    </w:p>
  </w:footnote>
  <w:footnote w:id="3">
    <w:p w14:paraId="31D7D794" w14:textId="39F45B59"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 w:history="1">
        <w:r>
          <w:rPr>
            <w:rStyle w:val="Hyperlink"/>
            <w:rFonts w:ascii="Times New Roman" w:hAnsi="Times New Roman"/>
          </w:rPr>
          <w:t>WHO/ILO Joint Estimates of the Work-related Burden of Disease and Injury [A munkával összefüggő betegségek és sérülések terhére vonatkozó WHO/ILO közös becslések]</w:t>
        </w:r>
      </w:hyperlink>
      <w:r>
        <w:t>.</w:t>
      </w:r>
      <w:r>
        <w:rPr>
          <w:rStyle w:val="Hyperlink"/>
          <w:rFonts w:ascii="Times New Roman" w:hAnsi="Times New Roman"/>
        </w:rPr>
        <w:t xml:space="preserve"> </w:t>
      </w:r>
    </w:p>
  </w:footnote>
  <w:footnote w:id="4">
    <w:p w14:paraId="3A4D4BF9" w14:textId="6E61417E"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Lassen, C. and Christens, F. (COWI); Vencovska, J; Vencovsky, D. és Garrett, S. (RPA), Schnekider, K. és Dilger, M. (FoBiG). 2021. Tanulmány az anyagokra vonatkozó adatgyűjtésről az egészségügyi, társadalmi-gazdasági és környezeti hatások elemzése céljából a 98/24/EK irányelv (vegyi anyagok) és a 2009/148/EK irányelv (azbeszt) lehetséges módosításaival összefüggésben. Zárójelentés az azbesztről.</w:t>
      </w:r>
    </w:p>
    <w:p w14:paraId="68AE904E" w14:textId="242D751C" w:rsidR="00F0380E" w:rsidRPr="00AA2B81" w:rsidRDefault="00F0380E" w:rsidP="00A33812">
      <w:pPr>
        <w:pStyle w:val="FootnoteText"/>
        <w:ind w:firstLine="284"/>
        <w:rPr>
          <w:rFonts w:ascii="Times New Roman" w:hAnsi="Times New Roman" w:cs="Times New Roman"/>
        </w:rPr>
      </w:pPr>
      <w:r>
        <w:rPr>
          <w:rFonts w:ascii="Times New Roman" w:hAnsi="Times New Roman"/>
        </w:rPr>
        <w:t>A betegségek, sérülések és kockázati tényezők globális terhéről szóló tanulmány (GBD) 2019-es adatbázisából származó adatok.</w:t>
      </w:r>
    </w:p>
  </w:footnote>
  <w:footnote w:id="5">
    <w:p w14:paraId="22CE1894" w14:textId="7EF26D9D"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 krokidolit használatának korlátozása</w:t>
      </w:r>
      <w:r>
        <w:rPr>
          <w:rFonts w:ascii="Times New Roman" w:hAnsi="Times New Roman"/>
          <w:color w:val="000000" w:themeColor="text1"/>
        </w:rPr>
        <w:t xml:space="preserve"> a 76/769/EGK irányelvben az azbeszt felhasználására vonatkozóan korlátozásokat bevezető 83/478/EGK tanácsi irányelv által:</w:t>
      </w:r>
      <w:r>
        <w:rPr>
          <w:rFonts w:ascii="Times New Roman" w:hAnsi="Times New Roman"/>
        </w:rPr>
        <w:t xml:space="preserve"> </w:t>
      </w:r>
      <w:hyperlink r:id="rId3" w:history="1">
        <w:r>
          <w:rPr>
            <w:rStyle w:val="Hyperlink"/>
            <w:rFonts w:ascii="Times New Roman" w:hAnsi="Times New Roman"/>
          </w:rPr>
          <w:t>https://eur-lex.europa.eu/legal-content/HU/TXT/HTML/?uri=CELEX:31987L0217&amp;from=HU</w:t>
        </w:r>
      </w:hyperlink>
      <w:r>
        <w:rPr>
          <w:rFonts w:ascii="Times New Roman" w:hAnsi="Times New Roman"/>
        </w:rPr>
        <w:t xml:space="preserve"> és </w:t>
      </w:r>
      <w:hyperlink r:id="rId4" w:history="1">
        <w:r>
          <w:rPr>
            <w:rStyle w:val="Hyperlink"/>
            <w:rFonts w:ascii="Times New Roman" w:hAnsi="Times New Roman"/>
          </w:rPr>
          <w:t>https://eur-lex.europa.eu/legal-content/HU/TXT/HTML/?uri=CELEX:31976L0769&amp;from=en</w:t>
        </w:r>
      </w:hyperlink>
      <w:r>
        <w:rPr>
          <w:rFonts w:ascii="Times New Roman" w:hAnsi="Times New Roman"/>
        </w:rPr>
        <w:t xml:space="preserve"> </w:t>
      </w:r>
    </w:p>
  </w:footnote>
  <w:footnote w:id="6">
    <w:p w14:paraId="148AD21F" w14:textId="5B5E2B1D"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 krizotil, az amozit, az antofillit, az aktinolit és a termolit </w:t>
      </w:r>
      <w:r>
        <w:rPr>
          <w:rFonts w:ascii="Times New Roman" w:hAnsi="Times New Roman"/>
          <w:color w:val="000000" w:themeColor="text1"/>
        </w:rPr>
        <w:t>játékokban, szórásra szolgáló vagy por formájú termékekben, szigetelő készülékekben, festékekben és lakkokban való felhasználásának korlátozásai,</w:t>
      </w:r>
      <w:r>
        <w:rPr>
          <w:rFonts w:ascii="Times New Roman" w:hAnsi="Times New Roman"/>
        </w:rPr>
        <w:t xml:space="preserve"> 85/610/EGK irányelv, </w:t>
      </w:r>
      <w:hyperlink r:id="rId5" w:history="1">
        <w:r>
          <w:rPr>
            <w:rStyle w:val="Hyperlink"/>
            <w:rFonts w:ascii="Times New Roman" w:hAnsi="Times New Roman"/>
          </w:rPr>
          <w:t>https://eur-lex.europa.eu/legal-content/HU/TXT/HTML/?uri=CELEX:31985L0610&amp;from=en</w:t>
        </w:r>
      </w:hyperlink>
    </w:p>
  </w:footnote>
  <w:footnote w:id="7">
    <w:p w14:paraId="7408D676" w14:textId="46A8EF92" w:rsidR="00F0380E" w:rsidRPr="00105465" w:rsidRDefault="00F0380E" w:rsidP="00A33812">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sidRPr="00105465">
        <w:rPr>
          <w:rFonts w:ascii="Times New Roman" w:hAnsi="Times New Roman"/>
          <w:lang w:val="fr-BE"/>
        </w:rPr>
        <w:t xml:space="preserve"> </w:t>
      </w:r>
      <w:r w:rsidRPr="00105465">
        <w:rPr>
          <w:lang w:val="fr-BE"/>
        </w:rPr>
        <w:tab/>
      </w:r>
      <w:r w:rsidRPr="00105465">
        <w:rPr>
          <w:rFonts w:ascii="Times New Roman" w:hAnsi="Times New Roman"/>
          <w:lang w:val="fr-BE"/>
        </w:rPr>
        <w:t>Krokidolit, amozit, antofillit, aktinolit és termolit.</w:t>
      </w:r>
    </w:p>
  </w:footnote>
  <w:footnote w:id="8">
    <w:p w14:paraId="121858C4" w14:textId="59FB8D6D" w:rsidR="00F0380E" w:rsidRPr="00105465" w:rsidRDefault="00F0380E" w:rsidP="00A33812">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sidRPr="00105465">
        <w:rPr>
          <w:rFonts w:ascii="Times New Roman" w:hAnsi="Times New Roman"/>
          <w:lang w:val="fr-BE"/>
        </w:rPr>
        <w:t xml:space="preserve"> </w:t>
      </w:r>
      <w:r w:rsidRPr="00105465">
        <w:rPr>
          <w:lang w:val="fr-BE"/>
        </w:rPr>
        <w:tab/>
      </w:r>
      <w:r w:rsidRPr="00105465">
        <w:rPr>
          <w:rFonts w:ascii="Times New Roman" w:hAnsi="Times New Roman"/>
          <w:lang w:val="fr-BE"/>
        </w:rPr>
        <w:t xml:space="preserve">Egyes készülékek, festékek és lakkok, folyadékokhoz használt szűrők, útburkoló anyagok, töltő- és tömítőanyagok, alacsony sűrűségű szigetelő vagy hangszigetelő anyagok, légszűrők és gázokhoz használt szűrők, műanyag padlókhoz és falburkolatokhoz használt aljzatok, textiltermékek (a membránok átmeneti kivételével) és tetőszigetelés. </w:t>
      </w:r>
    </w:p>
  </w:footnote>
  <w:footnote w:id="9">
    <w:p w14:paraId="116C61A4" w14:textId="226D8330" w:rsidR="00F0380E" w:rsidRPr="00105465" w:rsidRDefault="00F0380E" w:rsidP="00A33812">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sidRPr="00105465">
        <w:rPr>
          <w:rFonts w:ascii="Times New Roman" w:hAnsi="Times New Roman"/>
          <w:lang w:val="fr-BE"/>
        </w:rPr>
        <w:t xml:space="preserve"> </w:t>
      </w:r>
      <w:r w:rsidRPr="00105465">
        <w:rPr>
          <w:lang w:val="fr-BE"/>
        </w:rPr>
        <w:tab/>
      </w:r>
      <w:r w:rsidRPr="00105465">
        <w:rPr>
          <w:rFonts w:ascii="Times New Roman" w:hAnsi="Times New Roman"/>
          <w:lang w:val="fr-BE"/>
        </w:rPr>
        <w:t xml:space="preserve">1999/77/EK irányelv, átültetési határidő: 2005. január 1., </w:t>
      </w:r>
      <w:hyperlink r:id="rId6" w:history="1">
        <w:r w:rsidRPr="00105465">
          <w:rPr>
            <w:rStyle w:val="Hyperlink"/>
            <w:rFonts w:ascii="Times New Roman" w:hAnsi="Times New Roman"/>
            <w:lang w:val="fr-BE"/>
          </w:rPr>
          <w:t>https://eur-lex.europa.eu/legal-content/HU/TXT/HTML/?uri=CELEX:31999L0077&amp;from=HU</w:t>
        </w:r>
      </w:hyperlink>
      <w:r w:rsidRPr="00105465">
        <w:rPr>
          <w:rFonts w:ascii="Times New Roman" w:hAnsi="Times New Roman"/>
          <w:lang w:val="fr-BE"/>
        </w:rPr>
        <w:t xml:space="preserve"> </w:t>
      </w:r>
    </w:p>
  </w:footnote>
  <w:footnote w:id="10">
    <w:p w14:paraId="70C3CD2E" w14:textId="44F7F8DE" w:rsidR="00F0380E" w:rsidRPr="00105465" w:rsidRDefault="00F0380E" w:rsidP="00A33812">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sidRPr="00105465">
        <w:rPr>
          <w:rFonts w:ascii="Times New Roman" w:hAnsi="Times New Roman"/>
          <w:lang w:val="fr-BE"/>
        </w:rPr>
        <w:t xml:space="preserve"> </w:t>
      </w:r>
      <w:r w:rsidRPr="00105465">
        <w:rPr>
          <w:lang w:val="fr-BE"/>
        </w:rPr>
        <w:tab/>
      </w:r>
      <w:r w:rsidRPr="00105465">
        <w:rPr>
          <w:rFonts w:ascii="Times New Roman" w:hAnsi="Times New Roman"/>
          <w:lang w:val="fr-BE"/>
        </w:rPr>
        <w:t xml:space="preserve">A piacfelügyeletről és a termékek megfelelőségéről szóló 2019/1020 rendelet szabályozza az EU-ba érkező termékek REACH-rendeletnek való megfelelőségére vonatkozó ellenőrzését, </w:t>
      </w:r>
      <w:hyperlink r:id="rId7" w:history="1">
        <w:r w:rsidRPr="00105465">
          <w:rPr>
            <w:rStyle w:val="Hyperlink"/>
            <w:rFonts w:ascii="Times New Roman" w:hAnsi="Times New Roman"/>
            <w:lang w:val="fr-BE"/>
          </w:rPr>
          <w:t>https://eur-lex.europa.eu/legal-content/EN/TXT/PDF/?uri=CELEX:32019R1020&amp;from=EN</w:t>
        </w:r>
      </w:hyperlink>
    </w:p>
  </w:footnote>
  <w:footnote w:id="11">
    <w:p w14:paraId="6EEA1041" w14:textId="6B438F95" w:rsidR="00F0380E" w:rsidRPr="00A33812"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COM(2021) 44 final, </w:t>
      </w:r>
      <w:hyperlink r:id="rId8" w:history="1">
        <w:r>
          <w:rPr>
            <w:rStyle w:val="Hyperlink"/>
            <w:rFonts w:ascii="Times New Roman" w:hAnsi="Times New Roman"/>
          </w:rPr>
          <w:t>https://eur-lex.europa.eu/legal-content/HU/TXT/HTML/?uri=CELEX:52021DC0044&amp;from=en</w:t>
        </w:r>
      </w:hyperlink>
      <w:r>
        <w:rPr>
          <w:rFonts w:ascii="Times New Roman" w:hAnsi="Times New Roman"/>
        </w:rPr>
        <w:t xml:space="preserve"> </w:t>
      </w:r>
    </w:p>
  </w:footnote>
  <w:footnote w:id="12">
    <w:p w14:paraId="3BEF6FF5" w14:textId="0021054C" w:rsidR="00F0380E" w:rsidRPr="00A33812" w:rsidRDefault="00F0380E" w:rsidP="00A33812">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COM(2021) 400 final, </w:t>
      </w:r>
      <w:hyperlink r:id="rId9" w:history="1">
        <w:r>
          <w:rPr>
            <w:rStyle w:val="Hyperlink"/>
            <w:rFonts w:ascii="Times New Roman" w:hAnsi="Times New Roman"/>
          </w:rPr>
          <w:t>https://eur-lex.europa.eu/legal-content/HU/TXT/HTML/?uri=CELEX:52021DC0400&amp;from=EN</w:t>
        </w:r>
      </w:hyperlink>
      <w:r>
        <w:rPr>
          <w:rFonts w:ascii="Times New Roman" w:hAnsi="Times New Roman"/>
        </w:rPr>
        <w:t xml:space="preserve"> </w:t>
      </w:r>
    </w:p>
  </w:footnote>
  <w:footnote w:id="13">
    <w:p w14:paraId="36228C16" w14:textId="4091BDCF" w:rsidR="00F0380E" w:rsidRPr="00A33812"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 </w:t>
      </w:r>
      <w:hyperlink r:id="rId10" w:history="1">
        <w:r>
          <w:rPr>
            <w:rStyle w:val="Hyperlink"/>
            <w:rFonts w:ascii="Times New Roman" w:hAnsi="Times New Roman"/>
          </w:rPr>
          <w:t>https://eur-lex.europa.eu/legal-content/HU/TXT/HTML/?uri=CELEX:52019DC0640&amp;from=EN</w:t>
        </w:r>
      </w:hyperlink>
      <w:r>
        <w:rPr>
          <w:rFonts w:ascii="Times New Roman" w:hAnsi="Times New Roman"/>
        </w:rPr>
        <w:t xml:space="preserve"> </w:t>
      </w:r>
    </w:p>
  </w:footnote>
  <w:footnote w:id="14">
    <w:p w14:paraId="1A7CFEB7" w14:textId="4500744B" w:rsidR="00F0380E" w:rsidRPr="00A33812"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1" w:history="1">
        <w:r>
          <w:rPr>
            <w:rStyle w:val="Hyperlink"/>
            <w:rFonts w:ascii="Times New Roman" w:hAnsi="Times New Roman"/>
          </w:rPr>
          <w:t>https://ec.europa.eu/energy/sites/ener/files/eu_renovation_wave_strategy.pdf</w:t>
        </w:r>
      </w:hyperlink>
    </w:p>
  </w:footnote>
  <w:footnote w:id="15">
    <w:p w14:paraId="1B77611C" w14:textId="5E65BCAB"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 jelenlegi bejelentések, az azbeszttartalmú hulladék mennyiségének növekvő tendenciája, a tanúsítvánnyal rendelkező munkavállalók száma és az azbesztcementben lévő anyagok (az EU-ban található azbeszt 70–80 %-a) élettartama alapján. Forrás: RPA (2021) külső tanulmány, lásd a 3. lábjegyzetet.</w:t>
      </w:r>
    </w:p>
  </w:footnote>
  <w:footnote w:id="16">
    <w:p w14:paraId="26A526A8" w14:textId="022FE508"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2" w:history="1">
        <w:r>
          <w:rPr>
            <w:rStyle w:val="Hyperlink"/>
            <w:rFonts w:ascii="Times New Roman" w:hAnsi="Times New Roman"/>
          </w:rPr>
          <w:t>https://www.europarl.europa.eu/doceo/document/TA-9-2021-0427_HU.html</w:t>
        </w:r>
      </w:hyperlink>
    </w:p>
  </w:footnote>
  <w:footnote w:id="17">
    <w:p w14:paraId="28C8D300" w14:textId="3C0EF99A"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3" w:anchor=":~:text=The%20EESC%20encourages%20the%20EU%20to%20work%20with,States%20should%20be%20encouraged%20to%20develop%20such%20registers" w:history="1">
        <w:r>
          <w:rPr>
            <w:rStyle w:val="Hyperlink"/>
            <w:rFonts w:ascii="Times New Roman" w:hAnsi="Times New Roman"/>
          </w:rPr>
          <w:t>https://www.eesc.europa.eu/en/our-work/opinions-information-reports/opinions/freeing-eu-asbestos#:~:text=The%20EESC%20encourages%20the%20EU%20to%20work%20with,States%20should%20be%20encouraged%20to%20develop%20such%20registers</w:t>
        </w:r>
      </w:hyperlink>
      <w:r>
        <w:rPr>
          <w:rFonts w:ascii="Times New Roman" w:hAnsi="Times New Roman"/>
        </w:rPr>
        <w:t xml:space="preserve"> </w:t>
      </w:r>
    </w:p>
  </w:footnote>
  <w:footnote w:id="18">
    <w:p w14:paraId="3B5363EB" w14:textId="474197BE"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4" w:history="1">
        <w:r>
          <w:rPr>
            <w:rStyle w:val="Hyperlink"/>
          </w:rPr>
          <w:t>https</w:t>
        </w:r>
        <w:r>
          <w:rPr>
            <w:rStyle w:val="Hyperlink"/>
            <w:rFonts w:ascii="Times New Roman" w:hAnsi="Times New Roman"/>
          </w:rPr>
          <w:t>://www.eesc.europa.eu/hu/our-work/opinions-information-reports/opinions/working-asbestos-energy-renovation-own-initiative-opinion</w:t>
        </w:r>
      </w:hyperlink>
      <w:r>
        <w:rPr>
          <w:rFonts w:ascii="Times New Roman" w:hAnsi="Times New Roman"/>
        </w:rPr>
        <w:t xml:space="preserve"> </w:t>
      </w:r>
    </w:p>
  </w:footnote>
  <w:footnote w:id="19">
    <w:p w14:paraId="0DDE0C07" w14:textId="196A3FD0" w:rsidR="00F0380E" w:rsidRPr="00055FD6" w:rsidRDefault="00F0380E" w:rsidP="00A33812">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tab/>
      </w:r>
      <w:hyperlink r:id="rId15" w:history="1">
        <w:r>
          <w:rPr>
            <w:rStyle w:val="Hyperlink"/>
            <w:rFonts w:ascii="Times New Roman" w:hAnsi="Times New Roman"/>
          </w:rPr>
          <w:t>https://ec.europa.eu/info/sites/default/files/annex_0.pdf</w:t>
        </w:r>
      </w:hyperlink>
      <w:r>
        <w:t xml:space="preserve"> </w:t>
      </w:r>
    </w:p>
  </w:footnote>
  <w:footnote w:id="20">
    <w:p w14:paraId="009C354C" w14:textId="4FC7ABE0" w:rsidR="003C3745" w:rsidRPr="00595692" w:rsidRDefault="003C3745">
      <w:pPr>
        <w:pStyle w:val="FootnoteText"/>
        <w:rPr>
          <w:rFonts w:ascii="Times New Roman" w:hAnsi="Times New Roman" w:cs="Times New Roman"/>
        </w:rPr>
      </w:pPr>
      <w:r>
        <w:rPr>
          <w:rStyle w:val="FootnoteReference"/>
        </w:rPr>
        <w:footnoteRef/>
      </w:r>
      <w:r>
        <w:t xml:space="preserve"> </w:t>
      </w:r>
      <w:r>
        <w:rPr>
          <w:rFonts w:ascii="Times New Roman" w:hAnsi="Times New Roman"/>
        </w:rPr>
        <w:t>A konkrét fenntartható fejlődési célok magukban foglalják az alábbiakat: egészség és jóllét (3. fenntartható fejlődési cél), tisztességes munka és gazdasági növekedés (8. fenntartható fejlődési cél), ipar, innováció és infrastruktúra (9. fenntartható fejlődési cél), valamint felelős fogyasztás és termelés (12. fenntartható fejlődési cél).</w:t>
      </w:r>
    </w:p>
  </w:footnote>
  <w:footnote w:id="21">
    <w:p w14:paraId="633BCE84" w14:textId="242CD13F" w:rsidR="00F0380E" w:rsidRPr="00AA2B81" w:rsidRDefault="00F0380E" w:rsidP="00A33812">
      <w:pPr>
        <w:pStyle w:val="FootnoteText"/>
        <w:ind w:left="284" w:hanging="284"/>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tab/>
      </w:r>
      <w:r>
        <w:rPr>
          <w:rFonts w:ascii="Times New Roman" w:hAnsi="Times New Roman"/>
        </w:rPr>
        <w:t>A mezotelióma a rák olyan típusa, amely a számos belső szervet borító vékony szövetrétegből (azaz a mezotéliumból) alakul ki.</w:t>
      </w:r>
    </w:p>
  </w:footnote>
  <w:footnote w:id="22">
    <w:p w14:paraId="7293C0C8" w14:textId="79E632C6"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Burgers JA, Damhuis RA: </w:t>
      </w:r>
      <w:r>
        <w:rPr>
          <w:rFonts w:ascii="Times New Roman" w:hAnsi="Times New Roman"/>
          <w:i/>
          <w:iCs/>
        </w:rPr>
        <w:t>Prognostic factors in malignant mesothelioma.</w:t>
      </w:r>
      <w:r>
        <w:rPr>
          <w:rFonts w:ascii="Times New Roman" w:hAnsi="Times New Roman"/>
        </w:rPr>
        <w:t xml:space="preserve"> </w:t>
      </w:r>
      <w:r>
        <w:rPr>
          <w:rFonts w:ascii="Times New Roman" w:hAnsi="Times New Roman"/>
          <w:i/>
          <w:iCs/>
        </w:rPr>
        <w:t>Lung Cancer.</w:t>
      </w:r>
      <w:r>
        <w:rPr>
          <w:rFonts w:ascii="Times New Roman" w:hAnsi="Times New Roman"/>
        </w:rPr>
        <w:t xml:space="preserve"> [Prognosztikai tényezők a rosszindulatú mezotelióma esetében. Tüdőrák.] 2004. aug.45 Suppl 1:S49-54. doi: 10.1016/j.lungcan.2004.04.012. PMID: 15261434.</w:t>
      </w:r>
    </w:p>
  </w:footnote>
  <w:footnote w:id="23">
    <w:p w14:paraId="2957A095" w14:textId="7B6022B4"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6" w:history="1">
        <w:r>
          <w:rPr>
            <w:rStyle w:val="Hyperlink"/>
            <w:rFonts w:ascii="Times New Roman" w:hAnsi="Times New Roman"/>
          </w:rPr>
          <w:t>European Occupational Diseases Statistics [A foglalkozási megbetegedésekre vonatkozó európai statisztikák – (EODS)] - kísérleti statisztika – Eurostat (europa.eu)</w:t>
        </w:r>
      </w:hyperlink>
      <w:r>
        <w:t>.</w:t>
      </w:r>
    </w:p>
  </w:footnote>
  <w:footnote w:id="24">
    <w:p w14:paraId="5F8E60FC" w14:textId="3F43E9C4"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7" w:history="1">
        <w:r>
          <w:rPr>
            <w:rStyle w:val="Hyperlink"/>
            <w:rFonts w:ascii="Times New Roman" w:hAnsi="Times New Roman"/>
          </w:rPr>
          <w:t>Health at a Glance:</w:t>
        </w:r>
      </w:hyperlink>
      <w:hyperlink r:id="rId18" w:history="1">
        <w:r>
          <w:rPr>
            <w:rStyle w:val="Hyperlink"/>
            <w:rFonts w:ascii="Times New Roman" w:hAnsi="Times New Roman"/>
          </w:rPr>
          <w:t xml:space="preserve"> Europe 2020:</w:t>
        </w:r>
      </w:hyperlink>
      <w:hyperlink r:id="rId19" w:history="1">
        <w:r>
          <w:rPr>
            <w:rStyle w:val="Hyperlink"/>
            <w:rFonts w:ascii="Times New Roman" w:hAnsi="Times New Roman"/>
          </w:rPr>
          <w:t xml:space="preserve"> State of Health in the EU Cycle [Egészségügyi pillanatkép: Európa 2020: egészségügyi helyzet az Európai Unióban]</w:t>
        </w:r>
      </w:hyperlink>
      <w:r>
        <w:t>.</w:t>
      </w:r>
      <w:r>
        <w:rPr>
          <w:rFonts w:ascii="Times New Roman" w:hAnsi="Times New Roman"/>
        </w:rPr>
        <w:t xml:space="preserve"> </w:t>
      </w:r>
    </w:p>
  </w:footnote>
  <w:footnote w:id="25">
    <w:p w14:paraId="242139D6" w14:textId="116B006B" w:rsidR="00F0380E" w:rsidRPr="00A33812"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Lásd a 10. lábjegyzetet.</w:t>
      </w:r>
    </w:p>
  </w:footnote>
  <w:footnote w:id="26">
    <w:p w14:paraId="3508BEED" w14:textId="2F62AAF9" w:rsidR="000D2D33" w:rsidRPr="00595692" w:rsidRDefault="000D2D33">
      <w:pPr>
        <w:pStyle w:val="FootnoteText"/>
      </w:pPr>
      <w:r>
        <w:rPr>
          <w:rStyle w:val="FootnoteReference"/>
        </w:rPr>
        <w:footnoteRef/>
      </w:r>
      <w:r>
        <w:t xml:space="preserve"> </w:t>
      </w:r>
      <w:hyperlink r:id="rId20" w:history="1">
        <w:r>
          <w:rPr>
            <w:rStyle w:val="Hyperlink"/>
            <w:rFonts w:ascii="Times New Roman" w:hAnsi="Times New Roman"/>
          </w:rPr>
          <w:t>Javaslat – A Tanács ajánlása a megelőzésnek a korai felismerés révén történő megerősítéséről:</w:t>
        </w:r>
      </w:hyperlink>
      <w:hyperlink r:id="rId21" w:history="1">
        <w:r>
          <w:rPr>
            <w:rStyle w:val="Hyperlink"/>
            <w:rFonts w:ascii="Times New Roman" w:hAnsi="Times New Roman"/>
          </w:rPr>
          <w:t xml:space="preserve"> A rákszűrés új megközelítése, amely felváltja a 2003/878/EK tanácsi rendeletet (europa.eu)</w:t>
        </w:r>
      </w:hyperlink>
      <w:r>
        <w:rPr>
          <w:rFonts w:ascii="Times New Roman" w:hAnsi="Times New Roman"/>
        </w:rPr>
        <w:t xml:space="preserve"> – 2022. szeptember 20.</w:t>
      </w:r>
    </w:p>
  </w:footnote>
  <w:footnote w:id="27">
    <w:p w14:paraId="0F3B3149" w14:textId="0BEB4FDC" w:rsidR="00F0380E" w:rsidRPr="00A33812"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2" w:history="1">
        <w:r>
          <w:rPr>
            <w:rStyle w:val="Hyperlink"/>
            <w:rFonts w:ascii="Times New Roman" w:hAnsi="Times New Roman"/>
          </w:rPr>
          <w:t>WHO/ILO Joint Estimates of the Work-related Burden of Disease and Injury [A munkával összefüggő betegségek és sérülések terhére vonatkozó WHO/ILO közös becslések]</w:t>
        </w:r>
      </w:hyperlink>
      <w:r>
        <w:t>.</w:t>
      </w:r>
      <w:r>
        <w:rPr>
          <w:rFonts w:ascii="Times New Roman" w:hAnsi="Times New Roman"/>
        </w:rPr>
        <w:t xml:space="preserve"> </w:t>
      </w:r>
    </w:p>
  </w:footnote>
  <w:footnote w:id="28">
    <w:p w14:paraId="6CDE8779" w14:textId="53576E0E" w:rsidR="00F0380E" w:rsidRPr="00A33812"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Mezotelióma (7 510 haláleset), petefészekrák (2 032), légcső-, hörgő- és tüdőrák (61 035), valamint gégerák (1 173). RPA külső tanulmány (2021), lásd a 3. lábjegyzetet, a betegségek, sérülések és kockázati tényezők globális terhéről szóló tanulmány (GBD) 2019-es adatbázisából származó adatok.</w:t>
      </w:r>
    </w:p>
  </w:footnote>
  <w:footnote w:id="29">
    <w:p w14:paraId="276B9985" w14:textId="1276AEAD" w:rsidR="00F0380E" w:rsidRPr="00A85C5D"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Az Európai Bizottság 2003/670/EK ajánlása (2003. szeptember 19.) a foglalkozási betegségek európai jegyzékéről (HL L 238., 2003.9.25., 28. o.), (HL L 238., 2003.9.25., 28. o.),  </w:t>
      </w:r>
      <w:hyperlink r:id="rId23" w:history="1">
        <w:r>
          <w:rPr>
            <w:rStyle w:val="Hyperlink"/>
            <w:rFonts w:ascii="Times New Roman" w:hAnsi="Times New Roman"/>
          </w:rPr>
          <w:t>https://eur-lex.europa.eu/legal-content/EN/TXT/PDF/?uri=CELEX:32003H0670&amp;from=EN</w:t>
        </w:r>
      </w:hyperlink>
      <w:r>
        <w:rPr>
          <w:rFonts w:ascii="Times New Roman" w:hAnsi="Times New Roman"/>
        </w:rPr>
        <w:t xml:space="preserve"> </w:t>
      </w:r>
    </w:p>
  </w:footnote>
  <w:footnote w:id="30">
    <w:p w14:paraId="66B57FC7" w14:textId="342F70EC"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Az ajánlás I. mellékletében jelenleg az azbeszttel összefüggő alábbi foglalkozási megbetegedések szerepelnek: azbesztózis; az azbesztpor belélegzését követően fennálló mezotelióma; azbeszttel kapcsolatos, hörgőrák formájában fennálló komplikáció, a mellhártya azbeszt által okozott, légzéskorlátozottsággal járó fibrotikus betegségei; valamint az azbesztpor belélegzését követően fennálló tüdőrák.</w:t>
      </w:r>
    </w:p>
  </w:footnote>
  <w:footnote w:id="31">
    <w:p w14:paraId="473ADD4C" w14:textId="270CD978"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 foglalkozási eredetű rákos megbetegedések jelentik – 52 %-os aránnyal – a munkával összefüggő halálesetek fő okát az EU-ban, megelőzve a keringési megbetegedéseket (24 %), a sérüléseket (2 %) és minden egyéb okot (22 %). Ez a 2017. évi adatok alapján készült, vagyis az EU27 + az Egyesült Királyság adatai szerint. </w:t>
      </w:r>
      <w:hyperlink r:id="rId24" w:anchor="!/" w:history="1">
        <w:r>
          <w:rPr>
            <w:rStyle w:val="Hyperlink"/>
            <w:rFonts w:ascii="Times New Roman" w:hAnsi="Times New Roman"/>
          </w:rPr>
          <w:t>https://visualisation.osha.europa.eu/osh-costs#!/</w:t>
        </w:r>
      </w:hyperlink>
      <w:r>
        <w:rPr>
          <w:rFonts w:ascii="Times New Roman" w:hAnsi="Times New Roman"/>
        </w:rPr>
        <w:t xml:space="preserve"> </w:t>
      </w:r>
    </w:p>
  </w:footnote>
  <w:footnote w:id="32">
    <w:p w14:paraId="38489955" w14:textId="32FF9D8C" w:rsidR="00F0380E" w:rsidRPr="00AA2B81" w:rsidRDefault="00F0380E" w:rsidP="00A33812">
      <w:pPr>
        <w:pStyle w:val="FootnoteText"/>
        <w:ind w:left="284" w:hanging="284"/>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25" w:history="1">
        <w:r>
          <w:rPr>
            <w:rStyle w:val="Hyperlink"/>
            <w:rFonts w:ascii="Times New Roman" w:hAnsi="Times New Roman"/>
          </w:rPr>
          <w:t>https://ec.europa.eu/eurostat/web/experimental-statistics/european-occupational-diseases-statistics</w:t>
        </w:r>
      </w:hyperlink>
      <w:r>
        <w:rPr>
          <w:rFonts w:ascii="Times New Roman" w:hAnsi="Times New Roman"/>
        </w:rPr>
        <w:t xml:space="preserve"> </w:t>
      </w:r>
    </w:p>
  </w:footnote>
  <w:footnote w:id="33">
    <w:p w14:paraId="542F1ADC" w14:textId="19F068DB" w:rsidR="00F0380E" w:rsidRPr="00A33812" w:rsidRDefault="00F0380E" w:rsidP="00A33812">
      <w:pPr>
        <w:pStyle w:val="FootnoteText"/>
        <w:ind w:left="284" w:hanging="284"/>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tab/>
      </w:r>
      <w:r>
        <w:rPr>
          <w:rFonts w:ascii="Times New Roman" w:hAnsi="Times New Roman"/>
        </w:rPr>
        <w:t xml:space="preserve">COM(2021) 323 final, </w:t>
      </w:r>
      <w:hyperlink r:id="rId26" w:history="1">
        <w:r>
          <w:rPr>
            <w:rStyle w:val="Hyperlink"/>
            <w:rFonts w:ascii="Times New Roman" w:hAnsi="Times New Roman"/>
          </w:rPr>
          <w:t>https://eur-lex.europa.eu/legal-content/HU/TXT/HTML/?uri=CELEX:52021DC0323&amp;from=EN</w:t>
        </w:r>
      </w:hyperlink>
      <w:r>
        <w:rPr>
          <w:rFonts w:ascii="Times New Roman" w:hAnsi="Times New Roman"/>
        </w:rPr>
        <w:t xml:space="preserve"> </w:t>
      </w:r>
    </w:p>
  </w:footnote>
  <w:footnote w:id="34">
    <w:p w14:paraId="2E26409E" w14:textId="36F34DDC"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 második egyedi irányelv a munkájuk során vegyi, fizikai és biológiai anyagokkal kapcsolatos kockázatoknak kitett munkavállalók védelméről szóló 80/1107/EK irányelv 8. cikke értelmében (HL L 263., 1983.9.24., 25. o.).</w:t>
      </w:r>
    </w:p>
  </w:footnote>
  <w:footnote w:id="35">
    <w:p w14:paraId="17D65893" w14:textId="3DB2B780" w:rsidR="00F0380E" w:rsidRPr="00A85C5D"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 xml:space="preserve">HL L 158., 2004.4.30., 50. o.,  </w:t>
      </w:r>
      <w:hyperlink r:id="rId27" w:history="1">
        <w:r>
          <w:rPr>
            <w:rStyle w:val="Hyperlink"/>
            <w:rFonts w:ascii="Times New Roman" w:hAnsi="Times New Roman"/>
          </w:rPr>
          <w:t>https://eur-lex.europa.eu/legal-content/HU/TXT/HTML/?uri=CELEX:02004L0037-20140325&amp;from=HU</w:t>
        </w:r>
      </w:hyperlink>
      <w:r>
        <w:rPr>
          <w:rFonts w:ascii="Times New Roman" w:hAnsi="Times New Roman"/>
        </w:rPr>
        <w:t xml:space="preserve"> </w:t>
      </w:r>
    </w:p>
  </w:footnote>
  <w:footnote w:id="36">
    <w:p w14:paraId="1510BDE5" w14:textId="7E793ABC"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Lásd az uniós munkahelyi egészségvédelmi és biztonsági irányelvek 2017-es utólagos értékelését: </w:t>
      </w:r>
      <w:hyperlink r:id="rId28" w:history="1">
        <w:r>
          <w:rPr>
            <w:rStyle w:val="Hyperlink"/>
            <w:rFonts w:ascii="Times New Roman" w:hAnsi="Times New Roman"/>
          </w:rPr>
          <w:t>https://eur-lex.europa.eu/legal-content/en/TXT/?uri=CELEX:52017SC0010</w:t>
        </w:r>
      </w:hyperlink>
      <w:r>
        <w:rPr>
          <w:rFonts w:ascii="Times New Roman" w:hAnsi="Times New Roman"/>
        </w:rPr>
        <w:t xml:space="preserve"> </w:t>
      </w:r>
    </w:p>
  </w:footnote>
  <w:footnote w:id="37">
    <w:p w14:paraId="3E51C066" w14:textId="0BCF3703"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Az értékelést alátámasztó tanulmány elérhető a következő címen: </w:t>
      </w:r>
      <w:hyperlink r:id="rId29" w:history="1">
        <w:r>
          <w:rPr>
            <w:rStyle w:val="Hyperlink"/>
            <w:rFonts w:ascii="Times New Roman" w:hAnsi="Times New Roman"/>
          </w:rPr>
          <w:t>https://ec.europa.eu/social/BlobServlet?docId=17060&amp;langId=en</w:t>
        </w:r>
      </w:hyperlink>
      <w:r>
        <w:rPr>
          <w:rFonts w:ascii="Times New Roman" w:hAnsi="Times New Roman"/>
        </w:rPr>
        <w:t xml:space="preserve"> </w:t>
      </w:r>
    </w:p>
  </w:footnote>
  <w:footnote w:id="38">
    <w:p w14:paraId="614EEA76" w14:textId="37CD863B"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Ha nem kerül sor uniós szintű fellépésre, és csak azokat a foglalkozásokat vesszük figyelembe, ahol jelenleg azbesztnek való kitettség fordul elő, a becslések szerint a következő 40 évben 884 foglalkozási eredetű megbetegedés fordul majd elő az EU 27 tagállamában. Az előrejelzések szerint ugyanebben az időszakban 707 munkavállaló fog meghalni az azbesztnek való munkahelyi kitettségnek tulajdonítható rákos megbetegedésekben. Az egészségügyi költségek tekintetében a becslések szerint a rákos megbetegedések 228 millió EUR és 438 millió EUR közötti összegben fognak kerülni.</w:t>
      </w:r>
    </w:p>
  </w:footnote>
  <w:footnote w:id="39">
    <w:p w14:paraId="5871EDAD" w14:textId="2F2F01C0"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 mérési módszertanokkal kapcsolatos további információkért lásd az Európai Vegyianyag-ügynökség kockázatértékelési bizottságának véleményét: </w:t>
      </w:r>
      <w:hyperlink r:id="rId30" w:history="1">
        <w:r>
          <w:rPr>
            <w:rStyle w:val="Hyperlink"/>
            <w:rFonts w:ascii="Times New Roman" w:hAnsi="Times New Roman"/>
          </w:rPr>
          <w:t>https://echa.europa.eu/documents/10162/30184854/OEL_asbestos_Final_Opinion_en.pdf/cc917e63-e0e6-e9cd-86d2-f75c81514277</w:t>
        </w:r>
      </w:hyperlink>
      <w:r>
        <w:rPr>
          <w:rFonts w:ascii="Times New Roman" w:hAnsi="Times New Roman"/>
        </w:rPr>
        <w:t xml:space="preserve"> </w:t>
      </w:r>
    </w:p>
  </w:footnote>
  <w:footnote w:id="40">
    <w:p w14:paraId="31B5BE47" w14:textId="649A21E9" w:rsidR="00F0380E" w:rsidRPr="0055775A"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További információkért lásd a </w:t>
      </w:r>
      <w:hyperlink r:id="rId31" w:history="1">
        <w:r>
          <w:rPr>
            <w:rStyle w:val="Hyperlink"/>
            <w:rFonts w:ascii="Times New Roman" w:hAnsi="Times New Roman"/>
          </w:rPr>
          <w:t>https://osha.europa.eu/en/facts-and-figures/workers-exposure-survey-cancer-risk-factors-europe</w:t>
        </w:r>
      </w:hyperlink>
      <w:r>
        <w:rPr>
          <w:rFonts w:ascii="Times New Roman" w:hAnsi="Times New Roman"/>
        </w:rPr>
        <w:t xml:space="preserve"> weboldalt. A felmérést kezdetben nagyjából reprezentatív módon kiválasztott hat tagállammal végzik el, és 24 rákkockázati tényezőre, köztük a vegyi és fizikai kockázatokra terjed ki. Az első eredmények 2023-ban várhatók.</w:t>
      </w:r>
    </w:p>
  </w:footnote>
  <w:footnote w:id="41">
    <w:p w14:paraId="5D474DC0" w14:textId="1F7D556B" w:rsidR="0065099F" w:rsidRPr="0065099F" w:rsidRDefault="0065099F">
      <w:pPr>
        <w:pStyle w:val="FootnoteText"/>
      </w:pPr>
      <w:r>
        <w:rPr>
          <w:rStyle w:val="FootnoteReference"/>
        </w:rPr>
        <w:footnoteRef/>
      </w:r>
      <w:r>
        <w:t xml:space="preserve"> </w:t>
      </w:r>
      <w:r>
        <w:rPr>
          <w:rFonts w:ascii="Times New Roman" w:hAnsi="Times New Roman"/>
        </w:rPr>
        <w:t>A kielemzett jellemzők közé tartozik a nem, az életkor, a születési ország, a foglalkozás, a tevékenységi ágazat, a vállalat mérete, a munkahely mérete, a szakmai státusz, a szerződés típusa és a heti munkaidő.</w:t>
      </w:r>
    </w:p>
  </w:footnote>
  <w:footnote w:id="42">
    <w:p w14:paraId="1065E087" w14:textId="0D838779" w:rsidR="00F0380E" w:rsidRPr="005F7D3B"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Maduta, C., Kakoulaki, G., Zangheri, P., Bavetta, M.: </w:t>
      </w:r>
      <w:r>
        <w:rPr>
          <w:rFonts w:ascii="Times New Roman" w:hAnsi="Times New Roman"/>
          <w:i/>
          <w:iCs/>
        </w:rPr>
        <w:t>Towards energy efficient and asbestos-free dwellings through deep energy renovation</w:t>
      </w:r>
      <w:r>
        <w:rPr>
          <w:rFonts w:ascii="Times New Roman" w:hAnsi="Times New Roman"/>
        </w:rPr>
        <w:t xml:space="preserve">, JRC129218, </w:t>
      </w:r>
      <w:hyperlink r:id="rId32" w:history="1">
        <w:r>
          <w:rPr>
            <w:rStyle w:val="Hyperlink"/>
            <w:rFonts w:ascii="Times New Roman" w:hAnsi="Times New Roman"/>
          </w:rPr>
          <w:t>https://publications.jrc.ec.europa.eu/repository/handle/JRC129218</w:t>
        </w:r>
      </w:hyperlink>
      <w:r>
        <w:rPr>
          <w:rFonts w:ascii="Times New Roman" w:hAnsi="Times New Roman"/>
        </w:rPr>
        <w:t xml:space="preserve"> </w:t>
      </w:r>
    </w:p>
  </w:footnote>
  <w:footnote w:id="43">
    <w:p w14:paraId="2F635CE8" w14:textId="0DCB8160" w:rsidR="00F0380E" w:rsidRPr="0055775A"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Európai épületkorszerűsítési program. Lásd a 13. lábjegyzetet.</w:t>
      </w:r>
    </w:p>
  </w:footnote>
  <w:footnote w:id="44">
    <w:p w14:paraId="11797A00" w14:textId="00263978" w:rsidR="00F0380E" w:rsidRPr="005F7D3B" w:rsidRDefault="00936735" w:rsidP="00A33812">
      <w:pPr>
        <w:pStyle w:val="FootnoteText"/>
        <w:ind w:left="284" w:hanging="284"/>
        <w:rPr>
          <w:rFonts w:ascii="Times New Roman" w:hAnsi="Times New Roman" w:cs="Times New Roman"/>
        </w:rPr>
      </w:pPr>
      <w:r>
        <w:rPr>
          <w:rFonts w:ascii="Times New Roman" w:hAnsi="Times New Roman"/>
          <w:vertAlign w:val="superscript"/>
        </w:rPr>
        <w:t>41</w:t>
      </w:r>
      <w:r>
        <w:rPr>
          <w:rFonts w:ascii="Times New Roman" w:hAnsi="Times New Roman"/>
        </w:rPr>
        <w:t xml:space="preserve"> Például lapos tetőcserepek, nagy és kis homlokzati panelek, mennyezet- és falburkolatok, hő- és hangvédelem tűz és a gerendákon lévő kondenzáció ellen, füstálló ajtók és kapuk, kemencék, kazánok és magas hőmérsékletű berendezések stb. </w:t>
      </w:r>
    </w:p>
  </w:footnote>
  <w:footnote w:id="45">
    <w:p w14:paraId="11EFFD29" w14:textId="20C2836E" w:rsidR="00F0380E" w:rsidRPr="00A33812"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Az 1. ábra az azbesztfelhasználást az uniós épületek építésének fő időszakai szerint bontásban mutatja be. A becslés az 1920 és 2003 közötti látszólagos azbesztfelhasználáson (Virta, 2006) és az építőanyagokban felhasznált nyers azbeszt szakirodalomban meghatározott százalékos arányán alapul; Málta esetében nem jelentettek azbeszt felhasználására vonatkozó adatokat. A teljes módszertan a </w:t>
      </w:r>
      <w:r>
        <w:rPr>
          <w:rFonts w:ascii="Times New Roman" w:hAnsi="Times New Roman"/>
          <w:vertAlign w:val="superscript"/>
        </w:rPr>
        <w:t>40</w:t>
      </w:r>
      <w:r>
        <w:rPr>
          <w:rFonts w:ascii="Times New Roman" w:hAnsi="Times New Roman"/>
        </w:rPr>
        <w:t>. lábjegyzetben található.</w:t>
      </w:r>
    </w:p>
  </w:footnote>
  <w:footnote w:id="46">
    <w:p w14:paraId="3ECFCF4F" w14:textId="4DA49990" w:rsidR="00F0380E" w:rsidRPr="004A367E" w:rsidRDefault="00F0380E" w:rsidP="00A33812">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Lásd a 41. lábjegyzetet.</w:t>
      </w:r>
    </w:p>
  </w:footnote>
  <w:footnote w:id="47">
    <w:p w14:paraId="4550D321" w14:textId="3EA3FF08" w:rsidR="00F0380E" w:rsidRPr="004A367E"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Lásd a 41. lábjegyzetet.</w:t>
      </w:r>
    </w:p>
  </w:footnote>
  <w:footnote w:id="48">
    <w:p w14:paraId="48C07320" w14:textId="02778D16" w:rsidR="00F0380E" w:rsidRPr="001C2A7A"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Az Európai Parlament és a Tanács 2009/148/EK irányelve (2009. november 30.) a munkájuk során azbeszttel kapcsolatos kockázatoknak kitett munkavállalók védelméről (HL L 330., 2009.12.16., 28. o.), </w:t>
      </w:r>
      <w:hyperlink r:id="rId33" w:history="1">
        <w:r>
          <w:rPr>
            <w:rStyle w:val="Hyperlink"/>
            <w:rFonts w:ascii="Times New Roman" w:hAnsi="Times New Roman"/>
          </w:rPr>
          <w:t>https://eur-lex.europa.eu/legal-content/HU/TXT/HTML/?uri=CELEX:32009L0148&amp;from=EN</w:t>
        </w:r>
      </w:hyperlink>
      <w:r>
        <w:rPr>
          <w:rFonts w:ascii="Times New Roman" w:hAnsi="Times New Roman"/>
        </w:rPr>
        <w:t xml:space="preserve"> </w:t>
      </w:r>
    </w:p>
  </w:footnote>
  <w:footnote w:id="49">
    <w:p w14:paraId="1A0D802C" w14:textId="06E71183" w:rsidR="00F0380E" w:rsidRPr="004A367E" w:rsidRDefault="00F0380E" w:rsidP="00A33812">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Lásd a 41. lábjegyzetet.</w:t>
      </w:r>
    </w:p>
  </w:footnote>
  <w:footnote w:id="50">
    <w:p w14:paraId="3355DA37" w14:textId="7ADD81EE"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4" w:history="1">
        <w:r>
          <w:rPr>
            <w:rStyle w:val="Hyperlink"/>
            <w:rFonts w:ascii="Times New Roman" w:hAnsi="Times New Roman"/>
          </w:rPr>
          <w:t>https://www.legifrance.gouv.fr/download/pdf?id=LykGmH7vMb-yJKNXCJ9VQ3z9fiEK5Q9jlNDoaaUnwUM=</w:t>
        </w:r>
      </w:hyperlink>
      <w:r>
        <w:rPr>
          <w:rFonts w:ascii="Times New Roman" w:hAnsi="Times New Roman"/>
        </w:rPr>
        <w:t xml:space="preserve"> </w:t>
      </w:r>
    </w:p>
  </w:footnote>
  <w:footnote w:id="51">
    <w:p w14:paraId="7FA14C37" w14:textId="6A01EB3A" w:rsidR="00F0380E" w:rsidRPr="00A33812"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5" w:history="1">
        <w:r>
          <w:rPr>
            <w:rStyle w:val="Hyperlink"/>
            <w:rFonts w:ascii="Times New Roman" w:hAnsi="Times New Roman"/>
          </w:rPr>
          <w:t>https://www.legifrance.gouv.fr/download/pdf?id=uE3o2iaLz4ujX46N5eNQWUANnUy9niNepuHoD-nISzQ=</w:t>
        </w:r>
      </w:hyperlink>
      <w:r>
        <w:rPr>
          <w:rFonts w:ascii="Times New Roman" w:hAnsi="Times New Roman"/>
        </w:rPr>
        <w:t xml:space="preserve"> 2020-ban módosítva </w:t>
      </w:r>
      <w:hyperlink r:id="rId36" w:history="1">
        <w:r>
          <w:rPr>
            <w:rStyle w:val="Hyperlink"/>
            <w:rFonts w:ascii="Times New Roman" w:hAnsi="Times New Roman"/>
          </w:rPr>
          <w:t>https://www.legifrance.gouv.fr/download/pdf?id=TtFjMCu9CIzP1bhSZJIVTvpNRp6cu4pAD6cG41mJnZw=</w:t>
        </w:r>
      </w:hyperlink>
      <w:r>
        <w:rPr>
          <w:rFonts w:ascii="Times New Roman" w:hAnsi="Times New Roman"/>
        </w:rPr>
        <w:t xml:space="preserve"> </w:t>
      </w:r>
    </w:p>
  </w:footnote>
  <w:footnote w:id="52">
    <w:p w14:paraId="00E57A53" w14:textId="75514D3D" w:rsidR="00F0380E" w:rsidRPr="00A33812"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Lásd a 41. lábjegyzetet.</w:t>
      </w:r>
    </w:p>
  </w:footnote>
  <w:footnote w:id="53">
    <w:p w14:paraId="28617F91" w14:textId="7DC163E5"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7" w:history="1">
        <w:r>
          <w:rPr>
            <w:rStyle w:val="Hyperlink"/>
            <w:rFonts w:ascii="Times New Roman" w:hAnsi="Times New Roman"/>
          </w:rPr>
          <w:t>https://eur-lex.europa.eu/legal-content/HU/TXT/HTML/?uri=CELEX:52020DC0662&amp;from=EN</w:t>
        </w:r>
      </w:hyperlink>
      <w:r>
        <w:rPr>
          <w:rFonts w:ascii="Times New Roman" w:hAnsi="Times New Roman"/>
        </w:rPr>
        <w:t xml:space="preserve"> </w:t>
      </w:r>
    </w:p>
  </w:footnote>
  <w:footnote w:id="54">
    <w:p w14:paraId="3F67B87D" w14:textId="7F223AAE" w:rsidR="00F0380E" w:rsidRPr="00F94008"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8" w:history="1">
        <w:r>
          <w:rPr>
            <w:rStyle w:val="Hyperlink"/>
            <w:rFonts w:ascii="Times New Roman" w:hAnsi="Times New Roman"/>
          </w:rPr>
          <w:t>https://eur-lex.europa.eu/legal-content/HU/TXT/HTML/?uri=CELEX:52021PC0802&amp;from=EN</w:t>
        </w:r>
      </w:hyperlink>
      <w:r>
        <w:rPr>
          <w:rFonts w:ascii="Times New Roman" w:hAnsi="Times New Roman"/>
        </w:rPr>
        <w:t xml:space="preserve"> </w:t>
      </w:r>
    </w:p>
  </w:footnote>
  <w:footnote w:id="55">
    <w:p w14:paraId="091D72F3" w14:textId="349941CC"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9" w:history="1">
        <w:r>
          <w:rPr>
            <w:rStyle w:val="Hyperlink"/>
            <w:rFonts w:ascii="Times New Roman" w:hAnsi="Times New Roman"/>
          </w:rPr>
          <w:t>https://ec.europa.eu/environment/topics/circular-economy/levels_en</w:t>
        </w:r>
      </w:hyperlink>
      <w:r>
        <w:rPr>
          <w:rFonts w:ascii="Times New Roman" w:hAnsi="Times New Roman"/>
        </w:rPr>
        <w:t xml:space="preserve"> </w:t>
      </w:r>
    </w:p>
  </w:footnote>
  <w:footnote w:id="56">
    <w:p w14:paraId="2F9B04DB" w14:textId="261C1857" w:rsidR="00F0380E" w:rsidRPr="00105465" w:rsidRDefault="00F0380E" w:rsidP="00A33812">
      <w:pPr>
        <w:pStyle w:val="FootnoteText"/>
        <w:ind w:left="284" w:hanging="284"/>
        <w:rPr>
          <w:rFonts w:ascii="Times New Roman" w:hAnsi="Times New Roman" w:cs="Times New Roman"/>
          <w:lang w:val="fr-BE"/>
        </w:rPr>
      </w:pPr>
      <w:r>
        <w:rPr>
          <w:rFonts w:ascii="Times New Roman" w:hAnsi="Times New Roman" w:cs="Times New Roman"/>
          <w:vertAlign w:val="superscript"/>
        </w:rPr>
        <w:footnoteRef/>
      </w:r>
      <w:r w:rsidRPr="00105465">
        <w:rPr>
          <w:rFonts w:ascii="Times New Roman" w:hAnsi="Times New Roman"/>
          <w:lang w:val="fr-BE"/>
        </w:rPr>
        <w:t xml:space="preserve"> </w:t>
      </w:r>
      <w:r w:rsidRPr="00105465">
        <w:rPr>
          <w:lang w:val="fr-BE"/>
        </w:rPr>
        <w:tab/>
      </w:r>
      <w:r w:rsidRPr="00105465">
        <w:rPr>
          <w:rFonts w:ascii="Times New Roman" w:hAnsi="Times New Roman"/>
          <w:lang w:val="fr-BE"/>
        </w:rPr>
        <w:t>Lásd: Eurostat, 2018</w:t>
      </w:r>
      <w:r w:rsidRPr="00105465">
        <w:rPr>
          <w:lang w:val="fr-BE"/>
        </w:rPr>
        <w:tab/>
      </w:r>
      <w:hyperlink r:id="rId40" w:anchor="Total_waste_generation" w:history="1">
        <w:r w:rsidRPr="00105465">
          <w:rPr>
            <w:rStyle w:val="Hyperlink"/>
            <w:rFonts w:ascii="Times New Roman" w:hAnsi="Times New Roman"/>
            <w:lang w:val="fr-BE"/>
          </w:rPr>
          <w:t>https://ec.europa.eu/eurostat/statistics-explained/index.php?title=Waste_statistics#Total_waste_generation</w:t>
        </w:r>
      </w:hyperlink>
    </w:p>
  </w:footnote>
  <w:footnote w:id="57">
    <w:p w14:paraId="266CF697" w14:textId="5BC8EEAB" w:rsidR="00F0380E" w:rsidRPr="00105465" w:rsidRDefault="00F0380E" w:rsidP="00A33812">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sidRPr="00105465">
        <w:rPr>
          <w:rFonts w:ascii="Times New Roman" w:hAnsi="Times New Roman"/>
          <w:lang w:val="fr-BE"/>
        </w:rPr>
        <w:t xml:space="preserve"> </w:t>
      </w:r>
      <w:r w:rsidRPr="00105465">
        <w:rPr>
          <w:lang w:val="fr-BE"/>
        </w:rPr>
        <w:tab/>
      </w:r>
      <w:r w:rsidRPr="00105465">
        <w:rPr>
          <w:rFonts w:ascii="Times New Roman" w:hAnsi="Times New Roman"/>
          <w:lang w:val="fr-BE"/>
        </w:rPr>
        <w:t>A hulladékokról szóló 2008/98/EK irányelv 2. cikkének b) pontja szerint a „földhöz állandóan, szilárdan rögzített épületek” nem tartoznak az irányelv hatálya alá, mivel nem minősülnek hulladéknak.</w:t>
      </w:r>
    </w:p>
  </w:footnote>
  <w:footnote w:id="58">
    <w:p w14:paraId="150D6F11" w14:textId="4E0B20F0" w:rsidR="00F0380E" w:rsidRPr="00105465" w:rsidRDefault="00F0380E" w:rsidP="00A33812">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sidRPr="00105465">
        <w:rPr>
          <w:rFonts w:ascii="Times New Roman" w:hAnsi="Times New Roman"/>
          <w:lang w:val="fr-BE"/>
        </w:rPr>
        <w:t xml:space="preserve"> </w:t>
      </w:r>
      <w:r w:rsidRPr="00105465">
        <w:rPr>
          <w:lang w:val="fr-BE"/>
        </w:rPr>
        <w:tab/>
      </w:r>
      <w:r w:rsidRPr="00105465">
        <w:rPr>
          <w:rFonts w:ascii="Times New Roman" w:hAnsi="Times New Roman"/>
          <w:lang w:val="fr-BE"/>
        </w:rPr>
        <w:t>Lásd a hulladékokról szóló 2008/98/EK irányelv III. mellékletét és a hulladékjegyzékről szóló 2000/532/EK határozatot.</w:t>
      </w:r>
    </w:p>
  </w:footnote>
  <w:footnote w:id="59">
    <w:p w14:paraId="6174A04B" w14:textId="05C5BC71" w:rsidR="00F0380E" w:rsidRPr="00105465" w:rsidRDefault="00F0380E" w:rsidP="00A33812">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sidRPr="00105465">
        <w:rPr>
          <w:rFonts w:ascii="Times New Roman" w:hAnsi="Times New Roman"/>
          <w:lang w:val="fr-BE"/>
        </w:rPr>
        <w:t xml:space="preserve"> </w:t>
      </w:r>
      <w:r w:rsidRPr="00105465">
        <w:rPr>
          <w:lang w:val="fr-BE"/>
        </w:rPr>
        <w:tab/>
      </w:r>
      <w:hyperlink r:id="rId41" w:history="1">
        <w:r w:rsidRPr="00105465">
          <w:rPr>
            <w:rStyle w:val="Hyperlink"/>
            <w:rFonts w:ascii="Times New Roman" w:hAnsi="Times New Roman"/>
            <w:lang w:val="fr-BE"/>
          </w:rPr>
          <w:t>https://ec.europa.eu/docsroom/documents/20509/</w:t>
        </w:r>
      </w:hyperlink>
      <w:r w:rsidRPr="00105465">
        <w:rPr>
          <w:rFonts w:ascii="Times New Roman" w:hAnsi="Times New Roman"/>
          <w:lang w:val="fr-BE"/>
        </w:rPr>
        <w:t xml:space="preserve"> </w:t>
      </w:r>
    </w:p>
  </w:footnote>
  <w:footnote w:id="60">
    <w:p w14:paraId="5236410D" w14:textId="5A65D8C5" w:rsidR="00F0380E" w:rsidRPr="00105465" w:rsidRDefault="00F0380E" w:rsidP="00A33812">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sidRPr="00105465">
        <w:rPr>
          <w:rFonts w:ascii="Times New Roman" w:hAnsi="Times New Roman"/>
          <w:lang w:val="fr-BE"/>
        </w:rPr>
        <w:t xml:space="preserve"> </w:t>
      </w:r>
      <w:r w:rsidRPr="00105465">
        <w:rPr>
          <w:lang w:val="fr-BE"/>
        </w:rPr>
        <w:tab/>
      </w:r>
      <w:hyperlink r:id="rId42" w:history="1">
        <w:r w:rsidRPr="00105465">
          <w:rPr>
            <w:rStyle w:val="Hyperlink"/>
            <w:rFonts w:ascii="Times New Roman" w:hAnsi="Times New Roman"/>
            <w:lang w:val="fr-BE"/>
          </w:rPr>
          <w:t>https://ec.europa.eu/growth/news/eu-construction-and-demolition-waste-protocol-2018-09-18_en</w:t>
        </w:r>
      </w:hyperlink>
      <w:r w:rsidRPr="00105465">
        <w:rPr>
          <w:rFonts w:ascii="Times New Roman" w:hAnsi="Times New Roman"/>
          <w:lang w:val="fr-BE"/>
        </w:rPr>
        <w:t xml:space="preserve"> </w:t>
      </w:r>
    </w:p>
  </w:footnote>
  <w:footnote w:id="61">
    <w:p w14:paraId="066A6778" w14:textId="1BFB645E" w:rsidR="00F0380E" w:rsidRPr="00105465" w:rsidRDefault="00F0380E" w:rsidP="00A33812">
      <w:pPr>
        <w:pStyle w:val="FootnoteText"/>
        <w:ind w:left="284" w:hanging="284"/>
        <w:rPr>
          <w:rFonts w:ascii="Times New Roman" w:hAnsi="Times New Roman" w:cs="Times New Roman"/>
          <w:lang w:val="fr-BE"/>
        </w:rPr>
      </w:pPr>
      <w:r>
        <w:rPr>
          <w:rFonts w:ascii="Times New Roman" w:hAnsi="Times New Roman" w:cs="Times New Roman"/>
          <w:vertAlign w:val="superscript"/>
        </w:rPr>
        <w:footnoteRef/>
      </w:r>
      <w:r w:rsidRPr="00105465">
        <w:rPr>
          <w:rFonts w:ascii="Times New Roman" w:hAnsi="Times New Roman"/>
          <w:lang w:val="fr-BE"/>
        </w:rPr>
        <w:t xml:space="preserve"> </w:t>
      </w:r>
      <w:r w:rsidRPr="00105465">
        <w:rPr>
          <w:lang w:val="fr-BE"/>
        </w:rPr>
        <w:tab/>
      </w:r>
      <w:r w:rsidRPr="00105465">
        <w:rPr>
          <w:rFonts w:ascii="Times New Roman" w:hAnsi="Times New Roman"/>
          <w:lang w:val="fr-BE"/>
        </w:rPr>
        <w:t>Például az azbesztet inert, potenciálisan újrahasznosítható ásványi anyagokká alakító üvegesítés ipari méretekben igen korlátozott mértékben áll rendelkezésre és rendkívül energiaintenzív. Az INERTAM vállalat franciaországi üzeme például az azbeszthulladékot üvegesítő plazmafáklya-technológiát alkalmaz, akár 1 600 °C hőmérsékletet is elérve, ami rendkívül magas energiafogyasztással és az ehhez kapcsolódó éghajlati hatásokkal jár.</w:t>
      </w:r>
    </w:p>
  </w:footnote>
  <w:footnote w:id="62">
    <w:p w14:paraId="10BDEDB4" w14:textId="16462113" w:rsidR="00F0380E" w:rsidRPr="00105465" w:rsidRDefault="00F0380E" w:rsidP="00A33812">
      <w:pPr>
        <w:pStyle w:val="FootnoteText"/>
        <w:ind w:left="284" w:hanging="284"/>
        <w:rPr>
          <w:rFonts w:ascii="Times New Roman" w:hAnsi="Times New Roman" w:cs="Times New Roman"/>
          <w:lang w:val="fr-BE"/>
        </w:rPr>
      </w:pPr>
      <w:r>
        <w:rPr>
          <w:rFonts w:ascii="Times New Roman" w:hAnsi="Times New Roman" w:cs="Times New Roman"/>
          <w:vertAlign w:val="superscript"/>
        </w:rPr>
        <w:footnoteRef/>
      </w:r>
      <w:r w:rsidRPr="00105465">
        <w:rPr>
          <w:rFonts w:ascii="Times New Roman" w:hAnsi="Times New Roman"/>
          <w:lang w:val="fr-BE"/>
        </w:rPr>
        <w:t xml:space="preserve"> </w:t>
      </w:r>
      <w:r w:rsidRPr="00105465">
        <w:rPr>
          <w:lang w:val="fr-BE"/>
        </w:rPr>
        <w:tab/>
      </w:r>
      <w:r w:rsidRPr="00105465">
        <w:rPr>
          <w:rFonts w:ascii="Times New Roman" w:hAnsi="Times New Roman"/>
          <w:lang w:val="fr-BE"/>
        </w:rPr>
        <w:t>A 2003/33/EK tanácsi határozat meghatározza az azbeszt hulladéklerakókban való biztonságos ártalmatlanítására vonatkozó követelményeket, míg a hulladéklerakókról szóló 1999/31/EGK irányelv előírja a helyszínen időszakosan elvégzendő minimális ellenőrzési és megfigyelési eljárásokat.</w:t>
      </w:r>
    </w:p>
  </w:footnote>
  <w:footnote w:id="63">
    <w:p w14:paraId="4D332E8B" w14:textId="3A64914C" w:rsidR="00F0380E" w:rsidRPr="00105465" w:rsidRDefault="00F0380E" w:rsidP="00A33812">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sidRPr="00105465">
        <w:rPr>
          <w:rFonts w:ascii="Times New Roman" w:hAnsi="Times New Roman"/>
          <w:lang w:val="fr-BE"/>
        </w:rPr>
        <w:t xml:space="preserve"> </w:t>
      </w:r>
      <w:r w:rsidRPr="00105465">
        <w:rPr>
          <w:lang w:val="fr-BE"/>
        </w:rPr>
        <w:tab/>
      </w:r>
      <w:r w:rsidRPr="00105465">
        <w:rPr>
          <w:rFonts w:ascii="Times New Roman" w:hAnsi="Times New Roman"/>
          <w:lang w:val="fr-BE"/>
        </w:rPr>
        <w:t xml:space="preserve">A hulladékokról szóló keretirányelv 4. cikkében meghatározott hulladékhierarchia a hulladékgazdálkodás prioritási sorrendje, amely az EU hulladékgazdálkodási jogszabálya szerinti általános megközelítést tükrözi. A hierarchia öt lehetséges módszert határoz meg a hulladék kezelésére és ezen intézkedéseket az alábbiak szerint rangsorolja: 1. megelőzés; 2. újrahasználatra való előkészítés; 3. újrafeldolgozás; 4. egyéb hasznosítás, például energetikai hasznosítás; valamint 5. ártalmatlanítás. Elsődleges célja a hulladék káros környezeti hatásainak minimalizálása, valamint a hulladékgazdálkodás és -politika erőforrás-hatékonyságának növelése és optimalizálása.  (Kivonat a 2008/98/EK irányelv kulcsfontosságú rendelkezéseinek értelmezéséről szóló 2012. évi iránymutatásból: </w:t>
      </w:r>
      <w:hyperlink r:id="rId43" w:history="1">
        <w:r w:rsidRPr="00105465">
          <w:rPr>
            <w:rStyle w:val="Hyperlink"/>
            <w:rFonts w:ascii="Times New Roman" w:hAnsi="Times New Roman"/>
            <w:lang w:val="fr-BE"/>
          </w:rPr>
          <w:t>https://ec.europa.eu/environment/pdf/waste/framework/guidance_doc.pdf</w:t>
        </w:r>
      </w:hyperlink>
      <w:r w:rsidRPr="00105465">
        <w:rPr>
          <w:rFonts w:ascii="Times New Roman" w:hAnsi="Times New Roman"/>
          <w:lang w:val="fr-BE"/>
        </w:rPr>
        <w:t>).</w:t>
      </w:r>
    </w:p>
  </w:footnote>
  <w:footnote w:id="64">
    <w:p w14:paraId="64D4FBBE" w14:textId="7F9DE278" w:rsidR="00F0380E" w:rsidRPr="00105465" w:rsidRDefault="00F0380E" w:rsidP="00A33812">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sidRPr="00105465">
        <w:rPr>
          <w:rFonts w:ascii="Times New Roman" w:hAnsi="Times New Roman"/>
          <w:lang w:val="fr-BE"/>
        </w:rPr>
        <w:t xml:space="preserve"> </w:t>
      </w:r>
      <w:r w:rsidRPr="00105465">
        <w:rPr>
          <w:lang w:val="fr-BE"/>
        </w:rPr>
        <w:tab/>
      </w:r>
      <w:hyperlink r:id="rId44" w:history="1">
        <w:r w:rsidRPr="00105465">
          <w:rPr>
            <w:rStyle w:val="Hyperlink"/>
            <w:rFonts w:ascii="Times New Roman" w:hAnsi="Times New Roman"/>
            <w:lang w:val="fr-BE"/>
          </w:rPr>
          <w:t>https://ec.europa.eu/european-social-fund-plus/en</w:t>
        </w:r>
      </w:hyperlink>
      <w:r w:rsidRPr="00105465">
        <w:rPr>
          <w:rFonts w:ascii="Times New Roman" w:hAnsi="Times New Roman"/>
          <w:lang w:val="fr-BE"/>
        </w:rPr>
        <w:t xml:space="preserve"> </w:t>
      </w:r>
    </w:p>
  </w:footnote>
  <w:footnote w:id="65">
    <w:p w14:paraId="135182FC" w14:textId="3DA60DFE" w:rsidR="00F0380E" w:rsidRPr="00105465" w:rsidRDefault="00F0380E" w:rsidP="00A33812">
      <w:pPr>
        <w:pStyle w:val="FootnoteText"/>
        <w:ind w:left="284" w:hanging="284"/>
        <w:rPr>
          <w:lang w:val="fr-BE"/>
        </w:rPr>
      </w:pPr>
      <w:r>
        <w:rPr>
          <w:rStyle w:val="FootnoteReference"/>
          <w:rFonts w:ascii="Times New Roman" w:hAnsi="Times New Roman" w:cs="Times New Roman"/>
        </w:rPr>
        <w:footnoteRef/>
      </w:r>
      <w:r w:rsidRPr="00105465">
        <w:rPr>
          <w:rFonts w:ascii="Times New Roman" w:hAnsi="Times New Roman"/>
          <w:lang w:val="fr-BE"/>
        </w:rPr>
        <w:t xml:space="preserve"> </w:t>
      </w:r>
      <w:r w:rsidRPr="00105465">
        <w:rPr>
          <w:lang w:val="fr-BE"/>
        </w:rPr>
        <w:tab/>
      </w:r>
      <w:hyperlink r:id="rId45" w:history="1">
        <w:r w:rsidRPr="00105465">
          <w:rPr>
            <w:rStyle w:val="Hyperlink"/>
            <w:rFonts w:ascii="Times New Roman" w:hAnsi="Times New Roman"/>
            <w:lang w:val="fr-BE"/>
          </w:rPr>
          <w:t>https://ec.europa.eu/regional_policy/en/funding/erdf/</w:t>
        </w:r>
      </w:hyperlink>
      <w:r w:rsidRPr="00105465">
        <w:rPr>
          <w:rFonts w:ascii="Times New Roman" w:hAnsi="Times New Roman"/>
          <w:lang w:val="fr-BE"/>
        </w:rPr>
        <w:t xml:space="preserve"> </w:t>
      </w:r>
    </w:p>
  </w:footnote>
  <w:footnote w:id="66">
    <w:p w14:paraId="7DE7600D" w14:textId="7C6D13DA"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U.S. Geological Survey, Mineral Commodity Summaries, 2022. január.</w:t>
      </w:r>
    </w:p>
  </w:footnote>
  <w:footnote w:id="67">
    <w:p w14:paraId="62289C22" w14:textId="30E164FD" w:rsidR="00F0380E" w:rsidRPr="004B2F5B"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6" w:history="1">
        <w:r>
          <w:rPr>
            <w:rStyle w:val="Hyperlink"/>
            <w:rFonts w:ascii="Times New Roman" w:hAnsi="Times New Roman"/>
          </w:rPr>
          <w:t>http://www.pic.int/TheConvention/Overview/TextoftheConvention/tabid/1048/language/en-US/Default.aspx</w:t>
        </w:r>
      </w:hyperlink>
      <w:r>
        <w:rPr>
          <w:rFonts w:ascii="Times New Roman" w:hAnsi="Times New Roman"/>
        </w:rPr>
        <w:t xml:space="preserve"> </w:t>
      </w:r>
    </w:p>
  </w:footnote>
  <w:footnote w:id="68">
    <w:p w14:paraId="74C2A688" w14:textId="77777777" w:rsidR="00FA790B" w:rsidRPr="006F5626" w:rsidRDefault="00FA790B" w:rsidP="00FA790B">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Az európai nyitott stratégiai autonómia 10 pillérje közé tartoznak a reziliens egészségügyi rendszerek, valamint az elsőként cselekvő globális pozíció szabványosítás terén, ideértve a munkahelyi jogok területét is – lásd: COM(2021) 750 final. </w:t>
      </w:r>
    </w:p>
  </w:footnote>
  <w:footnote w:id="69">
    <w:p w14:paraId="3EB83343" w14:textId="4B0D2441" w:rsidR="00894ADC" w:rsidRPr="00894ADC" w:rsidRDefault="00894ADC">
      <w:pPr>
        <w:pStyle w:val="FootnoteText"/>
      </w:pPr>
      <w:r>
        <w:rPr>
          <w:rStyle w:val="FootnoteReference"/>
        </w:rPr>
        <w:footnoteRef/>
      </w:r>
      <w:r>
        <w:t xml:space="preserve">  </w:t>
      </w:r>
      <w:r>
        <w:rPr>
          <w:rFonts w:ascii="Times New Roman" w:hAnsi="Times New Roman"/>
        </w:rPr>
        <w:t xml:space="preserve">Lásd a 3. lábjegyzetet. </w:t>
      </w:r>
    </w:p>
  </w:footnote>
  <w:footnote w:id="70">
    <w:p w14:paraId="614DB716" w14:textId="333A2D12" w:rsidR="00F0380E" w:rsidRPr="00595692"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COM(2022) 71 final, </w:t>
      </w:r>
      <w:hyperlink r:id="rId47" w:history="1">
        <w:r>
          <w:rPr>
            <w:rStyle w:val="Hyperlink"/>
            <w:rFonts w:ascii="Times New Roman" w:hAnsi="Times New Roman"/>
          </w:rPr>
          <w:t>https://eur-lex.europa.eu/legal-content/HU/TXT/HTML/?uri=CELEX:52022PC0071&amp;from=EN</w:t>
        </w:r>
      </w:hyperlink>
      <w:r>
        <w:rPr>
          <w:rFonts w:ascii="Times New Roman" w:hAnsi="Times New Roman"/>
        </w:rPr>
        <w:t xml:space="preserve"> </w:t>
      </w:r>
    </w:p>
  </w:footnote>
  <w:footnote w:id="71">
    <w:p w14:paraId="08C63AEE" w14:textId="67644623" w:rsidR="00171652" w:rsidRPr="00C0766C" w:rsidRDefault="00171652" w:rsidP="00C0766C">
      <w:pPr>
        <w:pStyle w:val="FootnoteText"/>
        <w:ind w:left="284" w:hanging="284"/>
        <w:jc w:val="both"/>
      </w:pPr>
      <w:r>
        <w:rPr>
          <w:rStyle w:val="FootnoteReference"/>
        </w:rPr>
        <w:footnoteRef/>
      </w:r>
      <w:r>
        <w:t xml:space="preserve"> </w:t>
      </w:r>
      <w:r>
        <w:tab/>
      </w:r>
      <w:r>
        <w:rPr>
          <w:rFonts w:ascii="Times New Roman" w:hAnsi="Times New Roman"/>
        </w:rPr>
        <w:t>Az EU a foglalkoztatás és a szociális innováció európai uniós programja (EaSI) keretében biztosított 1,8 millió EUR nagyságú finanszírozással járul hozzá a munkahelyi egészségvédelem és biztonság globális ellátási láncban való javítására irányuló projekthez, az ILO Zéró-elképzelés Alapjához (VZF). Továbbá 0,5 millió EUR-val finanszírozza „A munkahelyi egészségvédelemmel és biztonsággal kapcsolatos adatok és ismeretek hiányosságainak globális ellátási láncokban való kiküszöbölése a megosztott felelősség modelljének megerősítése érdekében” elnevezésű projektet. A projekt célja annak biztosítása, hogy rendelkezésre álljanak a munkahelyi egészségvédelemmel és biztonsággal, valamint a globális ellátási láncokkal kapcsolatos hasznosítható ismeretek, támogassák az ágazati, állami és magánszektorbeli érdekeltek döntéshozatalát, továbbá információkkal szolgáljanak az egész ágazatra kiterjedő stratégiák kidolgozásához a legtartósabb munkahelyi egészségvédelmi és biztonsági kihívások fenntartható kezelése érdekében. A projekt elérhető, naprakész, nemekre lebontott adatokat szolgáltat a halálos és nem halálos kimenetelű munkahelyi balesetek, sérülések és betegségek előfordulására vonatkozóan a VZF-projektországokban.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52A91" w14:textId="77777777" w:rsidR="005F6527" w:rsidRPr="005F6527" w:rsidRDefault="005F6527" w:rsidP="005F6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1EAB" w14:textId="77777777" w:rsidR="005F6527" w:rsidRPr="005F6527" w:rsidRDefault="005F6527" w:rsidP="005F652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3E5A" w14:textId="77777777" w:rsidR="005F6527" w:rsidRPr="005F6527" w:rsidRDefault="005F6527" w:rsidP="005F652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FCC5" w14:textId="77777777" w:rsidR="00F0380E" w:rsidRDefault="00F038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6E7E" w14:textId="77777777" w:rsidR="00F0380E" w:rsidRDefault="00F038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8619E" w14:textId="77777777" w:rsidR="00F0380E" w:rsidRDefault="00F03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4049CDE"/>
    <w:lvl w:ilvl="0">
      <w:start w:val="1"/>
      <w:numFmt w:val="decimal"/>
      <w:pStyle w:val="Heading1"/>
      <w:lvlText w:val="%1."/>
      <w:legacy w:legacy="1" w:legacySpace="0" w:legacyIndent="0"/>
      <w:lvlJc w:val="left"/>
      <w:rPr>
        <w:rFonts w:cs="Times New Roman"/>
        <w:b w:val="0"/>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A2617EB"/>
    <w:multiLevelType w:val="hybridMultilevel"/>
    <w:tmpl w:val="21D68C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5D4B73"/>
    <w:multiLevelType w:val="hybridMultilevel"/>
    <w:tmpl w:val="7A48A4B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277339"/>
    <w:multiLevelType w:val="hybridMultilevel"/>
    <w:tmpl w:val="A42E0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1F1BDC"/>
    <w:multiLevelType w:val="hybridMultilevel"/>
    <w:tmpl w:val="4E78E080"/>
    <w:lvl w:ilvl="0" w:tplc="037AC4EC">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17F4D"/>
    <w:multiLevelType w:val="hybridMultilevel"/>
    <w:tmpl w:val="22429C58"/>
    <w:lvl w:ilvl="0" w:tplc="F5A8C230">
      <w:start w:val="1"/>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AF7644"/>
    <w:multiLevelType w:val="hybridMultilevel"/>
    <w:tmpl w:val="55FC3976"/>
    <w:lvl w:ilvl="0" w:tplc="305E0976">
      <w:start w:val="1"/>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67BA3"/>
    <w:multiLevelType w:val="hybridMultilevel"/>
    <w:tmpl w:val="4210DBE2"/>
    <w:lvl w:ilvl="0" w:tplc="E31E98D2">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EE12807"/>
    <w:multiLevelType w:val="hybridMultilevel"/>
    <w:tmpl w:val="AAEA650C"/>
    <w:lvl w:ilvl="0" w:tplc="42EE19AE">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00617DD"/>
    <w:multiLevelType w:val="hybridMultilevel"/>
    <w:tmpl w:val="B708556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1DB4B92"/>
    <w:multiLevelType w:val="hybridMultilevel"/>
    <w:tmpl w:val="72080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93ED8"/>
    <w:multiLevelType w:val="hybridMultilevel"/>
    <w:tmpl w:val="02F60D24"/>
    <w:lvl w:ilvl="0" w:tplc="4D529D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C8B5E68"/>
    <w:multiLevelType w:val="hybridMultilevel"/>
    <w:tmpl w:val="F4FE75EC"/>
    <w:lvl w:ilvl="0" w:tplc="B4D2548C">
      <w:start w:val="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0328B7"/>
    <w:multiLevelType w:val="hybridMultilevel"/>
    <w:tmpl w:val="3AF08F54"/>
    <w:lvl w:ilvl="0" w:tplc="E58228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A4EE3"/>
    <w:multiLevelType w:val="hybridMultilevel"/>
    <w:tmpl w:val="915CF900"/>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39D3060"/>
    <w:multiLevelType w:val="hybridMultilevel"/>
    <w:tmpl w:val="3F88979E"/>
    <w:lvl w:ilvl="0" w:tplc="96B66FFA">
      <w:start w:val="1"/>
      <w:numFmt w:val="lowerLetter"/>
      <w:lvlText w:val="%1)"/>
      <w:lvlJc w:val="left"/>
      <w:pPr>
        <w:ind w:left="317" w:hanging="360"/>
      </w:pPr>
      <w:rPr>
        <w:rFonts w:hint="default"/>
      </w:rPr>
    </w:lvl>
    <w:lvl w:ilvl="1" w:tplc="18090019" w:tentative="1">
      <w:start w:val="1"/>
      <w:numFmt w:val="lowerLetter"/>
      <w:lvlText w:val="%2."/>
      <w:lvlJc w:val="left"/>
      <w:pPr>
        <w:ind w:left="1037" w:hanging="360"/>
      </w:pPr>
    </w:lvl>
    <w:lvl w:ilvl="2" w:tplc="1809001B" w:tentative="1">
      <w:start w:val="1"/>
      <w:numFmt w:val="lowerRoman"/>
      <w:lvlText w:val="%3."/>
      <w:lvlJc w:val="right"/>
      <w:pPr>
        <w:ind w:left="1757" w:hanging="180"/>
      </w:pPr>
    </w:lvl>
    <w:lvl w:ilvl="3" w:tplc="1809000F" w:tentative="1">
      <w:start w:val="1"/>
      <w:numFmt w:val="decimal"/>
      <w:lvlText w:val="%4."/>
      <w:lvlJc w:val="left"/>
      <w:pPr>
        <w:ind w:left="2477" w:hanging="360"/>
      </w:pPr>
    </w:lvl>
    <w:lvl w:ilvl="4" w:tplc="18090019" w:tentative="1">
      <w:start w:val="1"/>
      <w:numFmt w:val="lowerLetter"/>
      <w:lvlText w:val="%5."/>
      <w:lvlJc w:val="left"/>
      <w:pPr>
        <w:ind w:left="3197" w:hanging="360"/>
      </w:pPr>
    </w:lvl>
    <w:lvl w:ilvl="5" w:tplc="1809001B" w:tentative="1">
      <w:start w:val="1"/>
      <w:numFmt w:val="lowerRoman"/>
      <w:lvlText w:val="%6."/>
      <w:lvlJc w:val="right"/>
      <w:pPr>
        <w:ind w:left="3917" w:hanging="180"/>
      </w:pPr>
    </w:lvl>
    <w:lvl w:ilvl="6" w:tplc="1809000F" w:tentative="1">
      <w:start w:val="1"/>
      <w:numFmt w:val="decimal"/>
      <w:lvlText w:val="%7."/>
      <w:lvlJc w:val="left"/>
      <w:pPr>
        <w:ind w:left="4637" w:hanging="360"/>
      </w:pPr>
    </w:lvl>
    <w:lvl w:ilvl="7" w:tplc="18090019" w:tentative="1">
      <w:start w:val="1"/>
      <w:numFmt w:val="lowerLetter"/>
      <w:lvlText w:val="%8."/>
      <w:lvlJc w:val="left"/>
      <w:pPr>
        <w:ind w:left="5357" w:hanging="360"/>
      </w:pPr>
    </w:lvl>
    <w:lvl w:ilvl="8" w:tplc="1809001B" w:tentative="1">
      <w:start w:val="1"/>
      <w:numFmt w:val="lowerRoman"/>
      <w:lvlText w:val="%9."/>
      <w:lvlJc w:val="right"/>
      <w:pPr>
        <w:ind w:left="6077" w:hanging="180"/>
      </w:pPr>
    </w:lvl>
  </w:abstractNum>
  <w:abstractNum w:abstractNumId="16" w15:restartNumberingAfterBreak="0">
    <w:nsid w:val="448D1679"/>
    <w:multiLevelType w:val="hybridMultilevel"/>
    <w:tmpl w:val="69D20724"/>
    <w:lvl w:ilvl="0" w:tplc="C2A0044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0465A"/>
    <w:multiLevelType w:val="hybridMultilevel"/>
    <w:tmpl w:val="C0120C5E"/>
    <w:lvl w:ilvl="0" w:tplc="7F80CE38">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02365D"/>
    <w:multiLevelType w:val="hybridMultilevel"/>
    <w:tmpl w:val="23EEEA44"/>
    <w:lvl w:ilvl="0" w:tplc="E58228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A503E2"/>
    <w:multiLevelType w:val="hybridMultilevel"/>
    <w:tmpl w:val="3CF4B28E"/>
    <w:lvl w:ilvl="0" w:tplc="D2A454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58B70AA"/>
    <w:multiLevelType w:val="hybridMultilevel"/>
    <w:tmpl w:val="2474D18E"/>
    <w:lvl w:ilvl="0" w:tplc="08090001">
      <w:start w:val="1"/>
      <w:numFmt w:val="bullet"/>
      <w:lvlText w:val=""/>
      <w:lvlJc w:val="left"/>
      <w:pPr>
        <w:ind w:left="720" w:hanging="360"/>
      </w:pPr>
      <w:rPr>
        <w:rFonts w:ascii="Symbol" w:hAnsi="Symbol" w:hint="default"/>
      </w:rPr>
    </w:lvl>
    <w:lvl w:ilvl="1" w:tplc="AAA03134">
      <w:numFmt w:val="bullet"/>
      <w:lvlText w:val="—"/>
      <w:lvlJc w:val="left"/>
      <w:pPr>
        <w:ind w:left="1440" w:hanging="36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A90158"/>
    <w:multiLevelType w:val="hybridMultilevel"/>
    <w:tmpl w:val="BC744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B964BC"/>
    <w:multiLevelType w:val="hybridMultilevel"/>
    <w:tmpl w:val="C748B334"/>
    <w:lvl w:ilvl="0" w:tplc="305E0976">
      <w:start w:val="1"/>
      <w:numFmt w:val="bullet"/>
      <w:lvlText w:val="-"/>
      <w:lvlJc w:val="left"/>
      <w:pPr>
        <w:ind w:left="1080" w:hanging="360"/>
      </w:pPr>
      <w:rPr>
        <w:rFonts w:ascii="Times New Roman" w:eastAsiaTheme="minorHAnsi"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107AB4"/>
    <w:multiLevelType w:val="hybridMultilevel"/>
    <w:tmpl w:val="5F5CDC50"/>
    <w:lvl w:ilvl="0" w:tplc="EFE853F6">
      <w:numFmt w:val="bullet"/>
      <w:lvlText w:val="-"/>
      <w:lvlJc w:val="left"/>
      <w:pPr>
        <w:ind w:left="360" w:hanging="360"/>
      </w:pPr>
      <w:rPr>
        <w:rFonts w:ascii="Calibri" w:eastAsia="Times New Roman" w:hAnsi="Calibri" w:cs="Calibri" w:hint="default"/>
      </w:rPr>
    </w:lvl>
    <w:lvl w:ilvl="1" w:tplc="EFE853F6">
      <w:numFmt w:val="bullet"/>
      <w:lvlText w:val="-"/>
      <w:lvlJc w:val="left"/>
      <w:pPr>
        <w:ind w:left="1080" w:hanging="360"/>
      </w:pPr>
      <w:rPr>
        <w:rFonts w:ascii="Calibri" w:eastAsia="Times New Roman" w:hAnsi="Calibri" w:cs="Calibr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9E74A0C"/>
    <w:multiLevelType w:val="hybridMultilevel"/>
    <w:tmpl w:val="D6064018"/>
    <w:lvl w:ilvl="0" w:tplc="57D884A2">
      <w:start w:val="2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5960A1F"/>
    <w:multiLevelType w:val="hybridMultilevel"/>
    <w:tmpl w:val="62689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6023869"/>
    <w:multiLevelType w:val="hybridMultilevel"/>
    <w:tmpl w:val="C740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C42858"/>
    <w:multiLevelType w:val="hybridMultilevel"/>
    <w:tmpl w:val="89FE5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3716E"/>
    <w:multiLevelType w:val="hybridMultilevel"/>
    <w:tmpl w:val="C880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505F2"/>
    <w:multiLevelType w:val="multilevel"/>
    <w:tmpl w:val="70D8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82763C"/>
    <w:multiLevelType w:val="hybridMultilevel"/>
    <w:tmpl w:val="6C74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DD2184"/>
    <w:multiLevelType w:val="hybridMultilevel"/>
    <w:tmpl w:val="75D042C4"/>
    <w:lvl w:ilvl="0" w:tplc="0409000B">
      <w:start w:val="1"/>
      <w:numFmt w:val="bullet"/>
      <w:lvlText w:val=""/>
      <w:lvlJc w:val="left"/>
      <w:rPr>
        <w:rFonts w:ascii="Wingdings" w:hAnsi="Wingdings" w:hint="default"/>
        <w:color w:val="C4591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2F1238"/>
    <w:multiLevelType w:val="hybridMultilevel"/>
    <w:tmpl w:val="EF701DEC"/>
    <w:lvl w:ilvl="0" w:tplc="9F34333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C0D03"/>
    <w:multiLevelType w:val="hybridMultilevel"/>
    <w:tmpl w:val="5172D6AA"/>
    <w:lvl w:ilvl="0" w:tplc="1E3674E0">
      <w:start w:val="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A07422"/>
    <w:multiLevelType w:val="hybridMultilevel"/>
    <w:tmpl w:val="3C085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3"/>
  </w:num>
  <w:num w:numId="3">
    <w:abstractNumId w:val="0"/>
  </w:num>
  <w:num w:numId="4">
    <w:abstractNumId w:val="32"/>
  </w:num>
  <w:num w:numId="5">
    <w:abstractNumId w:val="16"/>
  </w:num>
  <w:num w:numId="6">
    <w:abstractNumId w:val="19"/>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4"/>
  </w:num>
  <w:num w:numId="10">
    <w:abstractNumId w:val="13"/>
  </w:num>
  <w:num w:numId="11">
    <w:abstractNumId w:val="6"/>
  </w:num>
  <w:num w:numId="12">
    <w:abstractNumId w:val="4"/>
  </w:num>
  <w:num w:numId="13">
    <w:abstractNumId w:val="21"/>
  </w:num>
  <w:num w:numId="14">
    <w:abstractNumId w:val="7"/>
  </w:num>
  <w:num w:numId="15">
    <w:abstractNumId w:val="30"/>
  </w:num>
  <w:num w:numId="16">
    <w:abstractNumId w:val="26"/>
  </w:num>
  <w:num w:numId="17">
    <w:abstractNumId w:val="22"/>
  </w:num>
  <w:num w:numId="18">
    <w:abstractNumId w:val="3"/>
  </w:num>
  <w:num w:numId="19">
    <w:abstractNumId w:val="10"/>
  </w:num>
  <w:num w:numId="20">
    <w:abstractNumId w:val="27"/>
  </w:num>
  <w:num w:numId="21">
    <w:abstractNumId w:val="31"/>
  </w:num>
  <w:num w:numId="22">
    <w:abstractNumId w:val="8"/>
  </w:num>
  <w:num w:numId="23">
    <w:abstractNumId w:val="11"/>
  </w:num>
  <w:num w:numId="24">
    <w:abstractNumId w:val="1"/>
  </w:num>
  <w:num w:numId="25">
    <w:abstractNumId w:val="24"/>
  </w:num>
  <w:num w:numId="26">
    <w:abstractNumId w:val="17"/>
  </w:num>
  <w:num w:numId="27">
    <w:abstractNumId w:val="20"/>
  </w:num>
  <w:num w:numId="28">
    <w:abstractNumId w:val="33"/>
  </w:num>
  <w:num w:numId="29">
    <w:abstractNumId w:val="12"/>
  </w:num>
  <w:num w:numId="30">
    <w:abstractNumId w:val="2"/>
  </w:num>
  <w:num w:numId="31">
    <w:abstractNumId w:val="5"/>
  </w:num>
  <w:num w:numId="32">
    <w:abstractNumId w:val="9"/>
  </w:num>
  <w:num w:numId="33">
    <w:abstractNumId w:val="29"/>
  </w:num>
  <w:num w:numId="34">
    <w:abstractNumId w:val="15"/>
  </w:num>
  <w:num w:numId="35">
    <w:abstractNumId w:val="3"/>
  </w:num>
  <w:num w:numId="36">
    <w:abstractNumId w:val="28"/>
  </w:num>
  <w:num w:numId="3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pt-PT" w:vendorID="64" w:dllVersion="6" w:nlCheck="1" w:checkStyle="0"/>
  <w:activeWritingStyle w:appName="MSWord" w:lang="en-IE" w:vendorID="64" w:dllVersion="6" w:nlCheck="1" w:checkStyle="1"/>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s-ES" w:vendorID="64" w:dllVersion="6" w:nlCheck="1" w:checkStyle="0"/>
  <w:activeWritingStyle w:appName="MSWord" w:lang="de-DE" w:vendorID="64" w:dllVersion="6" w:nlCheck="1" w:checkStyle="0"/>
  <w:activeWritingStyle w:appName="MSWord" w:lang="nl-BE" w:vendorID="64" w:dllVersion="6" w:nlCheck="1" w:checkStyle="0"/>
  <w:activeWritingStyle w:appName="MSWord" w:lang="it-IT" w:vendorID="64" w:dllVersion="6" w:nlCheck="1" w:checkStyle="0"/>
  <w:activeWritingStyle w:appName="MSWord" w:lang="es-ES_tradnl"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pt-PT" w:vendorID="64" w:dllVersion="0" w:nlCheck="1" w:checkStyle="0"/>
  <w:activeWritingStyle w:appName="MSWord" w:lang="es-ES_tradnl" w:vendorID="64" w:dllVersion="0" w:nlCheck="1" w:checkStyle="0"/>
  <w:activeWritingStyle w:appName="MSWord" w:lang="de-DE" w:vendorID="64" w:dllVersion="0" w:nlCheck="1" w:checkStyle="0"/>
  <w:activeWritingStyle w:appName="MSWord" w:lang="es-ES" w:vendorID="64" w:dllVersion="0" w:nlCheck="1" w:checkStyle="0"/>
  <w:activeWritingStyle w:appName="MSWord" w:lang="fr-FR" w:vendorID="64" w:dllVersion="6" w:nlCheck="1" w:checkStyle="0"/>
  <w:activeWritingStyle w:appName="MSWord" w:lang="fr-FR" w:vendorID="64" w:dllVersion="0" w:nlCheck="1" w:checkStyle="0"/>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188C6B8A-063F-43AB-9C1D-47B3EA821412"/>
    <w:docVar w:name="LW_COVERPAGE_TYPE" w:val="1"/>
    <w:docVar w:name="LW_CROSSREFERENCE" w:val="&lt;UNUSED&gt;"/>
    <w:docVar w:name="LW_DocType" w:val="NORMAL"/>
    <w:docVar w:name="LW_EMISSION" w:val="2022.9.28."/>
    <w:docVar w:name="LW_EMISSION_ISODATE" w:val="2022-09-28"/>
    <w:docVar w:name="LW_EMISSION_LOCATION" w:val="BRX"/>
    <w:docVar w:name="LW_EMISSION_PREFIX" w:val="Brüsszel, "/>
    <w:docVar w:name="LW_EMISSION_SUFFIX" w:val=" "/>
    <w:docVar w:name="LW_ID_DOCTYPE_NONLW" w:val="CP-014"/>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2) 4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z azbesztmentes jövő megvalósítása: európai megközelítés az azbeszt egészségügyi kockázatainak kezelésére&lt;/FMT&gt;"/>
    <w:docVar w:name="LW_TYPE.DOC.CP" w:val="A BIZOTTSÁG KÖZLEMÉNYE AZ EURÓPAI PARLAMENTNEK, A TANÁCSNAK, AZ EURÓPAI GAZDASÁGI ÉS SZOCIÁLIS BIZOTTSÁGNAK ÉS A RÉGIÓK BIZOTTSÁGÁNAK"/>
    <w:docVar w:name="LW_TYPE.DOC.CP.USERTEXT" w:val="&lt;EMPTY&gt;"/>
    <w:docVar w:name="LwApiVersions" w:val="LW4CoDe 1.23.2.0; LW 8.0, Build 20211117"/>
  </w:docVars>
  <w:rsids>
    <w:rsidRoot w:val="00B2797C"/>
    <w:rsid w:val="0000314C"/>
    <w:rsid w:val="0000439C"/>
    <w:rsid w:val="00005CB8"/>
    <w:rsid w:val="00005E32"/>
    <w:rsid w:val="000073A8"/>
    <w:rsid w:val="00007D7D"/>
    <w:rsid w:val="00012895"/>
    <w:rsid w:val="000148DF"/>
    <w:rsid w:val="000155CB"/>
    <w:rsid w:val="00017552"/>
    <w:rsid w:val="0002162C"/>
    <w:rsid w:val="0002172E"/>
    <w:rsid w:val="00022B0A"/>
    <w:rsid w:val="00022E18"/>
    <w:rsid w:val="00023147"/>
    <w:rsid w:val="00023A5A"/>
    <w:rsid w:val="00024627"/>
    <w:rsid w:val="00024C30"/>
    <w:rsid w:val="00026FB0"/>
    <w:rsid w:val="0002768D"/>
    <w:rsid w:val="000307F1"/>
    <w:rsid w:val="0003094E"/>
    <w:rsid w:val="00030D8F"/>
    <w:rsid w:val="000316F8"/>
    <w:rsid w:val="00035F96"/>
    <w:rsid w:val="0003722C"/>
    <w:rsid w:val="0003791B"/>
    <w:rsid w:val="00040CC1"/>
    <w:rsid w:val="00041300"/>
    <w:rsid w:val="00041D9F"/>
    <w:rsid w:val="00044103"/>
    <w:rsid w:val="00044304"/>
    <w:rsid w:val="0004502B"/>
    <w:rsid w:val="000463AF"/>
    <w:rsid w:val="000463D1"/>
    <w:rsid w:val="00046509"/>
    <w:rsid w:val="000503E3"/>
    <w:rsid w:val="00053363"/>
    <w:rsid w:val="00054312"/>
    <w:rsid w:val="0005599A"/>
    <w:rsid w:val="00055FD6"/>
    <w:rsid w:val="00060B6D"/>
    <w:rsid w:val="00060DBA"/>
    <w:rsid w:val="00060E3A"/>
    <w:rsid w:val="000617F8"/>
    <w:rsid w:val="00061899"/>
    <w:rsid w:val="00062A75"/>
    <w:rsid w:val="0006301B"/>
    <w:rsid w:val="000630FD"/>
    <w:rsid w:val="00063F64"/>
    <w:rsid w:val="00064034"/>
    <w:rsid w:val="00066AEF"/>
    <w:rsid w:val="000676B7"/>
    <w:rsid w:val="00070F2C"/>
    <w:rsid w:val="0007150F"/>
    <w:rsid w:val="00071C76"/>
    <w:rsid w:val="000722A6"/>
    <w:rsid w:val="00072E72"/>
    <w:rsid w:val="00073535"/>
    <w:rsid w:val="00073F52"/>
    <w:rsid w:val="00074D4D"/>
    <w:rsid w:val="0007607E"/>
    <w:rsid w:val="000775F2"/>
    <w:rsid w:val="0008042D"/>
    <w:rsid w:val="00080A0D"/>
    <w:rsid w:val="00080F7D"/>
    <w:rsid w:val="00082B59"/>
    <w:rsid w:val="00082D61"/>
    <w:rsid w:val="000837BB"/>
    <w:rsid w:val="000839D5"/>
    <w:rsid w:val="00084FA1"/>
    <w:rsid w:val="0008570E"/>
    <w:rsid w:val="00090ACB"/>
    <w:rsid w:val="00090C31"/>
    <w:rsid w:val="000913E6"/>
    <w:rsid w:val="00092EEF"/>
    <w:rsid w:val="00092FE4"/>
    <w:rsid w:val="00093C73"/>
    <w:rsid w:val="00095546"/>
    <w:rsid w:val="00096D48"/>
    <w:rsid w:val="000A03CF"/>
    <w:rsid w:val="000A1F46"/>
    <w:rsid w:val="000A3D3C"/>
    <w:rsid w:val="000A5A16"/>
    <w:rsid w:val="000A618E"/>
    <w:rsid w:val="000B0AC2"/>
    <w:rsid w:val="000B2CFB"/>
    <w:rsid w:val="000B35AF"/>
    <w:rsid w:val="000B3926"/>
    <w:rsid w:val="000B426F"/>
    <w:rsid w:val="000B6634"/>
    <w:rsid w:val="000B6FEB"/>
    <w:rsid w:val="000C0D62"/>
    <w:rsid w:val="000C141A"/>
    <w:rsid w:val="000C1CA1"/>
    <w:rsid w:val="000C2925"/>
    <w:rsid w:val="000C3717"/>
    <w:rsid w:val="000C43BE"/>
    <w:rsid w:val="000C479D"/>
    <w:rsid w:val="000C49B7"/>
    <w:rsid w:val="000C5E44"/>
    <w:rsid w:val="000C72BB"/>
    <w:rsid w:val="000C73A4"/>
    <w:rsid w:val="000D121B"/>
    <w:rsid w:val="000D1C9A"/>
    <w:rsid w:val="000D2D33"/>
    <w:rsid w:val="000D376E"/>
    <w:rsid w:val="000D4473"/>
    <w:rsid w:val="000D4FEB"/>
    <w:rsid w:val="000D581C"/>
    <w:rsid w:val="000D5FBA"/>
    <w:rsid w:val="000D6CDC"/>
    <w:rsid w:val="000D6FF0"/>
    <w:rsid w:val="000D7D46"/>
    <w:rsid w:val="000E0D6D"/>
    <w:rsid w:val="000E158D"/>
    <w:rsid w:val="000E4098"/>
    <w:rsid w:val="000E440C"/>
    <w:rsid w:val="000E46A4"/>
    <w:rsid w:val="000E5A79"/>
    <w:rsid w:val="000E62B3"/>
    <w:rsid w:val="000F0512"/>
    <w:rsid w:val="000F06E4"/>
    <w:rsid w:val="000F195F"/>
    <w:rsid w:val="000F3931"/>
    <w:rsid w:val="000F434F"/>
    <w:rsid w:val="000F5337"/>
    <w:rsid w:val="000F6B7A"/>
    <w:rsid w:val="000F7400"/>
    <w:rsid w:val="000F7DAC"/>
    <w:rsid w:val="00101629"/>
    <w:rsid w:val="001025FA"/>
    <w:rsid w:val="001039FB"/>
    <w:rsid w:val="00104F88"/>
    <w:rsid w:val="001052B6"/>
    <w:rsid w:val="00105465"/>
    <w:rsid w:val="00105CDF"/>
    <w:rsid w:val="001106A4"/>
    <w:rsid w:val="00111738"/>
    <w:rsid w:val="00111A13"/>
    <w:rsid w:val="00111DE6"/>
    <w:rsid w:val="0011465C"/>
    <w:rsid w:val="00114871"/>
    <w:rsid w:val="00120C55"/>
    <w:rsid w:val="00123018"/>
    <w:rsid w:val="0012375C"/>
    <w:rsid w:val="00124902"/>
    <w:rsid w:val="00124AB2"/>
    <w:rsid w:val="00124BAA"/>
    <w:rsid w:val="00125FCC"/>
    <w:rsid w:val="00126321"/>
    <w:rsid w:val="001266D1"/>
    <w:rsid w:val="00126AF3"/>
    <w:rsid w:val="00127B05"/>
    <w:rsid w:val="00130EEE"/>
    <w:rsid w:val="00130F16"/>
    <w:rsid w:val="00131AD9"/>
    <w:rsid w:val="00132655"/>
    <w:rsid w:val="00132A26"/>
    <w:rsid w:val="0013386E"/>
    <w:rsid w:val="0013442F"/>
    <w:rsid w:val="00134C1D"/>
    <w:rsid w:val="00135556"/>
    <w:rsid w:val="00136894"/>
    <w:rsid w:val="00140972"/>
    <w:rsid w:val="00141010"/>
    <w:rsid w:val="001412FA"/>
    <w:rsid w:val="001431E1"/>
    <w:rsid w:val="001447EA"/>
    <w:rsid w:val="00144977"/>
    <w:rsid w:val="00145ACC"/>
    <w:rsid w:val="0014607F"/>
    <w:rsid w:val="001478E4"/>
    <w:rsid w:val="00150003"/>
    <w:rsid w:val="001512F8"/>
    <w:rsid w:val="00151426"/>
    <w:rsid w:val="00151917"/>
    <w:rsid w:val="00151AFA"/>
    <w:rsid w:val="00153312"/>
    <w:rsid w:val="00153553"/>
    <w:rsid w:val="0015369F"/>
    <w:rsid w:val="0015431C"/>
    <w:rsid w:val="00156DA1"/>
    <w:rsid w:val="00156F83"/>
    <w:rsid w:val="001607A2"/>
    <w:rsid w:val="00163F5C"/>
    <w:rsid w:val="00164700"/>
    <w:rsid w:val="00166A57"/>
    <w:rsid w:val="00166AEA"/>
    <w:rsid w:val="001679CD"/>
    <w:rsid w:val="001705E2"/>
    <w:rsid w:val="00171652"/>
    <w:rsid w:val="001737DF"/>
    <w:rsid w:val="00173937"/>
    <w:rsid w:val="00174A60"/>
    <w:rsid w:val="00175CD7"/>
    <w:rsid w:val="001760F5"/>
    <w:rsid w:val="0017659F"/>
    <w:rsid w:val="0017778D"/>
    <w:rsid w:val="001803C4"/>
    <w:rsid w:val="00181139"/>
    <w:rsid w:val="00182BC3"/>
    <w:rsid w:val="00184035"/>
    <w:rsid w:val="00185C95"/>
    <w:rsid w:val="00187DC6"/>
    <w:rsid w:val="001910C6"/>
    <w:rsid w:val="00192984"/>
    <w:rsid w:val="001961CD"/>
    <w:rsid w:val="001969DB"/>
    <w:rsid w:val="00196CCC"/>
    <w:rsid w:val="00197CA7"/>
    <w:rsid w:val="00197D95"/>
    <w:rsid w:val="001A0E82"/>
    <w:rsid w:val="001A40F3"/>
    <w:rsid w:val="001A4CDB"/>
    <w:rsid w:val="001A4F4A"/>
    <w:rsid w:val="001A5958"/>
    <w:rsid w:val="001A59DB"/>
    <w:rsid w:val="001A5D28"/>
    <w:rsid w:val="001A6BD3"/>
    <w:rsid w:val="001B0AD9"/>
    <w:rsid w:val="001B3207"/>
    <w:rsid w:val="001B5645"/>
    <w:rsid w:val="001B6B3E"/>
    <w:rsid w:val="001B6C66"/>
    <w:rsid w:val="001C1806"/>
    <w:rsid w:val="001C2563"/>
    <w:rsid w:val="001C29B3"/>
    <w:rsid w:val="001C2A7A"/>
    <w:rsid w:val="001C5D21"/>
    <w:rsid w:val="001C79E9"/>
    <w:rsid w:val="001C7A4F"/>
    <w:rsid w:val="001D47A1"/>
    <w:rsid w:val="001D76B9"/>
    <w:rsid w:val="001D77A7"/>
    <w:rsid w:val="001D7A3F"/>
    <w:rsid w:val="001E1B4F"/>
    <w:rsid w:val="001E1F09"/>
    <w:rsid w:val="001E3C4D"/>
    <w:rsid w:val="001E3D2A"/>
    <w:rsid w:val="001E52B9"/>
    <w:rsid w:val="001E585D"/>
    <w:rsid w:val="001E5C4E"/>
    <w:rsid w:val="001E639F"/>
    <w:rsid w:val="001E68ED"/>
    <w:rsid w:val="001E6CE8"/>
    <w:rsid w:val="001E7D3C"/>
    <w:rsid w:val="001F0856"/>
    <w:rsid w:val="001F2597"/>
    <w:rsid w:val="001F2714"/>
    <w:rsid w:val="001F2AF5"/>
    <w:rsid w:val="001F2B90"/>
    <w:rsid w:val="001F31FA"/>
    <w:rsid w:val="001F478F"/>
    <w:rsid w:val="001F4B26"/>
    <w:rsid w:val="001F5778"/>
    <w:rsid w:val="001F6AA0"/>
    <w:rsid w:val="001F7087"/>
    <w:rsid w:val="001F7647"/>
    <w:rsid w:val="002003FD"/>
    <w:rsid w:val="0020046B"/>
    <w:rsid w:val="00200C45"/>
    <w:rsid w:val="00204CBF"/>
    <w:rsid w:val="00206078"/>
    <w:rsid w:val="002065B2"/>
    <w:rsid w:val="0021082F"/>
    <w:rsid w:val="00210852"/>
    <w:rsid w:val="00212A2A"/>
    <w:rsid w:val="00212D5E"/>
    <w:rsid w:val="00213467"/>
    <w:rsid w:val="0021363D"/>
    <w:rsid w:val="00213FFB"/>
    <w:rsid w:val="00214131"/>
    <w:rsid w:val="002141E7"/>
    <w:rsid w:val="00214589"/>
    <w:rsid w:val="002157F6"/>
    <w:rsid w:val="00220F19"/>
    <w:rsid w:val="00221EF7"/>
    <w:rsid w:val="00224D52"/>
    <w:rsid w:val="002267ED"/>
    <w:rsid w:val="00226D49"/>
    <w:rsid w:val="00227712"/>
    <w:rsid w:val="0023129B"/>
    <w:rsid w:val="002315BC"/>
    <w:rsid w:val="00231AAC"/>
    <w:rsid w:val="00231ABB"/>
    <w:rsid w:val="00233142"/>
    <w:rsid w:val="00233B6B"/>
    <w:rsid w:val="00233B97"/>
    <w:rsid w:val="00233C95"/>
    <w:rsid w:val="00233E7D"/>
    <w:rsid w:val="00235385"/>
    <w:rsid w:val="0023771A"/>
    <w:rsid w:val="00240D72"/>
    <w:rsid w:val="0024251A"/>
    <w:rsid w:val="002425F2"/>
    <w:rsid w:val="002436AA"/>
    <w:rsid w:val="0024370A"/>
    <w:rsid w:val="0024421E"/>
    <w:rsid w:val="002459CD"/>
    <w:rsid w:val="00245D10"/>
    <w:rsid w:val="00246315"/>
    <w:rsid w:val="002463E2"/>
    <w:rsid w:val="00246708"/>
    <w:rsid w:val="00246A01"/>
    <w:rsid w:val="002477C9"/>
    <w:rsid w:val="00250653"/>
    <w:rsid w:val="00251C61"/>
    <w:rsid w:val="002527A0"/>
    <w:rsid w:val="00252D75"/>
    <w:rsid w:val="00254DDD"/>
    <w:rsid w:val="00257A3D"/>
    <w:rsid w:val="00257CA2"/>
    <w:rsid w:val="0026015A"/>
    <w:rsid w:val="00260550"/>
    <w:rsid w:val="002606B4"/>
    <w:rsid w:val="00261861"/>
    <w:rsid w:val="002619EB"/>
    <w:rsid w:val="00262B54"/>
    <w:rsid w:val="0026313B"/>
    <w:rsid w:val="00264246"/>
    <w:rsid w:val="00264985"/>
    <w:rsid w:val="00265234"/>
    <w:rsid w:val="00267A05"/>
    <w:rsid w:val="00267D95"/>
    <w:rsid w:val="002707FD"/>
    <w:rsid w:val="00270CAE"/>
    <w:rsid w:val="00271E89"/>
    <w:rsid w:val="00272A01"/>
    <w:rsid w:val="00275FDE"/>
    <w:rsid w:val="0028019E"/>
    <w:rsid w:val="002804BD"/>
    <w:rsid w:val="0028158B"/>
    <w:rsid w:val="00281E18"/>
    <w:rsid w:val="00282EFB"/>
    <w:rsid w:val="00283D21"/>
    <w:rsid w:val="00284777"/>
    <w:rsid w:val="00284F62"/>
    <w:rsid w:val="00286076"/>
    <w:rsid w:val="00286E3B"/>
    <w:rsid w:val="0029031D"/>
    <w:rsid w:val="00291F2B"/>
    <w:rsid w:val="002A1A8D"/>
    <w:rsid w:val="002A1E3D"/>
    <w:rsid w:val="002A38E2"/>
    <w:rsid w:val="002A43FB"/>
    <w:rsid w:val="002A4B05"/>
    <w:rsid w:val="002A7254"/>
    <w:rsid w:val="002B0C26"/>
    <w:rsid w:val="002B0EF3"/>
    <w:rsid w:val="002B113A"/>
    <w:rsid w:val="002B2E17"/>
    <w:rsid w:val="002B3EF8"/>
    <w:rsid w:val="002B48B1"/>
    <w:rsid w:val="002B4A6F"/>
    <w:rsid w:val="002B605B"/>
    <w:rsid w:val="002B6ADF"/>
    <w:rsid w:val="002B6D9B"/>
    <w:rsid w:val="002B6FFE"/>
    <w:rsid w:val="002C04BF"/>
    <w:rsid w:val="002C0857"/>
    <w:rsid w:val="002C0A5D"/>
    <w:rsid w:val="002C0DE1"/>
    <w:rsid w:val="002C2428"/>
    <w:rsid w:val="002C27F8"/>
    <w:rsid w:val="002D11B3"/>
    <w:rsid w:val="002D518A"/>
    <w:rsid w:val="002D61BF"/>
    <w:rsid w:val="002D6296"/>
    <w:rsid w:val="002E0071"/>
    <w:rsid w:val="002E00D4"/>
    <w:rsid w:val="002E0C1C"/>
    <w:rsid w:val="002E1983"/>
    <w:rsid w:val="002E198B"/>
    <w:rsid w:val="002E26E2"/>
    <w:rsid w:val="002E4717"/>
    <w:rsid w:val="002E7260"/>
    <w:rsid w:val="002F1938"/>
    <w:rsid w:val="002F1B80"/>
    <w:rsid w:val="002F1D14"/>
    <w:rsid w:val="002F2158"/>
    <w:rsid w:val="002F326B"/>
    <w:rsid w:val="002F3799"/>
    <w:rsid w:val="002F659A"/>
    <w:rsid w:val="002F6A73"/>
    <w:rsid w:val="002F7A76"/>
    <w:rsid w:val="003004C9"/>
    <w:rsid w:val="0030088A"/>
    <w:rsid w:val="0030147D"/>
    <w:rsid w:val="003023A4"/>
    <w:rsid w:val="00303331"/>
    <w:rsid w:val="003050B8"/>
    <w:rsid w:val="00305812"/>
    <w:rsid w:val="00306102"/>
    <w:rsid w:val="003066BC"/>
    <w:rsid w:val="00307DCF"/>
    <w:rsid w:val="0031075C"/>
    <w:rsid w:val="00313AD2"/>
    <w:rsid w:val="003150FD"/>
    <w:rsid w:val="00316BFC"/>
    <w:rsid w:val="00320062"/>
    <w:rsid w:val="003200CB"/>
    <w:rsid w:val="00321050"/>
    <w:rsid w:val="00321A6D"/>
    <w:rsid w:val="00321B46"/>
    <w:rsid w:val="00324BB0"/>
    <w:rsid w:val="003255F4"/>
    <w:rsid w:val="00330846"/>
    <w:rsid w:val="00331201"/>
    <w:rsid w:val="00333B8E"/>
    <w:rsid w:val="00335E3E"/>
    <w:rsid w:val="00337DCC"/>
    <w:rsid w:val="0034064F"/>
    <w:rsid w:val="00341618"/>
    <w:rsid w:val="00341930"/>
    <w:rsid w:val="00341986"/>
    <w:rsid w:val="0034214E"/>
    <w:rsid w:val="00342A9B"/>
    <w:rsid w:val="003441AA"/>
    <w:rsid w:val="003446C9"/>
    <w:rsid w:val="00344902"/>
    <w:rsid w:val="0034509D"/>
    <w:rsid w:val="00345667"/>
    <w:rsid w:val="00347356"/>
    <w:rsid w:val="003501FE"/>
    <w:rsid w:val="003507B3"/>
    <w:rsid w:val="003509D8"/>
    <w:rsid w:val="00350A77"/>
    <w:rsid w:val="00350B01"/>
    <w:rsid w:val="003511E5"/>
    <w:rsid w:val="00351A4C"/>
    <w:rsid w:val="00352E61"/>
    <w:rsid w:val="0035339E"/>
    <w:rsid w:val="00353591"/>
    <w:rsid w:val="00355138"/>
    <w:rsid w:val="003551F2"/>
    <w:rsid w:val="00356C9C"/>
    <w:rsid w:val="003572B3"/>
    <w:rsid w:val="003577B3"/>
    <w:rsid w:val="00360873"/>
    <w:rsid w:val="00360EB7"/>
    <w:rsid w:val="0036407E"/>
    <w:rsid w:val="00365D64"/>
    <w:rsid w:val="00366087"/>
    <w:rsid w:val="00366999"/>
    <w:rsid w:val="0036796B"/>
    <w:rsid w:val="00367D77"/>
    <w:rsid w:val="00367FC2"/>
    <w:rsid w:val="0037414A"/>
    <w:rsid w:val="0037495C"/>
    <w:rsid w:val="00375D9E"/>
    <w:rsid w:val="00380E7B"/>
    <w:rsid w:val="0038128B"/>
    <w:rsid w:val="00381E00"/>
    <w:rsid w:val="003829D8"/>
    <w:rsid w:val="00383302"/>
    <w:rsid w:val="00383EBF"/>
    <w:rsid w:val="0038683A"/>
    <w:rsid w:val="00386D28"/>
    <w:rsid w:val="00387358"/>
    <w:rsid w:val="00387C9A"/>
    <w:rsid w:val="00390241"/>
    <w:rsid w:val="00392920"/>
    <w:rsid w:val="00396BC4"/>
    <w:rsid w:val="003A0109"/>
    <w:rsid w:val="003A0210"/>
    <w:rsid w:val="003A3E68"/>
    <w:rsid w:val="003A42D1"/>
    <w:rsid w:val="003A5175"/>
    <w:rsid w:val="003A6163"/>
    <w:rsid w:val="003A7745"/>
    <w:rsid w:val="003B032F"/>
    <w:rsid w:val="003B3334"/>
    <w:rsid w:val="003B5E11"/>
    <w:rsid w:val="003B7379"/>
    <w:rsid w:val="003B7AB7"/>
    <w:rsid w:val="003C010F"/>
    <w:rsid w:val="003C0EAB"/>
    <w:rsid w:val="003C3745"/>
    <w:rsid w:val="003C3D82"/>
    <w:rsid w:val="003C5109"/>
    <w:rsid w:val="003C5AA5"/>
    <w:rsid w:val="003C68C0"/>
    <w:rsid w:val="003C7D82"/>
    <w:rsid w:val="003D11D1"/>
    <w:rsid w:val="003D18BF"/>
    <w:rsid w:val="003D470A"/>
    <w:rsid w:val="003D484F"/>
    <w:rsid w:val="003D50DB"/>
    <w:rsid w:val="003D6485"/>
    <w:rsid w:val="003D67CD"/>
    <w:rsid w:val="003E046C"/>
    <w:rsid w:val="003E09B1"/>
    <w:rsid w:val="003E0FCA"/>
    <w:rsid w:val="003E27EB"/>
    <w:rsid w:val="003E38DB"/>
    <w:rsid w:val="003E49B4"/>
    <w:rsid w:val="003E7215"/>
    <w:rsid w:val="003E7B35"/>
    <w:rsid w:val="003F0759"/>
    <w:rsid w:val="003F0CD1"/>
    <w:rsid w:val="003F14C2"/>
    <w:rsid w:val="003F2078"/>
    <w:rsid w:val="003F2269"/>
    <w:rsid w:val="003F2CEE"/>
    <w:rsid w:val="003F314F"/>
    <w:rsid w:val="003F3AB0"/>
    <w:rsid w:val="003F5447"/>
    <w:rsid w:val="003F72FE"/>
    <w:rsid w:val="0040158A"/>
    <w:rsid w:val="00401764"/>
    <w:rsid w:val="004022A8"/>
    <w:rsid w:val="00402635"/>
    <w:rsid w:val="00403870"/>
    <w:rsid w:val="00403DD2"/>
    <w:rsid w:val="00404BFC"/>
    <w:rsid w:val="00405644"/>
    <w:rsid w:val="0040694B"/>
    <w:rsid w:val="00406C26"/>
    <w:rsid w:val="00407D95"/>
    <w:rsid w:val="004106E8"/>
    <w:rsid w:val="0041201F"/>
    <w:rsid w:val="004200BD"/>
    <w:rsid w:val="004241C7"/>
    <w:rsid w:val="0042745B"/>
    <w:rsid w:val="0042779B"/>
    <w:rsid w:val="00427C71"/>
    <w:rsid w:val="0043076D"/>
    <w:rsid w:val="00430BC9"/>
    <w:rsid w:val="00430E56"/>
    <w:rsid w:val="00431CBA"/>
    <w:rsid w:val="00433058"/>
    <w:rsid w:val="00433867"/>
    <w:rsid w:val="004339BF"/>
    <w:rsid w:val="00433E2B"/>
    <w:rsid w:val="004342C8"/>
    <w:rsid w:val="00435B7D"/>
    <w:rsid w:val="004360C5"/>
    <w:rsid w:val="004371DB"/>
    <w:rsid w:val="00440EB2"/>
    <w:rsid w:val="004441B6"/>
    <w:rsid w:val="004463D1"/>
    <w:rsid w:val="00447811"/>
    <w:rsid w:val="00447B70"/>
    <w:rsid w:val="004523F1"/>
    <w:rsid w:val="00453895"/>
    <w:rsid w:val="004539CD"/>
    <w:rsid w:val="00453D87"/>
    <w:rsid w:val="00454B04"/>
    <w:rsid w:val="00454BDD"/>
    <w:rsid w:val="004576C3"/>
    <w:rsid w:val="00457A1C"/>
    <w:rsid w:val="00457AE3"/>
    <w:rsid w:val="00460856"/>
    <w:rsid w:val="00460D20"/>
    <w:rsid w:val="00461642"/>
    <w:rsid w:val="004639FA"/>
    <w:rsid w:val="00467D4A"/>
    <w:rsid w:val="0047500F"/>
    <w:rsid w:val="00475477"/>
    <w:rsid w:val="004769BE"/>
    <w:rsid w:val="004802A3"/>
    <w:rsid w:val="004812AB"/>
    <w:rsid w:val="004818D2"/>
    <w:rsid w:val="00482CF8"/>
    <w:rsid w:val="0048547D"/>
    <w:rsid w:val="0048627C"/>
    <w:rsid w:val="00486F97"/>
    <w:rsid w:val="004876FA"/>
    <w:rsid w:val="00490F5A"/>
    <w:rsid w:val="00491A36"/>
    <w:rsid w:val="00491DDA"/>
    <w:rsid w:val="00494BC7"/>
    <w:rsid w:val="00494C4E"/>
    <w:rsid w:val="00495137"/>
    <w:rsid w:val="0049628E"/>
    <w:rsid w:val="0049760F"/>
    <w:rsid w:val="004A1D77"/>
    <w:rsid w:val="004A220A"/>
    <w:rsid w:val="004A2803"/>
    <w:rsid w:val="004A2B40"/>
    <w:rsid w:val="004A2EE8"/>
    <w:rsid w:val="004A3635"/>
    <w:rsid w:val="004A367E"/>
    <w:rsid w:val="004A50A2"/>
    <w:rsid w:val="004A5A64"/>
    <w:rsid w:val="004A605B"/>
    <w:rsid w:val="004A627A"/>
    <w:rsid w:val="004A6ADB"/>
    <w:rsid w:val="004B02D7"/>
    <w:rsid w:val="004B2A27"/>
    <w:rsid w:val="004B2F5B"/>
    <w:rsid w:val="004B341C"/>
    <w:rsid w:val="004B3A89"/>
    <w:rsid w:val="004B4FE9"/>
    <w:rsid w:val="004B7577"/>
    <w:rsid w:val="004C1000"/>
    <w:rsid w:val="004C2F86"/>
    <w:rsid w:val="004C314D"/>
    <w:rsid w:val="004C5362"/>
    <w:rsid w:val="004C6062"/>
    <w:rsid w:val="004C6118"/>
    <w:rsid w:val="004C61C1"/>
    <w:rsid w:val="004C6A67"/>
    <w:rsid w:val="004C6CEF"/>
    <w:rsid w:val="004C791D"/>
    <w:rsid w:val="004D02AB"/>
    <w:rsid w:val="004D03CE"/>
    <w:rsid w:val="004D061C"/>
    <w:rsid w:val="004D0D77"/>
    <w:rsid w:val="004D39E3"/>
    <w:rsid w:val="004D6ED2"/>
    <w:rsid w:val="004D7BE3"/>
    <w:rsid w:val="004E069A"/>
    <w:rsid w:val="004E0C55"/>
    <w:rsid w:val="004E17BB"/>
    <w:rsid w:val="004E21A6"/>
    <w:rsid w:val="004E2B89"/>
    <w:rsid w:val="004E3AB2"/>
    <w:rsid w:val="004E53AE"/>
    <w:rsid w:val="004E7208"/>
    <w:rsid w:val="004F0AA8"/>
    <w:rsid w:val="004F0BE0"/>
    <w:rsid w:val="004F4B59"/>
    <w:rsid w:val="004F5389"/>
    <w:rsid w:val="004F6EEB"/>
    <w:rsid w:val="00500937"/>
    <w:rsid w:val="0050130E"/>
    <w:rsid w:val="0050265F"/>
    <w:rsid w:val="0050398F"/>
    <w:rsid w:val="005104E5"/>
    <w:rsid w:val="00513CE1"/>
    <w:rsid w:val="00513D4C"/>
    <w:rsid w:val="00514E52"/>
    <w:rsid w:val="005159CC"/>
    <w:rsid w:val="00517CBB"/>
    <w:rsid w:val="00517E9A"/>
    <w:rsid w:val="00520645"/>
    <w:rsid w:val="005228B6"/>
    <w:rsid w:val="005230B8"/>
    <w:rsid w:val="00524DAB"/>
    <w:rsid w:val="0052606E"/>
    <w:rsid w:val="00526809"/>
    <w:rsid w:val="00530682"/>
    <w:rsid w:val="00531E56"/>
    <w:rsid w:val="00533964"/>
    <w:rsid w:val="00533BD2"/>
    <w:rsid w:val="00535832"/>
    <w:rsid w:val="00536657"/>
    <w:rsid w:val="0054385B"/>
    <w:rsid w:val="00543B04"/>
    <w:rsid w:val="005462B1"/>
    <w:rsid w:val="0054737C"/>
    <w:rsid w:val="00550630"/>
    <w:rsid w:val="0055379C"/>
    <w:rsid w:val="00553DFB"/>
    <w:rsid w:val="00554AC6"/>
    <w:rsid w:val="00555232"/>
    <w:rsid w:val="00555683"/>
    <w:rsid w:val="00555745"/>
    <w:rsid w:val="0055775A"/>
    <w:rsid w:val="0055791F"/>
    <w:rsid w:val="00560913"/>
    <w:rsid w:val="00560F46"/>
    <w:rsid w:val="0056215A"/>
    <w:rsid w:val="005649BF"/>
    <w:rsid w:val="00564DF9"/>
    <w:rsid w:val="005665A0"/>
    <w:rsid w:val="00566BE4"/>
    <w:rsid w:val="00567F3A"/>
    <w:rsid w:val="00570202"/>
    <w:rsid w:val="00570A83"/>
    <w:rsid w:val="00572132"/>
    <w:rsid w:val="00572763"/>
    <w:rsid w:val="00572EC4"/>
    <w:rsid w:val="005733A4"/>
    <w:rsid w:val="00574519"/>
    <w:rsid w:val="0057557E"/>
    <w:rsid w:val="005767CC"/>
    <w:rsid w:val="00577061"/>
    <w:rsid w:val="00577143"/>
    <w:rsid w:val="005778FB"/>
    <w:rsid w:val="00577D67"/>
    <w:rsid w:val="005800D1"/>
    <w:rsid w:val="005827DE"/>
    <w:rsid w:val="00582A54"/>
    <w:rsid w:val="005831C5"/>
    <w:rsid w:val="0058420C"/>
    <w:rsid w:val="00584C3F"/>
    <w:rsid w:val="00585411"/>
    <w:rsid w:val="005857E5"/>
    <w:rsid w:val="00585DEE"/>
    <w:rsid w:val="00586276"/>
    <w:rsid w:val="00586D4F"/>
    <w:rsid w:val="00591725"/>
    <w:rsid w:val="00594A52"/>
    <w:rsid w:val="00595692"/>
    <w:rsid w:val="00597496"/>
    <w:rsid w:val="00597EE2"/>
    <w:rsid w:val="005A06E8"/>
    <w:rsid w:val="005A0AF2"/>
    <w:rsid w:val="005A10FD"/>
    <w:rsid w:val="005A2568"/>
    <w:rsid w:val="005A38AB"/>
    <w:rsid w:val="005A6868"/>
    <w:rsid w:val="005A6FA0"/>
    <w:rsid w:val="005A7241"/>
    <w:rsid w:val="005A740E"/>
    <w:rsid w:val="005A7EB1"/>
    <w:rsid w:val="005B0EDF"/>
    <w:rsid w:val="005B323F"/>
    <w:rsid w:val="005B41A4"/>
    <w:rsid w:val="005B4468"/>
    <w:rsid w:val="005B4B34"/>
    <w:rsid w:val="005B5F8A"/>
    <w:rsid w:val="005C11BD"/>
    <w:rsid w:val="005C4848"/>
    <w:rsid w:val="005C5115"/>
    <w:rsid w:val="005C5410"/>
    <w:rsid w:val="005C59F0"/>
    <w:rsid w:val="005C639A"/>
    <w:rsid w:val="005C7BBD"/>
    <w:rsid w:val="005C7E8E"/>
    <w:rsid w:val="005D0A38"/>
    <w:rsid w:val="005D24A1"/>
    <w:rsid w:val="005D287F"/>
    <w:rsid w:val="005D2A33"/>
    <w:rsid w:val="005D2AD0"/>
    <w:rsid w:val="005D2AF7"/>
    <w:rsid w:val="005D63E0"/>
    <w:rsid w:val="005D668C"/>
    <w:rsid w:val="005E0A1C"/>
    <w:rsid w:val="005E0AB9"/>
    <w:rsid w:val="005E2ABB"/>
    <w:rsid w:val="005E32FB"/>
    <w:rsid w:val="005E45CE"/>
    <w:rsid w:val="005E5092"/>
    <w:rsid w:val="005E5C5A"/>
    <w:rsid w:val="005E6B3D"/>
    <w:rsid w:val="005E7321"/>
    <w:rsid w:val="005E7393"/>
    <w:rsid w:val="005F008C"/>
    <w:rsid w:val="005F1B8C"/>
    <w:rsid w:val="005F29BE"/>
    <w:rsid w:val="005F2EA5"/>
    <w:rsid w:val="005F3171"/>
    <w:rsid w:val="005F3EE7"/>
    <w:rsid w:val="005F404E"/>
    <w:rsid w:val="005F4789"/>
    <w:rsid w:val="005F4F87"/>
    <w:rsid w:val="005F53E7"/>
    <w:rsid w:val="005F5856"/>
    <w:rsid w:val="005F63F5"/>
    <w:rsid w:val="005F6527"/>
    <w:rsid w:val="005F6FFA"/>
    <w:rsid w:val="005F740C"/>
    <w:rsid w:val="005F7D3B"/>
    <w:rsid w:val="005F7E2E"/>
    <w:rsid w:val="00602261"/>
    <w:rsid w:val="00602943"/>
    <w:rsid w:val="00603705"/>
    <w:rsid w:val="0060452D"/>
    <w:rsid w:val="00604604"/>
    <w:rsid w:val="0060498F"/>
    <w:rsid w:val="00605327"/>
    <w:rsid w:val="00605D22"/>
    <w:rsid w:val="006070EE"/>
    <w:rsid w:val="006073FE"/>
    <w:rsid w:val="00614E2D"/>
    <w:rsid w:val="0061525D"/>
    <w:rsid w:val="00615FBD"/>
    <w:rsid w:val="00616441"/>
    <w:rsid w:val="006166D2"/>
    <w:rsid w:val="00617563"/>
    <w:rsid w:val="00620388"/>
    <w:rsid w:val="006205BA"/>
    <w:rsid w:val="00620658"/>
    <w:rsid w:val="00620FD1"/>
    <w:rsid w:val="00621C96"/>
    <w:rsid w:val="00621D84"/>
    <w:rsid w:val="00622539"/>
    <w:rsid w:val="00625369"/>
    <w:rsid w:val="00625D7F"/>
    <w:rsid w:val="00625E7B"/>
    <w:rsid w:val="00627096"/>
    <w:rsid w:val="00627B20"/>
    <w:rsid w:val="00630764"/>
    <w:rsid w:val="00630DFD"/>
    <w:rsid w:val="00632082"/>
    <w:rsid w:val="00632482"/>
    <w:rsid w:val="00633A81"/>
    <w:rsid w:val="00637B74"/>
    <w:rsid w:val="0064082E"/>
    <w:rsid w:val="00640A30"/>
    <w:rsid w:val="00640BD8"/>
    <w:rsid w:val="006412DE"/>
    <w:rsid w:val="0064250E"/>
    <w:rsid w:val="0064275F"/>
    <w:rsid w:val="00642D87"/>
    <w:rsid w:val="00643699"/>
    <w:rsid w:val="00647895"/>
    <w:rsid w:val="0065099F"/>
    <w:rsid w:val="00650B3D"/>
    <w:rsid w:val="00650E9B"/>
    <w:rsid w:val="0065140F"/>
    <w:rsid w:val="00651751"/>
    <w:rsid w:val="00651DCF"/>
    <w:rsid w:val="00654398"/>
    <w:rsid w:val="00656A51"/>
    <w:rsid w:val="006578AC"/>
    <w:rsid w:val="00662B64"/>
    <w:rsid w:val="0066316A"/>
    <w:rsid w:val="00663174"/>
    <w:rsid w:val="00664007"/>
    <w:rsid w:val="00665B44"/>
    <w:rsid w:val="00665B96"/>
    <w:rsid w:val="00666466"/>
    <w:rsid w:val="00666CCE"/>
    <w:rsid w:val="00666E35"/>
    <w:rsid w:val="00671E06"/>
    <w:rsid w:val="006720DB"/>
    <w:rsid w:val="0067728D"/>
    <w:rsid w:val="00680807"/>
    <w:rsid w:val="006817AA"/>
    <w:rsid w:val="00683066"/>
    <w:rsid w:val="00684A6A"/>
    <w:rsid w:val="00684A8B"/>
    <w:rsid w:val="00690EB5"/>
    <w:rsid w:val="00691DAD"/>
    <w:rsid w:val="006926B5"/>
    <w:rsid w:val="00692D4D"/>
    <w:rsid w:val="0069405E"/>
    <w:rsid w:val="00695B5D"/>
    <w:rsid w:val="00696566"/>
    <w:rsid w:val="006A3A85"/>
    <w:rsid w:val="006A616D"/>
    <w:rsid w:val="006A6991"/>
    <w:rsid w:val="006B0E79"/>
    <w:rsid w:val="006B2F2A"/>
    <w:rsid w:val="006B6087"/>
    <w:rsid w:val="006B6100"/>
    <w:rsid w:val="006B6899"/>
    <w:rsid w:val="006B7CBF"/>
    <w:rsid w:val="006C0CDA"/>
    <w:rsid w:val="006C2195"/>
    <w:rsid w:val="006C2DF4"/>
    <w:rsid w:val="006C3A8E"/>
    <w:rsid w:val="006C46E4"/>
    <w:rsid w:val="006C5021"/>
    <w:rsid w:val="006C51DC"/>
    <w:rsid w:val="006C5272"/>
    <w:rsid w:val="006C5335"/>
    <w:rsid w:val="006C5BB2"/>
    <w:rsid w:val="006C5BCD"/>
    <w:rsid w:val="006C7011"/>
    <w:rsid w:val="006C714F"/>
    <w:rsid w:val="006C734B"/>
    <w:rsid w:val="006C739D"/>
    <w:rsid w:val="006C7FFC"/>
    <w:rsid w:val="006D02B0"/>
    <w:rsid w:val="006D1492"/>
    <w:rsid w:val="006D24F4"/>
    <w:rsid w:val="006D40D6"/>
    <w:rsid w:val="006D4552"/>
    <w:rsid w:val="006D507D"/>
    <w:rsid w:val="006D5300"/>
    <w:rsid w:val="006D54A8"/>
    <w:rsid w:val="006D639E"/>
    <w:rsid w:val="006D6E1F"/>
    <w:rsid w:val="006E04D1"/>
    <w:rsid w:val="006E1CDE"/>
    <w:rsid w:val="006E1DA1"/>
    <w:rsid w:val="006E220A"/>
    <w:rsid w:val="006E48AC"/>
    <w:rsid w:val="006E57C2"/>
    <w:rsid w:val="006E6AEA"/>
    <w:rsid w:val="006F0201"/>
    <w:rsid w:val="006F08EE"/>
    <w:rsid w:val="006F0F90"/>
    <w:rsid w:val="006F18CA"/>
    <w:rsid w:val="006F2F5B"/>
    <w:rsid w:val="006F3035"/>
    <w:rsid w:val="006F352B"/>
    <w:rsid w:val="006F5968"/>
    <w:rsid w:val="006F6009"/>
    <w:rsid w:val="006F6DCB"/>
    <w:rsid w:val="006F721F"/>
    <w:rsid w:val="006F741D"/>
    <w:rsid w:val="006F7A95"/>
    <w:rsid w:val="00700E8B"/>
    <w:rsid w:val="00701FCA"/>
    <w:rsid w:val="00703EA1"/>
    <w:rsid w:val="0070411F"/>
    <w:rsid w:val="00704DA6"/>
    <w:rsid w:val="00705658"/>
    <w:rsid w:val="007062D0"/>
    <w:rsid w:val="00706B6D"/>
    <w:rsid w:val="00710045"/>
    <w:rsid w:val="007101D6"/>
    <w:rsid w:val="00711278"/>
    <w:rsid w:val="00712C90"/>
    <w:rsid w:val="0071404E"/>
    <w:rsid w:val="007141C8"/>
    <w:rsid w:val="00715362"/>
    <w:rsid w:val="0071604D"/>
    <w:rsid w:val="007166FF"/>
    <w:rsid w:val="00716A72"/>
    <w:rsid w:val="00717810"/>
    <w:rsid w:val="00720C0A"/>
    <w:rsid w:val="007216D6"/>
    <w:rsid w:val="00721A0B"/>
    <w:rsid w:val="00724CF1"/>
    <w:rsid w:val="007255BA"/>
    <w:rsid w:val="0073006C"/>
    <w:rsid w:val="007330D7"/>
    <w:rsid w:val="007342A6"/>
    <w:rsid w:val="007347BD"/>
    <w:rsid w:val="0074011C"/>
    <w:rsid w:val="00740F85"/>
    <w:rsid w:val="00741217"/>
    <w:rsid w:val="00741450"/>
    <w:rsid w:val="0074172D"/>
    <w:rsid w:val="00742774"/>
    <w:rsid w:val="0074365F"/>
    <w:rsid w:val="007458A1"/>
    <w:rsid w:val="00746EDA"/>
    <w:rsid w:val="007475C5"/>
    <w:rsid w:val="007526BD"/>
    <w:rsid w:val="007526E7"/>
    <w:rsid w:val="0075311D"/>
    <w:rsid w:val="007612C8"/>
    <w:rsid w:val="00762611"/>
    <w:rsid w:val="00762CC6"/>
    <w:rsid w:val="007641FD"/>
    <w:rsid w:val="0076476B"/>
    <w:rsid w:val="007661CF"/>
    <w:rsid w:val="00767B12"/>
    <w:rsid w:val="00767D32"/>
    <w:rsid w:val="0077105D"/>
    <w:rsid w:val="00771CE5"/>
    <w:rsid w:val="0077387B"/>
    <w:rsid w:val="00773922"/>
    <w:rsid w:val="007739E2"/>
    <w:rsid w:val="007749B6"/>
    <w:rsid w:val="00774A90"/>
    <w:rsid w:val="00774D14"/>
    <w:rsid w:val="00775120"/>
    <w:rsid w:val="00780A4E"/>
    <w:rsid w:val="00781263"/>
    <w:rsid w:val="00782502"/>
    <w:rsid w:val="00783014"/>
    <w:rsid w:val="0078306F"/>
    <w:rsid w:val="00783F98"/>
    <w:rsid w:val="007855E1"/>
    <w:rsid w:val="0078586A"/>
    <w:rsid w:val="00787403"/>
    <w:rsid w:val="0079209B"/>
    <w:rsid w:val="007920F8"/>
    <w:rsid w:val="00792420"/>
    <w:rsid w:val="00793D63"/>
    <w:rsid w:val="00793DF3"/>
    <w:rsid w:val="0079443B"/>
    <w:rsid w:val="00794699"/>
    <w:rsid w:val="00794D90"/>
    <w:rsid w:val="00794FB9"/>
    <w:rsid w:val="00795E98"/>
    <w:rsid w:val="007964FE"/>
    <w:rsid w:val="007970C5"/>
    <w:rsid w:val="007A0338"/>
    <w:rsid w:val="007A0975"/>
    <w:rsid w:val="007A476F"/>
    <w:rsid w:val="007A5660"/>
    <w:rsid w:val="007A57D3"/>
    <w:rsid w:val="007A592A"/>
    <w:rsid w:val="007A5AB2"/>
    <w:rsid w:val="007A6208"/>
    <w:rsid w:val="007A67DA"/>
    <w:rsid w:val="007A718D"/>
    <w:rsid w:val="007A790D"/>
    <w:rsid w:val="007B06D2"/>
    <w:rsid w:val="007B19C5"/>
    <w:rsid w:val="007B1BB6"/>
    <w:rsid w:val="007B39FC"/>
    <w:rsid w:val="007B4AB5"/>
    <w:rsid w:val="007B4DD8"/>
    <w:rsid w:val="007B5F12"/>
    <w:rsid w:val="007B61A7"/>
    <w:rsid w:val="007B6274"/>
    <w:rsid w:val="007B6B90"/>
    <w:rsid w:val="007B6BD2"/>
    <w:rsid w:val="007B6DF2"/>
    <w:rsid w:val="007C07F5"/>
    <w:rsid w:val="007C11CD"/>
    <w:rsid w:val="007C222E"/>
    <w:rsid w:val="007C2BA6"/>
    <w:rsid w:val="007C600C"/>
    <w:rsid w:val="007C65FB"/>
    <w:rsid w:val="007D134C"/>
    <w:rsid w:val="007D5B17"/>
    <w:rsid w:val="007D62E0"/>
    <w:rsid w:val="007D729B"/>
    <w:rsid w:val="007E01D2"/>
    <w:rsid w:val="007E0C48"/>
    <w:rsid w:val="007E147A"/>
    <w:rsid w:val="007F0C90"/>
    <w:rsid w:val="007F1898"/>
    <w:rsid w:val="007F1CD2"/>
    <w:rsid w:val="007F2467"/>
    <w:rsid w:val="007F25DD"/>
    <w:rsid w:val="007F3D81"/>
    <w:rsid w:val="007F5A8C"/>
    <w:rsid w:val="007F6C71"/>
    <w:rsid w:val="008014E0"/>
    <w:rsid w:val="008014F3"/>
    <w:rsid w:val="00803F98"/>
    <w:rsid w:val="00804306"/>
    <w:rsid w:val="0080525C"/>
    <w:rsid w:val="008064B6"/>
    <w:rsid w:val="00806951"/>
    <w:rsid w:val="00806ECA"/>
    <w:rsid w:val="00806F3F"/>
    <w:rsid w:val="008072B2"/>
    <w:rsid w:val="00810837"/>
    <w:rsid w:val="00810982"/>
    <w:rsid w:val="00810F8E"/>
    <w:rsid w:val="0081238F"/>
    <w:rsid w:val="00813861"/>
    <w:rsid w:val="008144DA"/>
    <w:rsid w:val="008169D9"/>
    <w:rsid w:val="00816A09"/>
    <w:rsid w:val="00817143"/>
    <w:rsid w:val="008171A0"/>
    <w:rsid w:val="0082012A"/>
    <w:rsid w:val="00820B19"/>
    <w:rsid w:val="00820ECB"/>
    <w:rsid w:val="008211DD"/>
    <w:rsid w:val="0082382C"/>
    <w:rsid w:val="00824A5F"/>
    <w:rsid w:val="008254E3"/>
    <w:rsid w:val="00826BFF"/>
    <w:rsid w:val="0082733E"/>
    <w:rsid w:val="00833730"/>
    <w:rsid w:val="00834ACC"/>
    <w:rsid w:val="00834B1E"/>
    <w:rsid w:val="00840D69"/>
    <w:rsid w:val="0084497C"/>
    <w:rsid w:val="00844F4E"/>
    <w:rsid w:val="00845548"/>
    <w:rsid w:val="00847B23"/>
    <w:rsid w:val="00850204"/>
    <w:rsid w:val="008513EC"/>
    <w:rsid w:val="00852379"/>
    <w:rsid w:val="008531EE"/>
    <w:rsid w:val="00854911"/>
    <w:rsid w:val="00854E7B"/>
    <w:rsid w:val="00854FA1"/>
    <w:rsid w:val="00856A8B"/>
    <w:rsid w:val="00857EA8"/>
    <w:rsid w:val="008600B9"/>
    <w:rsid w:val="0086169E"/>
    <w:rsid w:val="00862C9E"/>
    <w:rsid w:val="0086521E"/>
    <w:rsid w:val="0086536D"/>
    <w:rsid w:val="0086599F"/>
    <w:rsid w:val="0087040D"/>
    <w:rsid w:val="00871BB6"/>
    <w:rsid w:val="00873F34"/>
    <w:rsid w:val="00873F6D"/>
    <w:rsid w:val="0087437C"/>
    <w:rsid w:val="00875820"/>
    <w:rsid w:val="00876452"/>
    <w:rsid w:val="00876562"/>
    <w:rsid w:val="0087680C"/>
    <w:rsid w:val="008776BF"/>
    <w:rsid w:val="00880A02"/>
    <w:rsid w:val="00881461"/>
    <w:rsid w:val="008814CD"/>
    <w:rsid w:val="00881AE1"/>
    <w:rsid w:val="0088299A"/>
    <w:rsid w:val="00884A28"/>
    <w:rsid w:val="00884EA7"/>
    <w:rsid w:val="00885DC4"/>
    <w:rsid w:val="00892472"/>
    <w:rsid w:val="00894ADC"/>
    <w:rsid w:val="00894F28"/>
    <w:rsid w:val="00895775"/>
    <w:rsid w:val="00895D1F"/>
    <w:rsid w:val="008967B7"/>
    <w:rsid w:val="008967BE"/>
    <w:rsid w:val="008A14AF"/>
    <w:rsid w:val="008A1607"/>
    <w:rsid w:val="008A3901"/>
    <w:rsid w:val="008A4FEE"/>
    <w:rsid w:val="008A5A47"/>
    <w:rsid w:val="008A6C18"/>
    <w:rsid w:val="008B0B50"/>
    <w:rsid w:val="008B1DC9"/>
    <w:rsid w:val="008B28CD"/>
    <w:rsid w:val="008B2CBD"/>
    <w:rsid w:val="008B53C0"/>
    <w:rsid w:val="008C035D"/>
    <w:rsid w:val="008C4CAB"/>
    <w:rsid w:val="008C6FCC"/>
    <w:rsid w:val="008C704B"/>
    <w:rsid w:val="008D0CD8"/>
    <w:rsid w:val="008D175A"/>
    <w:rsid w:val="008D2538"/>
    <w:rsid w:val="008D2864"/>
    <w:rsid w:val="008D2A4D"/>
    <w:rsid w:val="008D43A4"/>
    <w:rsid w:val="008D5D27"/>
    <w:rsid w:val="008D63F9"/>
    <w:rsid w:val="008D7069"/>
    <w:rsid w:val="008E08BD"/>
    <w:rsid w:val="008E119A"/>
    <w:rsid w:val="008E21D5"/>
    <w:rsid w:val="008E33A2"/>
    <w:rsid w:val="008E3860"/>
    <w:rsid w:val="008E4173"/>
    <w:rsid w:val="008E464D"/>
    <w:rsid w:val="008E5F67"/>
    <w:rsid w:val="008F001B"/>
    <w:rsid w:val="008F0728"/>
    <w:rsid w:val="008F22E4"/>
    <w:rsid w:val="008F27A4"/>
    <w:rsid w:val="008F3AC1"/>
    <w:rsid w:val="008F3E3B"/>
    <w:rsid w:val="008F55EB"/>
    <w:rsid w:val="008F5AFB"/>
    <w:rsid w:val="008F6A96"/>
    <w:rsid w:val="008F74C8"/>
    <w:rsid w:val="008F7BF9"/>
    <w:rsid w:val="009003EB"/>
    <w:rsid w:val="00901220"/>
    <w:rsid w:val="00901301"/>
    <w:rsid w:val="00902631"/>
    <w:rsid w:val="00902C0B"/>
    <w:rsid w:val="00902DC8"/>
    <w:rsid w:val="00903481"/>
    <w:rsid w:val="00904D07"/>
    <w:rsid w:val="0090577C"/>
    <w:rsid w:val="00907F65"/>
    <w:rsid w:val="009112DF"/>
    <w:rsid w:val="00913723"/>
    <w:rsid w:val="00915094"/>
    <w:rsid w:val="00916BAE"/>
    <w:rsid w:val="00916EB7"/>
    <w:rsid w:val="009177D6"/>
    <w:rsid w:val="00920DEE"/>
    <w:rsid w:val="00920EFC"/>
    <w:rsid w:val="00921CD7"/>
    <w:rsid w:val="0092414A"/>
    <w:rsid w:val="009259C8"/>
    <w:rsid w:val="00926428"/>
    <w:rsid w:val="00927C1F"/>
    <w:rsid w:val="00930893"/>
    <w:rsid w:val="00930CBE"/>
    <w:rsid w:val="00930DFD"/>
    <w:rsid w:val="0093426C"/>
    <w:rsid w:val="00934AA6"/>
    <w:rsid w:val="00936031"/>
    <w:rsid w:val="00936735"/>
    <w:rsid w:val="009371DD"/>
    <w:rsid w:val="00940265"/>
    <w:rsid w:val="00941463"/>
    <w:rsid w:val="009417E0"/>
    <w:rsid w:val="00943A47"/>
    <w:rsid w:val="0094401D"/>
    <w:rsid w:val="009442F4"/>
    <w:rsid w:val="009445C4"/>
    <w:rsid w:val="00944638"/>
    <w:rsid w:val="009447AA"/>
    <w:rsid w:val="009459F0"/>
    <w:rsid w:val="009469F5"/>
    <w:rsid w:val="009519CA"/>
    <w:rsid w:val="00952047"/>
    <w:rsid w:val="00953A51"/>
    <w:rsid w:val="00953C21"/>
    <w:rsid w:val="00954728"/>
    <w:rsid w:val="00955327"/>
    <w:rsid w:val="00955B49"/>
    <w:rsid w:val="00955BAA"/>
    <w:rsid w:val="00955C45"/>
    <w:rsid w:val="00956157"/>
    <w:rsid w:val="00956D39"/>
    <w:rsid w:val="009579A8"/>
    <w:rsid w:val="00960E6A"/>
    <w:rsid w:val="009633B4"/>
    <w:rsid w:val="00965B8A"/>
    <w:rsid w:val="00965F39"/>
    <w:rsid w:val="0096701D"/>
    <w:rsid w:val="009673BA"/>
    <w:rsid w:val="00967AD1"/>
    <w:rsid w:val="00970BA7"/>
    <w:rsid w:val="00973395"/>
    <w:rsid w:val="009735E5"/>
    <w:rsid w:val="009736B4"/>
    <w:rsid w:val="00976422"/>
    <w:rsid w:val="0097753D"/>
    <w:rsid w:val="009778C5"/>
    <w:rsid w:val="00981BD9"/>
    <w:rsid w:val="00983C11"/>
    <w:rsid w:val="0098515E"/>
    <w:rsid w:val="00986270"/>
    <w:rsid w:val="009867DD"/>
    <w:rsid w:val="00987DF9"/>
    <w:rsid w:val="00990A30"/>
    <w:rsid w:val="0099161D"/>
    <w:rsid w:val="00992C71"/>
    <w:rsid w:val="00992DA2"/>
    <w:rsid w:val="00993439"/>
    <w:rsid w:val="00997A51"/>
    <w:rsid w:val="009A36FA"/>
    <w:rsid w:val="009A3EE1"/>
    <w:rsid w:val="009A5BB9"/>
    <w:rsid w:val="009A6690"/>
    <w:rsid w:val="009B11D9"/>
    <w:rsid w:val="009B2386"/>
    <w:rsid w:val="009B2984"/>
    <w:rsid w:val="009B2CE3"/>
    <w:rsid w:val="009B3E61"/>
    <w:rsid w:val="009B439A"/>
    <w:rsid w:val="009B4410"/>
    <w:rsid w:val="009B5641"/>
    <w:rsid w:val="009C2B34"/>
    <w:rsid w:val="009C3AD6"/>
    <w:rsid w:val="009C3FBF"/>
    <w:rsid w:val="009C57D9"/>
    <w:rsid w:val="009C5C12"/>
    <w:rsid w:val="009C6828"/>
    <w:rsid w:val="009C7D34"/>
    <w:rsid w:val="009D012E"/>
    <w:rsid w:val="009D023B"/>
    <w:rsid w:val="009D1861"/>
    <w:rsid w:val="009D4120"/>
    <w:rsid w:val="009D5E01"/>
    <w:rsid w:val="009D65CD"/>
    <w:rsid w:val="009D7F20"/>
    <w:rsid w:val="009E07FC"/>
    <w:rsid w:val="009E114E"/>
    <w:rsid w:val="009E1351"/>
    <w:rsid w:val="009E25A3"/>
    <w:rsid w:val="009E2D2E"/>
    <w:rsid w:val="009E4238"/>
    <w:rsid w:val="009E4D9C"/>
    <w:rsid w:val="009E63A1"/>
    <w:rsid w:val="009E747F"/>
    <w:rsid w:val="009E7487"/>
    <w:rsid w:val="009E78A0"/>
    <w:rsid w:val="009E7A80"/>
    <w:rsid w:val="009E7E9E"/>
    <w:rsid w:val="009F00F8"/>
    <w:rsid w:val="009F1442"/>
    <w:rsid w:val="009F1F5C"/>
    <w:rsid w:val="009F52CF"/>
    <w:rsid w:val="009F7008"/>
    <w:rsid w:val="009F7A07"/>
    <w:rsid w:val="00A0431A"/>
    <w:rsid w:val="00A044EC"/>
    <w:rsid w:val="00A054EA"/>
    <w:rsid w:val="00A05F4A"/>
    <w:rsid w:val="00A0614B"/>
    <w:rsid w:val="00A1039D"/>
    <w:rsid w:val="00A129E0"/>
    <w:rsid w:val="00A12F6E"/>
    <w:rsid w:val="00A12F96"/>
    <w:rsid w:val="00A1312E"/>
    <w:rsid w:val="00A13EF6"/>
    <w:rsid w:val="00A1477F"/>
    <w:rsid w:val="00A148EB"/>
    <w:rsid w:val="00A1571B"/>
    <w:rsid w:val="00A20268"/>
    <w:rsid w:val="00A20C49"/>
    <w:rsid w:val="00A20DAB"/>
    <w:rsid w:val="00A21E6F"/>
    <w:rsid w:val="00A2325D"/>
    <w:rsid w:val="00A23454"/>
    <w:rsid w:val="00A24FC8"/>
    <w:rsid w:val="00A269AB"/>
    <w:rsid w:val="00A26ACC"/>
    <w:rsid w:val="00A272B4"/>
    <w:rsid w:val="00A27D2E"/>
    <w:rsid w:val="00A336D2"/>
    <w:rsid w:val="00A33812"/>
    <w:rsid w:val="00A33B0A"/>
    <w:rsid w:val="00A34E44"/>
    <w:rsid w:val="00A35209"/>
    <w:rsid w:val="00A35DAA"/>
    <w:rsid w:val="00A36D35"/>
    <w:rsid w:val="00A36E86"/>
    <w:rsid w:val="00A378DB"/>
    <w:rsid w:val="00A37D4C"/>
    <w:rsid w:val="00A40819"/>
    <w:rsid w:val="00A412CB"/>
    <w:rsid w:val="00A4134D"/>
    <w:rsid w:val="00A4225A"/>
    <w:rsid w:val="00A42466"/>
    <w:rsid w:val="00A42B70"/>
    <w:rsid w:val="00A42E4E"/>
    <w:rsid w:val="00A46684"/>
    <w:rsid w:val="00A47EB8"/>
    <w:rsid w:val="00A509E4"/>
    <w:rsid w:val="00A52468"/>
    <w:rsid w:val="00A52C08"/>
    <w:rsid w:val="00A53EFE"/>
    <w:rsid w:val="00A576EF"/>
    <w:rsid w:val="00A57F17"/>
    <w:rsid w:val="00A60C21"/>
    <w:rsid w:val="00A61B41"/>
    <w:rsid w:val="00A62250"/>
    <w:rsid w:val="00A6331C"/>
    <w:rsid w:val="00A65121"/>
    <w:rsid w:val="00A6538F"/>
    <w:rsid w:val="00A65F23"/>
    <w:rsid w:val="00A66531"/>
    <w:rsid w:val="00A67009"/>
    <w:rsid w:val="00A6725F"/>
    <w:rsid w:val="00A676E9"/>
    <w:rsid w:val="00A71E74"/>
    <w:rsid w:val="00A71E99"/>
    <w:rsid w:val="00A75C76"/>
    <w:rsid w:val="00A7604E"/>
    <w:rsid w:val="00A77C21"/>
    <w:rsid w:val="00A801F1"/>
    <w:rsid w:val="00A80A8B"/>
    <w:rsid w:val="00A8345B"/>
    <w:rsid w:val="00A8567D"/>
    <w:rsid w:val="00A85AA8"/>
    <w:rsid w:val="00A85C5D"/>
    <w:rsid w:val="00A87090"/>
    <w:rsid w:val="00A87300"/>
    <w:rsid w:val="00A9058E"/>
    <w:rsid w:val="00A93202"/>
    <w:rsid w:val="00A93462"/>
    <w:rsid w:val="00A953A3"/>
    <w:rsid w:val="00AA0323"/>
    <w:rsid w:val="00AA0D9C"/>
    <w:rsid w:val="00AA2B81"/>
    <w:rsid w:val="00AA32C7"/>
    <w:rsid w:val="00AA3980"/>
    <w:rsid w:val="00AA5F9F"/>
    <w:rsid w:val="00AA6D44"/>
    <w:rsid w:val="00AA7FEC"/>
    <w:rsid w:val="00AB02BB"/>
    <w:rsid w:val="00AB04C7"/>
    <w:rsid w:val="00AB09FD"/>
    <w:rsid w:val="00AB2353"/>
    <w:rsid w:val="00AB25C6"/>
    <w:rsid w:val="00AB2E96"/>
    <w:rsid w:val="00AB5D0D"/>
    <w:rsid w:val="00AB5DA0"/>
    <w:rsid w:val="00AB6849"/>
    <w:rsid w:val="00AB6BD8"/>
    <w:rsid w:val="00AB7033"/>
    <w:rsid w:val="00AB71D8"/>
    <w:rsid w:val="00AC06B9"/>
    <w:rsid w:val="00AC0744"/>
    <w:rsid w:val="00AC1954"/>
    <w:rsid w:val="00AC238B"/>
    <w:rsid w:val="00AC4EC6"/>
    <w:rsid w:val="00AC4FC0"/>
    <w:rsid w:val="00AC61CD"/>
    <w:rsid w:val="00AD361C"/>
    <w:rsid w:val="00AD4E09"/>
    <w:rsid w:val="00AD625E"/>
    <w:rsid w:val="00AD68C0"/>
    <w:rsid w:val="00AD6ECB"/>
    <w:rsid w:val="00AD70E1"/>
    <w:rsid w:val="00AD7905"/>
    <w:rsid w:val="00AE0773"/>
    <w:rsid w:val="00AE0AA8"/>
    <w:rsid w:val="00AE44CE"/>
    <w:rsid w:val="00AE5C9B"/>
    <w:rsid w:val="00AE7270"/>
    <w:rsid w:val="00AE72AB"/>
    <w:rsid w:val="00AF0486"/>
    <w:rsid w:val="00AF1015"/>
    <w:rsid w:val="00AF18C1"/>
    <w:rsid w:val="00AF281A"/>
    <w:rsid w:val="00AF33AF"/>
    <w:rsid w:val="00AF587D"/>
    <w:rsid w:val="00AF5E95"/>
    <w:rsid w:val="00AF66C8"/>
    <w:rsid w:val="00AF7426"/>
    <w:rsid w:val="00AF7831"/>
    <w:rsid w:val="00AF7A3C"/>
    <w:rsid w:val="00B000B8"/>
    <w:rsid w:val="00B01361"/>
    <w:rsid w:val="00B02092"/>
    <w:rsid w:val="00B0466B"/>
    <w:rsid w:val="00B057B8"/>
    <w:rsid w:val="00B06C1D"/>
    <w:rsid w:val="00B0782B"/>
    <w:rsid w:val="00B07BBC"/>
    <w:rsid w:val="00B07EC3"/>
    <w:rsid w:val="00B10748"/>
    <w:rsid w:val="00B120CB"/>
    <w:rsid w:val="00B121DE"/>
    <w:rsid w:val="00B14B6A"/>
    <w:rsid w:val="00B2050A"/>
    <w:rsid w:val="00B20D45"/>
    <w:rsid w:val="00B21C53"/>
    <w:rsid w:val="00B22004"/>
    <w:rsid w:val="00B224B2"/>
    <w:rsid w:val="00B22803"/>
    <w:rsid w:val="00B22BDC"/>
    <w:rsid w:val="00B236C8"/>
    <w:rsid w:val="00B23B56"/>
    <w:rsid w:val="00B23C31"/>
    <w:rsid w:val="00B2797C"/>
    <w:rsid w:val="00B3029E"/>
    <w:rsid w:val="00B30729"/>
    <w:rsid w:val="00B31FB3"/>
    <w:rsid w:val="00B35237"/>
    <w:rsid w:val="00B36CC3"/>
    <w:rsid w:val="00B3735C"/>
    <w:rsid w:val="00B37562"/>
    <w:rsid w:val="00B37FE1"/>
    <w:rsid w:val="00B403F0"/>
    <w:rsid w:val="00B4329D"/>
    <w:rsid w:val="00B43361"/>
    <w:rsid w:val="00B44E2C"/>
    <w:rsid w:val="00B45112"/>
    <w:rsid w:val="00B47AC6"/>
    <w:rsid w:val="00B5000F"/>
    <w:rsid w:val="00B5056C"/>
    <w:rsid w:val="00B50A0B"/>
    <w:rsid w:val="00B5116E"/>
    <w:rsid w:val="00B5137C"/>
    <w:rsid w:val="00B540A4"/>
    <w:rsid w:val="00B557F2"/>
    <w:rsid w:val="00B55FA3"/>
    <w:rsid w:val="00B560C3"/>
    <w:rsid w:val="00B60779"/>
    <w:rsid w:val="00B62671"/>
    <w:rsid w:val="00B633BB"/>
    <w:rsid w:val="00B63721"/>
    <w:rsid w:val="00B63A58"/>
    <w:rsid w:val="00B65030"/>
    <w:rsid w:val="00B65DE2"/>
    <w:rsid w:val="00B667E5"/>
    <w:rsid w:val="00B668B6"/>
    <w:rsid w:val="00B670A0"/>
    <w:rsid w:val="00B6792D"/>
    <w:rsid w:val="00B70BD5"/>
    <w:rsid w:val="00B70CDE"/>
    <w:rsid w:val="00B70FF6"/>
    <w:rsid w:val="00B71788"/>
    <w:rsid w:val="00B720FD"/>
    <w:rsid w:val="00B73BF8"/>
    <w:rsid w:val="00B75F91"/>
    <w:rsid w:val="00B8104B"/>
    <w:rsid w:val="00B81A4B"/>
    <w:rsid w:val="00B8299F"/>
    <w:rsid w:val="00B834F4"/>
    <w:rsid w:val="00B83783"/>
    <w:rsid w:val="00B85590"/>
    <w:rsid w:val="00B86F07"/>
    <w:rsid w:val="00B87A7F"/>
    <w:rsid w:val="00B91A51"/>
    <w:rsid w:val="00B91AB0"/>
    <w:rsid w:val="00B94F0D"/>
    <w:rsid w:val="00B95B0C"/>
    <w:rsid w:val="00B95E17"/>
    <w:rsid w:val="00B96264"/>
    <w:rsid w:val="00B97A3E"/>
    <w:rsid w:val="00BA0354"/>
    <w:rsid w:val="00BA13A9"/>
    <w:rsid w:val="00BA2337"/>
    <w:rsid w:val="00BA2777"/>
    <w:rsid w:val="00BA2A0E"/>
    <w:rsid w:val="00BA34AC"/>
    <w:rsid w:val="00BA4E78"/>
    <w:rsid w:val="00BA6846"/>
    <w:rsid w:val="00BB0459"/>
    <w:rsid w:val="00BB0B0F"/>
    <w:rsid w:val="00BB1F72"/>
    <w:rsid w:val="00BB2409"/>
    <w:rsid w:val="00BB25DF"/>
    <w:rsid w:val="00BB35EA"/>
    <w:rsid w:val="00BB3B01"/>
    <w:rsid w:val="00BB5372"/>
    <w:rsid w:val="00BB597D"/>
    <w:rsid w:val="00BB7BB5"/>
    <w:rsid w:val="00BC0D26"/>
    <w:rsid w:val="00BC1FC4"/>
    <w:rsid w:val="00BC2958"/>
    <w:rsid w:val="00BC3C74"/>
    <w:rsid w:val="00BC3CAD"/>
    <w:rsid w:val="00BC4B30"/>
    <w:rsid w:val="00BC68E8"/>
    <w:rsid w:val="00BC6DB4"/>
    <w:rsid w:val="00BC7721"/>
    <w:rsid w:val="00BD167B"/>
    <w:rsid w:val="00BD2432"/>
    <w:rsid w:val="00BD262E"/>
    <w:rsid w:val="00BD28F9"/>
    <w:rsid w:val="00BD47BC"/>
    <w:rsid w:val="00BD4A93"/>
    <w:rsid w:val="00BD51E5"/>
    <w:rsid w:val="00BD5275"/>
    <w:rsid w:val="00BD54D8"/>
    <w:rsid w:val="00BD6698"/>
    <w:rsid w:val="00BD6FF4"/>
    <w:rsid w:val="00BE115A"/>
    <w:rsid w:val="00BE3D30"/>
    <w:rsid w:val="00BE45DB"/>
    <w:rsid w:val="00BE4C95"/>
    <w:rsid w:val="00BE65B5"/>
    <w:rsid w:val="00BE68A3"/>
    <w:rsid w:val="00BE6D9C"/>
    <w:rsid w:val="00BF063D"/>
    <w:rsid w:val="00BF0D9B"/>
    <w:rsid w:val="00BF1F9F"/>
    <w:rsid w:val="00BF2AC5"/>
    <w:rsid w:val="00BF2F74"/>
    <w:rsid w:val="00BF3263"/>
    <w:rsid w:val="00BF46E4"/>
    <w:rsid w:val="00BF5A50"/>
    <w:rsid w:val="00BF69F5"/>
    <w:rsid w:val="00BF6FF3"/>
    <w:rsid w:val="00BF6FFA"/>
    <w:rsid w:val="00BF70F3"/>
    <w:rsid w:val="00C00B13"/>
    <w:rsid w:val="00C01382"/>
    <w:rsid w:val="00C02CC6"/>
    <w:rsid w:val="00C0498C"/>
    <w:rsid w:val="00C0629F"/>
    <w:rsid w:val="00C06AFE"/>
    <w:rsid w:val="00C0717A"/>
    <w:rsid w:val="00C0766C"/>
    <w:rsid w:val="00C11C2D"/>
    <w:rsid w:val="00C138F6"/>
    <w:rsid w:val="00C13B25"/>
    <w:rsid w:val="00C14407"/>
    <w:rsid w:val="00C154BA"/>
    <w:rsid w:val="00C20022"/>
    <w:rsid w:val="00C20838"/>
    <w:rsid w:val="00C21AED"/>
    <w:rsid w:val="00C21C19"/>
    <w:rsid w:val="00C23B3C"/>
    <w:rsid w:val="00C253E1"/>
    <w:rsid w:val="00C26453"/>
    <w:rsid w:val="00C30C81"/>
    <w:rsid w:val="00C30ED6"/>
    <w:rsid w:val="00C317CA"/>
    <w:rsid w:val="00C32289"/>
    <w:rsid w:val="00C3310A"/>
    <w:rsid w:val="00C347BF"/>
    <w:rsid w:val="00C35C60"/>
    <w:rsid w:val="00C35F73"/>
    <w:rsid w:val="00C369E2"/>
    <w:rsid w:val="00C37C2B"/>
    <w:rsid w:val="00C4047C"/>
    <w:rsid w:val="00C44CB3"/>
    <w:rsid w:val="00C45D3E"/>
    <w:rsid w:val="00C465CB"/>
    <w:rsid w:val="00C52A11"/>
    <w:rsid w:val="00C52E12"/>
    <w:rsid w:val="00C53412"/>
    <w:rsid w:val="00C548C7"/>
    <w:rsid w:val="00C54B21"/>
    <w:rsid w:val="00C550CC"/>
    <w:rsid w:val="00C55EE9"/>
    <w:rsid w:val="00C57016"/>
    <w:rsid w:val="00C57B2D"/>
    <w:rsid w:val="00C57C79"/>
    <w:rsid w:val="00C6035E"/>
    <w:rsid w:val="00C6044D"/>
    <w:rsid w:val="00C60F1B"/>
    <w:rsid w:val="00C6483F"/>
    <w:rsid w:val="00C649BE"/>
    <w:rsid w:val="00C64EC5"/>
    <w:rsid w:val="00C6573C"/>
    <w:rsid w:val="00C65B55"/>
    <w:rsid w:val="00C70F65"/>
    <w:rsid w:val="00C7143D"/>
    <w:rsid w:val="00C71D0A"/>
    <w:rsid w:val="00C72D28"/>
    <w:rsid w:val="00C73E94"/>
    <w:rsid w:val="00C74BA7"/>
    <w:rsid w:val="00C760C5"/>
    <w:rsid w:val="00C766C2"/>
    <w:rsid w:val="00C82275"/>
    <w:rsid w:val="00C83F3B"/>
    <w:rsid w:val="00C858BC"/>
    <w:rsid w:val="00C85D70"/>
    <w:rsid w:val="00C86FBD"/>
    <w:rsid w:val="00C87B19"/>
    <w:rsid w:val="00C9052B"/>
    <w:rsid w:val="00C9099D"/>
    <w:rsid w:val="00C90E27"/>
    <w:rsid w:val="00C91884"/>
    <w:rsid w:val="00C91A52"/>
    <w:rsid w:val="00C91BBC"/>
    <w:rsid w:val="00C91D64"/>
    <w:rsid w:val="00C92415"/>
    <w:rsid w:val="00C9282C"/>
    <w:rsid w:val="00C93CB4"/>
    <w:rsid w:val="00C94099"/>
    <w:rsid w:val="00C95B7C"/>
    <w:rsid w:val="00C96349"/>
    <w:rsid w:val="00C96784"/>
    <w:rsid w:val="00C96CA7"/>
    <w:rsid w:val="00C972AF"/>
    <w:rsid w:val="00CA15B4"/>
    <w:rsid w:val="00CA2062"/>
    <w:rsid w:val="00CA280B"/>
    <w:rsid w:val="00CA3C2E"/>
    <w:rsid w:val="00CA4631"/>
    <w:rsid w:val="00CA4EF2"/>
    <w:rsid w:val="00CA5410"/>
    <w:rsid w:val="00CA5AF4"/>
    <w:rsid w:val="00CA5DD6"/>
    <w:rsid w:val="00CA5E23"/>
    <w:rsid w:val="00CA6CA5"/>
    <w:rsid w:val="00CA7CBF"/>
    <w:rsid w:val="00CB141F"/>
    <w:rsid w:val="00CB322F"/>
    <w:rsid w:val="00CB4B60"/>
    <w:rsid w:val="00CB5375"/>
    <w:rsid w:val="00CB6D31"/>
    <w:rsid w:val="00CC04DC"/>
    <w:rsid w:val="00CC0A45"/>
    <w:rsid w:val="00CC5C64"/>
    <w:rsid w:val="00CC6918"/>
    <w:rsid w:val="00CC6B85"/>
    <w:rsid w:val="00CC768C"/>
    <w:rsid w:val="00CC7FE2"/>
    <w:rsid w:val="00CD0132"/>
    <w:rsid w:val="00CD10B4"/>
    <w:rsid w:val="00CD240E"/>
    <w:rsid w:val="00CD292C"/>
    <w:rsid w:val="00CD329E"/>
    <w:rsid w:val="00CD561C"/>
    <w:rsid w:val="00CD5BED"/>
    <w:rsid w:val="00CD7D8E"/>
    <w:rsid w:val="00CE077B"/>
    <w:rsid w:val="00CE1279"/>
    <w:rsid w:val="00CE1499"/>
    <w:rsid w:val="00CE5074"/>
    <w:rsid w:val="00CE5457"/>
    <w:rsid w:val="00CF0E6A"/>
    <w:rsid w:val="00CF2B21"/>
    <w:rsid w:val="00CF31ED"/>
    <w:rsid w:val="00CF56CD"/>
    <w:rsid w:val="00CF68E0"/>
    <w:rsid w:val="00CF6FF2"/>
    <w:rsid w:val="00D0068C"/>
    <w:rsid w:val="00D00FB2"/>
    <w:rsid w:val="00D0371E"/>
    <w:rsid w:val="00D04E52"/>
    <w:rsid w:val="00D05824"/>
    <w:rsid w:val="00D065CD"/>
    <w:rsid w:val="00D07D4D"/>
    <w:rsid w:val="00D113A2"/>
    <w:rsid w:val="00D11849"/>
    <w:rsid w:val="00D12293"/>
    <w:rsid w:val="00D12961"/>
    <w:rsid w:val="00D14399"/>
    <w:rsid w:val="00D16D81"/>
    <w:rsid w:val="00D16F97"/>
    <w:rsid w:val="00D2183E"/>
    <w:rsid w:val="00D22727"/>
    <w:rsid w:val="00D22C9E"/>
    <w:rsid w:val="00D233DB"/>
    <w:rsid w:val="00D23880"/>
    <w:rsid w:val="00D25682"/>
    <w:rsid w:val="00D26885"/>
    <w:rsid w:val="00D26A97"/>
    <w:rsid w:val="00D26D64"/>
    <w:rsid w:val="00D27786"/>
    <w:rsid w:val="00D27B58"/>
    <w:rsid w:val="00D30765"/>
    <w:rsid w:val="00D318E8"/>
    <w:rsid w:val="00D31E44"/>
    <w:rsid w:val="00D3249C"/>
    <w:rsid w:val="00D343C8"/>
    <w:rsid w:val="00D34914"/>
    <w:rsid w:val="00D361FC"/>
    <w:rsid w:val="00D37298"/>
    <w:rsid w:val="00D41158"/>
    <w:rsid w:val="00D41316"/>
    <w:rsid w:val="00D41A61"/>
    <w:rsid w:val="00D4201C"/>
    <w:rsid w:val="00D42A43"/>
    <w:rsid w:val="00D43007"/>
    <w:rsid w:val="00D44416"/>
    <w:rsid w:val="00D44D92"/>
    <w:rsid w:val="00D46D57"/>
    <w:rsid w:val="00D47762"/>
    <w:rsid w:val="00D47D25"/>
    <w:rsid w:val="00D5123E"/>
    <w:rsid w:val="00D537C0"/>
    <w:rsid w:val="00D55C1F"/>
    <w:rsid w:val="00D55D35"/>
    <w:rsid w:val="00D56284"/>
    <w:rsid w:val="00D56D05"/>
    <w:rsid w:val="00D5783B"/>
    <w:rsid w:val="00D60FD4"/>
    <w:rsid w:val="00D63FFA"/>
    <w:rsid w:val="00D643A9"/>
    <w:rsid w:val="00D64ABB"/>
    <w:rsid w:val="00D65B7C"/>
    <w:rsid w:val="00D65B8D"/>
    <w:rsid w:val="00D65F07"/>
    <w:rsid w:val="00D66B4C"/>
    <w:rsid w:val="00D67EE7"/>
    <w:rsid w:val="00D709B4"/>
    <w:rsid w:val="00D71224"/>
    <w:rsid w:val="00D71551"/>
    <w:rsid w:val="00D732BA"/>
    <w:rsid w:val="00D735CE"/>
    <w:rsid w:val="00D736A8"/>
    <w:rsid w:val="00D73FCF"/>
    <w:rsid w:val="00D75DC0"/>
    <w:rsid w:val="00D77DDA"/>
    <w:rsid w:val="00D8193F"/>
    <w:rsid w:val="00D859C1"/>
    <w:rsid w:val="00D86C8B"/>
    <w:rsid w:val="00D922DF"/>
    <w:rsid w:val="00D92449"/>
    <w:rsid w:val="00D9302D"/>
    <w:rsid w:val="00D93D86"/>
    <w:rsid w:val="00D93D8D"/>
    <w:rsid w:val="00D94EE9"/>
    <w:rsid w:val="00D951DA"/>
    <w:rsid w:val="00D9714A"/>
    <w:rsid w:val="00D97208"/>
    <w:rsid w:val="00D9767C"/>
    <w:rsid w:val="00D97E09"/>
    <w:rsid w:val="00DA00F5"/>
    <w:rsid w:val="00DA0211"/>
    <w:rsid w:val="00DA17D3"/>
    <w:rsid w:val="00DA1FF9"/>
    <w:rsid w:val="00DA250E"/>
    <w:rsid w:val="00DA36FA"/>
    <w:rsid w:val="00DA3AF9"/>
    <w:rsid w:val="00DA3DB9"/>
    <w:rsid w:val="00DA4615"/>
    <w:rsid w:val="00DA5530"/>
    <w:rsid w:val="00DA7571"/>
    <w:rsid w:val="00DA7918"/>
    <w:rsid w:val="00DB1D28"/>
    <w:rsid w:val="00DB1EEA"/>
    <w:rsid w:val="00DB5ADF"/>
    <w:rsid w:val="00DB6B71"/>
    <w:rsid w:val="00DC1E58"/>
    <w:rsid w:val="00DC3C74"/>
    <w:rsid w:val="00DC470C"/>
    <w:rsid w:val="00DC5F9D"/>
    <w:rsid w:val="00DD11D2"/>
    <w:rsid w:val="00DD1D34"/>
    <w:rsid w:val="00DD3250"/>
    <w:rsid w:val="00DD4DEE"/>
    <w:rsid w:val="00DD687E"/>
    <w:rsid w:val="00DD7663"/>
    <w:rsid w:val="00DD7F05"/>
    <w:rsid w:val="00DE0978"/>
    <w:rsid w:val="00DE0DF7"/>
    <w:rsid w:val="00DE178F"/>
    <w:rsid w:val="00DE1EA4"/>
    <w:rsid w:val="00DE29E9"/>
    <w:rsid w:val="00DE305B"/>
    <w:rsid w:val="00DE5088"/>
    <w:rsid w:val="00DE6D56"/>
    <w:rsid w:val="00DE7217"/>
    <w:rsid w:val="00DE7931"/>
    <w:rsid w:val="00DF04DC"/>
    <w:rsid w:val="00DF0C0B"/>
    <w:rsid w:val="00DF0E2D"/>
    <w:rsid w:val="00DF1CCA"/>
    <w:rsid w:val="00DF38EB"/>
    <w:rsid w:val="00DF5F4E"/>
    <w:rsid w:val="00DF62D7"/>
    <w:rsid w:val="00DF7565"/>
    <w:rsid w:val="00E0009C"/>
    <w:rsid w:val="00E0050D"/>
    <w:rsid w:val="00E01AAF"/>
    <w:rsid w:val="00E01B12"/>
    <w:rsid w:val="00E01D73"/>
    <w:rsid w:val="00E03D14"/>
    <w:rsid w:val="00E04DEA"/>
    <w:rsid w:val="00E05164"/>
    <w:rsid w:val="00E05222"/>
    <w:rsid w:val="00E0751B"/>
    <w:rsid w:val="00E07CAD"/>
    <w:rsid w:val="00E10AE1"/>
    <w:rsid w:val="00E10E3A"/>
    <w:rsid w:val="00E1190A"/>
    <w:rsid w:val="00E11C56"/>
    <w:rsid w:val="00E1284B"/>
    <w:rsid w:val="00E12FE1"/>
    <w:rsid w:val="00E13161"/>
    <w:rsid w:val="00E14C18"/>
    <w:rsid w:val="00E158A5"/>
    <w:rsid w:val="00E178FA"/>
    <w:rsid w:val="00E2091C"/>
    <w:rsid w:val="00E2130E"/>
    <w:rsid w:val="00E21720"/>
    <w:rsid w:val="00E21E59"/>
    <w:rsid w:val="00E24641"/>
    <w:rsid w:val="00E24E6B"/>
    <w:rsid w:val="00E25F3A"/>
    <w:rsid w:val="00E31229"/>
    <w:rsid w:val="00E32E4E"/>
    <w:rsid w:val="00E33030"/>
    <w:rsid w:val="00E33229"/>
    <w:rsid w:val="00E3356B"/>
    <w:rsid w:val="00E3527E"/>
    <w:rsid w:val="00E352FD"/>
    <w:rsid w:val="00E358E4"/>
    <w:rsid w:val="00E40FB4"/>
    <w:rsid w:val="00E4134C"/>
    <w:rsid w:val="00E41498"/>
    <w:rsid w:val="00E437C0"/>
    <w:rsid w:val="00E45037"/>
    <w:rsid w:val="00E4542D"/>
    <w:rsid w:val="00E46FA3"/>
    <w:rsid w:val="00E479BD"/>
    <w:rsid w:val="00E47BDA"/>
    <w:rsid w:val="00E5102A"/>
    <w:rsid w:val="00E52FDC"/>
    <w:rsid w:val="00E55168"/>
    <w:rsid w:val="00E57BF5"/>
    <w:rsid w:val="00E62131"/>
    <w:rsid w:val="00E6246F"/>
    <w:rsid w:val="00E625FB"/>
    <w:rsid w:val="00E62E72"/>
    <w:rsid w:val="00E63601"/>
    <w:rsid w:val="00E638C9"/>
    <w:rsid w:val="00E6422E"/>
    <w:rsid w:val="00E6440F"/>
    <w:rsid w:val="00E64655"/>
    <w:rsid w:val="00E6551F"/>
    <w:rsid w:val="00E6680B"/>
    <w:rsid w:val="00E66816"/>
    <w:rsid w:val="00E66957"/>
    <w:rsid w:val="00E66B0A"/>
    <w:rsid w:val="00E66DCB"/>
    <w:rsid w:val="00E704F8"/>
    <w:rsid w:val="00E70CFF"/>
    <w:rsid w:val="00E70D01"/>
    <w:rsid w:val="00E72080"/>
    <w:rsid w:val="00E72331"/>
    <w:rsid w:val="00E74D2C"/>
    <w:rsid w:val="00E77571"/>
    <w:rsid w:val="00E80EBA"/>
    <w:rsid w:val="00E8794A"/>
    <w:rsid w:val="00E90250"/>
    <w:rsid w:val="00E90CA5"/>
    <w:rsid w:val="00E90CE5"/>
    <w:rsid w:val="00E90DAC"/>
    <w:rsid w:val="00E94121"/>
    <w:rsid w:val="00E947EC"/>
    <w:rsid w:val="00EA0032"/>
    <w:rsid w:val="00EA008F"/>
    <w:rsid w:val="00EA19A2"/>
    <w:rsid w:val="00EA418A"/>
    <w:rsid w:val="00EA477A"/>
    <w:rsid w:val="00EA53EC"/>
    <w:rsid w:val="00EA723C"/>
    <w:rsid w:val="00EA787F"/>
    <w:rsid w:val="00EB2668"/>
    <w:rsid w:val="00EB2AD8"/>
    <w:rsid w:val="00EB3804"/>
    <w:rsid w:val="00EB6728"/>
    <w:rsid w:val="00EB7EBC"/>
    <w:rsid w:val="00EB7ECA"/>
    <w:rsid w:val="00EC2193"/>
    <w:rsid w:val="00EC22CD"/>
    <w:rsid w:val="00EC4BEE"/>
    <w:rsid w:val="00EC605F"/>
    <w:rsid w:val="00EC6416"/>
    <w:rsid w:val="00EC7E0C"/>
    <w:rsid w:val="00ED24C6"/>
    <w:rsid w:val="00ED264A"/>
    <w:rsid w:val="00ED26B2"/>
    <w:rsid w:val="00ED2A0D"/>
    <w:rsid w:val="00ED4D13"/>
    <w:rsid w:val="00ED5B11"/>
    <w:rsid w:val="00EE00F4"/>
    <w:rsid w:val="00EE111D"/>
    <w:rsid w:val="00EE1A11"/>
    <w:rsid w:val="00EE2294"/>
    <w:rsid w:val="00EE25A0"/>
    <w:rsid w:val="00EE2E28"/>
    <w:rsid w:val="00EE3039"/>
    <w:rsid w:val="00EE3AE9"/>
    <w:rsid w:val="00EE40B7"/>
    <w:rsid w:val="00EE4266"/>
    <w:rsid w:val="00EE4759"/>
    <w:rsid w:val="00EE499D"/>
    <w:rsid w:val="00EE5A1B"/>
    <w:rsid w:val="00EE5DFE"/>
    <w:rsid w:val="00EE604A"/>
    <w:rsid w:val="00EE640C"/>
    <w:rsid w:val="00EE699C"/>
    <w:rsid w:val="00EE7157"/>
    <w:rsid w:val="00EF17A1"/>
    <w:rsid w:val="00EF1B0E"/>
    <w:rsid w:val="00EF2706"/>
    <w:rsid w:val="00EF2FDF"/>
    <w:rsid w:val="00EF5A38"/>
    <w:rsid w:val="00EF6E07"/>
    <w:rsid w:val="00F0051B"/>
    <w:rsid w:val="00F0133B"/>
    <w:rsid w:val="00F02F98"/>
    <w:rsid w:val="00F0380E"/>
    <w:rsid w:val="00F046F9"/>
    <w:rsid w:val="00F04C56"/>
    <w:rsid w:val="00F067C4"/>
    <w:rsid w:val="00F078CB"/>
    <w:rsid w:val="00F07C65"/>
    <w:rsid w:val="00F117AD"/>
    <w:rsid w:val="00F12CB8"/>
    <w:rsid w:val="00F13A88"/>
    <w:rsid w:val="00F1425D"/>
    <w:rsid w:val="00F17159"/>
    <w:rsid w:val="00F178E5"/>
    <w:rsid w:val="00F20F25"/>
    <w:rsid w:val="00F230E4"/>
    <w:rsid w:val="00F23FC4"/>
    <w:rsid w:val="00F24972"/>
    <w:rsid w:val="00F24CDD"/>
    <w:rsid w:val="00F25AD7"/>
    <w:rsid w:val="00F2677A"/>
    <w:rsid w:val="00F26A41"/>
    <w:rsid w:val="00F30F62"/>
    <w:rsid w:val="00F34818"/>
    <w:rsid w:val="00F34B62"/>
    <w:rsid w:val="00F35F9D"/>
    <w:rsid w:val="00F378D0"/>
    <w:rsid w:val="00F37F57"/>
    <w:rsid w:val="00F40160"/>
    <w:rsid w:val="00F44322"/>
    <w:rsid w:val="00F449C7"/>
    <w:rsid w:val="00F45878"/>
    <w:rsid w:val="00F459E8"/>
    <w:rsid w:val="00F45B63"/>
    <w:rsid w:val="00F47677"/>
    <w:rsid w:val="00F502C8"/>
    <w:rsid w:val="00F50984"/>
    <w:rsid w:val="00F52A14"/>
    <w:rsid w:val="00F53535"/>
    <w:rsid w:val="00F53D99"/>
    <w:rsid w:val="00F54608"/>
    <w:rsid w:val="00F56004"/>
    <w:rsid w:val="00F61388"/>
    <w:rsid w:val="00F639F9"/>
    <w:rsid w:val="00F64918"/>
    <w:rsid w:val="00F64F73"/>
    <w:rsid w:val="00F65080"/>
    <w:rsid w:val="00F66099"/>
    <w:rsid w:val="00F66896"/>
    <w:rsid w:val="00F676BF"/>
    <w:rsid w:val="00F67EA5"/>
    <w:rsid w:val="00F712C2"/>
    <w:rsid w:val="00F714CD"/>
    <w:rsid w:val="00F72A01"/>
    <w:rsid w:val="00F73B33"/>
    <w:rsid w:val="00F747F4"/>
    <w:rsid w:val="00F75231"/>
    <w:rsid w:val="00F752E9"/>
    <w:rsid w:val="00F7564E"/>
    <w:rsid w:val="00F762EB"/>
    <w:rsid w:val="00F76637"/>
    <w:rsid w:val="00F771E6"/>
    <w:rsid w:val="00F77305"/>
    <w:rsid w:val="00F77660"/>
    <w:rsid w:val="00F777BD"/>
    <w:rsid w:val="00F801E1"/>
    <w:rsid w:val="00F80A2C"/>
    <w:rsid w:val="00F80AD8"/>
    <w:rsid w:val="00F81848"/>
    <w:rsid w:val="00F8290A"/>
    <w:rsid w:val="00F8315E"/>
    <w:rsid w:val="00F8460C"/>
    <w:rsid w:val="00F848CD"/>
    <w:rsid w:val="00F85AC2"/>
    <w:rsid w:val="00F85AE7"/>
    <w:rsid w:val="00F86773"/>
    <w:rsid w:val="00F86A6C"/>
    <w:rsid w:val="00F86D2E"/>
    <w:rsid w:val="00F871D8"/>
    <w:rsid w:val="00F8726D"/>
    <w:rsid w:val="00F8786F"/>
    <w:rsid w:val="00F87B19"/>
    <w:rsid w:val="00F901BF"/>
    <w:rsid w:val="00F90479"/>
    <w:rsid w:val="00F909E1"/>
    <w:rsid w:val="00F90FE9"/>
    <w:rsid w:val="00F91396"/>
    <w:rsid w:val="00F92980"/>
    <w:rsid w:val="00F963E1"/>
    <w:rsid w:val="00F966E2"/>
    <w:rsid w:val="00F97DBA"/>
    <w:rsid w:val="00FA2B5C"/>
    <w:rsid w:val="00FA5563"/>
    <w:rsid w:val="00FA6659"/>
    <w:rsid w:val="00FA6F2F"/>
    <w:rsid w:val="00FA790B"/>
    <w:rsid w:val="00FA7EF7"/>
    <w:rsid w:val="00FB0D0E"/>
    <w:rsid w:val="00FB1BE4"/>
    <w:rsid w:val="00FB1CB0"/>
    <w:rsid w:val="00FB2116"/>
    <w:rsid w:val="00FB47BC"/>
    <w:rsid w:val="00FB650E"/>
    <w:rsid w:val="00FB69F5"/>
    <w:rsid w:val="00FC0176"/>
    <w:rsid w:val="00FC01F6"/>
    <w:rsid w:val="00FC1D10"/>
    <w:rsid w:val="00FC20EC"/>
    <w:rsid w:val="00FC2C13"/>
    <w:rsid w:val="00FC2ECC"/>
    <w:rsid w:val="00FC3B89"/>
    <w:rsid w:val="00FC6A12"/>
    <w:rsid w:val="00FC75B4"/>
    <w:rsid w:val="00FD001E"/>
    <w:rsid w:val="00FD0886"/>
    <w:rsid w:val="00FD3EC5"/>
    <w:rsid w:val="00FD479C"/>
    <w:rsid w:val="00FD5E0A"/>
    <w:rsid w:val="00FE06FD"/>
    <w:rsid w:val="00FE109B"/>
    <w:rsid w:val="00FE28BE"/>
    <w:rsid w:val="00FE5D40"/>
    <w:rsid w:val="00FE7E39"/>
    <w:rsid w:val="00FE7F3A"/>
    <w:rsid w:val="00FF0F68"/>
    <w:rsid w:val="00FF11D0"/>
    <w:rsid w:val="00FF3EC6"/>
    <w:rsid w:val="00FF422B"/>
    <w:rsid w:val="00FF4308"/>
    <w:rsid w:val="00FF4CD2"/>
    <w:rsid w:val="00FF5D91"/>
    <w:rsid w:val="00FF7893"/>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C4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DB"/>
  </w:style>
  <w:style w:type="paragraph" w:styleId="Heading1">
    <w:name w:val="heading 1"/>
    <w:basedOn w:val="Normal"/>
    <w:next w:val="Normal"/>
    <w:link w:val="Heading1Char"/>
    <w:uiPriority w:val="9"/>
    <w:qFormat/>
    <w:rsid w:val="00F85AE7"/>
    <w:pPr>
      <w:numPr>
        <w:numId w:val="3"/>
      </w:numPr>
      <w:overflowPunct w:val="0"/>
      <w:autoSpaceDE w:val="0"/>
      <w:autoSpaceDN w:val="0"/>
      <w:adjustRightInd w:val="0"/>
      <w:spacing w:after="0" w:line="288" w:lineRule="auto"/>
      <w:jc w:val="both"/>
      <w:textAlignment w:val="baseline"/>
      <w:outlineLvl w:val="0"/>
    </w:pPr>
    <w:rPr>
      <w:rFonts w:ascii="Times New Roman" w:eastAsia="Times New Roman" w:hAnsi="Times New Roman" w:cs="Times New Roman"/>
      <w:kern w:val="28"/>
    </w:rPr>
  </w:style>
  <w:style w:type="paragraph" w:styleId="Heading2">
    <w:name w:val="heading 2"/>
    <w:basedOn w:val="Normal"/>
    <w:next w:val="Normal"/>
    <w:link w:val="Heading2Char"/>
    <w:uiPriority w:val="9"/>
    <w:qFormat/>
    <w:rsid w:val="00F85AE7"/>
    <w:pPr>
      <w:numPr>
        <w:ilvl w:val="1"/>
        <w:numId w:val="3"/>
      </w:numPr>
      <w:overflowPunct w:val="0"/>
      <w:autoSpaceDE w:val="0"/>
      <w:autoSpaceDN w:val="0"/>
      <w:adjustRightInd w:val="0"/>
      <w:spacing w:after="0" w:line="288" w:lineRule="auto"/>
      <w:ind w:left="720" w:hanging="720"/>
      <w:jc w:val="both"/>
      <w:textAlignment w:val="baseline"/>
      <w:outlineLvl w:val="1"/>
    </w:pPr>
    <w:rPr>
      <w:rFonts w:ascii="Times New Roman" w:eastAsia="Times New Roman" w:hAnsi="Times New Roman" w:cs="Times New Roman"/>
    </w:rPr>
  </w:style>
  <w:style w:type="paragraph" w:styleId="Heading3">
    <w:name w:val="heading 3"/>
    <w:basedOn w:val="Normal"/>
    <w:next w:val="Normal"/>
    <w:link w:val="Heading3Char"/>
    <w:uiPriority w:val="9"/>
    <w:qFormat/>
    <w:rsid w:val="00F85AE7"/>
    <w:pPr>
      <w:numPr>
        <w:ilvl w:val="2"/>
        <w:numId w:val="3"/>
      </w:numPr>
      <w:overflowPunct w:val="0"/>
      <w:autoSpaceDE w:val="0"/>
      <w:autoSpaceDN w:val="0"/>
      <w:adjustRightInd w:val="0"/>
      <w:spacing w:after="0" w:line="288" w:lineRule="auto"/>
      <w:ind w:left="720" w:hanging="720"/>
      <w:jc w:val="both"/>
      <w:textAlignment w:val="baseline"/>
      <w:outlineLvl w:val="2"/>
    </w:pPr>
    <w:rPr>
      <w:rFonts w:ascii="Times New Roman" w:eastAsia="Times New Roman" w:hAnsi="Times New Roman" w:cs="Times New Roman"/>
    </w:rPr>
  </w:style>
  <w:style w:type="paragraph" w:styleId="Heading4">
    <w:name w:val="heading 4"/>
    <w:basedOn w:val="Normal"/>
    <w:next w:val="Normal"/>
    <w:link w:val="Heading4Char"/>
    <w:uiPriority w:val="9"/>
    <w:qFormat/>
    <w:rsid w:val="00F85AE7"/>
    <w:pPr>
      <w:numPr>
        <w:ilvl w:val="3"/>
        <w:numId w:val="3"/>
      </w:numPr>
      <w:overflowPunct w:val="0"/>
      <w:autoSpaceDE w:val="0"/>
      <w:autoSpaceDN w:val="0"/>
      <w:adjustRightInd w:val="0"/>
      <w:spacing w:after="0" w:line="288" w:lineRule="auto"/>
      <w:ind w:left="720" w:hanging="720"/>
      <w:jc w:val="both"/>
      <w:textAlignment w:val="baseline"/>
      <w:outlineLvl w:val="3"/>
    </w:pPr>
    <w:rPr>
      <w:rFonts w:ascii="Times New Roman" w:eastAsia="Times New Roman" w:hAnsi="Times New Roman" w:cs="Times New Roman"/>
    </w:rPr>
  </w:style>
  <w:style w:type="paragraph" w:styleId="Heading5">
    <w:name w:val="heading 5"/>
    <w:basedOn w:val="Normal"/>
    <w:next w:val="Normal"/>
    <w:link w:val="Heading5Char"/>
    <w:uiPriority w:val="9"/>
    <w:qFormat/>
    <w:rsid w:val="00F85AE7"/>
    <w:pPr>
      <w:numPr>
        <w:ilvl w:val="4"/>
        <w:numId w:val="3"/>
      </w:numPr>
      <w:overflowPunct w:val="0"/>
      <w:autoSpaceDE w:val="0"/>
      <w:autoSpaceDN w:val="0"/>
      <w:adjustRightInd w:val="0"/>
      <w:spacing w:after="0" w:line="288" w:lineRule="auto"/>
      <w:ind w:left="720" w:hanging="720"/>
      <w:jc w:val="both"/>
      <w:textAlignment w:val="baseline"/>
      <w:outlineLvl w:val="4"/>
    </w:pPr>
    <w:rPr>
      <w:rFonts w:ascii="Times New Roman" w:eastAsia="Times New Roman" w:hAnsi="Times New Roman" w:cs="Times New Roman"/>
    </w:rPr>
  </w:style>
  <w:style w:type="paragraph" w:styleId="Heading6">
    <w:name w:val="heading 6"/>
    <w:basedOn w:val="Normal"/>
    <w:next w:val="Normal"/>
    <w:link w:val="Heading6Char"/>
    <w:uiPriority w:val="9"/>
    <w:qFormat/>
    <w:rsid w:val="00F85AE7"/>
    <w:pPr>
      <w:numPr>
        <w:ilvl w:val="5"/>
        <w:numId w:val="3"/>
      </w:numPr>
      <w:overflowPunct w:val="0"/>
      <w:autoSpaceDE w:val="0"/>
      <w:autoSpaceDN w:val="0"/>
      <w:adjustRightInd w:val="0"/>
      <w:spacing w:after="0" w:line="288" w:lineRule="auto"/>
      <w:ind w:left="720" w:hanging="720"/>
      <w:jc w:val="both"/>
      <w:textAlignment w:val="baseline"/>
      <w:outlineLvl w:val="5"/>
    </w:pPr>
    <w:rPr>
      <w:rFonts w:ascii="Times New Roman" w:eastAsia="Times New Roman" w:hAnsi="Times New Roman" w:cs="Times New Roman"/>
    </w:rPr>
  </w:style>
  <w:style w:type="paragraph" w:styleId="Heading7">
    <w:name w:val="heading 7"/>
    <w:basedOn w:val="Normal"/>
    <w:next w:val="Normal"/>
    <w:link w:val="Heading7Char"/>
    <w:uiPriority w:val="9"/>
    <w:qFormat/>
    <w:rsid w:val="00F85AE7"/>
    <w:pPr>
      <w:numPr>
        <w:ilvl w:val="6"/>
        <w:numId w:val="3"/>
      </w:numPr>
      <w:overflowPunct w:val="0"/>
      <w:autoSpaceDE w:val="0"/>
      <w:autoSpaceDN w:val="0"/>
      <w:adjustRightInd w:val="0"/>
      <w:spacing w:after="0" w:line="288" w:lineRule="auto"/>
      <w:ind w:left="720" w:hanging="720"/>
      <w:jc w:val="both"/>
      <w:textAlignment w:val="baseline"/>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F85AE7"/>
    <w:pPr>
      <w:numPr>
        <w:ilvl w:val="7"/>
        <w:numId w:val="3"/>
      </w:numPr>
      <w:overflowPunct w:val="0"/>
      <w:autoSpaceDE w:val="0"/>
      <w:autoSpaceDN w:val="0"/>
      <w:adjustRightInd w:val="0"/>
      <w:spacing w:after="0" w:line="288" w:lineRule="auto"/>
      <w:ind w:left="720" w:hanging="720"/>
      <w:jc w:val="both"/>
      <w:textAlignment w:val="baseline"/>
      <w:outlineLvl w:val="7"/>
    </w:pPr>
    <w:rPr>
      <w:rFonts w:ascii="Times New Roman" w:eastAsia="Times New Roman" w:hAnsi="Times New Roman" w:cs="Times New Roman"/>
    </w:rPr>
  </w:style>
  <w:style w:type="paragraph" w:styleId="Heading9">
    <w:name w:val="heading 9"/>
    <w:basedOn w:val="Normal"/>
    <w:next w:val="Normal"/>
    <w:link w:val="Heading9Char"/>
    <w:uiPriority w:val="9"/>
    <w:qFormat/>
    <w:rsid w:val="00F85AE7"/>
    <w:pPr>
      <w:numPr>
        <w:ilvl w:val="8"/>
        <w:numId w:val="3"/>
      </w:numPr>
      <w:overflowPunct w:val="0"/>
      <w:autoSpaceDE w:val="0"/>
      <w:autoSpaceDN w:val="0"/>
      <w:adjustRightInd w:val="0"/>
      <w:spacing w:after="0" w:line="288" w:lineRule="auto"/>
      <w:ind w:left="720" w:hanging="720"/>
      <w:jc w:val="both"/>
      <w:textAlignment w:val="baseline"/>
      <w:outlineLvl w:val="8"/>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pedudocumentcp">
    <w:name w:val="typedudocument_cp"/>
    <w:basedOn w:val="Normal"/>
    <w:link w:val="typedudocumentcpChar"/>
    <w:rsid w:val="00B2797C"/>
    <w:pPr>
      <w:spacing w:before="100" w:beforeAutospacing="1" w:after="100" w:afterAutospacing="1" w:line="240" w:lineRule="auto"/>
    </w:pPr>
    <w:rPr>
      <w:rFonts w:ascii="Times New Roman" w:eastAsia="Times New Roman" w:hAnsi="Times New Roman" w:cs="Times New Roman"/>
      <w:sz w:val="24"/>
    </w:rPr>
  </w:style>
  <w:style w:type="paragraph" w:customStyle="1" w:styleId="titreobjetcp">
    <w:name w:val="titreobjet_cp"/>
    <w:basedOn w:val="Normal"/>
    <w:rsid w:val="00B2797C"/>
    <w:pPr>
      <w:spacing w:before="100" w:beforeAutospacing="1" w:after="100" w:afterAutospacing="1" w:line="240" w:lineRule="auto"/>
    </w:pPr>
    <w:rPr>
      <w:rFonts w:ascii="Times New Roman" w:eastAsia="Times New Roman" w:hAnsi="Times New Roman" w:cs="Times New Roman"/>
      <w:sz w:val="24"/>
    </w:rPr>
  </w:style>
  <w:style w:type="paragraph" w:customStyle="1" w:styleId="crossreferencecp">
    <w:name w:val="crossreference_cp"/>
    <w:basedOn w:val="Normal"/>
    <w:rsid w:val="00B2797C"/>
    <w:pPr>
      <w:spacing w:before="100" w:beforeAutospacing="1" w:after="100" w:afterAutospacing="1" w:line="240" w:lineRule="auto"/>
    </w:pPr>
    <w:rPr>
      <w:rFonts w:ascii="Times New Roman" w:eastAsia="Times New Roman" w:hAnsi="Times New Roman" w:cs="Times New Roman"/>
      <w:sz w:val="24"/>
    </w:rPr>
  </w:style>
  <w:style w:type="paragraph" w:customStyle="1" w:styleId="emission">
    <w:name w:val="emission"/>
    <w:basedOn w:val="Normal"/>
    <w:rsid w:val="00B2797C"/>
    <w:pPr>
      <w:spacing w:before="100" w:beforeAutospacing="1" w:after="100" w:afterAutospacing="1" w:line="240" w:lineRule="auto"/>
    </w:pPr>
    <w:rPr>
      <w:rFonts w:ascii="Times New Roman" w:eastAsia="Times New Roman" w:hAnsi="Times New Roman" w:cs="Times New Roman"/>
      <w:sz w:val="24"/>
    </w:rPr>
  </w:style>
  <w:style w:type="paragraph" w:customStyle="1" w:styleId="rfrenceinstitutionnelle">
    <w:name w:val="rfrenceinstitutionnelle"/>
    <w:basedOn w:val="Normal"/>
    <w:rsid w:val="00B2797C"/>
    <w:pPr>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B27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97C"/>
  </w:style>
  <w:style w:type="paragraph" w:styleId="Footer">
    <w:name w:val="footer"/>
    <w:basedOn w:val="Normal"/>
    <w:link w:val="FooterChar"/>
    <w:uiPriority w:val="99"/>
    <w:unhideWhenUsed/>
    <w:rsid w:val="00B27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97C"/>
  </w:style>
  <w:style w:type="paragraph" w:customStyle="1" w:styleId="FooterCoverPage">
    <w:name w:val="Footer Cover Page"/>
    <w:basedOn w:val="Normal"/>
    <w:link w:val="FooterCoverPageChar"/>
    <w:rsid w:val="00B2797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2797C"/>
    <w:rPr>
      <w:rFonts w:ascii="Times New Roman" w:hAnsi="Times New Roman" w:cs="Times New Roman"/>
      <w:sz w:val="24"/>
    </w:rPr>
  </w:style>
  <w:style w:type="paragraph" w:styleId="FootnoteText">
    <w:name w:val="footnote text"/>
    <w:basedOn w:val="Normal"/>
    <w:link w:val="FootnoteTextChar"/>
    <w:uiPriority w:val="99"/>
    <w:unhideWhenUsed/>
    <w:qFormat/>
    <w:rsid w:val="00B2797C"/>
    <w:pPr>
      <w:spacing w:after="0" w:line="240" w:lineRule="auto"/>
    </w:pPr>
    <w:rPr>
      <w:sz w:val="20"/>
    </w:rPr>
  </w:style>
  <w:style w:type="character" w:customStyle="1" w:styleId="FootnoteTextChar">
    <w:name w:val="Footnote Text Char"/>
    <w:basedOn w:val="DefaultParagraphFont"/>
    <w:link w:val="FootnoteText"/>
    <w:uiPriority w:val="99"/>
    <w:qFormat/>
    <w:rsid w:val="00B2797C"/>
    <w:rPr>
      <w:sz w:val="20"/>
    </w:rPr>
  </w:style>
  <w:style w:type="character" w:styleId="FootnoteReference">
    <w:name w:val="footnote reference"/>
    <w:basedOn w:val="DefaultParagraphFont"/>
    <w:link w:val="ftrefCharCharCharCharCharCharCharCharChar"/>
    <w:uiPriority w:val="99"/>
    <w:unhideWhenUsed/>
    <w:qFormat/>
    <w:rsid w:val="00B2797C"/>
    <w:rPr>
      <w:vertAlign w:val="superscript"/>
    </w:rPr>
  </w:style>
  <w:style w:type="paragraph" w:styleId="ListParagraph">
    <w:name w:val="List Paragraph"/>
    <w:basedOn w:val="Normal"/>
    <w:link w:val="ListParagraphChar"/>
    <w:uiPriority w:val="34"/>
    <w:qFormat/>
    <w:rsid w:val="00433E2B"/>
    <w:pPr>
      <w:spacing w:after="0" w:line="240" w:lineRule="auto"/>
      <w:ind w:left="720"/>
      <w:contextualSpacing/>
    </w:pPr>
    <w:rPr>
      <w:rFonts w:eastAsiaTheme="minorEastAsia"/>
      <w:sz w:val="24"/>
    </w:rPr>
  </w:style>
  <w:style w:type="table" w:styleId="TableGrid">
    <w:name w:val="Table Grid"/>
    <w:basedOn w:val="TableNormal"/>
    <w:uiPriority w:val="39"/>
    <w:rsid w:val="00433E2B"/>
    <w:pPr>
      <w:spacing w:after="0" w:line="240" w:lineRule="auto"/>
    </w:pPr>
    <w:rPr>
      <w:rFonts w:eastAsia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sid w:val="00CC5C64"/>
    <w:rPr>
      <w:rFonts w:eastAsiaTheme="minorEastAsia"/>
      <w:sz w:val="24"/>
    </w:rPr>
  </w:style>
  <w:style w:type="character" w:styleId="Hyperlink">
    <w:name w:val="Hyperlink"/>
    <w:basedOn w:val="DefaultParagraphFont"/>
    <w:uiPriority w:val="99"/>
    <w:unhideWhenUsed/>
    <w:rsid w:val="008171A0"/>
    <w:rPr>
      <w:color w:val="0563C1" w:themeColor="hyperlink"/>
      <w:u w:val="single"/>
    </w:rPr>
  </w:style>
  <w:style w:type="character" w:styleId="CommentReference">
    <w:name w:val="annotation reference"/>
    <w:basedOn w:val="DefaultParagraphFont"/>
    <w:uiPriority w:val="99"/>
    <w:semiHidden/>
    <w:unhideWhenUsed/>
    <w:rsid w:val="008171A0"/>
    <w:rPr>
      <w:sz w:val="16"/>
    </w:rPr>
  </w:style>
  <w:style w:type="paragraph" w:styleId="CommentText">
    <w:name w:val="annotation text"/>
    <w:basedOn w:val="Normal"/>
    <w:link w:val="CommentTextChar"/>
    <w:uiPriority w:val="99"/>
    <w:unhideWhenUsed/>
    <w:rsid w:val="008171A0"/>
    <w:pPr>
      <w:spacing w:after="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rsid w:val="008171A0"/>
    <w:rPr>
      <w:rFonts w:ascii="Calibri" w:eastAsia="Calibri" w:hAnsi="Calibri" w:cs="Calibri"/>
      <w:sz w:val="20"/>
    </w:rPr>
  </w:style>
  <w:style w:type="paragraph" w:styleId="BalloonText">
    <w:name w:val="Balloon Text"/>
    <w:basedOn w:val="Normal"/>
    <w:link w:val="BalloonTextChar"/>
    <w:uiPriority w:val="99"/>
    <w:semiHidden/>
    <w:unhideWhenUsed/>
    <w:rsid w:val="008171A0"/>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8171A0"/>
    <w:rPr>
      <w:rFonts w:ascii="Segoe UI" w:hAnsi="Segoe UI" w:cs="Segoe UI"/>
      <w:sz w:val="18"/>
    </w:rPr>
  </w:style>
  <w:style w:type="character" w:styleId="Emphasis">
    <w:name w:val="Emphasis"/>
    <w:basedOn w:val="DefaultParagraphFont"/>
    <w:uiPriority w:val="20"/>
    <w:qFormat/>
    <w:rsid w:val="005F404E"/>
    <w:rPr>
      <w:i/>
    </w:rPr>
  </w:style>
  <w:style w:type="paragraph" w:styleId="CommentSubject">
    <w:name w:val="annotation subject"/>
    <w:basedOn w:val="CommentText"/>
    <w:next w:val="CommentText"/>
    <w:link w:val="CommentSubjectChar"/>
    <w:uiPriority w:val="99"/>
    <w:semiHidden/>
    <w:unhideWhenUsed/>
    <w:rsid w:val="00B86F07"/>
    <w:pPr>
      <w:spacing w:after="160"/>
    </w:pPr>
    <w:rPr>
      <w:rFonts w:asciiTheme="minorHAnsi" w:eastAsiaTheme="minorHAnsi" w:hAnsiTheme="minorHAnsi" w:cstheme="minorBidi"/>
      <w:b/>
    </w:rPr>
  </w:style>
  <w:style w:type="character" w:customStyle="1" w:styleId="CommentSubjectChar">
    <w:name w:val="Comment Subject Char"/>
    <w:basedOn w:val="CommentTextChar"/>
    <w:link w:val="CommentSubject"/>
    <w:uiPriority w:val="99"/>
    <w:semiHidden/>
    <w:rsid w:val="00B86F07"/>
    <w:rPr>
      <w:rFonts w:ascii="Calibri" w:eastAsia="Calibri" w:hAnsi="Calibri" w:cs="Calibri"/>
      <w:b/>
      <w:sz w:val="20"/>
    </w:rPr>
  </w:style>
  <w:style w:type="paragraph" w:styleId="Revision">
    <w:name w:val="Revision"/>
    <w:hidden/>
    <w:uiPriority w:val="99"/>
    <w:semiHidden/>
    <w:rsid w:val="00D12293"/>
    <w:pPr>
      <w:spacing w:after="0" w:line="240" w:lineRule="auto"/>
    </w:pPr>
  </w:style>
  <w:style w:type="table" w:customStyle="1" w:styleId="TableGrid1">
    <w:name w:val="Table Grid1"/>
    <w:basedOn w:val="TableNormal"/>
    <w:next w:val="TableGrid"/>
    <w:uiPriority w:val="59"/>
    <w:rsid w:val="00AD7905"/>
    <w:pPr>
      <w:spacing w:after="0" w:line="240" w:lineRule="auto"/>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5AE7"/>
    <w:rPr>
      <w:rFonts w:ascii="Times New Roman" w:eastAsia="Times New Roman" w:hAnsi="Times New Roman" w:cs="Times New Roman"/>
      <w:kern w:val="28"/>
    </w:rPr>
  </w:style>
  <w:style w:type="character" w:customStyle="1" w:styleId="Heading2Char">
    <w:name w:val="Heading 2 Char"/>
    <w:basedOn w:val="DefaultParagraphFont"/>
    <w:link w:val="Heading2"/>
    <w:uiPriority w:val="9"/>
    <w:rsid w:val="00F85AE7"/>
    <w:rPr>
      <w:rFonts w:ascii="Times New Roman" w:eastAsia="Times New Roman" w:hAnsi="Times New Roman" w:cs="Times New Roman"/>
    </w:rPr>
  </w:style>
  <w:style w:type="character" w:customStyle="1" w:styleId="Heading3Char">
    <w:name w:val="Heading 3 Char"/>
    <w:basedOn w:val="DefaultParagraphFont"/>
    <w:link w:val="Heading3"/>
    <w:uiPriority w:val="9"/>
    <w:rsid w:val="00F85AE7"/>
    <w:rPr>
      <w:rFonts w:ascii="Times New Roman" w:eastAsia="Times New Roman" w:hAnsi="Times New Roman" w:cs="Times New Roman"/>
    </w:rPr>
  </w:style>
  <w:style w:type="character" w:customStyle="1" w:styleId="Heading4Char">
    <w:name w:val="Heading 4 Char"/>
    <w:basedOn w:val="DefaultParagraphFont"/>
    <w:link w:val="Heading4"/>
    <w:uiPriority w:val="9"/>
    <w:rsid w:val="00F85AE7"/>
    <w:rPr>
      <w:rFonts w:ascii="Times New Roman" w:eastAsia="Times New Roman" w:hAnsi="Times New Roman" w:cs="Times New Roman"/>
    </w:rPr>
  </w:style>
  <w:style w:type="character" w:customStyle="1" w:styleId="Heading5Char">
    <w:name w:val="Heading 5 Char"/>
    <w:basedOn w:val="DefaultParagraphFont"/>
    <w:link w:val="Heading5"/>
    <w:uiPriority w:val="9"/>
    <w:rsid w:val="00F85AE7"/>
    <w:rPr>
      <w:rFonts w:ascii="Times New Roman" w:eastAsia="Times New Roman" w:hAnsi="Times New Roman" w:cs="Times New Roman"/>
    </w:rPr>
  </w:style>
  <w:style w:type="character" w:customStyle="1" w:styleId="Heading6Char">
    <w:name w:val="Heading 6 Char"/>
    <w:basedOn w:val="DefaultParagraphFont"/>
    <w:link w:val="Heading6"/>
    <w:uiPriority w:val="9"/>
    <w:rsid w:val="00F85AE7"/>
    <w:rPr>
      <w:rFonts w:ascii="Times New Roman" w:eastAsia="Times New Roman" w:hAnsi="Times New Roman" w:cs="Times New Roman"/>
    </w:rPr>
  </w:style>
  <w:style w:type="character" w:customStyle="1" w:styleId="Heading7Char">
    <w:name w:val="Heading 7 Char"/>
    <w:basedOn w:val="DefaultParagraphFont"/>
    <w:link w:val="Heading7"/>
    <w:uiPriority w:val="9"/>
    <w:rsid w:val="00F85AE7"/>
    <w:rPr>
      <w:rFonts w:ascii="Times New Roman" w:eastAsia="Times New Roman" w:hAnsi="Times New Roman" w:cs="Times New Roman"/>
    </w:rPr>
  </w:style>
  <w:style w:type="character" w:customStyle="1" w:styleId="Heading8Char">
    <w:name w:val="Heading 8 Char"/>
    <w:basedOn w:val="DefaultParagraphFont"/>
    <w:link w:val="Heading8"/>
    <w:uiPriority w:val="9"/>
    <w:rsid w:val="00F85AE7"/>
    <w:rPr>
      <w:rFonts w:ascii="Times New Roman" w:eastAsia="Times New Roman" w:hAnsi="Times New Roman" w:cs="Times New Roman"/>
    </w:rPr>
  </w:style>
  <w:style w:type="character" w:customStyle="1" w:styleId="Heading9Char">
    <w:name w:val="Heading 9 Char"/>
    <w:basedOn w:val="DefaultParagraphFont"/>
    <w:link w:val="Heading9"/>
    <w:uiPriority w:val="9"/>
    <w:rsid w:val="00F85AE7"/>
    <w:rPr>
      <w:rFonts w:ascii="Times New Roman" w:eastAsia="Times New Roman" w:hAnsi="Times New Roman" w:cs="Times New Roman"/>
    </w:rPr>
  </w:style>
  <w:style w:type="paragraph" w:customStyle="1" w:styleId="Footnote">
    <w:name w:val="Footnote"/>
    <w:basedOn w:val="Footer"/>
    <w:rsid w:val="00270CAE"/>
  </w:style>
  <w:style w:type="paragraph" w:customStyle="1" w:styleId="ftrefCharCharCharCharCharCharCharCharChar">
    <w:name w:val="ftref Char Char Char Char Char Char Char Char Char"/>
    <w:basedOn w:val="Normal"/>
    <w:next w:val="Normal"/>
    <w:link w:val="FootnoteReference"/>
    <w:uiPriority w:val="99"/>
    <w:rsid w:val="00C20838"/>
    <w:pPr>
      <w:spacing w:line="240" w:lineRule="exact"/>
    </w:pPr>
    <w:rPr>
      <w:vertAlign w:val="superscript"/>
    </w:rPr>
  </w:style>
  <w:style w:type="paragraph" w:customStyle="1" w:styleId="BVIfnrCharCar1CarChar">
    <w:name w:val="BVI fnr Char Car1 Car Char"/>
    <w:basedOn w:val="Normal"/>
    <w:next w:val="Normal"/>
    <w:uiPriority w:val="99"/>
    <w:rsid w:val="00C00B13"/>
    <w:pPr>
      <w:spacing w:after="0" w:line="240" w:lineRule="auto"/>
      <w:jc w:val="both"/>
    </w:pPr>
    <w:rPr>
      <w:vertAlign w:val="superscript"/>
    </w:rPr>
  </w:style>
  <w:style w:type="character" w:customStyle="1" w:styleId="UnresolvedMention1">
    <w:name w:val="Unresolved Mention1"/>
    <w:basedOn w:val="DefaultParagraphFont"/>
    <w:uiPriority w:val="99"/>
    <w:semiHidden/>
    <w:unhideWhenUsed/>
    <w:rsid w:val="00403DD2"/>
    <w:rPr>
      <w:color w:val="605E5C"/>
      <w:shd w:val="clear" w:color="auto" w:fill="E1DFDD"/>
    </w:rPr>
  </w:style>
  <w:style w:type="character" w:customStyle="1" w:styleId="UnresolvedMention2">
    <w:name w:val="Unresolved Mention2"/>
    <w:basedOn w:val="DefaultParagraphFont"/>
    <w:uiPriority w:val="99"/>
    <w:semiHidden/>
    <w:unhideWhenUsed/>
    <w:rsid w:val="00536657"/>
    <w:rPr>
      <w:color w:val="605E5C"/>
      <w:shd w:val="clear" w:color="auto" w:fill="E1DFDD"/>
    </w:rPr>
  </w:style>
  <w:style w:type="paragraph" w:styleId="Caption">
    <w:name w:val="caption"/>
    <w:basedOn w:val="Normal"/>
    <w:next w:val="Normal"/>
    <w:uiPriority w:val="35"/>
    <w:unhideWhenUsed/>
    <w:qFormat/>
    <w:rsid w:val="003A0109"/>
    <w:pPr>
      <w:spacing w:after="200" w:line="240" w:lineRule="auto"/>
    </w:pPr>
    <w:rPr>
      <w:i/>
      <w:color w:val="44546A" w:themeColor="text2"/>
      <w:sz w:val="18"/>
    </w:rPr>
  </w:style>
  <w:style w:type="character" w:customStyle="1" w:styleId="UnresolvedMention3">
    <w:name w:val="Unresolved Mention3"/>
    <w:basedOn w:val="DefaultParagraphFont"/>
    <w:uiPriority w:val="99"/>
    <w:semiHidden/>
    <w:unhideWhenUsed/>
    <w:rsid w:val="0087040D"/>
    <w:rPr>
      <w:color w:val="605E5C"/>
      <w:shd w:val="clear" w:color="auto" w:fill="E1DFDD"/>
    </w:rPr>
  </w:style>
  <w:style w:type="character" w:styleId="FollowedHyperlink">
    <w:name w:val="FollowedHyperlink"/>
    <w:basedOn w:val="DefaultParagraphFont"/>
    <w:uiPriority w:val="99"/>
    <w:semiHidden/>
    <w:unhideWhenUsed/>
    <w:rsid w:val="00594A52"/>
    <w:rPr>
      <w:color w:val="954F72" w:themeColor="followedHyperlink"/>
      <w:u w:val="single"/>
    </w:rPr>
  </w:style>
  <w:style w:type="character" w:customStyle="1" w:styleId="UnresolvedMention4">
    <w:name w:val="Unresolved Mention4"/>
    <w:basedOn w:val="DefaultParagraphFont"/>
    <w:uiPriority w:val="99"/>
    <w:semiHidden/>
    <w:unhideWhenUsed/>
    <w:rsid w:val="00594A52"/>
    <w:rPr>
      <w:color w:val="605E5C"/>
      <w:shd w:val="clear" w:color="auto" w:fill="E1DFDD"/>
    </w:rPr>
  </w:style>
  <w:style w:type="character" w:customStyle="1" w:styleId="normaltextrun">
    <w:name w:val="normaltextrun"/>
    <w:basedOn w:val="DefaultParagraphFont"/>
    <w:rsid w:val="00430E56"/>
  </w:style>
  <w:style w:type="character" w:customStyle="1" w:styleId="UnresolvedMention5">
    <w:name w:val="Unresolved Mention5"/>
    <w:basedOn w:val="DefaultParagraphFont"/>
    <w:uiPriority w:val="99"/>
    <w:semiHidden/>
    <w:unhideWhenUsed/>
    <w:rsid w:val="00B10748"/>
    <w:rPr>
      <w:color w:val="605E5C"/>
      <w:shd w:val="clear" w:color="auto" w:fill="E1DFDD"/>
    </w:rPr>
  </w:style>
  <w:style w:type="character" w:customStyle="1" w:styleId="UnresolvedMention6">
    <w:name w:val="Unresolved Mention6"/>
    <w:basedOn w:val="DefaultParagraphFont"/>
    <w:uiPriority w:val="99"/>
    <w:semiHidden/>
    <w:unhideWhenUsed/>
    <w:rsid w:val="00A8567D"/>
    <w:rPr>
      <w:color w:val="605E5C"/>
      <w:shd w:val="clear" w:color="auto" w:fill="E1DFDD"/>
    </w:rPr>
  </w:style>
  <w:style w:type="paragraph" w:styleId="NoSpacing">
    <w:name w:val="No Spacing"/>
    <w:uiPriority w:val="1"/>
    <w:qFormat/>
    <w:rsid w:val="005F7D3B"/>
    <w:pPr>
      <w:spacing w:after="0" w:line="240" w:lineRule="auto"/>
    </w:pPr>
  </w:style>
  <w:style w:type="character" w:customStyle="1" w:styleId="Normal6Char">
    <w:name w:val="Normal6 Char"/>
    <w:basedOn w:val="DefaultParagraphFont"/>
    <w:link w:val="Normal6"/>
    <w:locked/>
    <w:rsid w:val="008F27A4"/>
    <w:rPr>
      <w:sz w:val="24"/>
    </w:rPr>
  </w:style>
  <w:style w:type="paragraph" w:customStyle="1" w:styleId="Normal6">
    <w:name w:val="Normal6"/>
    <w:basedOn w:val="Normal"/>
    <w:link w:val="Normal6Char"/>
    <w:rsid w:val="008F27A4"/>
    <w:pPr>
      <w:widowControl w:val="0"/>
      <w:spacing w:after="120" w:line="240" w:lineRule="auto"/>
    </w:pPr>
    <w:rPr>
      <w:sz w:val="24"/>
    </w:rPr>
  </w:style>
  <w:style w:type="character" w:customStyle="1" w:styleId="UnresolvedMention7">
    <w:name w:val="Unresolved Mention7"/>
    <w:basedOn w:val="DefaultParagraphFont"/>
    <w:uiPriority w:val="99"/>
    <w:semiHidden/>
    <w:unhideWhenUsed/>
    <w:rsid w:val="004B2F5B"/>
    <w:rPr>
      <w:color w:val="605E5C"/>
      <w:shd w:val="clear" w:color="auto" w:fill="E1DFDD"/>
    </w:rPr>
  </w:style>
  <w:style w:type="character" w:customStyle="1" w:styleId="UnresolvedMention8">
    <w:name w:val="Unresolved Mention8"/>
    <w:basedOn w:val="DefaultParagraphFont"/>
    <w:uiPriority w:val="99"/>
    <w:semiHidden/>
    <w:unhideWhenUsed/>
    <w:rsid w:val="004360C5"/>
    <w:rPr>
      <w:color w:val="605E5C"/>
      <w:shd w:val="clear" w:color="auto" w:fill="E1DFDD"/>
    </w:rPr>
  </w:style>
  <w:style w:type="character" w:customStyle="1" w:styleId="UnresolvedMention9">
    <w:name w:val="Unresolved Mention9"/>
    <w:basedOn w:val="DefaultParagraphFont"/>
    <w:uiPriority w:val="99"/>
    <w:semiHidden/>
    <w:unhideWhenUsed/>
    <w:rsid w:val="009D1861"/>
    <w:rPr>
      <w:color w:val="605E5C"/>
      <w:shd w:val="clear" w:color="auto" w:fill="E1DFDD"/>
    </w:rPr>
  </w:style>
  <w:style w:type="character" w:customStyle="1" w:styleId="Marker">
    <w:name w:val="Marker"/>
    <w:basedOn w:val="DefaultParagraphFont"/>
    <w:rsid w:val="00E0751B"/>
    <w:rPr>
      <w:color w:val="0000FF"/>
      <w:shd w:val="clear" w:color="auto" w:fill="auto"/>
    </w:rPr>
  </w:style>
  <w:style w:type="paragraph" w:customStyle="1" w:styleId="Pagedecouverture">
    <w:name w:val="Page de couverture"/>
    <w:basedOn w:val="Normal"/>
    <w:next w:val="Normal"/>
    <w:rsid w:val="00E0751B"/>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rsid w:val="00E0751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typedudocumentcpChar">
    <w:name w:val="typedudocument_cp Char"/>
    <w:basedOn w:val="DefaultParagraphFont"/>
    <w:link w:val="typedudocumentcp"/>
    <w:rsid w:val="00E0751B"/>
    <w:rPr>
      <w:rFonts w:ascii="Times New Roman" w:eastAsia="Times New Roman" w:hAnsi="Times New Roman" w:cs="Times New Roman"/>
      <w:sz w:val="24"/>
    </w:rPr>
  </w:style>
  <w:style w:type="character" w:customStyle="1" w:styleId="FooterSensitivityChar">
    <w:name w:val="Footer Sensitivity Char"/>
    <w:basedOn w:val="typedudocumentcpChar"/>
    <w:link w:val="FooterSensitivity"/>
    <w:rsid w:val="00E0751B"/>
    <w:rPr>
      <w:rFonts w:ascii="Times New Roman" w:eastAsia="Times New Roman" w:hAnsi="Times New Roman" w:cs="Times New Roman"/>
      <w:b/>
      <w:sz w:val="32"/>
    </w:rPr>
  </w:style>
  <w:style w:type="paragraph" w:customStyle="1" w:styleId="HeaderCoverPage">
    <w:name w:val="Header Cover Page"/>
    <w:basedOn w:val="Normal"/>
    <w:link w:val="HeaderCoverPageChar"/>
    <w:rsid w:val="00E0751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pChar"/>
    <w:link w:val="HeaderCoverPage"/>
    <w:rsid w:val="00E0751B"/>
    <w:rPr>
      <w:rFonts w:ascii="Times New Roman" w:eastAsia="Times New Roman" w:hAnsi="Times New Roman" w:cs="Times New Roman"/>
      <w:sz w:val="24"/>
    </w:rPr>
  </w:style>
  <w:style w:type="paragraph" w:customStyle="1" w:styleId="HeaderSensitivity">
    <w:name w:val="Header Sensitivity"/>
    <w:basedOn w:val="Normal"/>
    <w:link w:val="HeaderSensitivityChar"/>
    <w:rsid w:val="00E0751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pChar"/>
    <w:link w:val="HeaderSensitivity"/>
    <w:rsid w:val="00E0751B"/>
    <w:rPr>
      <w:rFonts w:ascii="Times New Roman" w:eastAsia="Times New Roman" w:hAnsi="Times New Roman" w:cs="Times New Roman"/>
      <w:b/>
      <w:sz w:val="32"/>
    </w:rPr>
  </w:style>
  <w:style w:type="paragraph" w:customStyle="1" w:styleId="HeaderSensitivityRight">
    <w:name w:val="Header Sensitivity Right"/>
    <w:basedOn w:val="Normal"/>
    <w:link w:val="HeaderSensitivityRightChar"/>
    <w:rsid w:val="002804BD"/>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pChar"/>
    <w:link w:val="HeaderSensitivityRight"/>
    <w:rsid w:val="00E0751B"/>
    <w:rPr>
      <w:rFonts w:ascii="Times New Roman" w:eastAsia="Times New Roman" w:hAnsi="Times New Roman" w:cs="Times New Roman"/>
      <w:sz w:val="28"/>
    </w:rPr>
  </w:style>
  <w:style w:type="paragraph" w:styleId="NormalWeb">
    <w:name w:val="Normal (Web)"/>
    <w:basedOn w:val="Normal"/>
    <w:uiPriority w:val="99"/>
    <w:semiHidden/>
    <w:unhideWhenUsed/>
    <w:rsid w:val="003446C9"/>
    <w:pPr>
      <w:spacing w:before="100" w:beforeAutospacing="1" w:after="100" w:afterAutospacing="1" w:line="240" w:lineRule="auto"/>
    </w:pPr>
    <w:rPr>
      <w:rFonts w:ascii="Times New Roman" w:eastAsia="Times New Roman" w:hAnsi="Times New Roman" w:cs="Times New Roman"/>
      <w:sz w:val="24"/>
    </w:rPr>
  </w:style>
  <w:style w:type="character" w:customStyle="1" w:styleId="wtoffscreen">
    <w:name w:val="wtoffscreen"/>
    <w:basedOn w:val="DefaultParagraphFont"/>
    <w:rsid w:val="003446C9"/>
  </w:style>
  <w:style w:type="character" w:customStyle="1" w:styleId="UnresolvedMention10">
    <w:name w:val="Unresolved Mention10"/>
    <w:basedOn w:val="DefaultParagraphFont"/>
    <w:uiPriority w:val="99"/>
    <w:semiHidden/>
    <w:unhideWhenUsed/>
    <w:rsid w:val="006F721F"/>
    <w:rPr>
      <w:color w:val="605E5C"/>
      <w:shd w:val="clear" w:color="auto" w:fill="E1DFDD"/>
    </w:rPr>
  </w:style>
  <w:style w:type="paragraph" w:customStyle="1" w:styleId="Disclaimer">
    <w:name w:val="Disclaimer"/>
    <w:basedOn w:val="Normal"/>
    <w:rsid w:val="002804B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2804BD"/>
    <w:pPr>
      <w:spacing w:after="0" w:line="276" w:lineRule="auto"/>
      <w:ind w:left="5103"/>
    </w:pPr>
    <w:rPr>
      <w:rFonts w:ascii="Times New Roman" w:hAnsi="Times New Roman" w:cs="Times New Roman"/>
      <w:sz w:val="28"/>
    </w:rPr>
  </w:style>
  <w:style w:type="paragraph" w:customStyle="1" w:styleId="DateMarking">
    <w:name w:val="DateMarking"/>
    <w:basedOn w:val="Normal"/>
    <w:rsid w:val="002804BD"/>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2804BD"/>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5383">
      <w:bodyDiv w:val="1"/>
      <w:marLeft w:val="0"/>
      <w:marRight w:val="0"/>
      <w:marTop w:val="0"/>
      <w:marBottom w:val="0"/>
      <w:divBdr>
        <w:top w:val="none" w:sz="0" w:space="0" w:color="auto"/>
        <w:left w:val="none" w:sz="0" w:space="0" w:color="auto"/>
        <w:bottom w:val="none" w:sz="0" w:space="0" w:color="auto"/>
        <w:right w:val="none" w:sz="0" w:space="0" w:color="auto"/>
      </w:divBdr>
    </w:div>
    <w:div w:id="57824676">
      <w:bodyDiv w:val="1"/>
      <w:marLeft w:val="0"/>
      <w:marRight w:val="0"/>
      <w:marTop w:val="0"/>
      <w:marBottom w:val="0"/>
      <w:divBdr>
        <w:top w:val="none" w:sz="0" w:space="0" w:color="auto"/>
        <w:left w:val="none" w:sz="0" w:space="0" w:color="auto"/>
        <w:bottom w:val="none" w:sz="0" w:space="0" w:color="auto"/>
        <w:right w:val="none" w:sz="0" w:space="0" w:color="auto"/>
      </w:divBdr>
    </w:div>
    <w:div w:id="76445965">
      <w:bodyDiv w:val="1"/>
      <w:marLeft w:val="0"/>
      <w:marRight w:val="0"/>
      <w:marTop w:val="0"/>
      <w:marBottom w:val="0"/>
      <w:divBdr>
        <w:top w:val="none" w:sz="0" w:space="0" w:color="auto"/>
        <w:left w:val="none" w:sz="0" w:space="0" w:color="auto"/>
        <w:bottom w:val="none" w:sz="0" w:space="0" w:color="auto"/>
        <w:right w:val="none" w:sz="0" w:space="0" w:color="auto"/>
      </w:divBdr>
    </w:div>
    <w:div w:id="83452625">
      <w:bodyDiv w:val="1"/>
      <w:marLeft w:val="0"/>
      <w:marRight w:val="0"/>
      <w:marTop w:val="0"/>
      <w:marBottom w:val="0"/>
      <w:divBdr>
        <w:top w:val="none" w:sz="0" w:space="0" w:color="auto"/>
        <w:left w:val="none" w:sz="0" w:space="0" w:color="auto"/>
        <w:bottom w:val="none" w:sz="0" w:space="0" w:color="auto"/>
        <w:right w:val="none" w:sz="0" w:space="0" w:color="auto"/>
      </w:divBdr>
    </w:div>
    <w:div w:id="145780027">
      <w:bodyDiv w:val="1"/>
      <w:marLeft w:val="0"/>
      <w:marRight w:val="0"/>
      <w:marTop w:val="0"/>
      <w:marBottom w:val="0"/>
      <w:divBdr>
        <w:top w:val="none" w:sz="0" w:space="0" w:color="auto"/>
        <w:left w:val="none" w:sz="0" w:space="0" w:color="auto"/>
        <w:bottom w:val="none" w:sz="0" w:space="0" w:color="auto"/>
        <w:right w:val="none" w:sz="0" w:space="0" w:color="auto"/>
      </w:divBdr>
    </w:div>
    <w:div w:id="177432994">
      <w:bodyDiv w:val="1"/>
      <w:marLeft w:val="0"/>
      <w:marRight w:val="0"/>
      <w:marTop w:val="0"/>
      <w:marBottom w:val="0"/>
      <w:divBdr>
        <w:top w:val="none" w:sz="0" w:space="0" w:color="auto"/>
        <w:left w:val="none" w:sz="0" w:space="0" w:color="auto"/>
        <w:bottom w:val="none" w:sz="0" w:space="0" w:color="auto"/>
        <w:right w:val="none" w:sz="0" w:space="0" w:color="auto"/>
      </w:divBdr>
    </w:div>
    <w:div w:id="210465016">
      <w:bodyDiv w:val="1"/>
      <w:marLeft w:val="0"/>
      <w:marRight w:val="0"/>
      <w:marTop w:val="0"/>
      <w:marBottom w:val="0"/>
      <w:divBdr>
        <w:top w:val="none" w:sz="0" w:space="0" w:color="auto"/>
        <w:left w:val="none" w:sz="0" w:space="0" w:color="auto"/>
        <w:bottom w:val="none" w:sz="0" w:space="0" w:color="auto"/>
        <w:right w:val="none" w:sz="0" w:space="0" w:color="auto"/>
      </w:divBdr>
    </w:div>
    <w:div w:id="214321524">
      <w:bodyDiv w:val="1"/>
      <w:marLeft w:val="0"/>
      <w:marRight w:val="0"/>
      <w:marTop w:val="0"/>
      <w:marBottom w:val="0"/>
      <w:divBdr>
        <w:top w:val="none" w:sz="0" w:space="0" w:color="auto"/>
        <w:left w:val="none" w:sz="0" w:space="0" w:color="auto"/>
        <w:bottom w:val="none" w:sz="0" w:space="0" w:color="auto"/>
        <w:right w:val="none" w:sz="0" w:space="0" w:color="auto"/>
      </w:divBdr>
    </w:div>
    <w:div w:id="240911624">
      <w:bodyDiv w:val="1"/>
      <w:marLeft w:val="0"/>
      <w:marRight w:val="0"/>
      <w:marTop w:val="0"/>
      <w:marBottom w:val="0"/>
      <w:divBdr>
        <w:top w:val="none" w:sz="0" w:space="0" w:color="auto"/>
        <w:left w:val="none" w:sz="0" w:space="0" w:color="auto"/>
        <w:bottom w:val="none" w:sz="0" w:space="0" w:color="auto"/>
        <w:right w:val="none" w:sz="0" w:space="0" w:color="auto"/>
      </w:divBdr>
    </w:div>
    <w:div w:id="274751117">
      <w:bodyDiv w:val="1"/>
      <w:marLeft w:val="0"/>
      <w:marRight w:val="0"/>
      <w:marTop w:val="0"/>
      <w:marBottom w:val="0"/>
      <w:divBdr>
        <w:top w:val="none" w:sz="0" w:space="0" w:color="auto"/>
        <w:left w:val="none" w:sz="0" w:space="0" w:color="auto"/>
        <w:bottom w:val="none" w:sz="0" w:space="0" w:color="auto"/>
        <w:right w:val="none" w:sz="0" w:space="0" w:color="auto"/>
      </w:divBdr>
    </w:div>
    <w:div w:id="277218509">
      <w:bodyDiv w:val="1"/>
      <w:marLeft w:val="0"/>
      <w:marRight w:val="0"/>
      <w:marTop w:val="0"/>
      <w:marBottom w:val="0"/>
      <w:divBdr>
        <w:top w:val="none" w:sz="0" w:space="0" w:color="auto"/>
        <w:left w:val="none" w:sz="0" w:space="0" w:color="auto"/>
        <w:bottom w:val="none" w:sz="0" w:space="0" w:color="auto"/>
        <w:right w:val="none" w:sz="0" w:space="0" w:color="auto"/>
      </w:divBdr>
    </w:div>
    <w:div w:id="306863840">
      <w:bodyDiv w:val="1"/>
      <w:marLeft w:val="0"/>
      <w:marRight w:val="0"/>
      <w:marTop w:val="0"/>
      <w:marBottom w:val="0"/>
      <w:divBdr>
        <w:top w:val="none" w:sz="0" w:space="0" w:color="auto"/>
        <w:left w:val="none" w:sz="0" w:space="0" w:color="auto"/>
        <w:bottom w:val="none" w:sz="0" w:space="0" w:color="auto"/>
        <w:right w:val="none" w:sz="0" w:space="0" w:color="auto"/>
      </w:divBdr>
    </w:div>
    <w:div w:id="308292170">
      <w:bodyDiv w:val="1"/>
      <w:marLeft w:val="0"/>
      <w:marRight w:val="0"/>
      <w:marTop w:val="0"/>
      <w:marBottom w:val="0"/>
      <w:divBdr>
        <w:top w:val="none" w:sz="0" w:space="0" w:color="auto"/>
        <w:left w:val="none" w:sz="0" w:space="0" w:color="auto"/>
        <w:bottom w:val="none" w:sz="0" w:space="0" w:color="auto"/>
        <w:right w:val="none" w:sz="0" w:space="0" w:color="auto"/>
      </w:divBdr>
    </w:div>
    <w:div w:id="311258825">
      <w:bodyDiv w:val="1"/>
      <w:marLeft w:val="0"/>
      <w:marRight w:val="0"/>
      <w:marTop w:val="0"/>
      <w:marBottom w:val="0"/>
      <w:divBdr>
        <w:top w:val="none" w:sz="0" w:space="0" w:color="auto"/>
        <w:left w:val="none" w:sz="0" w:space="0" w:color="auto"/>
        <w:bottom w:val="none" w:sz="0" w:space="0" w:color="auto"/>
        <w:right w:val="none" w:sz="0" w:space="0" w:color="auto"/>
      </w:divBdr>
    </w:div>
    <w:div w:id="366565031">
      <w:bodyDiv w:val="1"/>
      <w:marLeft w:val="0"/>
      <w:marRight w:val="0"/>
      <w:marTop w:val="0"/>
      <w:marBottom w:val="0"/>
      <w:divBdr>
        <w:top w:val="none" w:sz="0" w:space="0" w:color="auto"/>
        <w:left w:val="none" w:sz="0" w:space="0" w:color="auto"/>
        <w:bottom w:val="none" w:sz="0" w:space="0" w:color="auto"/>
        <w:right w:val="none" w:sz="0" w:space="0" w:color="auto"/>
      </w:divBdr>
    </w:div>
    <w:div w:id="381176971">
      <w:bodyDiv w:val="1"/>
      <w:marLeft w:val="0"/>
      <w:marRight w:val="0"/>
      <w:marTop w:val="0"/>
      <w:marBottom w:val="0"/>
      <w:divBdr>
        <w:top w:val="none" w:sz="0" w:space="0" w:color="auto"/>
        <w:left w:val="none" w:sz="0" w:space="0" w:color="auto"/>
        <w:bottom w:val="none" w:sz="0" w:space="0" w:color="auto"/>
        <w:right w:val="none" w:sz="0" w:space="0" w:color="auto"/>
      </w:divBdr>
    </w:div>
    <w:div w:id="526404679">
      <w:bodyDiv w:val="1"/>
      <w:marLeft w:val="0"/>
      <w:marRight w:val="0"/>
      <w:marTop w:val="0"/>
      <w:marBottom w:val="0"/>
      <w:divBdr>
        <w:top w:val="none" w:sz="0" w:space="0" w:color="auto"/>
        <w:left w:val="none" w:sz="0" w:space="0" w:color="auto"/>
        <w:bottom w:val="none" w:sz="0" w:space="0" w:color="auto"/>
        <w:right w:val="none" w:sz="0" w:space="0" w:color="auto"/>
      </w:divBdr>
    </w:div>
    <w:div w:id="570509044">
      <w:bodyDiv w:val="1"/>
      <w:marLeft w:val="0"/>
      <w:marRight w:val="0"/>
      <w:marTop w:val="0"/>
      <w:marBottom w:val="0"/>
      <w:divBdr>
        <w:top w:val="none" w:sz="0" w:space="0" w:color="auto"/>
        <w:left w:val="none" w:sz="0" w:space="0" w:color="auto"/>
        <w:bottom w:val="none" w:sz="0" w:space="0" w:color="auto"/>
        <w:right w:val="none" w:sz="0" w:space="0" w:color="auto"/>
      </w:divBdr>
    </w:div>
    <w:div w:id="657925798">
      <w:bodyDiv w:val="1"/>
      <w:marLeft w:val="0"/>
      <w:marRight w:val="0"/>
      <w:marTop w:val="0"/>
      <w:marBottom w:val="0"/>
      <w:divBdr>
        <w:top w:val="none" w:sz="0" w:space="0" w:color="auto"/>
        <w:left w:val="none" w:sz="0" w:space="0" w:color="auto"/>
        <w:bottom w:val="none" w:sz="0" w:space="0" w:color="auto"/>
        <w:right w:val="none" w:sz="0" w:space="0" w:color="auto"/>
      </w:divBdr>
    </w:div>
    <w:div w:id="670257489">
      <w:bodyDiv w:val="1"/>
      <w:marLeft w:val="0"/>
      <w:marRight w:val="0"/>
      <w:marTop w:val="0"/>
      <w:marBottom w:val="0"/>
      <w:divBdr>
        <w:top w:val="none" w:sz="0" w:space="0" w:color="auto"/>
        <w:left w:val="none" w:sz="0" w:space="0" w:color="auto"/>
        <w:bottom w:val="none" w:sz="0" w:space="0" w:color="auto"/>
        <w:right w:val="none" w:sz="0" w:space="0" w:color="auto"/>
      </w:divBdr>
    </w:div>
    <w:div w:id="705837350">
      <w:bodyDiv w:val="1"/>
      <w:marLeft w:val="0"/>
      <w:marRight w:val="0"/>
      <w:marTop w:val="0"/>
      <w:marBottom w:val="0"/>
      <w:divBdr>
        <w:top w:val="none" w:sz="0" w:space="0" w:color="auto"/>
        <w:left w:val="none" w:sz="0" w:space="0" w:color="auto"/>
        <w:bottom w:val="none" w:sz="0" w:space="0" w:color="auto"/>
        <w:right w:val="none" w:sz="0" w:space="0" w:color="auto"/>
      </w:divBdr>
    </w:div>
    <w:div w:id="749234444">
      <w:bodyDiv w:val="1"/>
      <w:marLeft w:val="0"/>
      <w:marRight w:val="0"/>
      <w:marTop w:val="0"/>
      <w:marBottom w:val="0"/>
      <w:divBdr>
        <w:top w:val="none" w:sz="0" w:space="0" w:color="auto"/>
        <w:left w:val="none" w:sz="0" w:space="0" w:color="auto"/>
        <w:bottom w:val="none" w:sz="0" w:space="0" w:color="auto"/>
        <w:right w:val="none" w:sz="0" w:space="0" w:color="auto"/>
      </w:divBdr>
    </w:div>
    <w:div w:id="910313763">
      <w:bodyDiv w:val="1"/>
      <w:marLeft w:val="0"/>
      <w:marRight w:val="0"/>
      <w:marTop w:val="0"/>
      <w:marBottom w:val="0"/>
      <w:divBdr>
        <w:top w:val="none" w:sz="0" w:space="0" w:color="auto"/>
        <w:left w:val="none" w:sz="0" w:space="0" w:color="auto"/>
        <w:bottom w:val="none" w:sz="0" w:space="0" w:color="auto"/>
        <w:right w:val="none" w:sz="0" w:space="0" w:color="auto"/>
      </w:divBdr>
    </w:div>
    <w:div w:id="952252822">
      <w:bodyDiv w:val="1"/>
      <w:marLeft w:val="0"/>
      <w:marRight w:val="0"/>
      <w:marTop w:val="0"/>
      <w:marBottom w:val="0"/>
      <w:divBdr>
        <w:top w:val="none" w:sz="0" w:space="0" w:color="auto"/>
        <w:left w:val="none" w:sz="0" w:space="0" w:color="auto"/>
        <w:bottom w:val="none" w:sz="0" w:space="0" w:color="auto"/>
        <w:right w:val="none" w:sz="0" w:space="0" w:color="auto"/>
      </w:divBdr>
    </w:div>
    <w:div w:id="959922345">
      <w:bodyDiv w:val="1"/>
      <w:marLeft w:val="0"/>
      <w:marRight w:val="0"/>
      <w:marTop w:val="0"/>
      <w:marBottom w:val="0"/>
      <w:divBdr>
        <w:top w:val="none" w:sz="0" w:space="0" w:color="auto"/>
        <w:left w:val="none" w:sz="0" w:space="0" w:color="auto"/>
        <w:bottom w:val="none" w:sz="0" w:space="0" w:color="auto"/>
        <w:right w:val="none" w:sz="0" w:space="0" w:color="auto"/>
      </w:divBdr>
    </w:div>
    <w:div w:id="1003319767">
      <w:bodyDiv w:val="1"/>
      <w:marLeft w:val="0"/>
      <w:marRight w:val="0"/>
      <w:marTop w:val="0"/>
      <w:marBottom w:val="0"/>
      <w:divBdr>
        <w:top w:val="none" w:sz="0" w:space="0" w:color="auto"/>
        <w:left w:val="none" w:sz="0" w:space="0" w:color="auto"/>
        <w:bottom w:val="none" w:sz="0" w:space="0" w:color="auto"/>
        <w:right w:val="none" w:sz="0" w:space="0" w:color="auto"/>
      </w:divBdr>
    </w:div>
    <w:div w:id="1026519723">
      <w:bodyDiv w:val="1"/>
      <w:marLeft w:val="0"/>
      <w:marRight w:val="0"/>
      <w:marTop w:val="0"/>
      <w:marBottom w:val="0"/>
      <w:divBdr>
        <w:top w:val="none" w:sz="0" w:space="0" w:color="auto"/>
        <w:left w:val="none" w:sz="0" w:space="0" w:color="auto"/>
        <w:bottom w:val="none" w:sz="0" w:space="0" w:color="auto"/>
        <w:right w:val="none" w:sz="0" w:space="0" w:color="auto"/>
      </w:divBdr>
    </w:div>
    <w:div w:id="1083063201">
      <w:bodyDiv w:val="1"/>
      <w:marLeft w:val="0"/>
      <w:marRight w:val="0"/>
      <w:marTop w:val="0"/>
      <w:marBottom w:val="0"/>
      <w:divBdr>
        <w:top w:val="none" w:sz="0" w:space="0" w:color="auto"/>
        <w:left w:val="none" w:sz="0" w:space="0" w:color="auto"/>
        <w:bottom w:val="none" w:sz="0" w:space="0" w:color="auto"/>
        <w:right w:val="none" w:sz="0" w:space="0" w:color="auto"/>
      </w:divBdr>
    </w:div>
    <w:div w:id="1145776633">
      <w:bodyDiv w:val="1"/>
      <w:marLeft w:val="0"/>
      <w:marRight w:val="0"/>
      <w:marTop w:val="0"/>
      <w:marBottom w:val="0"/>
      <w:divBdr>
        <w:top w:val="none" w:sz="0" w:space="0" w:color="auto"/>
        <w:left w:val="none" w:sz="0" w:space="0" w:color="auto"/>
        <w:bottom w:val="none" w:sz="0" w:space="0" w:color="auto"/>
        <w:right w:val="none" w:sz="0" w:space="0" w:color="auto"/>
      </w:divBdr>
    </w:div>
    <w:div w:id="1177813331">
      <w:bodyDiv w:val="1"/>
      <w:marLeft w:val="0"/>
      <w:marRight w:val="0"/>
      <w:marTop w:val="0"/>
      <w:marBottom w:val="0"/>
      <w:divBdr>
        <w:top w:val="none" w:sz="0" w:space="0" w:color="auto"/>
        <w:left w:val="none" w:sz="0" w:space="0" w:color="auto"/>
        <w:bottom w:val="none" w:sz="0" w:space="0" w:color="auto"/>
        <w:right w:val="none" w:sz="0" w:space="0" w:color="auto"/>
      </w:divBdr>
    </w:div>
    <w:div w:id="1183517518">
      <w:bodyDiv w:val="1"/>
      <w:marLeft w:val="0"/>
      <w:marRight w:val="0"/>
      <w:marTop w:val="0"/>
      <w:marBottom w:val="0"/>
      <w:divBdr>
        <w:top w:val="none" w:sz="0" w:space="0" w:color="auto"/>
        <w:left w:val="none" w:sz="0" w:space="0" w:color="auto"/>
        <w:bottom w:val="none" w:sz="0" w:space="0" w:color="auto"/>
        <w:right w:val="none" w:sz="0" w:space="0" w:color="auto"/>
      </w:divBdr>
    </w:div>
    <w:div w:id="1203518497">
      <w:bodyDiv w:val="1"/>
      <w:marLeft w:val="0"/>
      <w:marRight w:val="0"/>
      <w:marTop w:val="0"/>
      <w:marBottom w:val="0"/>
      <w:divBdr>
        <w:top w:val="none" w:sz="0" w:space="0" w:color="auto"/>
        <w:left w:val="none" w:sz="0" w:space="0" w:color="auto"/>
        <w:bottom w:val="none" w:sz="0" w:space="0" w:color="auto"/>
        <w:right w:val="none" w:sz="0" w:space="0" w:color="auto"/>
      </w:divBdr>
    </w:div>
    <w:div w:id="1258562768">
      <w:bodyDiv w:val="1"/>
      <w:marLeft w:val="0"/>
      <w:marRight w:val="0"/>
      <w:marTop w:val="0"/>
      <w:marBottom w:val="0"/>
      <w:divBdr>
        <w:top w:val="none" w:sz="0" w:space="0" w:color="auto"/>
        <w:left w:val="none" w:sz="0" w:space="0" w:color="auto"/>
        <w:bottom w:val="none" w:sz="0" w:space="0" w:color="auto"/>
        <w:right w:val="none" w:sz="0" w:space="0" w:color="auto"/>
      </w:divBdr>
    </w:div>
    <w:div w:id="1304577011">
      <w:bodyDiv w:val="1"/>
      <w:marLeft w:val="0"/>
      <w:marRight w:val="0"/>
      <w:marTop w:val="0"/>
      <w:marBottom w:val="0"/>
      <w:divBdr>
        <w:top w:val="none" w:sz="0" w:space="0" w:color="auto"/>
        <w:left w:val="none" w:sz="0" w:space="0" w:color="auto"/>
        <w:bottom w:val="none" w:sz="0" w:space="0" w:color="auto"/>
        <w:right w:val="none" w:sz="0" w:space="0" w:color="auto"/>
      </w:divBdr>
    </w:div>
    <w:div w:id="1345014914">
      <w:bodyDiv w:val="1"/>
      <w:marLeft w:val="0"/>
      <w:marRight w:val="0"/>
      <w:marTop w:val="0"/>
      <w:marBottom w:val="0"/>
      <w:divBdr>
        <w:top w:val="none" w:sz="0" w:space="0" w:color="auto"/>
        <w:left w:val="none" w:sz="0" w:space="0" w:color="auto"/>
        <w:bottom w:val="none" w:sz="0" w:space="0" w:color="auto"/>
        <w:right w:val="none" w:sz="0" w:space="0" w:color="auto"/>
      </w:divBdr>
    </w:div>
    <w:div w:id="1395860504">
      <w:bodyDiv w:val="1"/>
      <w:marLeft w:val="0"/>
      <w:marRight w:val="0"/>
      <w:marTop w:val="0"/>
      <w:marBottom w:val="0"/>
      <w:divBdr>
        <w:top w:val="none" w:sz="0" w:space="0" w:color="auto"/>
        <w:left w:val="none" w:sz="0" w:space="0" w:color="auto"/>
        <w:bottom w:val="none" w:sz="0" w:space="0" w:color="auto"/>
        <w:right w:val="none" w:sz="0" w:space="0" w:color="auto"/>
      </w:divBdr>
    </w:div>
    <w:div w:id="1425420601">
      <w:bodyDiv w:val="1"/>
      <w:marLeft w:val="0"/>
      <w:marRight w:val="0"/>
      <w:marTop w:val="0"/>
      <w:marBottom w:val="0"/>
      <w:divBdr>
        <w:top w:val="none" w:sz="0" w:space="0" w:color="auto"/>
        <w:left w:val="none" w:sz="0" w:space="0" w:color="auto"/>
        <w:bottom w:val="none" w:sz="0" w:space="0" w:color="auto"/>
        <w:right w:val="none" w:sz="0" w:space="0" w:color="auto"/>
      </w:divBdr>
    </w:div>
    <w:div w:id="1458646203">
      <w:bodyDiv w:val="1"/>
      <w:marLeft w:val="0"/>
      <w:marRight w:val="0"/>
      <w:marTop w:val="0"/>
      <w:marBottom w:val="0"/>
      <w:divBdr>
        <w:top w:val="none" w:sz="0" w:space="0" w:color="auto"/>
        <w:left w:val="none" w:sz="0" w:space="0" w:color="auto"/>
        <w:bottom w:val="none" w:sz="0" w:space="0" w:color="auto"/>
        <w:right w:val="none" w:sz="0" w:space="0" w:color="auto"/>
      </w:divBdr>
    </w:div>
    <w:div w:id="1472291435">
      <w:bodyDiv w:val="1"/>
      <w:marLeft w:val="0"/>
      <w:marRight w:val="0"/>
      <w:marTop w:val="0"/>
      <w:marBottom w:val="0"/>
      <w:divBdr>
        <w:top w:val="none" w:sz="0" w:space="0" w:color="auto"/>
        <w:left w:val="none" w:sz="0" w:space="0" w:color="auto"/>
        <w:bottom w:val="none" w:sz="0" w:space="0" w:color="auto"/>
        <w:right w:val="none" w:sz="0" w:space="0" w:color="auto"/>
      </w:divBdr>
    </w:div>
    <w:div w:id="1476071841">
      <w:bodyDiv w:val="1"/>
      <w:marLeft w:val="0"/>
      <w:marRight w:val="0"/>
      <w:marTop w:val="0"/>
      <w:marBottom w:val="0"/>
      <w:divBdr>
        <w:top w:val="none" w:sz="0" w:space="0" w:color="auto"/>
        <w:left w:val="none" w:sz="0" w:space="0" w:color="auto"/>
        <w:bottom w:val="none" w:sz="0" w:space="0" w:color="auto"/>
        <w:right w:val="none" w:sz="0" w:space="0" w:color="auto"/>
      </w:divBdr>
    </w:div>
    <w:div w:id="1481582859">
      <w:bodyDiv w:val="1"/>
      <w:marLeft w:val="0"/>
      <w:marRight w:val="0"/>
      <w:marTop w:val="0"/>
      <w:marBottom w:val="0"/>
      <w:divBdr>
        <w:top w:val="none" w:sz="0" w:space="0" w:color="auto"/>
        <w:left w:val="none" w:sz="0" w:space="0" w:color="auto"/>
        <w:bottom w:val="none" w:sz="0" w:space="0" w:color="auto"/>
        <w:right w:val="none" w:sz="0" w:space="0" w:color="auto"/>
      </w:divBdr>
    </w:div>
    <w:div w:id="1502617444">
      <w:bodyDiv w:val="1"/>
      <w:marLeft w:val="0"/>
      <w:marRight w:val="0"/>
      <w:marTop w:val="0"/>
      <w:marBottom w:val="0"/>
      <w:divBdr>
        <w:top w:val="none" w:sz="0" w:space="0" w:color="auto"/>
        <w:left w:val="none" w:sz="0" w:space="0" w:color="auto"/>
        <w:bottom w:val="none" w:sz="0" w:space="0" w:color="auto"/>
        <w:right w:val="none" w:sz="0" w:space="0" w:color="auto"/>
      </w:divBdr>
    </w:div>
    <w:div w:id="1514371285">
      <w:bodyDiv w:val="1"/>
      <w:marLeft w:val="0"/>
      <w:marRight w:val="0"/>
      <w:marTop w:val="0"/>
      <w:marBottom w:val="0"/>
      <w:divBdr>
        <w:top w:val="none" w:sz="0" w:space="0" w:color="auto"/>
        <w:left w:val="none" w:sz="0" w:space="0" w:color="auto"/>
        <w:bottom w:val="none" w:sz="0" w:space="0" w:color="auto"/>
        <w:right w:val="none" w:sz="0" w:space="0" w:color="auto"/>
      </w:divBdr>
    </w:div>
    <w:div w:id="1517882544">
      <w:bodyDiv w:val="1"/>
      <w:marLeft w:val="0"/>
      <w:marRight w:val="0"/>
      <w:marTop w:val="0"/>
      <w:marBottom w:val="0"/>
      <w:divBdr>
        <w:top w:val="none" w:sz="0" w:space="0" w:color="auto"/>
        <w:left w:val="none" w:sz="0" w:space="0" w:color="auto"/>
        <w:bottom w:val="none" w:sz="0" w:space="0" w:color="auto"/>
        <w:right w:val="none" w:sz="0" w:space="0" w:color="auto"/>
      </w:divBdr>
    </w:div>
    <w:div w:id="1556698336">
      <w:bodyDiv w:val="1"/>
      <w:marLeft w:val="0"/>
      <w:marRight w:val="0"/>
      <w:marTop w:val="0"/>
      <w:marBottom w:val="0"/>
      <w:divBdr>
        <w:top w:val="none" w:sz="0" w:space="0" w:color="auto"/>
        <w:left w:val="none" w:sz="0" w:space="0" w:color="auto"/>
        <w:bottom w:val="none" w:sz="0" w:space="0" w:color="auto"/>
        <w:right w:val="none" w:sz="0" w:space="0" w:color="auto"/>
      </w:divBdr>
    </w:div>
    <w:div w:id="1575431802">
      <w:bodyDiv w:val="1"/>
      <w:marLeft w:val="0"/>
      <w:marRight w:val="0"/>
      <w:marTop w:val="0"/>
      <w:marBottom w:val="0"/>
      <w:divBdr>
        <w:top w:val="none" w:sz="0" w:space="0" w:color="auto"/>
        <w:left w:val="none" w:sz="0" w:space="0" w:color="auto"/>
        <w:bottom w:val="none" w:sz="0" w:space="0" w:color="auto"/>
        <w:right w:val="none" w:sz="0" w:space="0" w:color="auto"/>
      </w:divBdr>
    </w:div>
    <w:div w:id="1589191744">
      <w:bodyDiv w:val="1"/>
      <w:marLeft w:val="0"/>
      <w:marRight w:val="0"/>
      <w:marTop w:val="0"/>
      <w:marBottom w:val="0"/>
      <w:divBdr>
        <w:top w:val="none" w:sz="0" w:space="0" w:color="auto"/>
        <w:left w:val="none" w:sz="0" w:space="0" w:color="auto"/>
        <w:bottom w:val="none" w:sz="0" w:space="0" w:color="auto"/>
        <w:right w:val="none" w:sz="0" w:space="0" w:color="auto"/>
      </w:divBdr>
    </w:div>
    <w:div w:id="1617374550">
      <w:bodyDiv w:val="1"/>
      <w:marLeft w:val="0"/>
      <w:marRight w:val="0"/>
      <w:marTop w:val="0"/>
      <w:marBottom w:val="0"/>
      <w:divBdr>
        <w:top w:val="none" w:sz="0" w:space="0" w:color="auto"/>
        <w:left w:val="none" w:sz="0" w:space="0" w:color="auto"/>
        <w:bottom w:val="none" w:sz="0" w:space="0" w:color="auto"/>
        <w:right w:val="none" w:sz="0" w:space="0" w:color="auto"/>
      </w:divBdr>
    </w:div>
    <w:div w:id="1632201732">
      <w:bodyDiv w:val="1"/>
      <w:marLeft w:val="0"/>
      <w:marRight w:val="0"/>
      <w:marTop w:val="0"/>
      <w:marBottom w:val="0"/>
      <w:divBdr>
        <w:top w:val="none" w:sz="0" w:space="0" w:color="auto"/>
        <w:left w:val="none" w:sz="0" w:space="0" w:color="auto"/>
        <w:bottom w:val="none" w:sz="0" w:space="0" w:color="auto"/>
        <w:right w:val="none" w:sz="0" w:space="0" w:color="auto"/>
      </w:divBdr>
    </w:div>
    <w:div w:id="1660496030">
      <w:bodyDiv w:val="1"/>
      <w:marLeft w:val="0"/>
      <w:marRight w:val="0"/>
      <w:marTop w:val="0"/>
      <w:marBottom w:val="0"/>
      <w:divBdr>
        <w:top w:val="none" w:sz="0" w:space="0" w:color="auto"/>
        <w:left w:val="none" w:sz="0" w:space="0" w:color="auto"/>
        <w:bottom w:val="none" w:sz="0" w:space="0" w:color="auto"/>
        <w:right w:val="none" w:sz="0" w:space="0" w:color="auto"/>
      </w:divBdr>
    </w:div>
    <w:div w:id="1689061626">
      <w:bodyDiv w:val="1"/>
      <w:marLeft w:val="0"/>
      <w:marRight w:val="0"/>
      <w:marTop w:val="0"/>
      <w:marBottom w:val="0"/>
      <w:divBdr>
        <w:top w:val="none" w:sz="0" w:space="0" w:color="auto"/>
        <w:left w:val="none" w:sz="0" w:space="0" w:color="auto"/>
        <w:bottom w:val="none" w:sz="0" w:space="0" w:color="auto"/>
        <w:right w:val="none" w:sz="0" w:space="0" w:color="auto"/>
      </w:divBdr>
    </w:div>
    <w:div w:id="1740053262">
      <w:bodyDiv w:val="1"/>
      <w:marLeft w:val="0"/>
      <w:marRight w:val="0"/>
      <w:marTop w:val="0"/>
      <w:marBottom w:val="0"/>
      <w:divBdr>
        <w:top w:val="none" w:sz="0" w:space="0" w:color="auto"/>
        <w:left w:val="none" w:sz="0" w:space="0" w:color="auto"/>
        <w:bottom w:val="none" w:sz="0" w:space="0" w:color="auto"/>
        <w:right w:val="none" w:sz="0" w:space="0" w:color="auto"/>
      </w:divBdr>
    </w:div>
    <w:div w:id="1763792099">
      <w:bodyDiv w:val="1"/>
      <w:marLeft w:val="0"/>
      <w:marRight w:val="0"/>
      <w:marTop w:val="0"/>
      <w:marBottom w:val="0"/>
      <w:divBdr>
        <w:top w:val="none" w:sz="0" w:space="0" w:color="auto"/>
        <w:left w:val="none" w:sz="0" w:space="0" w:color="auto"/>
        <w:bottom w:val="none" w:sz="0" w:space="0" w:color="auto"/>
        <w:right w:val="none" w:sz="0" w:space="0" w:color="auto"/>
      </w:divBdr>
    </w:div>
    <w:div w:id="1805345099">
      <w:bodyDiv w:val="1"/>
      <w:marLeft w:val="0"/>
      <w:marRight w:val="0"/>
      <w:marTop w:val="0"/>
      <w:marBottom w:val="0"/>
      <w:divBdr>
        <w:top w:val="none" w:sz="0" w:space="0" w:color="auto"/>
        <w:left w:val="none" w:sz="0" w:space="0" w:color="auto"/>
        <w:bottom w:val="none" w:sz="0" w:space="0" w:color="auto"/>
        <w:right w:val="none" w:sz="0" w:space="0" w:color="auto"/>
      </w:divBdr>
    </w:div>
    <w:div w:id="1889217476">
      <w:bodyDiv w:val="1"/>
      <w:marLeft w:val="0"/>
      <w:marRight w:val="0"/>
      <w:marTop w:val="0"/>
      <w:marBottom w:val="0"/>
      <w:divBdr>
        <w:top w:val="none" w:sz="0" w:space="0" w:color="auto"/>
        <w:left w:val="none" w:sz="0" w:space="0" w:color="auto"/>
        <w:bottom w:val="none" w:sz="0" w:space="0" w:color="auto"/>
        <w:right w:val="none" w:sz="0" w:space="0" w:color="auto"/>
      </w:divBdr>
    </w:div>
    <w:div w:id="1940065723">
      <w:bodyDiv w:val="1"/>
      <w:marLeft w:val="0"/>
      <w:marRight w:val="0"/>
      <w:marTop w:val="0"/>
      <w:marBottom w:val="0"/>
      <w:divBdr>
        <w:top w:val="none" w:sz="0" w:space="0" w:color="auto"/>
        <w:left w:val="none" w:sz="0" w:space="0" w:color="auto"/>
        <w:bottom w:val="none" w:sz="0" w:space="0" w:color="auto"/>
        <w:right w:val="none" w:sz="0" w:space="0" w:color="auto"/>
      </w:divBdr>
    </w:div>
    <w:div w:id="2033216549">
      <w:bodyDiv w:val="1"/>
      <w:marLeft w:val="0"/>
      <w:marRight w:val="0"/>
      <w:marTop w:val="0"/>
      <w:marBottom w:val="0"/>
      <w:divBdr>
        <w:top w:val="none" w:sz="0" w:space="0" w:color="auto"/>
        <w:left w:val="none" w:sz="0" w:space="0" w:color="auto"/>
        <w:bottom w:val="none" w:sz="0" w:space="0" w:color="auto"/>
        <w:right w:val="none" w:sz="0" w:space="0" w:color="auto"/>
      </w:divBdr>
    </w:div>
    <w:div w:id="2035492157">
      <w:bodyDiv w:val="1"/>
      <w:marLeft w:val="0"/>
      <w:marRight w:val="0"/>
      <w:marTop w:val="0"/>
      <w:marBottom w:val="0"/>
      <w:divBdr>
        <w:top w:val="none" w:sz="0" w:space="0" w:color="auto"/>
        <w:left w:val="none" w:sz="0" w:space="0" w:color="auto"/>
        <w:bottom w:val="none" w:sz="0" w:space="0" w:color="auto"/>
        <w:right w:val="none" w:sz="0" w:space="0" w:color="auto"/>
      </w:divBdr>
    </w:div>
    <w:div w:id="2062315789">
      <w:bodyDiv w:val="1"/>
      <w:marLeft w:val="0"/>
      <w:marRight w:val="0"/>
      <w:marTop w:val="0"/>
      <w:marBottom w:val="0"/>
      <w:divBdr>
        <w:top w:val="none" w:sz="0" w:space="0" w:color="auto"/>
        <w:left w:val="none" w:sz="0" w:space="0" w:color="auto"/>
        <w:bottom w:val="none" w:sz="0" w:space="0" w:color="auto"/>
        <w:right w:val="none" w:sz="0" w:space="0" w:color="auto"/>
      </w:divBdr>
    </w:div>
    <w:div w:id="2083790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HU/TXT/HTML/?uri=CELEX:52021DC0044&amp;from=en" TargetMode="External"/><Relationship Id="rId13" Type="http://schemas.openxmlformats.org/officeDocument/2006/relationships/hyperlink" Target="https://www.eesc.europa.eu/en/our-work/opinions-information-reports/opinions/freeing-eu-asbestos" TargetMode="External"/><Relationship Id="rId18" Type="http://schemas.openxmlformats.org/officeDocument/2006/relationships/hyperlink" Target="https://www.oecd-ilibrary.org/sites/547f405e-en/index.html?itemId=/content/component/547f405e-en" TargetMode="External"/><Relationship Id="rId26" Type="http://schemas.openxmlformats.org/officeDocument/2006/relationships/hyperlink" Target="https://eur-lex.europa.eu/legal-content/HU/TXT/HTML/?uri=CELEX:52021DC0323&amp;from=EN" TargetMode="External"/><Relationship Id="rId39" Type="http://schemas.openxmlformats.org/officeDocument/2006/relationships/hyperlink" Target="https://ec.europa.eu/environment/topics/circular-economy/levels_en" TargetMode="External"/><Relationship Id="rId3" Type="http://schemas.openxmlformats.org/officeDocument/2006/relationships/hyperlink" Target="https://eur-lex.europa.eu/legal-content/HU/TXT/HTML/?uri=CELEX:31987L0217&amp;from=HU" TargetMode="External"/><Relationship Id="rId21" Type="http://schemas.openxmlformats.org/officeDocument/2006/relationships/hyperlink" Target="https://health.ec.europa.eu/publications/proposal-council-recommendation-cr-strengthening-prevention-through-early-detection-new-approach_en" TargetMode="External"/><Relationship Id="rId34" Type="http://schemas.openxmlformats.org/officeDocument/2006/relationships/hyperlink" Target="https://www.legifrance.gouv.fr/download/pdf?id=LykGmH7vMb-yJKNXCJ9VQ3z9fiEK5Q9jlNDoaaUnwUM=" TargetMode="External"/><Relationship Id="rId42" Type="http://schemas.openxmlformats.org/officeDocument/2006/relationships/hyperlink" Target="https://ec.europa.eu/growth/news/eu-construction-and-demolition-waste-protocol-2018-09-18_en" TargetMode="External"/><Relationship Id="rId47" Type="http://schemas.openxmlformats.org/officeDocument/2006/relationships/hyperlink" Target="https://eur-lex.europa.eu/legal-content/HU/TXT/HTML/?uri=CELEX:52022PC0071&amp;from=EN" TargetMode="External"/><Relationship Id="rId7" Type="http://schemas.openxmlformats.org/officeDocument/2006/relationships/hyperlink" Target="https://eur-lex.europa.eu/legal-content/hu/TXT/PDF/?uri=CELEX:32019R1020&amp;from=HU" TargetMode="External"/><Relationship Id="rId12" Type="http://schemas.openxmlformats.org/officeDocument/2006/relationships/hyperlink" Target="https://www.europarl.europa.eu/doceo/document/TA-9-2021-0427_HU.html" TargetMode="External"/><Relationship Id="rId17" Type="http://schemas.openxmlformats.org/officeDocument/2006/relationships/hyperlink" Target="https://www.oecd-ilibrary.org/sites/547f405e-en/index.html?itemId=/content/component/547f405e-en" TargetMode="External"/><Relationship Id="rId25" Type="http://schemas.openxmlformats.org/officeDocument/2006/relationships/hyperlink" Target="https://ec.europa.eu/eurostat/web/experimental-statistics/european-occupational-diseases-statistics" TargetMode="External"/><Relationship Id="rId33" Type="http://schemas.openxmlformats.org/officeDocument/2006/relationships/hyperlink" Target="https://eur-lex.europa.eu/legal-content/HU/TXT/HTML/?uri=CELEX:32009L0148&amp;from=EN" TargetMode="External"/><Relationship Id="rId38" Type="http://schemas.openxmlformats.org/officeDocument/2006/relationships/hyperlink" Target="https://eur-lex.europa.eu/legal-content/HU/TXT/HTML/?uri=CELEX:52021PC0802&amp;from=EN" TargetMode="External"/><Relationship Id="rId46" Type="http://schemas.openxmlformats.org/officeDocument/2006/relationships/hyperlink" Target="http://www.pic.int/TheConvention/Overview/TextoftheConvention/tabid/1048/language/en-US/Default.aspx" TargetMode="External"/><Relationship Id="rId2" Type="http://schemas.openxmlformats.org/officeDocument/2006/relationships/hyperlink" Target="https://who-ilo-joint-estimates.shinyapps.io/OccupationalBurdenOfDisease/" TargetMode="External"/><Relationship Id="rId16" Type="http://schemas.openxmlformats.org/officeDocument/2006/relationships/hyperlink" Target="https://ec.europa.eu/eurostat/web/experimental-statistics/european-occupational-diseases-statistics" TargetMode="External"/><Relationship Id="rId20" Type="http://schemas.openxmlformats.org/officeDocument/2006/relationships/hyperlink" Target="https://health.ec.europa.eu/publications/proposal-council-recommendation-cr-strengthening-prevention-through-early-detection-new-approach_en" TargetMode="External"/><Relationship Id="rId29" Type="http://schemas.openxmlformats.org/officeDocument/2006/relationships/hyperlink" Target="https://ec.europa.eu/social/BlobServlet?docId=17060&amp;langId=en" TargetMode="External"/><Relationship Id="rId41" Type="http://schemas.openxmlformats.org/officeDocument/2006/relationships/hyperlink" Target="https://ec.europa.eu/docsroom/documents/20509/" TargetMode="External"/><Relationship Id="rId1" Type="http://schemas.openxmlformats.org/officeDocument/2006/relationships/hyperlink" Target="https://monographs.iarc.who.int/wp-content/uploads/2018/06/mono100C-11.pdf" TargetMode="External"/><Relationship Id="rId6" Type="http://schemas.openxmlformats.org/officeDocument/2006/relationships/hyperlink" Target="https://eur-lex.europa.eu/legal-content/HU/TXT/HTML/?uri=CELEX:31999L0077&amp;from=HU" TargetMode="External"/><Relationship Id="rId11" Type="http://schemas.openxmlformats.org/officeDocument/2006/relationships/hyperlink" Target="https://ec.europa.eu/energy/sites/ener/files/eu_renovation_wave_strategy.pdf" TargetMode="External"/><Relationship Id="rId24" Type="http://schemas.openxmlformats.org/officeDocument/2006/relationships/hyperlink" Target="https://visualisation.osha.europa.eu/osh-costs" TargetMode="External"/><Relationship Id="rId32" Type="http://schemas.openxmlformats.org/officeDocument/2006/relationships/hyperlink" Target="https://publications.jrc.ec.europa.eu/repository/handle/JRC129218" TargetMode="External"/><Relationship Id="rId37" Type="http://schemas.openxmlformats.org/officeDocument/2006/relationships/hyperlink" Target="https://eur-lex.europa.eu/legal-content/HU/TXT/HTML/?uri=CELEX:52020DC0662&amp;from=EN" TargetMode="External"/><Relationship Id="rId40" Type="http://schemas.openxmlformats.org/officeDocument/2006/relationships/hyperlink" Target="https://ec.europa.eu/eurostat/statistics-explained/index.php?title=Waste_statistics" TargetMode="External"/><Relationship Id="rId45" Type="http://schemas.openxmlformats.org/officeDocument/2006/relationships/hyperlink" Target="https://ec.europa.eu/regional_policy/en/funding/erdf/" TargetMode="External"/><Relationship Id="rId5" Type="http://schemas.openxmlformats.org/officeDocument/2006/relationships/hyperlink" Target="https://eur-lex.europa.eu/legal-content/HU/TXT/HTML/?uri=CELEX:31985L0610&amp;from=en" TargetMode="External"/><Relationship Id="rId15" Type="http://schemas.openxmlformats.org/officeDocument/2006/relationships/hyperlink" Target="https://ec.europa.eu/info/sites/default/files/annex_0.pdf" TargetMode="External"/><Relationship Id="rId23" Type="http://schemas.openxmlformats.org/officeDocument/2006/relationships/hyperlink" Target="https://eur-lex.europa.eu/legal-content/EN/TXT/PDF/?uri=CELEX:32003H0670&amp;from=EN" TargetMode="External"/><Relationship Id="rId28" Type="http://schemas.openxmlformats.org/officeDocument/2006/relationships/hyperlink" Target="https://eur-lex.europa.eu/legal-content/en/TXT/?uri=CELEX:52017SC0010" TargetMode="External"/><Relationship Id="rId36" Type="http://schemas.openxmlformats.org/officeDocument/2006/relationships/hyperlink" Target="https://www.legifrance.gouv.fr/download/pdf?id=TtFjMCu9CIzP1bhSZJIVTvpNRp6cu4pAD6cG41mJnZw=" TargetMode="External"/><Relationship Id="rId10" Type="http://schemas.openxmlformats.org/officeDocument/2006/relationships/hyperlink" Target="https://eur-lex.europa.eu/legal-content/HU/TXT/HTML/?uri=CELEX:52019DC0640&amp;from=EN" TargetMode="External"/><Relationship Id="rId19" Type="http://schemas.openxmlformats.org/officeDocument/2006/relationships/hyperlink" Target="https://www.oecd-ilibrary.org/sites/547f405e-en/index.html?itemId=/content/component/547f405e-en" TargetMode="External"/><Relationship Id="rId31" Type="http://schemas.openxmlformats.org/officeDocument/2006/relationships/hyperlink" Target="https://osha.europa.eu/hu/facts-and-figures/workers-exposure-survey-cancer-risk-factors-europe" TargetMode="External"/><Relationship Id="rId44" Type="http://schemas.openxmlformats.org/officeDocument/2006/relationships/hyperlink" Target="https://ec.europa.eu/european-social-fund-plus/en" TargetMode="External"/><Relationship Id="rId4" Type="http://schemas.openxmlformats.org/officeDocument/2006/relationships/hyperlink" Target="https://eur-lex.europa.eu/legal-content/HU/TXT/HTML/?uri=CELEX:31976L0769&amp;from=en" TargetMode="External"/><Relationship Id="rId9" Type="http://schemas.openxmlformats.org/officeDocument/2006/relationships/hyperlink" Target="https://eur-lex.europa.eu/legal-content/HU/TXT/HTML/?uri=CELEX:52021DC0400&amp;from=EN" TargetMode="External"/><Relationship Id="rId14" Type="http://schemas.openxmlformats.org/officeDocument/2006/relationships/hyperlink" Target="https://www.eesc.europa.eu/hu/our-work/opinions-information-reports/opinions/working-asbestos-energy-renovation-own-initiative-opinion" TargetMode="External"/><Relationship Id="rId22" Type="http://schemas.openxmlformats.org/officeDocument/2006/relationships/hyperlink" Target="https://who-ilo-joint-estimates.shinyapps.io/OccupationalBurdenOfDisease/" TargetMode="External"/><Relationship Id="rId27" Type="http://schemas.openxmlformats.org/officeDocument/2006/relationships/hyperlink" Target="https://eur-lex.europa.eu/legal-content/HU/TXT/HTML/?uri=CELEX:02004L0037-20140325&amp;from=HU" TargetMode="External"/><Relationship Id="rId30" Type="http://schemas.openxmlformats.org/officeDocument/2006/relationships/hyperlink" Target="https://echa.europa.eu/documents/10162/30184854/OEL_asbestos_Final_Opinion_en.pdf/cc917e63-e0e6-e9cd-86d2-f75c81514277" TargetMode="External"/><Relationship Id="rId35" Type="http://schemas.openxmlformats.org/officeDocument/2006/relationships/hyperlink" Target="https://www.legifrance.gouv.fr/download/pdf?id=uE3o2iaLz4ujX46N5eNQWUANnUy9niNepuHoD-nISzQ=" TargetMode="External"/><Relationship Id="rId43" Type="http://schemas.openxmlformats.org/officeDocument/2006/relationships/hyperlink" Target="https://ec.europa.eu/environment/pdf/waste/framework/guidance_d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923D-D463-4E34-9164-5BD64C94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5078</Words>
  <Characters>37178</Characters>
  <Application>Microsoft Office Word</Application>
  <DocSecurity>0</DocSecurity>
  <Lines>546</Lines>
  <Paragraphs>98</Paragraphs>
  <ScaleCrop>false</ScaleCrop>
  <Manager/>
  <Company/>
  <LinksUpToDate>false</LinksUpToDate>
  <CharactersWithSpaces>42158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2022-09-23T15:26:00Z</dcterms:created>
  <dcterms:modified xsi:type="dcterms:W3CDTF">2022-10-16T18:18:00Z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2022-09-23T15:26:59Z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ac230d7a-3c54-416e-ab58-e50e2af652b3</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8.0, Build 20220128</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CP-014</vt:lpwstr>
  </property>
</Properties>
</file>