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71351" w14:textId="50442AE7" w:rsidR="000B26E2" w:rsidRDefault="00E001AA" w:rsidP="00E001AA">
      <w:pPr>
        <w:pStyle w:val="Pagedecouverture"/>
        <w:rPr>
          <w:noProof/>
        </w:rPr>
      </w:pPr>
      <w:bookmarkStart w:id="0" w:name="LW_BM_COVERPAGE"/>
      <w:r>
        <w:rPr>
          <w:noProof/>
        </w:rPr>
        <w:pict w14:anchorId="4863D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77848688-DD74-4574-8D55-20C32D5060FE" style="width:455.25pt;height:396.75pt">
            <v:imagedata r:id="rId13" o:title=""/>
          </v:shape>
        </w:pict>
      </w:r>
    </w:p>
    <w:bookmarkEnd w:id="0"/>
    <w:p w14:paraId="4B1CF0A1" w14:textId="77777777" w:rsidR="000B26E2" w:rsidRDefault="000B26E2" w:rsidP="000B26E2">
      <w:pPr>
        <w:rPr>
          <w:noProof/>
        </w:rPr>
        <w:sectPr w:rsidR="000B26E2" w:rsidSect="00E001AA">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bookmarkStart w:id="2" w:name="DQCErrorScopeCBC9705788F543C9803BB1F8B42" w:displacedByCustomXml="next"/>
    <w:sdt>
      <w:sdtPr>
        <w:rPr>
          <w:rFonts w:ascii="Times New Roman" w:eastAsiaTheme="minorHAnsi" w:hAnsi="Times New Roman" w:cstheme="minorBidi"/>
          <w:b w:val="0"/>
          <w:noProof/>
          <w:sz w:val="24"/>
          <w:szCs w:val="22"/>
        </w:rPr>
        <w:id w:val="-61488984"/>
        <w:docPartObj>
          <w:docPartGallery w:val="Table of Contents"/>
          <w:docPartUnique/>
        </w:docPartObj>
      </w:sdtPr>
      <w:sdtEndPr>
        <w:rPr>
          <w:bCs/>
        </w:rPr>
      </w:sdtEndPr>
      <w:sdtContent>
        <w:p w14:paraId="3048210A" w14:textId="77777777" w:rsidR="00DF56F2" w:rsidRPr="00DF56F2" w:rsidRDefault="00DF56F2">
          <w:pPr>
            <w:pStyle w:val="TOCHeading"/>
            <w:rPr>
              <w:rFonts w:ascii="Times New Roman" w:hAnsi="Times New Roman"/>
              <w:noProof/>
            </w:rPr>
          </w:pPr>
          <w:r w:rsidRPr="00DF56F2">
            <w:rPr>
              <w:rFonts w:ascii="Times New Roman" w:hAnsi="Times New Roman"/>
              <w:noProof/>
            </w:rPr>
            <w:t>Table of Contents</w:t>
          </w:r>
        </w:p>
        <w:p w14:paraId="5A283A39" w14:textId="06291D01" w:rsidR="00853F53" w:rsidRDefault="00DF56F2">
          <w:pPr>
            <w:pStyle w:val="TOC1"/>
            <w:rPr>
              <w:rFonts w:asciiTheme="minorHAnsi" w:eastAsiaTheme="minorEastAsia" w:hAnsiTheme="minorHAnsi"/>
              <w:noProof/>
              <w:sz w:val="22"/>
              <w:lang w:eastAsia="en-GB"/>
            </w:rPr>
          </w:pPr>
          <w:r w:rsidRPr="00DF56F2">
            <w:rPr>
              <w:noProof/>
            </w:rPr>
            <w:fldChar w:fldCharType="begin"/>
          </w:r>
          <w:r w:rsidRPr="00DF56F2">
            <w:rPr>
              <w:noProof/>
            </w:rPr>
            <w:instrText xml:space="preserve"> TOC \o "1-3" \h \z \u </w:instrText>
          </w:r>
          <w:r w:rsidRPr="00DF56F2">
            <w:rPr>
              <w:noProof/>
            </w:rPr>
            <w:fldChar w:fldCharType="separate"/>
          </w:r>
          <w:hyperlink w:anchor="_Toc102569196" w:history="1">
            <w:r w:rsidR="00853F53" w:rsidRPr="00A55236">
              <w:rPr>
                <w:rStyle w:val="Hyperlink"/>
                <w:noProof/>
              </w:rPr>
              <w:t>1.</w:t>
            </w:r>
            <w:r w:rsidR="00853F53">
              <w:rPr>
                <w:rFonts w:asciiTheme="minorHAnsi" w:eastAsiaTheme="minorEastAsia" w:hAnsiTheme="minorHAnsi"/>
                <w:noProof/>
                <w:sz w:val="22"/>
                <w:lang w:eastAsia="en-GB"/>
              </w:rPr>
              <w:tab/>
            </w:r>
            <w:r w:rsidR="00853F53" w:rsidRPr="00A55236">
              <w:rPr>
                <w:rStyle w:val="Hyperlink"/>
                <w:noProof/>
              </w:rPr>
              <w:t>EUROPEAN SAFETY POLICIES, OBJECTIVES AND RESOURCES</w:t>
            </w:r>
            <w:r w:rsidR="00853F53">
              <w:rPr>
                <w:noProof/>
                <w:webHidden/>
              </w:rPr>
              <w:tab/>
            </w:r>
            <w:r w:rsidR="00853F53">
              <w:rPr>
                <w:noProof/>
                <w:webHidden/>
              </w:rPr>
              <w:fldChar w:fldCharType="begin"/>
            </w:r>
            <w:r w:rsidR="00853F53">
              <w:rPr>
                <w:noProof/>
                <w:webHidden/>
              </w:rPr>
              <w:instrText xml:space="preserve"> PAGEREF _Toc102569196 \h </w:instrText>
            </w:r>
            <w:r w:rsidR="00853F53">
              <w:rPr>
                <w:noProof/>
                <w:webHidden/>
              </w:rPr>
            </w:r>
            <w:r w:rsidR="00853F53">
              <w:rPr>
                <w:noProof/>
                <w:webHidden/>
              </w:rPr>
              <w:fldChar w:fldCharType="separate"/>
            </w:r>
            <w:r w:rsidR="00244D6C">
              <w:rPr>
                <w:noProof/>
                <w:webHidden/>
              </w:rPr>
              <w:t>6</w:t>
            </w:r>
            <w:r w:rsidR="00853F53">
              <w:rPr>
                <w:noProof/>
                <w:webHidden/>
              </w:rPr>
              <w:fldChar w:fldCharType="end"/>
            </w:r>
          </w:hyperlink>
        </w:p>
        <w:p w14:paraId="544E8262" w14:textId="21BE44EF" w:rsidR="00853F53" w:rsidRDefault="00E001AA">
          <w:pPr>
            <w:pStyle w:val="TOC2"/>
            <w:rPr>
              <w:rFonts w:asciiTheme="minorHAnsi" w:eastAsiaTheme="minorEastAsia" w:hAnsiTheme="minorHAnsi"/>
              <w:noProof/>
              <w:sz w:val="22"/>
              <w:lang w:eastAsia="en-GB"/>
            </w:rPr>
          </w:pPr>
          <w:hyperlink w:anchor="_Toc102569197" w:history="1">
            <w:r w:rsidR="00853F53" w:rsidRPr="00A55236">
              <w:rPr>
                <w:rStyle w:val="Hyperlink"/>
                <w:rFonts w:cs="Times New Roman"/>
                <w:noProof/>
              </w:rPr>
              <w:t>1.1.</w:t>
            </w:r>
            <w:r w:rsidR="00853F53">
              <w:rPr>
                <w:rFonts w:asciiTheme="minorHAnsi" w:eastAsiaTheme="minorEastAsia" w:hAnsiTheme="minorHAnsi"/>
                <w:noProof/>
                <w:sz w:val="22"/>
                <w:lang w:eastAsia="en-GB"/>
              </w:rPr>
              <w:tab/>
            </w:r>
            <w:r w:rsidR="00853F53" w:rsidRPr="00A55236">
              <w:rPr>
                <w:rStyle w:val="Hyperlink"/>
                <w:noProof/>
              </w:rPr>
              <w:t>The European Aviation Safety Policy</w:t>
            </w:r>
            <w:r w:rsidR="00853F53">
              <w:rPr>
                <w:noProof/>
                <w:webHidden/>
              </w:rPr>
              <w:tab/>
            </w:r>
            <w:r w:rsidR="00853F53">
              <w:rPr>
                <w:noProof/>
                <w:webHidden/>
              </w:rPr>
              <w:fldChar w:fldCharType="begin"/>
            </w:r>
            <w:r w:rsidR="00853F53">
              <w:rPr>
                <w:noProof/>
                <w:webHidden/>
              </w:rPr>
              <w:instrText xml:space="preserve"> PAGEREF _Toc102569197 \h </w:instrText>
            </w:r>
            <w:r w:rsidR="00853F53">
              <w:rPr>
                <w:noProof/>
                <w:webHidden/>
              </w:rPr>
            </w:r>
            <w:r w:rsidR="00853F53">
              <w:rPr>
                <w:noProof/>
                <w:webHidden/>
              </w:rPr>
              <w:fldChar w:fldCharType="separate"/>
            </w:r>
            <w:r w:rsidR="00244D6C">
              <w:rPr>
                <w:noProof/>
                <w:webHidden/>
              </w:rPr>
              <w:t>6</w:t>
            </w:r>
            <w:r w:rsidR="00853F53">
              <w:rPr>
                <w:noProof/>
                <w:webHidden/>
              </w:rPr>
              <w:fldChar w:fldCharType="end"/>
            </w:r>
          </w:hyperlink>
        </w:p>
        <w:p w14:paraId="62ECD619" w14:textId="66DE3A7B" w:rsidR="00853F53" w:rsidRDefault="00E001AA">
          <w:pPr>
            <w:pStyle w:val="TOC2"/>
            <w:rPr>
              <w:rFonts w:asciiTheme="minorHAnsi" w:eastAsiaTheme="minorEastAsia" w:hAnsiTheme="minorHAnsi"/>
              <w:noProof/>
              <w:sz w:val="22"/>
              <w:lang w:eastAsia="en-GB"/>
            </w:rPr>
          </w:pPr>
          <w:hyperlink w:anchor="_Toc102569198" w:history="1">
            <w:r w:rsidR="00853F53" w:rsidRPr="00A55236">
              <w:rPr>
                <w:rStyle w:val="Hyperlink"/>
                <w:rFonts w:cs="Times New Roman"/>
                <w:noProof/>
              </w:rPr>
              <w:t>1.2.</w:t>
            </w:r>
            <w:r w:rsidR="00853F53">
              <w:rPr>
                <w:rFonts w:asciiTheme="minorHAnsi" w:eastAsiaTheme="minorEastAsia" w:hAnsiTheme="minorHAnsi"/>
                <w:noProof/>
                <w:sz w:val="22"/>
                <w:lang w:eastAsia="en-GB"/>
              </w:rPr>
              <w:tab/>
            </w:r>
            <w:r w:rsidR="00853F53" w:rsidRPr="00A55236">
              <w:rPr>
                <w:rStyle w:val="Hyperlink"/>
                <w:noProof/>
              </w:rPr>
              <w:t>The European Aviation Safety Policy and ICAO</w:t>
            </w:r>
            <w:r w:rsidR="00853F53">
              <w:rPr>
                <w:noProof/>
                <w:webHidden/>
              </w:rPr>
              <w:tab/>
            </w:r>
            <w:r w:rsidR="00853F53">
              <w:rPr>
                <w:noProof/>
                <w:webHidden/>
              </w:rPr>
              <w:fldChar w:fldCharType="begin"/>
            </w:r>
            <w:r w:rsidR="00853F53">
              <w:rPr>
                <w:noProof/>
                <w:webHidden/>
              </w:rPr>
              <w:instrText xml:space="preserve"> PAGEREF _Toc102569198 \h </w:instrText>
            </w:r>
            <w:r w:rsidR="00853F53">
              <w:rPr>
                <w:noProof/>
                <w:webHidden/>
              </w:rPr>
            </w:r>
            <w:r w:rsidR="00853F53">
              <w:rPr>
                <w:noProof/>
                <w:webHidden/>
              </w:rPr>
              <w:fldChar w:fldCharType="separate"/>
            </w:r>
            <w:r w:rsidR="00244D6C">
              <w:rPr>
                <w:noProof/>
                <w:webHidden/>
              </w:rPr>
              <w:t>7</w:t>
            </w:r>
            <w:r w:rsidR="00853F53">
              <w:rPr>
                <w:noProof/>
                <w:webHidden/>
              </w:rPr>
              <w:fldChar w:fldCharType="end"/>
            </w:r>
          </w:hyperlink>
        </w:p>
        <w:p w14:paraId="32DE5786" w14:textId="3866F6BA" w:rsidR="00853F53" w:rsidRDefault="00E001AA">
          <w:pPr>
            <w:pStyle w:val="TOC2"/>
            <w:rPr>
              <w:rFonts w:asciiTheme="minorHAnsi" w:eastAsiaTheme="minorEastAsia" w:hAnsiTheme="minorHAnsi"/>
              <w:noProof/>
              <w:sz w:val="22"/>
              <w:lang w:eastAsia="en-GB"/>
            </w:rPr>
          </w:pPr>
          <w:hyperlink w:anchor="_Toc102569199" w:history="1">
            <w:r w:rsidR="00853F53" w:rsidRPr="00A55236">
              <w:rPr>
                <w:rStyle w:val="Hyperlink"/>
                <w:rFonts w:cs="Times New Roman"/>
                <w:noProof/>
              </w:rPr>
              <w:t>1.3.</w:t>
            </w:r>
            <w:r w:rsidR="00853F53">
              <w:rPr>
                <w:rFonts w:asciiTheme="minorHAnsi" w:eastAsiaTheme="minorEastAsia" w:hAnsiTheme="minorHAnsi"/>
                <w:noProof/>
                <w:sz w:val="22"/>
                <w:lang w:eastAsia="en-GB"/>
              </w:rPr>
              <w:tab/>
            </w:r>
            <w:r w:rsidR="00853F53" w:rsidRPr="00A55236">
              <w:rPr>
                <w:rStyle w:val="Hyperlink"/>
                <w:noProof/>
              </w:rPr>
              <w:t>The European safety and environmental protection legislative framework</w:t>
            </w:r>
            <w:r w:rsidR="00853F53">
              <w:rPr>
                <w:noProof/>
                <w:webHidden/>
              </w:rPr>
              <w:tab/>
            </w:r>
            <w:r w:rsidR="00853F53">
              <w:rPr>
                <w:noProof/>
                <w:webHidden/>
              </w:rPr>
              <w:fldChar w:fldCharType="begin"/>
            </w:r>
            <w:r w:rsidR="00853F53">
              <w:rPr>
                <w:noProof/>
                <w:webHidden/>
              </w:rPr>
              <w:instrText xml:space="preserve"> PAGEREF _Toc102569199 \h </w:instrText>
            </w:r>
            <w:r w:rsidR="00853F53">
              <w:rPr>
                <w:noProof/>
                <w:webHidden/>
              </w:rPr>
            </w:r>
            <w:r w:rsidR="00853F53">
              <w:rPr>
                <w:noProof/>
                <w:webHidden/>
              </w:rPr>
              <w:fldChar w:fldCharType="separate"/>
            </w:r>
            <w:r w:rsidR="00244D6C">
              <w:rPr>
                <w:noProof/>
                <w:webHidden/>
              </w:rPr>
              <w:t>8</w:t>
            </w:r>
            <w:r w:rsidR="00853F53">
              <w:rPr>
                <w:noProof/>
                <w:webHidden/>
              </w:rPr>
              <w:fldChar w:fldCharType="end"/>
            </w:r>
          </w:hyperlink>
        </w:p>
        <w:p w14:paraId="16D06C60" w14:textId="5B2EE4AD" w:rsidR="00853F53" w:rsidRDefault="00E001AA">
          <w:pPr>
            <w:pStyle w:val="TOC3"/>
            <w:rPr>
              <w:rFonts w:asciiTheme="minorHAnsi" w:eastAsiaTheme="minorEastAsia" w:hAnsiTheme="minorHAnsi"/>
              <w:noProof/>
              <w:sz w:val="22"/>
              <w:lang w:eastAsia="en-GB"/>
            </w:rPr>
          </w:pPr>
          <w:hyperlink w:anchor="_Toc102569200" w:history="1">
            <w:r w:rsidR="00853F53" w:rsidRPr="00A55236">
              <w:rPr>
                <w:rStyle w:val="Hyperlink"/>
                <w:rFonts w:cs="Times New Roman"/>
                <w:noProof/>
              </w:rPr>
              <w:t>1.3.1.</w:t>
            </w:r>
            <w:r w:rsidR="00853F53">
              <w:rPr>
                <w:rFonts w:asciiTheme="minorHAnsi" w:eastAsiaTheme="minorEastAsia" w:hAnsiTheme="minorHAnsi"/>
                <w:noProof/>
                <w:sz w:val="22"/>
                <w:lang w:eastAsia="en-GB"/>
              </w:rPr>
              <w:tab/>
            </w:r>
            <w:r w:rsidR="00853F53" w:rsidRPr="00A55236">
              <w:rPr>
                <w:rStyle w:val="Hyperlink"/>
                <w:noProof/>
              </w:rPr>
              <w:t>Structure of the European safety legislative framework</w:t>
            </w:r>
            <w:r w:rsidR="00853F53">
              <w:rPr>
                <w:noProof/>
                <w:webHidden/>
              </w:rPr>
              <w:tab/>
            </w:r>
            <w:r w:rsidR="00853F53">
              <w:rPr>
                <w:noProof/>
                <w:webHidden/>
              </w:rPr>
              <w:fldChar w:fldCharType="begin"/>
            </w:r>
            <w:r w:rsidR="00853F53">
              <w:rPr>
                <w:noProof/>
                <w:webHidden/>
              </w:rPr>
              <w:instrText xml:space="preserve"> PAGEREF _Toc102569200 \h </w:instrText>
            </w:r>
            <w:r w:rsidR="00853F53">
              <w:rPr>
                <w:noProof/>
                <w:webHidden/>
              </w:rPr>
            </w:r>
            <w:r w:rsidR="00853F53">
              <w:rPr>
                <w:noProof/>
                <w:webHidden/>
              </w:rPr>
              <w:fldChar w:fldCharType="separate"/>
            </w:r>
            <w:r w:rsidR="00244D6C">
              <w:rPr>
                <w:noProof/>
                <w:webHidden/>
              </w:rPr>
              <w:t>8</w:t>
            </w:r>
            <w:r w:rsidR="00853F53">
              <w:rPr>
                <w:noProof/>
                <w:webHidden/>
              </w:rPr>
              <w:fldChar w:fldCharType="end"/>
            </w:r>
          </w:hyperlink>
        </w:p>
        <w:p w14:paraId="54DA574C" w14:textId="0EF0BF25" w:rsidR="00853F53" w:rsidRDefault="00E001AA">
          <w:pPr>
            <w:pStyle w:val="TOC3"/>
            <w:rPr>
              <w:rFonts w:asciiTheme="minorHAnsi" w:eastAsiaTheme="minorEastAsia" w:hAnsiTheme="minorHAnsi"/>
              <w:noProof/>
              <w:sz w:val="22"/>
              <w:lang w:eastAsia="en-GB"/>
            </w:rPr>
          </w:pPr>
          <w:hyperlink w:anchor="_Toc102569201" w:history="1">
            <w:r w:rsidR="00853F53" w:rsidRPr="00A55236">
              <w:rPr>
                <w:rStyle w:val="Hyperlink"/>
                <w:rFonts w:cs="Times New Roman"/>
                <w:noProof/>
              </w:rPr>
              <w:t>1.3.2.</w:t>
            </w:r>
            <w:r w:rsidR="00853F53">
              <w:rPr>
                <w:rFonts w:asciiTheme="minorHAnsi" w:eastAsiaTheme="minorEastAsia" w:hAnsiTheme="minorHAnsi"/>
                <w:noProof/>
                <w:sz w:val="22"/>
                <w:lang w:eastAsia="en-GB"/>
              </w:rPr>
              <w:tab/>
            </w:r>
            <w:r w:rsidR="00853F53" w:rsidRPr="00A55236">
              <w:rPr>
                <w:rStyle w:val="Hyperlink"/>
                <w:noProof/>
              </w:rPr>
              <w:t>Regulation (EU) 2018/1139 and associated rules</w:t>
            </w:r>
            <w:r w:rsidR="00853F53">
              <w:rPr>
                <w:noProof/>
                <w:webHidden/>
              </w:rPr>
              <w:tab/>
            </w:r>
            <w:r w:rsidR="00853F53">
              <w:rPr>
                <w:noProof/>
                <w:webHidden/>
              </w:rPr>
              <w:fldChar w:fldCharType="begin"/>
            </w:r>
            <w:r w:rsidR="00853F53">
              <w:rPr>
                <w:noProof/>
                <w:webHidden/>
              </w:rPr>
              <w:instrText xml:space="preserve"> PAGEREF _Toc102569201 \h </w:instrText>
            </w:r>
            <w:r w:rsidR="00853F53">
              <w:rPr>
                <w:noProof/>
                <w:webHidden/>
              </w:rPr>
            </w:r>
            <w:r w:rsidR="00853F53">
              <w:rPr>
                <w:noProof/>
                <w:webHidden/>
              </w:rPr>
              <w:fldChar w:fldCharType="separate"/>
            </w:r>
            <w:r w:rsidR="00244D6C">
              <w:rPr>
                <w:noProof/>
                <w:webHidden/>
              </w:rPr>
              <w:t>14</w:t>
            </w:r>
            <w:r w:rsidR="00853F53">
              <w:rPr>
                <w:noProof/>
                <w:webHidden/>
              </w:rPr>
              <w:fldChar w:fldCharType="end"/>
            </w:r>
          </w:hyperlink>
        </w:p>
        <w:p w14:paraId="5753CFD5" w14:textId="1D4D1A38" w:rsidR="00853F53" w:rsidRDefault="00E001AA">
          <w:pPr>
            <w:pStyle w:val="TOC3"/>
            <w:rPr>
              <w:rFonts w:asciiTheme="minorHAnsi" w:eastAsiaTheme="minorEastAsia" w:hAnsiTheme="minorHAnsi"/>
              <w:noProof/>
              <w:sz w:val="22"/>
              <w:lang w:eastAsia="en-GB"/>
            </w:rPr>
          </w:pPr>
          <w:hyperlink w:anchor="_Toc102569202" w:history="1">
            <w:r w:rsidR="00853F53" w:rsidRPr="00A55236">
              <w:rPr>
                <w:rStyle w:val="Hyperlink"/>
                <w:rFonts w:cs="Times New Roman"/>
                <w:noProof/>
              </w:rPr>
              <w:t>1.3.3.</w:t>
            </w:r>
            <w:r w:rsidR="00853F53">
              <w:rPr>
                <w:rFonts w:asciiTheme="minorHAnsi" w:eastAsiaTheme="minorEastAsia" w:hAnsiTheme="minorHAnsi"/>
                <w:noProof/>
                <w:sz w:val="22"/>
                <w:lang w:eastAsia="en-GB"/>
              </w:rPr>
              <w:tab/>
            </w:r>
            <w:r w:rsidR="00853F53" w:rsidRPr="00A55236">
              <w:rPr>
                <w:rStyle w:val="Hyperlink"/>
                <w:noProof/>
              </w:rPr>
              <w:t>Investigation of accidents and incidents in civil aviation</w:t>
            </w:r>
            <w:r w:rsidR="00853F53">
              <w:rPr>
                <w:noProof/>
                <w:webHidden/>
              </w:rPr>
              <w:tab/>
            </w:r>
            <w:r w:rsidR="00853F53">
              <w:rPr>
                <w:noProof/>
                <w:webHidden/>
              </w:rPr>
              <w:fldChar w:fldCharType="begin"/>
            </w:r>
            <w:r w:rsidR="00853F53">
              <w:rPr>
                <w:noProof/>
                <w:webHidden/>
              </w:rPr>
              <w:instrText xml:space="preserve"> PAGEREF _Toc102569202 \h </w:instrText>
            </w:r>
            <w:r w:rsidR="00853F53">
              <w:rPr>
                <w:noProof/>
                <w:webHidden/>
              </w:rPr>
            </w:r>
            <w:r w:rsidR="00853F53">
              <w:rPr>
                <w:noProof/>
                <w:webHidden/>
              </w:rPr>
              <w:fldChar w:fldCharType="separate"/>
            </w:r>
            <w:r w:rsidR="00244D6C">
              <w:rPr>
                <w:noProof/>
                <w:webHidden/>
              </w:rPr>
              <w:t>22</w:t>
            </w:r>
            <w:r w:rsidR="00853F53">
              <w:rPr>
                <w:noProof/>
                <w:webHidden/>
              </w:rPr>
              <w:fldChar w:fldCharType="end"/>
            </w:r>
          </w:hyperlink>
        </w:p>
        <w:p w14:paraId="4558F452" w14:textId="6B451D8E" w:rsidR="00853F53" w:rsidRDefault="00E001AA">
          <w:pPr>
            <w:pStyle w:val="TOC3"/>
            <w:rPr>
              <w:rFonts w:asciiTheme="minorHAnsi" w:eastAsiaTheme="minorEastAsia" w:hAnsiTheme="minorHAnsi"/>
              <w:noProof/>
              <w:sz w:val="22"/>
              <w:lang w:eastAsia="en-GB"/>
            </w:rPr>
          </w:pPr>
          <w:hyperlink w:anchor="_Toc102569203" w:history="1">
            <w:r w:rsidR="00853F53" w:rsidRPr="00A55236">
              <w:rPr>
                <w:rStyle w:val="Hyperlink"/>
                <w:rFonts w:cs="Times New Roman"/>
                <w:noProof/>
              </w:rPr>
              <w:t>1.3.4.</w:t>
            </w:r>
            <w:r w:rsidR="00853F53">
              <w:rPr>
                <w:rFonts w:asciiTheme="minorHAnsi" w:eastAsiaTheme="minorEastAsia" w:hAnsiTheme="minorHAnsi"/>
                <w:noProof/>
                <w:sz w:val="22"/>
                <w:lang w:eastAsia="en-GB"/>
              </w:rPr>
              <w:tab/>
            </w:r>
            <w:r w:rsidR="00853F53" w:rsidRPr="00A55236">
              <w:rPr>
                <w:rStyle w:val="Hyperlink"/>
                <w:noProof/>
              </w:rPr>
              <w:t>Reporting, analysis and follow-up of occurrences in civil aviation</w:t>
            </w:r>
            <w:r w:rsidR="00853F53">
              <w:rPr>
                <w:noProof/>
                <w:webHidden/>
              </w:rPr>
              <w:tab/>
            </w:r>
            <w:r w:rsidR="00853F53">
              <w:rPr>
                <w:noProof/>
                <w:webHidden/>
              </w:rPr>
              <w:fldChar w:fldCharType="begin"/>
            </w:r>
            <w:r w:rsidR="00853F53">
              <w:rPr>
                <w:noProof/>
                <w:webHidden/>
              </w:rPr>
              <w:instrText xml:space="preserve"> PAGEREF _Toc102569203 \h </w:instrText>
            </w:r>
            <w:r w:rsidR="00853F53">
              <w:rPr>
                <w:noProof/>
                <w:webHidden/>
              </w:rPr>
            </w:r>
            <w:r w:rsidR="00853F53">
              <w:rPr>
                <w:noProof/>
                <w:webHidden/>
              </w:rPr>
              <w:fldChar w:fldCharType="separate"/>
            </w:r>
            <w:r w:rsidR="00244D6C">
              <w:rPr>
                <w:noProof/>
                <w:webHidden/>
              </w:rPr>
              <w:t>22</w:t>
            </w:r>
            <w:r w:rsidR="00853F53">
              <w:rPr>
                <w:noProof/>
                <w:webHidden/>
              </w:rPr>
              <w:fldChar w:fldCharType="end"/>
            </w:r>
          </w:hyperlink>
        </w:p>
        <w:p w14:paraId="00A1D4BF" w14:textId="6F90AA3B" w:rsidR="00853F53" w:rsidRDefault="00E001AA">
          <w:pPr>
            <w:pStyle w:val="TOC3"/>
            <w:rPr>
              <w:rFonts w:asciiTheme="minorHAnsi" w:eastAsiaTheme="minorEastAsia" w:hAnsiTheme="minorHAnsi"/>
              <w:noProof/>
              <w:sz w:val="22"/>
              <w:lang w:eastAsia="en-GB"/>
            </w:rPr>
          </w:pPr>
          <w:hyperlink w:anchor="_Toc102569204" w:history="1">
            <w:r w:rsidR="00853F53" w:rsidRPr="00A55236">
              <w:rPr>
                <w:rStyle w:val="Hyperlink"/>
                <w:rFonts w:cs="Times New Roman"/>
                <w:noProof/>
              </w:rPr>
              <w:t>1.3.5.</w:t>
            </w:r>
            <w:r w:rsidR="00853F53">
              <w:rPr>
                <w:rFonts w:asciiTheme="minorHAnsi" w:eastAsiaTheme="minorEastAsia" w:hAnsiTheme="minorHAnsi"/>
                <w:noProof/>
                <w:sz w:val="22"/>
                <w:lang w:eastAsia="en-GB"/>
              </w:rPr>
              <w:tab/>
            </w:r>
            <w:r w:rsidR="00853F53" w:rsidRPr="00A55236">
              <w:rPr>
                <w:rStyle w:val="Hyperlink"/>
                <w:noProof/>
              </w:rPr>
              <w:t>European Union list of air carriers subject to an operating ban within the EU</w:t>
            </w:r>
            <w:r w:rsidR="00853F53">
              <w:rPr>
                <w:noProof/>
                <w:webHidden/>
              </w:rPr>
              <w:tab/>
            </w:r>
            <w:r w:rsidR="00853F53">
              <w:rPr>
                <w:noProof/>
                <w:webHidden/>
              </w:rPr>
              <w:fldChar w:fldCharType="begin"/>
            </w:r>
            <w:r w:rsidR="00853F53">
              <w:rPr>
                <w:noProof/>
                <w:webHidden/>
              </w:rPr>
              <w:instrText xml:space="preserve"> PAGEREF _Toc102569204 \h </w:instrText>
            </w:r>
            <w:r w:rsidR="00853F53">
              <w:rPr>
                <w:noProof/>
                <w:webHidden/>
              </w:rPr>
            </w:r>
            <w:r w:rsidR="00853F53">
              <w:rPr>
                <w:noProof/>
                <w:webHidden/>
              </w:rPr>
              <w:fldChar w:fldCharType="separate"/>
            </w:r>
            <w:r w:rsidR="00244D6C">
              <w:rPr>
                <w:noProof/>
                <w:webHidden/>
              </w:rPr>
              <w:t>23</w:t>
            </w:r>
            <w:r w:rsidR="00853F53">
              <w:rPr>
                <w:noProof/>
                <w:webHidden/>
              </w:rPr>
              <w:fldChar w:fldCharType="end"/>
            </w:r>
          </w:hyperlink>
        </w:p>
        <w:p w14:paraId="5B6B4687" w14:textId="6AA304B8" w:rsidR="00853F53" w:rsidRDefault="00E001AA">
          <w:pPr>
            <w:pStyle w:val="TOC2"/>
            <w:rPr>
              <w:rFonts w:asciiTheme="minorHAnsi" w:eastAsiaTheme="minorEastAsia" w:hAnsiTheme="minorHAnsi"/>
              <w:noProof/>
              <w:sz w:val="22"/>
              <w:lang w:eastAsia="en-GB"/>
            </w:rPr>
          </w:pPr>
          <w:hyperlink w:anchor="_Toc102569205" w:history="1">
            <w:r w:rsidR="00853F53" w:rsidRPr="00A55236">
              <w:rPr>
                <w:rStyle w:val="Hyperlink"/>
                <w:rFonts w:cs="Times New Roman"/>
                <w:noProof/>
              </w:rPr>
              <w:t>1.4.</w:t>
            </w:r>
            <w:r w:rsidR="00853F53">
              <w:rPr>
                <w:rFonts w:asciiTheme="minorHAnsi" w:eastAsiaTheme="minorEastAsia" w:hAnsiTheme="minorHAnsi"/>
                <w:noProof/>
                <w:sz w:val="22"/>
                <w:lang w:eastAsia="en-GB"/>
              </w:rPr>
              <w:tab/>
            </w:r>
            <w:r w:rsidR="00853F53" w:rsidRPr="00A55236">
              <w:rPr>
                <w:rStyle w:val="Hyperlink"/>
                <w:noProof/>
              </w:rPr>
              <w:t>Safety responsibilities and accountabilities in the European Union</w:t>
            </w:r>
            <w:r w:rsidR="00853F53">
              <w:rPr>
                <w:noProof/>
                <w:webHidden/>
              </w:rPr>
              <w:tab/>
            </w:r>
            <w:r w:rsidR="00853F53">
              <w:rPr>
                <w:noProof/>
                <w:webHidden/>
              </w:rPr>
              <w:fldChar w:fldCharType="begin"/>
            </w:r>
            <w:r w:rsidR="00853F53">
              <w:rPr>
                <w:noProof/>
                <w:webHidden/>
              </w:rPr>
              <w:instrText xml:space="preserve"> PAGEREF _Toc102569205 \h </w:instrText>
            </w:r>
            <w:r w:rsidR="00853F53">
              <w:rPr>
                <w:noProof/>
                <w:webHidden/>
              </w:rPr>
            </w:r>
            <w:r w:rsidR="00853F53">
              <w:rPr>
                <w:noProof/>
                <w:webHidden/>
              </w:rPr>
              <w:fldChar w:fldCharType="separate"/>
            </w:r>
            <w:r w:rsidR="00244D6C">
              <w:rPr>
                <w:noProof/>
                <w:webHidden/>
              </w:rPr>
              <w:t>23</w:t>
            </w:r>
            <w:r w:rsidR="00853F53">
              <w:rPr>
                <w:noProof/>
                <w:webHidden/>
              </w:rPr>
              <w:fldChar w:fldCharType="end"/>
            </w:r>
          </w:hyperlink>
        </w:p>
        <w:p w14:paraId="3D7D8A27" w14:textId="0A03FD69" w:rsidR="00853F53" w:rsidRDefault="00E001AA">
          <w:pPr>
            <w:pStyle w:val="TOC3"/>
            <w:rPr>
              <w:rFonts w:asciiTheme="minorHAnsi" w:eastAsiaTheme="minorEastAsia" w:hAnsiTheme="minorHAnsi"/>
              <w:noProof/>
              <w:sz w:val="22"/>
              <w:lang w:eastAsia="en-GB"/>
            </w:rPr>
          </w:pPr>
          <w:hyperlink w:anchor="_Toc102569206" w:history="1">
            <w:r w:rsidR="00853F53" w:rsidRPr="00A55236">
              <w:rPr>
                <w:rStyle w:val="Hyperlink"/>
                <w:rFonts w:cs="Times New Roman"/>
                <w:noProof/>
              </w:rPr>
              <w:t>1.4.1.</w:t>
            </w:r>
            <w:r w:rsidR="00853F53">
              <w:rPr>
                <w:rFonts w:asciiTheme="minorHAnsi" w:eastAsiaTheme="minorEastAsia" w:hAnsiTheme="minorHAnsi"/>
                <w:noProof/>
                <w:sz w:val="22"/>
                <w:lang w:eastAsia="en-GB"/>
              </w:rPr>
              <w:tab/>
            </w:r>
            <w:r w:rsidR="00853F53" w:rsidRPr="00A55236">
              <w:rPr>
                <w:rStyle w:val="Hyperlink"/>
                <w:noProof/>
              </w:rPr>
              <w:t>Decision making process within the European Union</w:t>
            </w:r>
            <w:r w:rsidR="00853F53">
              <w:rPr>
                <w:noProof/>
                <w:webHidden/>
              </w:rPr>
              <w:tab/>
            </w:r>
            <w:r w:rsidR="00853F53">
              <w:rPr>
                <w:noProof/>
                <w:webHidden/>
              </w:rPr>
              <w:fldChar w:fldCharType="begin"/>
            </w:r>
            <w:r w:rsidR="00853F53">
              <w:rPr>
                <w:noProof/>
                <w:webHidden/>
              </w:rPr>
              <w:instrText xml:space="preserve"> PAGEREF _Toc102569206 \h </w:instrText>
            </w:r>
            <w:r w:rsidR="00853F53">
              <w:rPr>
                <w:noProof/>
                <w:webHidden/>
              </w:rPr>
            </w:r>
            <w:r w:rsidR="00853F53">
              <w:rPr>
                <w:noProof/>
                <w:webHidden/>
              </w:rPr>
              <w:fldChar w:fldCharType="separate"/>
            </w:r>
            <w:r w:rsidR="00244D6C">
              <w:rPr>
                <w:noProof/>
                <w:webHidden/>
              </w:rPr>
              <w:t>23</w:t>
            </w:r>
            <w:r w:rsidR="00853F53">
              <w:rPr>
                <w:noProof/>
                <w:webHidden/>
              </w:rPr>
              <w:fldChar w:fldCharType="end"/>
            </w:r>
          </w:hyperlink>
        </w:p>
        <w:p w14:paraId="1429C8B2" w14:textId="41B4DCB7" w:rsidR="00853F53" w:rsidRDefault="00E001AA">
          <w:pPr>
            <w:pStyle w:val="TOC3"/>
            <w:rPr>
              <w:rFonts w:asciiTheme="minorHAnsi" w:eastAsiaTheme="minorEastAsia" w:hAnsiTheme="minorHAnsi"/>
              <w:noProof/>
              <w:sz w:val="22"/>
              <w:lang w:eastAsia="en-GB"/>
            </w:rPr>
          </w:pPr>
          <w:hyperlink w:anchor="_Toc102569207" w:history="1">
            <w:r w:rsidR="00853F53" w:rsidRPr="00A55236">
              <w:rPr>
                <w:rStyle w:val="Hyperlink"/>
                <w:rFonts w:cs="Times New Roman"/>
                <w:noProof/>
              </w:rPr>
              <w:t>1.4.2.</w:t>
            </w:r>
            <w:r w:rsidR="00853F53">
              <w:rPr>
                <w:rFonts w:asciiTheme="minorHAnsi" w:eastAsiaTheme="minorEastAsia" w:hAnsiTheme="minorHAnsi"/>
                <w:noProof/>
                <w:sz w:val="22"/>
                <w:lang w:eastAsia="en-GB"/>
              </w:rPr>
              <w:tab/>
            </w:r>
            <w:r w:rsidR="00853F53" w:rsidRPr="00A55236">
              <w:rPr>
                <w:rStyle w:val="Hyperlink"/>
                <w:noProof/>
              </w:rPr>
              <w:t>Aviation safety competences and responsibilities within the European safety system</w:t>
            </w:r>
            <w:r w:rsidR="00853F53">
              <w:rPr>
                <w:noProof/>
                <w:webHidden/>
              </w:rPr>
              <w:tab/>
            </w:r>
            <w:r w:rsidR="00853F53">
              <w:rPr>
                <w:noProof/>
                <w:webHidden/>
              </w:rPr>
              <w:fldChar w:fldCharType="begin"/>
            </w:r>
            <w:r w:rsidR="00853F53">
              <w:rPr>
                <w:noProof/>
                <w:webHidden/>
              </w:rPr>
              <w:instrText xml:space="preserve"> PAGEREF _Toc102569207 \h </w:instrText>
            </w:r>
            <w:r w:rsidR="00853F53">
              <w:rPr>
                <w:noProof/>
                <w:webHidden/>
              </w:rPr>
            </w:r>
            <w:r w:rsidR="00853F53">
              <w:rPr>
                <w:noProof/>
                <w:webHidden/>
              </w:rPr>
              <w:fldChar w:fldCharType="separate"/>
            </w:r>
            <w:r w:rsidR="00244D6C">
              <w:rPr>
                <w:noProof/>
                <w:webHidden/>
              </w:rPr>
              <w:t>24</w:t>
            </w:r>
            <w:r w:rsidR="00853F53">
              <w:rPr>
                <w:noProof/>
                <w:webHidden/>
              </w:rPr>
              <w:fldChar w:fldCharType="end"/>
            </w:r>
          </w:hyperlink>
        </w:p>
        <w:p w14:paraId="220515EE" w14:textId="33747202" w:rsidR="00853F53" w:rsidRDefault="00E001AA">
          <w:pPr>
            <w:pStyle w:val="TOC2"/>
            <w:rPr>
              <w:rFonts w:asciiTheme="minorHAnsi" w:eastAsiaTheme="minorEastAsia" w:hAnsiTheme="minorHAnsi"/>
              <w:noProof/>
              <w:sz w:val="22"/>
              <w:lang w:eastAsia="en-GB"/>
            </w:rPr>
          </w:pPr>
          <w:hyperlink w:anchor="_Toc102569208" w:history="1">
            <w:r w:rsidR="00853F53" w:rsidRPr="00A55236">
              <w:rPr>
                <w:rStyle w:val="Hyperlink"/>
                <w:rFonts w:cs="Times New Roman"/>
                <w:noProof/>
              </w:rPr>
              <w:t>1.5.</w:t>
            </w:r>
            <w:r w:rsidR="00853F53">
              <w:rPr>
                <w:rFonts w:asciiTheme="minorHAnsi" w:eastAsiaTheme="minorEastAsia" w:hAnsiTheme="minorHAnsi"/>
                <w:noProof/>
                <w:sz w:val="22"/>
                <w:lang w:eastAsia="en-GB"/>
              </w:rPr>
              <w:tab/>
            </w:r>
            <w:r w:rsidR="00853F53" w:rsidRPr="00A55236">
              <w:rPr>
                <w:rStyle w:val="Hyperlink"/>
                <w:noProof/>
              </w:rPr>
              <w:t>Accident and incident investigation</w:t>
            </w:r>
            <w:r w:rsidR="00853F53">
              <w:rPr>
                <w:noProof/>
                <w:webHidden/>
              </w:rPr>
              <w:tab/>
            </w:r>
            <w:r w:rsidR="00853F53">
              <w:rPr>
                <w:noProof/>
                <w:webHidden/>
              </w:rPr>
              <w:fldChar w:fldCharType="begin"/>
            </w:r>
            <w:r w:rsidR="00853F53">
              <w:rPr>
                <w:noProof/>
                <w:webHidden/>
              </w:rPr>
              <w:instrText xml:space="preserve"> PAGEREF _Toc102569208 \h </w:instrText>
            </w:r>
            <w:r w:rsidR="00853F53">
              <w:rPr>
                <w:noProof/>
                <w:webHidden/>
              </w:rPr>
            </w:r>
            <w:r w:rsidR="00853F53">
              <w:rPr>
                <w:noProof/>
                <w:webHidden/>
              </w:rPr>
              <w:fldChar w:fldCharType="separate"/>
            </w:r>
            <w:r w:rsidR="00244D6C">
              <w:rPr>
                <w:noProof/>
                <w:webHidden/>
              </w:rPr>
              <w:t>33</w:t>
            </w:r>
            <w:r w:rsidR="00853F53">
              <w:rPr>
                <w:noProof/>
                <w:webHidden/>
              </w:rPr>
              <w:fldChar w:fldCharType="end"/>
            </w:r>
          </w:hyperlink>
        </w:p>
        <w:p w14:paraId="382706F4" w14:textId="4BBDE388" w:rsidR="00853F53" w:rsidRDefault="00E001AA">
          <w:pPr>
            <w:pStyle w:val="TOC3"/>
            <w:rPr>
              <w:rFonts w:asciiTheme="minorHAnsi" w:eastAsiaTheme="minorEastAsia" w:hAnsiTheme="minorHAnsi"/>
              <w:noProof/>
              <w:sz w:val="22"/>
              <w:lang w:eastAsia="en-GB"/>
            </w:rPr>
          </w:pPr>
          <w:hyperlink w:anchor="_Toc102569209" w:history="1">
            <w:r w:rsidR="00853F53" w:rsidRPr="00A55236">
              <w:rPr>
                <w:rStyle w:val="Hyperlink"/>
                <w:rFonts w:cs="Times New Roman"/>
                <w:noProof/>
              </w:rPr>
              <w:t>1.5.1.</w:t>
            </w:r>
            <w:r w:rsidR="00853F53">
              <w:rPr>
                <w:rFonts w:asciiTheme="minorHAnsi" w:eastAsiaTheme="minorEastAsia" w:hAnsiTheme="minorHAnsi"/>
                <w:noProof/>
                <w:sz w:val="22"/>
                <w:lang w:eastAsia="en-GB"/>
              </w:rPr>
              <w:tab/>
            </w:r>
            <w:r w:rsidR="00853F53" w:rsidRPr="00A55236">
              <w:rPr>
                <w:rStyle w:val="Hyperlink"/>
                <w:noProof/>
              </w:rPr>
              <w:t>The applicable rules</w:t>
            </w:r>
            <w:r w:rsidR="00853F53">
              <w:rPr>
                <w:noProof/>
                <w:webHidden/>
              </w:rPr>
              <w:tab/>
            </w:r>
            <w:r w:rsidR="00853F53">
              <w:rPr>
                <w:noProof/>
                <w:webHidden/>
              </w:rPr>
              <w:fldChar w:fldCharType="begin"/>
            </w:r>
            <w:r w:rsidR="00853F53">
              <w:rPr>
                <w:noProof/>
                <w:webHidden/>
              </w:rPr>
              <w:instrText xml:space="preserve"> PAGEREF _Toc102569209 \h </w:instrText>
            </w:r>
            <w:r w:rsidR="00853F53">
              <w:rPr>
                <w:noProof/>
                <w:webHidden/>
              </w:rPr>
            </w:r>
            <w:r w:rsidR="00853F53">
              <w:rPr>
                <w:noProof/>
                <w:webHidden/>
              </w:rPr>
              <w:fldChar w:fldCharType="separate"/>
            </w:r>
            <w:r w:rsidR="00244D6C">
              <w:rPr>
                <w:noProof/>
                <w:webHidden/>
              </w:rPr>
              <w:t>33</w:t>
            </w:r>
            <w:r w:rsidR="00853F53">
              <w:rPr>
                <w:noProof/>
                <w:webHidden/>
              </w:rPr>
              <w:fldChar w:fldCharType="end"/>
            </w:r>
          </w:hyperlink>
        </w:p>
        <w:p w14:paraId="4C42A105" w14:textId="6DAF68FE" w:rsidR="00853F53" w:rsidRDefault="00E001AA">
          <w:pPr>
            <w:pStyle w:val="TOC3"/>
            <w:rPr>
              <w:rFonts w:asciiTheme="minorHAnsi" w:eastAsiaTheme="minorEastAsia" w:hAnsiTheme="minorHAnsi"/>
              <w:noProof/>
              <w:sz w:val="22"/>
              <w:lang w:eastAsia="en-GB"/>
            </w:rPr>
          </w:pPr>
          <w:hyperlink w:anchor="_Toc102569210" w:history="1">
            <w:r w:rsidR="00853F53" w:rsidRPr="00A55236">
              <w:rPr>
                <w:rStyle w:val="Hyperlink"/>
                <w:rFonts w:cs="Times New Roman"/>
                <w:noProof/>
              </w:rPr>
              <w:t>1.5.2.</w:t>
            </w:r>
            <w:r w:rsidR="00853F53">
              <w:rPr>
                <w:rFonts w:asciiTheme="minorHAnsi" w:eastAsiaTheme="minorEastAsia" w:hAnsiTheme="minorHAnsi"/>
                <w:noProof/>
                <w:sz w:val="22"/>
                <w:lang w:eastAsia="en-GB"/>
              </w:rPr>
              <w:tab/>
            </w:r>
            <w:r w:rsidR="00853F53" w:rsidRPr="00A55236">
              <w:rPr>
                <w:rStyle w:val="Hyperlink"/>
                <w:noProof/>
              </w:rPr>
              <w:t>Safety recommendations</w:t>
            </w:r>
            <w:r w:rsidR="00853F53">
              <w:rPr>
                <w:noProof/>
                <w:webHidden/>
              </w:rPr>
              <w:tab/>
            </w:r>
            <w:r w:rsidR="00853F53">
              <w:rPr>
                <w:noProof/>
                <w:webHidden/>
              </w:rPr>
              <w:fldChar w:fldCharType="begin"/>
            </w:r>
            <w:r w:rsidR="00853F53">
              <w:rPr>
                <w:noProof/>
                <w:webHidden/>
              </w:rPr>
              <w:instrText xml:space="preserve"> PAGEREF _Toc102569210 \h </w:instrText>
            </w:r>
            <w:r w:rsidR="00853F53">
              <w:rPr>
                <w:noProof/>
                <w:webHidden/>
              </w:rPr>
            </w:r>
            <w:r w:rsidR="00853F53">
              <w:rPr>
                <w:noProof/>
                <w:webHidden/>
              </w:rPr>
              <w:fldChar w:fldCharType="separate"/>
            </w:r>
            <w:r w:rsidR="00244D6C">
              <w:rPr>
                <w:noProof/>
                <w:webHidden/>
              </w:rPr>
              <w:t>33</w:t>
            </w:r>
            <w:r w:rsidR="00853F53">
              <w:rPr>
                <w:noProof/>
                <w:webHidden/>
              </w:rPr>
              <w:fldChar w:fldCharType="end"/>
            </w:r>
          </w:hyperlink>
        </w:p>
        <w:p w14:paraId="3328299D" w14:textId="445F1697" w:rsidR="00853F53" w:rsidRDefault="00E001AA">
          <w:pPr>
            <w:pStyle w:val="TOC3"/>
            <w:rPr>
              <w:rFonts w:asciiTheme="minorHAnsi" w:eastAsiaTheme="minorEastAsia" w:hAnsiTheme="minorHAnsi"/>
              <w:noProof/>
              <w:sz w:val="22"/>
              <w:lang w:eastAsia="en-GB"/>
            </w:rPr>
          </w:pPr>
          <w:hyperlink w:anchor="_Toc102569211" w:history="1">
            <w:r w:rsidR="00853F53" w:rsidRPr="00A55236">
              <w:rPr>
                <w:rStyle w:val="Hyperlink"/>
                <w:rFonts w:cs="Times New Roman"/>
                <w:noProof/>
              </w:rPr>
              <w:t>1.5.3.</w:t>
            </w:r>
            <w:r w:rsidR="00853F53">
              <w:rPr>
                <w:rFonts w:asciiTheme="minorHAnsi" w:eastAsiaTheme="minorEastAsia" w:hAnsiTheme="minorHAnsi"/>
                <w:noProof/>
                <w:sz w:val="22"/>
                <w:lang w:eastAsia="en-GB"/>
              </w:rPr>
              <w:tab/>
            </w:r>
            <w:r w:rsidR="00853F53" w:rsidRPr="00A55236">
              <w:rPr>
                <w:rStyle w:val="Hyperlink"/>
                <w:noProof/>
              </w:rPr>
              <w:t>Cooperation with other entities</w:t>
            </w:r>
            <w:r w:rsidR="00853F53">
              <w:rPr>
                <w:noProof/>
                <w:webHidden/>
              </w:rPr>
              <w:tab/>
            </w:r>
            <w:r w:rsidR="00853F53">
              <w:rPr>
                <w:noProof/>
                <w:webHidden/>
              </w:rPr>
              <w:fldChar w:fldCharType="begin"/>
            </w:r>
            <w:r w:rsidR="00853F53">
              <w:rPr>
                <w:noProof/>
                <w:webHidden/>
              </w:rPr>
              <w:instrText xml:space="preserve"> PAGEREF _Toc102569211 \h </w:instrText>
            </w:r>
            <w:r w:rsidR="00853F53">
              <w:rPr>
                <w:noProof/>
                <w:webHidden/>
              </w:rPr>
            </w:r>
            <w:r w:rsidR="00853F53">
              <w:rPr>
                <w:noProof/>
                <w:webHidden/>
              </w:rPr>
              <w:fldChar w:fldCharType="separate"/>
            </w:r>
            <w:r w:rsidR="00244D6C">
              <w:rPr>
                <w:noProof/>
                <w:webHidden/>
              </w:rPr>
              <w:t>34</w:t>
            </w:r>
            <w:r w:rsidR="00853F53">
              <w:rPr>
                <w:noProof/>
                <w:webHidden/>
              </w:rPr>
              <w:fldChar w:fldCharType="end"/>
            </w:r>
          </w:hyperlink>
        </w:p>
        <w:p w14:paraId="26D13BFC" w14:textId="094BFC79" w:rsidR="00853F53" w:rsidRDefault="00E001AA">
          <w:pPr>
            <w:pStyle w:val="TOC2"/>
            <w:rPr>
              <w:rFonts w:asciiTheme="minorHAnsi" w:eastAsiaTheme="minorEastAsia" w:hAnsiTheme="minorHAnsi"/>
              <w:noProof/>
              <w:sz w:val="22"/>
              <w:lang w:eastAsia="en-GB"/>
            </w:rPr>
          </w:pPr>
          <w:hyperlink w:anchor="_Toc102569212" w:history="1">
            <w:r w:rsidR="00853F53" w:rsidRPr="00A55236">
              <w:rPr>
                <w:rStyle w:val="Hyperlink"/>
                <w:rFonts w:cs="Times New Roman"/>
                <w:noProof/>
              </w:rPr>
              <w:t>1.6.</w:t>
            </w:r>
            <w:r w:rsidR="00853F53">
              <w:rPr>
                <w:rFonts w:asciiTheme="minorHAnsi" w:eastAsiaTheme="minorEastAsia" w:hAnsiTheme="minorHAnsi"/>
                <w:noProof/>
                <w:sz w:val="22"/>
                <w:lang w:eastAsia="en-GB"/>
              </w:rPr>
              <w:tab/>
            </w:r>
            <w:r w:rsidR="00853F53" w:rsidRPr="00A55236">
              <w:rPr>
                <w:rStyle w:val="Hyperlink"/>
                <w:noProof/>
              </w:rPr>
              <w:t>Enforcement</w:t>
            </w:r>
            <w:r w:rsidR="00853F53">
              <w:rPr>
                <w:noProof/>
                <w:webHidden/>
              </w:rPr>
              <w:tab/>
            </w:r>
            <w:r w:rsidR="00853F53">
              <w:rPr>
                <w:noProof/>
                <w:webHidden/>
              </w:rPr>
              <w:fldChar w:fldCharType="begin"/>
            </w:r>
            <w:r w:rsidR="00853F53">
              <w:rPr>
                <w:noProof/>
                <w:webHidden/>
              </w:rPr>
              <w:instrText xml:space="preserve"> PAGEREF _Toc102569212 \h </w:instrText>
            </w:r>
            <w:r w:rsidR="00853F53">
              <w:rPr>
                <w:noProof/>
                <w:webHidden/>
              </w:rPr>
            </w:r>
            <w:r w:rsidR="00853F53">
              <w:rPr>
                <w:noProof/>
                <w:webHidden/>
              </w:rPr>
              <w:fldChar w:fldCharType="separate"/>
            </w:r>
            <w:r w:rsidR="00244D6C">
              <w:rPr>
                <w:noProof/>
                <w:webHidden/>
              </w:rPr>
              <w:t>34</w:t>
            </w:r>
            <w:r w:rsidR="00853F53">
              <w:rPr>
                <w:noProof/>
                <w:webHidden/>
              </w:rPr>
              <w:fldChar w:fldCharType="end"/>
            </w:r>
          </w:hyperlink>
        </w:p>
        <w:p w14:paraId="43F7051E" w14:textId="75894FA1" w:rsidR="00853F53" w:rsidRDefault="00E001AA">
          <w:pPr>
            <w:pStyle w:val="TOC3"/>
            <w:rPr>
              <w:rFonts w:asciiTheme="minorHAnsi" w:eastAsiaTheme="minorEastAsia" w:hAnsiTheme="minorHAnsi"/>
              <w:noProof/>
              <w:sz w:val="22"/>
              <w:lang w:eastAsia="en-GB"/>
            </w:rPr>
          </w:pPr>
          <w:hyperlink w:anchor="_Toc102569213" w:history="1">
            <w:r w:rsidR="00853F53" w:rsidRPr="00A55236">
              <w:rPr>
                <w:rStyle w:val="Hyperlink"/>
                <w:rFonts w:cs="Times New Roman"/>
                <w:noProof/>
              </w:rPr>
              <w:t>1.6.1.</w:t>
            </w:r>
            <w:r w:rsidR="00853F53">
              <w:rPr>
                <w:rFonts w:asciiTheme="minorHAnsi" w:eastAsiaTheme="minorEastAsia" w:hAnsiTheme="minorHAnsi"/>
                <w:noProof/>
                <w:sz w:val="22"/>
                <w:lang w:eastAsia="en-GB"/>
              </w:rPr>
              <w:tab/>
            </w:r>
            <w:r w:rsidR="00853F53" w:rsidRPr="00A55236">
              <w:rPr>
                <w:rStyle w:val="Hyperlink"/>
                <w:noProof/>
              </w:rPr>
              <w:t>Enforcement towards the Member States</w:t>
            </w:r>
            <w:r w:rsidR="00853F53">
              <w:rPr>
                <w:noProof/>
                <w:webHidden/>
              </w:rPr>
              <w:tab/>
            </w:r>
            <w:r w:rsidR="00853F53">
              <w:rPr>
                <w:noProof/>
                <w:webHidden/>
              </w:rPr>
              <w:fldChar w:fldCharType="begin"/>
            </w:r>
            <w:r w:rsidR="00853F53">
              <w:rPr>
                <w:noProof/>
                <w:webHidden/>
              </w:rPr>
              <w:instrText xml:space="preserve"> PAGEREF _Toc102569213 \h </w:instrText>
            </w:r>
            <w:r w:rsidR="00853F53">
              <w:rPr>
                <w:noProof/>
                <w:webHidden/>
              </w:rPr>
            </w:r>
            <w:r w:rsidR="00853F53">
              <w:rPr>
                <w:noProof/>
                <w:webHidden/>
              </w:rPr>
              <w:fldChar w:fldCharType="separate"/>
            </w:r>
            <w:r w:rsidR="00244D6C">
              <w:rPr>
                <w:noProof/>
                <w:webHidden/>
              </w:rPr>
              <w:t>34</w:t>
            </w:r>
            <w:r w:rsidR="00853F53">
              <w:rPr>
                <w:noProof/>
                <w:webHidden/>
              </w:rPr>
              <w:fldChar w:fldCharType="end"/>
            </w:r>
          </w:hyperlink>
        </w:p>
        <w:p w14:paraId="768C302E" w14:textId="0F58AF29" w:rsidR="00853F53" w:rsidRDefault="00E001AA">
          <w:pPr>
            <w:pStyle w:val="TOC3"/>
            <w:rPr>
              <w:rFonts w:asciiTheme="minorHAnsi" w:eastAsiaTheme="minorEastAsia" w:hAnsiTheme="minorHAnsi"/>
              <w:noProof/>
              <w:sz w:val="22"/>
              <w:lang w:eastAsia="en-GB"/>
            </w:rPr>
          </w:pPr>
          <w:hyperlink w:anchor="_Toc102569214" w:history="1">
            <w:r w:rsidR="00853F53" w:rsidRPr="00A55236">
              <w:rPr>
                <w:rStyle w:val="Hyperlink"/>
                <w:rFonts w:cs="Times New Roman"/>
                <w:noProof/>
              </w:rPr>
              <w:t>1.6.2.</w:t>
            </w:r>
            <w:r w:rsidR="00853F53">
              <w:rPr>
                <w:rFonts w:asciiTheme="minorHAnsi" w:eastAsiaTheme="minorEastAsia" w:hAnsiTheme="minorHAnsi"/>
                <w:noProof/>
                <w:sz w:val="22"/>
                <w:lang w:eastAsia="en-GB"/>
              </w:rPr>
              <w:tab/>
            </w:r>
            <w:r w:rsidR="00853F53" w:rsidRPr="00A55236">
              <w:rPr>
                <w:rStyle w:val="Hyperlink"/>
                <w:noProof/>
              </w:rPr>
              <w:t>Enforcement towards regulated industry organisations</w:t>
            </w:r>
            <w:r w:rsidR="00853F53">
              <w:rPr>
                <w:noProof/>
                <w:webHidden/>
              </w:rPr>
              <w:tab/>
            </w:r>
            <w:r w:rsidR="00853F53">
              <w:rPr>
                <w:noProof/>
                <w:webHidden/>
              </w:rPr>
              <w:fldChar w:fldCharType="begin"/>
            </w:r>
            <w:r w:rsidR="00853F53">
              <w:rPr>
                <w:noProof/>
                <w:webHidden/>
              </w:rPr>
              <w:instrText xml:space="preserve"> PAGEREF _Toc102569214 \h </w:instrText>
            </w:r>
            <w:r w:rsidR="00853F53">
              <w:rPr>
                <w:noProof/>
                <w:webHidden/>
              </w:rPr>
            </w:r>
            <w:r w:rsidR="00853F53">
              <w:rPr>
                <w:noProof/>
                <w:webHidden/>
              </w:rPr>
              <w:fldChar w:fldCharType="separate"/>
            </w:r>
            <w:r w:rsidR="00244D6C">
              <w:rPr>
                <w:noProof/>
                <w:webHidden/>
              </w:rPr>
              <w:t>35</w:t>
            </w:r>
            <w:r w:rsidR="00853F53">
              <w:rPr>
                <w:noProof/>
                <w:webHidden/>
              </w:rPr>
              <w:fldChar w:fldCharType="end"/>
            </w:r>
          </w:hyperlink>
        </w:p>
        <w:p w14:paraId="7B213E35" w14:textId="54988485" w:rsidR="00853F53" w:rsidRDefault="00E001AA">
          <w:pPr>
            <w:pStyle w:val="TOC1"/>
            <w:rPr>
              <w:rFonts w:asciiTheme="minorHAnsi" w:eastAsiaTheme="minorEastAsia" w:hAnsiTheme="minorHAnsi"/>
              <w:noProof/>
              <w:sz w:val="22"/>
              <w:lang w:eastAsia="en-GB"/>
            </w:rPr>
          </w:pPr>
          <w:hyperlink w:anchor="_Toc102569215" w:history="1">
            <w:r w:rsidR="00853F53" w:rsidRPr="00A55236">
              <w:rPr>
                <w:rStyle w:val="Hyperlink"/>
                <w:noProof/>
              </w:rPr>
              <w:t>2.</w:t>
            </w:r>
            <w:r w:rsidR="00853F53">
              <w:rPr>
                <w:rFonts w:asciiTheme="minorHAnsi" w:eastAsiaTheme="minorEastAsia" w:hAnsiTheme="minorHAnsi"/>
                <w:noProof/>
                <w:sz w:val="22"/>
                <w:lang w:eastAsia="en-GB"/>
              </w:rPr>
              <w:tab/>
            </w:r>
            <w:r w:rsidR="00853F53" w:rsidRPr="00A55236">
              <w:rPr>
                <w:rStyle w:val="Hyperlink"/>
                <w:noProof/>
              </w:rPr>
              <w:t>EUROPEAN SAFETY RISK MANAGEMENT</w:t>
            </w:r>
            <w:r w:rsidR="00853F53">
              <w:rPr>
                <w:noProof/>
                <w:webHidden/>
              </w:rPr>
              <w:tab/>
            </w:r>
            <w:r w:rsidR="00853F53">
              <w:rPr>
                <w:noProof/>
                <w:webHidden/>
              </w:rPr>
              <w:fldChar w:fldCharType="begin"/>
            </w:r>
            <w:r w:rsidR="00853F53">
              <w:rPr>
                <w:noProof/>
                <w:webHidden/>
              </w:rPr>
              <w:instrText xml:space="preserve"> PAGEREF _Toc102569215 \h </w:instrText>
            </w:r>
            <w:r w:rsidR="00853F53">
              <w:rPr>
                <w:noProof/>
                <w:webHidden/>
              </w:rPr>
            </w:r>
            <w:r w:rsidR="00853F53">
              <w:rPr>
                <w:noProof/>
                <w:webHidden/>
              </w:rPr>
              <w:fldChar w:fldCharType="separate"/>
            </w:r>
            <w:r w:rsidR="00244D6C">
              <w:rPr>
                <w:noProof/>
                <w:webHidden/>
              </w:rPr>
              <w:t>37</w:t>
            </w:r>
            <w:r w:rsidR="00853F53">
              <w:rPr>
                <w:noProof/>
                <w:webHidden/>
              </w:rPr>
              <w:fldChar w:fldCharType="end"/>
            </w:r>
          </w:hyperlink>
        </w:p>
        <w:p w14:paraId="455C6DDE" w14:textId="53AB8A0A" w:rsidR="00853F53" w:rsidRDefault="00E001AA">
          <w:pPr>
            <w:pStyle w:val="TOC2"/>
            <w:rPr>
              <w:rFonts w:asciiTheme="minorHAnsi" w:eastAsiaTheme="minorEastAsia" w:hAnsiTheme="minorHAnsi"/>
              <w:noProof/>
              <w:sz w:val="22"/>
              <w:lang w:eastAsia="en-GB"/>
            </w:rPr>
          </w:pPr>
          <w:hyperlink w:anchor="_Toc102569216" w:history="1">
            <w:r w:rsidR="00853F53" w:rsidRPr="00A55236">
              <w:rPr>
                <w:rStyle w:val="Hyperlink"/>
                <w:noProof/>
              </w:rPr>
              <w:t>2.1.</w:t>
            </w:r>
            <w:r w:rsidR="00853F53">
              <w:rPr>
                <w:rFonts w:asciiTheme="minorHAnsi" w:eastAsiaTheme="minorEastAsia" w:hAnsiTheme="minorHAnsi"/>
                <w:noProof/>
                <w:sz w:val="22"/>
                <w:lang w:eastAsia="en-GB"/>
              </w:rPr>
              <w:tab/>
            </w:r>
            <w:r w:rsidR="00853F53" w:rsidRPr="00A55236">
              <w:rPr>
                <w:rStyle w:val="Hyperlink"/>
                <w:noProof/>
              </w:rPr>
              <w:t>Safety Data collection, Analysis and Exchange</w:t>
            </w:r>
            <w:r w:rsidR="00853F53">
              <w:rPr>
                <w:noProof/>
                <w:webHidden/>
              </w:rPr>
              <w:tab/>
            </w:r>
            <w:r w:rsidR="00853F53">
              <w:rPr>
                <w:noProof/>
                <w:webHidden/>
              </w:rPr>
              <w:fldChar w:fldCharType="begin"/>
            </w:r>
            <w:r w:rsidR="00853F53">
              <w:rPr>
                <w:noProof/>
                <w:webHidden/>
              </w:rPr>
              <w:instrText xml:space="preserve"> PAGEREF _Toc102569216 \h </w:instrText>
            </w:r>
            <w:r w:rsidR="00853F53">
              <w:rPr>
                <w:noProof/>
                <w:webHidden/>
              </w:rPr>
            </w:r>
            <w:r w:rsidR="00853F53">
              <w:rPr>
                <w:noProof/>
                <w:webHidden/>
              </w:rPr>
              <w:fldChar w:fldCharType="separate"/>
            </w:r>
            <w:r w:rsidR="00244D6C">
              <w:rPr>
                <w:noProof/>
                <w:webHidden/>
              </w:rPr>
              <w:t>38</w:t>
            </w:r>
            <w:r w:rsidR="00853F53">
              <w:rPr>
                <w:noProof/>
                <w:webHidden/>
              </w:rPr>
              <w:fldChar w:fldCharType="end"/>
            </w:r>
          </w:hyperlink>
        </w:p>
        <w:p w14:paraId="05EFA5CF" w14:textId="5FE5828E" w:rsidR="00853F53" w:rsidRDefault="00E001AA">
          <w:pPr>
            <w:pStyle w:val="TOC2"/>
            <w:rPr>
              <w:rFonts w:asciiTheme="minorHAnsi" w:eastAsiaTheme="minorEastAsia" w:hAnsiTheme="minorHAnsi"/>
              <w:noProof/>
              <w:sz w:val="22"/>
              <w:lang w:eastAsia="en-GB"/>
            </w:rPr>
          </w:pPr>
          <w:hyperlink w:anchor="_Toc102569217" w:history="1">
            <w:r w:rsidR="00853F53" w:rsidRPr="00A55236">
              <w:rPr>
                <w:rStyle w:val="Hyperlink"/>
                <w:noProof/>
              </w:rPr>
              <w:t>2.2.</w:t>
            </w:r>
            <w:r w:rsidR="00853F53">
              <w:rPr>
                <w:rFonts w:asciiTheme="minorHAnsi" w:eastAsiaTheme="minorEastAsia" w:hAnsiTheme="minorHAnsi"/>
                <w:noProof/>
                <w:sz w:val="22"/>
                <w:lang w:eastAsia="en-GB"/>
              </w:rPr>
              <w:tab/>
            </w:r>
            <w:r w:rsidR="00853F53" w:rsidRPr="00A55236">
              <w:rPr>
                <w:rStyle w:val="Hyperlink"/>
                <w:noProof/>
              </w:rPr>
              <w:t>Safety Risk Management at EU level: the process to develop and update the European Plan for Aviation Safety</w:t>
            </w:r>
            <w:r w:rsidR="00853F53">
              <w:rPr>
                <w:noProof/>
                <w:webHidden/>
              </w:rPr>
              <w:tab/>
            </w:r>
            <w:r w:rsidR="00853F53">
              <w:rPr>
                <w:noProof/>
                <w:webHidden/>
              </w:rPr>
              <w:fldChar w:fldCharType="begin"/>
            </w:r>
            <w:r w:rsidR="00853F53">
              <w:rPr>
                <w:noProof/>
                <w:webHidden/>
              </w:rPr>
              <w:instrText xml:space="preserve"> PAGEREF _Toc102569217 \h </w:instrText>
            </w:r>
            <w:r w:rsidR="00853F53">
              <w:rPr>
                <w:noProof/>
                <w:webHidden/>
              </w:rPr>
            </w:r>
            <w:r w:rsidR="00853F53">
              <w:rPr>
                <w:noProof/>
                <w:webHidden/>
              </w:rPr>
              <w:fldChar w:fldCharType="separate"/>
            </w:r>
            <w:r w:rsidR="00244D6C">
              <w:rPr>
                <w:noProof/>
                <w:webHidden/>
              </w:rPr>
              <w:t>39</w:t>
            </w:r>
            <w:r w:rsidR="00853F53">
              <w:rPr>
                <w:noProof/>
                <w:webHidden/>
              </w:rPr>
              <w:fldChar w:fldCharType="end"/>
            </w:r>
          </w:hyperlink>
        </w:p>
        <w:p w14:paraId="55B8A69A" w14:textId="439B9EFE" w:rsidR="00853F53" w:rsidRDefault="00E001AA">
          <w:pPr>
            <w:pStyle w:val="TOC3"/>
            <w:rPr>
              <w:rFonts w:asciiTheme="minorHAnsi" w:eastAsiaTheme="minorEastAsia" w:hAnsiTheme="minorHAnsi"/>
              <w:noProof/>
              <w:sz w:val="22"/>
              <w:lang w:eastAsia="en-GB"/>
            </w:rPr>
          </w:pPr>
          <w:hyperlink w:anchor="_Toc102569218" w:history="1">
            <w:r w:rsidR="00853F53" w:rsidRPr="00A55236">
              <w:rPr>
                <w:rStyle w:val="Hyperlink"/>
                <w:noProof/>
              </w:rPr>
              <w:t>2.2.1</w:t>
            </w:r>
            <w:r w:rsidR="00853F53">
              <w:rPr>
                <w:rFonts w:asciiTheme="minorHAnsi" w:eastAsiaTheme="minorEastAsia" w:hAnsiTheme="minorHAnsi"/>
                <w:noProof/>
                <w:sz w:val="22"/>
                <w:lang w:eastAsia="en-GB"/>
              </w:rPr>
              <w:tab/>
            </w:r>
            <w:r w:rsidR="00853F53" w:rsidRPr="00A55236">
              <w:rPr>
                <w:rStyle w:val="Hyperlink"/>
                <w:noProof/>
              </w:rPr>
              <w:t>The European Plan for Aviation Safety: international dimension</w:t>
            </w:r>
            <w:r w:rsidR="00853F53">
              <w:rPr>
                <w:noProof/>
                <w:webHidden/>
              </w:rPr>
              <w:tab/>
            </w:r>
            <w:r w:rsidR="00853F53">
              <w:rPr>
                <w:noProof/>
                <w:webHidden/>
              </w:rPr>
              <w:fldChar w:fldCharType="begin"/>
            </w:r>
            <w:r w:rsidR="00853F53">
              <w:rPr>
                <w:noProof/>
                <w:webHidden/>
              </w:rPr>
              <w:instrText xml:space="preserve"> PAGEREF _Toc102569218 \h </w:instrText>
            </w:r>
            <w:r w:rsidR="00853F53">
              <w:rPr>
                <w:noProof/>
                <w:webHidden/>
              </w:rPr>
            </w:r>
            <w:r w:rsidR="00853F53">
              <w:rPr>
                <w:noProof/>
                <w:webHidden/>
              </w:rPr>
              <w:fldChar w:fldCharType="separate"/>
            </w:r>
            <w:r w:rsidR="00244D6C">
              <w:rPr>
                <w:noProof/>
                <w:webHidden/>
              </w:rPr>
              <w:t>42</w:t>
            </w:r>
            <w:r w:rsidR="00853F53">
              <w:rPr>
                <w:noProof/>
                <w:webHidden/>
              </w:rPr>
              <w:fldChar w:fldCharType="end"/>
            </w:r>
          </w:hyperlink>
        </w:p>
        <w:p w14:paraId="27DC48D3" w14:textId="6421A83A" w:rsidR="00853F53" w:rsidRDefault="00E001AA">
          <w:pPr>
            <w:pStyle w:val="TOC2"/>
            <w:rPr>
              <w:rFonts w:asciiTheme="minorHAnsi" w:eastAsiaTheme="minorEastAsia" w:hAnsiTheme="minorHAnsi"/>
              <w:noProof/>
              <w:sz w:val="22"/>
              <w:lang w:eastAsia="en-GB"/>
            </w:rPr>
          </w:pPr>
          <w:hyperlink w:anchor="_Toc102569219" w:history="1">
            <w:r w:rsidR="00853F53" w:rsidRPr="00A55236">
              <w:rPr>
                <w:rStyle w:val="Hyperlink"/>
                <w:noProof/>
              </w:rPr>
              <w:t>2.3.</w:t>
            </w:r>
            <w:r w:rsidR="00853F53">
              <w:rPr>
                <w:rFonts w:asciiTheme="minorHAnsi" w:eastAsiaTheme="minorEastAsia" w:hAnsiTheme="minorHAnsi"/>
                <w:noProof/>
                <w:sz w:val="22"/>
                <w:lang w:eastAsia="en-GB"/>
              </w:rPr>
              <w:tab/>
            </w:r>
            <w:r w:rsidR="00853F53" w:rsidRPr="00A55236">
              <w:rPr>
                <w:rStyle w:val="Hyperlink"/>
                <w:noProof/>
              </w:rPr>
              <w:t>Safety performance monitoring</w:t>
            </w:r>
            <w:r w:rsidR="00853F53">
              <w:rPr>
                <w:noProof/>
                <w:webHidden/>
              </w:rPr>
              <w:tab/>
            </w:r>
            <w:r w:rsidR="00853F53">
              <w:rPr>
                <w:noProof/>
                <w:webHidden/>
              </w:rPr>
              <w:fldChar w:fldCharType="begin"/>
            </w:r>
            <w:r w:rsidR="00853F53">
              <w:rPr>
                <w:noProof/>
                <w:webHidden/>
              </w:rPr>
              <w:instrText xml:space="preserve"> PAGEREF _Toc102569219 \h </w:instrText>
            </w:r>
            <w:r w:rsidR="00853F53">
              <w:rPr>
                <w:noProof/>
                <w:webHidden/>
              </w:rPr>
            </w:r>
            <w:r w:rsidR="00853F53">
              <w:rPr>
                <w:noProof/>
                <w:webHidden/>
              </w:rPr>
              <w:fldChar w:fldCharType="separate"/>
            </w:r>
            <w:r w:rsidR="00244D6C">
              <w:rPr>
                <w:noProof/>
                <w:webHidden/>
              </w:rPr>
              <w:t>44</w:t>
            </w:r>
            <w:r w:rsidR="00853F53">
              <w:rPr>
                <w:noProof/>
                <w:webHidden/>
              </w:rPr>
              <w:fldChar w:fldCharType="end"/>
            </w:r>
          </w:hyperlink>
        </w:p>
        <w:p w14:paraId="48E28930" w14:textId="78F8AC81" w:rsidR="00853F53" w:rsidRDefault="00E001AA">
          <w:pPr>
            <w:pStyle w:val="TOC3"/>
            <w:rPr>
              <w:rFonts w:asciiTheme="minorHAnsi" w:eastAsiaTheme="minorEastAsia" w:hAnsiTheme="minorHAnsi"/>
              <w:noProof/>
              <w:sz w:val="22"/>
              <w:lang w:eastAsia="en-GB"/>
            </w:rPr>
          </w:pPr>
          <w:hyperlink w:anchor="_Toc102569220" w:history="1">
            <w:r w:rsidR="00853F53" w:rsidRPr="00A55236">
              <w:rPr>
                <w:rStyle w:val="Hyperlink"/>
                <w:noProof/>
              </w:rPr>
              <w:t>2.3.1</w:t>
            </w:r>
            <w:r w:rsidR="00853F53">
              <w:rPr>
                <w:rFonts w:asciiTheme="minorHAnsi" w:eastAsiaTheme="minorEastAsia" w:hAnsiTheme="minorHAnsi"/>
                <w:noProof/>
                <w:sz w:val="22"/>
                <w:lang w:eastAsia="en-GB"/>
              </w:rPr>
              <w:tab/>
            </w:r>
            <w:r w:rsidR="00853F53" w:rsidRPr="00A55236">
              <w:rPr>
                <w:rStyle w:val="Hyperlink"/>
                <w:noProof/>
              </w:rPr>
              <w:t>Agreement on safety performance of organisations</w:t>
            </w:r>
            <w:r w:rsidR="00853F53">
              <w:rPr>
                <w:noProof/>
                <w:webHidden/>
              </w:rPr>
              <w:tab/>
            </w:r>
            <w:r w:rsidR="00853F53">
              <w:rPr>
                <w:noProof/>
                <w:webHidden/>
              </w:rPr>
              <w:fldChar w:fldCharType="begin"/>
            </w:r>
            <w:r w:rsidR="00853F53">
              <w:rPr>
                <w:noProof/>
                <w:webHidden/>
              </w:rPr>
              <w:instrText xml:space="preserve"> PAGEREF _Toc102569220 \h </w:instrText>
            </w:r>
            <w:r w:rsidR="00853F53">
              <w:rPr>
                <w:noProof/>
                <w:webHidden/>
              </w:rPr>
            </w:r>
            <w:r w:rsidR="00853F53">
              <w:rPr>
                <w:noProof/>
                <w:webHidden/>
              </w:rPr>
              <w:fldChar w:fldCharType="separate"/>
            </w:r>
            <w:r w:rsidR="00244D6C">
              <w:rPr>
                <w:noProof/>
                <w:webHidden/>
              </w:rPr>
              <w:t>44</w:t>
            </w:r>
            <w:r w:rsidR="00853F53">
              <w:rPr>
                <w:noProof/>
                <w:webHidden/>
              </w:rPr>
              <w:fldChar w:fldCharType="end"/>
            </w:r>
          </w:hyperlink>
        </w:p>
        <w:p w14:paraId="35B5DBAB" w14:textId="287F0CBC" w:rsidR="00853F53" w:rsidRDefault="00E001AA">
          <w:pPr>
            <w:pStyle w:val="TOC3"/>
            <w:rPr>
              <w:rFonts w:asciiTheme="minorHAnsi" w:eastAsiaTheme="minorEastAsia" w:hAnsiTheme="minorHAnsi"/>
              <w:noProof/>
              <w:sz w:val="22"/>
              <w:lang w:eastAsia="en-GB"/>
            </w:rPr>
          </w:pPr>
          <w:hyperlink w:anchor="_Toc102569221" w:history="1">
            <w:r w:rsidR="00853F53" w:rsidRPr="00A55236">
              <w:rPr>
                <w:rStyle w:val="Hyperlink"/>
                <w:noProof/>
              </w:rPr>
              <w:t>2.3.2</w:t>
            </w:r>
            <w:r w:rsidR="00853F53">
              <w:rPr>
                <w:rFonts w:asciiTheme="minorHAnsi" w:eastAsiaTheme="minorEastAsia" w:hAnsiTheme="minorHAnsi"/>
                <w:noProof/>
                <w:sz w:val="22"/>
                <w:lang w:eastAsia="en-GB"/>
              </w:rPr>
              <w:tab/>
            </w:r>
            <w:r w:rsidR="00853F53" w:rsidRPr="00A55236">
              <w:rPr>
                <w:rStyle w:val="Hyperlink"/>
                <w:noProof/>
              </w:rPr>
              <w:t>Member States' safety performance</w:t>
            </w:r>
            <w:r w:rsidR="00853F53">
              <w:rPr>
                <w:noProof/>
                <w:webHidden/>
              </w:rPr>
              <w:tab/>
            </w:r>
            <w:r w:rsidR="00853F53">
              <w:rPr>
                <w:noProof/>
                <w:webHidden/>
              </w:rPr>
              <w:fldChar w:fldCharType="begin"/>
            </w:r>
            <w:r w:rsidR="00853F53">
              <w:rPr>
                <w:noProof/>
                <w:webHidden/>
              </w:rPr>
              <w:instrText xml:space="preserve"> PAGEREF _Toc102569221 \h </w:instrText>
            </w:r>
            <w:r w:rsidR="00853F53">
              <w:rPr>
                <w:noProof/>
                <w:webHidden/>
              </w:rPr>
            </w:r>
            <w:r w:rsidR="00853F53">
              <w:rPr>
                <w:noProof/>
                <w:webHidden/>
              </w:rPr>
              <w:fldChar w:fldCharType="separate"/>
            </w:r>
            <w:r w:rsidR="00244D6C">
              <w:rPr>
                <w:noProof/>
                <w:webHidden/>
              </w:rPr>
              <w:t>45</w:t>
            </w:r>
            <w:r w:rsidR="00853F53">
              <w:rPr>
                <w:noProof/>
                <w:webHidden/>
              </w:rPr>
              <w:fldChar w:fldCharType="end"/>
            </w:r>
          </w:hyperlink>
        </w:p>
        <w:p w14:paraId="1CB8F1CF" w14:textId="199C7FDC" w:rsidR="00853F53" w:rsidRDefault="00E001AA">
          <w:pPr>
            <w:pStyle w:val="TOC3"/>
            <w:rPr>
              <w:rFonts w:asciiTheme="minorHAnsi" w:eastAsiaTheme="minorEastAsia" w:hAnsiTheme="minorHAnsi"/>
              <w:noProof/>
              <w:sz w:val="22"/>
              <w:lang w:eastAsia="en-GB"/>
            </w:rPr>
          </w:pPr>
          <w:hyperlink w:anchor="_Toc102569222" w:history="1">
            <w:r w:rsidR="00853F53" w:rsidRPr="00A55236">
              <w:rPr>
                <w:rStyle w:val="Hyperlink"/>
                <w:noProof/>
              </w:rPr>
              <w:t>2.3.3</w:t>
            </w:r>
            <w:r w:rsidR="00853F53">
              <w:rPr>
                <w:rFonts w:asciiTheme="minorHAnsi" w:eastAsiaTheme="minorEastAsia" w:hAnsiTheme="minorHAnsi"/>
                <w:noProof/>
                <w:sz w:val="22"/>
                <w:lang w:eastAsia="en-GB"/>
              </w:rPr>
              <w:tab/>
            </w:r>
            <w:r w:rsidR="00853F53" w:rsidRPr="00A55236">
              <w:rPr>
                <w:rStyle w:val="Hyperlink"/>
                <w:noProof/>
              </w:rPr>
              <w:t>The EASA Annual Safety Review</w:t>
            </w:r>
            <w:r w:rsidR="00853F53">
              <w:rPr>
                <w:noProof/>
                <w:webHidden/>
              </w:rPr>
              <w:tab/>
            </w:r>
            <w:r w:rsidR="00853F53">
              <w:rPr>
                <w:noProof/>
                <w:webHidden/>
              </w:rPr>
              <w:fldChar w:fldCharType="begin"/>
            </w:r>
            <w:r w:rsidR="00853F53">
              <w:rPr>
                <w:noProof/>
                <w:webHidden/>
              </w:rPr>
              <w:instrText xml:space="preserve"> PAGEREF _Toc102569222 \h </w:instrText>
            </w:r>
            <w:r w:rsidR="00853F53">
              <w:rPr>
                <w:noProof/>
                <w:webHidden/>
              </w:rPr>
            </w:r>
            <w:r w:rsidR="00853F53">
              <w:rPr>
                <w:noProof/>
                <w:webHidden/>
              </w:rPr>
              <w:fldChar w:fldCharType="separate"/>
            </w:r>
            <w:r w:rsidR="00244D6C">
              <w:rPr>
                <w:noProof/>
                <w:webHidden/>
              </w:rPr>
              <w:t>45</w:t>
            </w:r>
            <w:r w:rsidR="00853F53">
              <w:rPr>
                <w:noProof/>
                <w:webHidden/>
              </w:rPr>
              <w:fldChar w:fldCharType="end"/>
            </w:r>
          </w:hyperlink>
        </w:p>
        <w:p w14:paraId="7E215EFF" w14:textId="27AF7CA0" w:rsidR="00853F53" w:rsidRDefault="00E001AA">
          <w:pPr>
            <w:pStyle w:val="TOC2"/>
            <w:rPr>
              <w:rFonts w:asciiTheme="minorHAnsi" w:eastAsiaTheme="minorEastAsia" w:hAnsiTheme="minorHAnsi"/>
              <w:noProof/>
              <w:sz w:val="22"/>
              <w:lang w:eastAsia="en-GB"/>
            </w:rPr>
          </w:pPr>
          <w:hyperlink w:anchor="_Toc102569223" w:history="1">
            <w:r w:rsidR="00853F53" w:rsidRPr="00A55236">
              <w:rPr>
                <w:rStyle w:val="Hyperlink"/>
                <w:noProof/>
              </w:rPr>
              <w:t>2.4.</w:t>
            </w:r>
            <w:r w:rsidR="00853F53">
              <w:rPr>
                <w:rFonts w:asciiTheme="minorHAnsi" w:eastAsiaTheme="minorEastAsia" w:hAnsiTheme="minorHAnsi"/>
                <w:noProof/>
                <w:sz w:val="22"/>
                <w:lang w:eastAsia="en-GB"/>
              </w:rPr>
              <w:tab/>
            </w:r>
            <w:r w:rsidR="00853F53" w:rsidRPr="00A55236">
              <w:rPr>
                <w:rStyle w:val="Hyperlink"/>
                <w:noProof/>
              </w:rPr>
              <w:t>Safety Management Requirements for Authorities and Organisations</w:t>
            </w:r>
            <w:r w:rsidR="00853F53">
              <w:rPr>
                <w:noProof/>
                <w:webHidden/>
              </w:rPr>
              <w:tab/>
            </w:r>
            <w:r w:rsidR="00853F53">
              <w:rPr>
                <w:noProof/>
                <w:webHidden/>
              </w:rPr>
              <w:fldChar w:fldCharType="begin"/>
            </w:r>
            <w:r w:rsidR="00853F53">
              <w:rPr>
                <w:noProof/>
                <w:webHidden/>
              </w:rPr>
              <w:instrText xml:space="preserve"> PAGEREF _Toc102569223 \h </w:instrText>
            </w:r>
            <w:r w:rsidR="00853F53">
              <w:rPr>
                <w:noProof/>
                <w:webHidden/>
              </w:rPr>
            </w:r>
            <w:r w:rsidR="00853F53">
              <w:rPr>
                <w:noProof/>
                <w:webHidden/>
              </w:rPr>
              <w:fldChar w:fldCharType="separate"/>
            </w:r>
            <w:r w:rsidR="00244D6C">
              <w:rPr>
                <w:noProof/>
                <w:webHidden/>
              </w:rPr>
              <w:t>46</w:t>
            </w:r>
            <w:r w:rsidR="00853F53">
              <w:rPr>
                <w:noProof/>
                <w:webHidden/>
              </w:rPr>
              <w:fldChar w:fldCharType="end"/>
            </w:r>
          </w:hyperlink>
        </w:p>
        <w:p w14:paraId="614663CE" w14:textId="297B20F1" w:rsidR="00853F53" w:rsidRDefault="00E001AA">
          <w:pPr>
            <w:pStyle w:val="TOC1"/>
            <w:rPr>
              <w:rFonts w:asciiTheme="minorHAnsi" w:eastAsiaTheme="minorEastAsia" w:hAnsiTheme="minorHAnsi"/>
              <w:noProof/>
              <w:sz w:val="22"/>
              <w:lang w:eastAsia="en-GB"/>
            </w:rPr>
          </w:pPr>
          <w:hyperlink w:anchor="_Toc102569224" w:history="1">
            <w:r w:rsidR="00853F53" w:rsidRPr="00A55236">
              <w:rPr>
                <w:rStyle w:val="Hyperlink"/>
                <w:noProof/>
              </w:rPr>
              <w:t>3.</w:t>
            </w:r>
            <w:r w:rsidR="00853F53">
              <w:rPr>
                <w:rFonts w:asciiTheme="minorHAnsi" w:eastAsiaTheme="minorEastAsia" w:hAnsiTheme="minorHAnsi"/>
                <w:noProof/>
                <w:sz w:val="22"/>
                <w:lang w:eastAsia="en-GB"/>
              </w:rPr>
              <w:tab/>
            </w:r>
            <w:r w:rsidR="00853F53" w:rsidRPr="00A55236">
              <w:rPr>
                <w:rStyle w:val="Hyperlink"/>
                <w:noProof/>
              </w:rPr>
              <w:t>EUROPEAN SAFETY ASSURANCE</w:t>
            </w:r>
            <w:r w:rsidR="00853F53">
              <w:rPr>
                <w:noProof/>
                <w:webHidden/>
              </w:rPr>
              <w:tab/>
            </w:r>
            <w:r w:rsidR="00853F53">
              <w:rPr>
                <w:noProof/>
                <w:webHidden/>
              </w:rPr>
              <w:fldChar w:fldCharType="begin"/>
            </w:r>
            <w:r w:rsidR="00853F53">
              <w:rPr>
                <w:noProof/>
                <w:webHidden/>
              </w:rPr>
              <w:instrText xml:space="preserve"> PAGEREF _Toc102569224 \h </w:instrText>
            </w:r>
            <w:r w:rsidR="00853F53">
              <w:rPr>
                <w:noProof/>
                <w:webHidden/>
              </w:rPr>
            </w:r>
            <w:r w:rsidR="00853F53">
              <w:rPr>
                <w:noProof/>
                <w:webHidden/>
              </w:rPr>
              <w:fldChar w:fldCharType="separate"/>
            </w:r>
            <w:r w:rsidR="00244D6C">
              <w:rPr>
                <w:noProof/>
                <w:webHidden/>
              </w:rPr>
              <w:t>47</w:t>
            </w:r>
            <w:r w:rsidR="00853F53">
              <w:rPr>
                <w:noProof/>
                <w:webHidden/>
              </w:rPr>
              <w:fldChar w:fldCharType="end"/>
            </w:r>
          </w:hyperlink>
        </w:p>
        <w:p w14:paraId="646FC9C0" w14:textId="138EE60B" w:rsidR="00853F53" w:rsidRDefault="00E001AA">
          <w:pPr>
            <w:pStyle w:val="TOC2"/>
            <w:rPr>
              <w:rFonts w:asciiTheme="minorHAnsi" w:eastAsiaTheme="minorEastAsia" w:hAnsiTheme="minorHAnsi"/>
              <w:noProof/>
              <w:sz w:val="22"/>
              <w:lang w:eastAsia="en-GB"/>
            </w:rPr>
          </w:pPr>
          <w:hyperlink w:anchor="_Toc102569225" w:history="1">
            <w:r w:rsidR="00853F53" w:rsidRPr="00A55236">
              <w:rPr>
                <w:rStyle w:val="Hyperlink"/>
                <w:noProof/>
              </w:rPr>
              <w:t>3.1</w:t>
            </w:r>
            <w:r w:rsidR="00853F53">
              <w:rPr>
                <w:rFonts w:asciiTheme="minorHAnsi" w:eastAsiaTheme="minorEastAsia" w:hAnsiTheme="minorHAnsi"/>
                <w:noProof/>
                <w:sz w:val="22"/>
                <w:lang w:eastAsia="en-GB"/>
              </w:rPr>
              <w:tab/>
            </w:r>
            <w:r w:rsidR="00853F53" w:rsidRPr="00A55236">
              <w:rPr>
                <w:rStyle w:val="Hyperlink"/>
                <w:noProof/>
              </w:rPr>
              <w:t>Safety Oversight</w:t>
            </w:r>
            <w:r w:rsidR="00853F53">
              <w:rPr>
                <w:noProof/>
                <w:webHidden/>
              </w:rPr>
              <w:tab/>
            </w:r>
            <w:r w:rsidR="00853F53">
              <w:rPr>
                <w:noProof/>
                <w:webHidden/>
              </w:rPr>
              <w:fldChar w:fldCharType="begin"/>
            </w:r>
            <w:r w:rsidR="00853F53">
              <w:rPr>
                <w:noProof/>
                <w:webHidden/>
              </w:rPr>
              <w:instrText xml:space="preserve"> PAGEREF _Toc102569225 \h </w:instrText>
            </w:r>
            <w:r w:rsidR="00853F53">
              <w:rPr>
                <w:noProof/>
                <w:webHidden/>
              </w:rPr>
            </w:r>
            <w:r w:rsidR="00853F53">
              <w:rPr>
                <w:noProof/>
                <w:webHidden/>
              </w:rPr>
              <w:fldChar w:fldCharType="separate"/>
            </w:r>
            <w:r w:rsidR="00244D6C">
              <w:rPr>
                <w:noProof/>
                <w:webHidden/>
              </w:rPr>
              <w:t>47</w:t>
            </w:r>
            <w:r w:rsidR="00853F53">
              <w:rPr>
                <w:noProof/>
                <w:webHidden/>
              </w:rPr>
              <w:fldChar w:fldCharType="end"/>
            </w:r>
          </w:hyperlink>
        </w:p>
        <w:p w14:paraId="2F9BA484" w14:textId="098B3098" w:rsidR="00853F53" w:rsidRDefault="00E001AA">
          <w:pPr>
            <w:pStyle w:val="TOC3"/>
            <w:rPr>
              <w:rFonts w:asciiTheme="minorHAnsi" w:eastAsiaTheme="minorEastAsia" w:hAnsiTheme="minorHAnsi"/>
              <w:noProof/>
              <w:sz w:val="22"/>
              <w:lang w:eastAsia="en-GB"/>
            </w:rPr>
          </w:pPr>
          <w:hyperlink w:anchor="_Toc102569226" w:history="1">
            <w:r w:rsidR="00853F53" w:rsidRPr="00A55236">
              <w:rPr>
                <w:rStyle w:val="Hyperlink"/>
                <w:noProof/>
              </w:rPr>
              <w:t>3.1.1</w:t>
            </w:r>
            <w:r w:rsidR="00853F53">
              <w:rPr>
                <w:rFonts w:asciiTheme="minorHAnsi" w:eastAsiaTheme="minorEastAsia" w:hAnsiTheme="minorHAnsi"/>
                <w:noProof/>
                <w:sz w:val="22"/>
                <w:lang w:eastAsia="en-GB"/>
              </w:rPr>
              <w:tab/>
            </w:r>
            <w:r w:rsidR="00853F53" w:rsidRPr="00A55236">
              <w:rPr>
                <w:rStyle w:val="Hyperlink"/>
                <w:noProof/>
              </w:rPr>
              <w:t>Monitoring the application of the rules in the Member States</w:t>
            </w:r>
            <w:r w:rsidR="00853F53">
              <w:rPr>
                <w:noProof/>
                <w:webHidden/>
              </w:rPr>
              <w:tab/>
            </w:r>
            <w:r w:rsidR="00853F53">
              <w:rPr>
                <w:noProof/>
                <w:webHidden/>
              </w:rPr>
              <w:fldChar w:fldCharType="begin"/>
            </w:r>
            <w:r w:rsidR="00853F53">
              <w:rPr>
                <w:noProof/>
                <w:webHidden/>
              </w:rPr>
              <w:instrText xml:space="preserve"> PAGEREF _Toc102569226 \h </w:instrText>
            </w:r>
            <w:r w:rsidR="00853F53">
              <w:rPr>
                <w:noProof/>
                <w:webHidden/>
              </w:rPr>
            </w:r>
            <w:r w:rsidR="00853F53">
              <w:rPr>
                <w:noProof/>
                <w:webHidden/>
              </w:rPr>
              <w:fldChar w:fldCharType="separate"/>
            </w:r>
            <w:r w:rsidR="00244D6C">
              <w:rPr>
                <w:noProof/>
                <w:webHidden/>
              </w:rPr>
              <w:t>47</w:t>
            </w:r>
            <w:r w:rsidR="00853F53">
              <w:rPr>
                <w:noProof/>
                <w:webHidden/>
              </w:rPr>
              <w:fldChar w:fldCharType="end"/>
            </w:r>
          </w:hyperlink>
        </w:p>
        <w:p w14:paraId="010326A9" w14:textId="4A6F90E4" w:rsidR="00853F53" w:rsidRDefault="00E001AA">
          <w:pPr>
            <w:pStyle w:val="TOC3"/>
            <w:rPr>
              <w:rFonts w:asciiTheme="minorHAnsi" w:eastAsiaTheme="minorEastAsia" w:hAnsiTheme="minorHAnsi"/>
              <w:noProof/>
              <w:sz w:val="22"/>
              <w:lang w:eastAsia="en-GB"/>
            </w:rPr>
          </w:pPr>
          <w:hyperlink w:anchor="_Toc102569227" w:history="1">
            <w:r w:rsidR="00853F53" w:rsidRPr="00A55236">
              <w:rPr>
                <w:rStyle w:val="Hyperlink"/>
                <w:noProof/>
              </w:rPr>
              <w:t>3.1.2</w:t>
            </w:r>
            <w:r w:rsidR="00853F53">
              <w:rPr>
                <w:rFonts w:asciiTheme="minorHAnsi" w:eastAsiaTheme="minorEastAsia" w:hAnsiTheme="minorHAnsi"/>
                <w:noProof/>
                <w:sz w:val="22"/>
                <w:lang w:eastAsia="en-GB"/>
              </w:rPr>
              <w:tab/>
            </w:r>
            <w:r w:rsidR="00853F53" w:rsidRPr="00A55236">
              <w:rPr>
                <w:rStyle w:val="Hyperlink"/>
                <w:noProof/>
              </w:rPr>
              <w:t>Oversight on certified organisations</w:t>
            </w:r>
            <w:r w:rsidR="00853F53">
              <w:rPr>
                <w:noProof/>
                <w:webHidden/>
              </w:rPr>
              <w:tab/>
            </w:r>
            <w:r w:rsidR="00853F53">
              <w:rPr>
                <w:noProof/>
                <w:webHidden/>
              </w:rPr>
              <w:fldChar w:fldCharType="begin"/>
            </w:r>
            <w:r w:rsidR="00853F53">
              <w:rPr>
                <w:noProof/>
                <w:webHidden/>
              </w:rPr>
              <w:instrText xml:space="preserve"> PAGEREF _Toc102569227 \h </w:instrText>
            </w:r>
            <w:r w:rsidR="00853F53">
              <w:rPr>
                <w:noProof/>
                <w:webHidden/>
              </w:rPr>
            </w:r>
            <w:r w:rsidR="00853F53">
              <w:rPr>
                <w:noProof/>
                <w:webHidden/>
              </w:rPr>
              <w:fldChar w:fldCharType="separate"/>
            </w:r>
            <w:r w:rsidR="00244D6C">
              <w:rPr>
                <w:noProof/>
                <w:webHidden/>
              </w:rPr>
              <w:t>47</w:t>
            </w:r>
            <w:r w:rsidR="00853F53">
              <w:rPr>
                <w:noProof/>
                <w:webHidden/>
              </w:rPr>
              <w:fldChar w:fldCharType="end"/>
            </w:r>
          </w:hyperlink>
        </w:p>
        <w:p w14:paraId="70EED88A" w14:textId="3339C720" w:rsidR="00853F53" w:rsidRDefault="00E001AA">
          <w:pPr>
            <w:pStyle w:val="TOC2"/>
            <w:rPr>
              <w:rFonts w:asciiTheme="minorHAnsi" w:eastAsiaTheme="minorEastAsia" w:hAnsiTheme="minorHAnsi"/>
              <w:noProof/>
              <w:sz w:val="22"/>
              <w:lang w:eastAsia="en-GB"/>
            </w:rPr>
          </w:pPr>
          <w:hyperlink w:anchor="_Toc102569228" w:history="1">
            <w:r w:rsidR="00853F53" w:rsidRPr="00A55236">
              <w:rPr>
                <w:rStyle w:val="Hyperlink"/>
                <w:noProof/>
              </w:rPr>
              <w:t>3.2</w:t>
            </w:r>
            <w:r w:rsidR="00853F53">
              <w:rPr>
                <w:rFonts w:asciiTheme="minorHAnsi" w:eastAsiaTheme="minorEastAsia" w:hAnsiTheme="minorHAnsi"/>
                <w:noProof/>
                <w:sz w:val="22"/>
                <w:lang w:eastAsia="en-GB"/>
              </w:rPr>
              <w:tab/>
            </w:r>
            <w:r w:rsidR="00853F53" w:rsidRPr="00A55236">
              <w:rPr>
                <w:rStyle w:val="Hyperlink"/>
                <w:noProof/>
              </w:rPr>
              <w:t>Safety-data-driven targeting of oversight of areas of greater concern or need</w:t>
            </w:r>
            <w:r w:rsidR="00853F53">
              <w:rPr>
                <w:noProof/>
                <w:webHidden/>
              </w:rPr>
              <w:tab/>
            </w:r>
            <w:r w:rsidR="00853F53">
              <w:rPr>
                <w:noProof/>
                <w:webHidden/>
              </w:rPr>
              <w:fldChar w:fldCharType="begin"/>
            </w:r>
            <w:r w:rsidR="00853F53">
              <w:rPr>
                <w:noProof/>
                <w:webHidden/>
              </w:rPr>
              <w:instrText xml:space="preserve"> PAGEREF _Toc102569228 \h </w:instrText>
            </w:r>
            <w:r w:rsidR="00853F53">
              <w:rPr>
                <w:noProof/>
                <w:webHidden/>
              </w:rPr>
            </w:r>
            <w:r w:rsidR="00853F53">
              <w:rPr>
                <w:noProof/>
                <w:webHidden/>
              </w:rPr>
              <w:fldChar w:fldCharType="separate"/>
            </w:r>
            <w:r w:rsidR="00244D6C">
              <w:rPr>
                <w:noProof/>
                <w:webHidden/>
              </w:rPr>
              <w:t>48</w:t>
            </w:r>
            <w:r w:rsidR="00853F53">
              <w:rPr>
                <w:noProof/>
                <w:webHidden/>
              </w:rPr>
              <w:fldChar w:fldCharType="end"/>
            </w:r>
          </w:hyperlink>
        </w:p>
        <w:p w14:paraId="15F61A5A" w14:textId="64C17FC4" w:rsidR="00853F53" w:rsidRDefault="00E001AA">
          <w:pPr>
            <w:pStyle w:val="TOC3"/>
            <w:rPr>
              <w:rFonts w:asciiTheme="minorHAnsi" w:eastAsiaTheme="minorEastAsia" w:hAnsiTheme="minorHAnsi"/>
              <w:noProof/>
              <w:sz w:val="22"/>
              <w:lang w:eastAsia="en-GB"/>
            </w:rPr>
          </w:pPr>
          <w:hyperlink w:anchor="_Toc102569229" w:history="1">
            <w:r w:rsidR="00853F53" w:rsidRPr="00A55236">
              <w:rPr>
                <w:rStyle w:val="Hyperlink"/>
                <w:noProof/>
              </w:rPr>
              <w:t>3.2.1</w:t>
            </w:r>
            <w:r w:rsidR="00853F53">
              <w:rPr>
                <w:rFonts w:asciiTheme="minorHAnsi" w:eastAsiaTheme="minorEastAsia" w:hAnsiTheme="minorHAnsi"/>
                <w:noProof/>
                <w:sz w:val="22"/>
                <w:lang w:eastAsia="en-GB"/>
              </w:rPr>
              <w:tab/>
            </w:r>
            <w:r w:rsidR="00853F53" w:rsidRPr="00A55236">
              <w:rPr>
                <w:rStyle w:val="Hyperlink"/>
                <w:noProof/>
              </w:rPr>
              <w:t>Safety-data-driven targeting of monitoring of the Member States</w:t>
            </w:r>
            <w:r w:rsidR="00853F53">
              <w:rPr>
                <w:noProof/>
                <w:webHidden/>
              </w:rPr>
              <w:tab/>
            </w:r>
            <w:r w:rsidR="00853F53">
              <w:rPr>
                <w:noProof/>
                <w:webHidden/>
              </w:rPr>
              <w:fldChar w:fldCharType="begin"/>
            </w:r>
            <w:r w:rsidR="00853F53">
              <w:rPr>
                <w:noProof/>
                <w:webHidden/>
              </w:rPr>
              <w:instrText xml:space="preserve"> PAGEREF _Toc102569229 \h </w:instrText>
            </w:r>
            <w:r w:rsidR="00853F53">
              <w:rPr>
                <w:noProof/>
                <w:webHidden/>
              </w:rPr>
            </w:r>
            <w:r w:rsidR="00853F53">
              <w:rPr>
                <w:noProof/>
                <w:webHidden/>
              </w:rPr>
              <w:fldChar w:fldCharType="separate"/>
            </w:r>
            <w:r w:rsidR="00244D6C">
              <w:rPr>
                <w:noProof/>
                <w:webHidden/>
              </w:rPr>
              <w:t>48</w:t>
            </w:r>
            <w:r w:rsidR="00853F53">
              <w:rPr>
                <w:noProof/>
                <w:webHidden/>
              </w:rPr>
              <w:fldChar w:fldCharType="end"/>
            </w:r>
          </w:hyperlink>
        </w:p>
        <w:p w14:paraId="1D5DA339" w14:textId="7AE8E5D9" w:rsidR="00853F53" w:rsidRDefault="00E001AA">
          <w:pPr>
            <w:pStyle w:val="TOC3"/>
            <w:rPr>
              <w:rFonts w:asciiTheme="minorHAnsi" w:eastAsiaTheme="minorEastAsia" w:hAnsiTheme="minorHAnsi"/>
              <w:noProof/>
              <w:sz w:val="22"/>
              <w:lang w:eastAsia="en-GB"/>
            </w:rPr>
          </w:pPr>
          <w:hyperlink w:anchor="_Toc102569230" w:history="1">
            <w:r w:rsidR="00853F53" w:rsidRPr="00A55236">
              <w:rPr>
                <w:rStyle w:val="Hyperlink"/>
                <w:noProof/>
              </w:rPr>
              <w:t>3.2.2</w:t>
            </w:r>
            <w:r w:rsidR="00853F53">
              <w:rPr>
                <w:rFonts w:asciiTheme="minorHAnsi" w:eastAsiaTheme="minorEastAsia" w:hAnsiTheme="minorHAnsi"/>
                <w:noProof/>
                <w:sz w:val="22"/>
                <w:lang w:eastAsia="en-GB"/>
              </w:rPr>
              <w:tab/>
            </w:r>
            <w:r w:rsidR="00853F53" w:rsidRPr="00A55236">
              <w:rPr>
                <w:rStyle w:val="Hyperlink"/>
                <w:noProof/>
              </w:rPr>
              <w:t>Safety-data-driven targeting of oversight of the industry</w:t>
            </w:r>
            <w:r w:rsidR="00853F53">
              <w:rPr>
                <w:noProof/>
                <w:webHidden/>
              </w:rPr>
              <w:tab/>
            </w:r>
            <w:r w:rsidR="00853F53">
              <w:rPr>
                <w:noProof/>
                <w:webHidden/>
              </w:rPr>
              <w:fldChar w:fldCharType="begin"/>
            </w:r>
            <w:r w:rsidR="00853F53">
              <w:rPr>
                <w:noProof/>
                <w:webHidden/>
              </w:rPr>
              <w:instrText xml:space="preserve"> PAGEREF _Toc102569230 \h </w:instrText>
            </w:r>
            <w:r w:rsidR="00853F53">
              <w:rPr>
                <w:noProof/>
                <w:webHidden/>
              </w:rPr>
            </w:r>
            <w:r w:rsidR="00853F53">
              <w:rPr>
                <w:noProof/>
                <w:webHidden/>
              </w:rPr>
              <w:fldChar w:fldCharType="separate"/>
            </w:r>
            <w:r w:rsidR="00244D6C">
              <w:rPr>
                <w:noProof/>
                <w:webHidden/>
              </w:rPr>
              <w:t>49</w:t>
            </w:r>
            <w:r w:rsidR="00853F53">
              <w:rPr>
                <w:noProof/>
                <w:webHidden/>
              </w:rPr>
              <w:fldChar w:fldCharType="end"/>
            </w:r>
          </w:hyperlink>
        </w:p>
        <w:p w14:paraId="2C4B81D9" w14:textId="073160D1" w:rsidR="00853F53" w:rsidRDefault="00E001AA">
          <w:pPr>
            <w:pStyle w:val="TOC1"/>
            <w:rPr>
              <w:rFonts w:asciiTheme="minorHAnsi" w:eastAsiaTheme="minorEastAsia" w:hAnsiTheme="minorHAnsi"/>
              <w:noProof/>
              <w:sz w:val="22"/>
              <w:lang w:eastAsia="en-GB"/>
            </w:rPr>
          </w:pPr>
          <w:hyperlink w:anchor="_Toc102569231" w:history="1">
            <w:r w:rsidR="00853F53" w:rsidRPr="00A55236">
              <w:rPr>
                <w:rStyle w:val="Hyperlink"/>
                <w:noProof/>
              </w:rPr>
              <w:t>4.</w:t>
            </w:r>
            <w:r w:rsidR="00853F53">
              <w:rPr>
                <w:rFonts w:asciiTheme="minorHAnsi" w:eastAsiaTheme="minorEastAsia" w:hAnsiTheme="minorHAnsi"/>
                <w:noProof/>
                <w:sz w:val="22"/>
                <w:lang w:eastAsia="en-GB"/>
              </w:rPr>
              <w:tab/>
            </w:r>
            <w:r w:rsidR="00853F53" w:rsidRPr="00A55236">
              <w:rPr>
                <w:rStyle w:val="Hyperlink"/>
                <w:noProof/>
              </w:rPr>
              <w:t>EUROPEAN SAFETY PROMOTION</w:t>
            </w:r>
            <w:r w:rsidR="00853F53">
              <w:rPr>
                <w:noProof/>
                <w:webHidden/>
              </w:rPr>
              <w:tab/>
            </w:r>
            <w:r w:rsidR="00853F53">
              <w:rPr>
                <w:noProof/>
                <w:webHidden/>
              </w:rPr>
              <w:fldChar w:fldCharType="begin"/>
            </w:r>
            <w:r w:rsidR="00853F53">
              <w:rPr>
                <w:noProof/>
                <w:webHidden/>
              </w:rPr>
              <w:instrText xml:space="preserve"> PAGEREF _Toc102569231 \h </w:instrText>
            </w:r>
            <w:r w:rsidR="00853F53">
              <w:rPr>
                <w:noProof/>
                <w:webHidden/>
              </w:rPr>
            </w:r>
            <w:r w:rsidR="00853F53">
              <w:rPr>
                <w:noProof/>
                <w:webHidden/>
              </w:rPr>
              <w:fldChar w:fldCharType="separate"/>
            </w:r>
            <w:r w:rsidR="00244D6C">
              <w:rPr>
                <w:noProof/>
                <w:webHidden/>
              </w:rPr>
              <w:t>50</w:t>
            </w:r>
            <w:r w:rsidR="00853F53">
              <w:rPr>
                <w:noProof/>
                <w:webHidden/>
              </w:rPr>
              <w:fldChar w:fldCharType="end"/>
            </w:r>
          </w:hyperlink>
        </w:p>
        <w:p w14:paraId="67C127E3" w14:textId="3C1D965C" w:rsidR="00853F53" w:rsidRDefault="00E001AA">
          <w:pPr>
            <w:pStyle w:val="TOC2"/>
            <w:rPr>
              <w:rFonts w:asciiTheme="minorHAnsi" w:eastAsiaTheme="minorEastAsia" w:hAnsiTheme="minorHAnsi"/>
              <w:noProof/>
              <w:sz w:val="22"/>
              <w:lang w:eastAsia="en-GB"/>
            </w:rPr>
          </w:pPr>
          <w:hyperlink w:anchor="_Toc102569232" w:history="1">
            <w:r w:rsidR="00853F53" w:rsidRPr="00A55236">
              <w:rPr>
                <w:rStyle w:val="Hyperlink"/>
                <w:noProof/>
              </w:rPr>
              <w:t>4.1</w:t>
            </w:r>
            <w:r w:rsidR="00853F53">
              <w:rPr>
                <w:rFonts w:asciiTheme="minorHAnsi" w:eastAsiaTheme="minorEastAsia" w:hAnsiTheme="minorHAnsi"/>
                <w:noProof/>
                <w:sz w:val="22"/>
                <w:lang w:eastAsia="en-GB"/>
              </w:rPr>
              <w:tab/>
            </w:r>
            <w:r w:rsidR="00853F53" w:rsidRPr="00A55236">
              <w:rPr>
                <w:rStyle w:val="Hyperlink"/>
                <w:noProof/>
              </w:rPr>
              <w:t>Activities at EU Level</w:t>
            </w:r>
            <w:r w:rsidR="00853F53">
              <w:rPr>
                <w:noProof/>
                <w:webHidden/>
              </w:rPr>
              <w:tab/>
            </w:r>
            <w:r w:rsidR="00853F53">
              <w:rPr>
                <w:noProof/>
                <w:webHidden/>
              </w:rPr>
              <w:fldChar w:fldCharType="begin"/>
            </w:r>
            <w:r w:rsidR="00853F53">
              <w:rPr>
                <w:noProof/>
                <w:webHidden/>
              </w:rPr>
              <w:instrText xml:space="preserve"> PAGEREF _Toc102569232 \h </w:instrText>
            </w:r>
            <w:r w:rsidR="00853F53">
              <w:rPr>
                <w:noProof/>
                <w:webHidden/>
              </w:rPr>
            </w:r>
            <w:r w:rsidR="00853F53">
              <w:rPr>
                <w:noProof/>
                <w:webHidden/>
              </w:rPr>
              <w:fldChar w:fldCharType="separate"/>
            </w:r>
            <w:r w:rsidR="00244D6C">
              <w:rPr>
                <w:noProof/>
                <w:webHidden/>
              </w:rPr>
              <w:t>51</w:t>
            </w:r>
            <w:r w:rsidR="00853F53">
              <w:rPr>
                <w:noProof/>
                <w:webHidden/>
              </w:rPr>
              <w:fldChar w:fldCharType="end"/>
            </w:r>
          </w:hyperlink>
        </w:p>
        <w:p w14:paraId="7824294C" w14:textId="5A3FD7EB" w:rsidR="00853F53" w:rsidRDefault="00E001AA">
          <w:pPr>
            <w:pStyle w:val="TOC3"/>
            <w:rPr>
              <w:rFonts w:asciiTheme="minorHAnsi" w:eastAsiaTheme="minorEastAsia" w:hAnsiTheme="minorHAnsi"/>
              <w:noProof/>
              <w:sz w:val="22"/>
              <w:lang w:eastAsia="en-GB"/>
            </w:rPr>
          </w:pPr>
          <w:hyperlink w:anchor="_Toc102569233" w:history="1">
            <w:r w:rsidR="00853F53" w:rsidRPr="00A55236">
              <w:rPr>
                <w:rStyle w:val="Hyperlink"/>
                <w:noProof/>
              </w:rPr>
              <w:t>4.1.1</w:t>
            </w:r>
            <w:r w:rsidR="00853F53">
              <w:rPr>
                <w:rFonts w:asciiTheme="minorHAnsi" w:eastAsiaTheme="minorEastAsia" w:hAnsiTheme="minorHAnsi"/>
                <w:noProof/>
                <w:sz w:val="22"/>
                <w:lang w:eastAsia="en-GB"/>
              </w:rPr>
              <w:tab/>
            </w:r>
            <w:r w:rsidR="00853F53" w:rsidRPr="00A55236">
              <w:rPr>
                <w:rStyle w:val="Hyperlink"/>
                <w:noProof/>
              </w:rPr>
              <w:t>Safety communication</w:t>
            </w:r>
            <w:r w:rsidR="00853F53">
              <w:rPr>
                <w:noProof/>
                <w:webHidden/>
              </w:rPr>
              <w:tab/>
            </w:r>
            <w:r w:rsidR="00853F53">
              <w:rPr>
                <w:noProof/>
                <w:webHidden/>
              </w:rPr>
              <w:fldChar w:fldCharType="begin"/>
            </w:r>
            <w:r w:rsidR="00853F53">
              <w:rPr>
                <w:noProof/>
                <w:webHidden/>
              </w:rPr>
              <w:instrText xml:space="preserve"> PAGEREF _Toc102569233 \h </w:instrText>
            </w:r>
            <w:r w:rsidR="00853F53">
              <w:rPr>
                <w:noProof/>
                <w:webHidden/>
              </w:rPr>
            </w:r>
            <w:r w:rsidR="00853F53">
              <w:rPr>
                <w:noProof/>
                <w:webHidden/>
              </w:rPr>
              <w:fldChar w:fldCharType="separate"/>
            </w:r>
            <w:r w:rsidR="00244D6C">
              <w:rPr>
                <w:noProof/>
                <w:webHidden/>
              </w:rPr>
              <w:t>51</w:t>
            </w:r>
            <w:r w:rsidR="00853F53">
              <w:rPr>
                <w:noProof/>
                <w:webHidden/>
              </w:rPr>
              <w:fldChar w:fldCharType="end"/>
            </w:r>
          </w:hyperlink>
        </w:p>
        <w:p w14:paraId="1E512FCA" w14:textId="08BA5974" w:rsidR="00853F53" w:rsidRDefault="00E001AA">
          <w:pPr>
            <w:pStyle w:val="TOC2"/>
            <w:rPr>
              <w:rFonts w:asciiTheme="minorHAnsi" w:eastAsiaTheme="minorEastAsia" w:hAnsiTheme="minorHAnsi"/>
              <w:noProof/>
              <w:sz w:val="22"/>
              <w:lang w:eastAsia="en-GB"/>
            </w:rPr>
          </w:pPr>
          <w:hyperlink w:anchor="_Toc102569234" w:history="1">
            <w:r w:rsidR="00853F53" w:rsidRPr="00A55236">
              <w:rPr>
                <w:rStyle w:val="Hyperlink"/>
                <w:noProof/>
              </w:rPr>
              <w:t>4.2</w:t>
            </w:r>
            <w:r w:rsidR="00853F53">
              <w:rPr>
                <w:rFonts w:asciiTheme="minorHAnsi" w:eastAsiaTheme="minorEastAsia" w:hAnsiTheme="minorHAnsi"/>
                <w:noProof/>
                <w:sz w:val="22"/>
                <w:lang w:eastAsia="en-GB"/>
              </w:rPr>
              <w:tab/>
            </w:r>
            <w:r w:rsidR="00853F53" w:rsidRPr="00A55236">
              <w:rPr>
                <w:rStyle w:val="Hyperlink"/>
                <w:noProof/>
              </w:rPr>
              <w:t>Training at EU level</w:t>
            </w:r>
            <w:r w:rsidR="00853F53">
              <w:rPr>
                <w:noProof/>
                <w:webHidden/>
              </w:rPr>
              <w:tab/>
            </w:r>
            <w:r w:rsidR="00853F53">
              <w:rPr>
                <w:noProof/>
                <w:webHidden/>
              </w:rPr>
              <w:fldChar w:fldCharType="begin"/>
            </w:r>
            <w:r w:rsidR="00853F53">
              <w:rPr>
                <w:noProof/>
                <w:webHidden/>
              </w:rPr>
              <w:instrText xml:space="preserve"> PAGEREF _Toc102569234 \h </w:instrText>
            </w:r>
            <w:r w:rsidR="00853F53">
              <w:rPr>
                <w:noProof/>
                <w:webHidden/>
              </w:rPr>
            </w:r>
            <w:r w:rsidR="00853F53">
              <w:rPr>
                <w:noProof/>
                <w:webHidden/>
              </w:rPr>
              <w:fldChar w:fldCharType="separate"/>
            </w:r>
            <w:r w:rsidR="00244D6C">
              <w:rPr>
                <w:noProof/>
                <w:webHidden/>
              </w:rPr>
              <w:t>52</w:t>
            </w:r>
            <w:r w:rsidR="00853F53">
              <w:rPr>
                <w:noProof/>
                <w:webHidden/>
              </w:rPr>
              <w:fldChar w:fldCharType="end"/>
            </w:r>
          </w:hyperlink>
        </w:p>
        <w:p w14:paraId="2BA31081" w14:textId="77777777" w:rsidR="003B54B6" w:rsidRDefault="003B54B6">
          <w:pPr>
            <w:pStyle w:val="TOC1"/>
            <w:rPr>
              <w:rStyle w:val="Hyperlink"/>
              <w:noProof/>
            </w:rPr>
          </w:pPr>
        </w:p>
        <w:p w14:paraId="01FBA74D" w14:textId="3EBF7D65" w:rsidR="00275AA4" w:rsidRPr="00275AA4" w:rsidRDefault="00E001AA" w:rsidP="00275AA4">
          <w:pPr>
            <w:pStyle w:val="TOC1"/>
            <w:rPr>
              <w:noProof/>
            </w:rPr>
          </w:pPr>
          <w:hyperlink w:anchor="_Toc102569235" w:history="1">
            <w:r w:rsidR="00853F53" w:rsidRPr="00A55236">
              <w:rPr>
                <w:rStyle w:val="Hyperlink"/>
                <w:noProof/>
              </w:rPr>
              <w:t>List of Acronyms</w:t>
            </w:r>
            <w:r w:rsidR="00853F53">
              <w:rPr>
                <w:noProof/>
                <w:webHidden/>
              </w:rPr>
              <w:tab/>
            </w:r>
            <w:r w:rsidR="00853F53">
              <w:rPr>
                <w:noProof/>
                <w:webHidden/>
              </w:rPr>
              <w:fldChar w:fldCharType="begin"/>
            </w:r>
            <w:r w:rsidR="00853F53">
              <w:rPr>
                <w:noProof/>
                <w:webHidden/>
              </w:rPr>
              <w:instrText xml:space="preserve"> PAGEREF _Toc102569235 \h </w:instrText>
            </w:r>
            <w:r w:rsidR="00853F53">
              <w:rPr>
                <w:noProof/>
                <w:webHidden/>
              </w:rPr>
            </w:r>
            <w:r w:rsidR="00853F53">
              <w:rPr>
                <w:noProof/>
                <w:webHidden/>
              </w:rPr>
              <w:fldChar w:fldCharType="separate"/>
            </w:r>
            <w:r w:rsidR="00244D6C">
              <w:rPr>
                <w:noProof/>
                <w:webHidden/>
              </w:rPr>
              <w:t>53</w:t>
            </w:r>
            <w:r w:rsidR="00853F53">
              <w:rPr>
                <w:noProof/>
                <w:webHidden/>
              </w:rPr>
              <w:fldChar w:fldCharType="end"/>
            </w:r>
          </w:hyperlink>
          <w:r w:rsidR="00DF56F2" w:rsidRPr="00DF56F2">
            <w:rPr>
              <w:b/>
              <w:bCs/>
              <w:noProof/>
            </w:rPr>
            <w:fldChar w:fldCharType="end"/>
          </w:r>
        </w:p>
      </w:sdtContent>
    </w:sdt>
    <w:bookmarkEnd w:id="2" w:displacedByCustomXml="prev"/>
    <w:bookmarkStart w:id="3" w:name="DQCErrorScope7456D4F7C7A7441589DC58C97E1" w:displacedByCustomXml="prev"/>
    <w:p w14:paraId="576FE08A" w14:textId="77777777" w:rsidR="00275AA4" w:rsidRDefault="00275AA4" w:rsidP="00FB18C9">
      <w:pPr>
        <w:pStyle w:val="TOC1"/>
        <w:spacing w:before="120"/>
        <w:jc w:val="left"/>
        <w:rPr>
          <w:rStyle w:val="Hyperlink"/>
          <w:noProof/>
        </w:rPr>
      </w:pPr>
    </w:p>
    <w:p w14:paraId="6ED5F97B" w14:textId="302476AE" w:rsidR="00275AA4" w:rsidRDefault="00275AA4" w:rsidP="00FB18C9">
      <w:pPr>
        <w:pStyle w:val="TOC1"/>
        <w:spacing w:before="120"/>
        <w:jc w:val="left"/>
        <w:rPr>
          <w:rStyle w:val="Hyperlink"/>
          <w:noProof/>
        </w:rPr>
      </w:pPr>
    </w:p>
    <w:p w14:paraId="746FC377" w14:textId="4D19B8DE" w:rsidR="00605F78" w:rsidRDefault="00605F78" w:rsidP="00FB18C9">
      <w:pPr>
        <w:pStyle w:val="TOC1"/>
        <w:spacing w:before="120"/>
        <w:jc w:val="left"/>
        <w:rPr>
          <w:noProof/>
        </w:rPr>
      </w:pPr>
      <w:r>
        <w:rPr>
          <w:rStyle w:val="Hyperlink"/>
          <w:noProof/>
        </w:rPr>
        <w:fldChar w:fldCharType="begin"/>
      </w:r>
      <w:r>
        <w:rPr>
          <w:rStyle w:val="Hyperlink"/>
          <w:noProof/>
        </w:rPr>
        <w:instrText xml:space="preserve"> TOC \h \z \t "TabFig,1" </w:instrText>
      </w:r>
      <w:r>
        <w:rPr>
          <w:rStyle w:val="Hyperlink"/>
          <w:noProof/>
        </w:rPr>
        <w:fldChar w:fldCharType="separate"/>
      </w:r>
      <w:hyperlink w:anchor="_Toc94875901" w:history="1">
        <w:r w:rsidRPr="00124994">
          <w:rPr>
            <w:rStyle w:val="Hyperlink"/>
            <w:noProof/>
          </w:rPr>
          <w:t>Table 1. Applicable European Union aviation safety and environmental protection/compatibility legislation</w:t>
        </w:r>
        <w:r>
          <w:rPr>
            <w:noProof/>
            <w:webHidden/>
          </w:rPr>
          <w:tab/>
        </w:r>
        <w:r w:rsidR="00E706DC">
          <w:rPr>
            <w:noProof/>
            <w:webHidden/>
          </w:rPr>
          <w:t>9</w:t>
        </w:r>
      </w:hyperlink>
    </w:p>
    <w:p w14:paraId="7EAAAA2E" w14:textId="08BB5172" w:rsidR="00605F78" w:rsidRDefault="00E001AA" w:rsidP="00FB18C9">
      <w:pPr>
        <w:pStyle w:val="TOC1"/>
        <w:spacing w:before="120"/>
        <w:rPr>
          <w:noProof/>
        </w:rPr>
      </w:pPr>
      <w:hyperlink w:anchor="_Toc94875902" w:history="1">
        <w:r w:rsidR="00605F78" w:rsidRPr="00124994">
          <w:rPr>
            <w:rStyle w:val="Hyperlink"/>
            <w:noProof/>
          </w:rPr>
          <w:t>Table 2. Competent Authorities under EU rules</w:t>
        </w:r>
        <w:r w:rsidR="00605F78" w:rsidRPr="00FB18C9">
          <w:rPr>
            <w:rStyle w:val="Hyperlink"/>
            <w:noProof/>
          </w:rPr>
          <w:t xml:space="preserve"> </w:t>
        </w:r>
        <w:r w:rsidR="00605F78">
          <w:rPr>
            <w:noProof/>
            <w:webHidden/>
          </w:rPr>
          <w:tab/>
        </w:r>
        <w:r w:rsidR="00275AA4">
          <w:rPr>
            <w:noProof/>
            <w:webHidden/>
          </w:rPr>
          <w:t>25</w:t>
        </w:r>
      </w:hyperlink>
    </w:p>
    <w:p w14:paraId="744FB3F3" w14:textId="77777777" w:rsidR="00234C27" w:rsidRPr="00234C27" w:rsidRDefault="00234C27" w:rsidP="00234C27">
      <w:pPr>
        <w:rPr>
          <w:noProof/>
        </w:rPr>
      </w:pPr>
    </w:p>
    <w:p w14:paraId="30B75A41" w14:textId="0F2A79B3" w:rsidR="00605F78" w:rsidRDefault="00E001AA" w:rsidP="00FB18C9">
      <w:pPr>
        <w:pStyle w:val="TOC1"/>
        <w:spacing w:before="120"/>
        <w:rPr>
          <w:rFonts w:asciiTheme="minorHAnsi" w:eastAsiaTheme="minorEastAsia" w:hAnsiTheme="minorHAnsi"/>
          <w:noProof/>
          <w:sz w:val="22"/>
          <w:lang w:eastAsia="en-GB"/>
        </w:rPr>
      </w:pPr>
      <w:hyperlink w:anchor="_Toc94875903" w:history="1">
        <w:r w:rsidR="00605F78" w:rsidRPr="00124994">
          <w:rPr>
            <w:rStyle w:val="Hyperlink"/>
            <w:noProof/>
          </w:rPr>
          <w:t>Figure 1. Interrelationship between the stakeholders in the European safety system</w:t>
        </w:r>
        <w:r w:rsidR="00605F78">
          <w:rPr>
            <w:noProof/>
            <w:webHidden/>
          </w:rPr>
          <w:tab/>
        </w:r>
        <w:r w:rsidR="00605F78">
          <w:rPr>
            <w:noProof/>
            <w:webHidden/>
          </w:rPr>
          <w:fldChar w:fldCharType="begin"/>
        </w:r>
        <w:r w:rsidR="00605F78">
          <w:rPr>
            <w:noProof/>
            <w:webHidden/>
          </w:rPr>
          <w:instrText xml:space="preserve"> PAGEREF _Toc94875903 \h </w:instrText>
        </w:r>
        <w:r w:rsidR="00605F78">
          <w:rPr>
            <w:noProof/>
            <w:webHidden/>
          </w:rPr>
        </w:r>
        <w:r w:rsidR="00605F78">
          <w:rPr>
            <w:noProof/>
            <w:webHidden/>
          </w:rPr>
          <w:fldChar w:fldCharType="separate"/>
        </w:r>
        <w:r w:rsidR="00244D6C">
          <w:rPr>
            <w:noProof/>
            <w:webHidden/>
          </w:rPr>
          <w:t>28</w:t>
        </w:r>
        <w:r w:rsidR="00605F78">
          <w:rPr>
            <w:noProof/>
            <w:webHidden/>
          </w:rPr>
          <w:fldChar w:fldCharType="end"/>
        </w:r>
      </w:hyperlink>
    </w:p>
    <w:p w14:paraId="050E3586" w14:textId="68797EC7" w:rsidR="00605F78" w:rsidRDefault="00E001AA" w:rsidP="00FB18C9">
      <w:pPr>
        <w:pStyle w:val="TOC1"/>
        <w:spacing w:before="120"/>
        <w:rPr>
          <w:rFonts w:asciiTheme="minorHAnsi" w:eastAsiaTheme="minorEastAsia" w:hAnsiTheme="minorHAnsi"/>
          <w:noProof/>
          <w:sz w:val="22"/>
          <w:lang w:eastAsia="en-GB"/>
        </w:rPr>
      </w:pPr>
      <w:hyperlink w:anchor="_Toc94875904" w:history="1">
        <w:r w:rsidR="00605F78" w:rsidRPr="00124994">
          <w:rPr>
            <w:rStyle w:val="Hyperlink"/>
            <w:noProof/>
          </w:rPr>
          <w:t>Figure 2</w:t>
        </w:r>
        <w:r w:rsidR="00605F78">
          <w:rPr>
            <w:rStyle w:val="Hyperlink"/>
            <w:noProof/>
          </w:rPr>
          <w:t>.</w:t>
        </w:r>
        <w:r w:rsidR="00605F78" w:rsidRPr="00124994">
          <w:rPr>
            <w:rStyle w:val="Hyperlink"/>
            <w:noProof/>
          </w:rPr>
          <w:t xml:space="preserve"> The European SRM process</w:t>
        </w:r>
        <w:r w:rsidR="00605F78">
          <w:rPr>
            <w:noProof/>
            <w:webHidden/>
          </w:rPr>
          <w:tab/>
        </w:r>
        <w:r w:rsidR="00605F78">
          <w:rPr>
            <w:noProof/>
            <w:webHidden/>
          </w:rPr>
          <w:fldChar w:fldCharType="begin"/>
        </w:r>
        <w:r w:rsidR="00605F78">
          <w:rPr>
            <w:noProof/>
            <w:webHidden/>
          </w:rPr>
          <w:instrText xml:space="preserve"> PAGEREF _Toc94875904 \h </w:instrText>
        </w:r>
        <w:r w:rsidR="00605F78">
          <w:rPr>
            <w:noProof/>
            <w:webHidden/>
          </w:rPr>
        </w:r>
        <w:r w:rsidR="00605F78">
          <w:rPr>
            <w:noProof/>
            <w:webHidden/>
          </w:rPr>
          <w:fldChar w:fldCharType="separate"/>
        </w:r>
        <w:r w:rsidR="00244D6C">
          <w:rPr>
            <w:noProof/>
            <w:webHidden/>
          </w:rPr>
          <w:t>41</w:t>
        </w:r>
        <w:r w:rsidR="00605F78">
          <w:rPr>
            <w:noProof/>
            <w:webHidden/>
          </w:rPr>
          <w:fldChar w:fldCharType="end"/>
        </w:r>
      </w:hyperlink>
    </w:p>
    <w:p w14:paraId="0D281B37" w14:textId="63D2B066" w:rsidR="00605F78" w:rsidRDefault="00E001AA" w:rsidP="00FB18C9">
      <w:pPr>
        <w:pStyle w:val="TOC1"/>
        <w:spacing w:before="120"/>
        <w:rPr>
          <w:rFonts w:asciiTheme="minorHAnsi" w:eastAsiaTheme="minorEastAsia" w:hAnsiTheme="minorHAnsi"/>
          <w:noProof/>
          <w:sz w:val="22"/>
          <w:lang w:eastAsia="en-GB"/>
        </w:rPr>
      </w:pPr>
      <w:hyperlink w:anchor="_Toc94875905" w:history="1">
        <w:r w:rsidR="00605F78" w:rsidRPr="00124994">
          <w:rPr>
            <w:rStyle w:val="Hyperlink"/>
            <w:noProof/>
          </w:rPr>
          <w:t>Figure 3</w:t>
        </w:r>
        <w:r w:rsidR="00605F78">
          <w:rPr>
            <w:rStyle w:val="Hyperlink"/>
            <w:noProof/>
          </w:rPr>
          <w:t>.</w:t>
        </w:r>
        <w:r w:rsidR="00605F78" w:rsidRPr="00124994">
          <w:rPr>
            <w:rStyle w:val="Hyperlink"/>
            <w:noProof/>
          </w:rPr>
          <w:t xml:space="preserve"> Relationship between the EASP, EPAS and other programmes and plans</w:t>
        </w:r>
        <w:r w:rsidR="00605F78">
          <w:rPr>
            <w:noProof/>
            <w:webHidden/>
          </w:rPr>
          <w:tab/>
        </w:r>
      </w:hyperlink>
      <w:r w:rsidR="00344420">
        <w:rPr>
          <w:noProof/>
        </w:rPr>
        <w:t>43</w:t>
      </w:r>
    </w:p>
    <w:p w14:paraId="56A8D609" w14:textId="331738E9" w:rsidR="00605F78" w:rsidRDefault="00605F78" w:rsidP="00FB18C9">
      <w:pPr>
        <w:spacing w:line="276" w:lineRule="auto"/>
        <w:jc w:val="left"/>
        <w:rPr>
          <w:rStyle w:val="Hyperlink"/>
          <w:noProof/>
        </w:rPr>
      </w:pPr>
      <w:r>
        <w:rPr>
          <w:rStyle w:val="Hyperlink"/>
          <w:noProof/>
        </w:rPr>
        <w:fldChar w:fldCharType="end"/>
      </w:r>
    </w:p>
    <w:p w14:paraId="2627F4EF" w14:textId="77777777" w:rsidR="00605F78" w:rsidRDefault="00605F78">
      <w:pPr>
        <w:spacing w:before="0" w:after="200" w:line="276" w:lineRule="auto"/>
        <w:jc w:val="left"/>
        <w:rPr>
          <w:rFonts w:ascii="Times New Roman Bold" w:hAnsi="Times New Roman Bold"/>
          <w:b/>
          <w:smallCaps/>
          <w:noProof/>
        </w:rPr>
      </w:pPr>
      <w:r>
        <w:rPr>
          <w:rFonts w:ascii="Times New Roman Bold" w:hAnsi="Times New Roman Bold"/>
          <w:b/>
          <w:smallCaps/>
          <w:noProof/>
        </w:rPr>
        <w:br w:type="page"/>
      </w:r>
    </w:p>
    <w:p w14:paraId="65EC2A3F" w14:textId="77777777" w:rsidR="00087497" w:rsidRPr="000E1465" w:rsidRDefault="0066643B" w:rsidP="00205B8A">
      <w:pPr>
        <w:spacing w:before="360" w:after="360"/>
        <w:jc w:val="center"/>
        <w:rPr>
          <w:rFonts w:ascii="Times New Roman Bold" w:hAnsi="Times New Roman Bold"/>
          <w:b/>
          <w:smallCaps/>
          <w:noProof/>
        </w:rPr>
      </w:pPr>
      <w:r>
        <w:rPr>
          <w:rFonts w:ascii="Times New Roman Bold" w:hAnsi="Times New Roman Bold"/>
          <w:b/>
          <w:smallCaps/>
          <w:noProof/>
        </w:rPr>
        <w:t>Introduction</w:t>
      </w:r>
    </w:p>
    <w:bookmarkEnd w:id="3"/>
    <w:p w14:paraId="301DA049" w14:textId="77635F7D" w:rsidR="00BA374F" w:rsidRDefault="00502AAE" w:rsidP="003E19AF">
      <w:pPr>
        <w:rPr>
          <w:noProof/>
        </w:rPr>
      </w:pPr>
      <w:r w:rsidRPr="00502AAE">
        <w:rPr>
          <w:noProof/>
        </w:rPr>
        <w:t xml:space="preserve">This document describes the European Aviation Safety Programme </w:t>
      </w:r>
      <w:r w:rsidR="00D61235">
        <w:rPr>
          <w:noProof/>
        </w:rPr>
        <w:t>by</w:t>
      </w:r>
      <w:r w:rsidRPr="00502AAE">
        <w:rPr>
          <w:noProof/>
        </w:rPr>
        <w:t xml:space="preserve"> </w:t>
      </w:r>
      <w:r w:rsidR="0027663A">
        <w:rPr>
          <w:noProof/>
        </w:rPr>
        <w:t>describing the applicable</w:t>
      </w:r>
      <w:r w:rsidRPr="00502AAE">
        <w:rPr>
          <w:noProof/>
        </w:rPr>
        <w:t xml:space="preserve"> set of </w:t>
      </w:r>
      <w:r w:rsidR="0027663A">
        <w:rPr>
          <w:noProof/>
        </w:rPr>
        <w:t xml:space="preserve">aviation rules </w:t>
      </w:r>
      <w:r w:rsidRPr="00502AAE">
        <w:rPr>
          <w:noProof/>
        </w:rPr>
        <w:t xml:space="preserve">at Union level, together with the activities and processes used to jointly manage the safety of civil aviation at </w:t>
      </w:r>
      <w:r w:rsidR="0027663A">
        <w:rPr>
          <w:noProof/>
        </w:rPr>
        <w:t>the Union</w:t>
      </w:r>
      <w:r w:rsidR="0027663A" w:rsidRPr="00502AAE">
        <w:rPr>
          <w:noProof/>
        </w:rPr>
        <w:t xml:space="preserve"> </w:t>
      </w:r>
      <w:r w:rsidRPr="00502AAE">
        <w:rPr>
          <w:noProof/>
        </w:rPr>
        <w:t xml:space="preserve">level. </w:t>
      </w:r>
    </w:p>
    <w:p w14:paraId="7B9ACB7C" w14:textId="6651D775" w:rsidR="00C14E83" w:rsidRDefault="00502AAE" w:rsidP="0006001F">
      <w:pPr>
        <w:rPr>
          <w:rFonts w:eastAsia="Times New Roman" w:cs="Times New Roman"/>
          <w:noProof/>
          <w:szCs w:val="24"/>
        </w:rPr>
      </w:pPr>
      <w:r w:rsidRPr="00502AAE">
        <w:rPr>
          <w:noProof/>
        </w:rPr>
        <w:t xml:space="preserve">The European Aviation Safety Programme </w:t>
      </w:r>
      <w:r w:rsidR="00D41F78" w:rsidRPr="00D41F78">
        <w:rPr>
          <w:noProof/>
        </w:rPr>
        <w:t>functionally corresponds</w:t>
      </w:r>
      <w:r w:rsidR="001448D7">
        <w:rPr>
          <w:noProof/>
        </w:rPr>
        <w:t>,</w:t>
      </w:r>
      <w:r w:rsidR="00D41F78" w:rsidRPr="00D41F78">
        <w:rPr>
          <w:noProof/>
        </w:rPr>
        <w:t xml:space="preserve"> </w:t>
      </w:r>
      <w:r w:rsidRPr="00502AAE">
        <w:rPr>
          <w:noProof/>
        </w:rPr>
        <w:t xml:space="preserve">at </w:t>
      </w:r>
      <w:r w:rsidR="0027663A">
        <w:rPr>
          <w:noProof/>
        </w:rPr>
        <w:t xml:space="preserve">the </w:t>
      </w:r>
      <w:r w:rsidRPr="00502AAE">
        <w:rPr>
          <w:noProof/>
        </w:rPr>
        <w:t>EU level</w:t>
      </w:r>
      <w:r w:rsidR="001448D7">
        <w:rPr>
          <w:noProof/>
        </w:rPr>
        <w:t>,</w:t>
      </w:r>
      <w:r w:rsidRPr="00502AAE">
        <w:rPr>
          <w:noProof/>
        </w:rPr>
        <w:t xml:space="preserve"> </w:t>
      </w:r>
      <w:r w:rsidR="00D41F78">
        <w:rPr>
          <w:noProof/>
        </w:rPr>
        <w:t>to</w:t>
      </w:r>
      <w:r w:rsidR="00D41F78" w:rsidRPr="00502AAE">
        <w:rPr>
          <w:noProof/>
        </w:rPr>
        <w:t xml:space="preserve"> </w:t>
      </w:r>
      <w:r w:rsidRPr="00502AAE">
        <w:rPr>
          <w:noProof/>
        </w:rPr>
        <w:t xml:space="preserve">the </w:t>
      </w:r>
      <w:r w:rsidR="00A46B04">
        <w:rPr>
          <w:noProof/>
        </w:rPr>
        <w:t>State</w:t>
      </w:r>
      <w:r w:rsidRPr="00502AAE">
        <w:rPr>
          <w:noProof/>
        </w:rPr>
        <w:t xml:space="preserve"> Safety Programme as described in Annex 19 to the Chicago Convention. </w:t>
      </w:r>
      <w:r w:rsidR="007D2219">
        <w:rPr>
          <w:noProof/>
        </w:rPr>
        <w:t>Regulation (EU)</w:t>
      </w:r>
      <w:r w:rsidR="00CA0791">
        <w:rPr>
          <w:noProof/>
        </w:rPr>
        <w:t xml:space="preserve"> </w:t>
      </w:r>
      <w:r w:rsidR="007D2219">
        <w:rPr>
          <w:noProof/>
        </w:rPr>
        <w:t xml:space="preserve">2018/1139 introduced a mandatory new Chapter on Aviation Safety Management in the EU aviation legal framework. It lays out, among other aspects, that the Commission shall adopt, publish and update a document (the ‘European Aviation Safety Programme’) describing the functioning </w:t>
      </w:r>
      <w:r w:rsidR="00093F2D" w:rsidRPr="00093F2D">
        <w:rPr>
          <w:rFonts w:eastAsia="Times New Roman" w:cs="Times New Roman"/>
          <w:noProof/>
          <w:szCs w:val="24"/>
        </w:rPr>
        <w:t xml:space="preserve">of the European aviation safety system, containing the rules, activities and processes which are used to manage the safety of civil aviation in the Union in accordance with </w:t>
      </w:r>
      <w:r w:rsidR="006B0166" w:rsidRPr="006B0166">
        <w:rPr>
          <w:rFonts w:eastAsia="Times New Roman" w:cs="Times New Roman"/>
          <w:noProof/>
          <w:szCs w:val="24"/>
        </w:rPr>
        <w:t>its legal framework</w:t>
      </w:r>
      <w:r w:rsidR="00093F2D">
        <w:rPr>
          <w:rFonts w:eastAsia="Times New Roman" w:cs="Times New Roman"/>
          <w:noProof/>
          <w:szCs w:val="24"/>
        </w:rPr>
        <w:t xml:space="preserve">. </w:t>
      </w:r>
    </w:p>
    <w:p w14:paraId="7C7D525F" w14:textId="08FA2235" w:rsidR="00502AAE" w:rsidRPr="007D2219" w:rsidRDefault="007D2219" w:rsidP="0006001F">
      <w:pPr>
        <w:rPr>
          <w:noProof/>
        </w:rPr>
      </w:pPr>
      <w:r>
        <w:rPr>
          <w:rFonts w:eastAsia="Times New Roman" w:cs="Times New Roman"/>
          <w:noProof/>
          <w:szCs w:val="24"/>
        </w:rPr>
        <w:t>The Programme</w:t>
      </w:r>
      <w:r w:rsidR="00093F2D" w:rsidRPr="00093F2D">
        <w:rPr>
          <w:rFonts w:eastAsia="Times New Roman" w:cs="Times New Roman"/>
          <w:noProof/>
          <w:szCs w:val="24"/>
        </w:rPr>
        <w:t xml:space="preserve"> </w:t>
      </w:r>
      <w:r w:rsidR="009A43E0">
        <w:rPr>
          <w:rFonts w:eastAsia="Times New Roman" w:cs="Times New Roman"/>
          <w:noProof/>
          <w:szCs w:val="24"/>
        </w:rPr>
        <w:t>explains</w:t>
      </w:r>
      <w:r w:rsidR="00502AAE" w:rsidRPr="00502AAE">
        <w:rPr>
          <w:rFonts w:eastAsia="Times New Roman" w:cs="Times New Roman"/>
          <w:noProof/>
          <w:szCs w:val="24"/>
        </w:rPr>
        <w:t xml:space="preserve"> how aviation safety is managed from a European perspective. </w:t>
      </w:r>
      <w:r w:rsidR="0027663A">
        <w:rPr>
          <w:rFonts w:eastAsia="Times New Roman" w:cs="Times New Roman"/>
          <w:noProof/>
          <w:szCs w:val="24"/>
        </w:rPr>
        <w:t>Since m</w:t>
      </w:r>
      <w:r w:rsidR="009A43E0" w:rsidRPr="009A43E0">
        <w:rPr>
          <w:rFonts w:eastAsia="Times New Roman" w:cs="Times New Roman"/>
          <w:noProof/>
          <w:szCs w:val="24"/>
        </w:rPr>
        <w:t xml:space="preserve">any rules and activities related to aviation safety being today adopted and coordinated at </w:t>
      </w:r>
      <w:r w:rsidR="0027663A">
        <w:rPr>
          <w:rFonts w:eastAsia="Times New Roman" w:cs="Times New Roman"/>
          <w:noProof/>
          <w:szCs w:val="24"/>
        </w:rPr>
        <w:t xml:space="preserve">the </w:t>
      </w:r>
      <w:r w:rsidR="009A43E0" w:rsidRPr="009A43E0">
        <w:rPr>
          <w:rFonts w:eastAsia="Times New Roman" w:cs="Times New Roman"/>
          <w:noProof/>
          <w:szCs w:val="24"/>
        </w:rPr>
        <w:t>EU level,</w:t>
      </w:r>
      <w:r w:rsidR="0027663A">
        <w:rPr>
          <w:rFonts w:eastAsia="Times New Roman" w:cs="Times New Roman"/>
          <w:noProof/>
          <w:szCs w:val="24"/>
        </w:rPr>
        <w:t xml:space="preserve"> Member States </w:t>
      </w:r>
      <w:r w:rsidR="00C41BAB">
        <w:rPr>
          <w:rFonts w:eastAsia="Times New Roman" w:cs="Times New Roman"/>
          <w:noProof/>
          <w:szCs w:val="24"/>
        </w:rPr>
        <w:t>shall</w:t>
      </w:r>
      <w:r w:rsidR="0027663A">
        <w:rPr>
          <w:rFonts w:eastAsia="Times New Roman" w:cs="Times New Roman"/>
          <w:noProof/>
          <w:szCs w:val="24"/>
        </w:rPr>
        <w:t xml:space="preserve"> refer to</w:t>
      </w:r>
      <w:r w:rsidR="009A43E0" w:rsidRPr="009A43E0">
        <w:rPr>
          <w:rFonts w:eastAsia="Times New Roman" w:cs="Times New Roman"/>
          <w:noProof/>
          <w:szCs w:val="24"/>
        </w:rPr>
        <w:t xml:space="preserve"> the </w:t>
      </w:r>
      <w:r w:rsidR="004406A4" w:rsidRPr="004406A4">
        <w:rPr>
          <w:rFonts w:eastAsia="Times New Roman" w:cs="Times New Roman"/>
          <w:noProof/>
          <w:szCs w:val="24"/>
        </w:rPr>
        <w:t xml:space="preserve">European Aviation Safety Programme </w:t>
      </w:r>
      <w:r w:rsidR="0027663A">
        <w:rPr>
          <w:rFonts w:eastAsia="Times New Roman" w:cs="Times New Roman"/>
          <w:noProof/>
          <w:szCs w:val="24"/>
        </w:rPr>
        <w:t>in</w:t>
      </w:r>
      <w:r w:rsidR="009A43E0" w:rsidRPr="009A43E0">
        <w:rPr>
          <w:rFonts w:eastAsia="Times New Roman" w:cs="Times New Roman"/>
          <w:noProof/>
          <w:szCs w:val="24"/>
        </w:rPr>
        <w:t xml:space="preserve"> their own </w:t>
      </w:r>
      <w:r w:rsidR="00A46B04">
        <w:rPr>
          <w:rFonts w:eastAsia="Times New Roman" w:cs="Times New Roman"/>
          <w:noProof/>
          <w:szCs w:val="24"/>
        </w:rPr>
        <w:t>State</w:t>
      </w:r>
      <w:r w:rsidR="009A43E0" w:rsidRPr="009A43E0">
        <w:rPr>
          <w:rFonts w:eastAsia="Times New Roman" w:cs="Times New Roman"/>
          <w:noProof/>
          <w:szCs w:val="24"/>
        </w:rPr>
        <w:t xml:space="preserve"> Safety Programme</w:t>
      </w:r>
      <w:r w:rsidR="0027663A">
        <w:rPr>
          <w:rFonts w:eastAsia="Times New Roman" w:cs="Times New Roman"/>
          <w:noProof/>
          <w:szCs w:val="24"/>
        </w:rPr>
        <w:t>s</w:t>
      </w:r>
      <w:r w:rsidR="00502AAE" w:rsidRPr="00502AAE">
        <w:rPr>
          <w:rFonts w:eastAsia="Times New Roman" w:cs="Times New Roman"/>
          <w:noProof/>
          <w:szCs w:val="24"/>
        </w:rPr>
        <w:t xml:space="preserve">. </w:t>
      </w:r>
      <w:r w:rsidR="00093F2D">
        <w:rPr>
          <w:rFonts w:eastAsia="Times New Roman" w:cs="Times New Roman"/>
          <w:noProof/>
          <w:szCs w:val="24"/>
        </w:rPr>
        <w:t>This is the reason why the</w:t>
      </w:r>
      <w:r w:rsidR="00093F2D" w:rsidRPr="00093F2D">
        <w:rPr>
          <w:rFonts w:eastAsia="Times New Roman" w:cs="Times New Roman"/>
          <w:noProof/>
          <w:szCs w:val="24"/>
        </w:rPr>
        <w:t xml:space="preserve"> European Aviation Safety Programme shall include at least the elements related to </w:t>
      </w:r>
      <w:r w:rsidR="00A46B04">
        <w:rPr>
          <w:rFonts w:eastAsia="Times New Roman" w:cs="Times New Roman"/>
          <w:noProof/>
          <w:szCs w:val="24"/>
        </w:rPr>
        <w:t>State</w:t>
      </w:r>
      <w:r w:rsidR="00093F2D" w:rsidRPr="00093F2D">
        <w:rPr>
          <w:rFonts w:eastAsia="Times New Roman" w:cs="Times New Roman"/>
          <w:noProof/>
          <w:szCs w:val="24"/>
        </w:rPr>
        <w:t xml:space="preserve"> safety management responsibilities described in the international standards and recommended practices. </w:t>
      </w:r>
      <w:r w:rsidR="00502AAE" w:rsidRPr="00502AAE">
        <w:rPr>
          <w:rFonts w:eastAsia="Times New Roman" w:cs="Times New Roman"/>
          <w:noProof/>
          <w:szCs w:val="24"/>
        </w:rPr>
        <w:t xml:space="preserve">Indeed, the EU </w:t>
      </w:r>
      <w:r w:rsidR="001F3FB5">
        <w:rPr>
          <w:rFonts w:eastAsia="Times New Roman" w:cs="Times New Roman"/>
          <w:noProof/>
          <w:szCs w:val="24"/>
        </w:rPr>
        <w:t>has legislated</w:t>
      </w:r>
      <w:r w:rsidR="00502AAE" w:rsidRPr="00502AAE">
        <w:rPr>
          <w:rFonts w:eastAsia="Times New Roman" w:cs="Times New Roman"/>
          <w:noProof/>
          <w:szCs w:val="24"/>
        </w:rPr>
        <w:t xml:space="preserve"> in certain areas of aviation safety</w:t>
      </w:r>
      <w:r w:rsidR="00D61235">
        <w:rPr>
          <w:rFonts w:eastAsia="Times New Roman" w:cs="Times New Roman"/>
          <w:noProof/>
          <w:szCs w:val="24"/>
        </w:rPr>
        <w:t>,</w:t>
      </w:r>
      <w:r w:rsidR="00502AAE" w:rsidRPr="00502AAE">
        <w:rPr>
          <w:rFonts w:eastAsia="Times New Roman" w:cs="Times New Roman"/>
          <w:noProof/>
          <w:szCs w:val="24"/>
        </w:rPr>
        <w:t xml:space="preserve"> </w:t>
      </w:r>
      <w:r w:rsidR="00D41F78">
        <w:rPr>
          <w:rFonts w:eastAsia="Times New Roman" w:cs="Times New Roman"/>
          <w:noProof/>
          <w:szCs w:val="24"/>
        </w:rPr>
        <w:t xml:space="preserve">and </w:t>
      </w:r>
      <w:r w:rsidR="00502AAE" w:rsidRPr="00502AAE">
        <w:rPr>
          <w:rFonts w:eastAsia="Times New Roman" w:cs="Times New Roman"/>
          <w:noProof/>
          <w:szCs w:val="24"/>
        </w:rPr>
        <w:t xml:space="preserve">it is not possible for the Member </w:t>
      </w:r>
      <w:r w:rsidR="00A46B04">
        <w:rPr>
          <w:rFonts w:eastAsia="Times New Roman" w:cs="Times New Roman"/>
          <w:noProof/>
          <w:szCs w:val="24"/>
        </w:rPr>
        <w:t>State</w:t>
      </w:r>
      <w:r w:rsidR="00502AAE" w:rsidRPr="00502AAE">
        <w:rPr>
          <w:rFonts w:eastAsia="Times New Roman" w:cs="Times New Roman"/>
          <w:noProof/>
          <w:szCs w:val="24"/>
        </w:rPr>
        <w:t xml:space="preserve">s to describe how safety is managed within their </w:t>
      </w:r>
      <w:r w:rsidR="00A46B04">
        <w:rPr>
          <w:rFonts w:eastAsia="Times New Roman" w:cs="Times New Roman"/>
          <w:noProof/>
          <w:szCs w:val="24"/>
        </w:rPr>
        <w:t>State</w:t>
      </w:r>
      <w:r w:rsidR="00502AAE" w:rsidRPr="00502AAE">
        <w:rPr>
          <w:rFonts w:eastAsia="Times New Roman" w:cs="Times New Roman"/>
          <w:noProof/>
          <w:szCs w:val="24"/>
        </w:rPr>
        <w:t xml:space="preserve"> without including the EU dimension. Furthermore, in </w:t>
      </w:r>
      <w:r w:rsidR="00C41BAB">
        <w:rPr>
          <w:rFonts w:eastAsia="Times New Roman" w:cs="Times New Roman"/>
          <w:noProof/>
          <w:szCs w:val="24"/>
        </w:rPr>
        <w:t>most of the</w:t>
      </w:r>
      <w:r w:rsidR="00C41BAB" w:rsidRPr="00502AAE">
        <w:rPr>
          <w:rFonts w:eastAsia="Times New Roman" w:cs="Times New Roman"/>
          <w:noProof/>
          <w:szCs w:val="24"/>
        </w:rPr>
        <w:t xml:space="preserve"> </w:t>
      </w:r>
      <w:r w:rsidR="00502AAE" w:rsidRPr="00502AAE">
        <w:rPr>
          <w:rFonts w:eastAsia="Times New Roman" w:cs="Times New Roman"/>
          <w:noProof/>
          <w:szCs w:val="24"/>
        </w:rPr>
        <w:t>areas</w:t>
      </w:r>
      <w:r w:rsidR="00C41BAB">
        <w:rPr>
          <w:rFonts w:eastAsia="Times New Roman" w:cs="Times New Roman"/>
          <w:noProof/>
          <w:szCs w:val="24"/>
        </w:rPr>
        <w:t xml:space="preserve"> covered by the Chicago Convention</w:t>
      </w:r>
      <w:r w:rsidR="00502AAE" w:rsidRPr="00502AAE">
        <w:rPr>
          <w:rFonts w:eastAsia="Times New Roman" w:cs="Times New Roman"/>
          <w:noProof/>
          <w:szCs w:val="24"/>
        </w:rPr>
        <w:t xml:space="preserve">, </w:t>
      </w:r>
      <w:r w:rsidR="00A46B04">
        <w:rPr>
          <w:rFonts w:eastAsia="Times New Roman" w:cs="Times New Roman"/>
          <w:noProof/>
          <w:szCs w:val="24"/>
        </w:rPr>
        <w:t>State</w:t>
      </w:r>
      <w:r w:rsidR="00502AAE" w:rsidRPr="00502AAE">
        <w:rPr>
          <w:rFonts w:eastAsia="Times New Roman" w:cs="Times New Roman"/>
          <w:noProof/>
          <w:szCs w:val="24"/>
        </w:rPr>
        <w:t xml:space="preserve">s have transferred </w:t>
      </w:r>
      <w:r w:rsidR="00C41BAB">
        <w:rPr>
          <w:rFonts w:eastAsia="Times New Roman" w:cs="Times New Roman"/>
          <w:noProof/>
          <w:szCs w:val="24"/>
        </w:rPr>
        <w:t xml:space="preserve">their competence </w:t>
      </w:r>
      <w:r w:rsidR="00502AAE" w:rsidRPr="00502AAE">
        <w:rPr>
          <w:rFonts w:eastAsia="Times New Roman" w:cs="Times New Roman"/>
          <w:noProof/>
          <w:szCs w:val="24"/>
        </w:rPr>
        <w:t xml:space="preserve">to </w:t>
      </w:r>
      <w:r w:rsidR="00C41BAB">
        <w:rPr>
          <w:rFonts w:eastAsia="Times New Roman" w:cs="Times New Roman"/>
          <w:noProof/>
          <w:szCs w:val="24"/>
        </w:rPr>
        <w:t xml:space="preserve">the </w:t>
      </w:r>
      <w:r w:rsidR="00502AAE" w:rsidRPr="00502AAE">
        <w:rPr>
          <w:rFonts w:eastAsia="Times New Roman" w:cs="Times New Roman"/>
          <w:noProof/>
          <w:szCs w:val="24"/>
        </w:rPr>
        <w:t>Union. The</w:t>
      </w:r>
      <w:r w:rsidR="0089673B" w:rsidRPr="0089673B">
        <w:rPr>
          <w:noProof/>
        </w:rPr>
        <w:t xml:space="preserve"> </w:t>
      </w:r>
      <w:r w:rsidR="0089673B" w:rsidRPr="0089673B">
        <w:rPr>
          <w:rFonts w:eastAsia="Times New Roman" w:cs="Times New Roman"/>
          <w:noProof/>
          <w:szCs w:val="24"/>
        </w:rPr>
        <w:t xml:space="preserve">European Aviation Safety Programme </w:t>
      </w:r>
      <w:r w:rsidR="00B04185">
        <w:rPr>
          <w:rFonts w:eastAsia="Times New Roman" w:cs="Times New Roman"/>
          <w:noProof/>
          <w:szCs w:val="24"/>
        </w:rPr>
        <w:t xml:space="preserve">also </w:t>
      </w:r>
      <w:r w:rsidR="00502AAE" w:rsidRPr="00502AAE">
        <w:rPr>
          <w:rFonts w:eastAsia="Times New Roman" w:cs="Times New Roman"/>
          <w:noProof/>
          <w:szCs w:val="24"/>
        </w:rPr>
        <w:t>explains how the EU addresses the international obligations that result from this delegation of responsibilities.</w:t>
      </w:r>
      <w:r w:rsidR="00093F2D">
        <w:rPr>
          <w:rFonts w:eastAsia="Times New Roman" w:cs="Times New Roman"/>
          <w:noProof/>
          <w:szCs w:val="24"/>
        </w:rPr>
        <w:t xml:space="preserve"> </w:t>
      </w:r>
    </w:p>
    <w:p w14:paraId="6ECE104D" w14:textId="7AFC8269" w:rsidR="004406A4" w:rsidRDefault="004406A4" w:rsidP="0006001F">
      <w:pPr>
        <w:rPr>
          <w:rFonts w:eastAsia="Times New Roman" w:cs="Times New Roman"/>
          <w:noProof/>
          <w:szCs w:val="24"/>
        </w:rPr>
      </w:pPr>
      <w:r w:rsidRPr="00391A10">
        <w:rPr>
          <w:rFonts w:eastAsia="Times New Roman" w:cs="Times New Roman"/>
          <w:noProof/>
          <w:szCs w:val="24"/>
        </w:rPr>
        <w:t xml:space="preserve">The European Aviation Safety Programme </w:t>
      </w:r>
      <w:r w:rsidRPr="00C002B7">
        <w:rPr>
          <w:rFonts w:eastAsia="Times New Roman" w:cs="Times New Roman"/>
          <w:noProof/>
          <w:szCs w:val="24"/>
        </w:rPr>
        <w:t xml:space="preserve">is aligned with the format and structure of the description of a </w:t>
      </w:r>
      <w:r w:rsidR="00A46B04" w:rsidRPr="002A31EC">
        <w:rPr>
          <w:rFonts w:eastAsia="Times New Roman" w:cs="Times New Roman"/>
          <w:noProof/>
          <w:szCs w:val="24"/>
        </w:rPr>
        <w:t>State</w:t>
      </w:r>
      <w:r w:rsidRPr="00C84780">
        <w:rPr>
          <w:rFonts w:eastAsia="Times New Roman" w:cs="Times New Roman"/>
          <w:noProof/>
          <w:szCs w:val="24"/>
        </w:rPr>
        <w:t xml:space="preserve"> Safety Programme as detailed in Annex 19 to the Chicago Convention</w:t>
      </w:r>
      <w:r w:rsidR="001E78BA" w:rsidRPr="00391A10">
        <w:rPr>
          <w:rFonts w:eastAsia="Times New Roman" w:cs="Times New Roman"/>
          <w:noProof/>
          <w:szCs w:val="24"/>
        </w:rPr>
        <w:t>.</w:t>
      </w:r>
    </w:p>
    <w:p w14:paraId="72545BAC" w14:textId="3249EA88" w:rsidR="00093F2D" w:rsidRPr="00502AAE" w:rsidRDefault="00093F2D" w:rsidP="0006001F">
      <w:pPr>
        <w:rPr>
          <w:rFonts w:eastAsia="Times New Roman" w:cs="Times New Roman"/>
          <w:noProof/>
          <w:szCs w:val="24"/>
        </w:rPr>
      </w:pPr>
      <w:r w:rsidRPr="00093F2D">
        <w:rPr>
          <w:rFonts w:eastAsia="Times New Roman" w:cs="Times New Roman"/>
          <w:noProof/>
          <w:szCs w:val="24"/>
        </w:rPr>
        <w:t>The European Aviation Safety Programme also describe</w:t>
      </w:r>
      <w:r>
        <w:rPr>
          <w:rFonts w:eastAsia="Times New Roman" w:cs="Times New Roman"/>
          <w:noProof/>
          <w:szCs w:val="24"/>
        </w:rPr>
        <w:t>s</w:t>
      </w:r>
      <w:r w:rsidRPr="00093F2D">
        <w:rPr>
          <w:rFonts w:eastAsia="Times New Roman" w:cs="Times New Roman"/>
          <w:noProof/>
          <w:szCs w:val="24"/>
        </w:rPr>
        <w:t xml:space="preserve"> the process for the development, adoption, update and implementation of the European Plan for Aviation Safety</w:t>
      </w:r>
      <w:r>
        <w:rPr>
          <w:rFonts w:eastAsia="Times New Roman" w:cs="Times New Roman"/>
          <w:noProof/>
          <w:szCs w:val="24"/>
        </w:rPr>
        <w:t>.</w:t>
      </w:r>
    </w:p>
    <w:p w14:paraId="294DBF82" w14:textId="77777777" w:rsidR="00502AAE" w:rsidRPr="00502AAE" w:rsidRDefault="00502AAE" w:rsidP="0006001F">
      <w:pPr>
        <w:rPr>
          <w:rFonts w:eastAsia="Times New Roman" w:cs="Times New Roman"/>
          <w:noProof/>
          <w:szCs w:val="24"/>
        </w:rPr>
      </w:pPr>
      <w:r w:rsidRPr="00502AAE">
        <w:rPr>
          <w:rFonts w:eastAsia="Times New Roman" w:cs="Times New Roman"/>
          <w:noProof/>
          <w:szCs w:val="24"/>
        </w:rPr>
        <w:t xml:space="preserve">The objective of the European Aviation Safety Programme is to ensure that the system for the management of aviation safety in the European Union delivers the </w:t>
      </w:r>
      <w:r w:rsidR="001448D7">
        <w:rPr>
          <w:rFonts w:eastAsia="Times New Roman" w:cs="Times New Roman"/>
          <w:noProof/>
          <w:szCs w:val="24"/>
        </w:rPr>
        <w:t xml:space="preserve">highest level of </w:t>
      </w:r>
      <w:r w:rsidR="001448D7" w:rsidRPr="00502AAE">
        <w:rPr>
          <w:rFonts w:eastAsia="Times New Roman" w:cs="Times New Roman"/>
          <w:noProof/>
          <w:szCs w:val="24"/>
        </w:rPr>
        <w:t>safety performance</w:t>
      </w:r>
      <w:r w:rsidRPr="00502AAE">
        <w:rPr>
          <w:rFonts w:eastAsia="Times New Roman" w:cs="Times New Roman"/>
          <w:noProof/>
          <w:szCs w:val="24"/>
        </w:rPr>
        <w:t xml:space="preserve">, uniformly enjoyed across the whole Union, and </w:t>
      </w:r>
      <w:r w:rsidR="001448D7" w:rsidRPr="00502AAE">
        <w:rPr>
          <w:rFonts w:eastAsia="Times New Roman" w:cs="Times New Roman"/>
          <w:noProof/>
          <w:szCs w:val="24"/>
        </w:rPr>
        <w:t>contin</w:t>
      </w:r>
      <w:r w:rsidR="001448D7">
        <w:rPr>
          <w:rFonts w:eastAsia="Times New Roman" w:cs="Times New Roman"/>
          <w:noProof/>
          <w:szCs w:val="24"/>
        </w:rPr>
        <w:t>uing to</w:t>
      </w:r>
      <w:r w:rsidR="001448D7" w:rsidRPr="00502AAE">
        <w:rPr>
          <w:rFonts w:eastAsia="Times New Roman" w:cs="Times New Roman"/>
          <w:noProof/>
          <w:szCs w:val="24"/>
        </w:rPr>
        <w:t xml:space="preserve"> </w:t>
      </w:r>
      <w:r w:rsidRPr="00502AAE">
        <w:rPr>
          <w:rFonts w:eastAsia="Times New Roman" w:cs="Times New Roman"/>
          <w:noProof/>
          <w:szCs w:val="24"/>
        </w:rPr>
        <w:t>improv</w:t>
      </w:r>
      <w:r w:rsidR="009732E6">
        <w:rPr>
          <w:rFonts w:eastAsia="Times New Roman" w:cs="Times New Roman"/>
          <w:noProof/>
          <w:szCs w:val="24"/>
        </w:rPr>
        <w:t>e</w:t>
      </w:r>
      <w:r w:rsidR="001448D7">
        <w:rPr>
          <w:rFonts w:eastAsia="Times New Roman" w:cs="Times New Roman"/>
          <w:noProof/>
          <w:szCs w:val="24"/>
        </w:rPr>
        <w:t xml:space="preserve"> over time</w:t>
      </w:r>
      <w:r w:rsidR="009732E6">
        <w:rPr>
          <w:noProof/>
        </w:rPr>
        <w:t xml:space="preserve">, while </w:t>
      </w:r>
      <w:r w:rsidR="0066643B">
        <w:rPr>
          <w:noProof/>
        </w:rPr>
        <w:t>taking into account other relevant objectives</w:t>
      </w:r>
      <w:r w:rsidR="001448D7" w:rsidRPr="001448D7">
        <w:rPr>
          <w:noProof/>
        </w:rPr>
        <w:t xml:space="preserve"> </w:t>
      </w:r>
      <w:r w:rsidR="001448D7">
        <w:rPr>
          <w:noProof/>
        </w:rPr>
        <w:t xml:space="preserve">such as </w:t>
      </w:r>
      <w:r w:rsidR="001448D7" w:rsidRPr="00AA1D78">
        <w:rPr>
          <w:noProof/>
        </w:rPr>
        <w:t>environmental protection</w:t>
      </w:r>
      <w:r w:rsidRPr="00502AAE">
        <w:rPr>
          <w:rFonts w:eastAsia="Times New Roman" w:cs="Times New Roman"/>
          <w:noProof/>
          <w:szCs w:val="24"/>
        </w:rPr>
        <w:t>.</w:t>
      </w:r>
    </w:p>
    <w:p w14:paraId="26B8B8F7" w14:textId="5C75E70F" w:rsidR="006417FB" w:rsidRPr="006417FB" w:rsidRDefault="00502AAE" w:rsidP="0006001F">
      <w:pPr>
        <w:rPr>
          <w:noProof/>
        </w:rPr>
      </w:pPr>
      <w:r w:rsidRPr="00502AAE">
        <w:rPr>
          <w:rFonts w:eastAsia="Times New Roman" w:cs="Times New Roman"/>
          <w:noProof/>
          <w:szCs w:val="24"/>
        </w:rPr>
        <w:t>By describing the processes used to jointly manage safety at European level and, in particular, how the European Commission</w:t>
      </w:r>
      <w:r w:rsidR="001C2FD0">
        <w:rPr>
          <w:rFonts w:eastAsia="Times New Roman" w:cs="Times New Roman"/>
          <w:noProof/>
          <w:szCs w:val="24"/>
        </w:rPr>
        <w:t xml:space="preserve"> (hereby ‘the Commission’)</w:t>
      </w:r>
      <w:r w:rsidRPr="00502AAE">
        <w:rPr>
          <w:rFonts w:eastAsia="Times New Roman" w:cs="Times New Roman"/>
          <w:noProof/>
          <w:szCs w:val="24"/>
        </w:rPr>
        <w:t xml:space="preserve">, the Member </w:t>
      </w:r>
      <w:r w:rsidR="00A46B04">
        <w:rPr>
          <w:rFonts w:eastAsia="Times New Roman" w:cs="Times New Roman"/>
          <w:noProof/>
          <w:szCs w:val="24"/>
        </w:rPr>
        <w:t>State</w:t>
      </w:r>
      <w:r w:rsidRPr="00502AAE">
        <w:rPr>
          <w:rFonts w:eastAsia="Times New Roman" w:cs="Times New Roman"/>
          <w:noProof/>
          <w:szCs w:val="24"/>
        </w:rPr>
        <w:t xml:space="preserve">s and the European </w:t>
      </w:r>
      <w:r w:rsidR="00093F2D">
        <w:rPr>
          <w:rFonts w:eastAsia="Times New Roman" w:cs="Times New Roman"/>
          <w:noProof/>
          <w:szCs w:val="24"/>
        </w:rPr>
        <w:t xml:space="preserve">Union </w:t>
      </w:r>
      <w:r w:rsidRPr="00502AAE">
        <w:rPr>
          <w:rFonts w:eastAsia="Times New Roman" w:cs="Times New Roman"/>
          <w:noProof/>
          <w:szCs w:val="24"/>
        </w:rPr>
        <w:t xml:space="preserve">Aviation Safety Agency cooperate to </w:t>
      </w:r>
      <w:r w:rsidR="00231F54">
        <w:rPr>
          <w:rFonts w:eastAsia="Times New Roman" w:cs="Times New Roman"/>
          <w:noProof/>
          <w:szCs w:val="24"/>
        </w:rPr>
        <w:t xml:space="preserve">identify hazards </w:t>
      </w:r>
      <w:r w:rsidRPr="00502AAE">
        <w:rPr>
          <w:rFonts w:eastAsia="Times New Roman" w:cs="Times New Roman"/>
          <w:noProof/>
          <w:szCs w:val="24"/>
        </w:rPr>
        <w:t xml:space="preserve">and take actions as appropriate in order to </w:t>
      </w:r>
      <w:r w:rsidR="00231F54">
        <w:rPr>
          <w:rFonts w:eastAsia="Times New Roman" w:cs="Times New Roman"/>
          <w:noProof/>
          <w:szCs w:val="24"/>
        </w:rPr>
        <w:t xml:space="preserve">mitigate </w:t>
      </w:r>
      <w:r w:rsidRPr="00502AAE">
        <w:rPr>
          <w:rFonts w:eastAsia="Times New Roman" w:cs="Times New Roman"/>
          <w:noProof/>
          <w:szCs w:val="24"/>
        </w:rPr>
        <w:t xml:space="preserve">safety risks, the European Aviation Safety Programme contributes to the achievement of the high level EU-wide safety objectives </w:t>
      </w:r>
      <w:r w:rsidR="00170DC9">
        <w:rPr>
          <w:rFonts w:eastAsia="Times New Roman" w:cs="Times New Roman"/>
          <w:noProof/>
          <w:szCs w:val="24"/>
        </w:rPr>
        <w:t>defined at Union level</w:t>
      </w:r>
      <w:r w:rsidRPr="00502AAE">
        <w:rPr>
          <w:rFonts w:eastAsia="Times New Roman" w:cs="Times New Roman"/>
          <w:noProof/>
          <w:szCs w:val="24"/>
        </w:rPr>
        <w:t xml:space="preserve">. It therefore ensures that </w:t>
      </w:r>
      <w:r w:rsidR="00751713" w:rsidRPr="00751713">
        <w:rPr>
          <w:rFonts w:eastAsia="Times New Roman" w:cs="Times New Roman"/>
          <w:noProof/>
          <w:szCs w:val="24"/>
        </w:rPr>
        <w:t xml:space="preserve">all </w:t>
      </w:r>
      <w:r w:rsidR="00740BF5">
        <w:rPr>
          <w:rFonts w:eastAsia="Times New Roman" w:cs="Times New Roman"/>
          <w:noProof/>
          <w:szCs w:val="24"/>
        </w:rPr>
        <w:t>those</w:t>
      </w:r>
      <w:r w:rsidR="00751713" w:rsidRPr="00751713">
        <w:rPr>
          <w:rFonts w:eastAsia="Times New Roman" w:cs="Times New Roman"/>
          <w:noProof/>
          <w:szCs w:val="24"/>
        </w:rPr>
        <w:t xml:space="preserve"> involved are aware of their responsibilities and </w:t>
      </w:r>
      <w:r w:rsidRPr="00502AAE">
        <w:rPr>
          <w:rFonts w:eastAsia="Times New Roman" w:cs="Times New Roman"/>
          <w:noProof/>
          <w:szCs w:val="24"/>
        </w:rPr>
        <w:t>all rules and processes are in place to enhance aviation safety and thus contribute to prevent accidents in the European region and beyond.</w:t>
      </w:r>
    </w:p>
    <w:p w14:paraId="179CB44C" w14:textId="77777777" w:rsidR="001C4A75" w:rsidRDefault="00087497">
      <w:pPr>
        <w:spacing w:before="0" w:after="200" w:line="276" w:lineRule="auto"/>
        <w:jc w:val="left"/>
        <w:rPr>
          <w:noProof/>
          <w:color w:val="0000FF"/>
        </w:rPr>
      </w:pPr>
      <w:bookmarkStart w:id="4" w:name="_Toc419795479"/>
      <w:bookmarkStart w:id="5" w:name="_Toc419795494"/>
      <w:bookmarkStart w:id="6" w:name="_Toc419993087"/>
      <w:bookmarkStart w:id="7" w:name="_Toc419993243"/>
      <w:bookmarkStart w:id="8" w:name="_Toc419995265"/>
      <w:bookmarkStart w:id="9" w:name="_Toc420049134"/>
      <w:bookmarkStart w:id="10" w:name="DQCErrorScope6AAA2B56FB0E494FB4FE76E30DC"/>
      <w:bookmarkEnd w:id="4"/>
      <w:bookmarkEnd w:id="5"/>
      <w:bookmarkEnd w:id="6"/>
      <w:bookmarkEnd w:id="7"/>
      <w:bookmarkEnd w:id="8"/>
      <w:bookmarkEnd w:id="9"/>
      <w:r w:rsidRPr="006417FB">
        <w:rPr>
          <w:noProof/>
          <w:color w:val="0000FF"/>
        </w:rPr>
        <w:br w:type="page"/>
      </w:r>
      <w:bookmarkStart w:id="11" w:name="DQCErrorScope24C22A1B7BB04458A5043DFF861"/>
      <w:bookmarkEnd w:id="10"/>
      <w:r w:rsidR="001C4A75" w:rsidRPr="00FB18C9">
        <w:rPr>
          <w:rFonts w:ascii="Times New Roman Bold" w:eastAsiaTheme="majorEastAsia" w:hAnsi="Times New Roman Bold" w:cstheme="majorBidi"/>
          <w:b/>
          <w:bCs/>
          <w:smallCaps/>
          <w:noProof/>
          <w:szCs w:val="28"/>
        </w:rPr>
        <w:t xml:space="preserve">Terminology </w:t>
      </w:r>
    </w:p>
    <w:p w14:paraId="71BD95E8" w14:textId="77777777" w:rsidR="001C4A75" w:rsidRDefault="001C4A75">
      <w:pPr>
        <w:spacing w:before="0" w:after="200" w:line="276" w:lineRule="auto"/>
        <w:jc w:val="left"/>
        <w:rPr>
          <w:noProof/>
          <w:color w:val="0000FF"/>
        </w:rPr>
      </w:pPr>
    </w:p>
    <w:p w14:paraId="112CDE5E" w14:textId="77777777" w:rsidR="001C4A75" w:rsidRPr="00FB18C9" w:rsidRDefault="001C4A75">
      <w:pPr>
        <w:spacing w:before="0" w:after="200" w:line="276" w:lineRule="auto"/>
        <w:jc w:val="left"/>
        <w:rPr>
          <w:noProof/>
        </w:rPr>
      </w:pPr>
      <w:r w:rsidRPr="00FB18C9">
        <w:rPr>
          <w:noProof/>
        </w:rPr>
        <w:t>Throughout this document:</w:t>
      </w:r>
    </w:p>
    <w:p w14:paraId="015B8402" w14:textId="77777777" w:rsidR="001C4A75" w:rsidRPr="00D9731C" w:rsidRDefault="001C4A75" w:rsidP="00673945">
      <w:pPr>
        <w:pStyle w:val="ListParagraph"/>
        <w:numPr>
          <w:ilvl w:val="0"/>
          <w:numId w:val="67"/>
        </w:numPr>
        <w:spacing w:after="200" w:line="276" w:lineRule="auto"/>
        <w:ind w:left="714" w:hanging="357"/>
        <w:contextualSpacing w:val="0"/>
        <w:rPr>
          <w:noProof/>
        </w:rPr>
      </w:pPr>
      <w:r w:rsidRPr="00FB18C9">
        <w:rPr>
          <w:noProof/>
        </w:rPr>
        <w:t>w</w:t>
      </w:r>
      <w:r w:rsidRPr="00D9731C">
        <w:rPr>
          <w:noProof/>
        </w:rPr>
        <w:t xml:space="preserve">here reference is made to ‘Member States’ this shall mean the 27 EU </w:t>
      </w:r>
      <w:r w:rsidR="009362B5" w:rsidRPr="00FB18C9">
        <w:rPr>
          <w:noProof/>
        </w:rPr>
        <w:t xml:space="preserve">Member </w:t>
      </w:r>
      <w:r w:rsidRPr="00D9731C">
        <w:rPr>
          <w:noProof/>
        </w:rPr>
        <w:t>States</w:t>
      </w:r>
      <w:r w:rsidR="006C0E3F">
        <w:rPr>
          <w:noProof/>
        </w:rPr>
        <w:t>;</w:t>
      </w:r>
      <w:r w:rsidRPr="00D9731C">
        <w:rPr>
          <w:noProof/>
        </w:rPr>
        <w:t xml:space="preserve">   </w:t>
      </w:r>
    </w:p>
    <w:p w14:paraId="2EE3FB9F" w14:textId="77777777" w:rsidR="001C4A75" w:rsidRPr="00D9731C" w:rsidRDefault="001C4A75" w:rsidP="00673945">
      <w:pPr>
        <w:pStyle w:val="ListParagraph"/>
        <w:numPr>
          <w:ilvl w:val="0"/>
          <w:numId w:val="67"/>
        </w:numPr>
        <w:spacing w:after="200" w:line="276" w:lineRule="auto"/>
        <w:ind w:left="714" w:hanging="357"/>
        <w:contextualSpacing w:val="0"/>
        <w:rPr>
          <w:noProof/>
        </w:rPr>
      </w:pPr>
      <w:r w:rsidRPr="00FB18C9">
        <w:rPr>
          <w:noProof/>
        </w:rPr>
        <w:t xml:space="preserve">where reference is made to ‘EASA Member States’ this shall mean the </w:t>
      </w:r>
      <w:r w:rsidRPr="00D9731C">
        <w:rPr>
          <w:noProof/>
        </w:rPr>
        <w:t xml:space="preserve">27 EU </w:t>
      </w:r>
      <w:r w:rsidR="009362B5" w:rsidRPr="00D9731C">
        <w:rPr>
          <w:noProof/>
        </w:rPr>
        <w:t xml:space="preserve">Member </w:t>
      </w:r>
      <w:r w:rsidRPr="00D9731C">
        <w:rPr>
          <w:noProof/>
        </w:rPr>
        <w:t>States, plus Iceland, Liechtenstein, Norway and Switzerland</w:t>
      </w:r>
      <w:r w:rsidR="006C0E3F">
        <w:rPr>
          <w:noProof/>
        </w:rPr>
        <w:t>;</w:t>
      </w:r>
    </w:p>
    <w:p w14:paraId="7B38D3C2" w14:textId="77777777" w:rsidR="001C4A75" w:rsidRDefault="001C4A75" w:rsidP="00673945">
      <w:pPr>
        <w:pStyle w:val="ListParagraph"/>
        <w:numPr>
          <w:ilvl w:val="0"/>
          <w:numId w:val="67"/>
        </w:numPr>
        <w:spacing w:after="200" w:line="276" w:lineRule="auto"/>
        <w:ind w:left="714" w:hanging="357"/>
        <w:contextualSpacing w:val="0"/>
        <w:rPr>
          <w:noProof/>
        </w:rPr>
      </w:pPr>
      <w:r>
        <w:rPr>
          <w:noProof/>
        </w:rPr>
        <w:t xml:space="preserve">where reference is made to </w:t>
      </w:r>
      <w:r w:rsidR="002F43A5">
        <w:rPr>
          <w:noProof/>
        </w:rPr>
        <w:t>‘</w:t>
      </w:r>
      <w:r>
        <w:rPr>
          <w:noProof/>
        </w:rPr>
        <w:t>ICAO EUR States</w:t>
      </w:r>
      <w:r w:rsidR="002F43A5">
        <w:rPr>
          <w:noProof/>
        </w:rPr>
        <w:t>’</w:t>
      </w:r>
      <w:r>
        <w:rPr>
          <w:noProof/>
        </w:rPr>
        <w:t xml:space="preserve"> this shall mean the 55 States of the ICAO Region EUROPE, which includes all </w:t>
      </w:r>
      <w:r w:rsidR="002F43A5">
        <w:rPr>
          <w:noProof/>
        </w:rPr>
        <w:t xml:space="preserve">EU </w:t>
      </w:r>
      <w:r w:rsidR="00C012A7">
        <w:rPr>
          <w:noProof/>
        </w:rPr>
        <w:t xml:space="preserve">Member </w:t>
      </w:r>
      <w:r>
        <w:rPr>
          <w:noProof/>
        </w:rPr>
        <w:t>States</w:t>
      </w:r>
      <w:r w:rsidR="006C0E3F">
        <w:rPr>
          <w:noProof/>
        </w:rPr>
        <w:t>;</w:t>
      </w:r>
    </w:p>
    <w:p w14:paraId="4E20AC61" w14:textId="4B45413F" w:rsidR="003768AA" w:rsidRDefault="003768AA" w:rsidP="00673945">
      <w:pPr>
        <w:pStyle w:val="ListParagraph"/>
        <w:numPr>
          <w:ilvl w:val="0"/>
          <w:numId w:val="67"/>
        </w:numPr>
        <w:spacing w:after="200" w:line="276" w:lineRule="auto"/>
        <w:ind w:left="714" w:hanging="357"/>
        <w:contextualSpacing w:val="0"/>
        <w:rPr>
          <w:noProof/>
        </w:rPr>
      </w:pPr>
      <w:r>
        <w:rPr>
          <w:noProof/>
        </w:rPr>
        <w:t xml:space="preserve">any reference to </w:t>
      </w:r>
      <w:r w:rsidR="002F43A5">
        <w:rPr>
          <w:noProof/>
        </w:rPr>
        <w:t>‘</w:t>
      </w:r>
      <w:r>
        <w:rPr>
          <w:noProof/>
        </w:rPr>
        <w:t>Basic Regulation</w:t>
      </w:r>
      <w:r w:rsidR="002F43A5">
        <w:rPr>
          <w:noProof/>
        </w:rPr>
        <w:t>’</w:t>
      </w:r>
      <w:r>
        <w:rPr>
          <w:noProof/>
        </w:rPr>
        <w:t xml:space="preserve"> or </w:t>
      </w:r>
      <w:r w:rsidR="002F43A5">
        <w:rPr>
          <w:noProof/>
        </w:rPr>
        <w:t>‘</w:t>
      </w:r>
      <w:r>
        <w:rPr>
          <w:noProof/>
        </w:rPr>
        <w:t>BR</w:t>
      </w:r>
      <w:r w:rsidR="002F43A5">
        <w:rPr>
          <w:noProof/>
        </w:rPr>
        <w:t>’</w:t>
      </w:r>
      <w:r>
        <w:rPr>
          <w:noProof/>
        </w:rPr>
        <w:t xml:space="preserve"> shall mean </w:t>
      </w:r>
      <w:r w:rsidRPr="00FB18C9">
        <w:rPr>
          <w:noProof/>
        </w:rPr>
        <w:t>Regulation (EU) 2018/1139 of the European Parliament and of the Council of 4 July 2018 on common rules in the field of civil aviation and establishing a European Union Aviation Safety Agency</w:t>
      </w:r>
      <w:r w:rsidR="00D2379B">
        <w:rPr>
          <w:rStyle w:val="FootnoteReference"/>
          <w:noProof/>
        </w:rPr>
        <w:footnoteReference w:id="2"/>
      </w:r>
      <w:r w:rsidR="006C0E3F">
        <w:rPr>
          <w:noProof/>
        </w:rPr>
        <w:t>; and</w:t>
      </w:r>
    </w:p>
    <w:p w14:paraId="5681E0E0" w14:textId="3F130EE8" w:rsidR="0004791D" w:rsidRDefault="0004791D" w:rsidP="0004791D">
      <w:pPr>
        <w:pStyle w:val="ListParagraph"/>
        <w:numPr>
          <w:ilvl w:val="0"/>
          <w:numId w:val="67"/>
        </w:numPr>
        <w:spacing w:after="200" w:line="276" w:lineRule="auto"/>
        <w:ind w:left="714" w:hanging="357"/>
        <w:contextualSpacing w:val="0"/>
        <w:rPr>
          <w:noProof/>
        </w:rPr>
      </w:pPr>
      <w:r>
        <w:rPr>
          <w:noProof/>
        </w:rPr>
        <w:t>any reference to the ‘N</w:t>
      </w:r>
      <w:r w:rsidRPr="0004791D">
        <w:rPr>
          <w:noProof/>
        </w:rPr>
        <w:t xml:space="preserve">etwork of </w:t>
      </w:r>
      <w:r>
        <w:rPr>
          <w:noProof/>
        </w:rPr>
        <w:t>A</w:t>
      </w:r>
      <w:r w:rsidRPr="0004791D">
        <w:rPr>
          <w:noProof/>
        </w:rPr>
        <w:t>nalysts’</w:t>
      </w:r>
      <w:r>
        <w:rPr>
          <w:noProof/>
        </w:rPr>
        <w:t xml:space="preserve"> or </w:t>
      </w:r>
      <w:r w:rsidR="002F43A5">
        <w:rPr>
          <w:noProof/>
        </w:rPr>
        <w:t>‘</w:t>
      </w:r>
      <w:r>
        <w:rPr>
          <w:noProof/>
        </w:rPr>
        <w:t>NoAs</w:t>
      </w:r>
      <w:r w:rsidR="002F43A5">
        <w:rPr>
          <w:noProof/>
        </w:rPr>
        <w:t>’</w:t>
      </w:r>
      <w:r>
        <w:rPr>
          <w:noProof/>
        </w:rPr>
        <w:t xml:space="preserve"> shall mean the N</w:t>
      </w:r>
      <w:r w:rsidRPr="0004791D">
        <w:rPr>
          <w:noProof/>
        </w:rPr>
        <w:t xml:space="preserve">etwork of </w:t>
      </w:r>
      <w:r>
        <w:rPr>
          <w:noProof/>
        </w:rPr>
        <w:t>A</w:t>
      </w:r>
      <w:r w:rsidRPr="0004791D">
        <w:rPr>
          <w:noProof/>
        </w:rPr>
        <w:t xml:space="preserve">viation </w:t>
      </w:r>
      <w:r>
        <w:rPr>
          <w:noProof/>
        </w:rPr>
        <w:t>S</w:t>
      </w:r>
      <w:r w:rsidRPr="0004791D">
        <w:rPr>
          <w:noProof/>
        </w:rPr>
        <w:t xml:space="preserve">afety </w:t>
      </w:r>
      <w:r>
        <w:rPr>
          <w:noProof/>
        </w:rPr>
        <w:t>A</w:t>
      </w:r>
      <w:r w:rsidRPr="0004791D">
        <w:rPr>
          <w:noProof/>
        </w:rPr>
        <w:t xml:space="preserve">nalysts’ as referred to in Regulation (EU) </w:t>
      </w:r>
      <w:r w:rsidR="002656F3">
        <w:rPr>
          <w:noProof/>
        </w:rPr>
        <w:t xml:space="preserve">No </w:t>
      </w:r>
      <w:r w:rsidRPr="0004791D">
        <w:rPr>
          <w:noProof/>
        </w:rPr>
        <w:t>376/2014 of the European Parliament and of the Council</w:t>
      </w:r>
      <w:r w:rsidR="00D2379B">
        <w:rPr>
          <w:noProof/>
        </w:rPr>
        <w:t xml:space="preserve"> on the reporting, analysis and follow-up of occurrences in civil aviation</w:t>
      </w:r>
      <w:r w:rsidR="00D2379B">
        <w:rPr>
          <w:rStyle w:val="FootnoteReference"/>
          <w:noProof/>
        </w:rPr>
        <w:footnoteReference w:id="3"/>
      </w:r>
      <w:r>
        <w:rPr>
          <w:noProof/>
        </w:rPr>
        <w:t>.</w:t>
      </w:r>
    </w:p>
    <w:p w14:paraId="4F9CD0D5" w14:textId="77777777" w:rsidR="0004791D" w:rsidRDefault="0004791D" w:rsidP="00FB18C9">
      <w:pPr>
        <w:pStyle w:val="ListParagraph"/>
        <w:spacing w:after="200" w:line="276" w:lineRule="auto"/>
        <w:ind w:left="714"/>
        <w:contextualSpacing w:val="0"/>
        <w:rPr>
          <w:noProof/>
        </w:rPr>
      </w:pPr>
    </w:p>
    <w:p w14:paraId="4E0464F4" w14:textId="77777777" w:rsidR="001C4A75" w:rsidRDefault="001C4A75">
      <w:pPr>
        <w:spacing w:before="0" w:after="200" w:line="276" w:lineRule="auto"/>
        <w:jc w:val="left"/>
        <w:rPr>
          <w:noProof/>
        </w:rPr>
      </w:pPr>
    </w:p>
    <w:p w14:paraId="19A1BBDC" w14:textId="77777777" w:rsidR="001C4A75" w:rsidRDefault="001C4A75">
      <w:pPr>
        <w:spacing w:before="0" w:after="200" w:line="276" w:lineRule="auto"/>
        <w:jc w:val="left"/>
        <w:rPr>
          <w:rFonts w:ascii="Times New Roman Bold" w:eastAsiaTheme="majorEastAsia" w:hAnsi="Times New Roman Bold" w:cstheme="majorBidi"/>
          <w:b/>
          <w:bCs/>
          <w:smallCaps/>
          <w:noProof/>
          <w:color w:val="0000FF"/>
          <w:szCs w:val="28"/>
        </w:rPr>
      </w:pPr>
      <w:r>
        <w:rPr>
          <w:rFonts w:hint="eastAsia"/>
          <w:noProof/>
          <w:color w:val="0000FF"/>
        </w:rPr>
        <w:br w:type="page"/>
      </w:r>
    </w:p>
    <w:p w14:paraId="6CB0AAE1" w14:textId="67EA6394" w:rsidR="00087497" w:rsidRDefault="00087497" w:rsidP="007F3903">
      <w:pPr>
        <w:pStyle w:val="Heading1"/>
        <w:rPr>
          <w:noProof/>
        </w:rPr>
      </w:pPr>
      <w:bookmarkStart w:id="12" w:name="_Toc94875638"/>
      <w:bookmarkStart w:id="13" w:name="_Toc102569196"/>
      <w:r w:rsidRPr="001A35E7">
        <w:rPr>
          <w:noProof/>
        </w:rPr>
        <w:t>EUROPEAN SAFETY POLICIES</w:t>
      </w:r>
      <w:r w:rsidR="00231F54">
        <w:rPr>
          <w:noProof/>
        </w:rPr>
        <w:t xml:space="preserve">, </w:t>
      </w:r>
      <w:r w:rsidRPr="001A35E7">
        <w:rPr>
          <w:noProof/>
        </w:rPr>
        <w:t>OBJECTIVES</w:t>
      </w:r>
      <w:r w:rsidR="00231F54">
        <w:rPr>
          <w:noProof/>
        </w:rPr>
        <w:t xml:space="preserve"> AND RESOURCES</w:t>
      </w:r>
      <w:bookmarkEnd w:id="12"/>
      <w:bookmarkEnd w:id="13"/>
    </w:p>
    <w:p w14:paraId="50987046" w14:textId="37C673A3" w:rsidR="00087497" w:rsidRDefault="00087497" w:rsidP="001A0D14">
      <w:pPr>
        <w:pStyle w:val="Heading2"/>
        <w:keepLines w:val="0"/>
        <w:numPr>
          <w:ilvl w:val="1"/>
          <w:numId w:val="11"/>
        </w:numPr>
        <w:rPr>
          <w:noProof/>
        </w:rPr>
      </w:pPr>
      <w:bookmarkStart w:id="14" w:name="_Toc419993089"/>
      <w:bookmarkStart w:id="15" w:name="_Toc419993245"/>
      <w:bookmarkStart w:id="16" w:name="_Toc419995267"/>
      <w:bookmarkStart w:id="17" w:name="_Toc420049136"/>
      <w:bookmarkStart w:id="18" w:name="_Toc94875639"/>
      <w:bookmarkStart w:id="19" w:name="_Toc102569197"/>
      <w:bookmarkEnd w:id="11"/>
      <w:bookmarkEnd w:id="14"/>
      <w:bookmarkEnd w:id="15"/>
      <w:bookmarkEnd w:id="16"/>
      <w:bookmarkEnd w:id="17"/>
      <w:r w:rsidRPr="00F83C18">
        <w:rPr>
          <w:noProof/>
        </w:rPr>
        <w:t xml:space="preserve">The European Aviation Safety </w:t>
      </w:r>
      <w:bookmarkEnd w:id="18"/>
      <w:bookmarkEnd w:id="19"/>
      <w:r w:rsidR="008B0566">
        <w:rPr>
          <w:noProof/>
        </w:rPr>
        <w:t>System</w:t>
      </w:r>
    </w:p>
    <w:p w14:paraId="0318150F" w14:textId="6E4BB131" w:rsidR="00502AAE" w:rsidRPr="00794D99" w:rsidRDefault="00502AAE" w:rsidP="0006001F">
      <w:pPr>
        <w:rPr>
          <w:noProof/>
        </w:rPr>
      </w:pPr>
      <w:r w:rsidRPr="00794D99">
        <w:rPr>
          <w:noProof/>
        </w:rPr>
        <w:t xml:space="preserve">The European Aviation Safety </w:t>
      </w:r>
      <w:r w:rsidR="008B0566">
        <w:rPr>
          <w:noProof/>
        </w:rPr>
        <w:t>System</w:t>
      </w:r>
      <w:r w:rsidR="008B0566" w:rsidRPr="00794D99">
        <w:rPr>
          <w:noProof/>
        </w:rPr>
        <w:t xml:space="preserve"> </w:t>
      </w:r>
      <w:r w:rsidR="008B0566">
        <w:rPr>
          <w:noProof/>
        </w:rPr>
        <w:t xml:space="preserve">contains </w:t>
      </w:r>
      <w:r w:rsidR="00D61235">
        <w:rPr>
          <w:noProof/>
        </w:rPr>
        <w:t>rules</w:t>
      </w:r>
      <w:r w:rsidRPr="00794D99">
        <w:rPr>
          <w:noProof/>
        </w:rPr>
        <w:t xml:space="preserve"> and processes </w:t>
      </w:r>
      <w:r w:rsidR="008B0566">
        <w:rPr>
          <w:noProof/>
        </w:rPr>
        <w:t xml:space="preserve">which are used to manage the safety of civil aviation in the Union in accordance with </w:t>
      </w:r>
      <w:r w:rsidR="00BA002D">
        <w:rPr>
          <w:noProof/>
        </w:rPr>
        <w:t xml:space="preserve">the Regulation (EU) </w:t>
      </w:r>
      <w:r w:rsidR="00CA0791">
        <w:rPr>
          <w:noProof/>
        </w:rPr>
        <w:t>2018/</w:t>
      </w:r>
      <w:r w:rsidR="00BA002D">
        <w:rPr>
          <w:noProof/>
        </w:rPr>
        <w:t>1139</w:t>
      </w:r>
      <w:r w:rsidR="008B0566">
        <w:rPr>
          <w:noProof/>
        </w:rPr>
        <w:t>. Those rules and processes</w:t>
      </w:r>
      <w:r w:rsidRPr="00794D99">
        <w:rPr>
          <w:noProof/>
        </w:rPr>
        <w:t xml:space="preserve"> ensure a high level of safety</w:t>
      </w:r>
      <w:r w:rsidR="006C0E3F">
        <w:rPr>
          <w:noProof/>
        </w:rPr>
        <w:t xml:space="preserve"> in civil aviation</w:t>
      </w:r>
      <w:r w:rsidR="00BA002D">
        <w:rPr>
          <w:noProof/>
        </w:rPr>
        <w:t xml:space="preserve">, are </w:t>
      </w:r>
      <w:r w:rsidR="008B0566">
        <w:rPr>
          <w:noProof/>
        </w:rPr>
        <w:t xml:space="preserve">harmonising safety aspects and </w:t>
      </w:r>
      <w:r w:rsidR="00BA002D">
        <w:rPr>
          <w:noProof/>
        </w:rPr>
        <w:t>are</w:t>
      </w:r>
      <w:r w:rsidR="00CA0791">
        <w:rPr>
          <w:noProof/>
        </w:rPr>
        <w:t xml:space="preserve"> </w:t>
      </w:r>
      <w:r w:rsidRPr="00794D99">
        <w:rPr>
          <w:noProof/>
        </w:rPr>
        <w:t>facilitat</w:t>
      </w:r>
      <w:r w:rsidR="008B0566">
        <w:rPr>
          <w:noProof/>
        </w:rPr>
        <w:t>ing</w:t>
      </w:r>
      <w:r w:rsidRPr="00794D99">
        <w:rPr>
          <w:noProof/>
        </w:rPr>
        <w:t xml:space="preserve"> the free movement of products, services</w:t>
      </w:r>
      <w:r w:rsidR="002E6693">
        <w:rPr>
          <w:noProof/>
        </w:rPr>
        <w:t xml:space="preserve">, </w:t>
      </w:r>
      <w:r w:rsidRPr="00794D99">
        <w:rPr>
          <w:noProof/>
        </w:rPr>
        <w:t>persons</w:t>
      </w:r>
      <w:r w:rsidR="002E6693">
        <w:rPr>
          <w:noProof/>
        </w:rPr>
        <w:t xml:space="preserve"> and capital</w:t>
      </w:r>
      <w:r w:rsidRPr="00794D99">
        <w:rPr>
          <w:noProof/>
        </w:rPr>
        <w:t xml:space="preserve"> involved in civil aviation.</w:t>
      </w:r>
    </w:p>
    <w:p w14:paraId="440C0443" w14:textId="02E78280" w:rsidR="00231F54" w:rsidRDefault="00103E3C" w:rsidP="00F840B5">
      <w:pPr>
        <w:rPr>
          <w:noProof/>
        </w:rPr>
      </w:pPr>
      <w:r>
        <w:rPr>
          <w:noProof/>
        </w:rPr>
        <w:t xml:space="preserve">At the same time, the </w:t>
      </w:r>
      <w:r w:rsidR="003F4C8B">
        <w:rPr>
          <w:noProof/>
        </w:rPr>
        <w:t>s</w:t>
      </w:r>
      <w:r w:rsidR="002E6693">
        <w:rPr>
          <w:noProof/>
        </w:rPr>
        <w:t>ystem</w:t>
      </w:r>
      <w:r w:rsidR="00231F54">
        <w:rPr>
          <w:noProof/>
        </w:rPr>
        <w:t>:</w:t>
      </w:r>
    </w:p>
    <w:p w14:paraId="1C0C4539" w14:textId="77777777" w:rsidR="00231F54" w:rsidRDefault="00103E3C" w:rsidP="00231F54">
      <w:pPr>
        <w:pStyle w:val="ListParagraph"/>
        <w:numPr>
          <w:ilvl w:val="0"/>
          <w:numId w:val="48"/>
        </w:numPr>
        <w:rPr>
          <w:noProof/>
        </w:rPr>
      </w:pPr>
      <w:r w:rsidRPr="00103E3C">
        <w:rPr>
          <w:noProof/>
        </w:rPr>
        <w:t>improve</w:t>
      </w:r>
      <w:r w:rsidR="00BA002D">
        <w:rPr>
          <w:noProof/>
        </w:rPr>
        <w:t>s</w:t>
      </w:r>
      <w:r w:rsidRPr="00103E3C">
        <w:rPr>
          <w:noProof/>
        </w:rPr>
        <w:t xml:space="preserve"> the competitiveness of the Union</w:t>
      </w:r>
      <w:r w:rsidR="00CD3CF1">
        <w:rPr>
          <w:noProof/>
        </w:rPr>
        <w:t>’</w:t>
      </w:r>
      <w:r w:rsidRPr="00103E3C">
        <w:rPr>
          <w:noProof/>
        </w:rPr>
        <w:t>s aviation industry</w:t>
      </w:r>
      <w:r>
        <w:rPr>
          <w:noProof/>
        </w:rPr>
        <w:t xml:space="preserve">, </w:t>
      </w:r>
    </w:p>
    <w:p w14:paraId="1DC86F1B" w14:textId="77777777" w:rsidR="00231F54" w:rsidRDefault="00103E3C" w:rsidP="00231F54">
      <w:pPr>
        <w:pStyle w:val="ListParagraph"/>
        <w:numPr>
          <w:ilvl w:val="0"/>
          <w:numId w:val="48"/>
        </w:numPr>
        <w:rPr>
          <w:noProof/>
        </w:rPr>
      </w:pPr>
      <w:r w:rsidRPr="00103E3C">
        <w:rPr>
          <w:noProof/>
        </w:rPr>
        <w:t>promote</w:t>
      </w:r>
      <w:r w:rsidR="00BA002D">
        <w:rPr>
          <w:noProof/>
        </w:rPr>
        <w:t>s</w:t>
      </w:r>
      <w:r w:rsidRPr="00103E3C">
        <w:rPr>
          <w:noProof/>
        </w:rPr>
        <w:t xml:space="preserve"> cost-efficiency, by, </w:t>
      </w:r>
      <w:r w:rsidRPr="00354684">
        <w:rPr>
          <w:i/>
          <w:noProof/>
        </w:rPr>
        <w:t>inter alia</w:t>
      </w:r>
      <w:r w:rsidRPr="00103E3C">
        <w:rPr>
          <w:noProof/>
        </w:rPr>
        <w:t>, avoiding duplication, and promoting effectiveness in regulatory, certification and oversight processes as well as an efficient use of related resources at Union and national level</w:t>
      </w:r>
      <w:r>
        <w:rPr>
          <w:noProof/>
        </w:rPr>
        <w:t xml:space="preserve">, </w:t>
      </w:r>
    </w:p>
    <w:p w14:paraId="2D5B18A8" w14:textId="77777777" w:rsidR="00231F54" w:rsidRDefault="00103E3C" w:rsidP="00231F54">
      <w:pPr>
        <w:pStyle w:val="ListParagraph"/>
        <w:numPr>
          <w:ilvl w:val="0"/>
          <w:numId w:val="48"/>
        </w:numPr>
        <w:rPr>
          <w:noProof/>
        </w:rPr>
      </w:pPr>
      <w:r w:rsidRPr="00103E3C">
        <w:rPr>
          <w:noProof/>
        </w:rPr>
        <w:t>assist</w:t>
      </w:r>
      <w:r w:rsidR="00BA002D">
        <w:rPr>
          <w:noProof/>
        </w:rPr>
        <w:t>s</w:t>
      </w:r>
      <w:r w:rsidRPr="00103E3C">
        <w:rPr>
          <w:noProof/>
        </w:rPr>
        <w:t xml:space="preserve"> Member </w:t>
      </w:r>
      <w:r w:rsidR="00A46B04">
        <w:rPr>
          <w:noProof/>
        </w:rPr>
        <w:t>State</w:t>
      </w:r>
      <w:r w:rsidRPr="00103E3C">
        <w:rPr>
          <w:noProof/>
        </w:rPr>
        <w:t xml:space="preserve">s in exercising their rights and fulfilling their obligations under the Chicago Convention, by ensuring a common interpretation and a uniform and timely implementation of its provisions, </w:t>
      </w:r>
    </w:p>
    <w:p w14:paraId="1ACDA134" w14:textId="77777777" w:rsidR="00231F54" w:rsidRDefault="00103E3C" w:rsidP="00231F54">
      <w:pPr>
        <w:pStyle w:val="ListParagraph"/>
        <w:numPr>
          <w:ilvl w:val="0"/>
          <w:numId w:val="48"/>
        </w:numPr>
        <w:rPr>
          <w:noProof/>
        </w:rPr>
      </w:pPr>
      <w:r w:rsidRPr="00103E3C">
        <w:rPr>
          <w:noProof/>
        </w:rPr>
        <w:t>promote</w:t>
      </w:r>
      <w:r w:rsidR="00BA002D">
        <w:rPr>
          <w:noProof/>
        </w:rPr>
        <w:t>s</w:t>
      </w:r>
      <w:r w:rsidRPr="00103E3C">
        <w:rPr>
          <w:noProof/>
        </w:rPr>
        <w:t xml:space="preserve"> worldwide the views of the Union regarding civil aviation standards and civil aviation rules, by establishing appropriate cooperation with third countries and international organisations</w:t>
      </w:r>
      <w:r>
        <w:rPr>
          <w:noProof/>
        </w:rPr>
        <w:t xml:space="preserve">, and </w:t>
      </w:r>
    </w:p>
    <w:p w14:paraId="5DADF5E5" w14:textId="77777777" w:rsidR="00502AAE" w:rsidRPr="00794D99" w:rsidRDefault="00103E3C" w:rsidP="00081245">
      <w:pPr>
        <w:pStyle w:val="ListParagraph"/>
        <w:numPr>
          <w:ilvl w:val="0"/>
          <w:numId w:val="48"/>
        </w:numPr>
        <w:rPr>
          <w:noProof/>
        </w:rPr>
      </w:pPr>
      <w:r w:rsidRPr="00103E3C">
        <w:rPr>
          <w:noProof/>
        </w:rPr>
        <w:t>promote</w:t>
      </w:r>
      <w:r w:rsidR="00BA002D">
        <w:rPr>
          <w:noProof/>
        </w:rPr>
        <w:t>s</w:t>
      </w:r>
      <w:r w:rsidRPr="00103E3C">
        <w:rPr>
          <w:noProof/>
        </w:rPr>
        <w:t xml:space="preserve"> technical and operational interoperability and the sharing of</w:t>
      </w:r>
      <w:r>
        <w:rPr>
          <w:noProof/>
        </w:rPr>
        <w:t xml:space="preserve"> administrative best practices.</w:t>
      </w:r>
      <w:r w:rsidRPr="00103E3C">
        <w:rPr>
          <w:noProof/>
        </w:rPr>
        <w:t xml:space="preserve"> </w:t>
      </w:r>
      <w:r w:rsidR="005936C7">
        <w:rPr>
          <w:noProof/>
        </w:rPr>
        <w:t xml:space="preserve"> </w:t>
      </w:r>
    </w:p>
    <w:p w14:paraId="75BF4042" w14:textId="5A90C6D3" w:rsidR="00502AAE" w:rsidRPr="00794D99" w:rsidRDefault="00502AAE" w:rsidP="0006001F">
      <w:pPr>
        <w:rPr>
          <w:noProof/>
        </w:rPr>
      </w:pPr>
      <w:r w:rsidRPr="00794D99">
        <w:rPr>
          <w:noProof/>
        </w:rPr>
        <w:t xml:space="preserve">The aviation safety </w:t>
      </w:r>
      <w:r w:rsidR="000E2AA9">
        <w:rPr>
          <w:noProof/>
        </w:rPr>
        <w:t xml:space="preserve">management </w:t>
      </w:r>
      <w:r w:rsidRPr="00794D99">
        <w:rPr>
          <w:noProof/>
        </w:rPr>
        <w:t xml:space="preserve">system is based on a close collaboration between the Commission, the European </w:t>
      </w:r>
      <w:r w:rsidR="001138B4">
        <w:rPr>
          <w:noProof/>
        </w:rPr>
        <w:t xml:space="preserve">Union </w:t>
      </w:r>
      <w:r w:rsidRPr="00794D99">
        <w:rPr>
          <w:noProof/>
        </w:rPr>
        <w:t>Aviation Safety Agency (</w:t>
      </w:r>
      <w:r>
        <w:rPr>
          <w:noProof/>
        </w:rPr>
        <w:t xml:space="preserve">hereinafter </w:t>
      </w:r>
      <w:r w:rsidR="00CD3CF1">
        <w:rPr>
          <w:noProof/>
        </w:rPr>
        <w:t>‘</w:t>
      </w:r>
      <w:r w:rsidRPr="00794D99">
        <w:rPr>
          <w:noProof/>
        </w:rPr>
        <w:t>EASA</w:t>
      </w:r>
      <w:r w:rsidR="00CD3CF1">
        <w:rPr>
          <w:noProof/>
        </w:rPr>
        <w:t>’</w:t>
      </w:r>
      <w:r>
        <w:rPr>
          <w:noProof/>
        </w:rPr>
        <w:t xml:space="preserve"> or</w:t>
      </w:r>
      <w:r w:rsidRPr="00794D99">
        <w:rPr>
          <w:noProof/>
        </w:rPr>
        <w:t xml:space="preserve"> </w:t>
      </w:r>
      <w:r w:rsidR="00CD3CF1">
        <w:rPr>
          <w:noProof/>
        </w:rPr>
        <w:t>‘</w:t>
      </w:r>
      <w:r w:rsidRPr="00794D99">
        <w:rPr>
          <w:noProof/>
        </w:rPr>
        <w:t>the Agency</w:t>
      </w:r>
      <w:r w:rsidR="00CD3CF1">
        <w:rPr>
          <w:noProof/>
        </w:rPr>
        <w:t>’</w:t>
      </w:r>
      <w:r w:rsidRPr="00794D99">
        <w:rPr>
          <w:noProof/>
        </w:rPr>
        <w:t xml:space="preserve">), the Member </w:t>
      </w:r>
      <w:r w:rsidR="00A46B04">
        <w:rPr>
          <w:noProof/>
        </w:rPr>
        <w:t>State</w:t>
      </w:r>
      <w:r w:rsidRPr="00794D99">
        <w:rPr>
          <w:noProof/>
        </w:rPr>
        <w:t xml:space="preserve">s, as well as the </w:t>
      </w:r>
      <w:r w:rsidR="002E6693">
        <w:rPr>
          <w:noProof/>
        </w:rPr>
        <w:t xml:space="preserve">aviation </w:t>
      </w:r>
      <w:r w:rsidRPr="00794D99">
        <w:rPr>
          <w:noProof/>
        </w:rPr>
        <w:t>industry.</w:t>
      </w:r>
    </w:p>
    <w:p w14:paraId="45111DA9" w14:textId="65969C4E" w:rsidR="00502AAE" w:rsidRPr="00794D99" w:rsidRDefault="00502AAE" w:rsidP="0006001F">
      <w:pPr>
        <w:rPr>
          <w:noProof/>
        </w:rPr>
      </w:pPr>
      <w:r w:rsidRPr="00794D99">
        <w:rPr>
          <w:noProof/>
        </w:rPr>
        <w:t xml:space="preserve">The high and uniform level of protection of the European citizens and of </w:t>
      </w:r>
      <w:r w:rsidR="00BA002D">
        <w:rPr>
          <w:noProof/>
        </w:rPr>
        <w:t>pass</w:t>
      </w:r>
      <w:r w:rsidR="00C86564">
        <w:rPr>
          <w:noProof/>
        </w:rPr>
        <w:t>e</w:t>
      </w:r>
      <w:r w:rsidR="00BA002D">
        <w:rPr>
          <w:noProof/>
        </w:rPr>
        <w:t>ngers</w:t>
      </w:r>
      <w:r w:rsidRPr="00794D99">
        <w:rPr>
          <w:noProof/>
        </w:rPr>
        <w:t xml:space="preserve"> mainly relies on the adoption of common safety rules</w:t>
      </w:r>
      <w:r w:rsidR="00231F54">
        <w:rPr>
          <w:noProof/>
        </w:rPr>
        <w:t xml:space="preserve">, </w:t>
      </w:r>
      <w:r w:rsidRPr="00794D99">
        <w:rPr>
          <w:noProof/>
        </w:rPr>
        <w:t>on measures that ensure that products, persons and organisations</w:t>
      </w:r>
      <w:r w:rsidR="007C1A2D" w:rsidRPr="00FB18C9">
        <w:rPr>
          <w:noProof/>
          <w:vertAlign w:val="superscript"/>
        </w:rPr>
        <w:footnoteReference w:id="4"/>
      </w:r>
      <w:r w:rsidRPr="00794D99">
        <w:rPr>
          <w:noProof/>
        </w:rPr>
        <w:t xml:space="preserve"> within the EU comply with such rules</w:t>
      </w:r>
      <w:r w:rsidR="00231F54">
        <w:rPr>
          <w:noProof/>
        </w:rPr>
        <w:t xml:space="preserve">, as well as on efficient Safety Risk Management processes at </w:t>
      </w:r>
      <w:r w:rsidR="002E6693">
        <w:rPr>
          <w:noProof/>
        </w:rPr>
        <w:t>r</w:t>
      </w:r>
      <w:r w:rsidR="00231F54">
        <w:rPr>
          <w:noProof/>
        </w:rPr>
        <w:t xml:space="preserve">egional, </w:t>
      </w:r>
      <w:r w:rsidR="00A46B04">
        <w:rPr>
          <w:noProof/>
        </w:rPr>
        <w:t>State</w:t>
      </w:r>
      <w:r w:rsidR="00231F54">
        <w:rPr>
          <w:noProof/>
        </w:rPr>
        <w:t xml:space="preserve"> and </w:t>
      </w:r>
      <w:r w:rsidR="002E6693">
        <w:rPr>
          <w:noProof/>
        </w:rPr>
        <w:t>i</w:t>
      </w:r>
      <w:r w:rsidR="00231F54">
        <w:rPr>
          <w:noProof/>
        </w:rPr>
        <w:t>ndustry level</w:t>
      </w:r>
      <w:r w:rsidR="002E6693">
        <w:rPr>
          <w:noProof/>
        </w:rPr>
        <w:t>s</w:t>
      </w:r>
      <w:r w:rsidRPr="00794D99">
        <w:rPr>
          <w:noProof/>
        </w:rPr>
        <w:t>.</w:t>
      </w:r>
      <w:r w:rsidR="00643507">
        <w:rPr>
          <w:noProof/>
        </w:rPr>
        <w:t xml:space="preserve"> </w:t>
      </w:r>
      <w:r w:rsidR="00DA6C3D">
        <w:rPr>
          <w:noProof/>
        </w:rPr>
        <w:t>Article 85 of Regulation (EU) 2018/1139</w:t>
      </w:r>
      <w:r w:rsidR="002E6693">
        <w:rPr>
          <w:noProof/>
        </w:rPr>
        <w:t xml:space="preserve"> provides for an enforcement system</w:t>
      </w:r>
      <w:r w:rsidR="00DA6C3D">
        <w:rPr>
          <w:noProof/>
        </w:rPr>
        <w:t xml:space="preserve">, where </w:t>
      </w:r>
      <w:r w:rsidR="006117C4">
        <w:rPr>
          <w:noProof/>
        </w:rPr>
        <w:t xml:space="preserve">the Agency assists the Commission in monitoring the application by the Member </w:t>
      </w:r>
      <w:r w:rsidR="00A46B04">
        <w:rPr>
          <w:noProof/>
        </w:rPr>
        <w:t>State</w:t>
      </w:r>
      <w:r w:rsidR="006117C4">
        <w:rPr>
          <w:noProof/>
        </w:rPr>
        <w:t xml:space="preserve">s of this Regulation and its delegated and implementing acts. </w:t>
      </w:r>
    </w:p>
    <w:p w14:paraId="3CABB5A2" w14:textId="6CC3862F" w:rsidR="004805C0" w:rsidRDefault="00502AAE" w:rsidP="004805C0">
      <w:pPr>
        <w:rPr>
          <w:noProof/>
        </w:rPr>
      </w:pPr>
      <w:r w:rsidRPr="00794D99">
        <w:rPr>
          <w:noProof/>
        </w:rPr>
        <w:t xml:space="preserve">This system is complemented by sound accident and incident investigations that enable safety gaps to be identified and action taken to close the gaps. The European Aviation Safety </w:t>
      </w:r>
      <w:r w:rsidR="000230D9">
        <w:rPr>
          <w:noProof/>
        </w:rPr>
        <w:t>Programme</w:t>
      </w:r>
      <w:r w:rsidR="0003074D">
        <w:rPr>
          <w:noProof/>
        </w:rPr>
        <w:t xml:space="preserve"> </w:t>
      </w:r>
      <w:r w:rsidRPr="00794D99">
        <w:rPr>
          <w:noProof/>
        </w:rPr>
        <w:t xml:space="preserve">also includes the use of more proactive and evidence-based elements that aim at identifying </w:t>
      </w:r>
      <w:r w:rsidRPr="0018001F">
        <w:rPr>
          <w:noProof/>
        </w:rPr>
        <w:t>risks posing the greatest threat to safety and in taking actions to mitigate those risks.</w:t>
      </w:r>
      <w:r w:rsidR="004805C0">
        <w:rPr>
          <w:noProof/>
        </w:rPr>
        <w:t xml:space="preserve"> The system in particular take</w:t>
      </w:r>
      <w:r w:rsidR="000875A8">
        <w:rPr>
          <w:noProof/>
        </w:rPr>
        <w:t>s</w:t>
      </w:r>
      <w:r w:rsidR="004805C0">
        <w:rPr>
          <w:noProof/>
        </w:rPr>
        <w:t xml:space="preserve"> advantage of the data-driven risk identifications and evaluations performed by the Data4Safety (</w:t>
      </w:r>
      <w:r w:rsidR="00B0274D">
        <w:rPr>
          <w:noProof/>
        </w:rPr>
        <w:t>b</w:t>
      </w:r>
      <w:r w:rsidR="004805C0">
        <w:rPr>
          <w:noProof/>
        </w:rPr>
        <w:t xml:space="preserve">ig </w:t>
      </w:r>
      <w:r w:rsidR="00B0274D">
        <w:rPr>
          <w:noProof/>
        </w:rPr>
        <w:t>d</w:t>
      </w:r>
      <w:r w:rsidR="004805C0">
        <w:rPr>
          <w:noProof/>
        </w:rPr>
        <w:t xml:space="preserve">ata) </w:t>
      </w:r>
      <w:r w:rsidR="002218C9">
        <w:rPr>
          <w:noProof/>
        </w:rPr>
        <w:t>programme</w:t>
      </w:r>
      <w:r w:rsidR="004805C0">
        <w:rPr>
          <w:noProof/>
        </w:rPr>
        <w:t xml:space="preserve"> </w:t>
      </w:r>
      <w:r w:rsidR="002218C9">
        <w:rPr>
          <w:noProof/>
        </w:rPr>
        <w:t>supported by the Commission and coordinated</w:t>
      </w:r>
      <w:r w:rsidR="004805C0">
        <w:rPr>
          <w:noProof/>
        </w:rPr>
        <w:t xml:space="preserve"> by EASA</w:t>
      </w:r>
      <w:r w:rsidR="002218C9">
        <w:rPr>
          <w:noProof/>
        </w:rPr>
        <w:t>, with the participation of relevant partners from the European aviation community</w:t>
      </w:r>
      <w:r w:rsidR="004805C0">
        <w:rPr>
          <w:noProof/>
        </w:rPr>
        <w:t>.</w:t>
      </w:r>
    </w:p>
    <w:p w14:paraId="2263EE81" w14:textId="77777777" w:rsidR="00502AAE" w:rsidRDefault="00502AAE" w:rsidP="0006001F">
      <w:pPr>
        <w:rPr>
          <w:noProof/>
        </w:rPr>
      </w:pPr>
    </w:p>
    <w:p w14:paraId="6EC19EDB" w14:textId="77971F90" w:rsidR="00A563F8" w:rsidRDefault="00A563F8" w:rsidP="00A563F8">
      <w:pPr>
        <w:pStyle w:val="Heading2"/>
        <w:keepLines w:val="0"/>
        <w:numPr>
          <w:ilvl w:val="1"/>
          <w:numId w:val="11"/>
        </w:numPr>
        <w:rPr>
          <w:noProof/>
        </w:rPr>
      </w:pPr>
      <w:bookmarkStart w:id="20" w:name="_Toc94875640"/>
      <w:bookmarkStart w:id="21" w:name="_Toc102569198"/>
      <w:r w:rsidRPr="00F83C18">
        <w:rPr>
          <w:noProof/>
        </w:rPr>
        <w:t xml:space="preserve">The European Aviation Safety </w:t>
      </w:r>
      <w:r w:rsidR="000230D9">
        <w:rPr>
          <w:noProof/>
        </w:rPr>
        <w:t xml:space="preserve">System </w:t>
      </w:r>
      <w:r>
        <w:rPr>
          <w:noProof/>
        </w:rPr>
        <w:t>and ICAO</w:t>
      </w:r>
      <w:bookmarkEnd w:id="20"/>
      <w:bookmarkEnd w:id="21"/>
    </w:p>
    <w:p w14:paraId="14F82927" w14:textId="442BBB27" w:rsidR="00C668A1" w:rsidRPr="0018001F" w:rsidRDefault="00C668A1" w:rsidP="0006001F">
      <w:pPr>
        <w:rPr>
          <w:noProof/>
        </w:rPr>
      </w:pPr>
      <w:r>
        <w:rPr>
          <w:noProof/>
        </w:rPr>
        <w:t xml:space="preserve">The European Aviation Safety </w:t>
      </w:r>
      <w:r w:rsidR="000230D9">
        <w:rPr>
          <w:noProof/>
        </w:rPr>
        <w:t xml:space="preserve">System </w:t>
      </w:r>
      <w:r>
        <w:rPr>
          <w:noProof/>
        </w:rPr>
        <w:t xml:space="preserve">is closely </w:t>
      </w:r>
      <w:r w:rsidR="00A563F8">
        <w:rPr>
          <w:noProof/>
        </w:rPr>
        <w:t>coordinated with the development and implementation of the International Aviation Civil Organization (ICAO) Standard</w:t>
      </w:r>
      <w:r w:rsidR="001B7BCE">
        <w:rPr>
          <w:noProof/>
        </w:rPr>
        <w:t>s</w:t>
      </w:r>
      <w:r w:rsidR="00A563F8">
        <w:rPr>
          <w:noProof/>
        </w:rPr>
        <w:t xml:space="preserve"> and Recommended Practices (SARPs). </w:t>
      </w:r>
    </w:p>
    <w:p w14:paraId="0F4F7EBC" w14:textId="094FD66E" w:rsidR="00610DE6" w:rsidRDefault="00A563F8" w:rsidP="0006001F">
      <w:pPr>
        <w:rPr>
          <w:noProof/>
        </w:rPr>
      </w:pPr>
      <w:r w:rsidRPr="00271129">
        <w:rPr>
          <w:noProof/>
        </w:rPr>
        <w:t>The Commission and EASA follow</w:t>
      </w:r>
      <w:r w:rsidR="0018001F" w:rsidRPr="00271129">
        <w:rPr>
          <w:noProof/>
        </w:rPr>
        <w:t xml:space="preserve"> the</w:t>
      </w:r>
      <w:r w:rsidRPr="00271129">
        <w:rPr>
          <w:noProof/>
        </w:rPr>
        <w:t>ir</w:t>
      </w:r>
      <w:r w:rsidR="0018001F" w:rsidRPr="00271129">
        <w:rPr>
          <w:noProof/>
        </w:rPr>
        <w:t xml:space="preserve"> development process and schedul</w:t>
      </w:r>
      <w:r w:rsidRPr="00271129">
        <w:rPr>
          <w:noProof/>
        </w:rPr>
        <w:t>e</w:t>
      </w:r>
      <w:r w:rsidR="0018001F" w:rsidRPr="00271129">
        <w:rPr>
          <w:noProof/>
        </w:rPr>
        <w:t xml:space="preserve"> related rulemaking actions as soon as it can be confirmed that a change of the European regulatory framework is needed. This includes the assessment of ICAO</w:t>
      </w:r>
      <w:r w:rsidR="00C546A3" w:rsidRPr="00271129">
        <w:rPr>
          <w:noProof/>
        </w:rPr>
        <w:t>’s</w:t>
      </w:r>
      <w:r w:rsidR="0018001F" w:rsidRPr="00271129">
        <w:rPr>
          <w:noProof/>
        </w:rPr>
        <w:t xml:space="preserve"> Annex</w:t>
      </w:r>
      <w:r w:rsidR="00C546A3" w:rsidRPr="00271129">
        <w:rPr>
          <w:noProof/>
        </w:rPr>
        <w:t>es</w:t>
      </w:r>
      <w:r w:rsidR="0018001F" w:rsidRPr="00271129">
        <w:rPr>
          <w:noProof/>
        </w:rPr>
        <w:t xml:space="preserve"> Amendment proposals (ICAO </w:t>
      </w:r>
      <w:r w:rsidR="00A46B04">
        <w:rPr>
          <w:noProof/>
        </w:rPr>
        <w:t>State</w:t>
      </w:r>
      <w:r w:rsidR="0018001F" w:rsidRPr="00271129">
        <w:rPr>
          <w:noProof/>
        </w:rPr>
        <w:t xml:space="preserve"> Letter type I) as well as the identification of differences between the EU regulatory framework and ICAO Annexes (ICAO </w:t>
      </w:r>
      <w:r w:rsidR="00A46B04">
        <w:rPr>
          <w:noProof/>
        </w:rPr>
        <w:t>State</w:t>
      </w:r>
      <w:r w:rsidR="0018001F" w:rsidRPr="00271129">
        <w:rPr>
          <w:noProof/>
        </w:rPr>
        <w:t xml:space="preserve"> Letter type II and Compliance Checklists). In the assessment of differences, EASA and the </w:t>
      </w:r>
      <w:r w:rsidR="00C546A3" w:rsidRPr="00271129">
        <w:rPr>
          <w:noProof/>
        </w:rPr>
        <w:t>Commission</w:t>
      </w:r>
      <w:r w:rsidR="0018001F" w:rsidRPr="00271129">
        <w:rPr>
          <w:noProof/>
        </w:rPr>
        <w:t xml:space="preserve"> support Member </w:t>
      </w:r>
      <w:r w:rsidR="00A46B04">
        <w:rPr>
          <w:noProof/>
        </w:rPr>
        <w:t>State</w:t>
      </w:r>
      <w:r w:rsidR="0018001F" w:rsidRPr="00271129">
        <w:rPr>
          <w:noProof/>
        </w:rPr>
        <w:t>s which have to notify differences to ICAO. Following EASA</w:t>
      </w:r>
      <w:r w:rsidR="00C546A3" w:rsidRPr="00271129">
        <w:rPr>
          <w:noProof/>
        </w:rPr>
        <w:t>’s</w:t>
      </w:r>
      <w:r w:rsidR="0018001F" w:rsidRPr="00271129">
        <w:rPr>
          <w:noProof/>
        </w:rPr>
        <w:t xml:space="preserve"> assessment </w:t>
      </w:r>
      <w:r w:rsidR="00C546A3" w:rsidRPr="00271129">
        <w:rPr>
          <w:noProof/>
        </w:rPr>
        <w:t>the Commission</w:t>
      </w:r>
      <w:r w:rsidR="0018001F" w:rsidRPr="00271129">
        <w:rPr>
          <w:noProof/>
        </w:rPr>
        <w:t xml:space="preserve"> </w:t>
      </w:r>
      <w:r w:rsidR="00C546A3" w:rsidRPr="00271129">
        <w:rPr>
          <w:noProof/>
        </w:rPr>
        <w:t>proposes a decision</w:t>
      </w:r>
      <w:r w:rsidR="0018001F" w:rsidRPr="00271129">
        <w:rPr>
          <w:noProof/>
        </w:rPr>
        <w:t xml:space="preserve"> </w:t>
      </w:r>
      <w:r w:rsidR="00C546A3" w:rsidRPr="00271129">
        <w:rPr>
          <w:noProof/>
        </w:rPr>
        <w:t>to</w:t>
      </w:r>
      <w:r w:rsidR="0018001F" w:rsidRPr="00271129">
        <w:rPr>
          <w:noProof/>
        </w:rPr>
        <w:t xml:space="preserve"> the EU Council</w:t>
      </w:r>
      <w:r w:rsidR="00C86564">
        <w:rPr>
          <w:noProof/>
        </w:rPr>
        <w:t xml:space="preserve"> </w:t>
      </w:r>
      <w:r w:rsidR="00C86564" w:rsidRPr="00C86564">
        <w:rPr>
          <w:noProof/>
        </w:rPr>
        <w:t>on the notification of differences</w:t>
      </w:r>
      <w:r w:rsidR="0018001F" w:rsidRPr="00271129">
        <w:rPr>
          <w:noProof/>
        </w:rPr>
        <w:t xml:space="preserve">. </w:t>
      </w:r>
    </w:p>
    <w:p w14:paraId="77BDA34C" w14:textId="694B90BB" w:rsidR="00EB2BF8" w:rsidRDefault="00940E88" w:rsidP="00EB2BF8">
      <w:pPr>
        <w:rPr>
          <w:noProof/>
        </w:rPr>
      </w:pPr>
      <w:r>
        <w:rPr>
          <w:noProof/>
        </w:rPr>
        <w:t>In addition</w:t>
      </w:r>
      <w:r w:rsidR="00584BF6">
        <w:rPr>
          <w:noProof/>
        </w:rPr>
        <w:t xml:space="preserve">, the Commission and </w:t>
      </w:r>
      <w:r w:rsidR="0040012D">
        <w:rPr>
          <w:noProof/>
        </w:rPr>
        <w:t xml:space="preserve">EASA work in partnership with the ICAO Regional Office </w:t>
      </w:r>
      <w:r w:rsidR="00741A89">
        <w:rPr>
          <w:noProof/>
        </w:rPr>
        <w:t xml:space="preserve">for the </w:t>
      </w:r>
      <w:r w:rsidR="0040012D">
        <w:rPr>
          <w:noProof/>
        </w:rPr>
        <w:t xml:space="preserve">Europe/North Atlantic </w:t>
      </w:r>
      <w:r w:rsidR="00741A89">
        <w:rPr>
          <w:noProof/>
        </w:rPr>
        <w:t xml:space="preserve">(EUR/NAT) region </w:t>
      </w:r>
      <w:r w:rsidR="0040012D">
        <w:rPr>
          <w:noProof/>
        </w:rPr>
        <w:t xml:space="preserve">to promote </w:t>
      </w:r>
      <w:r w:rsidR="00741A89">
        <w:rPr>
          <w:noProof/>
        </w:rPr>
        <w:t xml:space="preserve">a </w:t>
      </w:r>
      <w:r w:rsidR="0040012D">
        <w:rPr>
          <w:noProof/>
        </w:rPr>
        <w:t xml:space="preserve">regional approach to </w:t>
      </w:r>
      <w:r w:rsidR="00741A89">
        <w:rPr>
          <w:noProof/>
        </w:rPr>
        <w:t xml:space="preserve">managing aviation safety, encourage collaborative risk management and </w:t>
      </w:r>
      <w:r w:rsidR="0040012D">
        <w:rPr>
          <w:noProof/>
        </w:rPr>
        <w:t xml:space="preserve">create synergies within the various </w:t>
      </w:r>
      <w:r w:rsidR="007B24AC">
        <w:rPr>
          <w:noProof/>
        </w:rPr>
        <w:t xml:space="preserve">EU </w:t>
      </w:r>
      <w:r w:rsidR="0040012D">
        <w:rPr>
          <w:noProof/>
        </w:rPr>
        <w:t xml:space="preserve">safety enhancement initiatives. The EUR Regional Aviation Safety Plan (EUR RASP) </w:t>
      </w:r>
      <w:r w:rsidR="00741A89">
        <w:rPr>
          <w:noProof/>
        </w:rPr>
        <w:t>is instrumental in this context</w:t>
      </w:r>
      <w:r w:rsidR="00C3672B">
        <w:rPr>
          <w:noProof/>
        </w:rPr>
        <w:t>:</w:t>
      </w:r>
      <w:r w:rsidR="00741A89">
        <w:rPr>
          <w:noProof/>
        </w:rPr>
        <w:t xml:space="preserve"> </w:t>
      </w:r>
      <w:r w:rsidR="00584BF6">
        <w:rPr>
          <w:noProof/>
        </w:rPr>
        <w:t>s</w:t>
      </w:r>
      <w:r w:rsidR="00741A89" w:rsidRPr="00741A89">
        <w:rPr>
          <w:noProof/>
        </w:rPr>
        <w:t>ince 2017 the ICAO Regional Office</w:t>
      </w:r>
      <w:r w:rsidR="00584BF6">
        <w:rPr>
          <w:noProof/>
        </w:rPr>
        <w:t>, the Commission</w:t>
      </w:r>
      <w:r w:rsidR="00741A89" w:rsidRPr="00741A89">
        <w:rPr>
          <w:noProof/>
        </w:rPr>
        <w:t xml:space="preserve"> and EASA have been working together to develop </w:t>
      </w:r>
      <w:r w:rsidR="00741A89">
        <w:rPr>
          <w:noProof/>
        </w:rPr>
        <w:t xml:space="preserve">such </w:t>
      </w:r>
      <w:r w:rsidR="00304037">
        <w:rPr>
          <w:noProof/>
        </w:rPr>
        <w:t xml:space="preserve">a </w:t>
      </w:r>
      <w:r w:rsidR="00741A89" w:rsidRPr="00741A89">
        <w:rPr>
          <w:noProof/>
        </w:rPr>
        <w:t xml:space="preserve">RASP </w:t>
      </w:r>
      <w:r w:rsidR="00C3672B">
        <w:rPr>
          <w:noProof/>
        </w:rPr>
        <w:t xml:space="preserve">which draws upon the actions defined in the </w:t>
      </w:r>
      <w:r w:rsidR="00584BF6">
        <w:rPr>
          <w:noProof/>
        </w:rPr>
        <w:t>European Plan for Aviation Safety (</w:t>
      </w:r>
      <w:r w:rsidR="00741A89" w:rsidRPr="00741A89">
        <w:rPr>
          <w:noProof/>
        </w:rPr>
        <w:t>EPAS</w:t>
      </w:r>
      <w:r w:rsidR="00584BF6">
        <w:rPr>
          <w:noProof/>
        </w:rPr>
        <w:t>)</w:t>
      </w:r>
      <w:r w:rsidR="00741A89" w:rsidRPr="00741A89">
        <w:rPr>
          <w:noProof/>
        </w:rPr>
        <w:t xml:space="preserve">, thus allowing all </w:t>
      </w:r>
      <w:r w:rsidR="005C5549">
        <w:rPr>
          <w:noProof/>
        </w:rPr>
        <w:t xml:space="preserve">ICAO </w:t>
      </w:r>
      <w:r w:rsidR="00C3672B">
        <w:rPr>
          <w:noProof/>
        </w:rPr>
        <w:t xml:space="preserve">EUR </w:t>
      </w:r>
      <w:r w:rsidR="00A46B04">
        <w:rPr>
          <w:noProof/>
        </w:rPr>
        <w:t>State</w:t>
      </w:r>
      <w:r w:rsidR="00741A89" w:rsidRPr="00741A89">
        <w:rPr>
          <w:noProof/>
        </w:rPr>
        <w:t xml:space="preserve">s </w:t>
      </w:r>
      <w:r w:rsidR="00C3672B">
        <w:rPr>
          <w:noProof/>
        </w:rPr>
        <w:t xml:space="preserve">to </w:t>
      </w:r>
      <w:r w:rsidR="00741A89" w:rsidRPr="00741A89">
        <w:rPr>
          <w:noProof/>
        </w:rPr>
        <w:t xml:space="preserve">benefit from </w:t>
      </w:r>
      <w:r w:rsidR="00741A89">
        <w:rPr>
          <w:noProof/>
        </w:rPr>
        <w:t>the established safety planning process</w:t>
      </w:r>
      <w:r w:rsidR="00C3672B">
        <w:rPr>
          <w:noProof/>
        </w:rPr>
        <w:t xml:space="preserve"> and its various outputs, be it in terms of regulatory material, safety promotion deliverables, guidelines, tools and best practice</w:t>
      </w:r>
      <w:r w:rsidR="005C5549">
        <w:rPr>
          <w:noProof/>
        </w:rPr>
        <w:t>s</w:t>
      </w:r>
      <w:r w:rsidR="00C3672B">
        <w:rPr>
          <w:noProof/>
        </w:rPr>
        <w:t>.</w:t>
      </w:r>
      <w:r w:rsidR="00741A89" w:rsidRPr="00741A89">
        <w:rPr>
          <w:noProof/>
        </w:rPr>
        <w:t xml:space="preserve"> The first EUR RASP was issued in January 2019.</w:t>
      </w:r>
      <w:r w:rsidR="00C82916">
        <w:rPr>
          <w:noProof/>
        </w:rPr>
        <w:t xml:space="preserve"> </w:t>
      </w:r>
    </w:p>
    <w:p w14:paraId="412E92DF" w14:textId="1BF6BB37" w:rsidR="007B24AC" w:rsidRDefault="005C5549" w:rsidP="00EB2BF8">
      <w:pPr>
        <w:rPr>
          <w:noProof/>
        </w:rPr>
      </w:pPr>
      <w:r>
        <w:rPr>
          <w:noProof/>
        </w:rPr>
        <w:t>T</w:t>
      </w:r>
      <w:r w:rsidRPr="005C5549">
        <w:rPr>
          <w:noProof/>
        </w:rPr>
        <w:t xml:space="preserve">he Commission and </w:t>
      </w:r>
      <w:r w:rsidR="00C82916">
        <w:rPr>
          <w:noProof/>
        </w:rPr>
        <w:t xml:space="preserve">EASA </w:t>
      </w:r>
      <w:r>
        <w:rPr>
          <w:noProof/>
        </w:rPr>
        <w:t>are</w:t>
      </w:r>
      <w:r w:rsidR="007B24AC">
        <w:rPr>
          <w:noProof/>
        </w:rPr>
        <w:t xml:space="preserve"> also represented in the </w:t>
      </w:r>
      <w:r w:rsidR="001E7784" w:rsidRPr="001E7784">
        <w:rPr>
          <w:noProof/>
        </w:rPr>
        <w:t>European Aviation System Planning Group (EASPG)</w:t>
      </w:r>
      <w:r w:rsidR="00EB2BF8">
        <w:rPr>
          <w:noProof/>
        </w:rPr>
        <w:t xml:space="preserve"> and its related </w:t>
      </w:r>
      <w:r w:rsidR="00EB2BF8" w:rsidRPr="00EB2BF8">
        <w:rPr>
          <w:noProof/>
        </w:rPr>
        <w:t>Programme Coordination Group (PCG)</w:t>
      </w:r>
      <w:r w:rsidR="001E7784" w:rsidRPr="001E7784">
        <w:rPr>
          <w:noProof/>
        </w:rPr>
        <w:t>.</w:t>
      </w:r>
      <w:r w:rsidR="001E7784">
        <w:rPr>
          <w:noProof/>
        </w:rPr>
        <w:t xml:space="preserve"> The main objectives of the EASPG are to ensure that air navigation system development plans and aviation safety plans within the EUR Region remain coherent and compatible with those of the adjacent regions as well as with the ICAO </w:t>
      </w:r>
      <w:r w:rsidR="00EB2BF8">
        <w:rPr>
          <w:noProof/>
        </w:rPr>
        <w:t>g</w:t>
      </w:r>
      <w:r w:rsidR="001E7784">
        <w:rPr>
          <w:noProof/>
        </w:rPr>
        <w:t xml:space="preserve">lobal </w:t>
      </w:r>
      <w:r w:rsidR="00EB2BF8">
        <w:rPr>
          <w:noProof/>
        </w:rPr>
        <w:t>p</w:t>
      </w:r>
      <w:r w:rsidR="001E7784">
        <w:rPr>
          <w:noProof/>
        </w:rPr>
        <w:t xml:space="preserve">lans, </w:t>
      </w:r>
      <w:r w:rsidR="007B24AC">
        <w:rPr>
          <w:noProof/>
        </w:rPr>
        <w:t xml:space="preserve">and </w:t>
      </w:r>
      <w:r w:rsidR="001E7784">
        <w:rPr>
          <w:noProof/>
        </w:rPr>
        <w:t>t</w:t>
      </w:r>
      <w:r w:rsidR="00EB2BF8">
        <w:rPr>
          <w:noProof/>
        </w:rPr>
        <w:t xml:space="preserve">o </w:t>
      </w:r>
      <w:r w:rsidR="001E7784">
        <w:rPr>
          <w:noProof/>
        </w:rPr>
        <w:t>manage and coordinate their implementation</w:t>
      </w:r>
      <w:r w:rsidR="00EB2BF8">
        <w:rPr>
          <w:noProof/>
        </w:rPr>
        <w:t xml:space="preserve">. </w:t>
      </w:r>
      <w:r w:rsidR="007B24AC">
        <w:rPr>
          <w:noProof/>
        </w:rPr>
        <w:t xml:space="preserve">Moreover, the </w:t>
      </w:r>
      <w:r w:rsidR="00EB2BF8">
        <w:rPr>
          <w:noProof/>
        </w:rPr>
        <w:t>EASPG plays an important role in</w:t>
      </w:r>
      <w:r w:rsidR="001E7784">
        <w:rPr>
          <w:noProof/>
        </w:rPr>
        <w:t xml:space="preserve"> promot</w:t>
      </w:r>
      <w:r w:rsidR="00EB2BF8">
        <w:rPr>
          <w:noProof/>
        </w:rPr>
        <w:t xml:space="preserve">ing </w:t>
      </w:r>
      <w:r w:rsidR="001E7784">
        <w:rPr>
          <w:noProof/>
        </w:rPr>
        <w:t>and facilitat</w:t>
      </w:r>
      <w:r w:rsidR="00EB2BF8">
        <w:rPr>
          <w:noProof/>
        </w:rPr>
        <w:t xml:space="preserve">ing </w:t>
      </w:r>
      <w:r w:rsidR="001E7784">
        <w:rPr>
          <w:noProof/>
        </w:rPr>
        <w:t>harmonisation and coordination of the air navigation and safety related EUR sub-regional and national programmes</w:t>
      </w:r>
      <w:r w:rsidR="00EB2BF8">
        <w:rPr>
          <w:noProof/>
        </w:rPr>
        <w:t xml:space="preserve">. </w:t>
      </w:r>
    </w:p>
    <w:p w14:paraId="32C53D05" w14:textId="6378DC69" w:rsidR="007B24AC" w:rsidRDefault="007B24AC" w:rsidP="00EB2BF8">
      <w:pPr>
        <w:rPr>
          <w:noProof/>
        </w:rPr>
      </w:pPr>
      <w:r>
        <w:rPr>
          <w:noProof/>
        </w:rPr>
        <w:t xml:space="preserve">Finally, </w:t>
      </w:r>
      <w:r w:rsidR="005C5549" w:rsidRPr="005C5549">
        <w:rPr>
          <w:noProof/>
        </w:rPr>
        <w:t xml:space="preserve">the Commission and </w:t>
      </w:r>
      <w:r>
        <w:rPr>
          <w:noProof/>
        </w:rPr>
        <w:t xml:space="preserve">EASA </w:t>
      </w:r>
      <w:r w:rsidR="005C5549">
        <w:rPr>
          <w:noProof/>
        </w:rPr>
        <w:t>are</w:t>
      </w:r>
      <w:r>
        <w:rPr>
          <w:noProof/>
        </w:rPr>
        <w:t xml:space="preserve"> represented in the Global Aviation Safety Plan (GASP) Study Group, thereby contributing to the maintenance of the GASP</w:t>
      </w:r>
      <w:r w:rsidR="00343760">
        <w:rPr>
          <w:noProof/>
        </w:rPr>
        <w:t xml:space="preserve">, </w:t>
      </w:r>
      <w:r>
        <w:rPr>
          <w:noProof/>
        </w:rPr>
        <w:t>related guidance material</w:t>
      </w:r>
      <w:r w:rsidR="00343760">
        <w:rPr>
          <w:noProof/>
        </w:rPr>
        <w:t xml:space="preserve"> and tools</w:t>
      </w:r>
      <w:r>
        <w:rPr>
          <w:noProof/>
        </w:rPr>
        <w:t xml:space="preserve">. The main </w:t>
      </w:r>
      <w:r w:rsidRPr="007B24AC">
        <w:rPr>
          <w:noProof/>
        </w:rPr>
        <w:t xml:space="preserve">purpose of the GASP is to continually reduce fatalities and the risk of fatalities by guiding the development of a harmonised aviation safety strategy </w:t>
      </w:r>
      <w:r w:rsidR="00343760">
        <w:rPr>
          <w:noProof/>
        </w:rPr>
        <w:t xml:space="preserve">on the basis of </w:t>
      </w:r>
      <w:r w:rsidR="005625D5">
        <w:rPr>
          <w:noProof/>
        </w:rPr>
        <w:t>six</w:t>
      </w:r>
      <w:r w:rsidR="00343760">
        <w:rPr>
          <w:noProof/>
        </w:rPr>
        <w:t xml:space="preserve"> GASP goals with associated targets, </w:t>
      </w:r>
      <w:r w:rsidRPr="007B24AC">
        <w:rPr>
          <w:noProof/>
        </w:rPr>
        <w:t>and the development and implementation of regional and national aviation safety plans.</w:t>
      </w:r>
    </w:p>
    <w:p w14:paraId="53C2B1A5" w14:textId="77777777" w:rsidR="0018001F" w:rsidRDefault="0018001F" w:rsidP="0018001F">
      <w:pPr>
        <w:rPr>
          <w:noProof/>
        </w:rPr>
      </w:pPr>
      <w:r w:rsidRPr="00271129">
        <w:rPr>
          <w:noProof/>
        </w:rPr>
        <w:t>In addition, EASA promot</w:t>
      </w:r>
      <w:r w:rsidR="005C5549" w:rsidRPr="00271129">
        <w:rPr>
          <w:noProof/>
        </w:rPr>
        <w:t>es</w:t>
      </w:r>
      <w:r w:rsidRPr="00271129">
        <w:rPr>
          <w:noProof/>
        </w:rPr>
        <w:t xml:space="preserve"> </w:t>
      </w:r>
      <w:r w:rsidR="005C5549" w:rsidRPr="00271129">
        <w:rPr>
          <w:noProof/>
        </w:rPr>
        <w:t xml:space="preserve">the </w:t>
      </w:r>
      <w:r w:rsidR="00A46B04">
        <w:rPr>
          <w:noProof/>
        </w:rPr>
        <w:t>State</w:t>
      </w:r>
      <w:r w:rsidR="005C5549" w:rsidRPr="00271129">
        <w:rPr>
          <w:noProof/>
        </w:rPr>
        <w:t xml:space="preserve"> Safety Programme (</w:t>
      </w:r>
      <w:r w:rsidRPr="00271129">
        <w:rPr>
          <w:noProof/>
        </w:rPr>
        <w:t>SSP</w:t>
      </w:r>
      <w:r w:rsidR="005C5549" w:rsidRPr="00271129">
        <w:rPr>
          <w:noProof/>
        </w:rPr>
        <w:t>)</w:t>
      </w:r>
      <w:r w:rsidRPr="00271129">
        <w:rPr>
          <w:noProof/>
        </w:rPr>
        <w:t xml:space="preserve"> and safety management implementation globally through EU technical assistance projects and by working with ICAO Regional Offices to support </w:t>
      </w:r>
      <w:r w:rsidR="00A46B04">
        <w:rPr>
          <w:noProof/>
        </w:rPr>
        <w:t>State</w:t>
      </w:r>
      <w:r w:rsidRPr="00271129">
        <w:rPr>
          <w:noProof/>
        </w:rPr>
        <w:t xml:space="preserve">s and Regional Safety Oversight Organisations (RSOOs). The main objectives of these projects </w:t>
      </w:r>
      <w:r w:rsidR="00806CE7" w:rsidRPr="00271129">
        <w:rPr>
          <w:noProof/>
        </w:rPr>
        <w:t>are</w:t>
      </w:r>
      <w:r w:rsidRPr="00271129">
        <w:rPr>
          <w:noProof/>
        </w:rPr>
        <w:t xml:space="preserve"> to raise the safety level globally by assisting </w:t>
      </w:r>
      <w:r w:rsidR="00A46B04">
        <w:rPr>
          <w:noProof/>
        </w:rPr>
        <w:t>State</w:t>
      </w:r>
      <w:r w:rsidRPr="00271129">
        <w:rPr>
          <w:noProof/>
        </w:rPr>
        <w:t xml:space="preserve">s in setting up their SSP, assisting </w:t>
      </w:r>
      <w:r w:rsidR="00A46B04">
        <w:rPr>
          <w:noProof/>
        </w:rPr>
        <w:t>State</w:t>
      </w:r>
      <w:r w:rsidRPr="00271129">
        <w:rPr>
          <w:noProof/>
        </w:rPr>
        <w:t>s and RSOOs in establishing regional cooperation mechanisms, thus ensuring compliance with ICAO SARPs.</w:t>
      </w:r>
      <w:r w:rsidR="005625D5" w:rsidRPr="005625D5">
        <w:rPr>
          <w:b/>
          <w:noProof/>
        </w:rPr>
        <w:t xml:space="preserve"> </w:t>
      </w:r>
      <w:r w:rsidR="005625D5" w:rsidRPr="005625D5">
        <w:rPr>
          <w:noProof/>
        </w:rPr>
        <w:t>Throughout these activities the European safety policies and objectives can be effectively promoted at regional and global level.</w:t>
      </w:r>
      <w:r w:rsidR="002913D6">
        <w:rPr>
          <w:noProof/>
        </w:rPr>
        <w:t xml:space="preserve"> </w:t>
      </w:r>
    </w:p>
    <w:p w14:paraId="6F25F60F" w14:textId="77777777" w:rsidR="005625D5" w:rsidRDefault="005625D5" w:rsidP="0018001F">
      <w:pPr>
        <w:rPr>
          <w:noProof/>
        </w:rPr>
      </w:pPr>
    </w:p>
    <w:p w14:paraId="1E5D859A" w14:textId="7841E940" w:rsidR="00F83C18" w:rsidRPr="005625D5" w:rsidRDefault="005625D5" w:rsidP="001A0D14">
      <w:pPr>
        <w:pStyle w:val="Heading2"/>
        <w:keepLines w:val="0"/>
        <w:numPr>
          <w:ilvl w:val="1"/>
          <w:numId w:val="11"/>
        </w:numPr>
        <w:rPr>
          <w:b w:val="0"/>
          <w:noProof/>
        </w:rPr>
      </w:pPr>
      <w:bookmarkStart w:id="22" w:name="_Toc94875641"/>
      <w:bookmarkStart w:id="23" w:name="_Toc102569199"/>
      <w:r>
        <w:rPr>
          <w:rFonts w:hint="eastAsia"/>
          <w:noProof/>
        </w:rPr>
        <w:t>The</w:t>
      </w:r>
      <w:r>
        <w:rPr>
          <w:noProof/>
        </w:rPr>
        <w:t xml:space="preserve"> </w:t>
      </w:r>
      <w:r w:rsidR="00E74302">
        <w:rPr>
          <w:noProof/>
        </w:rPr>
        <w:t xml:space="preserve">Union </w:t>
      </w:r>
      <w:r w:rsidR="000230D9">
        <w:rPr>
          <w:noProof/>
        </w:rPr>
        <w:t xml:space="preserve">aviation </w:t>
      </w:r>
      <w:r>
        <w:rPr>
          <w:noProof/>
        </w:rPr>
        <w:t xml:space="preserve">safety </w:t>
      </w:r>
      <w:r w:rsidR="00F75E8F">
        <w:rPr>
          <w:noProof/>
        </w:rPr>
        <w:t xml:space="preserve">and environmental protection </w:t>
      </w:r>
      <w:r>
        <w:rPr>
          <w:noProof/>
        </w:rPr>
        <w:t>legislative framework</w:t>
      </w:r>
      <w:bookmarkEnd w:id="22"/>
      <w:bookmarkEnd w:id="23"/>
      <w:r>
        <w:rPr>
          <w:noProof/>
        </w:rPr>
        <w:t xml:space="preserve"> </w:t>
      </w:r>
    </w:p>
    <w:p w14:paraId="04DB2B02" w14:textId="7FFCFD84" w:rsidR="00087497" w:rsidRPr="003E19AF" w:rsidRDefault="005625D5" w:rsidP="001A0D14">
      <w:pPr>
        <w:pStyle w:val="Heading3"/>
        <w:keepLines w:val="0"/>
        <w:numPr>
          <w:ilvl w:val="2"/>
          <w:numId w:val="11"/>
        </w:numPr>
        <w:spacing w:before="240" w:after="240"/>
        <w:rPr>
          <w:noProof/>
        </w:rPr>
      </w:pPr>
      <w:bookmarkStart w:id="24" w:name="_Toc419993092"/>
      <w:bookmarkStart w:id="25" w:name="_Toc419993248"/>
      <w:bookmarkStart w:id="26" w:name="_Toc419995270"/>
      <w:bookmarkStart w:id="27" w:name="_Toc420049139"/>
      <w:bookmarkStart w:id="28" w:name="_Toc419993093"/>
      <w:bookmarkStart w:id="29" w:name="_Toc419993249"/>
      <w:bookmarkStart w:id="30" w:name="_Toc419995271"/>
      <w:bookmarkStart w:id="31" w:name="_Toc420049140"/>
      <w:bookmarkStart w:id="32" w:name="_Toc419993094"/>
      <w:bookmarkStart w:id="33" w:name="_Toc419993250"/>
      <w:bookmarkStart w:id="34" w:name="_Toc419995272"/>
      <w:bookmarkStart w:id="35" w:name="_Toc420049141"/>
      <w:bookmarkStart w:id="36" w:name="_Toc419993095"/>
      <w:bookmarkStart w:id="37" w:name="_Toc419993251"/>
      <w:bookmarkStart w:id="38" w:name="_Toc419995273"/>
      <w:bookmarkStart w:id="39" w:name="_Toc420049142"/>
      <w:bookmarkStart w:id="40" w:name="_Toc419993096"/>
      <w:bookmarkStart w:id="41" w:name="_Toc419993252"/>
      <w:bookmarkStart w:id="42" w:name="_Toc419995274"/>
      <w:bookmarkStart w:id="43" w:name="_Toc420049143"/>
      <w:bookmarkStart w:id="44" w:name="_Toc419993097"/>
      <w:bookmarkStart w:id="45" w:name="_Toc419993253"/>
      <w:bookmarkStart w:id="46" w:name="_Toc419995275"/>
      <w:bookmarkStart w:id="47" w:name="_Toc420049144"/>
      <w:bookmarkStart w:id="48" w:name="_Toc419993098"/>
      <w:bookmarkStart w:id="49" w:name="_Toc419993254"/>
      <w:bookmarkStart w:id="50" w:name="_Toc419995276"/>
      <w:bookmarkStart w:id="51" w:name="_Toc420049145"/>
      <w:bookmarkStart w:id="52" w:name="_Toc94875642"/>
      <w:bookmarkStart w:id="53" w:name="_Toc10256920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noProof/>
        </w:rPr>
        <w:t xml:space="preserve">Structure of the </w:t>
      </w:r>
      <w:r w:rsidR="00E74302">
        <w:rPr>
          <w:noProof/>
        </w:rPr>
        <w:t>Union</w:t>
      </w:r>
      <w:r w:rsidR="00E74302" w:rsidRPr="00BA0FB6">
        <w:rPr>
          <w:noProof/>
        </w:rPr>
        <w:t xml:space="preserve"> </w:t>
      </w:r>
      <w:r w:rsidRPr="00BA0FB6">
        <w:rPr>
          <w:noProof/>
        </w:rPr>
        <w:t>safety legislative framework</w:t>
      </w:r>
      <w:bookmarkEnd w:id="52"/>
      <w:bookmarkEnd w:id="53"/>
    </w:p>
    <w:p w14:paraId="670D98D5" w14:textId="77777777" w:rsidR="00BB69A4" w:rsidRDefault="00502AAE" w:rsidP="0006001F">
      <w:pPr>
        <w:rPr>
          <w:noProof/>
        </w:rPr>
      </w:pPr>
      <w:r w:rsidRPr="00794D99">
        <w:rPr>
          <w:noProof/>
        </w:rPr>
        <w:t xml:space="preserve">Article 4(2)(g) of the Treaty on the Functioning of the European Union </w:t>
      </w:r>
      <w:r w:rsidR="00ED1C1D">
        <w:rPr>
          <w:noProof/>
        </w:rPr>
        <w:t xml:space="preserve">(TFEU) </w:t>
      </w:r>
      <w:r w:rsidRPr="00794D99">
        <w:rPr>
          <w:noProof/>
        </w:rPr>
        <w:t xml:space="preserve">establishes that transport is a shared competence between the European Union and </w:t>
      </w:r>
      <w:r>
        <w:rPr>
          <w:noProof/>
        </w:rPr>
        <w:t>its</w:t>
      </w:r>
      <w:r w:rsidRPr="00794D99">
        <w:rPr>
          <w:noProof/>
        </w:rPr>
        <w:t xml:space="preserve"> Member </w:t>
      </w:r>
      <w:r w:rsidR="00A46B04">
        <w:rPr>
          <w:noProof/>
        </w:rPr>
        <w:t>State</w:t>
      </w:r>
      <w:r w:rsidRPr="00794D99">
        <w:rPr>
          <w:noProof/>
        </w:rPr>
        <w:t xml:space="preserve">s. Furthermore, Article 100(2) of the </w:t>
      </w:r>
      <w:r w:rsidR="00074966">
        <w:rPr>
          <w:noProof/>
        </w:rPr>
        <w:t>TFEU</w:t>
      </w:r>
      <w:r w:rsidRPr="00794D99">
        <w:rPr>
          <w:noProof/>
        </w:rPr>
        <w:t xml:space="preserve"> allows the European Parliament and the Council to lay down appropriate provisions for air transport</w:t>
      </w:r>
      <w:r w:rsidR="007D1A02">
        <w:rPr>
          <w:noProof/>
        </w:rPr>
        <w:t>,</w:t>
      </w:r>
      <w:r w:rsidR="007D1A02" w:rsidRPr="007D1A02">
        <w:rPr>
          <w:noProof/>
        </w:rPr>
        <w:t xml:space="preserve"> following a proposal by the Commission</w:t>
      </w:r>
      <w:r w:rsidRPr="00794D99">
        <w:rPr>
          <w:noProof/>
        </w:rPr>
        <w:t xml:space="preserve">. </w:t>
      </w:r>
      <w:r w:rsidR="00ED1C1D">
        <w:rPr>
          <w:noProof/>
        </w:rPr>
        <w:t xml:space="preserve">Article 2(2) of the TFEU lays out that when the Treaties confer on the Union a competence shared with the Member </w:t>
      </w:r>
      <w:r w:rsidR="00A46B04">
        <w:rPr>
          <w:noProof/>
        </w:rPr>
        <w:t>State</w:t>
      </w:r>
      <w:r w:rsidR="00ED1C1D">
        <w:rPr>
          <w:noProof/>
        </w:rPr>
        <w:t xml:space="preserve">s in a specific area, the Union and the Member </w:t>
      </w:r>
      <w:r w:rsidR="00A46B04">
        <w:rPr>
          <w:noProof/>
        </w:rPr>
        <w:t>State</w:t>
      </w:r>
      <w:r w:rsidR="00ED1C1D">
        <w:rPr>
          <w:noProof/>
        </w:rPr>
        <w:t xml:space="preserve">s may legislate and adopt legally binding acts in that area, and that Member </w:t>
      </w:r>
      <w:r w:rsidR="00A46B04">
        <w:rPr>
          <w:noProof/>
        </w:rPr>
        <w:t>State</w:t>
      </w:r>
      <w:r w:rsidR="00ED1C1D">
        <w:rPr>
          <w:noProof/>
        </w:rPr>
        <w:t>s shall exercise their competence to the extent that the Union has not exercised its competence.</w:t>
      </w:r>
    </w:p>
    <w:p w14:paraId="0FAD0A8F" w14:textId="35DFCEB8" w:rsidR="00502AAE" w:rsidRPr="00794D99" w:rsidRDefault="00EB5FE4" w:rsidP="0006001F">
      <w:pPr>
        <w:rPr>
          <w:noProof/>
        </w:rPr>
      </w:pPr>
      <w:r w:rsidRPr="00794D99">
        <w:rPr>
          <w:noProof/>
        </w:rPr>
        <w:t>Therefore,</w:t>
      </w:r>
      <w:r w:rsidR="00502AAE" w:rsidRPr="00794D99">
        <w:rPr>
          <w:noProof/>
        </w:rPr>
        <w:t xml:space="preserve"> the legal requirements in the area of aviation safety can be defined at </w:t>
      </w:r>
      <w:r w:rsidR="00E74302">
        <w:rPr>
          <w:noProof/>
        </w:rPr>
        <w:t>the Union</w:t>
      </w:r>
      <w:r w:rsidR="00E74302" w:rsidRPr="00794D99">
        <w:rPr>
          <w:noProof/>
        </w:rPr>
        <w:t xml:space="preserve"> </w:t>
      </w:r>
      <w:r w:rsidR="00502AAE" w:rsidRPr="00794D99">
        <w:rPr>
          <w:noProof/>
        </w:rPr>
        <w:t xml:space="preserve">level, through the adoption of </w:t>
      </w:r>
      <w:r w:rsidR="00E74302">
        <w:rPr>
          <w:noProof/>
        </w:rPr>
        <w:t xml:space="preserve">Union </w:t>
      </w:r>
      <w:r w:rsidR="00502AAE" w:rsidRPr="00794D99">
        <w:rPr>
          <w:noProof/>
        </w:rPr>
        <w:t>legislation.</w:t>
      </w:r>
    </w:p>
    <w:p w14:paraId="7C7AC7FE" w14:textId="660A3FD5" w:rsidR="00502AAE" w:rsidRPr="00794D99" w:rsidRDefault="00502AAE" w:rsidP="0006001F">
      <w:pPr>
        <w:rPr>
          <w:noProof/>
        </w:rPr>
      </w:pPr>
      <w:r w:rsidRPr="00794D99">
        <w:rPr>
          <w:noProof/>
        </w:rPr>
        <w:t xml:space="preserve">The </w:t>
      </w:r>
      <w:r w:rsidR="00E74302">
        <w:rPr>
          <w:noProof/>
        </w:rPr>
        <w:t>Union</w:t>
      </w:r>
      <w:r w:rsidR="00E74302" w:rsidRPr="00794D99">
        <w:rPr>
          <w:noProof/>
        </w:rPr>
        <w:t xml:space="preserve"> </w:t>
      </w:r>
      <w:r w:rsidRPr="00794D99">
        <w:rPr>
          <w:noProof/>
        </w:rPr>
        <w:t xml:space="preserve">civil aviation safety legislative framework is composed of </w:t>
      </w:r>
      <w:r>
        <w:rPr>
          <w:noProof/>
        </w:rPr>
        <w:t>R</w:t>
      </w:r>
      <w:r w:rsidRPr="00794D99">
        <w:rPr>
          <w:noProof/>
        </w:rPr>
        <w:t xml:space="preserve">egulations of the European Parliament and of the Council, </w:t>
      </w:r>
      <w:r w:rsidR="00940E88">
        <w:rPr>
          <w:noProof/>
        </w:rPr>
        <w:t>complemented</w:t>
      </w:r>
      <w:r w:rsidRPr="00794D99">
        <w:rPr>
          <w:noProof/>
        </w:rPr>
        <w:t>, where relevan</w:t>
      </w:r>
      <w:r w:rsidR="00BB69A4">
        <w:rPr>
          <w:noProof/>
        </w:rPr>
        <w:t xml:space="preserve">t, by Commission </w:t>
      </w:r>
      <w:r w:rsidR="00385B51">
        <w:rPr>
          <w:noProof/>
        </w:rPr>
        <w:t xml:space="preserve">delegated and </w:t>
      </w:r>
      <w:r w:rsidR="00F5454D">
        <w:rPr>
          <w:noProof/>
        </w:rPr>
        <w:t>i</w:t>
      </w:r>
      <w:r w:rsidR="00546FED">
        <w:rPr>
          <w:noProof/>
        </w:rPr>
        <w:t xml:space="preserve">mplementing </w:t>
      </w:r>
      <w:r w:rsidR="002062E8">
        <w:rPr>
          <w:noProof/>
        </w:rPr>
        <w:t>regulations</w:t>
      </w:r>
      <w:r w:rsidR="00BB69A4">
        <w:rPr>
          <w:noProof/>
        </w:rPr>
        <w:t xml:space="preserve">. </w:t>
      </w:r>
      <w:r>
        <w:rPr>
          <w:noProof/>
        </w:rPr>
        <w:t>Mechanisms for evaluating the implementation and effectiveness of the legislation, potentially leading to its revision, are included in the relevant legal acts</w:t>
      </w:r>
      <w:r w:rsidR="00385B51">
        <w:rPr>
          <w:noProof/>
        </w:rPr>
        <w:t xml:space="preserve"> and </w:t>
      </w:r>
      <w:r w:rsidR="000D4FA0">
        <w:rPr>
          <w:noProof/>
        </w:rPr>
        <w:t xml:space="preserve">assessed as well through the so-called standardisation inspections </w:t>
      </w:r>
      <w:r w:rsidR="000E2AA9">
        <w:rPr>
          <w:noProof/>
        </w:rPr>
        <w:t xml:space="preserve">of Member </w:t>
      </w:r>
      <w:r w:rsidR="00A46B04">
        <w:rPr>
          <w:noProof/>
        </w:rPr>
        <w:t>State</w:t>
      </w:r>
      <w:r w:rsidR="000E2AA9">
        <w:rPr>
          <w:noProof/>
        </w:rPr>
        <w:t xml:space="preserve">s </w:t>
      </w:r>
      <w:r w:rsidR="000D4FA0">
        <w:rPr>
          <w:noProof/>
        </w:rPr>
        <w:t>performed by EASA</w:t>
      </w:r>
      <w:r>
        <w:rPr>
          <w:noProof/>
        </w:rPr>
        <w:t xml:space="preserve">.   </w:t>
      </w:r>
    </w:p>
    <w:p w14:paraId="0D575662" w14:textId="543B636E" w:rsidR="00EC474D" w:rsidRDefault="00502AAE" w:rsidP="0006001F">
      <w:pPr>
        <w:rPr>
          <w:noProof/>
        </w:rPr>
      </w:pPr>
      <w:r w:rsidRPr="00794D99">
        <w:rPr>
          <w:noProof/>
        </w:rPr>
        <w:t xml:space="preserve">The </w:t>
      </w:r>
      <w:r w:rsidR="00CB12AB">
        <w:rPr>
          <w:noProof/>
        </w:rPr>
        <w:t>table</w:t>
      </w:r>
      <w:r w:rsidR="00CB12AB" w:rsidRPr="00794D99">
        <w:rPr>
          <w:noProof/>
        </w:rPr>
        <w:t xml:space="preserve"> </w:t>
      </w:r>
      <w:r w:rsidRPr="00794D99">
        <w:rPr>
          <w:noProof/>
        </w:rPr>
        <w:t xml:space="preserve">below summarises the applicable aviation safety legislation adopted at </w:t>
      </w:r>
      <w:r w:rsidR="00E74302">
        <w:rPr>
          <w:noProof/>
        </w:rPr>
        <w:t>EU</w:t>
      </w:r>
      <w:r w:rsidRPr="00794D99">
        <w:rPr>
          <w:noProof/>
        </w:rPr>
        <w:t xml:space="preserve"> level. </w:t>
      </w:r>
    </w:p>
    <w:p w14:paraId="6A99B1DC" w14:textId="77777777" w:rsidR="0017596F" w:rsidRDefault="0017596F">
      <w:pPr>
        <w:spacing w:before="0" w:after="200" w:line="276" w:lineRule="auto"/>
        <w:jc w:val="left"/>
        <w:rPr>
          <w:noProof/>
          <w:color w:val="FF0000"/>
        </w:rPr>
      </w:pPr>
      <w:r>
        <w:rPr>
          <w:noProof/>
          <w:color w:val="FF0000"/>
        </w:rPr>
        <w:br w:type="page"/>
      </w:r>
    </w:p>
    <w:p w14:paraId="254930F8" w14:textId="77777777" w:rsidR="00835F95" w:rsidRPr="00FB18C9" w:rsidRDefault="00835F95" w:rsidP="00FB18C9">
      <w:pPr>
        <w:spacing w:before="0" w:after="200" w:line="276" w:lineRule="auto"/>
        <w:rPr>
          <w:b/>
          <w:bCs/>
          <w:i/>
          <w:noProof/>
        </w:rPr>
      </w:pPr>
      <w:r w:rsidRPr="00FB18C9">
        <w:rPr>
          <w:b/>
          <w:bCs/>
          <w:i/>
          <w:noProof/>
        </w:rPr>
        <w:t>Table 1. Applicable European Union aviation safety and environmental protection legislation</w:t>
      </w:r>
    </w:p>
    <w:tbl>
      <w:tblPr>
        <w:tblStyle w:val="GridTable4-Accent6"/>
        <w:tblpPr w:leftFromText="180" w:rightFromText="180" w:vertAnchor="text" w:tblpX="-147" w:tblpY="1"/>
        <w:tblW w:w="9980" w:type="dxa"/>
        <w:tblLook w:val="0420" w:firstRow="1" w:lastRow="0" w:firstColumn="0" w:lastColumn="0" w:noHBand="0" w:noVBand="1"/>
      </w:tblPr>
      <w:tblGrid>
        <w:gridCol w:w="2742"/>
        <w:gridCol w:w="2073"/>
        <w:gridCol w:w="5165"/>
      </w:tblGrid>
      <w:tr w:rsidR="00EB4485" w:rsidRPr="00116383" w14:paraId="07472E6A" w14:textId="77777777" w:rsidTr="00227854">
        <w:trPr>
          <w:cnfStyle w:val="100000000000" w:firstRow="1" w:lastRow="0" w:firstColumn="0" w:lastColumn="0" w:oddVBand="0" w:evenVBand="0" w:oddHBand="0" w:evenHBand="0" w:firstRowFirstColumn="0" w:firstRowLastColumn="0" w:lastRowFirstColumn="0" w:lastRowLastColumn="0"/>
          <w:trHeight w:val="80"/>
          <w:tblHeader/>
        </w:trPr>
        <w:tc>
          <w:tcPr>
            <w:tcW w:w="9980" w:type="dxa"/>
            <w:gridSpan w:val="3"/>
            <w:tcMar>
              <w:top w:w="57" w:type="dxa"/>
              <w:left w:w="57" w:type="dxa"/>
              <w:bottom w:w="57" w:type="dxa"/>
              <w:right w:w="57" w:type="dxa"/>
            </w:tcMar>
          </w:tcPr>
          <w:p w14:paraId="03E87117" w14:textId="77777777" w:rsidR="00EB4485" w:rsidRPr="006A54C1" w:rsidRDefault="00FB24D0" w:rsidP="006A54C1">
            <w:pPr>
              <w:spacing w:before="40" w:after="40"/>
              <w:jc w:val="left"/>
              <w:rPr>
                <w:rFonts w:ascii="Calibri" w:eastAsia="Calibri" w:hAnsi="Calibri" w:cs="Calibri"/>
                <w:b w:val="0"/>
                <w:bCs w:val="0"/>
                <w:noProof/>
                <w:color w:val="0070C0"/>
                <w:sz w:val="20"/>
                <w:szCs w:val="20"/>
              </w:rPr>
            </w:pPr>
            <w:bookmarkStart w:id="54" w:name="_Hlk93311458"/>
            <w:r>
              <w:rPr>
                <w:rFonts w:ascii="Calibri" w:eastAsia="Calibri" w:hAnsi="Calibri" w:cs="Calibri"/>
                <w:b w:val="0"/>
                <w:bCs w:val="0"/>
                <w:i/>
                <w:noProof/>
                <w:color w:val="0070C0"/>
                <w:sz w:val="20"/>
                <w:szCs w:val="20"/>
              </w:rPr>
              <w:t xml:space="preserve">EASA Basic Regulation and related Implementing and Delegated </w:t>
            </w:r>
            <w:r w:rsidR="00EB73CA">
              <w:rPr>
                <w:rFonts w:ascii="Calibri" w:eastAsia="Calibri" w:hAnsi="Calibri" w:cs="Calibri"/>
                <w:b w:val="0"/>
                <w:bCs w:val="0"/>
                <w:i/>
                <w:noProof/>
                <w:color w:val="0070C0"/>
                <w:sz w:val="20"/>
                <w:szCs w:val="20"/>
              </w:rPr>
              <w:t xml:space="preserve">Regulations </w:t>
            </w:r>
          </w:p>
        </w:tc>
      </w:tr>
      <w:tr w:rsidR="00EB4485" w:rsidRPr="00F5121A" w14:paraId="607F3E33" w14:textId="77777777" w:rsidTr="006A54C1">
        <w:trPr>
          <w:cnfStyle w:val="000000100000" w:firstRow="0" w:lastRow="0" w:firstColumn="0" w:lastColumn="0" w:oddVBand="0" w:evenVBand="0" w:oddHBand="1" w:evenHBand="0" w:firstRowFirstColumn="0" w:firstRowLastColumn="0" w:lastRowFirstColumn="0" w:lastRowLastColumn="0"/>
          <w:trHeight w:val="51"/>
        </w:trPr>
        <w:tc>
          <w:tcPr>
            <w:tcW w:w="2742" w:type="dxa"/>
            <w:tcMar>
              <w:top w:w="57" w:type="dxa"/>
              <w:left w:w="57" w:type="dxa"/>
              <w:bottom w:w="57" w:type="dxa"/>
              <w:right w:w="57" w:type="dxa"/>
            </w:tcMar>
          </w:tcPr>
          <w:p w14:paraId="50CC4EAE" w14:textId="77777777" w:rsidR="00EB4485" w:rsidRDefault="00E001AA" w:rsidP="00EB4485">
            <w:pPr>
              <w:spacing w:before="40" w:after="40"/>
              <w:jc w:val="left"/>
              <w:rPr>
                <w:noProof/>
              </w:rPr>
            </w:pPr>
            <w:hyperlink r:id="rId20" w:anchor="regulations-basic-regulation" w:history="1">
              <w:r w:rsidR="00EB4485" w:rsidRPr="00F5121A">
                <w:rPr>
                  <w:rFonts w:ascii="Calibri" w:eastAsia="Calibri" w:hAnsi="Calibri" w:cs="Calibri"/>
                  <w:b/>
                  <w:noProof/>
                  <w:color w:val="0563C1"/>
                  <w:sz w:val="18"/>
                  <w:szCs w:val="18"/>
                  <w:u w:val="single"/>
                </w:rPr>
                <w:t>Basic Regulation</w:t>
              </w:r>
            </w:hyperlink>
          </w:p>
        </w:tc>
        <w:tc>
          <w:tcPr>
            <w:tcW w:w="2073" w:type="dxa"/>
            <w:tcMar>
              <w:top w:w="57" w:type="dxa"/>
              <w:left w:w="57" w:type="dxa"/>
              <w:bottom w:w="57" w:type="dxa"/>
              <w:right w:w="57" w:type="dxa"/>
            </w:tcMar>
          </w:tcPr>
          <w:p w14:paraId="48F34F90" w14:textId="77777777" w:rsidR="00EB4485" w:rsidRPr="00F5121A" w:rsidRDefault="00EB4485" w:rsidP="00EB4485">
            <w:pPr>
              <w:spacing w:before="40" w:after="40"/>
              <w:jc w:val="left"/>
              <w:rPr>
                <w:rFonts w:ascii="Calibri" w:eastAsia="Calibri" w:hAnsi="Calibri" w:cs="Calibri"/>
                <w:noProof/>
                <w:sz w:val="18"/>
                <w:szCs w:val="18"/>
              </w:rPr>
            </w:pPr>
            <w:r w:rsidRPr="00F5121A">
              <w:rPr>
                <w:rFonts w:ascii="Calibri" w:eastAsia="Calibri" w:hAnsi="Calibri" w:cs="Calibri"/>
                <w:noProof/>
                <w:sz w:val="18"/>
                <w:szCs w:val="18"/>
              </w:rPr>
              <w:t>(EU) 2018/1139</w:t>
            </w:r>
          </w:p>
        </w:tc>
        <w:tc>
          <w:tcPr>
            <w:tcW w:w="5165" w:type="dxa"/>
            <w:tcMar>
              <w:top w:w="57" w:type="dxa"/>
              <w:left w:w="57" w:type="dxa"/>
              <w:bottom w:w="57" w:type="dxa"/>
              <w:right w:w="57" w:type="dxa"/>
            </w:tcMar>
          </w:tcPr>
          <w:p w14:paraId="394025CC" w14:textId="77777777" w:rsidR="00EB4485" w:rsidRPr="006A54C1" w:rsidRDefault="00EB4485" w:rsidP="006A54C1">
            <w:pPr>
              <w:spacing w:before="40" w:after="40"/>
              <w:jc w:val="left"/>
              <w:rPr>
                <w:rFonts w:ascii="Calibri" w:eastAsia="Calibri" w:hAnsi="Calibri" w:cs="Calibri"/>
                <w:noProof/>
                <w:sz w:val="18"/>
                <w:szCs w:val="18"/>
              </w:rPr>
            </w:pPr>
            <w:r w:rsidRPr="006A54C1">
              <w:rPr>
                <w:rFonts w:ascii="Calibri" w:eastAsia="Calibri" w:hAnsi="Calibri" w:cs="Calibri"/>
                <w:noProof/>
                <w:sz w:val="18"/>
                <w:szCs w:val="18"/>
              </w:rPr>
              <w:t>Annex I: Aircraft referred to in point (d) of Article 2(3)</w:t>
            </w:r>
          </w:p>
          <w:p w14:paraId="6CF6DED2" w14:textId="77777777" w:rsidR="00EB4485" w:rsidRPr="006A54C1" w:rsidRDefault="00EB4485" w:rsidP="006A54C1">
            <w:pPr>
              <w:spacing w:before="40" w:after="40"/>
              <w:jc w:val="left"/>
              <w:rPr>
                <w:rFonts w:ascii="Calibri" w:eastAsia="Calibri" w:hAnsi="Calibri" w:cs="Calibri"/>
                <w:noProof/>
                <w:sz w:val="18"/>
                <w:szCs w:val="18"/>
              </w:rPr>
            </w:pPr>
            <w:r w:rsidRPr="006A54C1">
              <w:rPr>
                <w:rFonts w:ascii="Calibri" w:eastAsia="Calibri" w:hAnsi="Calibri" w:cs="Calibri"/>
                <w:noProof/>
                <w:sz w:val="18"/>
                <w:szCs w:val="18"/>
              </w:rPr>
              <w:t>Annex II: Essential Requirements for Airworthiness</w:t>
            </w:r>
          </w:p>
          <w:p w14:paraId="55CF04B7" w14:textId="77777777" w:rsidR="00EB4485" w:rsidRPr="006A54C1" w:rsidRDefault="00EB4485" w:rsidP="00EB4485">
            <w:pPr>
              <w:spacing w:before="40" w:after="40"/>
              <w:jc w:val="left"/>
              <w:rPr>
                <w:rFonts w:ascii="Calibri" w:eastAsia="Calibri" w:hAnsi="Calibri" w:cs="Calibri"/>
                <w:noProof/>
                <w:sz w:val="18"/>
                <w:szCs w:val="18"/>
              </w:rPr>
            </w:pPr>
            <w:r w:rsidRPr="006A54C1">
              <w:rPr>
                <w:rFonts w:ascii="Calibri" w:eastAsia="Calibri" w:hAnsi="Calibri" w:cs="Calibri"/>
                <w:noProof/>
                <w:sz w:val="18"/>
                <w:szCs w:val="18"/>
              </w:rPr>
              <w:t>Annex III: Essential Requirements for Environmental Compatibility related to Products</w:t>
            </w:r>
          </w:p>
          <w:p w14:paraId="01F4C603" w14:textId="77777777" w:rsidR="00EB4485" w:rsidRPr="006A54C1" w:rsidRDefault="00EB4485" w:rsidP="00EB4485">
            <w:pPr>
              <w:spacing w:before="40" w:after="40"/>
              <w:jc w:val="left"/>
              <w:rPr>
                <w:rFonts w:ascii="Calibri" w:eastAsia="Calibri" w:hAnsi="Calibri" w:cs="Calibri"/>
                <w:noProof/>
                <w:sz w:val="18"/>
                <w:szCs w:val="18"/>
              </w:rPr>
            </w:pPr>
            <w:r w:rsidRPr="006A54C1">
              <w:rPr>
                <w:rFonts w:ascii="Calibri" w:eastAsia="Calibri" w:hAnsi="Calibri" w:cs="Calibri"/>
                <w:noProof/>
                <w:sz w:val="18"/>
                <w:szCs w:val="18"/>
              </w:rPr>
              <w:t>Annex IV: Essential Requirements for Aircrew</w:t>
            </w:r>
          </w:p>
          <w:p w14:paraId="265D194A" w14:textId="77777777" w:rsidR="00EB4485" w:rsidRPr="006A54C1" w:rsidRDefault="00EB4485" w:rsidP="00EB4485">
            <w:pPr>
              <w:spacing w:before="40" w:after="40"/>
              <w:jc w:val="left"/>
              <w:rPr>
                <w:rFonts w:ascii="Calibri" w:eastAsia="Calibri" w:hAnsi="Calibri" w:cs="Calibri"/>
                <w:noProof/>
                <w:sz w:val="18"/>
                <w:szCs w:val="18"/>
              </w:rPr>
            </w:pPr>
            <w:r w:rsidRPr="006A54C1">
              <w:rPr>
                <w:rFonts w:ascii="Calibri" w:eastAsia="Calibri" w:hAnsi="Calibri" w:cs="Calibri"/>
                <w:noProof/>
                <w:sz w:val="18"/>
                <w:szCs w:val="18"/>
              </w:rPr>
              <w:t>Annex V: Essential Requirements for Air Operations</w:t>
            </w:r>
          </w:p>
          <w:p w14:paraId="5C9FE833" w14:textId="77777777" w:rsidR="00EB4485" w:rsidRPr="006A54C1" w:rsidRDefault="00EB4485" w:rsidP="00EB4485">
            <w:pPr>
              <w:spacing w:before="40" w:after="40"/>
              <w:jc w:val="left"/>
              <w:rPr>
                <w:rFonts w:ascii="Calibri" w:eastAsia="Calibri" w:hAnsi="Calibri" w:cs="Calibri"/>
                <w:noProof/>
                <w:sz w:val="18"/>
                <w:szCs w:val="18"/>
              </w:rPr>
            </w:pPr>
            <w:r w:rsidRPr="006A54C1">
              <w:rPr>
                <w:rFonts w:ascii="Calibri" w:eastAsia="Calibri" w:hAnsi="Calibri" w:cs="Calibri"/>
                <w:noProof/>
                <w:sz w:val="18"/>
                <w:szCs w:val="18"/>
              </w:rPr>
              <w:t>Annex VI: Essential Requirements for Qualified Entities</w:t>
            </w:r>
          </w:p>
          <w:p w14:paraId="7D9BE5D5" w14:textId="77777777" w:rsidR="00EB4485" w:rsidRPr="006A54C1" w:rsidRDefault="00EB4485" w:rsidP="00EB4485">
            <w:pPr>
              <w:spacing w:before="40" w:after="40"/>
              <w:jc w:val="left"/>
              <w:rPr>
                <w:rFonts w:ascii="Calibri" w:eastAsia="Calibri" w:hAnsi="Calibri" w:cs="Calibri"/>
                <w:noProof/>
                <w:sz w:val="18"/>
                <w:szCs w:val="18"/>
              </w:rPr>
            </w:pPr>
            <w:r w:rsidRPr="006A54C1">
              <w:rPr>
                <w:rFonts w:ascii="Calibri" w:eastAsia="Calibri" w:hAnsi="Calibri" w:cs="Calibri"/>
                <w:noProof/>
                <w:sz w:val="18"/>
                <w:szCs w:val="18"/>
              </w:rPr>
              <w:t>Annex VII: Essential Requirements for Aerodromes</w:t>
            </w:r>
          </w:p>
          <w:p w14:paraId="60CD1F80" w14:textId="77777777" w:rsidR="00EB4485" w:rsidRPr="006A54C1" w:rsidRDefault="00EB4485" w:rsidP="00EB4485">
            <w:pPr>
              <w:spacing w:before="40" w:after="40"/>
              <w:jc w:val="left"/>
              <w:rPr>
                <w:rFonts w:ascii="Calibri" w:eastAsia="Calibri" w:hAnsi="Calibri" w:cs="Calibri"/>
                <w:noProof/>
                <w:sz w:val="18"/>
                <w:szCs w:val="18"/>
              </w:rPr>
            </w:pPr>
            <w:r w:rsidRPr="006A54C1">
              <w:rPr>
                <w:rFonts w:ascii="Calibri" w:eastAsia="Calibri" w:hAnsi="Calibri" w:cs="Calibri"/>
                <w:noProof/>
                <w:sz w:val="18"/>
                <w:szCs w:val="18"/>
              </w:rPr>
              <w:t>Annex VIII: Essential Requirements for ATM/ANS and Air Traffic Controllers</w:t>
            </w:r>
          </w:p>
          <w:p w14:paraId="383E6CE8" w14:textId="77777777" w:rsidR="00EB4485" w:rsidRPr="006A54C1" w:rsidRDefault="00EB4485" w:rsidP="00EB4485">
            <w:pPr>
              <w:spacing w:before="40" w:after="40"/>
              <w:jc w:val="left"/>
              <w:rPr>
                <w:rFonts w:ascii="Calibri" w:eastAsia="Calibri" w:hAnsi="Calibri" w:cs="Calibri"/>
                <w:noProof/>
                <w:sz w:val="18"/>
                <w:szCs w:val="18"/>
              </w:rPr>
            </w:pPr>
            <w:r w:rsidRPr="006A54C1">
              <w:rPr>
                <w:rFonts w:ascii="Calibri" w:eastAsia="Calibri" w:hAnsi="Calibri" w:cs="Calibri"/>
                <w:noProof/>
                <w:sz w:val="18"/>
                <w:szCs w:val="18"/>
              </w:rPr>
              <w:t>Annex IX: Essential Requirements for Unmanned Aircraft</w:t>
            </w:r>
          </w:p>
          <w:p w14:paraId="4DE4E057" w14:textId="77777777" w:rsidR="00EB4485" w:rsidRPr="00F5121A" w:rsidRDefault="00EB4485" w:rsidP="00EB4485">
            <w:pPr>
              <w:spacing w:before="40" w:after="40"/>
              <w:jc w:val="left"/>
              <w:rPr>
                <w:rFonts w:ascii="Calibri" w:eastAsia="Calibri" w:hAnsi="Calibri" w:cs="Calibri"/>
                <w:noProof/>
                <w:sz w:val="18"/>
                <w:szCs w:val="18"/>
              </w:rPr>
            </w:pPr>
            <w:r w:rsidRPr="006A54C1">
              <w:rPr>
                <w:rFonts w:ascii="Calibri" w:eastAsia="Calibri" w:hAnsi="Calibri" w:cs="Calibri"/>
                <w:noProof/>
                <w:sz w:val="18"/>
                <w:szCs w:val="18"/>
              </w:rPr>
              <w:t>Annex X: Correlation Table</w:t>
            </w:r>
            <w:r>
              <w:rPr>
                <w:rFonts w:ascii="Calibri" w:eastAsia="Calibri" w:hAnsi="Calibri" w:cs="Calibri"/>
                <w:b/>
                <w:bCs/>
                <w:noProof/>
                <w:color w:val="0070C0"/>
                <w:sz w:val="20"/>
                <w:szCs w:val="20"/>
              </w:rPr>
              <w:t xml:space="preserve"> </w:t>
            </w:r>
          </w:p>
        </w:tc>
      </w:tr>
      <w:tr w:rsidR="00EB4485" w:rsidRPr="00F5121A" w14:paraId="1627875A" w14:textId="77777777" w:rsidTr="006A54C1">
        <w:trPr>
          <w:trHeight w:val="51"/>
        </w:trPr>
        <w:tc>
          <w:tcPr>
            <w:tcW w:w="2742" w:type="dxa"/>
            <w:tcMar>
              <w:top w:w="57" w:type="dxa"/>
              <w:left w:w="57" w:type="dxa"/>
              <w:bottom w:w="57" w:type="dxa"/>
              <w:right w:w="57" w:type="dxa"/>
            </w:tcMar>
            <w:hideMark/>
          </w:tcPr>
          <w:p w14:paraId="0C820724" w14:textId="77777777" w:rsidR="00EB4485" w:rsidRPr="00F5121A" w:rsidRDefault="00E001AA" w:rsidP="00EB4485">
            <w:pPr>
              <w:spacing w:before="40" w:after="40"/>
              <w:jc w:val="left"/>
              <w:rPr>
                <w:rFonts w:ascii="Calibri" w:eastAsia="Calibri" w:hAnsi="Calibri" w:cs="Calibri"/>
                <w:b/>
                <w:noProof/>
                <w:sz w:val="18"/>
                <w:szCs w:val="18"/>
              </w:rPr>
            </w:pPr>
            <w:hyperlink r:id="rId21" w:anchor="regulations-initial-airworthiness" w:history="1">
              <w:r w:rsidR="00EB4485" w:rsidRPr="00F5121A">
                <w:rPr>
                  <w:rFonts w:ascii="Calibri" w:eastAsia="Calibri" w:hAnsi="Calibri" w:cs="Calibri"/>
                  <w:b/>
                  <w:noProof/>
                  <w:color w:val="0563C1"/>
                  <w:sz w:val="18"/>
                  <w:szCs w:val="18"/>
                  <w:u w:val="single"/>
                </w:rPr>
                <w:t>Initial Airworthiness</w:t>
              </w:r>
            </w:hyperlink>
          </w:p>
        </w:tc>
        <w:tc>
          <w:tcPr>
            <w:tcW w:w="2073" w:type="dxa"/>
            <w:tcMar>
              <w:top w:w="57" w:type="dxa"/>
              <w:left w:w="57" w:type="dxa"/>
              <w:bottom w:w="57" w:type="dxa"/>
              <w:right w:w="57" w:type="dxa"/>
            </w:tcMar>
            <w:hideMark/>
          </w:tcPr>
          <w:p w14:paraId="7358B708" w14:textId="32F483E6" w:rsidR="00EB4485" w:rsidRPr="00F5121A" w:rsidRDefault="00EB4485" w:rsidP="00303781">
            <w:pPr>
              <w:spacing w:before="40" w:after="40"/>
              <w:jc w:val="left"/>
              <w:rPr>
                <w:rFonts w:ascii="Calibri" w:eastAsia="Calibri" w:hAnsi="Calibri" w:cs="Calibri"/>
                <w:noProof/>
                <w:sz w:val="18"/>
                <w:szCs w:val="18"/>
              </w:rPr>
            </w:pPr>
            <w:r w:rsidRPr="00F5121A">
              <w:rPr>
                <w:rFonts w:ascii="Calibri" w:eastAsia="Calibri" w:hAnsi="Calibri" w:cs="Calibri"/>
                <w:noProof/>
                <w:sz w:val="18"/>
                <w:szCs w:val="18"/>
              </w:rPr>
              <w:t xml:space="preserve">IR: (EU) </w:t>
            </w:r>
            <w:r w:rsidR="002656F3">
              <w:rPr>
                <w:rFonts w:ascii="Calibri" w:eastAsia="Calibri" w:hAnsi="Calibri" w:cs="Calibri"/>
                <w:noProof/>
                <w:sz w:val="18"/>
                <w:szCs w:val="18"/>
              </w:rPr>
              <w:t xml:space="preserve">No </w:t>
            </w:r>
            <w:r w:rsidRPr="00F5121A">
              <w:rPr>
                <w:rFonts w:ascii="Calibri" w:eastAsia="Calibri" w:hAnsi="Calibri" w:cs="Calibri"/>
                <w:noProof/>
                <w:sz w:val="18"/>
                <w:szCs w:val="18"/>
              </w:rPr>
              <w:t>748/2012</w:t>
            </w:r>
          </w:p>
        </w:tc>
        <w:tc>
          <w:tcPr>
            <w:tcW w:w="5165" w:type="dxa"/>
            <w:tcMar>
              <w:top w:w="57" w:type="dxa"/>
              <w:left w:w="57" w:type="dxa"/>
              <w:bottom w:w="57" w:type="dxa"/>
              <w:right w:w="57" w:type="dxa"/>
            </w:tcMar>
          </w:tcPr>
          <w:p w14:paraId="2D72AEA2" w14:textId="77777777" w:rsidR="00EB4485" w:rsidRPr="00F5121A" w:rsidRDefault="00EB4485" w:rsidP="00EB4485">
            <w:pPr>
              <w:spacing w:before="40" w:after="40"/>
              <w:jc w:val="left"/>
              <w:rPr>
                <w:rFonts w:ascii="Calibri" w:eastAsia="Calibri" w:hAnsi="Calibri" w:cs="Calibri"/>
                <w:noProof/>
                <w:sz w:val="18"/>
                <w:szCs w:val="18"/>
              </w:rPr>
            </w:pPr>
            <w:r w:rsidRPr="00F5121A">
              <w:rPr>
                <w:rFonts w:ascii="Calibri" w:eastAsia="Calibri" w:hAnsi="Calibri" w:cs="Calibri"/>
                <w:noProof/>
                <w:sz w:val="18"/>
                <w:szCs w:val="18"/>
              </w:rPr>
              <w:t>Annex I: Part 21</w:t>
            </w:r>
          </w:p>
          <w:p w14:paraId="23A25917" w14:textId="77777777" w:rsidR="00EB4485" w:rsidRPr="00F5121A" w:rsidRDefault="00EB4485" w:rsidP="00EB4485">
            <w:pPr>
              <w:spacing w:before="40" w:after="40"/>
              <w:jc w:val="left"/>
              <w:rPr>
                <w:rFonts w:ascii="Calibri" w:eastAsia="Calibri" w:hAnsi="Calibri" w:cs="Calibri"/>
                <w:noProof/>
                <w:sz w:val="18"/>
                <w:szCs w:val="18"/>
              </w:rPr>
            </w:pPr>
            <w:r w:rsidRPr="00F5121A">
              <w:rPr>
                <w:rFonts w:ascii="Calibri" w:eastAsia="Calibri" w:hAnsi="Calibri" w:cs="Calibri"/>
                <w:noProof/>
                <w:sz w:val="18"/>
                <w:szCs w:val="18"/>
              </w:rPr>
              <w:t>Annex II: Repealed Regulation – list of amendments</w:t>
            </w:r>
          </w:p>
          <w:p w14:paraId="264091D6" w14:textId="77777777" w:rsidR="00EB4485" w:rsidRPr="00F5121A" w:rsidRDefault="00EB4485" w:rsidP="00EB4485">
            <w:pPr>
              <w:spacing w:before="40" w:after="40"/>
              <w:jc w:val="left"/>
              <w:rPr>
                <w:rFonts w:ascii="Calibri" w:eastAsia="Calibri" w:hAnsi="Calibri" w:cs="Calibri"/>
                <w:noProof/>
                <w:sz w:val="18"/>
                <w:szCs w:val="18"/>
              </w:rPr>
            </w:pPr>
            <w:r w:rsidRPr="00F5121A">
              <w:rPr>
                <w:rFonts w:ascii="Calibri" w:eastAsia="Calibri" w:hAnsi="Calibri" w:cs="Calibri"/>
                <w:noProof/>
                <w:sz w:val="18"/>
                <w:szCs w:val="18"/>
              </w:rPr>
              <w:t xml:space="preserve">Annex III: Correlation </w:t>
            </w:r>
            <w:r w:rsidR="00504D32">
              <w:rPr>
                <w:rFonts w:ascii="Calibri" w:eastAsia="Calibri" w:hAnsi="Calibri" w:cs="Calibri"/>
                <w:noProof/>
                <w:sz w:val="18"/>
                <w:szCs w:val="18"/>
              </w:rPr>
              <w:t>T</w:t>
            </w:r>
            <w:r w:rsidRPr="00F5121A">
              <w:rPr>
                <w:rFonts w:ascii="Calibri" w:eastAsia="Calibri" w:hAnsi="Calibri" w:cs="Calibri"/>
                <w:noProof/>
                <w:sz w:val="18"/>
                <w:szCs w:val="18"/>
              </w:rPr>
              <w:t>able</w:t>
            </w:r>
          </w:p>
        </w:tc>
      </w:tr>
      <w:tr w:rsidR="00EB4485" w:rsidRPr="00F5121A" w14:paraId="05AA547A" w14:textId="77777777" w:rsidTr="006A54C1">
        <w:trPr>
          <w:cnfStyle w:val="000000100000" w:firstRow="0" w:lastRow="0" w:firstColumn="0" w:lastColumn="0" w:oddVBand="0" w:evenVBand="0" w:oddHBand="1" w:evenHBand="0" w:firstRowFirstColumn="0" w:firstRowLastColumn="0" w:lastRowFirstColumn="0" w:lastRowLastColumn="0"/>
          <w:trHeight w:val="166"/>
        </w:trPr>
        <w:tc>
          <w:tcPr>
            <w:tcW w:w="2742" w:type="dxa"/>
            <w:tcMar>
              <w:top w:w="57" w:type="dxa"/>
              <w:left w:w="57" w:type="dxa"/>
              <w:bottom w:w="57" w:type="dxa"/>
              <w:right w:w="57" w:type="dxa"/>
            </w:tcMar>
            <w:hideMark/>
          </w:tcPr>
          <w:p w14:paraId="05803B8D" w14:textId="77777777" w:rsidR="00EB4485" w:rsidRPr="00F5121A" w:rsidRDefault="00E001AA" w:rsidP="00EB4485">
            <w:pPr>
              <w:spacing w:before="40" w:after="40"/>
              <w:jc w:val="left"/>
              <w:rPr>
                <w:rFonts w:ascii="Calibri" w:eastAsia="Calibri" w:hAnsi="Calibri" w:cs="Calibri"/>
                <w:b/>
                <w:noProof/>
                <w:sz w:val="18"/>
                <w:szCs w:val="18"/>
              </w:rPr>
            </w:pPr>
            <w:hyperlink r:id="rId22" w:anchor="regulations-additional-airworthiness-specifications" w:history="1">
              <w:r w:rsidR="00EB4485" w:rsidRPr="00F5121A">
                <w:rPr>
                  <w:rFonts w:ascii="Calibri" w:eastAsia="Calibri" w:hAnsi="Calibri" w:cs="Calibri"/>
                  <w:b/>
                  <w:noProof/>
                  <w:color w:val="0563C1"/>
                  <w:sz w:val="18"/>
                  <w:szCs w:val="18"/>
                  <w:u w:val="single"/>
                </w:rPr>
                <w:t>Additional airworthiness specifications for operations</w:t>
              </w:r>
            </w:hyperlink>
          </w:p>
        </w:tc>
        <w:tc>
          <w:tcPr>
            <w:tcW w:w="2073" w:type="dxa"/>
            <w:tcMar>
              <w:top w:w="57" w:type="dxa"/>
              <w:left w:w="57" w:type="dxa"/>
              <w:bottom w:w="57" w:type="dxa"/>
              <w:right w:w="57" w:type="dxa"/>
            </w:tcMar>
            <w:hideMark/>
          </w:tcPr>
          <w:p w14:paraId="23793803" w14:textId="77777777" w:rsidR="00EB4485" w:rsidRPr="00F5121A" w:rsidRDefault="00EB4485" w:rsidP="00EB4485">
            <w:pPr>
              <w:spacing w:before="40" w:after="40"/>
              <w:jc w:val="left"/>
              <w:rPr>
                <w:rFonts w:ascii="Calibri" w:eastAsia="Calibri" w:hAnsi="Calibri" w:cs="Calibri"/>
                <w:noProof/>
                <w:sz w:val="18"/>
                <w:szCs w:val="18"/>
              </w:rPr>
            </w:pPr>
            <w:r w:rsidRPr="00F5121A">
              <w:rPr>
                <w:rFonts w:ascii="Calibri" w:eastAsia="Calibri" w:hAnsi="Calibri" w:cs="Calibri"/>
                <w:noProof/>
                <w:sz w:val="18"/>
                <w:szCs w:val="18"/>
              </w:rPr>
              <w:t>IR: (EU) 2015/640</w:t>
            </w:r>
          </w:p>
        </w:tc>
        <w:tc>
          <w:tcPr>
            <w:tcW w:w="5165" w:type="dxa"/>
            <w:tcMar>
              <w:top w:w="57" w:type="dxa"/>
              <w:left w:w="57" w:type="dxa"/>
              <w:bottom w:w="57" w:type="dxa"/>
              <w:right w:w="57" w:type="dxa"/>
            </w:tcMar>
          </w:tcPr>
          <w:p w14:paraId="7C668FDF" w14:textId="77777777" w:rsidR="00EB4485" w:rsidRPr="00F5121A" w:rsidRDefault="00EB4485" w:rsidP="00EB4485">
            <w:pPr>
              <w:spacing w:before="40" w:after="40"/>
              <w:jc w:val="left"/>
              <w:rPr>
                <w:rFonts w:ascii="Calibri" w:eastAsia="Calibri" w:hAnsi="Calibri" w:cs="Calibri"/>
                <w:noProof/>
                <w:sz w:val="18"/>
                <w:szCs w:val="18"/>
              </w:rPr>
            </w:pPr>
            <w:r w:rsidRPr="00F5121A">
              <w:rPr>
                <w:rFonts w:ascii="Calibri" w:eastAsia="Calibri" w:hAnsi="Calibri" w:cs="Calibri"/>
                <w:noProof/>
                <w:sz w:val="18"/>
                <w:szCs w:val="18"/>
              </w:rPr>
              <w:t>Annex I: Part-26</w:t>
            </w:r>
          </w:p>
        </w:tc>
      </w:tr>
      <w:tr w:rsidR="00EB4485" w:rsidRPr="00F5121A" w14:paraId="1DA28E0A" w14:textId="77777777" w:rsidTr="006A54C1">
        <w:trPr>
          <w:trHeight w:val="93"/>
        </w:trPr>
        <w:tc>
          <w:tcPr>
            <w:tcW w:w="2742" w:type="dxa"/>
            <w:tcMar>
              <w:top w:w="57" w:type="dxa"/>
              <w:left w:w="57" w:type="dxa"/>
              <w:bottom w:w="57" w:type="dxa"/>
              <w:right w:w="57" w:type="dxa"/>
            </w:tcMar>
            <w:hideMark/>
          </w:tcPr>
          <w:p w14:paraId="72778689" w14:textId="77777777" w:rsidR="00EB4485" w:rsidRPr="00F5121A" w:rsidRDefault="00E001AA" w:rsidP="00EB4485">
            <w:pPr>
              <w:spacing w:before="40" w:after="40"/>
              <w:jc w:val="left"/>
              <w:rPr>
                <w:rFonts w:ascii="Calibri" w:eastAsia="Calibri" w:hAnsi="Calibri" w:cs="Calibri"/>
                <w:b/>
                <w:noProof/>
                <w:sz w:val="18"/>
                <w:szCs w:val="18"/>
              </w:rPr>
            </w:pPr>
            <w:hyperlink r:id="rId23" w:anchor="regulations-continuing-airworthiness" w:history="1">
              <w:r w:rsidR="00EB4485" w:rsidRPr="00F5121A">
                <w:rPr>
                  <w:rFonts w:ascii="Calibri" w:eastAsia="Calibri" w:hAnsi="Calibri" w:cs="Calibri"/>
                  <w:b/>
                  <w:noProof/>
                  <w:color w:val="0563C1"/>
                  <w:sz w:val="18"/>
                  <w:szCs w:val="18"/>
                  <w:u w:val="single"/>
                </w:rPr>
                <w:t>Continuing airworthiness</w:t>
              </w:r>
            </w:hyperlink>
          </w:p>
        </w:tc>
        <w:tc>
          <w:tcPr>
            <w:tcW w:w="2073" w:type="dxa"/>
            <w:tcMar>
              <w:top w:w="57" w:type="dxa"/>
              <w:left w:w="57" w:type="dxa"/>
              <w:bottom w:w="57" w:type="dxa"/>
              <w:right w:w="57" w:type="dxa"/>
            </w:tcMar>
            <w:hideMark/>
          </w:tcPr>
          <w:p w14:paraId="6E713B24" w14:textId="5F048A1F" w:rsidR="00EB4485" w:rsidRPr="00F5121A" w:rsidRDefault="00EB4485" w:rsidP="00303781">
            <w:pPr>
              <w:spacing w:before="40" w:after="40"/>
              <w:jc w:val="left"/>
              <w:rPr>
                <w:rFonts w:ascii="Calibri" w:eastAsia="Calibri" w:hAnsi="Calibri" w:cs="Calibri"/>
                <w:noProof/>
                <w:sz w:val="18"/>
                <w:szCs w:val="18"/>
              </w:rPr>
            </w:pPr>
            <w:r w:rsidRPr="00F5121A">
              <w:rPr>
                <w:rFonts w:ascii="Calibri" w:eastAsia="Calibri" w:hAnsi="Calibri" w:cs="Calibri"/>
                <w:noProof/>
                <w:sz w:val="18"/>
                <w:szCs w:val="18"/>
              </w:rPr>
              <w:t xml:space="preserve">IR: (EU) </w:t>
            </w:r>
            <w:r w:rsidR="002656F3">
              <w:rPr>
                <w:rFonts w:ascii="Calibri" w:eastAsia="Calibri" w:hAnsi="Calibri" w:cs="Calibri"/>
                <w:noProof/>
                <w:sz w:val="18"/>
                <w:szCs w:val="18"/>
              </w:rPr>
              <w:t xml:space="preserve">No </w:t>
            </w:r>
            <w:r w:rsidRPr="00F5121A">
              <w:rPr>
                <w:rFonts w:ascii="Calibri" w:eastAsia="Calibri" w:hAnsi="Calibri" w:cs="Calibri"/>
                <w:noProof/>
                <w:sz w:val="18"/>
                <w:szCs w:val="18"/>
              </w:rPr>
              <w:t>1321/2014</w:t>
            </w:r>
          </w:p>
        </w:tc>
        <w:tc>
          <w:tcPr>
            <w:tcW w:w="5165" w:type="dxa"/>
            <w:tcMar>
              <w:top w:w="57" w:type="dxa"/>
              <w:left w:w="57" w:type="dxa"/>
              <w:bottom w:w="57" w:type="dxa"/>
              <w:right w:w="57" w:type="dxa"/>
            </w:tcMar>
          </w:tcPr>
          <w:p w14:paraId="08F6BA36" w14:textId="77777777" w:rsidR="00EB4485" w:rsidRPr="00081245" w:rsidRDefault="00EB4485" w:rsidP="00EB4485">
            <w:pPr>
              <w:spacing w:before="40" w:after="40"/>
              <w:jc w:val="left"/>
              <w:rPr>
                <w:rFonts w:ascii="Calibri" w:eastAsia="Calibri" w:hAnsi="Calibri" w:cs="Calibri"/>
                <w:noProof/>
                <w:sz w:val="18"/>
                <w:szCs w:val="18"/>
                <w:lang w:val="fr-FR"/>
              </w:rPr>
            </w:pPr>
            <w:r w:rsidRPr="00081245">
              <w:rPr>
                <w:rFonts w:ascii="Calibri" w:eastAsia="Calibri" w:hAnsi="Calibri" w:cs="Calibri"/>
                <w:noProof/>
                <w:sz w:val="18"/>
                <w:szCs w:val="18"/>
                <w:lang w:val="fr-FR"/>
              </w:rPr>
              <w:t>Annex I</w:t>
            </w:r>
            <w:r w:rsidR="00CD3CF1">
              <w:rPr>
                <w:rFonts w:ascii="Calibri" w:eastAsia="Calibri" w:hAnsi="Calibri" w:cs="Calibri"/>
                <w:noProof/>
                <w:sz w:val="18"/>
                <w:szCs w:val="18"/>
                <w:lang w:val="fr-FR"/>
              </w:rPr>
              <w:t> </w:t>
            </w:r>
            <w:r w:rsidRPr="00081245">
              <w:rPr>
                <w:rFonts w:ascii="Calibri" w:eastAsia="Calibri" w:hAnsi="Calibri" w:cs="Calibri"/>
                <w:noProof/>
                <w:sz w:val="18"/>
                <w:szCs w:val="18"/>
                <w:lang w:val="fr-FR"/>
              </w:rPr>
              <w:t>: Part-M</w:t>
            </w:r>
          </w:p>
          <w:p w14:paraId="7C524CE8" w14:textId="77777777" w:rsidR="00EB4485" w:rsidRPr="00081245" w:rsidRDefault="00EB4485" w:rsidP="00EB4485">
            <w:pPr>
              <w:spacing w:before="40" w:after="40"/>
              <w:jc w:val="left"/>
              <w:rPr>
                <w:rFonts w:ascii="Calibri" w:eastAsia="Calibri" w:hAnsi="Calibri" w:cs="Calibri"/>
                <w:noProof/>
                <w:sz w:val="18"/>
                <w:szCs w:val="18"/>
                <w:lang w:val="fr-FR"/>
              </w:rPr>
            </w:pPr>
            <w:r w:rsidRPr="00081245">
              <w:rPr>
                <w:rFonts w:ascii="Calibri" w:eastAsia="Calibri" w:hAnsi="Calibri" w:cs="Calibri"/>
                <w:noProof/>
                <w:sz w:val="18"/>
                <w:szCs w:val="18"/>
                <w:lang w:val="fr-FR"/>
              </w:rPr>
              <w:t>Annex II</w:t>
            </w:r>
            <w:r w:rsidR="00CD3CF1">
              <w:rPr>
                <w:rFonts w:ascii="Calibri" w:eastAsia="Calibri" w:hAnsi="Calibri" w:cs="Calibri"/>
                <w:noProof/>
                <w:sz w:val="18"/>
                <w:szCs w:val="18"/>
                <w:lang w:val="fr-FR"/>
              </w:rPr>
              <w:t> </w:t>
            </w:r>
            <w:r w:rsidRPr="00081245">
              <w:rPr>
                <w:rFonts w:ascii="Calibri" w:eastAsia="Calibri" w:hAnsi="Calibri" w:cs="Calibri"/>
                <w:noProof/>
                <w:sz w:val="18"/>
                <w:szCs w:val="18"/>
                <w:lang w:val="fr-FR"/>
              </w:rPr>
              <w:t>: Part-145</w:t>
            </w:r>
          </w:p>
          <w:p w14:paraId="7C5D4F52" w14:textId="77777777" w:rsidR="00EB4485" w:rsidRPr="00081245" w:rsidRDefault="00EB4485" w:rsidP="00EB4485">
            <w:pPr>
              <w:spacing w:before="40" w:after="40"/>
              <w:jc w:val="left"/>
              <w:rPr>
                <w:rFonts w:ascii="Calibri" w:eastAsia="Calibri" w:hAnsi="Calibri" w:cs="Calibri"/>
                <w:noProof/>
                <w:sz w:val="18"/>
                <w:szCs w:val="18"/>
                <w:lang w:val="fr-FR"/>
              </w:rPr>
            </w:pPr>
            <w:r w:rsidRPr="00081245">
              <w:rPr>
                <w:rFonts w:ascii="Calibri" w:eastAsia="Calibri" w:hAnsi="Calibri" w:cs="Calibri"/>
                <w:noProof/>
                <w:sz w:val="18"/>
                <w:szCs w:val="18"/>
                <w:lang w:val="fr-FR"/>
              </w:rPr>
              <w:t>Annex III</w:t>
            </w:r>
            <w:r w:rsidR="00CD3CF1">
              <w:rPr>
                <w:rFonts w:ascii="Calibri" w:eastAsia="Calibri" w:hAnsi="Calibri" w:cs="Calibri"/>
                <w:noProof/>
                <w:sz w:val="18"/>
                <w:szCs w:val="18"/>
                <w:lang w:val="fr-FR"/>
              </w:rPr>
              <w:t> </w:t>
            </w:r>
            <w:r w:rsidRPr="00081245">
              <w:rPr>
                <w:rFonts w:ascii="Calibri" w:eastAsia="Calibri" w:hAnsi="Calibri" w:cs="Calibri"/>
                <w:noProof/>
                <w:sz w:val="18"/>
                <w:szCs w:val="18"/>
                <w:lang w:val="fr-FR"/>
              </w:rPr>
              <w:t>: Part-66</w:t>
            </w:r>
          </w:p>
          <w:p w14:paraId="22B9047C" w14:textId="77777777" w:rsidR="00EB4485" w:rsidRPr="00081245" w:rsidRDefault="00EB4485" w:rsidP="00EB4485">
            <w:pPr>
              <w:spacing w:before="40" w:after="40"/>
              <w:jc w:val="left"/>
              <w:rPr>
                <w:rFonts w:ascii="Calibri" w:eastAsia="Calibri" w:hAnsi="Calibri" w:cs="Calibri"/>
                <w:noProof/>
                <w:sz w:val="18"/>
                <w:szCs w:val="18"/>
                <w:lang w:val="fr-FR"/>
              </w:rPr>
            </w:pPr>
            <w:r w:rsidRPr="00081245">
              <w:rPr>
                <w:rFonts w:ascii="Calibri" w:eastAsia="Calibri" w:hAnsi="Calibri" w:cs="Calibri"/>
                <w:noProof/>
                <w:sz w:val="18"/>
                <w:szCs w:val="18"/>
                <w:lang w:val="fr-FR"/>
              </w:rPr>
              <w:t>Annex IV</w:t>
            </w:r>
            <w:r w:rsidR="00CD3CF1">
              <w:rPr>
                <w:rFonts w:ascii="Calibri" w:eastAsia="Calibri" w:hAnsi="Calibri" w:cs="Calibri"/>
                <w:noProof/>
                <w:sz w:val="18"/>
                <w:szCs w:val="18"/>
                <w:lang w:val="fr-FR"/>
              </w:rPr>
              <w:t> </w:t>
            </w:r>
            <w:r w:rsidRPr="00081245">
              <w:rPr>
                <w:rFonts w:ascii="Calibri" w:eastAsia="Calibri" w:hAnsi="Calibri" w:cs="Calibri"/>
                <w:noProof/>
                <w:sz w:val="18"/>
                <w:szCs w:val="18"/>
                <w:lang w:val="fr-FR"/>
              </w:rPr>
              <w:t>: Part-147</w:t>
            </w:r>
          </w:p>
          <w:p w14:paraId="2EEDE117" w14:textId="77777777" w:rsidR="00EB4485" w:rsidRPr="00081245" w:rsidRDefault="00EB4485" w:rsidP="00EB4485">
            <w:pPr>
              <w:spacing w:before="40" w:after="40"/>
              <w:jc w:val="left"/>
              <w:rPr>
                <w:rFonts w:ascii="Calibri" w:eastAsia="Calibri" w:hAnsi="Calibri" w:cs="Calibri"/>
                <w:noProof/>
                <w:sz w:val="18"/>
                <w:szCs w:val="18"/>
                <w:lang w:val="fr-FR"/>
              </w:rPr>
            </w:pPr>
            <w:r w:rsidRPr="00081245">
              <w:rPr>
                <w:rFonts w:ascii="Calibri" w:eastAsia="Calibri" w:hAnsi="Calibri" w:cs="Calibri"/>
                <w:noProof/>
                <w:sz w:val="18"/>
                <w:szCs w:val="18"/>
                <w:lang w:val="fr-FR"/>
              </w:rPr>
              <w:t>Annex Va</w:t>
            </w:r>
            <w:r w:rsidR="00CD3CF1">
              <w:rPr>
                <w:rFonts w:ascii="Calibri" w:eastAsia="Calibri" w:hAnsi="Calibri" w:cs="Calibri"/>
                <w:noProof/>
                <w:sz w:val="18"/>
                <w:szCs w:val="18"/>
                <w:lang w:val="fr-FR"/>
              </w:rPr>
              <w:t> </w:t>
            </w:r>
            <w:r w:rsidRPr="00081245">
              <w:rPr>
                <w:rFonts w:ascii="Calibri" w:eastAsia="Calibri" w:hAnsi="Calibri" w:cs="Calibri"/>
                <w:noProof/>
                <w:sz w:val="18"/>
                <w:szCs w:val="18"/>
                <w:lang w:val="fr-FR"/>
              </w:rPr>
              <w:t>: Part-T</w:t>
            </w:r>
          </w:p>
          <w:p w14:paraId="76E0F33D" w14:textId="77777777" w:rsidR="00EB4485" w:rsidRPr="007C1A2D" w:rsidRDefault="00EB4485" w:rsidP="00EB4485">
            <w:pPr>
              <w:spacing w:before="40" w:after="40"/>
              <w:jc w:val="left"/>
              <w:rPr>
                <w:rFonts w:ascii="Calibri" w:eastAsia="Calibri" w:hAnsi="Calibri" w:cs="Calibri"/>
                <w:noProof/>
                <w:sz w:val="18"/>
                <w:szCs w:val="18"/>
                <w:lang w:val="fr-BE"/>
              </w:rPr>
            </w:pPr>
            <w:r w:rsidRPr="007C1A2D">
              <w:rPr>
                <w:rFonts w:ascii="Calibri" w:eastAsia="Calibri" w:hAnsi="Calibri" w:cs="Calibri"/>
                <w:noProof/>
                <w:sz w:val="18"/>
                <w:szCs w:val="18"/>
                <w:lang w:val="fr-BE"/>
              </w:rPr>
              <w:t>Annex Vb</w:t>
            </w:r>
            <w:r w:rsidR="00CD3CF1">
              <w:rPr>
                <w:rFonts w:ascii="Calibri" w:eastAsia="Calibri" w:hAnsi="Calibri" w:cs="Calibri"/>
                <w:noProof/>
                <w:sz w:val="18"/>
                <w:szCs w:val="18"/>
                <w:lang w:val="fr-BE"/>
              </w:rPr>
              <w:t> </w:t>
            </w:r>
            <w:r w:rsidRPr="007C1A2D">
              <w:rPr>
                <w:rFonts w:ascii="Calibri" w:eastAsia="Calibri" w:hAnsi="Calibri" w:cs="Calibri"/>
                <w:noProof/>
                <w:sz w:val="18"/>
                <w:szCs w:val="18"/>
                <w:lang w:val="fr-BE"/>
              </w:rPr>
              <w:t>: Part-ML</w:t>
            </w:r>
          </w:p>
          <w:p w14:paraId="2EE05ABB" w14:textId="77777777" w:rsidR="00EB4485" w:rsidRPr="00F5121A" w:rsidRDefault="00EB4485" w:rsidP="00EB4485">
            <w:pPr>
              <w:spacing w:before="40" w:after="40"/>
              <w:jc w:val="left"/>
              <w:rPr>
                <w:rFonts w:ascii="Calibri" w:eastAsia="Calibri" w:hAnsi="Calibri" w:cs="Calibri"/>
                <w:noProof/>
                <w:sz w:val="18"/>
                <w:szCs w:val="18"/>
              </w:rPr>
            </w:pPr>
            <w:r w:rsidRPr="00F5121A">
              <w:rPr>
                <w:rFonts w:ascii="Calibri" w:eastAsia="Calibri" w:hAnsi="Calibri" w:cs="Calibri"/>
                <w:noProof/>
                <w:sz w:val="18"/>
                <w:szCs w:val="18"/>
              </w:rPr>
              <w:t>Annex Vc: Part-CAMO</w:t>
            </w:r>
          </w:p>
          <w:p w14:paraId="70057D3D" w14:textId="77777777" w:rsidR="00EB4485" w:rsidRPr="00F5121A" w:rsidRDefault="00EB4485" w:rsidP="00EB4485">
            <w:pPr>
              <w:spacing w:before="40" w:after="40"/>
              <w:jc w:val="left"/>
              <w:rPr>
                <w:rFonts w:ascii="Calibri" w:eastAsia="Calibri" w:hAnsi="Calibri" w:cs="Calibri"/>
                <w:noProof/>
                <w:sz w:val="18"/>
                <w:szCs w:val="18"/>
              </w:rPr>
            </w:pPr>
            <w:r w:rsidRPr="00F5121A">
              <w:rPr>
                <w:rFonts w:ascii="Calibri" w:eastAsia="Calibri" w:hAnsi="Calibri" w:cs="Calibri"/>
                <w:noProof/>
                <w:sz w:val="18"/>
                <w:szCs w:val="18"/>
              </w:rPr>
              <w:t>Annex Vd: Part-CAO</w:t>
            </w:r>
          </w:p>
        </w:tc>
      </w:tr>
      <w:tr w:rsidR="00EB4485" w:rsidRPr="000A2F9E" w14:paraId="251BB47E" w14:textId="77777777" w:rsidTr="006A54C1">
        <w:trPr>
          <w:cnfStyle w:val="000000100000" w:firstRow="0" w:lastRow="0" w:firstColumn="0" w:lastColumn="0" w:oddVBand="0" w:evenVBand="0" w:oddHBand="1" w:evenHBand="0" w:firstRowFirstColumn="0" w:firstRowLastColumn="0" w:lastRowFirstColumn="0" w:lastRowLastColumn="0"/>
          <w:trHeight w:val="127"/>
        </w:trPr>
        <w:tc>
          <w:tcPr>
            <w:tcW w:w="2742" w:type="dxa"/>
            <w:tcMar>
              <w:top w:w="57" w:type="dxa"/>
              <w:left w:w="57" w:type="dxa"/>
              <w:bottom w:w="57" w:type="dxa"/>
              <w:right w:w="57" w:type="dxa"/>
            </w:tcMar>
            <w:hideMark/>
          </w:tcPr>
          <w:p w14:paraId="002FD94C" w14:textId="77777777" w:rsidR="00EB4485" w:rsidRPr="00F5121A" w:rsidRDefault="00E001AA" w:rsidP="00EB4485">
            <w:pPr>
              <w:spacing w:before="40" w:after="40"/>
              <w:jc w:val="left"/>
              <w:rPr>
                <w:rFonts w:ascii="Calibri" w:eastAsia="Calibri" w:hAnsi="Calibri" w:cs="Calibri"/>
                <w:b/>
                <w:noProof/>
                <w:sz w:val="18"/>
                <w:szCs w:val="18"/>
              </w:rPr>
            </w:pPr>
            <w:hyperlink r:id="rId24" w:anchor="regulations-aircrew" w:history="1">
              <w:r w:rsidR="00EB4485" w:rsidRPr="00F5121A">
                <w:rPr>
                  <w:rFonts w:ascii="Calibri" w:eastAsia="Calibri" w:hAnsi="Calibri" w:cs="Calibri"/>
                  <w:b/>
                  <w:noProof/>
                  <w:color w:val="0563C1"/>
                  <w:sz w:val="18"/>
                  <w:szCs w:val="18"/>
                  <w:u w:val="single"/>
                </w:rPr>
                <w:t>Aircrew</w:t>
              </w:r>
            </w:hyperlink>
          </w:p>
        </w:tc>
        <w:tc>
          <w:tcPr>
            <w:tcW w:w="2073" w:type="dxa"/>
            <w:tcMar>
              <w:top w:w="57" w:type="dxa"/>
              <w:left w:w="57" w:type="dxa"/>
              <w:bottom w:w="57" w:type="dxa"/>
              <w:right w:w="57" w:type="dxa"/>
            </w:tcMar>
            <w:hideMark/>
          </w:tcPr>
          <w:p w14:paraId="46AFECE9" w14:textId="7B08A01D" w:rsidR="00EB4485" w:rsidRPr="00F5121A" w:rsidRDefault="00EB4485" w:rsidP="00303781">
            <w:pPr>
              <w:spacing w:before="40" w:after="40"/>
              <w:jc w:val="left"/>
              <w:rPr>
                <w:rFonts w:ascii="Calibri" w:eastAsia="Calibri" w:hAnsi="Calibri" w:cs="Calibri"/>
                <w:noProof/>
                <w:sz w:val="18"/>
                <w:szCs w:val="18"/>
              </w:rPr>
            </w:pPr>
            <w:r w:rsidRPr="00F5121A">
              <w:rPr>
                <w:rFonts w:ascii="Calibri" w:eastAsia="Calibri" w:hAnsi="Calibri" w:cs="Calibri"/>
                <w:noProof/>
                <w:sz w:val="18"/>
                <w:szCs w:val="18"/>
              </w:rPr>
              <w:t xml:space="preserve">IR: (EU) </w:t>
            </w:r>
            <w:r w:rsidR="002656F3">
              <w:rPr>
                <w:rFonts w:ascii="Calibri" w:eastAsia="Calibri" w:hAnsi="Calibri" w:cs="Calibri"/>
                <w:noProof/>
                <w:sz w:val="18"/>
                <w:szCs w:val="18"/>
              </w:rPr>
              <w:t xml:space="preserve">No </w:t>
            </w:r>
            <w:r w:rsidRPr="00F5121A">
              <w:rPr>
                <w:rFonts w:ascii="Calibri" w:eastAsia="Calibri" w:hAnsi="Calibri" w:cs="Calibri"/>
                <w:noProof/>
                <w:sz w:val="18"/>
                <w:szCs w:val="18"/>
              </w:rPr>
              <w:t>1178/2011</w:t>
            </w:r>
          </w:p>
        </w:tc>
        <w:tc>
          <w:tcPr>
            <w:tcW w:w="5165" w:type="dxa"/>
            <w:tcMar>
              <w:top w:w="57" w:type="dxa"/>
              <w:left w:w="57" w:type="dxa"/>
              <w:bottom w:w="57" w:type="dxa"/>
              <w:right w:w="57" w:type="dxa"/>
            </w:tcMar>
          </w:tcPr>
          <w:p w14:paraId="6620783E" w14:textId="77777777" w:rsidR="00EB4485" w:rsidRPr="00081245" w:rsidRDefault="00EB4485" w:rsidP="00EB4485">
            <w:pPr>
              <w:spacing w:before="40" w:after="40"/>
              <w:jc w:val="left"/>
              <w:rPr>
                <w:rFonts w:ascii="Calibri" w:eastAsia="Calibri" w:hAnsi="Calibri" w:cs="Calibri"/>
                <w:noProof/>
                <w:sz w:val="18"/>
                <w:szCs w:val="18"/>
                <w:lang w:val="fr-FR"/>
              </w:rPr>
            </w:pPr>
            <w:r w:rsidRPr="00081245">
              <w:rPr>
                <w:rFonts w:ascii="Calibri" w:eastAsia="Calibri" w:hAnsi="Calibri" w:cs="Calibri"/>
                <w:noProof/>
                <w:sz w:val="18"/>
                <w:szCs w:val="18"/>
                <w:lang w:val="fr-FR"/>
              </w:rPr>
              <w:t>Annex I</w:t>
            </w:r>
            <w:r w:rsidR="00CD3CF1">
              <w:rPr>
                <w:rFonts w:ascii="Calibri" w:eastAsia="Calibri" w:hAnsi="Calibri" w:cs="Calibri"/>
                <w:noProof/>
                <w:sz w:val="18"/>
                <w:szCs w:val="18"/>
                <w:lang w:val="fr-FR"/>
              </w:rPr>
              <w:t> </w:t>
            </w:r>
            <w:r w:rsidRPr="00081245">
              <w:rPr>
                <w:rFonts w:ascii="Calibri" w:eastAsia="Calibri" w:hAnsi="Calibri" w:cs="Calibri"/>
                <w:noProof/>
                <w:sz w:val="18"/>
                <w:szCs w:val="18"/>
                <w:lang w:val="fr-FR"/>
              </w:rPr>
              <w:t>: Part-FCL</w:t>
            </w:r>
          </w:p>
          <w:p w14:paraId="06B1C356" w14:textId="77777777" w:rsidR="00EB4485" w:rsidRPr="00081245" w:rsidRDefault="00EB4485" w:rsidP="00EB4485">
            <w:pPr>
              <w:spacing w:before="40" w:after="40"/>
              <w:jc w:val="left"/>
              <w:rPr>
                <w:rFonts w:ascii="Calibri" w:eastAsia="Calibri" w:hAnsi="Calibri" w:cs="Calibri"/>
                <w:noProof/>
                <w:sz w:val="18"/>
                <w:szCs w:val="18"/>
                <w:lang w:val="fr-FR"/>
              </w:rPr>
            </w:pPr>
            <w:r w:rsidRPr="00081245">
              <w:rPr>
                <w:rFonts w:ascii="Calibri" w:eastAsia="Calibri" w:hAnsi="Calibri" w:cs="Calibri"/>
                <w:noProof/>
                <w:sz w:val="18"/>
                <w:szCs w:val="18"/>
                <w:lang w:val="fr-FR"/>
              </w:rPr>
              <w:t>Annex II</w:t>
            </w:r>
            <w:r w:rsidR="00CD3CF1">
              <w:rPr>
                <w:rFonts w:ascii="Calibri" w:eastAsia="Calibri" w:hAnsi="Calibri" w:cs="Calibri"/>
                <w:noProof/>
                <w:sz w:val="18"/>
                <w:szCs w:val="18"/>
                <w:lang w:val="fr-FR"/>
              </w:rPr>
              <w:t> </w:t>
            </w:r>
            <w:r w:rsidRPr="00081245">
              <w:rPr>
                <w:rFonts w:ascii="Calibri" w:eastAsia="Calibri" w:hAnsi="Calibri" w:cs="Calibri"/>
                <w:noProof/>
                <w:sz w:val="18"/>
                <w:szCs w:val="18"/>
                <w:lang w:val="fr-FR"/>
              </w:rPr>
              <w:t>: Conversion of non-EU licences</w:t>
            </w:r>
          </w:p>
          <w:p w14:paraId="6C9F616D" w14:textId="77777777" w:rsidR="00EB4485" w:rsidRPr="00081245" w:rsidRDefault="00EB4485" w:rsidP="00EB4485">
            <w:pPr>
              <w:spacing w:before="40" w:after="40"/>
              <w:jc w:val="left"/>
              <w:rPr>
                <w:rFonts w:ascii="Calibri" w:eastAsia="Calibri" w:hAnsi="Calibri" w:cs="Calibri"/>
                <w:noProof/>
                <w:sz w:val="18"/>
                <w:szCs w:val="18"/>
                <w:lang w:val="fr-FR"/>
              </w:rPr>
            </w:pPr>
            <w:r w:rsidRPr="00081245">
              <w:rPr>
                <w:rFonts w:ascii="Calibri" w:eastAsia="Calibri" w:hAnsi="Calibri" w:cs="Calibri"/>
                <w:noProof/>
                <w:sz w:val="18"/>
                <w:szCs w:val="18"/>
                <w:lang w:val="fr-FR"/>
              </w:rPr>
              <w:t>Annex III</w:t>
            </w:r>
            <w:r w:rsidR="00CD3CF1">
              <w:rPr>
                <w:rFonts w:ascii="Calibri" w:eastAsia="Calibri" w:hAnsi="Calibri" w:cs="Calibri"/>
                <w:noProof/>
                <w:sz w:val="18"/>
                <w:szCs w:val="18"/>
                <w:lang w:val="fr-FR"/>
              </w:rPr>
              <w:t> </w:t>
            </w:r>
            <w:r w:rsidRPr="00081245">
              <w:rPr>
                <w:rFonts w:ascii="Calibri" w:eastAsia="Calibri" w:hAnsi="Calibri" w:cs="Calibri"/>
                <w:noProof/>
                <w:sz w:val="18"/>
                <w:szCs w:val="18"/>
                <w:lang w:val="fr-FR"/>
              </w:rPr>
              <w:t xml:space="preserve">: Licences of non-EU </w:t>
            </w:r>
            <w:r>
              <w:rPr>
                <w:rFonts w:ascii="Calibri" w:eastAsia="Calibri" w:hAnsi="Calibri" w:cs="Calibri"/>
                <w:noProof/>
                <w:sz w:val="18"/>
                <w:szCs w:val="18"/>
                <w:lang w:val="fr-FR"/>
              </w:rPr>
              <w:t>State</w:t>
            </w:r>
            <w:r w:rsidRPr="00081245">
              <w:rPr>
                <w:rFonts w:ascii="Calibri" w:eastAsia="Calibri" w:hAnsi="Calibri" w:cs="Calibri"/>
                <w:noProof/>
                <w:sz w:val="18"/>
                <w:szCs w:val="18"/>
                <w:lang w:val="fr-FR"/>
              </w:rPr>
              <w:t>s</w:t>
            </w:r>
          </w:p>
          <w:p w14:paraId="396992BA" w14:textId="77777777" w:rsidR="00EB4485" w:rsidRPr="007C1A2D" w:rsidRDefault="00EB4485" w:rsidP="00EB4485">
            <w:pPr>
              <w:spacing w:before="40" w:after="40"/>
              <w:jc w:val="left"/>
              <w:rPr>
                <w:rFonts w:ascii="Calibri" w:eastAsia="Calibri" w:hAnsi="Calibri" w:cs="Calibri"/>
                <w:noProof/>
                <w:sz w:val="18"/>
                <w:szCs w:val="18"/>
                <w:lang w:val="sv-SE"/>
              </w:rPr>
            </w:pPr>
            <w:r w:rsidRPr="007C1A2D">
              <w:rPr>
                <w:rFonts w:ascii="Calibri" w:eastAsia="Calibri" w:hAnsi="Calibri" w:cs="Calibri"/>
                <w:noProof/>
                <w:sz w:val="18"/>
                <w:szCs w:val="18"/>
                <w:lang w:val="sv-SE"/>
              </w:rPr>
              <w:t>Annex IV: Part-MED</w:t>
            </w:r>
          </w:p>
          <w:p w14:paraId="222EB46D" w14:textId="77777777" w:rsidR="00EB4485" w:rsidRPr="007C1A2D" w:rsidRDefault="00EB4485" w:rsidP="00EB4485">
            <w:pPr>
              <w:spacing w:before="40" w:after="40"/>
              <w:jc w:val="left"/>
              <w:rPr>
                <w:rFonts w:ascii="Calibri" w:eastAsia="Calibri" w:hAnsi="Calibri" w:cs="Calibri"/>
                <w:noProof/>
                <w:sz w:val="18"/>
                <w:szCs w:val="18"/>
                <w:lang w:val="sv-SE"/>
              </w:rPr>
            </w:pPr>
            <w:r w:rsidRPr="007C1A2D">
              <w:rPr>
                <w:rFonts w:ascii="Calibri" w:eastAsia="Calibri" w:hAnsi="Calibri" w:cs="Calibri"/>
                <w:noProof/>
                <w:sz w:val="18"/>
                <w:szCs w:val="18"/>
                <w:lang w:val="sv-SE"/>
              </w:rPr>
              <w:t>Annex V: Part-CC</w:t>
            </w:r>
          </w:p>
          <w:p w14:paraId="74CC7EAE" w14:textId="77777777" w:rsidR="00EB4485" w:rsidRPr="007C1A2D" w:rsidRDefault="00EB4485" w:rsidP="00EB4485">
            <w:pPr>
              <w:spacing w:before="40" w:after="40"/>
              <w:jc w:val="left"/>
              <w:rPr>
                <w:rFonts w:ascii="Calibri" w:eastAsia="Calibri" w:hAnsi="Calibri" w:cs="Calibri"/>
                <w:noProof/>
                <w:sz w:val="18"/>
                <w:szCs w:val="18"/>
                <w:lang w:val="sv-SE"/>
              </w:rPr>
            </w:pPr>
            <w:r w:rsidRPr="007C1A2D">
              <w:rPr>
                <w:rFonts w:ascii="Calibri" w:eastAsia="Calibri" w:hAnsi="Calibri" w:cs="Calibri"/>
                <w:noProof/>
                <w:sz w:val="18"/>
                <w:szCs w:val="18"/>
                <w:lang w:val="sv-SE"/>
              </w:rPr>
              <w:t>Annex VI: Part-ARA</w:t>
            </w:r>
          </w:p>
          <w:p w14:paraId="6424C52E" w14:textId="77777777" w:rsidR="00EB4485" w:rsidRPr="00081245" w:rsidRDefault="00EB4485" w:rsidP="00EB4485">
            <w:pPr>
              <w:spacing w:before="40" w:after="40"/>
              <w:jc w:val="left"/>
              <w:rPr>
                <w:rFonts w:ascii="Calibri" w:eastAsia="Calibri" w:hAnsi="Calibri" w:cs="Calibri"/>
                <w:noProof/>
                <w:sz w:val="18"/>
                <w:szCs w:val="18"/>
                <w:lang w:val="fr-FR"/>
              </w:rPr>
            </w:pPr>
            <w:r w:rsidRPr="00081245">
              <w:rPr>
                <w:rFonts w:ascii="Calibri" w:eastAsia="Calibri" w:hAnsi="Calibri" w:cs="Calibri"/>
                <w:noProof/>
                <w:sz w:val="18"/>
                <w:szCs w:val="18"/>
                <w:lang w:val="fr-FR"/>
              </w:rPr>
              <w:t>Annex VII</w:t>
            </w:r>
            <w:r w:rsidR="00CD3CF1">
              <w:rPr>
                <w:rFonts w:ascii="Calibri" w:eastAsia="Calibri" w:hAnsi="Calibri" w:cs="Calibri"/>
                <w:noProof/>
                <w:sz w:val="18"/>
                <w:szCs w:val="18"/>
                <w:lang w:val="fr-FR"/>
              </w:rPr>
              <w:t> </w:t>
            </w:r>
            <w:r w:rsidRPr="00081245">
              <w:rPr>
                <w:rFonts w:ascii="Calibri" w:eastAsia="Calibri" w:hAnsi="Calibri" w:cs="Calibri"/>
                <w:noProof/>
                <w:sz w:val="18"/>
                <w:szCs w:val="18"/>
                <w:lang w:val="fr-FR"/>
              </w:rPr>
              <w:t>: Part-ORA</w:t>
            </w:r>
          </w:p>
          <w:p w14:paraId="71AD6C2B" w14:textId="77777777" w:rsidR="00EB4485" w:rsidRPr="00081245" w:rsidRDefault="00EB4485" w:rsidP="00EB4485">
            <w:pPr>
              <w:spacing w:before="40" w:after="40"/>
              <w:jc w:val="left"/>
              <w:rPr>
                <w:rFonts w:ascii="Calibri" w:eastAsia="Calibri" w:hAnsi="Calibri" w:cs="Calibri"/>
                <w:noProof/>
                <w:sz w:val="18"/>
                <w:szCs w:val="18"/>
                <w:lang w:val="fr-FR"/>
              </w:rPr>
            </w:pPr>
            <w:r w:rsidRPr="00081245">
              <w:rPr>
                <w:rFonts w:ascii="Calibri" w:eastAsia="Calibri" w:hAnsi="Calibri" w:cs="Calibri"/>
                <w:noProof/>
                <w:sz w:val="18"/>
                <w:szCs w:val="18"/>
                <w:lang w:val="fr-FR"/>
              </w:rPr>
              <w:t>Annex VIII</w:t>
            </w:r>
            <w:r w:rsidR="00CD3CF1">
              <w:rPr>
                <w:rFonts w:ascii="Calibri" w:eastAsia="Calibri" w:hAnsi="Calibri" w:cs="Calibri"/>
                <w:noProof/>
                <w:sz w:val="18"/>
                <w:szCs w:val="18"/>
                <w:lang w:val="fr-FR"/>
              </w:rPr>
              <w:t> </w:t>
            </w:r>
            <w:r w:rsidRPr="00081245">
              <w:rPr>
                <w:rFonts w:ascii="Calibri" w:eastAsia="Calibri" w:hAnsi="Calibri" w:cs="Calibri"/>
                <w:noProof/>
                <w:sz w:val="18"/>
                <w:szCs w:val="18"/>
                <w:lang w:val="fr-FR"/>
              </w:rPr>
              <w:t>: Part-DTO</w:t>
            </w:r>
          </w:p>
        </w:tc>
      </w:tr>
      <w:tr w:rsidR="00EB4485" w:rsidRPr="00E6201B" w14:paraId="74839FD2" w14:textId="77777777" w:rsidTr="006A54C1">
        <w:trPr>
          <w:trHeight w:val="54"/>
        </w:trPr>
        <w:tc>
          <w:tcPr>
            <w:tcW w:w="2742" w:type="dxa"/>
            <w:tcMar>
              <w:top w:w="57" w:type="dxa"/>
              <w:left w:w="57" w:type="dxa"/>
              <w:bottom w:w="57" w:type="dxa"/>
              <w:right w:w="57" w:type="dxa"/>
            </w:tcMar>
            <w:hideMark/>
          </w:tcPr>
          <w:p w14:paraId="32E81DD1" w14:textId="77777777" w:rsidR="00EB4485" w:rsidRPr="00F5121A" w:rsidRDefault="00E001AA" w:rsidP="00EB4485">
            <w:pPr>
              <w:spacing w:before="40" w:after="40"/>
              <w:jc w:val="left"/>
              <w:rPr>
                <w:rFonts w:ascii="Calibri" w:eastAsia="Calibri" w:hAnsi="Calibri" w:cs="Calibri"/>
                <w:b/>
                <w:noProof/>
                <w:sz w:val="18"/>
                <w:szCs w:val="18"/>
              </w:rPr>
            </w:pPr>
            <w:hyperlink r:id="rId25" w:anchor="regulations-air-operations" w:history="1">
              <w:r w:rsidR="00EB4485" w:rsidRPr="00F5121A">
                <w:rPr>
                  <w:rFonts w:ascii="Calibri" w:eastAsia="Calibri" w:hAnsi="Calibri" w:cs="Calibri"/>
                  <w:b/>
                  <w:noProof/>
                  <w:color w:val="0563C1"/>
                  <w:sz w:val="18"/>
                  <w:szCs w:val="18"/>
                  <w:u w:val="single"/>
                </w:rPr>
                <w:t>Air operations</w:t>
              </w:r>
            </w:hyperlink>
          </w:p>
        </w:tc>
        <w:tc>
          <w:tcPr>
            <w:tcW w:w="2073" w:type="dxa"/>
            <w:tcMar>
              <w:top w:w="57" w:type="dxa"/>
              <w:left w:w="57" w:type="dxa"/>
              <w:bottom w:w="57" w:type="dxa"/>
              <w:right w:w="57" w:type="dxa"/>
            </w:tcMar>
            <w:hideMark/>
          </w:tcPr>
          <w:p w14:paraId="0DCC9ED0" w14:textId="00D0169C" w:rsidR="00EB4485" w:rsidRPr="00F5121A" w:rsidRDefault="00EB4485" w:rsidP="00303781">
            <w:pPr>
              <w:spacing w:before="40" w:after="40"/>
              <w:jc w:val="left"/>
              <w:rPr>
                <w:rFonts w:ascii="Calibri" w:eastAsia="Calibri" w:hAnsi="Calibri" w:cs="Calibri"/>
                <w:noProof/>
                <w:sz w:val="18"/>
                <w:szCs w:val="18"/>
              </w:rPr>
            </w:pPr>
            <w:r w:rsidRPr="00F5121A">
              <w:rPr>
                <w:rFonts w:ascii="Calibri" w:eastAsia="Calibri" w:hAnsi="Calibri" w:cs="Calibri"/>
                <w:noProof/>
                <w:sz w:val="18"/>
                <w:szCs w:val="18"/>
              </w:rPr>
              <w:t xml:space="preserve">IR: (EU) </w:t>
            </w:r>
            <w:r w:rsidR="002656F3">
              <w:rPr>
                <w:rFonts w:ascii="Calibri" w:eastAsia="Calibri" w:hAnsi="Calibri" w:cs="Calibri"/>
                <w:noProof/>
                <w:sz w:val="18"/>
                <w:szCs w:val="18"/>
              </w:rPr>
              <w:t xml:space="preserve">No </w:t>
            </w:r>
            <w:r w:rsidR="00303781">
              <w:rPr>
                <w:rFonts w:ascii="Calibri" w:eastAsia="Calibri" w:hAnsi="Calibri" w:cs="Calibri"/>
                <w:noProof/>
                <w:sz w:val="18"/>
                <w:szCs w:val="18"/>
              </w:rPr>
              <w:t>9</w:t>
            </w:r>
            <w:r w:rsidRPr="00F5121A">
              <w:rPr>
                <w:rFonts w:ascii="Calibri" w:eastAsia="Calibri" w:hAnsi="Calibri" w:cs="Calibri"/>
                <w:noProof/>
                <w:sz w:val="18"/>
                <w:szCs w:val="18"/>
              </w:rPr>
              <w:t>65/2012</w:t>
            </w:r>
          </w:p>
        </w:tc>
        <w:tc>
          <w:tcPr>
            <w:tcW w:w="5165" w:type="dxa"/>
            <w:tcMar>
              <w:top w:w="57" w:type="dxa"/>
              <w:left w:w="57" w:type="dxa"/>
              <w:bottom w:w="57" w:type="dxa"/>
              <w:right w:w="57" w:type="dxa"/>
            </w:tcMar>
          </w:tcPr>
          <w:p w14:paraId="7DF55AC4" w14:textId="77777777" w:rsidR="00EB4485" w:rsidRPr="00F5121A" w:rsidRDefault="00EB4485" w:rsidP="00EB4485">
            <w:pPr>
              <w:spacing w:before="40" w:after="40"/>
              <w:jc w:val="left"/>
              <w:rPr>
                <w:rFonts w:ascii="Calibri" w:eastAsia="Calibri" w:hAnsi="Calibri" w:cs="Calibri"/>
                <w:noProof/>
                <w:sz w:val="18"/>
                <w:szCs w:val="18"/>
              </w:rPr>
            </w:pPr>
            <w:r w:rsidRPr="00F5121A">
              <w:rPr>
                <w:rFonts w:ascii="Calibri" w:eastAsia="Calibri" w:hAnsi="Calibri" w:cs="Calibri"/>
                <w:noProof/>
                <w:sz w:val="18"/>
                <w:szCs w:val="18"/>
              </w:rPr>
              <w:t>Annex I: Definitions</w:t>
            </w:r>
          </w:p>
          <w:p w14:paraId="48A7FCCD" w14:textId="77777777" w:rsidR="00EB4485" w:rsidRPr="00F5121A" w:rsidRDefault="00EB4485" w:rsidP="00EB4485">
            <w:pPr>
              <w:spacing w:before="40" w:after="40"/>
              <w:jc w:val="left"/>
              <w:rPr>
                <w:rFonts w:ascii="Calibri" w:eastAsia="Calibri" w:hAnsi="Calibri" w:cs="Calibri"/>
                <w:noProof/>
                <w:sz w:val="18"/>
                <w:szCs w:val="18"/>
              </w:rPr>
            </w:pPr>
            <w:r w:rsidRPr="00F5121A">
              <w:rPr>
                <w:rFonts w:ascii="Calibri" w:eastAsia="Calibri" w:hAnsi="Calibri" w:cs="Calibri"/>
                <w:noProof/>
                <w:sz w:val="18"/>
                <w:szCs w:val="18"/>
              </w:rPr>
              <w:t xml:space="preserve">Annex II: Part-ARO </w:t>
            </w:r>
          </w:p>
          <w:p w14:paraId="6F9A1804" w14:textId="77777777" w:rsidR="00EB4485" w:rsidRPr="00F5121A" w:rsidRDefault="00EB4485" w:rsidP="00EB4485">
            <w:pPr>
              <w:spacing w:before="40" w:after="40"/>
              <w:jc w:val="left"/>
              <w:rPr>
                <w:rFonts w:ascii="Calibri" w:eastAsia="Calibri" w:hAnsi="Calibri" w:cs="Calibri"/>
                <w:noProof/>
                <w:sz w:val="18"/>
                <w:szCs w:val="18"/>
              </w:rPr>
            </w:pPr>
            <w:r w:rsidRPr="00F5121A">
              <w:rPr>
                <w:rFonts w:ascii="Calibri" w:eastAsia="Calibri" w:hAnsi="Calibri" w:cs="Calibri"/>
                <w:noProof/>
                <w:sz w:val="18"/>
                <w:szCs w:val="18"/>
              </w:rPr>
              <w:t>Annex III: Part-ORO</w:t>
            </w:r>
          </w:p>
          <w:p w14:paraId="05983F9A" w14:textId="77777777" w:rsidR="00EB4485" w:rsidRPr="00F5121A" w:rsidRDefault="00EB4485" w:rsidP="00EB4485">
            <w:pPr>
              <w:spacing w:before="40" w:after="40"/>
              <w:jc w:val="left"/>
              <w:rPr>
                <w:rFonts w:ascii="Calibri" w:eastAsia="Calibri" w:hAnsi="Calibri" w:cs="Calibri"/>
                <w:noProof/>
                <w:sz w:val="18"/>
                <w:szCs w:val="18"/>
              </w:rPr>
            </w:pPr>
            <w:r w:rsidRPr="00F5121A">
              <w:rPr>
                <w:rFonts w:ascii="Calibri" w:eastAsia="Calibri" w:hAnsi="Calibri" w:cs="Calibri"/>
                <w:noProof/>
                <w:sz w:val="18"/>
                <w:szCs w:val="18"/>
              </w:rPr>
              <w:t xml:space="preserve">Annex IV: Part-CAT </w:t>
            </w:r>
          </w:p>
          <w:p w14:paraId="3CCCAB05" w14:textId="77777777" w:rsidR="00EB4485" w:rsidRPr="00F5121A" w:rsidRDefault="00EB4485" w:rsidP="00EB4485">
            <w:pPr>
              <w:spacing w:before="40" w:after="40"/>
              <w:jc w:val="left"/>
              <w:rPr>
                <w:rFonts w:ascii="Calibri" w:eastAsia="Calibri" w:hAnsi="Calibri" w:cs="Calibri"/>
                <w:noProof/>
                <w:sz w:val="18"/>
                <w:szCs w:val="18"/>
              </w:rPr>
            </w:pPr>
            <w:r w:rsidRPr="00F5121A">
              <w:rPr>
                <w:rFonts w:ascii="Calibri" w:eastAsia="Calibri" w:hAnsi="Calibri" w:cs="Calibri"/>
                <w:noProof/>
                <w:sz w:val="18"/>
                <w:szCs w:val="18"/>
              </w:rPr>
              <w:t xml:space="preserve">Annex V: Part-SPA </w:t>
            </w:r>
          </w:p>
          <w:p w14:paraId="12C9C1E0" w14:textId="77777777" w:rsidR="00EB4485" w:rsidRPr="00F5121A" w:rsidRDefault="00EB4485" w:rsidP="00EB4485">
            <w:pPr>
              <w:spacing w:before="40" w:after="40"/>
              <w:jc w:val="left"/>
              <w:rPr>
                <w:rFonts w:ascii="Calibri" w:eastAsia="Calibri" w:hAnsi="Calibri" w:cs="Calibri"/>
                <w:noProof/>
                <w:sz w:val="18"/>
                <w:szCs w:val="18"/>
              </w:rPr>
            </w:pPr>
            <w:r w:rsidRPr="00F5121A">
              <w:rPr>
                <w:rFonts w:ascii="Calibri" w:eastAsia="Calibri" w:hAnsi="Calibri" w:cs="Calibri"/>
                <w:noProof/>
                <w:sz w:val="18"/>
                <w:szCs w:val="18"/>
              </w:rPr>
              <w:t>Annex VI: Part-NCC</w:t>
            </w:r>
          </w:p>
          <w:p w14:paraId="611F66CB" w14:textId="77777777" w:rsidR="00EB4485" w:rsidRPr="00354684" w:rsidRDefault="00EB4485" w:rsidP="00EB4485">
            <w:pPr>
              <w:spacing w:before="40" w:after="40"/>
              <w:jc w:val="left"/>
              <w:rPr>
                <w:rFonts w:ascii="Calibri" w:eastAsia="Calibri" w:hAnsi="Calibri" w:cs="Calibri"/>
                <w:noProof/>
                <w:sz w:val="18"/>
                <w:szCs w:val="18"/>
              </w:rPr>
            </w:pPr>
            <w:r w:rsidRPr="00354684">
              <w:rPr>
                <w:rFonts w:ascii="Calibri" w:eastAsia="Calibri" w:hAnsi="Calibri" w:cs="Calibri"/>
                <w:noProof/>
                <w:sz w:val="18"/>
                <w:szCs w:val="18"/>
              </w:rPr>
              <w:t>Annex VII: Part-NCO</w:t>
            </w:r>
          </w:p>
          <w:p w14:paraId="0CB77156" w14:textId="77777777" w:rsidR="00EB4485" w:rsidRPr="00354684" w:rsidRDefault="00EB4485" w:rsidP="00EB4485">
            <w:pPr>
              <w:spacing w:before="40" w:after="40"/>
              <w:jc w:val="left"/>
              <w:rPr>
                <w:rFonts w:ascii="Calibri" w:eastAsia="Calibri" w:hAnsi="Calibri" w:cs="Calibri"/>
                <w:noProof/>
                <w:sz w:val="18"/>
                <w:szCs w:val="18"/>
              </w:rPr>
            </w:pPr>
            <w:r w:rsidRPr="00354684">
              <w:rPr>
                <w:rFonts w:ascii="Calibri" w:eastAsia="Calibri" w:hAnsi="Calibri" w:cs="Calibri"/>
                <w:noProof/>
                <w:sz w:val="18"/>
                <w:szCs w:val="18"/>
              </w:rPr>
              <w:t>Annex VIII: Part-SPO</w:t>
            </w:r>
          </w:p>
        </w:tc>
      </w:tr>
      <w:bookmarkStart w:id="55" w:name="_Hlk94773115"/>
      <w:tr w:rsidR="00EB4485" w:rsidRPr="00F5121A" w14:paraId="40A27C20" w14:textId="77777777" w:rsidTr="006A54C1">
        <w:trPr>
          <w:cnfStyle w:val="000000100000" w:firstRow="0" w:lastRow="0" w:firstColumn="0" w:lastColumn="0" w:oddVBand="0" w:evenVBand="0" w:oddHBand="1" w:evenHBand="0" w:firstRowFirstColumn="0" w:firstRowLastColumn="0" w:lastRowFirstColumn="0" w:lastRowLastColumn="0"/>
          <w:trHeight w:val="93"/>
        </w:trPr>
        <w:tc>
          <w:tcPr>
            <w:tcW w:w="2742" w:type="dxa"/>
            <w:tcMar>
              <w:top w:w="57" w:type="dxa"/>
              <w:left w:w="57" w:type="dxa"/>
              <w:bottom w:w="57" w:type="dxa"/>
              <w:right w:w="57" w:type="dxa"/>
            </w:tcMar>
            <w:hideMark/>
          </w:tcPr>
          <w:p w14:paraId="7897223D" w14:textId="77777777" w:rsidR="00EB4485" w:rsidRPr="00F5121A" w:rsidRDefault="009E6399" w:rsidP="00EB4485">
            <w:pPr>
              <w:spacing w:before="40" w:after="40"/>
              <w:jc w:val="left"/>
              <w:rPr>
                <w:rFonts w:ascii="Calibri" w:eastAsia="Calibri" w:hAnsi="Calibri" w:cs="Calibri"/>
                <w:b/>
                <w:noProof/>
                <w:sz w:val="18"/>
                <w:szCs w:val="18"/>
              </w:rPr>
            </w:pPr>
            <w:r>
              <w:rPr>
                <w:noProof/>
              </w:rPr>
              <w:fldChar w:fldCharType="begin"/>
            </w:r>
            <w:r>
              <w:rPr>
                <w:noProof/>
              </w:rPr>
              <w:instrText xml:space="preserve"> HYPERLINK "https://www.easa.europa.eu/regulations" \l "regulations-balloons---air-operations" </w:instrText>
            </w:r>
            <w:r>
              <w:rPr>
                <w:noProof/>
              </w:rPr>
              <w:fldChar w:fldCharType="separate"/>
            </w:r>
            <w:r w:rsidR="00EB4485" w:rsidRPr="00F5121A">
              <w:rPr>
                <w:rFonts w:ascii="Calibri" w:eastAsia="Calibri" w:hAnsi="Calibri" w:cs="Calibri"/>
                <w:b/>
                <w:noProof/>
                <w:color w:val="0563C1"/>
                <w:sz w:val="18"/>
                <w:szCs w:val="18"/>
                <w:u w:val="single"/>
              </w:rPr>
              <w:t xml:space="preserve">Balloons </w:t>
            </w:r>
            <w:r w:rsidR="00CD3CF1">
              <w:rPr>
                <w:rFonts w:ascii="Calibri" w:eastAsia="Calibri" w:hAnsi="Calibri" w:cs="Calibri"/>
                <w:b/>
                <w:noProof/>
                <w:color w:val="0563C1"/>
                <w:sz w:val="18"/>
                <w:szCs w:val="18"/>
                <w:u w:val="single"/>
              </w:rPr>
              <w:t>–</w:t>
            </w:r>
            <w:r w:rsidR="00EB4485" w:rsidRPr="00F5121A">
              <w:rPr>
                <w:rFonts w:ascii="Calibri" w:eastAsia="Calibri" w:hAnsi="Calibri" w:cs="Calibri"/>
                <w:b/>
                <w:noProof/>
                <w:color w:val="0563C1"/>
                <w:sz w:val="18"/>
                <w:szCs w:val="18"/>
                <w:u w:val="single"/>
              </w:rPr>
              <w:t xml:space="preserve"> Air Operations</w:t>
            </w:r>
            <w:r>
              <w:rPr>
                <w:rFonts w:ascii="Calibri" w:eastAsia="Calibri" w:hAnsi="Calibri" w:cs="Calibri"/>
                <w:b/>
                <w:noProof/>
                <w:color w:val="0563C1"/>
                <w:sz w:val="18"/>
                <w:szCs w:val="18"/>
                <w:u w:val="single"/>
              </w:rPr>
              <w:fldChar w:fldCharType="end"/>
            </w:r>
          </w:p>
        </w:tc>
        <w:tc>
          <w:tcPr>
            <w:tcW w:w="2073" w:type="dxa"/>
            <w:tcMar>
              <w:top w:w="57" w:type="dxa"/>
              <w:left w:w="57" w:type="dxa"/>
              <w:bottom w:w="57" w:type="dxa"/>
              <w:right w:w="57" w:type="dxa"/>
            </w:tcMar>
            <w:hideMark/>
          </w:tcPr>
          <w:p w14:paraId="59096E2D" w14:textId="77777777" w:rsidR="00EB4485" w:rsidRPr="00F5121A" w:rsidRDefault="00EB4485" w:rsidP="00EB4485">
            <w:pPr>
              <w:spacing w:before="40" w:after="40"/>
              <w:jc w:val="left"/>
              <w:rPr>
                <w:rFonts w:ascii="Calibri" w:eastAsia="Calibri" w:hAnsi="Calibri" w:cs="Calibri"/>
                <w:noProof/>
                <w:sz w:val="18"/>
                <w:szCs w:val="18"/>
              </w:rPr>
            </w:pPr>
            <w:r w:rsidRPr="00F5121A">
              <w:rPr>
                <w:rFonts w:ascii="Calibri" w:eastAsia="Calibri" w:hAnsi="Calibri" w:cs="Calibri"/>
                <w:noProof/>
                <w:sz w:val="18"/>
                <w:szCs w:val="18"/>
              </w:rPr>
              <w:t>IR: (EU) 2018/395</w:t>
            </w:r>
          </w:p>
        </w:tc>
        <w:tc>
          <w:tcPr>
            <w:tcW w:w="5165" w:type="dxa"/>
            <w:tcMar>
              <w:top w:w="57" w:type="dxa"/>
              <w:left w:w="57" w:type="dxa"/>
              <w:bottom w:w="57" w:type="dxa"/>
              <w:right w:w="57" w:type="dxa"/>
            </w:tcMar>
          </w:tcPr>
          <w:p w14:paraId="59D4A377" w14:textId="77777777" w:rsidR="00EB4485" w:rsidRPr="00F5121A" w:rsidRDefault="00EB4485" w:rsidP="00EB4485">
            <w:pPr>
              <w:spacing w:before="40" w:after="40"/>
              <w:jc w:val="left"/>
              <w:rPr>
                <w:rFonts w:ascii="Calibri" w:eastAsia="Calibri" w:hAnsi="Calibri" w:cs="Calibri"/>
                <w:noProof/>
                <w:sz w:val="18"/>
                <w:szCs w:val="18"/>
              </w:rPr>
            </w:pPr>
            <w:r w:rsidRPr="00F5121A">
              <w:rPr>
                <w:rFonts w:ascii="Calibri" w:eastAsia="Calibri" w:hAnsi="Calibri" w:cs="Calibri"/>
                <w:noProof/>
                <w:sz w:val="18"/>
                <w:szCs w:val="18"/>
              </w:rPr>
              <w:t>Annex I: Part-DEF</w:t>
            </w:r>
          </w:p>
          <w:p w14:paraId="4D8FF461" w14:textId="77777777" w:rsidR="00EB4485" w:rsidRPr="00F5121A" w:rsidRDefault="00EB4485" w:rsidP="00EB4485">
            <w:pPr>
              <w:spacing w:before="40" w:after="40"/>
              <w:jc w:val="left"/>
              <w:rPr>
                <w:rFonts w:ascii="Calibri" w:eastAsia="Calibri" w:hAnsi="Calibri" w:cs="Calibri"/>
                <w:noProof/>
                <w:sz w:val="18"/>
                <w:szCs w:val="18"/>
              </w:rPr>
            </w:pPr>
            <w:r w:rsidRPr="00F5121A">
              <w:rPr>
                <w:rFonts w:ascii="Calibri" w:eastAsia="Calibri" w:hAnsi="Calibri" w:cs="Calibri"/>
                <w:noProof/>
                <w:sz w:val="18"/>
                <w:szCs w:val="18"/>
              </w:rPr>
              <w:t>Annex II: Part-BOP</w:t>
            </w:r>
          </w:p>
          <w:p w14:paraId="269F1983" w14:textId="77777777" w:rsidR="00EB4485" w:rsidRPr="00F5121A" w:rsidRDefault="00EB4485" w:rsidP="00EB4485">
            <w:pPr>
              <w:spacing w:before="40" w:after="40"/>
              <w:jc w:val="left"/>
              <w:rPr>
                <w:rFonts w:ascii="Calibri" w:eastAsia="Calibri" w:hAnsi="Calibri" w:cs="Calibri"/>
                <w:noProof/>
                <w:sz w:val="18"/>
                <w:szCs w:val="18"/>
              </w:rPr>
            </w:pPr>
            <w:r w:rsidRPr="00F5121A">
              <w:rPr>
                <w:rFonts w:ascii="Calibri" w:eastAsia="Calibri" w:hAnsi="Calibri" w:cs="Calibri"/>
                <w:noProof/>
                <w:sz w:val="18"/>
                <w:szCs w:val="18"/>
              </w:rPr>
              <w:t>Annex III: Part-BFCL</w:t>
            </w:r>
          </w:p>
        </w:tc>
      </w:tr>
      <w:tr w:rsidR="00A372AF" w:rsidRPr="00F5121A" w14:paraId="313FEA45" w14:textId="77777777" w:rsidTr="00227854">
        <w:trPr>
          <w:trHeight w:val="931"/>
        </w:trPr>
        <w:tc>
          <w:tcPr>
            <w:tcW w:w="2742" w:type="dxa"/>
            <w:tcMar>
              <w:top w:w="57" w:type="dxa"/>
              <w:left w:w="57" w:type="dxa"/>
              <w:bottom w:w="57" w:type="dxa"/>
              <w:right w:w="57" w:type="dxa"/>
            </w:tcMar>
            <w:hideMark/>
          </w:tcPr>
          <w:p w14:paraId="3480A0AE" w14:textId="77777777" w:rsidR="00A372AF" w:rsidRPr="00F5121A" w:rsidRDefault="00E001AA" w:rsidP="00227854">
            <w:pPr>
              <w:spacing w:before="40" w:after="40"/>
              <w:jc w:val="left"/>
              <w:rPr>
                <w:rFonts w:ascii="Calibri" w:eastAsia="Calibri" w:hAnsi="Calibri" w:cs="Calibri"/>
                <w:b/>
                <w:noProof/>
                <w:sz w:val="18"/>
                <w:szCs w:val="18"/>
              </w:rPr>
            </w:pPr>
            <w:hyperlink r:id="rId26" w:anchor="regulations-sailplanes---air-operations" w:history="1">
              <w:r w:rsidR="00A372AF" w:rsidRPr="00F5121A">
                <w:rPr>
                  <w:rFonts w:ascii="Calibri" w:eastAsia="Calibri" w:hAnsi="Calibri" w:cs="Calibri"/>
                  <w:b/>
                  <w:noProof/>
                  <w:color w:val="0563C1"/>
                  <w:sz w:val="18"/>
                  <w:szCs w:val="18"/>
                  <w:u w:val="single"/>
                </w:rPr>
                <w:t>Sailplanes – Air Operations</w:t>
              </w:r>
            </w:hyperlink>
          </w:p>
        </w:tc>
        <w:tc>
          <w:tcPr>
            <w:tcW w:w="2073" w:type="dxa"/>
            <w:tcMar>
              <w:top w:w="57" w:type="dxa"/>
              <w:left w:w="57" w:type="dxa"/>
              <w:bottom w:w="57" w:type="dxa"/>
              <w:right w:w="57" w:type="dxa"/>
            </w:tcMar>
            <w:hideMark/>
          </w:tcPr>
          <w:p w14:paraId="45A110DF" w14:textId="77777777" w:rsidR="00A372AF" w:rsidRPr="00F5121A" w:rsidRDefault="00A372AF" w:rsidP="00227854">
            <w:pPr>
              <w:spacing w:before="40" w:after="40"/>
              <w:jc w:val="left"/>
              <w:rPr>
                <w:rFonts w:ascii="Calibri" w:eastAsia="Calibri" w:hAnsi="Calibri" w:cs="Calibri"/>
                <w:noProof/>
                <w:sz w:val="18"/>
                <w:szCs w:val="18"/>
              </w:rPr>
            </w:pPr>
            <w:r w:rsidRPr="00F5121A">
              <w:rPr>
                <w:rFonts w:ascii="Calibri" w:eastAsia="Calibri" w:hAnsi="Calibri" w:cs="Calibri"/>
                <w:noProof/>
                <w:sz w:val="18"/>
                <w:szCs w:val="18"/>
              </w:rPr>
              <w:t>IR: (EU) 2018/1976</w:t>
            </w:r>
          </w:p>
        </w:tc>
        <w:tc>
          <w:tcPr>
            <w:tcW w:w="5165" w:type="dxa"/>
            <w:tcMar>
              <w:top w:w="57" w:type="dxa"/>
              <w:left w:w="57" w:type="dxa"/>
              <w:bottom w:w="57" w:type="dxa"/>
              <w:right w:w="57" w:type="dxa"/>
            </w:tcMar>
          </w:tcPr>
          <w:p w14:paraId="4F1116CC" w14:textId="77777777" w:rsidR="00A372AF" w:rsidRPr="00F5121A" w:rsidRDefault="00A372AF" w:rsidP="00227854">
            <w:pPr>
              <w:spacing w:before="40" w:after="40"/>
              <w:jc w:val="left"/>
              <w:rPr>
                <w:rFonts w:ascii="Calibri" w:eastAsia="Calibri" w:hAnsi="Calibri" w:cs="Calibri"/>
                <w:noProof/>
                <w:sz w:val="18"/>
                <w:szCs w:val="18"/>
              </w:rPr>
            </w:pPr>
            <w:r w:rsidRPr="00F5121A">
              <w:rPr>
                <w:rFonts w:ascii="Calibri" w:eastAsia="Calibri" w:hAnsi="Calibri" w:cs="Calibri"/>
                <w:noProof/>
                <w:sz w:val="18"/>
                <w:szCs w:val="18"/>
              </w:rPr>
              <w:t>Annex I: Part-DEF</w:t>
            </w:r>
          </w:p>
          <w:p w14:paraId="5DA47D81" w14:textId="77777777" w:rsidR="00A372AF" w:rsidRDefault="00A372AF" w:rsidP="00227854">
            <w:pPr>
              <w:spacing w:before="40" w:after="40"/>
              <w:jc w:val="left"/>
              <w:rPr>
                <w:rFonts w:ascii="Calibri" w:eastAsia="Calibri" w:hAnsi="Calibri" w:cs="Calibri"/>
                <w:noProof/>
                <w:sz w:val="18"/>
                <w:szCs w:val="18"/>
              </w:rPr>
            </w:pPr>
            <w:r w:rsidRPr="00F5121A">
              <w:rPr>
                <w:rFonts w:ascii="Calibri" w:eastAsia="Calibri" w:hAnsi="Calibri" w:cs="Calibri"/>
                <w:noProof/>
                <w:sz w:val="18"/>
                <w:szCs w:val="18"/>
              </w:rPr>
              <w:t>Annex II: Part-SAO</w:t>
            </w:r>
          </w:p>
          <w:p w14:paraId="0A6F9F33" w14:textId="77777777" w:rsidR="00A372AF" w:rsidRDefault="00A372AF" w:rsidP="00227854">
            <w:pPr>
              <w:spacing w:before="40" w:after="40"/>
              <w:jc w:val="left"/>
              <w:rPr>
                <w:rFonts w:ascii="Calibri" w:eastAsia="Calibri" w:hAnsi="Calibri" w:cs="Calibri"/>
                <w:noProof/>
                <w:sz w:val="18"/>
                <w:szCs w:val="18"/>
              </w:rPr>
            </w:pPr>
            <w:r>
              <w:rPr>
                <w:rFonts w:ascii="Calibri" w:eastAsia="Calibri" w:hAnsi="Calibri" w:cs="Calibri"/>
                <w:noProof/>
                <w:sz w:val="18"/>
                <w:szCs w:val="18"/>
              </w:rPr>
              <w:t>Annex III: Part-SFCL</w:t>
            </w:r>
          </w:p>
          <w:p w14:paraId="773B1920" w14:textId="77777777" w:rsidR="00A372AF" w:rsidRPr="00F5121A" w:rsidRDefault="00A372AF" w:rsidP="00227854">
            <w:pPr>
              <w:spacing w:before="40" w:after="40"/>
              <w:jc w:val="left"/>
              <w:rPr>
                <w:rFonts w:ascii="Calibri" w:eastAsia="Calibri" w:hAnsi="Calibri" w:cs="Calibri"/>
                <w:noProof/>
                <w:sz w:val="18"/>
                <w:szCs w:val="18"/>
              </w:rPr>
            </w:pPr>
          </w:p>
        </w:tc>
      </w:tr>
      <w:bookmarkEnd w:id="55"/>
    </w:tbl>
    <w:p w14:paraId="7C0B2677" w14:textId="77777777" w:rsidR="00EB73CA" w:rsidRPr="006A54C1" w:rsidRDefault="00EB73CA" w:rsidP="006A54C1">
      <w:pPr>
        <w:spacing w:before="40" w:after="40"/>
        <w:jc w:val="left"/>
        <w:rPr>
          <w:rFonts w:ascii="Calibri" w:eastAsia="Calibri" w:hAnsi="Calibri" w:cs="Calibri"/>
          <w:i/>
          <w:noProof/>
          <w:color w:val="0070C0"/>
          <w:sz w:val="20"/>
          <w:szCs w:val="20"/>
        </w:rPr>
      </w:pPr>
    </w:p>
    <w:tbl>
      <w:tblPr>
        <w:tblStyle w:val="GridTable4-Accent6"/>
        <w:tblpPr w:leftFromText="180" w:rightFromText="180" w:vertAnchor="text" w:tblpX="-147" w:tblpY="1"/>
        <w:tblW w:w="9980" w:type="dxa"/>
        <w:tblLook w:val="0420" w:firstRow="1" w:lastRow="0" w:firstColumn="0" w:lastColumn="0" w:noHBand="0" w:noVBand="1"/>
      </w:tblPr>
      <w:tblGrid>
        <w:gridCol w:w="2742"/>
        <w:gridCol w:w="2073"/>
        <w:gridCol w:w="5165"/>
      </w:tblGrid>
      <w:tr w:rsidR="00EB73CA" w:rsidRPr="008D6145" w14:paraId="00A4232F" w14:textId="77777777" w:rsidTr="00227854">
        <w:trPr>
          <w:cnfStyle w:val="100000000000" w:firstRow="1" w:lastRow="0" w:firstColumn="0" w:lastColumn="0" w:oddVBand="0" w:evenVBand="0" w:oddHBand="0" w:evenHBand="0" w:firstRowFirstColumn="0" w:firstRowLastColumn="0" w:lastRowFirstColumn="0" w:lastRowLastColumn="0"/>
          <w:trHeight w:val="80"/>
          <w:tblHeader/>
        </w:trPr>
        <w:tc>
          <w:tcPr>
            <w:tcW w:w="9980" w:type="dxa"/>
            <w:gridSpan w:val="3"/>
            <w:tcMar>
              <w:top w:w="57" w:type="dxa"/>
              <w:left w:w="57" w:type="dxa"/>
              <w:bottom w:w="57" w:type="dxa"/>
              <w:right w:w="57" w:type="dxa"/>
            </w:tcMar>
          </w:tcPr>
          <w:p w14:paraId="52CF956C" w14:textId="77777777" w:rsidR="00EB73CA" w:rsidRPr="008D6145" w:rsidRDefault="00EB73CA" w:rsidP="00EB73CA">
            <w:pPr>
              <w:spacing w:before="40" w:after="40"/>
              <w:jc w:val="left"/>
              <w:rPr>
                <w:rFonts w:ascii="Calibri" w:eastAsia="Calibri" w:hAnsi="Calibri" w:cs="Calibri"/>
                <w:b w:val="0"/>
                <w:bCs w:val="0"/>
                <w:noProof/>
                <w:color w:val="0070C0"/>
                <w:sz w:val="20"/>
                <w:szCs w:val="20"/>
              </w:rPr>
            </w:pPr>
            <w:r>
              <w:rPr>
                <w:rFonts w:ascii="Calibri" w:eastAsia="Calibri" w:hAnsi="Calibri" w:cs="Calibri"/>
                <w:b w:val="0"/>
                <w:bCs w:val="0"/>
                <w:i/>
                <w:noProof/>
                <w:color w:val="0070C0"/>
                <w:sz w:val="20"/>
                <w:szCs w:val="20"/>
              </w:rPr>
              <w:t>EASA Basic Regulation and related Implementing and Delegated Regulations (continued)</w:t>
            </w:r>
          </w:p>
        </w:tc>
      </w:tr>
      <w:tr w:rsidR="00A372AF" w:rsidRPr="00F5121A" w14:paraId="0A9F4F89" w14:textId="77777777" w:rsidTr="00FB24D0">
        <w:trPr>
          <w:cnfStyle w:val="000000100000" w:firstRow="0" w:lastRow="0" w:firstColumn="0" w:lastColumn="0" w:oddVBand="0" w:evenVBand="0" w:oddHBand="1" w:evenHBand="0" w:firstRowFirstColumn="0" w:firstRowLastColumn="0" w:lastRowFirstColumn="0" w:lastRowLastColumn="0"/>
          <w:trHeight w:val="90"/>
        </w:trPr>
        <w:tc>
          <w:tcPr>
            <w:tcW w:w="2742" w:type="dxa"/>
            <w:tcMar>
              <w:top w:w="57" w:type="dxa"/>
              <w:left w:w="57" w:type="dxa"/>
              <w:bottom w:w="57" w:type="dxa"/>
              <w:right w:w="57" w:type="dxa"/>
            </w:tcMar>
          </w:tcPr>
          <w:p w14:paraId="33E67879" w14:textId="77777777" w:rsidR="00EB73CA" w:rsidRDefault="00E001AA" w:rsidP="00EB73CA">
            <w:pPr>
              <w:spacing w:before="40" w:after="40"/>
              <w:jc w:val="left"/>
              <w:rPr>
                <w:noProof/>
              </w:rPr>
            </w:pPr>
            <w:hyperlink r:id="rId27" w:anchor="regulations-tco---third-country-operators" w:history="1">
              <w:r w:rsidR="00EB73CA" w:rsidRPr="00F5121A">
                <w:rPr>
                  <w:rFonts w:ascii="Calibri" w:eastAsia="Calibri" w:hAnsi="Calibri" w:cs="Calibri"/>
                  <w:b/>
                  <w:noProof/>
                  <w:color w:val="0563C1"/>
                  <w:sz w:val="18"/>
                  <w:szCs w:val="18"/>
                  <w:u w:val="single"/>
                </w:rPr>
                <w:t>Third country operators</w:t>
              </w:r>
            </w:hyperlink>
          </w:p>
        </w:tc>
        <w:tc>
          <w:tcPr>
            <w:tcW w:w="2073" w:type="dxa"/>
            <w:tcMar>
              <w:top w:w="57" w:type="dxa"/>
              <w:left w:w="57" w:type="dxa"/>
              <w:bottom w:w="57" w:type="dxa"/>
              <w:right w:w="57" w:type="dxa"/>
            </w:tcMar>
          </w:tcPr>
          <w:p w14:paraId="2BA88EDB" w14:textId="30DC5602" w:rsidR="00EB73CA" w:rsidRPr="00F5121A" w:rsidRDefault="00EB73CA" w:rsidP="00303781">
            <w:pPr>
              <w:spacing w:before="40" w:after="40"/>
              <w:jc w:val="left"/>
              <w:rPr>
                <w:rFonts w:ascii="Calibri" w:eastAsia="Calibri" w:hAnsi="Calibri" w:cs="Calibri"/>
                <w:noProof/>
                <w:sz w:val="18"/>
                <w:szCs w:val="18"/>
              </w:rPr>
            </w:pPr>
            <w:r w:rsidRPr="00F5121A">
              <w:rPr>
                <w:rFonts w:ascii="Calibri" w:eastAsia="Calibri" w:hAnsi="Calibri" w:cs="Calibri"/>
                <w:noProof/>
                <w:sz w:val="18"/>
                <w:szCs w:val="18"/>
              </w:rPr>
              <w:t xml:space="preserve">IR: (EU) </w:t>
            </w:r>
            <w:r w:rsidR="002656F3">
              <w:rPr>
                <w:rFonts w:ascii="Calibri" w:eastAsia="Calibri" w:hAnsi="Calibri" w:cs="Calibri"/>
                <w:noProof/>
                <w:sz w:val="18"/>
                <w:szCs w:val="18"/>
              </w:rPr>
              <w:t xml:space="preserve">No </w:t>
            </w:r>
            <w:r w:rsidRPr="00F5121A">
              <w:rPr>
                <w:rFonts w:ascii="Calibri" w:eastAsia="Calibri" w:hAnsi="Calibri" w:cs="Calibri"/>
                <w:noProof/>
                <w:sz w:val="18"/>
                <w:szCs w:val="18"/>
              </w:rPr>
              <w:t>452/2014</w:t>
            </w:r>
          </w:p>
        </w:tc>
        <w:tc>
          <w:tcPr>
            <w:tcW w:w="5165" w:type="dxa"/>
            <w:tcMar>
              <w:top w:w="57" w:type="dxa"/>
              <w:left w:w="57" w:type="dxa"/>
              <w:bottom w:w="57" w:type="dxa"/>
              <w:right w:w="57" w:type="dxa"/>
            </w:tcMar>
          </w:tcPr>
          <w:p w14:paraId="7C7D1ED1" w14:textId="77777777" w:rsidR="00EB73CA" w:rsidRPr="00F5121A" w:rsidRDefault="00EB73CA" w:rsidP="00EB73CA">
            <w:pPr>
              <w:spacing w:before="40" w:after="40"/>
              <w:jc w:val="left"/>
              <w:rPr>
                <w:rFonts w:ascii="Calibri" w:eastAsia="Calibri" w:hAnsi="Calibri" w:cs="Calibri"/>
                <w:noProof/>
                <w:sz w:val="18"/>
                <w:szCs w:val="18"/>
              </w:rPr>
            </w:pPr>
            <w:r w:rsidRPr="00F5121A">
              <w:rPr>
                <w:rFonts w:ascii="Calibri" w:eastAsia="Calibri" w:hAnsi="Calibri" w:cs="Calibri"/>
                <w:noProof/>
                <w:sz w:val="18"/>
                <w:szCs w:val="18"/>
              </w:rPr>
              <w:t>Annex I: Part-TCO</w:t>
            </w:r>
          </w:p>
          <w:p w14:paraId="67142369" w14:textId="77777777" w:rsidR="00EB73CA" w:rsidRPr="00F5121A" w:rsidRDefault="00EB73CA" w:rsidP="00EB73CA">
            <w:pPr>
              <w:spacing w:before="40" w:after="40"/>
              <w:jc w:val="left"/>
              <w:rPr>
                <w:rFonts w:ascii="Calibri" w:eastAsia="Calibri" w:hAnsi="Calibri" w:cs="Calibri"/>
                <w:noProof/>
                <w:sz w:val="18"/>
                <w:szCs w:val="18"/>
              </w:rPr>
            </w:pPr>
            <w:r w:rsidRPr="00F5121A">
              <w:rPr>
                <w:rFonts w:ascii="Calibri" w:eastAsia="Calibri" w:hAnsi="Calibri" w:cs="Calibri"/>
                <w:noProof/>
                <w:sz w:val="18"/>
                <w:szCs w:val="18"/>
              </w:rPr>
              <w:t>Annex II: Part-ART</w:t>
            </w:r>
          </w:p>
        </w:tc>
      </w:tr>
      <w:tr w:rsidR="00EB73CA" w:rsidRPr="000A2F9E" w14:paraId="28BE2F79" w14:textId="77777777" w:rsidTr="00EB73CA">
        <w:trPr>
          <w:trHeight w:val="90"/>
        </w:trPr>
        <w:tc>
          <w:tcPr>
            <w:tcW w:w="2742" w:type="dxa"/>
            <w:tcMar>
              <w:top w:w="57" w:type="dxa"/>
              <w:left w:w="57" w:type="dxa"/>
              <w:bottom w:w="57" w:type="dxa"/>
              <w:right w:w="57" w:type="dxa"/>
            </w:tcMar>
          </w:tcPr>
          <w:p w14:paraId="1CBAECD3" w14:textId="77777777" w:rsidR="00EB73CA" w:rsidRPr="00F5121A" w:rsidRDefault="00E001AA" w:rsidP="00EB73CA">
            <w:pPr>
              <w:spacing w:before="40" w:after="40"/>
              <w:jc w:val="left"/>
              <w:rPr>
                <w:rFonts w:ascii="Calibri" w:eastAsia="Calibri" w:hAnsi="Calibri" w:cs="Calibri"/>
                <w:b/>
                <w:noProof/>
                <w:color w:val="0563C1"/>
                <w:sz w:val="18"/>
                <w:szCs w:val="18"/>
                <w:u w:val="single"/>
              </w:rPr>
            </w:pPr>
            <w:hyperlink r:id="rId28" w:anchor="regulations-atmans----air-traffic-managementair-navigation-services" w:history="1">
              <w:r w:rsidR="00EB73CA" w:rsidRPr="00F5121A">
                <w:rPr>
                  <w:rFonts w:ascii="Calibri" w:eastAsia="Calibri" w:hAnsi="Calibri" w:cs="Calibri"/>
                  <w:b/>
                  <w:noProof/>
                  <w:color w:val="0563C1"/>
                  <w:sz w:val="18"/>
                  <w:szCs w:val="18"/>
                  <w:u w:val="single"/>
                </w:rPr>
                <w:t>ATM/ANS</w:t>
              </w:r>
            </w:hyperlink>
            <w:r w:rsidR="0052034B">
              <w:rPr>
                <w:rFonts w:ascii="Calibri" w:eastAsia="Calibri" w:hAnsi="Calibri" w:cs="Calibri"/>
                <w:b/>
                <w:noProof/>
                <w:color w:val="0563C1"/>
                <w:sz w:val="18"/>
                <w:szCs w:val="18"/>
                <w:u w:val="single"/>
              </w:rPr>
              <w:t xml:space="preserve"> provision of services – Air Traffic Management/Air Navigation Services</w:t>
            </w:r>
          </w:p>
          <w:p w14:paraId="4A1C1B04" w14:textId="77777777" w:rsidR="00EB73CA" w:rsidRPr="00F5121A" w:rsidRDefault="00EB73CA" w:rsidP="00EB73CA">
            <w:pPr>
              <w:spacing w:before="0" w:after="160" w:line="256" w:lineRule="auto"/>
              <w:jc w:val="left"/>
              <w:rPr>
                <w:rFonts w:ascii="Calibri" w:eastAsia="Calibri" w:hAnsi="Calibri" w:cs="Calibri"/>
                <w:noProof/>
                <w:sz w:val="18"/>
                <w:szCs w:val="18"/>
              </w:rPr>
            </w:pPr>
          </w:p>
          <w:p w14:paraId="3345436B" w14:textId="77777777" w:rsidR="00EB73CA" w:rsidRPr="00F5121A" w:rsidRDefault="00EB73CA" w:rsidP="00EB73CA">
            <w:pPr>
              <w:spacing w:before="0" w:after="160" w:line="256" w:lineRule="auto"/>
              <w:jc w:val="left"/>
              <w:rPr>
                <w:rFonts w:ascii="Calibri" w:eastAsia="Calibri" w:hAnsi="Calibri" w:cs="Calibri"/>
                <w:noProof/>
                <w:sz w:val="18"/>
                <w:szCs w:val="18"/>
              </w:rPr>
            </w:pPr>
          </w:p>
          <w:p w14:paraId="033826FB" w14:textId="77777777" w:rsidR="00EB73CA" w:rsidRPr="00F5121A" w:rsidRDefault="00EB73CA" w:rsidP="00EB73CA">
            <w:pPr>
              <w:spacing w:before="0" w:after="160" w:line="256" w:lineRule="auto"/>
              <w:jc w:val="left"/>
              <w:rPr>
                <w:rFonts w:ascii="Calibri" w:eastAsia="Calibri" w:hAnsi="Calibri" w:cs="Calibri"/>
                <w:noProof/>
                <w:sz w:val="18"/>
                <w:szCs w:val="18"/>
              </w:rPr>
            </w:pPr>
          </w:p>
          <w:p w14:paraId="1C3C2D1F" w14:textId="77777777" w:rsidR="00EB73CA" w:rsidRPr="00F5121A" w:rsidRDefault="00EB73CA" w:rsidP="00EB73CA">
            <w:pPr>
              <w:spacing w:before="0" w:after="160" w:line="256" w:lineRule="auto"/>
              <w:jc w:val="left"/>
              <w:rPr>
                <w:rFonts w:ascii="Calibri" w:eastAsia="Calibri" w:hAnsi="Calibri" w:cs="Calibri"/>
                <w:noProof/>
                <w:sz w:val="18"/>
                <w:szCs w:val="18"/>
              </w:rPr>
            </w:pPr>
          </w:p>
          <w:p w14:paraId="4B9BD21C" w14:textId="77777777" w:rsidR="00EB73CA" w:rsidRPr="00F5121A" w:rsidRDefault="00EB73CA" w:rsidP="00EB73CA">
            <w:pPr>
              <w:spacing w:before="0" w:after="160" w:line="256" w:lineRule="auto"/>
              <w:jc w:val="left"/>
              <w:rPr>
                <w:rFonts w:ascii="Calibri" w:eastAsia="Calibri" w:hAnsi="Calibri" w:cs="Calibri"/>
                <w:noProof/>
                <w:sz w:val="18"/>
                <w:szCs w:val="18"/>
              </w:rPr>
            </w:pPr>
          </w:p>
          <w:p w14:paraId="33D85078" w14:textId="77777777" w:rsidR="00EB73CA" w:rsidRPr="00F5121A" w:rsidRDefault="00EB73CA" w:rsidP="00EB73CA">
            <w:pPr>
              <w:spacing w:before="40" w:after="40"/>
              <w:jc w:val="left"/>
              <w:rPr>
                <w:rFonts w:ascii="Calibri" w:eastAsia="Calibri" w:hAnsi="Calibri" w:cs="Calibri"/>
                <w:b/>
                <w:noProof/>
                <w:sz w:val="18"/>
                <w:szCs w:val="18"/>
              </w:rPr>
            </w:pPr>
          </w:p>
        </w:tc>
        <w:tc>
          <w:tcPr>
            <w:tcW w:w="2073" w:type="dxa"/>
            <w:tcMar>
              <w:top w:w="57" w:type="dxa"/>
              <w:left w:w="57" w:type="dxa"/>
              <w:bottom w:w="57" w:type="dxa"/>
              <w:right w:w="57" w:type="dxa"/>
            </w:tcMar>
          </w:tcPr>
          <w:p w14:paraId="0C93CC56" w14:textId="77777777" w:rsidR="00EB73CA" w:rsidRPr="00F5121A" w:rsidRDefault="00EB73CA" w:rsidP="00EB73CA">
            <w:pPr>
              <w:spacing w:before="40" w:after="40"/>
              <w:jc w:val="left"/>
              <w:rPr>
                <w:rFonts w:ascii="Calibri" w:eastAsia="Calibri" w:hAnsi="Calibri" w:cs="Calibri"/>
                <w:noProof/>
                <w:sz w:val="18"/>
                <w:szCs w:val="18"/>
              </w:rPr>
            </w:pPr>
            <w:r w:rsidRPr="00F5121A">
              <w:rPr>
                <w:rFonts w:ascii="Calibri" w:eastAsia="Calibri" w:hAnsi="Calibri" w:cs="Calibri"/>
                <w:noProof/>
                <w:sz w:val="18"/>
                <w:szCs w:val="18"/>
              </w:rPr>
              <w:t>IR: (EU) 2017/373</w:t>
            </w:r>
          </w:p>
        </w:tc>
        <w:tc>
          <w:tcPr>
            <w:tcW w:w="5165" w:type="dxa"/>
            <w:tcMar>
              <w:top w:w="57" w:type="dxa"/>
              <w:left w:w="57" w:type="dxa"/>
              <w:bottom w:w="57" w:type="dxa"/>
              <w:right w:w="57" w:type="dxa"/>
            </w:tcMar>
          </w:tcPr>
          <w:p w14:paraId="1D12B053" w14:textId="77777777" w:rsidR="00EB73CA" w:rsidRPr="00F5121A" w:rsidRDefault="00EB73CA" w:rsidP="00EB73CA">
            <w:pPr>
              <w:spacing w:before="40" w:after="40"/>
              <w:jc w:val="left"/>
              <w:rPr>
                <w:rFonts w:ascii="Calibri" w:eastAsia="Calibri" w:hAnsi="Calibri" w:cs="Calibri"/>
                <w:noProof/>
                <w:sz w:val="18"/>
                <w:szCs w:val="18"/>
              </w:rPr>
            </w:pPr>
            <w:r w:rsidRPr="00F5121A">
              <w:rPr>
                <w:rFonts w:ascii="Calibri" w:eastAsia="Calibri" w:hAnsi="Calibri" w:cs="Calibri"/>
                <w:noProof/>
                <w:sz w:val="18"/>
                <w:szCs w:val="18"/>
              </w:rPr>
              <w:t>Annex I: Definitions</w:t>
            </w:r>
          </w:p>
          <w:p w14:paraId="710312A7" w14:textId="77777777" w:rsidR="00EB73CA" w:rsidRPr="00F5121A" w:rsidRDefault="00EB73CA" w:rsidP="00EB73CA">
            <w:pPr>
              <w:spacing w:before="40" w:after="40"/>
              <w:jc w:val="left"/>
              <w:rPr>
                <w:rFonts w:ascii="Calibri" w:eastAsia="Calibri" w:hAnsi="Calibri" w:cs="Calibri"/>
                <w:noProof/>
                <w:sz w:val="18"/>
                <w:szCs w:val="18"/>
              </w:rPr>
            </w:pPr>
            <w:r w:rsidRPr="00F5121A">
              <w:rPr>
                <w:rFonts w:ascii="Calibri" w:eastAsia="Calibri" w:hAnsi="Calibri" w:cs="Calibri"/>
                <w:noProof/>
                <w:sz w:val="18"/>
                <w:szCs w:val="18"/>
              </w:rPr>
              <w:t xml:space="preserve">Annex II: Part-ATM/ANS.AR </w:t>
            </w:r>
          </w:p>
          <w:p w14:paraId="1DEF7AD8" w14:textId="77777777" w:rsidR="00EB73CA" w:rsidRPr="00354684" w:rsidRDefault="00EB73CA" w:rsidP="00EB73CA">
            <w:pPr>
              <w:spacing w:before="40" w:after="40"/>
              <w:jc w:val="left"/>
              <w:rPr>
                <w:rFonts w:ascii="Calibri" w:eastAsia="Calibri" w:hAnsi="Calibri" w:cs="Calibri"/>
                <w:noProof/>
                <w:sz w:val="18"/>
                <w:szCs w:val="18"/>
                <w:lang w:val="fr-BE"/>
              </w:rPr>
            </w:pPr>
            <w:r w:rsidRPr="00354684">
              <w:rPr>
                <w:rFonts w:ascii="Calibri" w:eastAsia="Calibri" w:hAnsi="Calibri" w:cs="Calibri"/>
                <w:noProof/>
                <w:sz w:val="18"/>
                <w:szCs w:val="18"/>
                <w:lang w:val="fr-BE"/>
              </w:rPr>
              <w:t>Annex III</w:t>
            </w:r>
            <w:r w:rsidR="00CD3CF1" w:rsidRPr="00354684">
              <w:rPr>
                <w:rFonts w:ascii="Calibri" w:eastAsia="Calibri" w:hAnsi="Calibri" w:cs="Calibri"/>
                <w:noProof/>
                <w:sz w:val="18"/>
                <w:szCs w:val="18"/>
                <w:lang w:val="fr-BE"/>
              </w:rPr>
              <w:t> </w:t>
            </w:r>
            <w:r w:rsidRPr="00354684">
              <w:rPr>
                <w:rFonts w:ascii="Calibri" w:eastAsia="Calibri" w:hAnsi="Calibri" w:cs="Calibri"/>
                <w:noProof/>
                <w:sz w:val="18"/>
                <w:szCs w:val="18"/>
                <w:lang w:val="fr-BE"/>
              </w:rPr>
              <w:t xml:space="preserve">: Part-ATM/ANS.OR </w:t>
            </w:r>
          </w:p>
          <w:p w14:paraId="074872C9" w14:textId="77777777" w:rsidR="00EB73CA" w:rsidRPr="00354684" w:rsidRDefault="00EB73CA" w:rsidP="00EB73CA">
            <w:pPr>
              <w:spacing w:before="40" w:after="40"/>
              <w:jc w:val="left"/>
              <w:rPr>
                <w:rFonts w:ascii="Calibri" w:eastAsia="Calibri" w:hAnsi="Calibri" w:cs="Calibri"/>
                <w:noProof/>
                <w:sz w:val="18"/>
                <w:szCs w:val="18"/>
                <w:lang w:val="fr-BE"/>
              </w:rPr>
            </w:pPr>
            <w:r w:rsidRPr="00354684">
              <w:rPr>
                <w:rFonts w:ascii="Calibri" w:eastAsia="Calibri" w:hAnsi="Calibri" w:cs="Calibri"/>
                <w:noProof/>
                <w:sz w:val="18"/>
                <w:szCs w:val="18"/>
                <w:lang w:val="fr-BE"/>
              </w:rPr>
              <w:t>Annex IV</w:t>
            </w:r>
            <w:r w:rsidR="00CD3CF1" w:rsidRPr="00354684">
              <w:rPr>
                <w:rFonts w:ascii="Calibri" w:eastAsia="Calibri" w:hAnsi="Calibri" w:cs="Calibri"/>
                <w:noProof/>
                <w:sz w:val="18"/>
                <w:szCs w:val="18"/>
                <w:lang w:val="fr-BE"/>
              </w:rPr>
              <w:t> </w:t>
            </w:r>
            <w:r w:rsidRPr="00354684">
              <w:rPr>
                <w:rFonts w:ascii="Calibri" w:eastAsia="Calibri" w:hAnsi="Calibri" w:cs="Calibri"/>
                <w:noProof/>
                <w:sz w:val="18"/>
                <w:szCs w:val="18"/>
                <w:lang w:val="fr-BE"/>
              </w:rPr>
              <w:t xml:space="preserve">: Part-ATS </w:t>
            </w:r>
          </w:p>
          <w:p w14:paraId="016832FC" w14:textId="77777777" w:rsidR="00EB73CA" w:rsidRPr="00354684" w:rsidRDefault="00EB73CA" w:rsidP="00EB73CA">
            <w:pPr>
              <w:spacing w:before="40" w:after="40"/>
              <w:jc w:val="left"/>
              <w:rPr>
                <w:rFonts w:ascii="Calibri" w:eastAsia="Calibri" w:hAnsi="Calibri" w:cs="Calibri"/>
                <w:noProof/>
                <w:sz w:val="18"/>
                <w:szCs w:val="18"/>
                <w:lang w:val="fr-BE"/>
              </w:rPr>
            </w:pPr>
            <w:r w:rsidRPr="00354684">
              <w:rPr>
                <w:rFonts w:ascii="Calibri" w:eastAsia="Calibri" w:hAnsi="Calibri" w:cs="Calibri"/>
                <w:noProof/>
                <w:sz w:val="18"/>
                <w:szCs w:val="18"/>
                <w:lang w:val="fr-BE"/>
              </w:rPr>
              <w:t>Annex V</w:t>
            </w:r>
            <w:r w:rsidR="00CD3CF1" w:rsidRPr="00354684">
              <w:rPr>
                <w:rFonts w:ascii="Calibri" w:eastAsia="Calibri" w:hAnsi="Calibri" w:cs="Calibri"/>
                <w:noProof/>
                <w:sz w:val="18"/>
                <w:szCs w:val="18"/>
                <w:lang w:val="fr-BE"/>
              </w:rPr>
              <w:t> </w:t>
            </w:r>
            <w:r w:rsidRPr="00354684">
              <w:rPr>
                <w:rFonts w:ascii="Calibri" w:eastAsia="Calibri" w:hAnsi="Calibri" w:cs="Calibri"/>
                <w:noProof/>
                <w:sz w:val="18"/>
                <w:szCs w:val="18"/>
                <w:lang w:val="fr-BE"/>
              </w:rPr>
              <w:t>: Part-MET</w:t>
            </w:r>
          </w:p>
          <w:p w14:paraId="1578963C" w14:textId="77777777" w:rsidR="00EB73CA" w:rsidRPr="00081245" w:rsidRDefault="00EB73CA" w:rsidP="00EB73CA">
            <w:pPr>
              <w:spacing w:before="40" w:after="40"/>
              <w:jc w:val="left"/>
              <w:rPr>
                <w:rFonts w:ascii="Calibri" w:eastAsia="Calibri" w:hAnsi="Calibri" w:cs="Calibri"/>
                <w:noProof/>
                <w:sz w:val="18"/>
                <w:szCs w:val="18"/>
                <w:lang w:val="fr-FR"/>
              </w:rPr>
            </w:pPr>
            <w:r w:rsidRPr="00081245">
              <w:rPr>
                <w:rFonts w:ascii="Calibri" w:eastAsia="Calibri" w:hAnsi="Calibri" w:cs="Calibri"/>
                <w:noProof/>
                <w:sz w:val="18"/>
                <w:szCs w:val="18"/>
                <w:lang w:val="fr-FR"/>
              </w:rPr>
              <w:t>Annex VI</w:t>
            </w:r>
            <w:r w:rsidR="00CD3CF1">
              <w:rPr>
                <w:rFonts w:ascii="Calibri" w:eastAsia="Calibri" w:hAnsi="Calibri" w:cs="Calibri"/>
                <w:noProof/>
                <w:sz w:val="18"/>
                <w:szCs w:val="18"/>
                <w:lang w:val="fr-FR"/>
              </w:rPr>
              <w:t> </w:t>
            </w:r>
            <w:r w:rsidRPr="00081245">
              <w:rPr>
                <w:rFonts w:ascii="Calibri" w:eastAsia="Calibri" w:hAnsi="Calibri" w:cs="Calibri"/>
                <w:noProof/>
                <w:sz w:val="18"/>
                <w:szCs w:val="18"/>
                <w:lang w:val="fr-FR"/>
              </w:rPr>
              <w:t xml:space="preserve">: Part-AIS </w:t>
            </w:r>
          </w:p>
          <w:p w14:paraId="4E28477A" w14:textId="77777777" w:rsidR="00EB73CA" w:rsidRPr="00081245" w:rsidRDefault="00EB73CA" w:rsidP="00EB73CA">
            <w:pPr>
              <w:spacing w:before="40" w:after="40"/>
              <w:jc w:val="left"/>
              <w:rPr>
                <w:rFonts w:ascii="Calibri" w:eastAsia="Calibri" w:hAnsi="Calibri" w:cs="Calibri"/>
                <w:noProof/>
                <w:sz w:val="18"/>
                <w:szCs w:val="18"/>
                <w:lang w:val="fr-FR"/>
              </w:rPr>
            </w:pPr>
            <w:r w:rsidRPr="00081245">
              <w:rPr>
                <w:rFonts w:ascii="Calibri" w:eastAsia="Calibri" w:hAnsi="Calibri" w:cs="Calibri"/>
                <w:noProof/>
                <w:sz w:val="18"/>
                <w:szCs w:val="18"/>
                <w:lang w:val="fr-FR"/>
              </w:rPr>
              <w:t>Annex VII</w:t>
            </w:r>
            <w:r w:rsidR="00CD3CF1">
              <w:rPr>
                <w:rFonts w:ascii="Calibri" w:eastAsia="Calibri" w:hAnsi="Calibri" w:cs="Calibri"/>
                <w:noProof/>
                <w:sz w:val="18"/>
                <w:szCs w:val="18"/>
                <w:lang w:val="fr-FR"/>
              </w:rPr>
              <w:t> </w:t>
            </w:r>
            <w:r w:rsidRPr="00081245">
              <w:rPr>
                <w:rFonts w:ascii="Calibri" w:eastAsia="Calibri" w:hAnsi="Calibri" w:cs="Calibri"/>
                <w:noProof/>
                <w:sz w:val="18"/>
                <w:szCs w:val="18"/>
                <w:lang w:val="fr-FR"/>
              </w:rPr>
              <w:t xml:space="preserve">: Part-DAT </w:t>
            </w:r>
          </w:p>
          <w:p w14:paraId="7A4AE3D4" w14:textId="77777777" w:rsidR="00EB73CA" w:rsidRPr="00081245" w:rsidRDefault="00EB73CA" w:rsidP="00EB73CA">
            <w:pPr>
              <w:spacing w:before="40" w:after="40"/>
              <w:jc w:val="left"/>
              <w:rPr>
                <w:rFonts w:ascii="Calibri" w:eastAsia="Calibri" w:hAnsi="Calibri" w:cs="Calibri"/>
                <w:noProof/>
                <w:sz w:val="18"/>
                <w:szCs w:val="18"/>
                <w:lang w:val="fr-FR"/>
              </w:rPr>
            </w:pPr>
            <w:r w:rsidRPr="00081245">
              <w:rPr>
                <w:rFonts w:ascii="Calibri" w:eastAsia="Calibri" w:hAnsi="Calibri" w:cs="Calibri"/>
                <w:noProof/>
                <w:sz w:val="18"/>
                <w:szCs w:val="18"/>
                <w:lang w:val="fr-FR"/>
              </w:rPr>
              <w:t>Annex VIII</w:t>
            </w:r>
            <w:r w:rsidR="00CD3CF1">
              <w:rPr>
                <w:rFonts w:ascii="Calibri" w:eastAsia="Calibri" w:hAnsi="Calibri" w:cs="Calibri"/>
                <w:noProof/>
                <w:sz w:val="18"/>
                <w:szCs w:val="18"/>
                <w:lang w:val="fr-FR"/>
              </w:rPr>
              <w:t> </w:t>
            </w:r>
            <w:r w:rsidRPr="00081245">
              <w:rPr>
                <w:rFonts w:ascii="Calibri" w:eastAsia="Calibri" w:hAnsi="Calibri" w:cs="Calibri"/>
                <w:noProof/>
                <w:sz w:val="18"/>
                <w:szCs w:val="18"/>
                <w:lang w:val="fr-FR"/>
              </w:rPr>
              <w:t>: Part-CNS</w:t>
            </w:r>
          </w:p>
          <w:p w14:paraId="26132FB5" w14:textId="77777777" w:rsidR="00EB73CA" w:rsidRPr="00081245" w:rsidRDefault="00EB73CA" w:rsidP="00EB73CA">
            <w:pPr>
              <w:spacing w:before="40" w:after="40"/>
              <w:jc w:val="left"/>
              <w:rPr>
                <w:rFonts w:ascii="Calibri" w:eastAsia="Calibri" w:hAnsi="Calibri" w:cs="Calibri"/>
                <w:noProof/>
                <w:sz w:val="18"/>
                <w:szCs w:val="18"/>
                <w:lang w:val="fr-FR"/>
              </w:rPr>
            </w:pPr>
            <w:r w:rsidRPr="00081245">
              <w:rPr>
                <w:rFonts w:ascii="Calibri" w:eastAsia="Calibri" w:hAnsi="Calibri" w:cs="Calibri"/>
                <w:noProof/>
                <w:sz w:val="18"/>
                <w:szCs w:val="18"/>
                <w:lang w:val="fr-FR"/>
              </w:rPr>
              <w:t>Annex IX</w:t>
            </w:r>
            <w:r w:rsidR="00CD3CF1">
              <w:rPr>
                <w:rFonts w:ascii="Calibri" w:eastAsia="Calibri" w:hAnsi="Calibri" w:cs="Calibri"/>
                <w:noProof/>
                <w:sz w:val="18"/>
                <w:szCs w:val="18"/>
                <w:lang w:val="fr-FR"/>
              </w:rPr>
              <w:t> </w:t>
            </w:r>
            <w:r w:rsidRPr="00081245">
              <w:rPr>
                <w:rFonts w:ascii="Calibri" w:eastAsia="Calibri" w:hAnsi="Calibri" w:cs="Calibri"/>
                <w:noProof/>
                <w:sz w:val="18"/>
                <w:szCs w:val="18"/>
                <w:lang w:val="fr-FR"/>
              </w:rPr>
              <w:t>: Part-ATFM</w:t>
            </w:r>
          </w:p>
          <w:p w14:paraId="4919F79D" w14:textId="77777777" w:rsidR="00EB73CA" w:rsidRPr="00081245" w:rsidRDefault="00EB73CA" w:rsidP="00EB73CA">
            <w:pPr>
              <w:spacing w:before="40" w:after="40"/>
              <w:jc w:val="left"/>
              <w:rPr>
                <w:rFonts w:ascii="Calibri" w:eastAsia="Calibri" w:hAnsi="Calibri" w:cs="Calibri"/>
                <w:noProof/>
                <w:sz w:val="18"/>
                <w:szCs w:val="18"/>
                <w:lang w:val="fr-FR"/>
              </w:rPr>
            </w:pPr>
            <w:r w:rsidRPr="00081245">
              <w:rPr>
                <w:rFonts w:ascii="Calibri" w:eastAsia="Calibri" w:hAnsi="Calibri" w:cs="Calibri"/>
                <w:noProof/>
                <w:sz w:val="18"/>
                <w:szCs w:val="18"/>
                <w:lang w:val="fr-FR"/>
              </w:rPr>
              <w:t>Annex X</w:t>
            </w:r>
            <w:r w:rsidR="00CD3CF1">
              <w:rPr>
                <w:rFonts w:ascii="Calibri" w:eastAsia="Calibri" w:hAnsi="Calibri" w:cs="Calibri"/>
                <w:noProof/>
                <w:sz w:val="18"/>
                <w:szCs w:val="18"/>
                <w:lang w:val="fr-FR"/>
              </w:rPr>
              <w:t> </w:t>
            </w:r>
            <w:r w:rsidRPr="00081245">
              <w:rPr>
                <w:rFonts w:ascii="Calibri" w:eastAsia="Calibri" w:hAnsi="Calibri" w:cs="Calibri"/>
                <w:noProof/>
                <w:sz w:val="18"/>
                <w:szCs w:val="18"/>
                <w:lang w:val="fr-FR"/>
              </w:rPr>
              <w:t>: Part-ASM</w:t>
            </w:r>
          </w:p>
          <w:p w14:paraId="043D191B" w14:textId="77777777" w:rsidR="00EB73CA" w:rsidRPr="00405CC8" w:rsidRDefault="00EB73CA" w:rsidP="00EB73CA">
            <w:pPr>
              <w:spacing w:before="40" w:after="40"/>
              <w:jc w:val="left"/>
              <w:rPr>
                <w:rFonts w:ascii="Calibri" w:eastAsia="Calibri" w:hAnsi="Calibri" w:cs="Calibri"/>
                <w:noProof/>
                <w:sz w:val="18"/>
                <w:szCs w:val="18"/>
                <w:lang w:val="fr-FR"/>
              </w:rPr>
            </w:pPr>
            <w:r w:rsidRPr="00405CC8">
              <w:rPr>
                <w:rFonts w:ascii="Calibri" w:eastAsia="Calibri" w:hAnsi="Calibri" w:cs="Calibri"/>
                <w:noProof/>
                <w:sz w:val="18"/>
                <w:szCs w:val="18"/>
                <w:lang w:val="fr-FR"/>
              </w:rPr>
              <w:t>Annex XI</w:t>
            </w:r>
            <w:r w:rsidR="00CD3CF1" w:rsidRPr="00405CC8">
              <w:rPr>
                <w:rFonts w:ascii="Calibri" w:eastAsia="Calibri" w:hAnsi="Calibri" w:cs="Calibri"/>
                <w:noProof/>
                <w:sz w:val="18"/>
                <w:szCs w:val="18"/>
                <w:lang w:val="fr-FR"/>
              </w:rPr>
              <w:t> </w:t>
            </w:r>
            <w:r w:rsidRPr="00405CC8">
              <w:rPr>
                <w:rFonts w:ascii="Calibri" w:eastAsia="Calibri" w:hAnsi="Calibri" w:cs="Calibri"/>
                <w:noProof/>
                <w:sz w:val="18"/>
                <w:szCs w:val="18"/>
                <w:lang w:val="fr-FR"/>
              </w:rPr>
              <w:t xml:space="preserve">: </w:t>
            </w:r>
            <w:r w:rsidR="00911BC7" w:rsidRPr="00FB18C9">
              <w:rPr>
                <w:rFonts w:ascii="Calibri" w:eastAsia="Calibri" w:hAnsi="Calibri" w:cs="Calibri"/>
                <w:noProof/>
                <w:sz w:val="18"/>
                <w:szCs w:val="18"/>
                <w:lang w:val="fr-FR"/>
              </w:rPr>
              <w:t xml:space="preserve"> </w:t>
            </w:r>
            <w:r w:rsidR="000A13F1" w:rsidRPr="00FB18C9">
              <w:rPr>
                <w:rFonts w:ascii="Calibri" w:eastAsia="Calibri" w:hAnsi="Calibri" w:cs="Calibri"/>
                <w:noProof/>
                <w:sz w:val="18"/>
                <w:szCs w:val="18"/>
                <w:lang w:val="fr-FR"/>
              </w:rPr>
              <w:t>Part-</w:t>
            </w:r>
            <w:r w:rsidR="00911BC7" w:rsidRPr="00FB18C9">
              <w:rPr>
                <w:rFonts w:ascii="Calibri" w:eastAsia="Calibri" w:hAnsi="Calibri" w:cs="Calibri"/>
                <w:noProof/>
                <w:sz w:val="18"/>
                <w:szCs w:val="18"/>
                <w:lang w:val="fr-FR"/>
              </w:rPr>
              <w:t>FPD</w:t>
            </w:r>
          </w:p>
          <w:p w14:paraId="36F8D6D5" w14:textId="77777777" w:rsidR="00EB73CA" w:rsidRPr="00081245" w:rsidRDefault="00EB73CA" w:rsidP="00EB73CA">
            <w:pPr>
              <w:spacing w:before="40" w:after="40"/>
              <w:jc w:val="left"/>
              <w:rPr>
                <w:rFonts w:ascii="Calibri" w:eastAsia="Calibri" w:hAnsi="Calibri" w:cs="Calibri"/>
                <w:noProof/>
                <w:sz w:val="18"/>
                <w:szCs w:val="18"/>
                <w:lang w:val="fr-FR"/>
              </w:rPr>
            </w:pPr>
            <w:r w:rsidRPr="00081245">
              <w:rPr>
                <w:rFonts w:ascii="Calibri" w:eastAsia="Calibri" w:hAnsi="Calibri" w:cs="Calibri"/>
                <w:noProof/>
                <w:sz w:val="18"/>
                <w:szCs w:val="18"/>
                <w:lang w:val="fr-FR"/>
              </w:rPr>
              <w:t>Annex XII</w:t>
            </w:r>
            <w:r w:rsidR="00CD3CF1">
              <w:rPr>
                <w:rFonts w:ascii="Calibri" w:eastAsia="Calibri" w:hAnsi="Calibri" w:cs="Calibri"/>
                <w:noProof/>
                <w:sz w:val="18"/>
                <w:szCs w:val="18"/>
                <w:lang w:val="fr-FR"/>
              </w:rPr>
              <w:t> </w:t>
            </w:r>
            <w:r w:rsidRPr="00081245">
              <w:rPr>
                <w:rFonts w:ascii="Calibri" w:eastAsia="Calibri" w:hAnsi="Calibri" w:cs="Calibri"/>
                <w:noProof/>
                <w:sz w:val="18"/>
                <w:szCs w:val="18"/>
                <w:lang w:val="fr-FR"/>
              </w:rPr>
              <w:t>: Part-NM</w:t>
            </w:r>
          </w:p>
          <w:p w14:paraId="035681CC" w14:textId="77777777" w:rsidR="00EB73CA" w:rsidRPr="00FB18C9" w:rsidRDefault="00EB73CA" w:rsidP="00EB73CA">
            <w:pPr>
              <w:spacing w:before="40" w:after="40"/>
              <w:jc w:val="left"/>
              <w:rPr>
                <w:rFonts w:ascii="Calibri" w:eastAsia="Calibri" w:hAnsi="Calibri" w:cs="Calibri"/>
                <w:noProof/>
                <w:sz w:val="18"/>
                <w:szCs w:val="18"/>
                <w:lang w:val="fr-FR"/>
              </w:rPr>
            </w:pPr>
            <w:r w:rsidRPr="00081245">
              <w:rPr>
                <w:rFonts w:ascii="Calibri" w:eastAsia="Calibri" w:hAnsi="Calibri" w:cs="Calibri"/>
                <w:noProof/>
                <w:sz w:val="18"/>
                <w:szCs w:val="18"/>
                <w:lang w:val="fr-FR"/>
              </w:rPr>
              <w:t>Annex XIII</w:t>
            </w:r>
            <w:r w:rsidR="00CD3CF1">
              <w:rPr>
                <w:rFonts w:ascii="Calibri" w:eastAsia="Calibri" w:hAnsi="Calibri" w:cs="Calibri"/>
                <w:noProof/>
                <w:sz w:val="18"/>
                <w:szCs w:val="18"/>
                <w:lang w:val="fr-FR"/>
              </w:rPr>
              <w:t> </w:t>
            </w:r>
            <w:r w:rsidRPr="00081245">
              <w:rPr>
                <w:rFonts w:ascii="Calibri" w:eastAsia="Calibri" w:hAnsi="Calibri" w:cs="Calibri"/>
                <w:noProof/>
                <w:sz w:val="18"/>
                <w:szCs w:val="18"/>
                <w:lang w:val="fr-FR"/>
              </w:rPr>
              <w:t>: Part-PERS</w:t>
            </w:r>
          </w:p>
        </w:tc>
      </w:tr>
      <w:tr w:rsidR="00EC08B0" w:rsidRPr="006A54C1" w14:paraId="04491169" w14:textId="77777777" w:rsidTr="00EB73CA">
        <w:trPr>
          <w:cnfStyle w:val="000000100000" w:firstRow="0" w:lastRow="0" w:firstColumn="0" w:lastColumn="0" w:oddVBand="0" w:evenVBand="0" w:oddHBand="1" w:evenHBand="0" w:firstRowFirstColumn="0" w:firstRowLastColumn="0" w:lastRowFirstColumn="0" w:lastRowLastColumn="0"/>
          <w:trHeight w:val="131"/>
        </w:trPr>
        <w:tc>
          <w:tcPr>
            <w:tcW w:w="2742" w:type="dxa"/>
            <w:tcMar>
              <w:top w:w="57" w:type="dxa"/>
              <w:left w:w="57" w:type="dxa"/>
              <w:bottom w:w="57" w:type="dxa"/>
              <w:right w:w="57" w:type="dxa"/>
            </w:tcMar>
          </w:tcPr>
          <w:p w14:paraId="23300FEC" w14:textId="77777777" w:rsidR="00EC08B0" w:rsidRDefault="00EC08B0" w:rsidP="00EC08B0">
            <w:pPr>
              <w:spacing w:before="40" w:after="40"/>
              <w:jc w:val="left"/>
              <w:rPr>
                <w:noProof/>
              </w:rPr>
            </w:pPr>
            <w:r>
              <w:rPr>
                <w:rFonts w:ascii="Calibri" w:eastAsia="Calibri" w:hAnsi="Calibri" w:cs="Calibri"/>
                <w:b/>
                <w:noProof/>
                <w:color w:val="0563C1"/>
                <w:sz w:val="18"/>
                <w:szCs w:val="18"/>
                <w:u w:val="single"/>
              </w:rPr>
              <w:t>I</w:t>
            </w:r>
            <w:r w:rsidRPr="007A10A8">
              <w:rPr>
                <w:rFonts w:ascii="Calibri" w:eastAsia="Calibri" w:hAnsi="Calibri" w:cs="Calibri"/>
                <w:b/>
                <w:noProof/>
                <w:color w:val="0563C1"/>
                <w:sz w:val="18"/>
                <w:szCs w:val="18"/>
                <w:u w:val="single"/>
              </w:rPr>
              <w:t xml:space="preserve">nteroperability </w:t>
            </w:r>
            <w:r>
              <w:rPr>
                <w:rFonts w:ascii="Calibri" w:eastAsia="Calibri" w:hAnsi="Calibri" w:cs="Calibri"/>
                <w:b/>
                <w:noProof/>
                <w:color w:val="0563C1"/>
                <w:sz w:val="18"/>
                <w:szCs w:val="18"/>
                <w:u w:val="single"/>
              </w:rPr>
              <w:t xml:space="preserve">of the European ATM Network </w:t>
            </w:r>
          </w:p>
        </w:tc>
        <w:tc>
          <w:tcPr>
            <w:tcW w:w="2073" w:type="dxa"/>
            <w:tcMar>
              <w:top w:w="57" w:type="dxa"/>
              <w:left w:w="57" w:type="dxa"/>
              <w:bottom w:w="57" w:type="dxa"/>
              <w:right w:w="57" w:type="dxa"/>
            </w:tcMar>
          </w:tcPr>
          <w:p w14:paraId="05DF97D8" w14:textId="13636508" w:rsidR="00EC08B0" w:rsidRPr="003A08BB" w:rsidRDefault="00EC08B0" w:rsidP="00EC08B0">
            <w:pPr>
              <w:spacing w:before="40" w:after="40"/>
              <w:rPr>
                <w:rFonts w:ascii="Calibri" w:eastAsia="Calibri" w:hAnsi="Calibri" w:cs="Calibri"/>
                <w:noProof/>
                <w:sz w:val="18"/>
                <w:szCs w:val="18"/>
                <w:lang w:val="es-ES"/>
              </w:rPr>
            </w:pPr>
            <w:r w:rsidRPr="003A08BB">
              <w:rPr>
                <w:rFonts w:ascii="Calibri" w:eastAsia="Calibri" w:hAnsi="Calibri" w:cs="Calibri"/>
                <w:noProof/>
                <w:sz w:val="18"/>
                <w:szCs w:val="18"/>
                <w:lang w:val="es-ES"/>
              </w:rPr>
              <w:t xml:space="preserve">IR: (EU) </w:t>
            </w:r>
            <w:r w:rsidR="002656F3">
              <w:rPr>
                <w:rFonts w:ascii="Calibri" w:eastAsia="Calibri" w:hAnsi="Calibri" w:cs="Calibri"/>
                <w:noProof/>
                <w:sz w:val="18"/>
                <w:szCs w:val="18"/>
                <w:lang w:val="es-ES"/>
              </w:rPr>
              <w:t xml:space="preserve">No </w:t>
            </w:r>
            <w:r w:rsidRPr="003A08BB">
              <w:rPr>
                <w:rFonts w:ascii="Calibri" w:eastAsia="Calibri" w:hAnsi="Calibri" w:cs="Calibri"/>
                <w:noProof/>
                <w:sz w:val="18"/>
                <w:szCs w:val="18"/>
                <w:lang w:val="es-ES"/>
              </w:rPr>
              <w:t>1079/2012</w:t>
            </w:r>
          </w:p>
          <w:p w14:paraId="6DD0FB67" w14:textId="2B8607A7" w:rsidR="00EC08B0" w:rsidRDefault="00EC08B0" w:rsidP="00EC08B0">
            <w:pPr>
              <w:spacing w:before="40" w:after="40"/>
              <w:rPr>
                <w:rFonts w:ascii="Calibri" w:eastAsia="Calibri" w:hAnsi="Calibri" w:cs="Calibri"/>
                <w:noProof/>
                <w:sz w:val="18"/>
                <w:szCs w:val="18"/>
                <w:lang w:val="es-ES"/>
              </w:rPr>
            </w:pPr>
            <w:r w:rsidRPr="003A08BB">
              <w:rPr>
                <w:rFonts w:ascii="Calibri" w:eastAsia="Calibri" w:hAnsi="Calibri" w:cs="Calibri"/>
                <w:noProof/>
                <w:sz w:val="18"/>
                <w:szCs w:val="18"/>
                <w:lang w:val="es-ES"/>
              </w:rPr>
              <w:t xml:space="preserve">IR: (EU) </w:t>
            </w:r>
            <w:r w:rsidR="002656F3">
              <w:rPr>
                <w:rFonts w:ascii="Calibri" w:eastAsia="Calibri" w:hAnsi="Calibri" w:cs="Calibri"/>
                <w:noProof/>
                <w:sz w:val="18"/>
                <w:szCs w:val="18"/>
                <w:lang w:val="es-ES"/>
              </w:rPr>
              <w:t xml:space="preserve">No </w:t>
            </w:r>
            <w:r w:rsidRPr="003A08BB">
              <w:rPr>
                <w:rFonts w:ascii="Calibri" w:eastAsia="Calibri" w:hAnsi="Calibri" w:cs="Calibri"/>
                <w:noProof/>
                <w:sz w:val="18"/>
                <w:szCs w:val="18"/>
                <w:lang w:val="es-ES"/>
              </w:rPr>
              <w:t>1207/2011</w:t>
            </w:r>
          </w:p>
          <w:p w14:paraId="054998A1" w14:textId="074649CF" w:rsidR="00EC08B0" w:rsidRPr="003A08BB" w:rsidRDefault="00EC08B0" w:rsidP="00EC08B0">
            <w:pPr>
              <w:spacing w:before="40" w:after="40"/>
              <w:rPr>
                <w:rFonts w:ascii="Calibri" w:eastAsia="Calibri" w:hAnsi="Calibri" w:cs="Calibri"/>
                <w:noProof/>
                <w:sz w:val="18"/>
                <w:szCs w:val="18"/>
                <w:lang w:val="es-ES"/>
              </w:rPr>
            </w:pPr>
            <w:r>
              <w:rPr>
                <w:rFonts w:ascii="Calibri" w:eastAsia="Calibri" w:hAnsi="Calibri" w:cs="Calibri"/>
                <w:noProof/>
                <w:sz w:val="18"/>
                <w:szCs w:val="18"/>
                <w:lang w:val="es-ES"/>
              </w:rPr>
              <w:t xml:space="preserve">IR: (EU) </w:t>
            </w:r>
            <w:r w:rsidR="002656F3">
              <w:rPr>
                <w:rFonts w:ascii="Calibri" w:eastAsia="Calibri" w:hAnsi="Calibri" w:cs="Calibri"/>
                <w:noProof/>
                <w:sz w:val="18"/>
                <w:szCs w:val="18"/>
                <w:lang w:val="es-ES"/>
              </w:rPr>
              <w:t xml:space="preserve">No </w:t>
            </w:r>
            <w:r>
              <w:rPr>
                <w:rFonts w:ascii="Calibri" w:eastAsia="Calibri" w:hAnsi="Calibri" w:cs="Calibri"/>
                <w:noProof/>
                <w:sz w:val="18"/>
                <w:szCs w:val="18"/>
                <w:lang w:val="es-ES"/>
              </w:rPr>
              <w:t>1206/2011</w:t>
            </w:r>
          </w:p>
          <w:p w14:paraId="737115DA" w14:textId="77777777" w:rsidR="00EC08B0" w:rsidRDefault="00EC08B0" w:rsidP="00EC08B0">
            <w:pPr>
              <w:spacing w:before="40" w:after="40"/>
              <w:rPr>
                <w:rFonts w:ascii="Calibri" w:eastAsia="Calibri" w:hAnsi="Calibri" w:cs="Calibri"/>
                <w:noProof/>
                <w:sz w:val="18"/>
                <w:szCs w:val="18"/>
                <w:lang w:val="es-ES"/>
              </w:rPr>
            </w:pPr>
          </w:p>
          <w:p w14:paraId="54604355" w14:textId="28C853D3" w:rsidR="00EC08B0" w:rsidRPr="003A08BB" w:rsidRDefault="00EC08B0" w:rsidP="00EC08B0">
            <w:pPr>
              <w:spacing w:before="40" w:after="40"/>
              <w:rPr>
                <w:rFonts w:ascii="Calibri" w:eastAsia="Calibri" w:hAnsi="Calibri" w:cs="Calibri"/>
                <w:noProof/>
                <w:sz w:val="18"/>
                <w:szCs w:val="18"/>
                <w:lang w:val="es-ES"/>
              </w:rPr>
            </w:pPr>
            <w:r>
              <w:rPr>
                <w:rFonts w:ascii="Calibri" w:eastAsia="Calibri" w:hAnsi="Calibri" w:cs="Calibri"/>
                <w:noProof/>
                <w:sz w:val="18"/>
                <w:szCs w:val="18"/>
                <w:lang w:val="es-ES"/>
              </w:rPr>
              <w:t xml:space="preserve">IR: (EU) </w:t>
            </w:r>
            <w:r w:rsidR="002656F3">
              <w:rPr>
                <w:rFonts w:ascii="Calibri" w:eastAsia="Calibri" w:hAnsi="Calibri" w:cs="Calibri"/>
                <w:noProof/>
                <w:sz w:val="18"/>
                <w:szCs w:val="18"/>
                <w:lang w:val="es-ES"/>
              </w:rPr>
              <w:t xml:space="preserve">No </w:t>
            </w:r>
            <w:r>
              <w:rPr>
                <w:rFonts w:ascii="Calibri" w:eastAsia="Calibri" w:hAnsi="Calibri" w:cs="Calibri"/>
                <w:noProof/>
                <w:sz w:val="18"/>
                <w:szCs w:val="18"/>
                <w:lang w:val="es-ES"/>
              </w:rPr>
              <w:t>29/2009</w:t>
            </w:r>
          </w:p>
          <w:p w14:paraId="0C03E687" w14:textId="6BF484E4" w:rsidR="00EC08B0" w:rsidRPr="003A08BB" w:rsidRDefault="00EC08B0" w:rsidP="00EC08B0">
            <w:pPr>
              <w:spacing w:before="40" w:after="40"/>
              <w:rPr>
                <w:rFonts w:ascii="Calibri" w:eastAsia="Calibri" w:hAnsi="Calibri" w:cs="Calibri"/>
                <w:noProof/>
                <w:sz w:val="18"/>
                <w:szCs w:val="18"/>
                <w:lang w:val="es-ES"/>
              </w:rPr>
            </w:pPr>
            <w:r w:rsidRPr="003A08BB">
              <w:rPr>
                <w:rFonts w:ascii="Calibri" w:eastAsia="Calibri" w:hAnsi="Calibri" w:cs="Calibri"/>
                <w:noProof/>
                <w:sz w:val="18"/>
                <w:szCs w:val="18"/>
                <w:lang w:val="es-ES"/>
              </w:rPr>
              <w:t xml:space="preserve">IR: (EC) </w:t>
            </w:r>
            <w:r w:rsidR="002656F3">
              <w:rPr>
                <w:rFonts w:ascii="Calibri" w:eastAsia="Calibri" w:hAnsi="Calibri" w:cs="Calibri"/>
                <w:noProof/>
                <w:sz w:val="18"/>
                <w:szCs w:val="18"/>
                <w:lang w:val="es-ES"/>
              </w:rPr>
              <w:t xml:space="preserve">No </w:t>
            </w:r>
            <w:r w:rsidRPr="003A08BB">
              <w:rPr>
                <w:rFonts w:ascii="Calibri" w:eastAsia="Calibri" w:hAnsi="Calibri" w:cs="Calibri"/>
                <w:noProof/>
                <w:sz w:val="18"/>
                <w:szCs w:val="18"/>
                <w:lang w:val="es-ES"/>
              </w:rPr>
              <w:t>262/2009</w:t>
            </w:r>
          </w:p>
          <w:p w14:paraId="0CAF89EF" w14:textId="33FFF82B" w:rsidR="00EC08B0" w:rsidRPr="003A08BB" w:rsidRDefault="00EC08B0" w:rsidP="00EC08B0">
            <w:pPr>
              <w:spacing w:before="40" w:after="40"/>
              <w:rPr>
                <w:rFonts w:ascii="Calibri" w:eastAsia="Calibri" w:hAnsi="Calibri" w:cs="Calibri"/>
                <w:noProof/>
                <w:sz w:val="18"/>
                <w:szCs w:val="18"/>
                <w:lang w:val="es-ES"/>
              </w:rPr>
            </w:pPr>
            <w:r w:rsidRPr="003A08BB">
              <w:rPr>
                <w:rFonts w:ascii="Calibri" w:eastAsia="Calibri" w:hAnsi="Calibri" w:cs="Calibri"/>
                <w:noProof/>
                <w:sz w:val="18"/>
                <w:szCs w:val="18"/>
                <w:lang w:val="es-ES"/>
              </w:rPr>
              <w:t xml:space="preserve">IR: (EC) </w:t>
            </w:r>
            <w:r w:rsidR="002656F3">
              <w:rPr>
                <w:rFonts w:ascii="Calibri" w:eastAsia="Calibri" w:hAnsi="Calibri" w:cs="Calibri"/>
                <w:noProof/>
                <w:sz w:val="18"/>
                <w:szCs w:val="18"/>
                <w:lang w:val="es-ES"/>
              </w:rPr>
              <w:t xml:space="preserve">No </w:t>
            </w:r>
            <w:r w:rsidRPr="003A08BB">
              <w:rPr>
                <w:rFonts w:ascii="Calibri" w:eastAsia="Calibri" w:hAnsi="Calibri" w:cs="Calibri"/>
                <w:noProof/>
                <w:sz w:val="18"/>
                <w:szCs w:val="18"/>
                <w:lang w:val="es-ES"/>
              </w:rPr>
              <w:t>633/2007</w:t>
            </w:r>
          </w:p>
          <w:p w14:paraId="454B54D7" w14:textId="661E2CD3" w:rsidR="00EC08B0" w:rsidRPr="003A08BB" w:rsidRDefault="00EC08B0" w:rsidP="00EC08B0">
            <w:pPr>
              <w:spacing w:before="40" w:after="40"/>
              <w:rPr>
                <w:rFonts w:ascii="Calibri" w:eastAsia="Calibri" w:hAnsi="Calibri" w:cs="Calibri"/>
                <w:noProof/>
                <w:sz w:val="18"/>
                <w:szCs w:val="18"/>
                <w:lang w:val="es-ES"/>
              </w:rPr>
            </w:pPr>
            <w:r w:rsidRPr="003A08BB">
              <w:rPr>
                <w:rFonts w:ascii="Calibri" w:eastAsia="Calibri" w:hAnsi="Calibri" w:cs="Calibri"/>
                <w:noProof/>
                <w:sz w:val="18"/>
                <w:szCs w:val="18"/>
                <w:lang w:val="es-ES"/>
              </w:rPr>
              <w:t xml:space="preserve">IR: (EC) </w:t>
            </w:r>
            <w:r w:rsidR="002656F3">
              <w:rPr>
                <w:rFonts w:ascii="Calibri" w:eastAsia="Calibri" w:hAnsi="Calibri" w:cs="Calibri"/>
                <w:noProof/>
                <w:sz w:val="18"/>
                <w:szCs w:val="18"/>
                <w:lang w:val="es-ES"/>
              </w:rPr>
              <w:t xml:space="preserve">No </w:t>
            </w:r>
            <w:r w:rsidRPr="003A08BB">
              <w:rPr>
                <w:rFonts w:ascii="Calibri" w:eastAsia="Calibri" w:hAnsi="Calibri" w:cs="Calibri"/>
                <w:noProof/>
                <w:sz w:val="18"/>
                <w:szCs w:val="18"/>
                <w:lang w:val="es-ES"/>
              </w:rPr>
              <w:t>1033/2006</w:t>
            </w:r>
          </w:p>
          <w:p w14:paraId="76028CBA" w14:textId="5058FD4B" w:rsidR="00EC08B0" w:rsidRPr="00F5121A" w:rsidRDefault="00EC08B0" w:rsidP="00EC08B0">
            <w:pPr>
              <w:spacing w:before="40" w:after="40"/>
              <w:jc w:val="left"/>
              <w:rPr>
                <w:rFonts w:ascii="Calibri" w:eastAsia="Calibri" w:hAnsi="Calibri" w:cs="Calibri"/>
                <w:noProof/>
                <w:sz w:val="18"/>
                <w:szCs w:val="18"/>
              </w:rPr>
            </w:pPr>
            <w:r w:rsidRPr="007A10A8">
              <w:rPr>
                <w:rFonts w:ascii="Calibri" w:eastAsia="Calibri" w:hAnsi="Calibri" w:cs="Calibri"/>
                <w:noProof/>
                <w:sz w:val="18"/>
                <w:szCs w:val="18"/>
              </w:rPr>
              <w:t xml:space="preserve">IR: (EC) </w:t>
            </w:r>
            <w:r w:rsidR="002656F3">
              <w:rPr>
                <w:rFonts w:ascii="Calibri" w:eastAsia="Calibri" w:hAnsi="Calibri" w:cs="Calibri"/>
                <w:noProof/>
                <w:sz w:val="18"/>
                <w:szCs w:val="18"/>
              </w:rPr>
              <w:t xml:space="preserve">No </w:t>
            </w:r>
            <w:r w:rsidRPr="007A10A8">
              <w:rPr>
                <w:rFonts w:ascii="Calibri" w:eastAsia="Calibri" w:hAnsi="Calibri" w:cs="Calibri"/>
                <w:noProof/>
                <w:sz w:val="18"/>
                <w:szCs w:val="18"/>
              </w:rPr>
              <w:t>1032/2006</w:t>
            </w:r>
          </w:p>
        </w:tc>
        <w:tc>
          <w:tcPr>
            <w:tcW w:w="5165" w:type="dxa"/>
            <w:tcMar>
              <w:top w:w="57" w:type="dxa"/>
              <w:left w:w="57" w:type="dxa"/>
              <w:bottom w:w="57" w:type="dxa"/>
              <w:right w:w="57" w:type="dxa"/>
            </w:tcMar>
          </w:tcPr>
          <w:p w14:paraId="5ADDA67E" w14:textId="77777777" w:rsidR="00EC08B0" w:rsidRPr="00F5121A" w:rsidRDefault="00EC08B0" w:rsidP="00EC08B0">
            <w:pPr>
              <w:spacing w:before="40" w:after="40"/>
              <w:jc w:val="left"/>
              <w:rPr>
                <w:rFonts w:ascii="Calibri" w:eastAsia="Calibri" w:hAnsi="Calibri" w:cs="Calibri"/>
                <w:noProof/>
                <w:sz w:val="18"/>
                <w:szCs w:val="18"/>
              </w:rPr>
            </w:pPr>
          </w:p>
        </w:tc>
      </w:tr>
      <w:tr w:rsidR="00EC08B0" w:rsidRPr="00116383" w14:paraId="6191534F" w14:textId="77777777" w:rsidTr="006A54C1">
        <w:trPr>
          <w:trHeight w:val="131"/>
        </w:trPr>
        <w:tc>
          <w:tcPr>
            <w:tcW w:w="2742" w:type="dxa"/>
            <w:tcMar>
              <w:top w:w="57" w:type="dxa"/>
              <w:left w:w="57" w:type="dxa"/>
              <w:bottom w:w="57" w:type="dxa"/>
              <w:right w:w="57" w:type="dxa"/>
            </w:tcMar>
          </w:tcPr>
          <w:p w14:paraId="022D9043" w14:textId="77777777" w:rsidR="00EC08B0" w:rsidRPr="00F5121A" w:rsidRDefault="00E001AA" w:rsidP="00EC08B0">
            <w:pPr>
              <w:spacing w:before="40" w:after="40"/>
              <w:jc w:val="left"/>
              <w:rPr>
                <w:rFonts w:ascii="Calibri" w:eastAsia="Calibri" w:hAnsi="Calibri" w:cs="Calibri"/>
                <w:b/>
                <w:noProof/>
                <w:color w:val="0563C1"/>
                <w:sz w:val="18"/>
                <w:szCs w:val="18"/>
                <w:u w:val="single"/>
              </w:rPr>
            </w:pPr>
            <w:hyperlink r:id="rId29" w:anchor="regulations-atco---air-traffic-controllers" w:history="1">
              <w:r w:rsidR="00EC08B0" w:rsidRPr="00F5121A">
                <w:rPr>
                  <w:rFonts w:ascii="Calibri" w:eastAsia="Calibri" w:hAnsi="Calibri" w:cs="Calibri"/>
                  <w:b/>
                  <w:noProof/>
                  <w:color w:val="0563C1"/>
                  <w:sz w:val="18"/>
                  <w:szCs w:val="18"/>
                  <w:u w:val="single"/>
                </w:rPr>
                <w:t>A</w:t>
              </w:r>
              <w:r w:rsidR="00EC08B0">
                <w:rPr>
                  <w:rFonts w:ascii="Calibri" w:eastAsia="Calibri" w:hAnsi="Calibri" w:cs="Calibri"/>
                  <w:b/>
                  <w:noProof/>
                  <w:color w:val="0563C1"/>
                  <w:sz w:val="18"/>
                  <w:szCs w:val="18"/>
                  <w:u w:val="single"/>
                </w:rPr>
                <w:t>ir Traffic Controllers</w:t>
              </w:r>
            </w:hyperlink>
          </w:p>
          <w:p w14:paraId="290406C6" w14:textId="77777777" w:rsidR="00EC08B0" w:rsidRPr="00F5121A" w:rsidRDefault="00EC08B0" w:rsidP="00EC08B0">
            <w:pPr>
              <w:spacing w:before="0" w:after="160" w:line="256" w:lineRule="auto"/>
              <w:jc w:val="left"/>
              <w:rPr>
                <w:rFonts w:ascii="Calibri" w:eastAsia="Calibri" w:hAnsi="Calibri" w:cs="Calibri"/>
                <w:noProof/>
                <w:sz w:val="18"/>
                <w:szCs w:val="18"/>
              </w:rPr>
            </w:pPr>
            <w:r w:rsidRPr="00F5121A">
              <w:rPr>
                <w:rFonts w:ascii="Calibri" w:eastAsia="Calibri" w:hAnsi="Calibri" w:cs="Calibri"/>
                <w:noProof/>
                <w:sz w:val="18"/>
                <w:szCs w:val="18"/>
              </w:rPr>
              <w:tab/>
            </w:r>
          </w:p>
        </w:tc>
        <w:tc>
          <w:tcPr>
            <w:tcW w:w="2073" w:type="dxa"/>
            <w:tcMar>
              <w:top w:w="57" w:type="dxa"/>
              <w:left w:w="57" w:type="dxa"/>
              <w:bottom w:w="57" w:type="dxa"/>
              <w:right w:w="57" w:type="dxa"/>
            </w:tcMar>
          </w:tcPr>
          <w:p w14:paraId="1A84A8C2" w14:textId="77777777" w:rsidR="00EC08B0" w:rsidRPr="00F5121A" w:rsidRDefault="00EC08B0" w:rsidP="00EC08B0">
            <w:pPr>
              <w:spacing w:before="40" w:after="40"/>
              <w:jc w:val="left"/>
              <w:rPr>
                <w:rFonts w:ascii="Calibri" w:eastAsia="Calibri" w:hAnsi="Calibri" w:cs="Calibri"/>
                <w:noProof/>
                <w:sz w:val="18"/>
                <w:szCs w:val="18"/>
              </w:rPr>
            </w:pPr>
            <w:r w:rsidRPr="00F5121A">
              <w:rPr>
                <w:rFonts w:ascii="Calibri" w:eastAsia="Calibri" w:hAnsi="Calibri" w:cs="Calibri"/>
                <w:noProof/>
                <w:sz w:val="18"/>
                <w:szCs w:val="18"/>
              </w:rPr>
              <w:t>IR: (EU) 2015/340</w:t>
            </w:r>
          </w:p>
        </w:tc>
        <w:tc>
          <w:tcPr>
            <w:tcW w:w="5165" w:type="dxa"/>
            <w:tcMar>
              <w:top w:w="57" w:type="dxa"/>
              <w:left w:w="57" w:type="dxa"/>
              <w:bottom w:w="57" w:type="dxa"/>
              <w:right w:w="57" w:type="dxa"/>
            </w:tcMar>
          </w:tcPr>
          <w:p w14:paraId="6E4AE840" w14:textId="77777777" w:rsidR="00EC08B0" w:rsidRPr="00F5121A" w:rsidRDefault="00EC08B0" w:rsidP="00EC08B0">
            <w:pPr>
              <w:spacing w:before="40" w:after="40"/>
              <w:jc w:val="left"/>
              <w:rPr>
                <w:rFonts w:ascii="Calibri" w:eastAsia="Calibri" w:hAnsi="Calibri" w:cs="Calibri"/>
                <w:noProof/>
                <w:sz w:val="18"/>
                <w:szCs w:val="18"/>
              </w:rPr>
            </w:pPr>
            <w:r w:rsidRPr="00F5121A">
              <w:rPr>
                <w:rFonts w:ascii="Calibri" w:eastAsia="Calibri" w:hAnsi="Calibri" w:cs="Calibri"/>
                <w:noProof/>
                <w:sz w:val="18"/>
                <w:szCs w:val="18"/>
              </w:rPr>
              <w:t>Annex I: Part ATCO</w:t>
            </w:r>
          </w:p>
          <w:p w14:paraId="4ABCCDEB" w14:textId="77777777" w:rsidR="00EC08B0" w:rsidRPr="00F5121A" w:rsidRDefault="00EC08B0" w:rsidP="00EC08B0">
            <w:pPr>
              <w:spacing w:before="40" w:after="40"/>
              <w:jc w:val="left"/>
              <w:rPr>
                <w:rFonts w:ascii="Calibri" w:eastAsia="Calibri" w:hAnsi="Calibri" w:cs="Calibri"/>
                <w:noProof/>
                <w:sz w:val="18"/>
                <w:szCs w:val="18"/>
              </w:rPr>
            </w:pPr>
            <w:r w:rsidRPr="00F5121A">
              <w:rPr>
                <w:rFonts w:ascii="Calibri" w:eastAsia="Calibri" w:hAnsi="Calibri" w:cs="Calibri"/>
                <w:noProof/>
                <w:sz w:val="18"/>
                <w:szCs w:val="18"/>
              </w:rPr>
              <w:t>Annex II: Part ATCO.AR</w:t>
            </w:r>
          </w:p>
          <w:p w14:paraId="48349526" w14:textId="77777777" w:rsidR="00EC08B0" w:rsidRPr="00F5121A" w:rsidRDefault="00EC08B0" w:rsidP="00EC08B0">
            <w:pPr>
              <w:spacing w:before="40" w:after="40"/>
              <w:jc w:val="left"/>
              <w:rPr>
                <w:rFonts w:ascii="Calibri" w:eastAsia="Calibri" w:hAnsi="Calibri" w:cs="Calibri"/>
                <w:noProof/>
                <w:sz w:val="18"/>
                <w:szCs w:val="18"/>
              </w:rPr>
            </w:pPr>
            <w:r w:rsidRPr="00F5121A">
              <w:rPr>
                <w:rFonts w:ascii="Calibri" w:eastAsia="Calibri" w:hAnsi="Calibri" w:cs="Calibri"/>
                <w:noProof/>
                <w:sz w:val="18"/>
                <w:szCs w:val="18"/>
              </w:rPr>
              <w:t xml:space="preserve">Annex III: Part ATCO.OR </w:t>
            </w:r>
          </w:p>
          <w:p w14:paraId="244AB869" w14:textId="77777777" w:rsidR="00EC08B0" w:rsidRPr="00081245" w:rsidRDefault="00EC08B0" w:rsidP="00EC08B0">
            <w:pPr>
              <w:spacing w:before="40" w:after="40"/>
              <w:jc w:val="left"/>
              <w:rPr>
                <w:rFonts w:ascii="Calibri" w:eastAsia="Calibri" w:hAnsi="Calibri" w:cs="Calibri"/>
                <w:noProof/>
                <w:sz w:val="18"/>
                <w:szCs w:val="18"/>
                <w:lang w:val="fr-FR"/>
              </w:rPr>
            </w:pPr>
            <w:r w:rsidRPr="00F5121A">
              <w:rPr>
                <w:rFonts w:ascii="Calibri" w:eastAsia="Calibri" w:hAnsi="Calibri" w:cs="Calibri"/>
                <w:noProof/>
                <w:sz w:val="18"/>
                <w:szCs w:val="18"/>
              </w:rPr>
              <w:t>Annex IV: Part ATCO.MED</w:t>
            </w:r>
          </w:p>
        </w:tc>
      </w:tr>
      <w:tr w:rsidR="00EC08B0" w:rsidRPr="00F5121A" w14:paraId="7123FE11" w14:textId="77777777" w:rsidTr="006A54C1">
        <w:trPr>
          <w:cnfStyle w:val="000000100000" w:firstRow="0" w:lastRow="0" w:firstColumn="0" w:lastColumn="0" w:oddVBand="0" w:evenVBand="0" w:oddHBand="1" w:evenHBand="0" w:firstRowFirstColumn="0" w:firstRowLastColumn="0" w:lastRowFirstColumn="0" w:lastRowLastColumn="0"/>
          <w:trHeight w:val="90"/>
        </w:trPr>
        <w:tc>
          <w:tcPr>
            <w:tcW w:w="2742" w:type="dxa"/>
            <w:tcMar>
              <w:top w:w="57" w:type="dxa"/>
              <w:left w:w="57" w:type="dxa"/>
              <w:bottom w:w="57" w:type="dxa"/>
              <w:right w:w="57" w:type="dxa"/>
            </w:tcMar>
          </w:tcPr>
          <w:p w14:paraId="1F35DC43" w14:textId="77777777" w:rsidR="00EC08B0" w:rsidRPr="00F5121A" w:rsidRDefault="00E001AA" w:rsidP="00EC08B0">
            <w:pPr>
              <w:tabs>
                <w:tab w:val="left" w:pos="2627"/>
              </w:tabs>
              <w:spacing w:before="0" w:after="160" w:line="256" w:lineRule="auto"/>
              <w:jc w:val="left"/>
              <w:rPr>
                <w:rFonts w:ascii="Calibri" w:eastAsia="Calibri" w:hAnsi="Calibri" w:cs="Calibri"/>
                <w:noProof/>
                <w:sz w:val="18"/>
                <w:szCs w:val="18"/>
              </w:rPr>
            </w:pPr>
            <w:hyperlink r:id="rId30" w:anchor="regulations-aur---airspace-usage-requirements-acas-ii" w:history="1">
              <w:r w:rsidR="00EC08B0" w:rsidRPr="00F5121A">
                <w:rPr>
                  <w:rFonts w:ascii="Calibri" w:eastAsia="Calibri" w:hAnsi="Calibri" w:cs="Calibri"/>
                  <w:b/>
                  <w:noProof/>
                  <w:color w:val="0563C1"/>
                  <w:sz w:val="18"/>
                  <w:szCs w:val="18"/>
                  <w:u w:val="single"/>
                </w:rPr>
                <w:t>Airspace usage requirements (ACAS II)</w:t>
              </w:r>
            </w:hyperlink>
          </w:p>
        </w:tc>
        <w:tc>
          <w:tcPr>
            <w:tcW w:w="2073" w:type="dxa"/>
            <w:tcMar>
              <w:top w:w="57" w:type="dxa"/>
              <w:left w:w="57" w:type="dxa"/>
              <w:bottom w:w="57" w:type="dxa"/>
              <w:right w:w="57" w:type="dxa"/>
            </w:tcMar>
          </w:tcPr>
          <w:p w14:paraId="704FB2A8" w14:textId="5D3F7B25" w:rsidR="00EC08B0" w:rsidRPr="00F5121A" w:rsidRDefault="00EC08B0" w:rsidP="00303781">
            <w:pPr>
              <w:spacing w:before="40" w:after="40"/>
              <w:jc w:val="left"/>
              <w:rPr>
                <w:rFonts w:ascii="Calibri" w:eastAsia="Calibri" w:hAnsi="Calibri" w:cs="Calibri"/>
                <w:noProof/>
                <w:sz w:val="18"/>
                <w:szCs w:val="18"/>
              </w:rPr>
            </w:pPr>
            <w:r w:rsidRPr="00F5121A">
              <w:rPr>
                <w:rFonts w:ascii="Calibri" w:eastAsia="Calibri" w:hAnsi="Calibri" w:cs="Calibri"/>
                <w:noProof/>
                <w:sz w:val="18"/>
                <w:szCs w:val="18"/>
              </w:rPr>
              <w:t xml:space="preserve">IR: (EU) </w:t>
            </w:r>
            <w:r w:rsidR="002656F3">
              <w:rPr>
                <w:rFonts w:ascii="Calibri" w:eastAsia="Calibri" w:hAnsi="Calibri" w:cs="Calibri"/>
                <w:noProof/>
                <w:sz w:val="18"/>
                <w:szCs w:val="18"/>
              </w:rPr>
              <w:t xml:space="preserve">No </w:t>
            </w:r>
            <w:r w:rsidRPr="00F5121A">
              <w:rPr>
                <w:rFonts w:ascii="Calibri" w:eastAsia="Calibri" w:hAnsi="Calibri" w:cs="Calibri"/>
                <w:noProof/>
                <w:sz w:val="18"/>
                <w:szCs w:val="18"/>
              </w:rPr>
              <w:t>1332/2011</w:t>
            </w:r>
          </w:p>
        </w:tc>
        <w:tc>
          <w:tcPr>
            <w:tcW w:w="5165" w:type="dxa"/>
            <w:tcMar>
              <w:top w:w="57" w:type="dxa"/>
              <w:left w:w="57" w:type="dxa"/>
              <w:bottom w:w="57" w:type="dxa"/>
              <w:right w:w="57" w:type="dxa"/>
            </w:tcMar>
          </w:tcPr>
          <w:p w14:paraId="3C85B956" w14:textId="77777777" w:rsidR="00EC08B0" w:rsidRPr="00F5121A" w:rsidRDefault="00EC08B0" w:rsidP="00EC08B0">
            <w:pPr>
              <w:spacing w:before="40" w:after="40"/>
              <w:jc w:val="left"/>
              <w:rPr>
                <w:rFonts w:ascii="Calibri" w:eastAsia="Calibri" w:hAnsi="Calibri" w:cs="Calibri"/>
                <w:noProof/>
                <w:sz w:val="18"/>
                <w:szCs w:val="18"/>
              </w:rPr>
            </w:pPr>
            <w:r w:rsidRPr="00F5121A">
              <w:rPr>
                <w:rFonts w:ascii="Calibri" w:eastAsia="Calibri" w:hAnsi="Calibri" w:cs="Calibri"/>
                <w:noProof/>
                <w:sz w:val="18"/>
                <w:szCs w:val="18"/>
              </w:rPr>
              <w:t>Annex: ACAS</w:t>
            </w:r>
          </w:p>
        </w:tc>
      </w:tr>
      <w:tr w:rsidR="00EC08B0" w:rsidRPr="00F5121A" w14:paraId="3B46D3AA" w14:textId="77777777" w:rsidTr="006A54C1">
        <w:trPr>
          <w:trHeight w:val="131"/>
        </w:trPr>
        <w:tc>
          <w:tcPr>
            <w:tcW w:w="2742" w:type="dxa"/>
            <w:tcMar>
              <w:top w:w="57" w:type="dxa"/>
              <w:left w:w="57" w:type="dxa"/>
              <w:bottom w:w="57" w:type="dxa"/>
              <w:right w:w="57" w:type="dxa"/>
            </w:tcMar>
          </w:tcPr>
          <w:p w14:paraId="0CD6CC9D" w14:textId="77777777" w:rsidR="00EC08B0" w:rsidRPr="00F5121A" w:rsidRDefault="00E001AA" w:rsidP="00EC08B0">
            <w:pPr>
              <w:spacing w:before="40" w:after="40"/>
              <w:jc w:val="left"/>
              <w:rPr>
                <w:rFonts w:ascii="Calibri" w:eastAsia="Calibri" w:hAnsi="Calibri" w:cs="Calibri"/>
                <w:b/>
                <w:noProof/>
                <w:sz w:val="18"/>
                <w:szCs w:val="18"/>
              </w:rPr>
            </w:pPr>
            <w:hyperlink r:id="rId31" w:history="1">
              <w:r w:rsidR="00EC08B0" w:rsidRPr="00F5121A">
                <w:rPr>
                  <w:rFonts w:ascii="Calibri" w:eastAsia="Calibri" w:hAnsi="Calibri" w:cs="Calibri"/>
                  <w:b/>
                  <w:noProof/>
                  <w:color w:val="0563C1"/>
                  <w:sz w:val="18"/>
                  <w:szCs w:val="18"/>
                  <w:u w:val="single"/>
                </w:rPr>
                <w:t>Airspace usage requirements (PBN)</w:t>
              </w:r>
            </w:hyperlink>
          </w:p>
        </w:tc>
        <w:tc>
          <w:tcPr>
            <w:tcW w:w="2073" w:type="dxa"/>
            <w:tcMar>
              <w:top w:w="57" w:type="dxa"/>
              <w:left w:w="57" w:type="dxa"/>
              <w:bottom w:w="57" w:type="dxa"/>
              <w:right w:w="57" w:type="dxa"/>
            </w:tcMar>
          </w:tcPr>
          <w:p w14:paraId="27744F05" w14:textId="77777777" w:rsidR="00EC08B0" w:rsidRPr="00F5121A" w:rsidRDefault="00EC08B0" w:rsidP="00EC08B0">
            <w:pPr>
              <w:spacing w:before="40" w:after="40"/>
              <w:jc w:val="left"/>
              <w:rPr>
                <w:rFonts w:ascii="Calibri" w:eastAsia="Calibri" w:hAnsi="Calibri" w:cs="Calibri"/>
                <w:noProof/>
                <w:sz w:val="18"/>
                <w:szCs w:val="18"/>
              </w:rPr>
            </w:pPr>
            <w:r w:rsidRPr="00F5121A">
              <w:rPr>
                <w:rFonts w:ascii="Calibri" w:eastAsia="Calibri" w:hAnsi="Calibri" w:cs="Calibri"/>
                <w:noProof/>
                <w:sz w:val="18"/>
                <w:szCs w:val="18"/>
              </w:rPr>
              <w:t>IR: (EU) 2018/1048</w:t>
            </w:r>
          </w:p>
        </w:tc>
        <w:tc>
          <w:tcPr>
            <w:tcW w:w="5165" w:type="dxa"/>
            <w:tcMar>
              <w:top w:w="57" w:type="dxa"/>
              <w:left w:w="57" w:type="dxa"/>
              <w:bottom w:w="57" w:type="dxa"/>
              <w:right w:w="57" w:type="dxa"/>
            </w:tcMar>
          </w:tcPr>
          <w:p w14:paraId="34083E32" w14:textId="77777777" w:rsidR="00EC08B0" w:rsidRPr="00F5121A" w:rsidRDefault="00EC08B0" w:rsidP="00EC08B0">
            <w:pPr>
              <w:spacing w:before="40" w:after="40"/>
              <w:jc w:val="left"/>
              <w:rPr>
                <w:rFonts w:ascii="Calibri" w:eastAsia="Calibri" w:hAnsi="Calibri" w:cs="Calibri"/>
                <w:noProof/>
                <w:sz w:val="18"/>
                <w:szCs w:val="18"/>
              </w:rPr>
            </w:pPr>
            <w:r w:rsidRPr="00F5121A">
              <w:rPr>
                <w:rFonts w:ascii="Calibri" w:eastAsia="Calibri" w:hAnsi="Calibri" w:cs="Calibri"/>
                <w:noProof/>
                <w:sz w:val="18"/>
                <w:szCs w:val="18"/>
              </w:rPr>
              <w:t>Annex: Subpart PBN</w:t>
            </w:r>
          </w:p>
        </w:tc>
      </w:tr>
      <w:tr w:rsidR="00EC08B0" w:rsidRPr="00F5121A" w14:paraId="4E6DDB98" w14:textId="77777777" w:rsidTr="006A54C1">
        <w:trPr>
          <w:cnfStyle w:val="000000100000" w:firstRow="0" w:lastRow="0" w:firstColumn="0" w:lastColumn="0" w:oddVBand="0" w:evenVBand="0" w:oddHBand="1" w:evenHBand="0" w:firstRowFirstColumn="0" w:firstRowLastColumn="0" w:lastRowFirstColumn="0" w:lastRowLastColumn="0"/>
          <w:trHeight w:val="683"/>
        </w:trPr>
        <w:tc>
          <w:tcPr>
            <w:tcW w:w="2742" w:type="dxa"/>
            <w:tcMar>
              <w:top w:w="57" w:type="dxa"/>
              <w:left w:w="57" w:type="dxa"/>
              <w:bottom w:w="57" w:type="dxa"/>
              <w:right w:w="57" w:type="dxa"/>
            </w:tcMar>
          </w:tcPr>
          <w:p w14:paraId="2732EFE2" w14:textId="77777777" w:rsidR="00EC08B0" w:rsidRPr="00F5121A" w:rsidRDefault="00E001AA" w:rsidP="00EC08B0">
            <w:pPr>
              <w:spacing w:before="40" w:after="40"/>
              <w:jc w:val="left"/>
              <w:rPr>
                <w:rFonts w:ascii="Calibri" w:eastAsia="Calibri" w:hAnsi="Calibri" w:cs="Calibri"/>
                <w:b/>
                <w:noProof/>
                <w:sz w:val="18"/>
                <w:szCs w:val="18"/>
              </w:rPr>
            </w:pPr>
            <w:hyperlink r:id="rId32" w:anchor="regulations-sera---standardised-european-rules-of-the-air" w:history="1">
              <w:r w:rsidR="00EC08B0" w:rsidRPr="00F5121A">
                <w:rPr>
                  <w:rFonts w:ascii="Calibri" w:eastAsia="Calibri" w:hAnsi="Calibri" w:cs="Calibri"/>
                  <w:b/>
                  <w:noProof/>
                  <w:color w:val="0563C1"/>
                  <w:sz w:val="18"/>
                  <w:szCs w:val="18"/>
                  <w:u w:val="single"/>
                </w:rPr>
                <w:t>SERA</w:t>
              </w:r>
            </w:hyperlink>
          </w:p>
        </w:tc>
        <w:tc>
          <w:tcPr>
            <w:tcW w:w="2073" w:type="dxa"/>
            <w:tcMar>
              <w:top w:w="57" w:type="dxa"/>
              <w:left w:w="57" w:type="dxa"/>
              <w:bottom w:w="57" w:type="dxa"/>
              <w:right w:w="57" w:type="dxa"/>
            </w:tcMar>
          </w:tcPr>
          <w:p w14:paraId="682983BF" w14:textId="40CD6E5D" w:rsidR="00EC08B0" w:rsidRPr="00F5121A" w:rsidRDefault="00EC08B0" w:rsidP="00303781">
            <w:pPr>
              <w:spacing w:before="40" w:after="40"/>
              <w:jc w:val="left"/>
              <w:rPr>
                <w:rFonts w:ascii="Calibri" w:eastAsia="Calibri" w:hAnsi="Calibri" w:cs="Calibri"/>
                <w:noProof/>
                <w:sz w:val="18"/>
                <w:szCs w:val="18"/>
              </w:rPr>
            </w:pPr>
            <w:r w:rsidRPr="00F5121A">
              <w:rPr>
                <w:rFonts w:ascii="Calibri" w:eastAsia="Calibri" w:hAnsi="Calibri" w:cs="Calibri"/>
                <w:noProof/>
                <w:sz w:val="18"/>
                <w:szCs w:val="18"/>
              </w:rPr>
              <w:t xml:space="preserve">IR: (EU) </w:t>
            </w:r>
            <w:r w:rsidR="002656F3">
              <w:rPr>
                <w:rFonts w:ascii="Calibri" w:eastAsia="Calibri" w:hAnsi="Calibri" w:cs="Calibri"/>
                <w:noProof/>
                <w:sz w:val="18"/>
                <w:szCs w:val="18"/>
              </w:rPr>
              <w:t xml:space="preserve">No </w:t>
            </w:r>
            <w:r w:rsidRPr="00F5121A">
              <w:rPr>
                <w:rFonts w:ascii="Calibri" w:eastAsia="Calibri" w:hAnsi="Calibri" w:cs="Calibri"/>
                <w:noProof/>
                <w:sz w:val="18"/>
                <w:szCs w:val="18"/>
              </w:rPr>
              <w:t>923/2012</w:t>
            </w:r>
          </w:p>
        </w:tc>
        <w:tc>
          <w:tcPr>
            <w:tcW w:w="5165" w:type="dxa"/>
            <w:tcMar>
              <w:top w:w="57" w:type="dxa"/>
              <w:left w:w="57" w:type="dxa"/>
              <w:bottom w:w="57" w:type="dxa"/>
              <w:right w:w="57" w:type="dxa"/>
            </w:tcMar>
          </w:tcPr>
          <w:p w14:paraId="1BB01DA4" w14:textId="77777777" w:rsidR="00EC08B0" w:rsidRPr="00F5121A" w:rsidRDefault="00EC08B0" w:rsidP="00EC08B0">
            <w:pPr>
              <w:spacing w:before="40" w:after="40"/>
              <w:jc w:val="left"/>
              <w:rPr>
                <w:rFonts w:ascii="Calibri" w:eastAsia="Calibri" w:hAnsi="Calibri" w:cs="Calibri"/>
                <w:noProof/>
                <w:sz w:val="18"/>
                <w:szCs w:val="18"/>
              </w:rPr>
            </w:pPr>
            <w:r w:rsidRPr="00F5121A">
              <w:rPr>
                <w:rFonts w:ascii="Calibri" w:eastAsia="Calibri" w:hAnsi="Calibri" w:cs="Calibri"/>
                <w:noProof/>
                <w:sz w:val="18"/>
                <w:szCs w:val="18"/>
              </w:rPr>
              <w:t>Annex: Standardised European rules of the air</w:t>
            </w:r>
          </w:p>
        </w:tc>
      </w:tr>
      <w:tr w:rsidR="00EC08B0" w:rsidRPr="00F5121A" w14:paraId="189496B7" w14:textId="77777777" w:rsidTr="006A54C1">
        <w:trPr>
          <w:trHeight w:val="166"/>
        </w:trPr>
        <w:tc>
          <w:tcPr>
            <w:tcW w:w="2742" w:type="dxa"/>
            <w:tcMar>
              <w:top w:w="57" w:type="dxa"/>
              <w:left w:w="57" w:type="dxa"/>
              <w:bottom w:w="57" w:type="dxa"/>
              <w:right w:w="57" w:type="dxa"/>
            </w:tcMar>
          </w:tcPr>
          <w:p w14:paraId="678E26D7" w14:textId="77777777" w:rsidR="00EC08B0" w:rsidRPr="00F5121A" w:rsidRDefault="00E001AA" w:rsidP="00EC08B0">
            <w:pPr>
              <w:spacing w:before="40" w:after="40"/>
              <w:jc w:val="left"/>
              <w:rPr>
                <w:rFonts w:ascii="Calibri" w:eastAsia="Calibri" w:hAnsi="Calibri" w:cs="Calibri"/>
                <w:b/>
                <w:noProof/>
                <w:sz w:val="18"/>
                <w:szCs w:val="18"/>
              </w:rPr>
            </w:pPr>
            <w:hyperlink r:id="rId33" w:anchor="regulations-adr---aerodromes" w:history="1">
              <w:r w:rsidR="00EC08B0" w:rsidRPr="00F5121A">
                <w:rPr>
                  <w:rFonts w:ascii="Calibri" w:eastAsia="Calibri" w:hAnsi="Calibri" w:cs="Calibri"/>
                  <w:b/>
                  <w:noProof/>
                  <w:color w:val="0563C1"/>
                  <w:sz w:val="18"/>
                  <w:szCs w:val="18"/>
                  <w:u w:val="single"/>
                </w:rPr>
                <w:t>Aerodromes</w:t>
              </w:r>
            </w:hyperlink>
          </w:p>
        </w:tc>
        <w:tc>
          <w:tcPr>
            <w:tcW w:w="2073" w:type="dxa"/>
            <w:tcMar>
              <w:top w:w="57" w:type="dxa"/>
              <w:left w:w="57" w:type="dxa"/>
              <w:bottom w:w="57" w:type="dxa"/>
              <w:right w:w="57" w:type="dxa"/>
            </w:tcMar>
          </w:tcPr>
          <w:p w14:paraId="5374F107" w14:textId="46AA4BA2" w:rsidR="00EC08B0" w:rsidRPr="00F5121A" w:rsidRDefault="00EC08B0" w:rsidP="00303781">
            <w:pPr>
              <w:spacing w:before="40" w:after="40"/>
              <w:jc w:val="left"/>
              <w:rPr>
                <w:rFonts w:ascii="Calibri" w:eastAsia="Calibri" w:hAnsi="Calibri" w:cs="Calibri"/>
                <w:noProof/>
                <w:sz w:val="18"/>
                <w:szCs w:val="18"/>
              </w:rPr>
            </w:pPr>
            <w:r w:rsidRPr="00F5121A">
              <w:rPr>
                <w:rFonts w:ascii="Calibri" w:eastAsia="Calibri" w:hAnsi="Calibri" w:cs="Calibri"/>
                <w:noProof/>
                <w:sz w:val="18"/>
                <w:szCs w:val="18"/>
              </w:rPr>
              <w:t xml:space="preserve">IR: (EU) </w:t>
            </w:r>
            <w:r w:rsidR="002656F3">
              <w:rPr>
                <w:rFonts w:ascii="Calibri" w:eastAsia="Calibri" w:hAnsi="Calibri" w:cs="Calibri"/>
                <w:noProof/>
                <w:sz w:val="18"/>
                <w:szCs w:val="18"/>
              </w:rPr>
              <w:t xml:space="preserve">No </w:t>
            </w:r>
            <w:r w:rsidRPr="00F5121A">
              <w:rPr>
                <w:rFonts w:ascii="Calibri" w:eastAsia="Calibri" w:hAnsi="Calibri" w:cs="Calibri"/>
                <w:noProof/>
                <w:sz w:val="18"/>
                <w:szCs w:val="18"/>
              </w:rPr>
              <w:t>139/2014</w:t>
            </w:r>
          </w:p>
        </w:tc>
        <w:tc>
          <w:tcPr>
            <w:tcW w:w="5165" w:type="dxa"/>
            <w:tcMar>
              <w:top w:w="57" w:type="dxa"/>
              <w:left w:w="57" w:type="dxa"/>
              <w:bottom w:w="57" w:type="dxa"/>
              <w:right w:w="57" w:type="dxa"/>
            </w:tcMar>
          </w:tcPr>
          <w:p w14:paraId="484F7B19" w14:textId="77777777" w:rsidR="00EC08B0" w:rsidRPr="00F5121A" w:rsidRDefault="00EC08B0" w:rsidP="00EC08B0">
            <w:pPr>
              <w:spacing w:before="40" w:after="40"/>
              <w:jc w:val="left"/>
              <w:rPr>
                <w:rFonts w:ascii="Calibri" w:eastAsia="Calibri" w:hAnsi="Calibri" w:cs="Calibri"/>
                <w:noProof/>
                <w:sz w:val="18"/>
                <w:szCs w:val="18"/>
              </w:rPr>
            </w:pPr>
            <w:r w:rsidRPr="00F5121A">
              <w:rPr>
                <w:rFonts w:ascii="Calibri" w:eastAsia="Calibri" w:hAnsi="Calibri" w:cs="Calibri"/>
                <w:noProof/>
                <w:sz w:val="18"/>
                <w:szCs w:val="18"/>
              </w:rPr>
              <w:t>Annex I: Definitions</w:t>
            </w:r>
          </w:p>
          <w:p w14:paraId="2C325AF4" w14:textId="77777777" w:rsidR="00EC08B0" w:rsidRPr="00F5121A" w:rsidRDefault="00EC08B0" w:rsidP="00EC08B0">
            <w:pPr>
              <w:spacing w:before="40" w:after="40"/>
              <w:jc w:val="left"/>
              <w:rPr>
                <w:rFonts w:ascii="Calibri" w:eastAsia="Calibri" w:hAnsi="Calibri" w:cs="Calibri"/>
                <w:noProof/>
                <w:sz w:val="18"/>
                <w:szCs w:val="18"/>
              </w:rPr>
            </w:pPr>
            <w:r w:rsidRPr="00F5121A">
              <w:rPr>
                <w:rFonts w:ascii="Calibri" w:eastAsia="Calibri" w:hAnsi="Calibri" w:cs="Calibri"/>
                <w:noProof/>
                <w:sz w:val="18"/>
                <w:szCs w:val="18"/>
              </w:rPr>
              <w:t xml:space="preserve">Annex II: Part-ADR.AR </w:t>
            </w:r>
          </w:p>
          <w:p w14:paraId="22D8198F" w14:textId="77777777" w:rsidR="00EC08B0" w:rsidRPr="00F5121A" w:rsidRDefault="00EC08B0" w:rsidP="00EC08B0">
            <w:pPr>
              <w:spacing w:before="40" w:after="40"/>
              <w:jc w:val="left"/>
              <w:rPr>
                <w:rFonts w:ascii="Calibri" w:eastAsia="Calibri" w:hAnsi="Calibri" w:cs="Calibri"/>
                <w:noProof/>
                <w:sz w:val="18"/>
                <w:szCs w:val="18"/>
              </w:rPr>
            </w:pPr>
            <w:r w:rsidRPr="00F5121A">
              <w:rPr>
                <w:rFonts w:ascii="Calibri" w:eastAsia="Calibri" w:hAnsi="Calibri" w:cs="Calibri"/>
                <w:noProof/>
                <w:sz w:val="18"/>
                <w:szCs w:val="18"/>
              </w:rPr>
              <w:t xml:space="preserve">Annex III: Part-ADR.OR </w:t>
            </w:r>
          </w:p>
          <w:p w14:paraId="57595166" w14:textId="77777777" w:rsidR="00EC08B0" w:rsidRPr="00F5121A" w:rsidRDefault="00EC08B0" w:rsidP="00EC08B0">
            <w:pPr>
              <w:spacing w:before="40" w:after="40"/>
              <w:jc w:val="left"/>
              <w:rPr>
                <w:rFonts w:ascii="Calibri" w:eastAsia="Calibri" w:hAnsi="Calibri" w:cs="Calibri"/>
                <w:noProof/>
                <w:sz w:val="18"/>
                <w:szCs w:val="18"/>
              </w:rPr>
            </w:pPr>
            <w:r w:rsidRPr="00F5121A">
              <w:rPr>
                <w:rFonts w:ascii="Calibri" w:eastAsia="Calibri" w:hAnsi="Calibri" w:cs="Calibri"/>
                <w:noProof/>
                <w:sz w:val="18"/>
                <w:szCs w:val="18"/>
              </w:rPr>
              <w:t>Annex IV: Part-ADR.OPS</w:t>
            </w:r>
          </w:p>
        </w:tc>
      </w:tr>
      <w:tr w:rsidR="00EC08B0" w:rsidRPr="00F5121A" w14:paraId="6791207E" w14:textId="77777777" w:rsidTr="006A54C1">
        <w:trPr>
          <w:cnfStyle w:val="000000100000" w:firstRow="0" w:lastRow="0" w:firstColumn="0" w:lastColumn="0" w:oddVBand="0" w:evenVBand="0" w:oddHBand="1" w:evenHBand="0" w:firstRowFirstColumn="0" w:firstRowLastColumn="0" w:lastRowFirstColumn="0" w:lastRowLastColumn="0"/>
          <w:trHeight w:val="93"/>
        </w:trPr>
        <w:tc>
          <w:tcPr>
            <w:tcW w:w="2742" w:type="dxa"/>
            <w:tcMar>
              <w:top w:w="57" w:type="dxa"/>
              <w:left w:w="57" w:type="dxa"/>
              <w:bottom w:w="57" w:type="dxa"/>
              <w:right w:w="57" w:type="dxa"/>
            </w:tcMar>
          </w:tcPr>
          <w:p w14:paraId="1766AA19" w14:textId="77777777" w:rsidR="00EC08B0" w:rsidRPr="00F5121A" w:rsidRDefault="00E001AA" w:rsidP="00EC08B0">
            <w:pPr>
              <w:spacing w:before="40" w:after="40"/>
              <w:jc w:val="left"/>
              <w:rPr>
                <w:rFonts w:ascii="Calibri" w:eastAsia="Calibri" w:hAnsi="Calibri" w:cs="Calibri"/>
                <w:b/>
                <w:noProof/>
                <w:color w:val="0563C1"/>
                <w:sz w:val="18"/>
                <w:szCs w:val="18"/>
                <w:u w:val="single"/>
              </w:rPr>
            </w:pPr>
            <w:hyperlink r:id="rId34" w:anchor="regulations-uas---unmanned-aircraft-systems" w:history="1">
              <w:r w:rsidR="00EC08B0" w:rsidRPr="00F5121A">
                <w:rPr>
                  <w:rFonts w:ascii="Calibri" w:eastAsia="Calibri" w:hAnsi="Calibri" w:cs="Calibri"/>
                  <w:b/>
                  <w:noProof/>
                  <w:color w:val="0563C1"/>
                  <w:sz w:val="18"/>
                  <w:szCs w:val="18"/>
                  <w:u w:val="single"/>
                </w:rPr>
                <w:t>Unmanned Aircraft Systems (UAS)</w:t>
              </w:r>
            </w:hyperlink>
          </w:p>
          <w:p w14:paraId="58983CB9" w14:textId="77777777" w:rsidR="00EC08B0" w:rsidRPr="00F5121A" w:rsidRDefault="00E001AA" w:rsidP="00EC08B0">
            <w:pPr>
              <w:spacing w:before="40" w:after="40"/>
              <w:jc w:val="left"/>
              <w:rPr>
                <w:rFonts w:ascii="Calibri" w:eastAsia="Calibri" w:hAnsi="Calibri" w:cs="Calibri"/>
                <w:b/>
                <w:noProof/>
                <w:sz w:val="18"/>
                <w:szCs w:val="18"/>
              </w:rPr>
            </w:pPr>
            <w:hyperlink r:id="rId35" w:anchor="regulations-uas---unmanned-aircraft-systems" w:history="1">
              <w:r w:rsidR="00EC08B0" w:rsidRPr="00F5121A">
                <w:rPr>
                  <w:rFonts w:ascii="Calibri" w:eastAsia="Calibri" w:hAnsi="Calibri" w:cs="Calibri"/>
                  <w:b/>
                  <w:noProof/>
                  <w:color w:val="0563C1"/>
                  <w:sz w:val="18"/>
                  <w:szCs w:val="18"/>
                  <w:u w:val="single"/>
                </w:rPr>
                <w:t>(Rules and procedures for the operation of unmanned aircraft)</w:t>
              </w:r>
            </w:hyperlink>
          </w:p>
        </w:tc>
        <w:tc>
          <w:tcPr>
            <w:tcW w:w="2073" w:type="dxa"/>
            <w:tcMar>
              <w:top w:w="57" w:type="dxa"/>
              <w:left w:w="57" w:type="dxa"/>
              <w:bottom w:w="57" w:type="dxa"/>
              <w:right w:w="57" w:type="dxa"/>
            </w:tcMar>
          </w:tcPr>
          <w:p w14:paraId="635E7586" w14:textId="77777777" w:rsidR="00EC08B0" w:rsidRPr="00F5121A" w:rsidRDefault="00EC08B0" w:rsidP="00EC08B0">
            <w:pPr>
              <w:spacing w:before="40" w:after="40"/>
              <w:jc w:val="left"/>
              <w:rPr>
                <w:rFonts w:ascii="Calibri" w:eastAsia="Calibri" w:hAnsi="Calibri" w:cs="Calibri"/>
                <w:noProof/>
                <w:sz w:val="18"/>
                <w:szCs w:val="18"/>
              </w:rPr>
            </w:pPr>
            <w:r w:rsidRPr="00F5121A">
              <w:rPr>
                <w:rFonts w:ascii="Calibri" w:eastAsia="Calibri" w:hAnsi="Calibri" w:cs="Calibri"/>
                <w:noProof/>
                <w:sz w:val="18"/>
                <w:szCs w:val="18"/>
              </w:rPr>
              <w:t xml:space="preserve">IR: </w:t>
            </w:r>
            <w:r w:rsidRPr="007A2DE4">
              <w:rPr>
                <w:rFonts w:ascii="Calibri" w:eastAsia="Calibri" w:hAnsi="Calibri" w:cs="Calibri"/>
                <w:bCs/>
                <w:noProof/>
                <w:sz w:val="18"/>
                <w:szCs w:val="18"/>
                <w:lang w:val="en"/>
              </w:rPr>
              <w:t>(EU) 2019/947</w:t>
            </w:r>
          </w:p>
        </w:tc>
        <w:tc>
          <w:tcPr>
            <w:tcW w:w="5165" w:type="dxa"/>
            <w:tcMar>
              <w:top w:w="57" w:type="dxa"/>
              <w:left w:w="57" w:type="dxa"/>
              <w:bottom w:w="57" w:type="dxa"/>
              <w:right w:w="57" w:type="dxa"/>
            </w:tcMar>
          </w:tcPr>
          <w:p w14:paraId="39CF7A3C" w14:textId="77777777" w:rsidR="00EC08B0" w:rsidRPr="00F5121A" w:rsidRDefault="00EC08B0" w:rsidP="00EC08B0">
            <w:pPr>
              <w:spacing w:before="40" w:after="40"/>
              <w:jc w:val="left"/>
              <w:rPr>
                <w:rFonts w:ascii="Calibri" w:eastAsia="Calibri" w:hAnsi="Calibri" w:cs="Calibri"/>
                <w:noProof/>
                <w:sz w:val="18"/>
                <w:szCs w:val="18"/>
              </w:rPr>
            </w:pPr>
            <w:r w:rsidRPr="00F5121A">
              <w:rPr>
                <w:rFonts w:ascii="Calibri" w:eastAsia="Calibri" w:hAnsi="Calibri" w:cs="Calibri"/>
                <w:noProof/>
                <w:sz w:val="18"/>
                <w:szCs w:val="18"/>
              </w:rPr>
              <w:t>Annex: UAS ops in the ‘Open’ and ‘Specific’ categories</w:t>
            </w:r>
          </w:p>
        </w:tc>
      </w:tr>
      <w:tr w:rsidR="00EC08B0" w:rsidRPr="00F5121A" w14:paraId="3AD13EC1" w14:textId="77777777" w:rsidTr="006A54C1">
        <w:trPr>
          <w:trHeight w:val="247"/>
        </w:trPr>
        <w:tc>
          <w:tcPr>
            <w:tcW w:w="2742" w:type="dxa"/>
            <w:tcMar>
              <w:top w:w="57" w:type="dxa"/>
              <w:left w:w="57" w:type="dxa"/>
              <w:bottom w:w="57" w:type="dxa"/>
              <w:right w:w="57" w:type="dxa"/>
            </w:tcMar>
          </w:tcPr>
          <w:p w14:paraId="459873AA" w14:textId="77777777" w:rsidR="00EC08B0" w:rsidRPr="00F5121A" w:rsidRDefault="00E001AA" w:rsidP="00EC08B0">
            <w:pPr>
              <w:spacing w:before="40" w:after="40"/>
              <w:jc w:val="left"/>
              <w:rPr>
                <w:rFonts w:ascii="Calibri" w:eastAsia="Calibri" w:hAnsi="Calibri" w:cs="Calibri"/>
                <w:b/>
                <w:noProof/>
                <w:sz w:val="18"/>
                <w:szCs w:val="18"/>
              </w:rPr>
            </w:pPr>
            <w:hyperlink r:id="rId36" w:anchor="regulations-uas---unmanned-aircraft-systems" w:history="1">
              <w:r w:rsidR="00EC08B0" w:rsidRPr="00F5121A">
                <w:rPr>
                  <w:rFonts w:ascii="Calibri" w:eastAsia="Calibri" w:hAnsi="Calibri" w:cs="Calibri"/>
                  <w:b/>
                  <w:noProof/>
                  <w:color w:val="0563C1"/>
                  <w:sz w:val="18"/>
                  <w:szCs w:val="18"/>
                  <w:u w:val="single"/>
                </w:rPr>
                <w:t>UAS</w:t>
              </w:r>
            </w:hyperlink>
            <w:r w:rsidR="00EC08B0">
              <w:rPr>
                <w:rFonts w:ascii="Calibri" w:eastAsia="Calibri" w:hAnsi="Calibri" w:cs="Calibri"/>
                <w:b/>
                <w:noProof/>
                <w:color w:val="0563C1"/>
                <w:sz w:val="18"/>
                <w:szCs w:val="18"/>
                <w:u w:val="single"/>
              </w:rPr>
              <w:t xml:space="preserve"> </w:t>
            </w:r>
            <w:hyperlink r:id="rId37" w:anchor="regulations-uas---unmanned-aircraft-systems" w:history="1">
              <w:r w:rsidR="00EC08B0" w:rsidRPr="00F5121A">
                <w:rPr>
                  <w:rFonts w:ascii="Calibri" w:eastAsia="Calibri" w:hAnsi="Calibri" w:cs="Calibri"/>
                  <w:b/>
                  <w:noProof/>
                  <w:color w:val="0563C1"/>
                  <w:sz w:val="18"/>
                  <w:szCs w:val="18"/>
                  <w:u w:val="single"/>
                </w:rPr>
                <w:t>and third-country operators of unmanned aircraft systems)</w:t>
              </w:r>
            </w:hyperlink>
          </w:p>
        </w:tc>
        <w:tc>
          <w:tcPr>
            <w:tcW w:w="2073" w:type="dxa"/>
            <w:tcMar>
              <w:top w:w="57" w:type="dxa"/>
              <w:left w:w="57" w:type="dxa"/>
              <w:bottom w:w="57" w:type="dxa"/>
              <w:right w:w="57" w:type="dxa"/>
            </w:tcMar>
          </w:tcPr>
          <w:p w14:paraId="049A1E33" w14:textId="77777777" w:rsidR="00EC08B0" w:rsidRPr="00F5121A" w:rsidRDefault="00EC08B0" w:rsidP="00EC08B0">
            <w:pPr>
              <w:spacing w:before="40" w:after="40"/>
              <w:jc w:val="left"/>
              <w:rPr>
                <w:rFonts w:ascii="Calibri" w:eastAsia="Calibri" w:hAnsi="Calibri" w:cs="Calibri"/>
                <w:noProof/>
                <w:sz w:val="18"/>
                <w:szCs w:val="18"/>
              </w:rPr>
            </w:pPr>
            <w:r w:rsidRPr="00F5121A">
              <w:rPr>
                <w:rFonts w:ascii="Calibri" w:eastAsia="Calibri" w:hAnsi="Calibri" w:cs="Calibri"/>
                <w:noProof/>
                <w:sz w:val="18"/>
                <w:szCs w:val="18"/>
              </w:rPr>
              <w:t xml:space="preserve">DR: </w:t>
            </w:r>
            <w:r w:rsidRPr="007A2DE4">
              <w:rPr>
                <w:rFonts w:ascii="Calibri" w:eastAsia="Calibri" w:hAnsi="Calibri" w:cs="Calibri"/>
                <w:bCs/>
                <w:noProof/>
                <w:sz w:val="18"/>
                <w:szCs w:val="18"/>
                <w:lang w:val="en"/>
              </w:rPr>
              <w:t>(EU) 2019/945</w:t>
            </w:r>
          </w:p>
        </w:tc>
        <w:tc>
          <w:tcPr>
            <w:tcW w:w="5165" w:type="dxa"/>
            <w:tcMar>
              <w:top w:w="57" w:type="dxa"/>
              <w:left w:w="57" w:type="dxa"/>
              <w:bottom w:w="57" w:type="dxa"/>
              <w:right w:w="57" w:type="dxa"/>
            </w:tcMar>
          </w:tcPr>
          <w:p w14:paraId="27852B0C" w14:textId="77777777" w:rsidR="00EC08B0" w:rsidRPr="00F5121A" w:rsidRDefault="00EC08B0" w:rsidP="00EC08B0">
            <w:pPr>
              <w:spacing w:before="40" w:after="40"/>
              <w:jc w:val="left"/>
              <w:rPr>
                <w:rFonts w:ascii="Calibri" w:eastAsia="Calibri" w:hAnsi="Calibri" w:cs="Calibri"/>
                <w:noProof/>
                <w:sz w:val="18"/>
                <w:szCs w:val="18"/>
              </w:rPr>
            </w:pPr>
            <w:r w:rsidRPr="00F5121A">
              <w:rPr>
                <w:rFonts w:ascii="Calibri" w:eastAsia="Calibri" w:hAnsi="Calibri" w:cs="Calibri"/>
                <w:noProof/>
                <w:sz w:val="18"/>
                <w:szCs w:val="18"/>
              </w:rPr>
              <w:t>Annex</w:t>
            </w:r>
          </w:p>
        </w:tc>
      </w:tr>
      <w:tr w:rsidR="00EC08B0" w:rsidRPr="00F5121A" w14:paraId="62B8F2EC" w14:textId="77777777" w:rsidTr="006A54C1">
        <w:trPr>
          <w:cnfStyle w:val="000000100000" w:firstRow="0" w:lastRow="0" w:firstColumn="0" w:lastColumn="0" w:oddVBand="0" w:evenVBand="0" w:oddHBand="1" w:evenHBand="0" w:firstRowFirstColumn="0" w:firstRowLastColumn="0" w:lastRowFirstColumn="0" w:lastRowLastColumn="0"/>
          <w:trHeight w:val="247"/>
        </w:trPr>
        <w:tc>
          <w:tcPr>
            <w:tcW w:w="2742" w:type="dxa"/>
            <w:tcMar>
              <w:top w:w="57" w:type="dxa"/>
              <w:left w:w="57" w:type="dxa"/>
              <w:bottom w:w="57" w:type="dxa"/>
              <w:right w:w="57" w:type="dxa"/>
            </w:tcMar>
          </w:tcPr>
          <w:p w14:paraId="08615253" w14:textId="77777777" w:rsidR="00EC08B0" w:rsidRDefault="00EC08B0" w:rsidP="00EC08B0">
            <w:pPr>
              <w:spacing w:before="40" w:after="40"/>
              <w:jc w:val="left"/>
              <w:rPr>
                <w:noProof/>
              </w:rPr>
            </w:pPr>
            <w:r w:rsidRPr="00894D43">
              <w:rPr>
                <w:rFonts w:ascii="Calibri" w:eastAsia="Calibri" w:hAnsi="Calibri" w:cs="Calibri"/>
                <w:b/>
                <w:noProof/>
                <w:color w:val="0563C1"/>
                <w:sz w:val="18"/>
                <w:szCs w:val="18"/>
                <w:u w:val="single"/>
              </w:rPr>
              <w:t>Regulatory framework for the U-space</w:t>
            </w:r>
          </w:p>
        </w:tc>
        <w:tc>
          <w:tcPr>
            <w:tcW w:w="2073" w:type="dxa"/>
            <w:tcMar>
              <w:top w:w="57" w:type="dxa"/>
              <w:left w:w="57" w:type="dxa"/>
              <w:bottom w:w="57" w:type="dxa"/>
              <w:right w:w="57" w:type="dxa"/>
            </w:tcMar>
          </w:tcPr>
          <w:p w14:paraId="189FF653" w14:textId="77777777" w:rsidR="00EC08B0" w:rsidRPr="00F5121A" w:rsidRDefault="00EC08B0" w:rsidP="00EC08B0">
            <w:pPr>
              <w:spacing w:before="40" w:after="40"/>
              <w:jc w:val="left"/>
              <w:rPr>
                <w:rFonts w:ascii="Calibri" w:eastAsia="Calibri" w:hAnsi="Calibri" w:cs="Calibri"/>
                <w:noProof/>
                <w:sz w:val="18"/>
                <w:szCs w:val="18"/>
              </w:rPr>
            </w:pPr>
            <w:r w:rsidRPr="00894D43">
              <w:rPr>
                <w:rFonts w:ascii="Calibri" w:eastAsia="Calibri" w:hAnsi="Calibri" w:cs="Calibri"/>
                <w:bCs/>
                <w:noProof/>
                <w:sz w:val="18"/>
                <w:szCs w:val="18"/>
                <w:lang w:val="en"/>
              </w:rPr>
              <w:t>IR: (EU) 2021/664</w:t>
            </w:r>
          </w:p>
        </w:tc>
        <w:tc>
          <w:tcPr>
            <w:tcW w:w="5165" w:type="dxa"/>
            <w:tcMar>
              <w:top w:w="57" w:type="dxa"/>
              <w:left w:w="57" w:type="dxa"/>
              <w:bottom w:w="57" w:type="dxa"/>
              <w:right w:w="57" w:type="dxa"/>
            </w:tcMar>
          </w:tcPr>
          <w:p w14:paraId="4BB97C28" w14:textId="77777777" w:rsidR="00E9428A" w:rsidRPr="00E9428A" w:rsidRDefault="00E9428A" w:rsidP="00E9428A">
            <w:pPr>
              <w:spacing w:before="40" w:after="40"/>
              <w:jc w:val="left"/>
              <w:rPr>
                <w:rFonts w:ascii="Calibri" w:eastAsia="Calibri" w:hAnsi="Calibri" w:cs="Calibri"/>
                <w:noProof/>
                <w:sz w:val="18"/>
                <w:szCs w:val="18"/>
              </w:rPr>
            </w:pPr>
            <w:r w:rsidRPr="00E9428A">
              <w:rPr>
                <w:rFonts w:ascii="Calibri" w:eastAsia="Calibri" w:hAnsi="Calibri" w:cs="Calibri"/>
                <w:noProof/>
                <w:sz w:val="18"/>
                <w:szCs w:val="18"/>
              </w:rPr>
              <w:t>A</w:t>
            </w:r>
            <w:r>
              <w:rPr>
                <w:rFonts w:ascii="Calibri" w:eastAsia="Calibri" w:hAnsi="Calibri" w:cs="Calibri"/>
                <w:noProof/>
                <w:sz w:val="18"/>
                <w:szCs w:val="18"/>
              </w:rPr>
              <w:t xml:space="preserve">nnex </w:t>
            </w:r>
            <w:r w:rsidRPr="00E9428A">
              <w:rPr>
                <w:rFonts w:ascii="Calibri" w:eastAsia="Calibri" w:hAnsi="Calibri" w:cs="Calibri"/>
                <w:noProof/>
                <w:sz w:val="18"/>
                <w:szCs w:val="18"/>
              </w:rPr>
              <w:t>I</w:t>
            </w:r>
            <w:r>
              <w:rPr>
                <w:rFonts w:ascii="Calibri" w:eastAsia="Calibri" w:hAnsi="Calibri" w:cs="Calibri"/>
                <w:noProof/>
                <w:sz w:val="18"/>
                <w:szCs w:val="18"/>
              </w:rPr>
              <w:t xml:space="preserve">: </w:t>
            </w:r>
            <w:r w:rsidRPr="00E9428A">
              <w:rPr>
                <w:rFonts w:ascii="Calibri" w:eastAsia="Calibri" w:hAnsi="Calibri" w:cs="Calibri"/>
                <w:noProof/>
                <w:sz w:val="18"/>
                <w:szCs w:val="18"/>
              </w:rPr>
              <w:t xml:space="preserve">Criteria for the definition of capabilities, performance requirements, operational conditions and </w:t>
            </w:r>
          </w:p>
          <w:p w14:paraId="25DCF89A" w14:textId="77777777" w:rsidR="00EC08B0" w:rsidRDefault="00E9428A" w:rsidP="00E9428A">
            <w:pPr>
              <w:spacing w:before="40" w:after="40"/>
              <w:jc w:val="left"/>
              <w:rPr>
                <w:rFonts w:ascii="Calibri" w:eastAsia="Calibri" w:hAnsi="Calibri" w:cs="Calibri"/>
                <w:noProof/>
                <w:sz w:val="18"/>
                <w:szCs w:val="18"/>
              </w:rPr>
            </w:pPr>
            <w:r w:rsidRPr="00E9428A">
              <w:rPr>
                <w:rFonts w:ascii="Calibri" w:eastAsia="Calibri" w:hAnsi="Calibri" w:cs="Calibri"/>
                <w:noProof/>
                <w:sz w:val="18"/>
                <w:szCs w:val="18"/>
              </w:rPr>
              <w:t>airspace constraints referred to in Article 3(4)</w:t>
            </w:r>
          </w:p>
          <w:p w14:paraId="2939FF44" w14:textId="77777777" w:rsidR="00E9428A" w:rsidRDefault="00E9428A" w:rsidP="00E9428A">
            <w:pPr>
              <w:spacing w:before="40" w:after="40"/>
              <w:jc w:val="left"/>
              <w:rPr>
                <w:rFonts w:ascii="Calibri" w:eastAsia="Calibri" w:hAnsi="Calibri" w:cs="Calibri"/>
                <w:noProof/>
                <w:sz w:val="18"/>
                <w:szCs w:val="18"/>
              </w:rPr>
            </w:pPr>
            <w:r w:rsidRPr="00E9428A">
              <w:rPr>
                <w:rFonts w:ascii="Calibri" w:eastAsia="Calibri" w:hAnsi="Calibri" w:cs="Calibri"/>
                <w:noProof/>
                <w:sz w:val="18"/>
                <w:szCs w:val="18"/>
              </w:rPr>
              <w:t>A</w:t>
            </w:r>
            <w:r>
              <w:rPr>
                <w:rFonts w:ascii="Calibri" w:eastAsia="Calibri" w:hAnsi="Calibri" w:cs="Calibri"/>
                <w:noProof/>
                <w:sz w:val="18"/>
                <w:szCs w:val="18"/>
              </w:rPr>
              <w:t xml:space="preserve">nnex </w:t>
            </w:r>
            <w:r w:rsidRPr="00E9428A">
              <w:rPr>
                <w:rFonts w:ascii="Calibri" w:eastAsia="Calibri" w:hAnsi="Calibri" w:cs="Calibri"/>
                <w:noProof/>
                <w:sz w:val="18"/>
                <w:szCs w:val="18"/>
              </w:rPr>
              <w:t>II</w:t>
            </w:r>
            <w:r>
              <w:rPr>
                <w:rFonts w:ascii="Calibri" w:eastAsia="Calibri" w:hAnsi="Calibri" w:cs="Calibri"/>
                <w:noProof/>
                <w:sz w:val="18"/>
                <w:szCs w:val="18"/>
              </w:rPr>
              <w:t xml:space="preserve">: </w:t>
            </w:r>
            <w:r w:rsidRPr="00E9428A">
              <w:rPr>
                <w:rFonts w:ascii="Calibri" w:eastAsia="Calibri" w:hAnsi="Calibri" w:cs="Calibri"/>
                <w:noProof/>
                <w:sz w:val="18"/>
                <w:szCs w:val="18"/>
              </w:rPr>
              <w:t>Publication of the common information referred to in Article 5(4)(a)</w:t>
            </w:r>
          </w:p>
          <w:p w14:paraId="3102ACF2" w14:textId="77777777" w:rsidR="00E9428A" w:rsidRPr="00E9428A" w:rsidRDefault="00E9428A" w:rsidP="00E9428A">
            <w:pPr>
              <w:spacing w:before="40" w:after="40"/>
              <w:jc w:val="left"/>
              <w:rPr>
                <w:rFonts w:ascii="Calibri" w:eastAsia="Calibri" w:hAnsi="Calibri" w:cs="Calibri"/>
                <w:noProof/>
                <w:sz w:val="18"/>
                <w:szCs w:val="18"/>
              </w:rPr>
            </w:pPr>
            <w:r w:rsidRPr="00E9428A">
              <w:rPr>
                <w:rFonts w:ascii="Calibri" w:eastAsia="Calibri" w:hAnsi="Calibri" w:cs="Calibri"/>
                <w:noProof/>
                <w:sz w:val="18"/>
                <w:szCs w:val="18"/>
              </w:rPr>
              <w:t>A</w:t>
            </w:r>
            <w:r>
              <w:rPr>
                <w:rFonts w:ascii="Calibri" w:eastAsia="Calibri" w:hAnsi="Calibri" w:cs="Calibri"/>
                <w:noProof/>
                <w:sz w:val="18"/>
                <w:szCs w:val="18"/>
              </w:rPr>
              <w:t>nnex</w:t>
            </w:r>
            <w:r w:rsidRPr="00E9428A">
              <w:rPr>
                <w:rFonts w:ascii="Calibri" w:eastAsia="Calibri" w:hAnsi="Calibri" w:cs="Calibri"/>
                <w:noProof/>
                <w:sz w:val="18"/>
                <w:szCs w:val="18"/>
              </w:rPr>
              <w:t xml:space="preserve"> III</w:t>
            </w:r>
            <w:r>
              <w:rPr>
                <w:rFonts w:ascii="Calibri" w:eastAsia="Calibri" w:hAnsi="Calibri" w:cs="Calibri"/>
                <w:noProof/>
                <w:sz w:val="18"/>
                <w:szCs w:val="18"/>
              </w:rPr>
              <w:t xml:space="preserve">: </w:t>
            </w:r>
            <w:r w:rsidRPr="00E9428A">
              <w:rPr>
                <w:rFonts w:ascii="Calibri" w:eastAsia="Calibri" w:hAnsi="Calibri" w:cs="Calibri"/>
                <w:noProof/>
                <w:sz w:val="18"/>
                <w:szCs w:val="18"/>
              </w:rPr>
              <w:t xml:space="preserve">Data quality, data latency and data protection requirements referred to in Article 5(4)(b) and Article </w:t>
            </w:r>
          </w:p>
          <w:p w14:paraId="4EB18034" w14:textId="77777777" w:rsidR="00E9428A" w:rsidRDefault="00E9428A" w:rsidP="00E9428A">
            <w:pPr>
              <w:spacing w:before="40" w:after="40"/>
              <w:jc w:val="left"/>
              <w:rPr>
                <w:rFonts w:ascii="Calibri" w:eastAsia="Calibri" w:hAnsi="Calibri" w:cs="Calibri"/>
                <w:noProof/>
                <w:sz w:val="18"/>
                <w:szCs w:val="18"/>
              </w:rPr>
            </w:pPr>
            <w:r w:rsidRPr="00E9428A">
              <w:rPr>
                <w:rFonts w:ascii="Calibri" w:eastAsia="Calibri" w:hAnsi="Calibri" w:cs="Calibri"/>
                <w:noProof/>
                <w:sz w:val="18"/>
                <w:szCs w:val="18"/>
              </w:rPr>
              <w:t>7(5)(c)</w:t>
            </w:r>
          </w:p>
          <w:p w14:paraId="0A901EE4" w14:textId="77777777" w:rsidR="00E9428A" w:rsidRDefault="00E9428A" w:rsidP="00E9428A">
            <w:pPr>
              <w:spacing w:before="40" w:after="40"/>
              <w:jc w:val="left"/>
              <w:rPr>
                <w:rFonts w:ascii="Calibri" w:eastAsia="Calibri" w:hAnsi="Calibri" w:cs="Calibri"/>
                <w:noProof/>
                <w:sz w:val="18"/>
                <w:szCs w:val="18"/>
              </w:rPr>
            </w:pPr>
            <w:r w:rsidRPr="00E9428A">
              <w:rPr>
                <w:rFonts w:ascii="Calibri" w:eastAsia="Calibri" w:hAnsi="Calibri" w:cs="Calibri"/>
                <w:noProof/>
                <w:sz w:val="18"/>
                <w:szCs w:val="18"/>
              </w:rPr>
              <w:t>A</w:t>
            </w:r>
            <w:r>
              <w:rPr>
                <w:rFonts w:ascii="Calibri" w:eastAsia="Calibri" w:hAnsi="Calibri" w:cs="Calibri"/>
                <w:noProof/>
                <w:sz w:val="18"/>
                <w:szCs w:val="18"/>
              </w:rPr>
              <w:t xml:space="preserve">nnex </w:t>
            </w:r>
            <w:r w:rsidRPr="00E9428A">
              <w:rPr>
                <w:rFonts w:ascii="Calibri" w:eastAsia="Calibri" w:hAnsi="Calibri" w:cs="Calibri"/>
                <w:noProof/>
                <w:sz w:val="18"/>
                <w:szCs w:val="18"/>
              </w:rPr>
              <w:t>IV</w:t>
            </w:r>
            <w:r>
              <w:rPr>
                <w:rFonts w:ascii="Calibri" w:eastAsia="Calibri" w:hAnsi="Calibri" w:cs="Calibri"/>
                <w:noProof/>
                <w:sz w:val="18"/>
                <w:szCs w:val="18"/>
              </w:rPr>
              <w:t xml:space="preserve">: </w:t>
            </w:r>
            <w:r w:rsidRPr="00E9428A">
              <w:rPr>
                <w:rFonts w:ascii="Calibri" w:eastAsia="Calibri" w:hAnsi="Calibri" w:cs="Calibri"/>
                <w:noProof/>
                <w:sz w:val="18"/>
                <w:szCs w:val="18"/>
              </w:rPr>
              <w:t>UAS flight authorisation request referred to in Article 6(4)</w:t>
            </w:r>
          </w:p>
          <w:p w14:paraId="55FDB5B1" w14:textId="77777777" w:rsidR="00E9428A" w:rsidRPr="00E9428A" w:rsidRDefault="00E9428A" w:rsidP="00E9428A">
            <w:pPr>
              <w:spacing w:before="40" w:after="40"/>
              <w:jc w:val="left"/>
              <w:rPr>
                <w:rFonts w:ascii="Calibri" w:eastAsia="Calibri" w:hAnsi="Calibri" w:cs="Calibri"/>
                <w:noProof/>
                <w:sz w:val="18"/>
                <w:szCs w:val="18"/>
              </w:rPr>
            </w:pPr>
            <w:r w:rsidRPr="00E9428A">
              <w:rPr>
                <w:rFonts w:ascii="Calibri" w:eastAsia="Calibri" w:hAnsi="Calibri" w:cs="Calibri"/>
                <w:noProof/>
                <w:sz w:val="18"/>
                <w:szCs w:val="18"/>
              </w:rPr>
              <w:t>A</w:t>
            </w:r>
            <w:r>
              <w:rPr>
                <w:rFonts w:ascii="Calibri" w:eastAsia="Calibri" w:hAnsi="Calibri" w:cs="Calibri"/>
                <w:noProof/>
                <w:sz w:val="18"/>
                <w:szCs w:val="18"/>
              </w:rPr>
              <w:t>nnex</w:t>
            </w:r>
            <w:r w:rsidRPr="00E9428A">
              <w:rPr>
                <w:rFonts w:ascii="Calibri" w:eastAsia="Calibri" w:hAnsi="Calibri" w:cs="Calibri"/>
                <w:noProof/>
                <w:sz w:val="18"/>
                <w:szCs w:val="18"/>
              </w:rPr>
              <w:t xml:space="preserve"> V</w:t>
            </w:r>
            <w:r>
              <w:rPr>
                <w:rFonts w:ascii="Calibri" w:eastAsia="Calibri" w:hAnsi="Calibri" w:cs="Calibri"/>
                <w:noProof/>
                <w:sz w:val="18"/>
                <w:szCs w:val="18"/>
              </w:rPr>
              <w:t xml:space="preserve">: </w:t>
            </w:r>
            <w:r w:rsidRPr="00E9428A">
              <w:rPr>
                <w:rFonts w:ascii="Calibri" w:eastAsia="Calibri" w:hAnsi="Calibri" w:cs="Calibri"/>
                <w:noProof/>
                <w:sz w:val="18"/>
                <w:szCs w:val="18"/>
              </w:rPr>
              <w:t xml:space="preserve">Exchange of relevant operational data and information between U-space service providers and air </w:t>
            </w:r>
          </w:p>
          <w:p w14:paraId="01302F3B" w14:textId="77777777" w:rsidR="00E9428A" w:rsidRDefault="00E9428A" w:rsidP="00E9428A">
            <w:pPr>
              <w:spacing w:before="40" w:after="40"/>
              <w:jc w:val="left"/>
              <w:rPr>
                <w:rFonts w:ascii="Calibri" w:eastAsia="Calibri" w:hAnsi="Calibri" w:cs="Calibri"/>
                <w:noProof/>
                <w:sz w:val="18"/>
                <w:szCs w:val="18"/>
              </w:rPr>
            </w:pPr>
            <w:r w:rsidRPr="00E9428A">
              <w:rPr>
                <w:rFonts w:ascii="Calibri" w:eastAsia="Calibri" w:hAnsi="Calibri" w:cs="Calibri"/>
                <w:noProof/>
                <w:sz w:val="18"/>
                <w:szCs w:val="18"/>
              </w:rPr>
              <w:t>traffic service providers in accordance with Article 7(3)</w:t>
            </w:r>
          </w:p>
          <w:p w14:paraId="30909B70" w14:textId="77777777" w:rsidR="003F3EC7" w:rsidRDefault="003F3EC7" w:rsidP="003F3EC7">
            <w:pPr>
              <w:spacing w:before="40" w:after="40"/>
              <w:jc w:val="left"/>
              <w:rPr>
                <w:rFonts w:ascii="Calibri" w:eastAsia="Calibri" w:hAnsi="Calibri" w:cs="Calibri"/>
                <w:noProof/>
                <w:sz w:val="18"/>
                <w:szCs w:val="18"/>
              </w:rPr>
            </w:pPr>
            <w:r w:rsidRPr="003F3EC7">
              <w:rPr>
                <w:rFonts w:ascii="Calibri" w:eastAsia="Calibri" w:hAnsi="Calibri" w:cs="Calibri"/>
                <w:noProof/>
                <w:sz w:val="18"/>
                <w:szCs w:val="18"/>
              </w:rPr>
              <w:t>A</w:t>
            </w:r>
            <w:r>
              <w:rPr>
                <w:rFonts w:ascii="Calibri" w:eastAsia="Calibri" w:hAnsi="Calibri" w:cs="Calibri"/>
                <w:noProof/>
                <w:sz w:val="18"/>
                <w:szCs w:val="18"/>
              </w:rPr>
              <w:t xml:space="preserve">nnex </w:t>
            </w:r>
            <w:r w:rsidRPr="003F3EC7">
              <w:rPr>
                <w:rFonts w:ascii="Calibri" w:eastAsia="Calibri" w:hAnsi="Calibri" w:cs="Calibri"/>
                <w:noProof/>
                <w:sz w:val="18"/>
                <w:szCs w:val="18"/>
              </w:rPr>
              <w:t>VI</w:t>
            </w:r>
            <w:r>
              <w:rPr>
                <w:rFonts w:ascii="Calibri" w:eastAsia="Calibri" w:hAnsi="Calibri" w:cs="Calibri"/>
                <w:noProof/>
                <w:sz w:val="18"/>
                <w:szCs w:val="18"/>
              </w:rPr>
              <w:t xml:space="preserve">: </w:t>
            </w:r>
            <w:r w:rsidRPr="003F3EC7">
              <w:rPr>
                <w:rFonts w:ascii="Calibri" w:eastAsia="Calibri" w:hAnsi="Calibri" w:cs="Calibri"/>
                <w:noProof/>
                <w:sz w:val="18"/>
                <w:szCs w:val="18"/>
              </w:rPr>
              <w:t>Certificate for U-space service provider referred to in Article 14(3)</w:t>
            </w:r>
          </w:p>
          <w:p w14:paraId="36A7E996" w14:textId="77777777" w:rsidR="003F3EC7" w:rsidRPr="00F5121A" w:rsidRDefault="003F3EC7" w:rsidP="00B07EB8">
            <w:pPr>
              <w:spacing w:before="40" w:after="40"/>
              <w:jc w:val="left"/>
              <w:rPr>
                <w:rFonts w:ascii="Calibri" w:eastAsia="Calibri" w:hAnsi="Calibri" w:cs="Calibri"/>
                <w:noProof/>
                <w:sz w:val="18"/>
                <w:szCs w:val="18"/>
              </w:rPr>
            </w:pPr>
            <w:r w:rsidRPr="003F3EC7">
              <w:rPr>
                <w:rFonts w:ascii="Calibri" w:eastAsia="Calibri" w:hAnsi="Calibri" w:cs="Calibri"/>
                <w:noProof/>
                <w:sz w:val="18"/>
                <w:szCs w:val="18"/>
              </w:rPr>
              <w:t>A</w:t>
            </w:r>
            <w:r>
              <w:rPr>
                <w:rFonts w:ascii="Calibri" w:eastAsia="Calibri" w:hAnsi="Calibri" w:cs="Calibri"/>
                <w:noProof/>
                <w:sz w:val="18"/>
                <w:szCs w:val="18"/>
              </w:rPr>
              <w:t xml:space="preserve">nnex </w:t>
            </w:r>
            <w:r w:rsidRPr="003F3EC7">
              <w:rPr>
                <w:rFonts w:ascii="Calibri" w:eastAsia="Calibri" w:hAnsi="Calibri" w:cs="Calibri"/>
                <w:noProof/>
                <w:sz w:val="18"/>
                <w:szCs w:val="18"/>
              </w:rPr>
              <w:t>VII</w:t>
            </w:r>
            <w:r>
              <w:rPr>
                <w:rFonts w:ascii="Calibri" w:eastAsia="Calibri" w:hAnsi="Calibri" w:cs="Calibri"/>
                <w:noProof/>
                <w:sz w:val="18"/>
                <w:szCs w:val="18"/>
              </w:rPr>
              <w:t xml:space="preserve">: </w:t>
            </w:r>
            <w:r w:rsidRPr="003F3EC7">
              <w:rPr>
                <w:rFonts w:ascii="Calibri" w:eastAsia="Calibri" w:hAnsi="Calibri" w:cs="Calibri"/>
                <w:noProof/>
                <w:sz w:val="18"/>
                <w:szCs w:val="18"/>
              </w:rPr>
              <w:t>Certificate for single common information service provider referred to in Article 14(3)</w:t>
            </w:r>
          </w:p>
        </w:tc>
      </w:tr>
    </w:tbl>
    <w:p w14:paraId="6C4C3E91" w14:textId="77777777" w:rsidR="00EB4485" w:rsidRPr="00F5121A" w:rsidRDefault="00EB4485" w:rsidP="00715D1A">
      <w:pPr>
        <w:framePr w:hSpace="180" w:wrap="around" w:vAnchor="text" w:hAnchor="text" w:x="-147" w:y="1"/>
        <w:tabs>
          <w:tab w:val="left" w:pos="2892"/>
          <w:tab w:val="left" w:pos="4877"/>
        </w:tabs>
        <w:spacing w:before="40" w:after="40"/>
        <w:ind w:left="62"/>
        <w:jc w:val="left"/>
        <w:rPr>
          <w:rFonts w:ascii="Calibri" w:eastAsia="Calibri" w:hAnsi="Calibri" w:cs="Calibri"/>
          <w:noProof/>
          <w:sz w:val="18"/>
          <w:szCs w:val="18"/>
        </w:rPr>
      </w:pPr>
      <w:r>
        <w:rPr>
          <w:noProof/>
        </w:rPr>
        <w:tab/>
      </w:r>
      <w:r>
        <w:rPr>
          <w:rFonts w:ascii="Calibri" w:eastAsia="Calibri" w:hAnsi="Calibri" w:cs="Calibri"/>
          <w:noProof/>
          <w:sz w:val="18"/>
          <w:szCs w:val="18"/>
        </w:rPr>
        <w:tab/>
      </w:r>
    </w:p>
    <w:p w14:paraId="44094406" w14:textId="77777777" w:rsidR="00A372AF" w:rsidRDefault="00A372AF">
      <w:pPr>
        <w:spacing w:before="0" w:after="200" w:line="276" w:lineRule="auto"/>
        <w:jc w:val="left"/>
        <w:rPr>
          <w:rFonts w:ascii="Calibri" w:eastAsia="Calibri" w:hAnsi="Calibri" w:cs="Calibri"/>
          <w:i/>
          <w:noProof/>
          <w:color w:val="0070C0"/>
          <w:sz w:val="20"/>
          <w:szCs w:val="20"/>
        </w:rPr>
      </w:pPr>
      <w:r>
        <w:rPr>
          <w:rFonts w:ascii="Calibri" w:eastAsia="Calibri" w:hAnsi="Calibri" w:cs="Calibri"/>
          <w:i/>
          <w:noProof/>
          <w:color w:val="0070C0"/>
          <w:sz w:val="20"/>
          <w:szCs w:val="20"/>
        </w:rPr>
        <w:br w:type="page"/>
      </w:r>
    </w:p>
    <w:p w14:paraId="3283840E" w14:textId="77777777" w:rsidR="00A372AF" w:rsidRPr="006A54C1" w:rsidRDefault="00A372AF" w:rsidP="006A54C1">
      <w:pPr>
        <w:spacing w:before="40" w:after="40"/>
        <w:jc w:val="left"/>
        <w:rPr>
          <w:rFonts w:ascii="Calibri" w:eastAsia="Calibri" w:hAnsi="Calibri" w:cs="Calibri"/>
          <w:i/>
          <w:noProof/>
          <w:color w:val="0070C0"/>
          <w:sz w:val="20"/>
          <w:szCs w:val="20"/>
        </w:rPr>
      </w:pPr>
    </w:p>
    <w:tbl>
      <w:tblPr>
        <w:tblStyle w:val="GridTable4-Accent6"/>
        <w:tblpPr w:leftFromText="180" w:rightFromText="180" w:vertAnchor="text" w:tblpX="-147" w:tblpY="1"/>
        <w:tblW w:w="9980" w:type="dxa"/>
        <w:tblLook w:val="0420" w:firstRow="1" w:lastRow="0" w:firstColumn="0" w:lastColumn="0" w:noHBand="0" w:noVBand="1"/>
      </w:tblPr>
      <w:tblGrid>
        <w:gridCol w:w="2742"/>
        <w:gridCol w:w="2073"/>
        <w:gridCol w:w="5165"/>
      </w:tblGrid>
      <w:tr w:rsidR="00A372AF" w:rsidRPr="00F5121A" w14:paraId="6349DA66" w14:textId="77777777" w:rsidTr="00227854">
        <w:trPr>
          <w:cnfStyle w:val="100000000000" w:firstRow="1" w:lastRow="0" w:firstColumn="0" w:lastColumn="0" w:oddVBand="0" w:evenVBand="0" w:oddHBand="0" w:evenHBand="0" w:firstRowFirstColumn="0" w:firstRowLastColumn="0" w:lastRowFirstColumn="0" w:lastRowLastColumn="0"/>
          <w:trHeight w:val="286"/>
        </w:trPr>
        <w:tc>
          <w:tcPr>
            <w:tcW w:w="9980" w:type="dxa"/>
            <w:gridSpan w:val="3"/>
            <w:tcMar>
              <w:top w:w="57" w:type="dxa"/>
              <w:left w:w="57" w:type="dxa"/>
              <w:bottom w:w="57" w:type="dxa"/>
              <w:right w:w="57" w:type="dxa"/>
            </w:tcMar>
          </w:tcPr>
          <w:p w14:paraId="7A6DD9CF" w14:textId="77777777" w:rsidR="00A372AF" w:rsidRPr="00F5121A" w:rsidRDefault="00A372AF" w:rsidP="00227854">
            <w:pPr>
              <w:spacing w:before="40" w:after="40"/>
              <w:jc w:val="left"/>
              <w:rPr>
                <w:rFonts w:ascii="Calibri" w:eastAsia="Calibri" w:hAnsi="Calibri" w:cs="Calibri"/>
                <w:noProof/>
                <w:sz w:val="18"/>
                <w:szCs w:val="18"/>
              </w:rPr>
            </w:pPr>
            <w:r w:rsidRPr="006A54C1">
              <w:rPr>
                <w:rFonts w:ascii="Calibri" w:eastAsia="Calibri" w:hAnsi="Calibri" w:cs="Calibri"/>
                <w:b w:val="0"/>
                <w:bCs w:val="0"/>
                <w:i/>
                <w:noProof/>
                <w:color w:val="0070C0"/>
                <w:sz w:val="20"/>
                <w:szCs w:val="20"/>
              </w:rPr>
              <w:t>Other Regulations on the functioning of the European Union Aviation Safety Agency</w:t>
            </w:r>
          </w:p>
        </w:tc>
      </w:tr>
      <w:tr w:rsidR="00A372AF" w:rsidRPr="00F5121A" w14:paraId="122B5DFE" w14:textId="77777777" w:rsidTr="00227854">
        <w:trPr>
          <w:cnfStyle w:val="000000100000" w:firstRow="0" w:lastRow="0" w:firstColumn="0" w:lastColumn="0" w:oddVBand="0" w:evenVBand="0" w:oddHBand="1" w:evenHBand="0" w:firstRowFirstColumn="0" w:firstRowLastColumn="0" w:lastRowFirstColumn="0" w:lastRowLastColumn="0"/>
          <w:trHeight w:val="286"/>
        </w:trPr>
        <w:tc>
          <w:tcPr>
            <w:tcW w:w="2742" w:type="dxa"/>
            <w:tcMar>
              <w:top w:w="57" w:type="dxa"/>
              <w:left w:w="57" w:type="dxa"/>
              <w:bottom w:w="57" w:type="dxa"/>
              <w:right w:w="57" w:type="dxa"/>
            </w:tcMar>
          </w:tcPr>
          <w:p w14:paraId="234C732B" w14:textId="77777777" w:rsidR="00A372AF" w:rsidRDefault="00E001AA" w:rsidP="00A372AF">
            <w:pPr>
              <w:spacing w:before="40" w:after="40"/>
              <w:jc w:val="left"/>
              <w:rPr>
                <w:noProof/>
              </w:rPr>
            </w:pPr>
            <w:hyperlink r:id="rId38" w:history="1">
              <w:r w:rsidR="00A372AF" w:rsidRPr="00F5121A">
                <w:rPr>
                  <w:rFonts w:ascii="Calibri" w:eastAsia="Calibri" w:hAnsi="Calibri" w:cs="Calibri"/>
                  <w:b/>
                  <w:bCs/>
                  <w:noProof/>
                  <w:color w:val="0563C1"/>
                  <w:sz w:val="18"/>
                  <w:szCs w:val="18"/>
                  <w:u w:val="single"/>
                </w:rPr>
                <w:t>Fees and Charges</w:t>
              </w:r>
            </w:hyperlink>
          </w:p>
        </w:tc>
        <w:tc>
          <w:tcPr>
            <w:tcW w:w="2073" w:type="dxa"/>
            <w:tcMar>
              <w:top w:w="57" w:type="dxa"/>
              <w:left w:w="57" w:type="dxa"/>
              <w:bottom w:w="57" w:type="dxa"/>
              <w:right w:w="57" w:type="dxa"/>
            </w:tcMar>
          </w:tcPr>
          <w:p w14:paraId="46EAF29E" w14:textId="77777777" w:rsidR="00A372AF" w:rsidRDefault="00A372AF" w:rsidP="00A372AF">
            <w:pPr>
              <w:spacing w:before="40" w:after="40"/>
              <w:jc w:val="left"/>
              <w:rPr>
                <w:rFonts w:ascii="Calibri" w:eastAsia="Calibri" w:hAnsi="Calibri" w:cs="Calibri"/>
                <w:noProof/>
                <w:sz w:val="18"/>
                <w:szCs w:val="18"/>
              </w:rPr>
            </w:pPr>
            <w:r>
              <w:rPr>
                <w:rFonts w:ascii="Calibri" w:eastAsia="Calibri" w:hAnsi="Calibri" w:cs="Calibri"/>
                <w:noProof/>
                <w:sz w:val="18"/>
                <w:szCs w:val="18"/>
              </w:rPr>
              <w:t>IR: (EU) 2019/2153</w:t>
            </w:r>
          </w:p>
        </w:tc>
        <w:tc>
          <w:tcPr>
            <w:tcW w:w="5165" w:type="dxa"/>
            <w:tcMar>
              <w:top w:w="57" w:type="dxa"/>
              <w:left w:w="57" w:type="dxa"/>
              <w:bottom w:w="57" w:type="dxa"/>
              <w:right w:w="57" w:type="dxa"/>
            </w:tcMar>
          </w:tcPr>
          <w:p w14:paraId="3E6A6181" w14:textId="77777777" w:rsidR="00A372AF" w:rsidRPr="00F5121A" w:rsidRDefault="00A372AF" w:rsidP="00A372AF">
            <w:pPr>
              <w:spacing w:before="40" w:after="40"/>
              <w:jc w:val="left"/>
              <w:rPr>
                <w:rFonts w:ascii="Calibri" w:eastAsia="Calibri" w:hAnsi="Calibri" w:cs="Calibri"/>
                <w:noProof/>
                <w:sz w:val="18"/>
                <w:szCs w:val="18"/>
              </w:rPr>
            </w:pPr>
            <w:r>
              <w:rPr>
                <w:rFonts w:ascii="Calibri" w:eastAsia="Calibri" w:hAnsi="Calibri" w:cs="Calibri"/>
                <w:noProof/>
                <w:sz w:val="18"/>
                <w:szCs w:val="18"/>
              </w:rPr>
              <w:t>Annex</w:t>
            </w:r>
          </w:p>
        </w:tc>
      </w:tr>
      <w:tr w:rsidR="00A372AF" w:rsidRPr="00F5121A" w14:paraId="61A2B41F" w14:textId="77777777" w:rsidTr="00227854">
        <w:trPr>
          <w:trHeight w:val="286"/>
        </w:trPr>
        <w:tc>
          <w:tcPr>
            <w:tcW w:w="2742" w:type="dxa"/>
            <w:tcMar>
              <w:top w:w="57" w:type="dxa"/>
              <w:left w:w="57" w:type="dxa"/>
              <w:bottom w:w="57" w:type="dxa"/>
              <w:right w:w="57" w:type="dxa"/>
            </w:tcMar>
          </w:tcPr>
          <w:p w14:paraId="24C1A1BB" w14:textId="77777777" w:rsidR="00A372AF" w:rsidRPr="00F5121A" w:rsidRDefault="00E001AA" w:rsidP="00A372AF">
            <w:pPr>
              <w:spacing w:before="40" w:after="40"/>
              <w:jc w:val="left"/>
              <w:rPr>
                <w:rFonts w:ascii="Calibri" w:eastAsia="Calibri" w:hAnsi="Calibri" w:cs="Calibri"/>
                <w:b/>
                <w:bCs/>
                <w:noProof/>
                <w:sz w:val="18"/>
                <w:szCs w:val="18"/>
              </w:rPr>
            </w:pPr>
            <w:hyperlink r:id="rId39" w:history="1">
              <w:r w:rsidR="00A372AF" w:rsidRPr="00F5121A">
                <w:rPr>
                  <w:rFonts w:ascii="Calibri" w:eastAsia="Calibri" w:hAnsi="Calibri" w:cs="Calibri"/>
                  <w:b/>
                  <w:bCs/>
                  <w:noProof/>
                  <w:color w:val="0563C1"/>
                  <w:sz w:val="18"/>
                  <w:szCs w:val="18"/>
                  <w:u w:val="single"/>
                </w:rPr>
                <w:t>Fines and Penalties</w:t>
              </w:r>
            </w:hyperlink>
          </w:p>
        </w:tc>
        <w:tc>
          <w:tcPr>
            <w:tcW w:w="2073" w:type="dxa"/>
            <w:tcMar>
              <w:top w:w="57" w:type="dxa"/>
              <w:left w:w="57" w:type="dxa"/>
              <w:bottom w:w="57" w:type="dxa"/>
              <w:right w:w="57" w:type="dxa"/>
            </w:tcMar>
          </w:tcPr>
          <w:p w14:paraId="33664F36" w14:textId="2DE02E1A" w:rsidR="00A372AF" w:rsidRPr="00F5121A" w:rsidRDefault="00A372AF" w:rsidP="00A372AF">
            <w:pPr>
              <w:spacing w:before="40" w:after="40"/>
              <w:jc w:val="left"/>
              <w:rPr>
                <w:rFonts w:ascii="Calibri" w:eastAsia="Calibri" w:hAnsi="Calibri" w:cs="Calibri"/>
                <w:noProof/>
                <w:sz w:val="18"/>
                <w:szCs w:val="18"/>
              </w:rPr>
            </w:pPr>
            <w:r>
              <w:rPr>
                <w:rFonts w:ascii="Calibri" w:eastAsia="Calibri" w:hAnsi="Calibri" w:cs="Calibri"/>
                <w:noProof/>
                <w:sz w:val="18"/>
                <w:szCs w:val="18"/>
              </w:rPr>
              <w:t xml:space="preserve">IR: (EU) </w:t>
            </w:r>
            <w:r w:rsidR="002656F3">
              <w:rPr>
                <w:rFonts w:ascii="Calibri" w:eastAsia="Calibri" w:hAnsi="Calibri" w:cs="Calibri"/>
                <w:noProof/>
                <w:sz w:val="18"/>
                <w:szCs w:val="18"/>
              </w:rPr>
              <w:t xml:space="preserve">No </w:t>
            </w:r>
            <w:r>
              <w:rPr>
                <w:rFonts w:ascii="Calibri" w:eastAsia="Calibri" w:hAnsi="Calibri" w:cs="Calibri"/>
                <w:noProof/>
                <w:sz w:val="18"/>
                <w:szCs w:val="18"/>
              </w:rPr>
              <w:t>646/2012</w:t>
            </w:r>
          </w:p>
        </w:tc>
        <w:tc>
          <w:tcPr>
            <w:tcW w:w="5165" w:type="dxa"/>
            <w:tcMar>
              <w:top w:w="57" w:type="dxa"/>
              <w:left w:w="57" w:type="dxa"/>
              <w:bottom w:w="57" w:type="dxa"/>
              <w:right w:w="57" w:type="dxa"/>
            </w:tcMar>
          </w:tcPr>
          <w:p w14:paraId="76F9A102" w14:textId="77777777" w:rsidR="00A372AF" w:rsidRPr="00F5121A" w:rsidRDefault="00A372AF" w:rsidP="00A372AF">
            <w:pPr>
              <w:spacing w:before="40" w:after="40"/>
              <w:jc w:val="left"/>
              <w:rPr>
                <w:rFonts w:ascii="Calibri" w:eastAsia="Calibri" w:hAnsi="Calibri" w:cs="Calibri"/>
                <w:noProof/>
                <w:sz w:val="18"/>
                <w:szCs w:val="18"/>
              </w:rPr>
            </w:pPr>
          </w:p>
        </w:tc>
      </w:tr>
      <w:tr w:rsidR="00A372AF" w:rsidRPr="00F5121A" w14:paraId="51651BA0" w14:textId="77777777" w:rsidTr="00227854">
        <w:trPr>
          <w:cnfStyle w:val="000000100000" w:firstRow="0" w:lastRow="0" w:firstColumn="0" w:lastColumn="0" w:oddVBand="0" w:evenVBand="0" w:oddHBand="1" w:evenHBand="0" w:firstRowFirstColumn="0" w:firstRowLastColumn="0" w:lastRowFirstColumn="0" w:lastRowLastColumn="0"/>
          <w:trHeight w:val="286"/>
        </w:trPr>
        <w:tc>
          <w:tcPr>
            <w:tcW w:w="2742" w:type="dxa"/>
            <w:tcMar>
              <w:top w:w="57" w:type="dxa"/>
              <w:left w:w="57" w:type="dxa"/>
              <w:bottom w:w="57" w:type="dxa"/>
              <w:right w:w="57" w:type="dxa"/>
            </w:tcMar>
          </w:tcPr>
          <w:p w14:paraId="39E506C4" w14:textId="77777777" w:rsidR="00A372AF" w:rsidRPr="00F5121A" w:rsidRDefault="00E001AA" w:rsidP="00A372AF">
            <w:pPr>
              <w:spacing w:before="40" w:after="40"/>
              <w:jc w:val="left"/>
              <w:rPr>
                <w:rFonts w:ascii="Calibri" w:eastAsia="Calibri" w:hAnsi="Calibri" w:cs="Calibri"/>
                <w:b/>
                <w:bCs/>
                <w:noProof/>
                <w:sz w:val="18"/>
                <w:szCs w:val="18"/>
              </w:rPr>
            </w:pPr>
            <w:hyperlink r:id="rId40" w:history="1">
              <w:r w:rsidR="00A372AF" w:rsidRPr="00F5121A">
                <w:rPr>
                  <w:rFonts w:ascii="Calibri" w:eastAsia="Calibri" w:hAnsi="Calibri" w:cs="Calibri"/>
                  <w:b/>
                  <w:bCs/>
                  <w:noProof/>
                  <w:color w:val="0563C1"/>
                  <w:sz w:val="18"/>
                  <w:szCs w:val="18"/>
                  <w:u w:val="single"/>
                </w:rPr>
                <w:t>Standardisation Inspections</w:t>
              </w:r>
            </w:hyperlink>
          </w:p>
        </w:tc>
        <w:tc>
          <w:tcPr>
            <w:tcW w:w="2073" w:type="dxa"/>
            <w:tcMar>
              <w:top w:w="57" w:type="dxa"/>
              <w:left w:w="57" w:type="dxa"/>
              <w:bottom w:w="57" w:type="dxa"/>
              <w:right w:w="57" w:type="dxa"/>
            </w:tcMar>
          </w:tcPr>
          <w:p w14:paraId="2241708F" w14:textId="709AA180" w:rsidR="00A372AF" w:rsidRPr="00F5121A" w:rsidRDefault="00A372AF" w:rsidP="00A372AF">
            <w:pPr>
              <w:spacing w:before="40" w:after="40"/>
              <w:jc w:val="left"/>
              <w:rPr>
                <w:rFonts w:ascii="Calibri" w:eastAsia="Calibri" w:hAnsi="Calibri" w:cs="Calibri"/>
                <w:noProof/>
                <w:sz w:val="18"/>
                <w:szCs w:val="18"/>
              </w:rPr>
            </w:pPr>
            <w:r>
              <w:rPr>
                <w:rFonts w:ascii="Calibri" w:eastAsia="Calibri" w:hAnsi="Calibri" w:cs="Calibri"/>
                <w:noProof/>
                <w:sz w:val="18"/>
                <w:szCs w:val="18"/>
              </w:rPr>
              <w:t xml:space="preserve">IR: (EU) </w:t>
            </w:r>
            <w:r w:rsidR="002656F3">
              <w:rPr>
                <w:rFonts w:ascii="Calibri" w:eastAsia="Calibri" w:hAnsi="Calibri" w:cs="Calibri"/>
                <w:noProof/>
                <w:sz w:val="18"/>
                <w:szCs w:val="18"/>
              </w:rPr>
              <w:t xml:space="preserve">No </w:t>
            </w:r>
            <w:r>
              <w:rPr>
                <w:rFonts w:ascii="Calibri" w:eastAsia="Calibri" w:hAnsi="Calibri" w:cs="Calibri"/>
                <w:noProof/>
                <w:sz w:val="18"/>
                <w:szCs w:val="18"/>
              </w:rPr>
              <w:t>628/2013</w:t>
            </w:r>
          </w:p>
        </w:tc>
        <w:tc>
          <w:tcPr>
            <w:tcW w:w="5165" w:type="dxa"/>
            <w:tcMar>
              <w:top w:w="57" w:type="dxa"/>
              <w:left w:w="57" w:type="dxa"/>
              <w:bottom w:w="57" w:type="dxa"/>
              <w:right w:w="57" w:type="dxa"/>
            </w:tcMar>
          </w:tcPr>
          <w:p w14:paraId="4387F23E" w14:textId="77777777" w:rsidR="00A372AF" w:rsidRPr="00F5121A" w:rsidRDefault="00A372AF" w:rsidP="00A372AF">
            <w:pPr>
              <w:spacing w:before="40" w:after="40"/>
              <w:jc w:val="left"/>
              <w:rPr>
                <w:rFonts w:ascii="Calibri" w:eastAsia="Calibri" w:hAnsi="Calibri" w:cs="Calibri"/>
                <w:noProof/>
                <w:sz w:val="18"/>
                <w:szCs w:val="18"/>
              </w:rPr>
            </w:pPr>
          </w:p>
        </w:tc>
      </w:tr>
    </w:tbl>
    <w:p w14:paraId="2EE1A091" w14:textId="77777777" w:rsidR="00A372AF" w:rsidRPr="008D6145" w:rsidRDefault="00A372AF" w:rsidP="006A54C1">
      <w:pPr>
        <w:spacing w:after="240"/>
        <w:ind w:left="-142" w:right="-708" w:hanging="142"/>
        <w:rPr>
          <w:rFonts w:ascii="Calibri" w:eastAsia="Calibri" w:hAnsi="Calibri" w:cs="Calibri"/>
          <w:i/>
          <w:noProof/>
          <w:color w:val="0070C0"/>
          <w:sz w:val="20"/>
          <w:szCs w:val="20"/>
        </w:rPr>
      </w:pPr>
    </w:p>
    <w:tbl>
      <w:tblPr>
        <w:tblStyle w:val="GridTable4-Accent6"/>
        <w:tblpPr w:leftFromText="180" w:rightFromText="180" w:vertAnchor="text" w:tblpX="-147" w:tblpY="1"/>
        <w:tblW w:w="10060" w:type="dxa"/>
        <w:tblLook w:val="0420" w:firstRow="1" w:lastRow="0" w:firstColumn="0" w:lastColumn="0" w:noHBand="0" w:noVBand="1"/>
      </w:tblPr>
      <w:tblGrid>
        <w:gridCol w:w="2742"/>
        <w:gridCol w:w="2356"/>
        <w:gridCol w:w="4962"/>
      </w:tblGrid>
      <w:tr w:rsidR="00A372AF" w:rsidRPr="00F5121A" w14:paraId="5AC99F4E" w14:textId="77777777" w:rsidTr="006A54C1">
        <w:trPr>
          <w:cnfStyle w:val="100000000000" w:firstRow="1" w:lastRow="0" w:firstColumn="0" w:lastColumn="0" w:oddVBand="0" w:evenVBand="0" w:oddHBand="0" w:evenHBand="0" w:firstRowFirstColumn="0" w:firstRowLastColumn="0" w:lastRowFirstColumn="0" w:lastRowLastColumn="0"/>
          <w:trHeight w:val="286"/>
        </w:trPr>
        <w:tc>
          <w:tcPr>
            <w:tcW w:w="10060" w:type="dxa"/>
            <w:gridSpan w:val="3"/>
            <w:tcMar>
              <w:top w:w="57" w:type="dxa"/>
              <w:left w:w="57" w:type="dxa"/>
              <w:bottom w:w="57" w:type="dxa"/>
              <w:right w:w="57" w:type="dxa"/>
            </w:tcMar>
          </w:tcPr>
          <w:p w14:paraId="20D9B38B" w14:textId="05625951" w:rsidR="00A372AF" w:rsidRPr="00F5121A" w:rsidRDefault="0040480E" w:rsidP="00A8457B">
            <w:pPr>
              <w:spacing w:before="40" w:after="40"/>
              <w:jc w:val="left"/>
              <w:rPr>
                <w:rFonts w:ascii="Calibri" w:eastAsia="Calibri" w:hAnsi="Calibri" w:cs="Calibri"/>
                <w:noProof/>
                <w:sz w:val="18"/>
                <w:szCs w:val="18"/>
              </w:rPr>
            </w:pPr>
            <w:r>
              <w:rPr>
                <w:rFonts w:ascii="Calibri" w:eastAsia="Calibri" w:hAnsi="Calibri" w:cs="Calibri"/>
                <w:b w:val="0"/>
                <w:bCs w:val="0"/>
                <w:i/>
                <w:noProof/>
                <w:color w:val="0070C0"/>
                <w:sz w:val="20"/>
                <w:szCs w:val="20"/>
              </w:rPr>
              <w:t xml:space="preserve">Regulations </w:t>
            </w:r>
            <w:r w:rsidR="00116383">
              <w:rPr>
                <w:rFonts w:ascii="Calibri" w:eastAsia="Calibri" w:hAnsi="Calibri" w:cs="Calibri"/>
                <w:b w:val="0"/>
                <w:bCs w:val="0"/>
                <w:i/>
                <w:noProof/>
                <w:color w:val="0070C0"/>
                <w:sz w:val="20"/>
                <w:szCs w:val="20"/>
              </w:rPr>
              <w:t xml:space="preserve">in the area of aviation safety </w:t>
            </w:r>
            <w:r>
              <w:rPr>
                <w:rFonts w:ascii="Calibri" w:eastAsia="Calibri" w:hAnsi="Calibri" w:cs="Calibri"/>
                <w:b w:val="0"/>
                <w:bCs w:val="0"/>
                <w:i/>
                <w:noProof/>
                <w:color w:val="0070C0"/>
                <w:sz w:val="20"/>
                <w:szCs w:val="20"/>
              </w:rPr>
              <w:t xml:space="preserve">not stemming from the EASA Basic Regulation </w:t>
            </w:r>
          </w:p>
        </w:tc>
      </w:tr>
      <w:tr w:rsidR="0040480E" w:rsidRPr="00F5121A" w14:paraId="48710025" w14:textId="77777777" w:rsidTr="006A54C1">
        <w:trPr>
          <w:cnfStyle w:val="000000100000" w:firstRow="0" w:lastRow="0" w:firstColumn="0" w:lastColumn="0" w:oddVBand="0" w:evenVBand="0" w:oddHBand="1" w:evenHBand="0" w:firstRowFirstColumn="0" w:firstRowLastColumn="0" w:lastRowFirstColumn="0" w:lastRowLastColumn="0"/>
          <w:trHeight w:val="286"/>
        </w:trPr>
        <w:tc>
          <w:tcPr>
            <w:tcW w:w="2742" w:type="dxa"/>
            <w:tcMar>
              <w:top w:w="57" w:type="dxa"/>
              <w:left w:w="57" w:type="dxa"/>
              <w:bottom w:w="57" w:type="dxa"/>
              <w:right w:w="57" w:type="dxa"/>
            </w:tcMar>
          </w:tcPr>
          <w:p w14:paraId="03F15BF1" w14:textId="77777777" w:rsidR="0040480E" w:rsidRDefault="00E001AA" w:rsidP="0040480E">
            <w:pPr>
              <w:spacing w:before="40" w:after="40"/>
              <w:jc w:val="left"/>
              <w:rPr>
                <w:noProof/>
              </w:rPr>
            </w:pPr>
            <w:hyperlink r:id="rId41" w:history="1">
              <w:r w:rsidR="0040480E" w:rsidRPr="00F5121A">
                <w:rPr>
                  <w:rFonts w:ascii="Calibri" w:eastAsia="Calibri" w:hAnsi="Calibri" w:cs="Calibri"/>
                  <w:b/>
                  <w:bCs/>
                  <w:noProof/>
                  <w:color w:val="0563C1"/>
                  <w:sz w:val="18"/>
                  <w:szCs w:val="18"/>
                  <w:u w:val="single"/>
                </w:rPr>
                <w:t>Occurrence Reporting</w:t>
              </w:r>
            </w:hyperlink>
          </w:p>
        </w:tc>
        <w:tc>
          <w:tcPr>
            <w:tcW w:w="2356" w:type="dxa"/>
            <w:tcMar>
              <w:top w:w="57" w:type="dxa"/>
              <w:left w:w="57" w:type="dxa"/>
              <w:bottom w:w="57" w:type="dxa"/>
              <w:right w:w="57" w:type="dxa"/>
            </w:tcMar>
          </w:tcPr>
          <w:p w14:paraId="5D60CF8A" w14:textId="34EE72CA" w:rsidR="0040480E" w:rsidRDefault="005D41F0" w:rsidP="0040480E">
            <w:pPr>
              <w:spacing w:before="40" w:after="40"/>
              <w:jc w:val="left"/>
              <w:rPr>
                <w:rFonts w:ascii="Calibri" w:eastAsia="Calibri" w:hAnsi="Calibri" w:cs="Calibri"/>
                <w:noProof/>
                <w:sz w:val="18"/>
                <w:szCs w:val="18"/>
              </w:rPr>
            </w:pPr>
            <w:r>
              <w:rPr>
                <w:rFonts w:ascii="Calibri" w:eastAsia="Calibri" w:hAnsi="Calibri" w:cs="Calibri"/>
                <w:noProof/>
                <w:sz w:val="18"/>
                <w:szCs w:val="18"/>
              </w:rPr>
              <w:t xml:space="preserve">IR: </w:t>
            </w:r>
            <w:r w:rsidR="0040480E">
              <w:rPr>
                <w:rFonts w:ascii="Calibri" w:eastAsia="Calibri" w:hAnsi="Calibri" w:cs="Calibri"/>
                <w:noProof/>
                <w:sz w:val="18"/>
                <w:szCs w:val="18"/>
              </w:rPr>
              <w:t xml:space="preserve">(EU) </w:t>
            </w:r>
            <w:r w:rsidR="002656F3">
              <w:rPr>
                <w:rFonts w:ascii="Calibri" w:eastAsia="Calibri" w:hAnsi="Calibri" w:cs="Calibri"/>
                <w:noProof/>
                <w:sz w:val="18"/>
                <w:szCs w:val="18"/>
              </w:rPr>
              <w:t xml:space="preserve">No </w:t>
            </w:r>
            <w:r w:rsidR="0040480E">
              <w:rPr>
                <w:rFonts w:ascii="Calibri" w:eastAsia="Calibri" w:hAnsi="Calibri" w:cs="Calibri"/>
                <w:noProof/>
                <w:sz w:val="18"/>
                <w:szCs w:val="18"/>
              </w:rPr>
              <w:t>376/2014</w:t>
            </w:r>
          </w:p>
        </w:tc>
        <w:tc>
          <w:tcPr>
            <w:tcW w:w="4962" w:type="dxa"/>
            <w:tcMar>
              <w:top w:w="57" w:type="dxa"/>
              <w:left w:w="57" w:type="dxa"/>
              <w:bottom w:w="57" w:type="dxa"/>
              <w:right w:w="57" w:type="dxa"/>
            </w:tcMar>
          </w:tcPr>
          <w:p w14:paraId="6606DAAA" w14:textId="77777777" w:rsidR="0040480E" w:rsidRPr="0040480E" w:rsidRDefault="0040480E" w:rsidP="0040480E">
            <w:pPr>
              <w:spacing w:before="40" w:after="40"/>
              <w:jc w:val="left"/>
              <w:rPr>
                <w:rFonts w:ascii="Calibri" w:eastAsia="Calibri" w:hAnsi="Calibri" w:cs="Calibri"/>
                <w:noProof/>
                <w:sz w:val="18"/>
                <w:szCs w:val="18"/>
              </w:rPr>
            </w:pPr>
            <w:r w:rsidRPr="0040480E">
              <w:rPr>
                <w:rFonts w:ascii="Calibri" w:eastAsia="Calibri" w:hAnsi="Calibri" w:cs="Calibri"/>
                <w:noProof/>
                <w:sz w:val="18"/>
                <w:szCs w:val="18"/>
              </w:rPr>
              <w:t>A</w:t>
            </w:r>
            <w:r w:rsidR="00E87C31">
              <w:rPr>
                <w:rFonts w:ascii="Calibri" w:eastAsia="Calibri" w:hAnsi="Calibri" w:cs="Calibri"/>
                <w:noProof/>
                <w:sz w:val="18"/>
                <w:szCs w:val="18"/>
              </w:rPr>
              <w:t xml:space="preserve">nnex </w:t>
            </w:r>
            <w:r w:rsidRPr="0040480E">
              <w:rPr>
                <w:rFonts w:ascii="Calibri" w:eastAsia="Calibri" w:hAnsi="Calibri" w:cs="Calibri"/>
                <w:noProof/>
                <w:sz w:val="18"/>
                <w:szCs w:val="18"/>
              </w:rPr>
              <w:t>I</w:t>
            </w:r>
            <w:r w:rsidR="00E87C31">
              <w:rPr>
                <w:rFonts w:ascii="Calibri" w:eastAsia="Calibri" w:hAnsi="Calibri" w:cs="Calibri"/>
                <w:noProof/>
                <w:sz w:val="18"/>
                <w:szCs w:val="18"/>
              </w:rPr>
              <w:t xml:space="preserve">: </w:t>
            </w:r>
            <w:r w:rsidRPr="0040480E">
              <w:rPr>
                <w:rFonts w:ascii="Calibri" w:eastAsia="Calibri" w:hAnsi="Calibri" w:cs="Calibri"/>
                <w:noProof/>
                <w:sz w:val="18"/>
                <w:szCs w:val="18"/>
              </w:rPr>
              <w:t xml:space="preserve">List of requirements applicable to the mandatory and </w:t>
            </w:r>
          </w:p>
          <w:p w14:paraId="2FFF9D6D" w14:textId="77777777" w:rsidR="0040480E" w:rsidRDefault="00786781" w:rsidP="0040480E">
            <w:pPr>
              <w:spacing w:before="40" w:after="40"/>
              <w:jc w:val="left"/>
              <w:rPr>
                <w:rFonts w:ascii="Calibri" w:eastAsia="Calibri" w:hAnsi="Calibri" w:cs="Calibri"/>
                <w:noProof/>
                <w:sz w:val="18"/>
                <w:szCs w:val="18"/>
              </w:rPr>
            </w:pPr>
            <w:r>
              <w:rPr>
                <w:rFonts w:ascii="Calibri" w:eastAsia="Calibri" w:hAnsi="Calibri" w:cs="Calibri"/>
                <w:noProof/>
                <w:sz w:val="18"/>
                <w:szCs w:val="18"/>
              </w:rPr>
              <w:t>v</w:t>
            </w:r>
            <w:r w:rsidRPr="0040480E">
              <w:rPr>
                <w:rFonts w:ascii="Calibri" w:eastAsia="Calibri" w:hAnsi="Calibri" w:cs="Calibri"/>
                <w:noProof/>
                <w:sz w:val="18"/>
                <w:szCs w:val="18"/>
              </w:rPr>
              <w:t xml:space="preserve">oluntary </w:t>
            </w:r>
            <w:r w:rsidR="0040480E" w:rsidRPr="0040480E">
              <w:rPr>
                <w:rFonts w:ascii="Calibri" w:eastAsia="Calibri" w:hAnsi="Calibri" w:cs="Calibri"/>
                <w:noProof/>
                <w:sz w:val="18"/>
                <w:szCs w:val="18"/>
              </w:rPr>
              <w:t>occurrence reporting schemes</w:t>
            </w:r>
          </w:p>
          <w:p w14:paraId="7C472720" w14:textId="77777777" w:rsidR="00E87C31" w:rsidRDefault="00E87C31" w:rsidP="0040480E">
            <w:pPr>
              <w:spacing w:before="40" w:after="40"/>
              <w:jc w:val="left"/>
              <w:rPr>
                <w:rFonts w:ascii="Calibri" w:eastAsia="Calibri" w:hAnsi="Calibri" w:cs="Calibri"/>
                <w:noProof/>
                <w:sz w:val="18"/>
                <w:szCs w:val="18"/>
              </w:rPr>
            </w:pPr>
            <w:r>
              <w:rPr>
                <w:rFonts w:ascii="Calibri" w:eastAsia="Calibri" w:hAnsi="Calibri" w:cs="Calibri"/>
                <w:noProof/>
                <w:sz w:val="18"/>
                <w:szCs w:val="18"/>
              </w:rPr>
              <w:t>Annex II: Interested Parties</w:t>
            </w:r>
          </w:p>
          <w:p w14:paraId="50B4F03C" w14:textId="77777777" w:rsidR="00E87C31" w:rsidRPr="00F5121A" w:rsidRDefault="00E87C31" w:rsidP="00116383">
            <w:pPr>
              <w:spacing w:before="40" w:after="40"/>
              <w:jc w:val="left"/>
              <w:rPr>
                <w:rFonts w:ascii="Calibri" w:eastAsia="Calibri" w:hAnsi="Calibri" w:cs="Calibri"/>
                <w:noProof/>
                <w:sz w:val="18"/>
                <w:szCs w:val="18"/>
              </w:rPr>
            </w:pPr>
            <w:r w:rsidRPr="00E87C31">
              <w:rPr>
                <w:rFonts w:ascii="Calibri" w:eastAsia="Calibri" w:hAnsi="Calibri" w:cs="Calibri"/>
                <w:noProof/>
                <w:sz w:val="18"/>
                <w:szCs w:val="18"/>
              </w:rPr>
              <w:t>A</w:t>
            </w:r>
            <w:r>
              <w:rPr>
                <w:rFonts w:ascii="Calibri" w:eastAsia="Calibri" w:hAnsi="Calibri" w:cs="Calibri"/>
                <w:noProof/>
                <w:sz w:val="18"/>
                <w:szCs w:val="18"/>
              </w:rPr>
              <w:t xml:space="preserve">nnex </w:t>
            </w:r>
            <w:r w:rsidRPr="00E87C31">
              <w:rPr>
                <w:rFonts w:ascii="Calibri" w:eastAsia="Calibri" w:hAnsi="Calibri" w:cs="Calibri"/>
                <w:noProof/>
                <w:sz w:val="18"/>
                <w:szCs w:val="18"/>
              </w:rPr>
              <w:t>III</w:t>
            </w:r>
            <w:r>
              <w:rPr>
                <w:rFonts w:ascii="Calibri" w:eastAsia="Calibri" w:hAnsi="Calibri" w:cs="Calibri"/>
                <w:noProof/>
                <w:sz w:val="18"/>
                <w:szCs w:val="18"/>
              </w:rPr>
              <w:t xml:space="preserve">: </w:t>
            </w:r>
            <w:r w:rsidRPr="00E87C31">
              <w:rPr>
                <w:rFonts w:ascii="Calibri" w:eastAsia="Calibri" w:hAnsi="Calibri" w:cs="Calibri"/>
                <w:noProof/>
                <w:sz w:val="18"/>
                <w:szCs w:val="18"/>
              </w:rPr>
              <w:t xml:space="preserve">Request </w:t>
            </w:r>
            <w:r>
              <w:rPr>
                <w:rFonts w:ascii="Calibri" w:eastAsia="Calibri" w:hAnsi="Calibri" w:cs="Calibri"/>
                <w:noProof/>
                <w:sz w:val="18"/>
                <w:szCs w:val="18"/>
              </w:rPr>
              <w:t>f</w:t>
            </w:r>
            <w:r w:rsidRPr="00E87C31">
              <w:rPr>
                <w:rFonts w:ascii="Calibri" w:eastAsia="Calibri" w:hAnsi="Calibri" w:cs="Calibri"/>
                <w:noProof/>
                <w:sz w:val="18"/>
                <w:szCs w:val="18"/>
              </w:rPr>
              <w:t xml:space="preserve">or Information </w:t>
            </w:r>
            <w:r>
              <w:rPr>
                <w:rFonts w:ascii="Calibri" w:eastAsia="Calibri" w:hAnsi="Calibri" w:cs="Calibri"/>
                <w:noProof/>
                <w:sz w:val="18"/>
                <w:szCs w:val="18"/>
              </w:rPr>
              <w:t>f</w:t>
            </w:r>
            <w:r w:rsidRPr="00E87C31">
              <w:rPr>
                <w:rFonts w:ascii="Calibri" w:eastAsia="Calibri" w:hAnsi="Calibri" w:cs="Calibri"/>
                <w:noProof/>
                <w:sz w:val="18"/>
                <w:szCs w:val="18"/>
              </w:rPr>
              <w:t xml:space="preserve">rom </w:t>
            </w:r>
            <w:r>
              <w:rPr>
                <w:rFonts w:ascii="Calibri" w:eastAsia="Calibri" w:hAnsi="Calibri" w:cs="Calibri"/>
                <w:noProof/>
                <w:sz w:val="18"/>
                <w:szCs w:val="18"/>
              </w:rPr>
              <w:t>t</w:t>
            </w:r>
            <w:r w:rsidRPr="00E87C31">
              <w:rPr>
                <w:rFonts w:ascii="Calibri" w:eastAsia="Calibri" w:hAnsi="Calibri" w:cs="Calibri"/>
                <w:noProof/>
                <w:sz w:val="18"/>
                <w:szCs w:val="18"/>
              </w:rPr>
              <w:t>he European Central Repositor</w:t>
            </w:r>
            <w:r>
              <w:rPr>
                <w:rFonts w:ascii="Calibri" w:eastAsia="Calibri" w:hAnsi="Calibri" w:cs="Calibri"/>
                <w:noProof/>
                <w:sz w:val="18"/>
                <w:szCs w:val="18"/>
              </w:rPr>
              <w:t>y</w:t>
            </w:r>
          </w:p>
        </w:tc>
      </w:tr>
      <w:tr w:rsidR="0040480E" w:rsidRPr="00F5121A" w14:paraId="3B739843" w14:textId="77777777" w:rsidTr="006A54C1">
        <w:trPr>
          <w:trHeight w:val="286"/>
        </w:trPr>
        <w:tc>
          <w:tcPr>
            <w:tcW w:w="2742" w:type="dxa"/>
            <w:tcMar>
              <w:top w:w="57" w:type="dxa"/>
              <w:left w:w="57" w:type="dxa"/>
              <w:bottom w:w="57" w:type="dxa"/>
              <w:right w:w="57" w:type="dxa"/>
            </w:tcMar>
          </w:tcPr>
          <w:p w14:paraId="321F56D2" w14:textId="77777777" w:rsidR="0040480E" w:rsidRPr="00FB18C9" w:rsidRDefault="00E001AA" w:rsidP="0040480E">
            <w:pPr>
              <w:spacing w:before="40" w:after="40"/>
              <w:jc w:val="left"/>
              <w:rPr>
                <w:rFonts w:ascii="Calibri" w:eastAsia="Calibri" w:hAnsi="Calibri" w:cs="Calibri"/>
                <w:b/>
                <w:bCs/>
                <w:noProof/>
                <w:sz w:val="18"/>
                <w:szCs w:val="18"/>
                <w:u w:val="single"/>
              </w:rPr>
            </w:pPr>
            <w:hyperlink r:id="rId42" w:history="1">
              <w:r w:rsidR="0089131B" w:rsidRPr="00FB18C9">
                <w:rPr>
                  <w:rFonts w:ascii="Calibri" w:eastAsia="Calibri" w:hAnsi="Calibri" w:cs="Calibri"/>
                  <w:b/>
                  <w:bCs/>
                  <w:noProof/>
                  <w:color w:val="0563C1"/>
                  <w:sz w:val="18"/>
                  <w:szCs w:val="18"/>
                  <w:u w:val="single"/>
                </w:rPr>
                <w:t>Common European risk classification scheme</w:t>
              </w:r>
            </w:hyperlink>
          </w:p>
        </w:tc>
        <w:tc>
          <w:tcPr>
            <w:tcW w:w="2356" w:type="dxa"/>
            <w:tcMar>
              <w:top w:w="57" w:type="dxa"/>
              <w:left w:w="57" w:type="dxa"/>
              <w:bottom w:w="57" w:type="dxa"/>
              <w:right w:w="57" w:type="dxa"/>
            </w:tcMar>
          </w:tcPr>
          <w:p w14:paraId="775285C9" w14:textId="77777777" w:rsidR="0040480E" w:rsidRPr="002656F3" w:rsidRDefault="0089131B" w:rsidP="0040480E">
            <w:pPr>
              <w:spacing w:before="40" w:after="40"/>
              <w:jc w:val="left"/>
              <w:rPr>
                <w:rFonts w:ascii="Calibri" w:eastAsia="Calibri" w:hAnsi="Calibri" w:cs="Calibri"/>
                <w:noProof/>
                <w:sz w:val="18"/>
                <w:szCs w:val="18"/>
                <w:lang w:val="fr-BE"/>
              </w:rPr>
            </w:pPr>
            <w:r w:rsidRPr="002656F3">
              <w:rPr>
                <w:rFonts w:ascii="Calibri" w:eastAsia="Calibri" w:hAnsi="Calibri" w:cs="Calibri"/>
                <w:noProof/>
                <w:sz w:val="18"/>
                <w:szCs w:val="18"/>
                <w:lang w:val="fr-BE"/>
              </w:rPr>
              <w:t>DR: (EU) 2020/2034</w:t>
            </w:r>
          </w:p>
          <w:p w14:paraId="33E36582" w14:textId="48E7EAEA" w:rsidR="0089131B" w:rsidRPr="002656F3" w:rsidRDefault="0089131B" w:rsidP="0040480E">
            <w:pPr>
              <w:spacing w:before="40" w:after="40"/>
              <w:jc w:val="left"/>
              <w:rPr>
                <w:rFonts w:ascii="Calibri" w:eastAsia="Calibri" w:hAnsi="Calibri" w:cs="Calibri"/>
                <w:noProof/>
                <w:sz w:val="18"/>
                <w:szCs w:val="18"/>
                <w:lang w:val="fr-BE"/>
              </w:rPr>
            </w:pPr>
            <w:r w:rsidRPr="002656F3">
              <w:rPr>
                <w:rFonts w:ascii="Calibri" w:eastAsia="Calibri" w:hAnsi="Calibri" w:cs="Calibri"/>
                <w:noProof/>
                <w:sz w:val="18"/>
                <w:szCs w:val="18"/>
                <w:lang w:val="fr-BE"/>
              </w:rPr>
              <w:t xml:space="preserve">Supplementing (EU) </w:t>
            </w:r>
            <w:r w:rsidR="002656F3" w:rsidRPr="002656F3">
              <w:rPr>
                <w:rFonts w:ascii="Calibri" w:eastAsia="Calibri" w:hAnsi="Calibri" w:cs="Calibri"/>
                <w:noProof/>
                <w:sz w:val="18"/>
                <w:szCs w:val="18"/>
                <w:lang w:val="fr-BE"/>
              </w:rPr>
              <w:t>No 37</w:t>
            </w:r>
            <w:r w:rsidRPr="002656F3">
              <w:rPr>
                <w:rFonts w:ascii="Calibri" w:eastAsia="Calibri" w:hAnsi="Calibri" w:cs="Calibri"/>
                <w:noProof/>
                <w:sz w:val="18"/>
                <w:szCs w:val="18"/>
                <w:lang w:val="fr-BE"/>
              </w:rPr>
              <w:t>6/2014</w:t>
            </w:r>
          </w:p>
        </w:tc>
        <w:tc>
          <w:tcPr>
            <w:tcW w:w="4962" w:type="dxa"/>
            <w:tcMar>
              <w:top w:w="57" w:type="dxa"/>
              <w:left w:w="57" w:type="dxa"/>
              <w:bottom w:w="57" w:type="dxa"/>
              <w:right w:w="57" w:type="dxa"/>
            </w:tcMar>
          </w:tcPr>
          <w:p w14:paraId="35B9FEE0" w14:textId="77777777" w:rsidR="0040480E" w:rsidRPr="00F5121A" w:rsidRDefault="00904FCC" w:rsidP="0040480E">
            <w:pPr>
              <w:spacing w:before="40" w:after="40"/>
              <w:jc w:val="left"/>
              <w:rPr>
                <w:rFonts w:ascii="Calibri" w:eastAsia="Calibri" w:hAnsi="Calibri" w:cs="Calibri"/>
                <w:noProof/>
                <w:sz w:val="18"/>
                <w:szCs w:val="18"/>
              </w:rPr>
            </w:pPr>
            <w:r>
              <w:rPr>
                <w:rFonts w:ascii="Calibri" w:eastAsia="Calibri" w:hAnsi="Calibri" w:cs="Calibri"/>
                <w:noProof/>
                <w:sz w:val="18"/>
                <w:szCs w:val="18"/>
              </w:rPr>
              <w:t xml:space="preserve">Annex: </w:t>
            </w:r>
            <w:r>
              <w:rPr>
                <w:noProof/>
              </w:rPr>
              <w:t xml:space="preserve"> </w:t>
            </w:r>
            <w:r w:rsidRPr="00904FCC">
              <w:rPr>
                <w:rFonts w:ascii="Calibri" w:eastAsia="Calibri" w:hAnsi="Calibri" w:cs="Calibri"/>
                <w:noProof/>
                <w:sz w:val="18"/>
                <w:szCs w:val="18"/>
              </w:rPr>
              <w:t>The common European risk classification scheme</w:t>
            </w:r>
          </w:p>
        </w:tc>
      </w:tr>
      <w:tr w:rsidR="0040480E" w:rsidRPr="00F5121A" w14:paraId="0554F187" w14:textId="77777777" w:rsidTr="006A54C1">
        <w:trPr>
          <w:cnfStyle w:val="000000100000" w:firstRow="0" w:lastRow="0" w:firstColumn="0" w:lastColumn="0" w:oddVBand="0" w:evenVBand="0" w:oddHBand="1" w:evenHBand="0" w:firstRowFirstColumn="0" w:firstRowLastColumn="0" w:lastRowFirstColumn="0" w:lastRowLastColumn="0"/>
          <w:trHeight w:val="286"/>
        </w:trPr>
        <w:tc>
          <w:tcPr>
            <w:tcW w:w="2742" w:type="dxa"/>
            <w:tcMar>
              <w:top w:w="57" w:type="dxa"/>
              <w:left w:w="57" w:type="dxa"/>
              <w:bottom w:w="57" w:type="dxa"/>
              <w:right w:w="57" w:type="dxa"/>
            </w:tcMar>
          </w:tcPr>
          <w:p w14:paraId="5CA527B7" w14:textId="77777777" w:rsidR="0040480E" w:rsidRPr="00FB18C9" w:rsidRDefault="00E001AA" w:rsidP="0040480E">
            <w:pPr>
              <w:spacing w:before="40" w:after="40"/>
              <w:jc w:val="left"/>
              <w:rPr>
                <w:rFonts w:asciiTheme="minorHAnsi" w:eastAsia="Calibri" w:hAnsiTheme="minorHAnsi" w:cstheme="minorHAnsi"/>
                <w:b/>
                <w:bCs/>
                <w:noProof/>
                <w:sz w:val="18"/>
                <w:szCs w:val="18"/>
                <w:u w:val="single"/>
              </w:rPr>
            </w:pPr>
            <w:hyperlink r:id="rId43" w:history="1">
              <w:r w:rsidR="00904FCC" w:rsidRPr="00FB18C9">
                <w:rPr>
                  <w:rFonts w:asciiTheme="minorHAnsi" w:hAnsiTheme="minorHAnsi" w:cstheme="minorHAnsi"/>
                  <w:b/>
                  <w:bCs/>
                  <w:noProof/>
                  <w:color w:val="0563C1"/>
                  <w:sz w:val="18"/>
                  <w:szCs w:val="18"/>
                  <w:u w:val="single"/>
                </w:rPr>
                <w:t>List classifying occurrences in civil aviation to be mandatorily reported according to Regulation (EU) No 376/2014</w:t>
              </w:r>
            </w:hyperlink>
          </w:p>
        </w:tc>
        <w:tc>
          <w:tcPr>
            <w:tcW w:w="2356" w:type="dxa"/>
            <w:tcMar>
              <w:top w:w="57" w:type="dxa"/>
              <w:left w:w="57" w:type="dxa"/>
              <w:bottom w:w="57" w:type="dxa"/>
              <w:right w:w="57" w:type="dxa"/>
            </w:tcMar>
          </w:tcPr>
          <w:p w14:paraId="46F18E77" w14:textId="77777777" w:rsidR="0040480E" w:rsidRPr="00F5121A" w:rsidRDefault="00904FCC" w:rsidP="0040480E">
            <w:pPr>
              <w:spacing w:before="40" w:after="40"/>
              <w:jc w:val="left"/>
              <w:rPr>
                <w:rFonts w:ascii="Calibri" w:eastAsia="Calibri" w:hAnsi="Calibri" w:cs="Calibri"/>
                <w:noProof/>
                <w:sz w:val="18"/>
                <w:szCs w:val="18"/>
              </w:rPr>
            </w:pPr>
            <w:r>
              <w:rPr>
                <w:rFonts w:ascii="Calibri" w:eastAsia="Calibri" w:hAnsi="Calibri" w:cs="Calibri"/>
                <w:noProof/>
                <w:sz w:val="18"/>
                <w:szCs w:val="18"/>
              </w:rPr>
              <w:t>IR: (EU) 2015/1018</w:t>
            </w:r>
          </w:p>
        </w:tc>
        <w:tc>
          <w:tcPr>
            <w:tcW w:w="4962" w:type="dxa"/>
            <w:tcMar>
              <w:top w:w="57" w:type="dxa"/>
              <w:left w:w="57" w:type="dxa"/>
              <w:bottom w:w="57" w:type="dxa"/>
              <w:right w:w="57" w:type="dxa"/>
            </w:tcMar>
          </w:tcPr>
          <w:p w14:paraId="3BF35627" w14:textId="77777777" w:rsidR="0040480E" w:rsidRDefault="00904FCC" w:rsidP="00904FCC">
            <w:pPr>
              <w:spacing w:before="40" w:after="40"/>
              <w:jc w:val="left"/>
              <w:rPr>
                <w:rFonts w:ascii="Calibri" w:eastAsia="Calibri" w:hAnsi="Calibri" w:cs="Calibri"/>
                <w:noProof/>
                <w:sz w:val="18"/>
                <w:szCs w:val="18"/>
              </w:rPr>
            </w:pPr>
            <w:r>
              <w:rPr>
                <w:rFonts w:ascii="Calibri" w:eastAsia="Calibri" w:hAnsi="Calibri" w:cs="Calibri"/>
                <w:noProof/>
                <w:sz w:val="18"/>
                <w:szCs w:val="18"/>
              </w:rPr>
              <w:t>A</w:t>
            </w:r>
            <w:r w:rsidRPr="00904FCC">
              <w:rPr>
                <w:rFonts w:ascii="Calibri" w:eastAsia="Calibri" w:hAnsi="Calibri" w:cs="Calibri"/>
                <w:noProof/>
                <w:sz w:val="18"/>
                <w:szCs w:val="18"/>
              </w:rPr>
              <w:t xml:space="preserve">nnex </w:t>
            </w:r>
            <w:r>
              <w:rPr>
                <w:rFonts w:ascii="Calibri" w:eastAsia="Calibri" w:hAnsi="Calibri" w:cs="Calibri"/>
                <w:noProof/>
                <w:sz w:val="18"/>
                <w:szCs w:val="18"/>
              </w:rPr>
              <w:t>I: O</w:t>
            </w:r>
            <w:r w:rsidRPr="00904FCC">
              <w:rPr>
                <w:rFonts w:ascii="Calibri" w:eastAsia="Calibri" w:hAnsi="Calibri" w:cs="Calibri"/>
                <w:noProof/>
                <w:sz w:val="18"/>
                <w:szCs w:val="18"/>
              </w:rPr>
              <w:t>ccurrences related to the operation of the aircraft</w:t>
            </w:r>
          </w:p>
          <w:p w14:paraId="013CF7BB" w14:textId="77777777" w:rsidR="00904FCC" w:rsidRPr="006A54C1" w:rsidRDefault="00904FCC" w:rsidP="00904FCC">
            <w:pPr>
              <w:spacing w:before="40" w:after="40"/>
              <w:jc w:val="left"/>
              <w:rPr>
                <w:rFonts w:ascii="Calibri" w:eastAsia="Calibri" w:hAnsi="Calibri" w:cs="Calibri"/>
                <w:noProof/>
                <w:sz w:val="18"/>
                <w:szCs w:val="18"/>
              </w:rPr>
            </w:pPr>
            <w:r>
              <w:rPr>
                <w:rFonts w:ascii="Calibri" w:eastAsia="Calibri" w:hAnsi="Calibri" w:cs="Calibri"/>
                <w:noProof/>
                <w:sz w:val="18"/>
                <w:szCs w:val="18"/>
              </w:rPr>
              <w:t>A</w:t>
            </w:r>
            <w:r w:rsidRPr="00116383">
              <w:rPr>
                <w:rFonts w:ascii="Calibri" w:eastAsia="Calibri" w:hAnsi="Calibri" w:cs="Calibri"/>
                <w:noProof/>
                <w:sz w:val="18"/>
                <w:szCs w:val="18"/>
              </w:rPr>
              <w:t xml:space="preserve">nnex </w:t>
            </w:r>
            <w:r>
              <w:rPr>
                <w:rFonts w:ascii="Calibri" w:eastAsia="Calibri" w:hAnsi="Calibri" w:cs="Calibri"/>
                <w:noProof/>
                <w:sz w:val="18"/>
                <w:szCs w:val="18"/>
              </w:rPr>
              <w:t>II: O</w:t>
            </w:r>
            <w:r w:rsidRPr="00116383">
              <w:rPr>
                <w:rFonts w:ascii="Calibri" w:eastAsia="Calibri" w:hAnsi="Calibri" w:cs="Calibri"/>
                <w:noProof/>
                <w:sz w:val="18"/>
                <w:szCs w:val="18"/>
              </w:rPr>
              <w:t>ccurrences related to technical conditions, maintenance and repair of the aircraft</w:t>
            </w:r>
          </w:p>
          <w:p w14:paraId="1AF86115" w14:textId="77777777" w:rsidR="00904FCC" w:rsidRPr="006A54C1" w:rsidRDefault="00904FCC" w:rsidP="00904FCC">
            <w:pPr>
              <w:spacing w:before="40" w:after="40"/>
              <w:jc w:val="left"/>
              <w:rPr>
                <w:rFonts w:ascii="Calibri" w:eastAsia="Calibri" w:hAnsi="Calibri" w:cs="Calibri"/>
                <w:noProof/>
                <w:sz w:val="18"/>
                <w:szCs w:val="18"/>
              </w:rPr>
            </w:pPr>
            <w:r>
              <w:rPr>
                <w:rFonts w:ascii="Calibri" w:eastAsia="Calibri" w:hAnsi="Calibri" w:cs="Calibri"/>
                <w:noProof/>
                <w:sz w:val="18"/>
                <w:szCs w:val="18"/>
              </w:rPr>
              <w:t>A</w:t>
            </w:r>
            <w:r w:rsidRPr="00116383">
              <w:rPr>
                <w:rFonts w:ascii="Calibri" w:eastAsia="Calibri" w:hAnsi="Calibri" w:cs="Calibri"/>
                <w:noProof/>
                <w:sz w:val="18"/>
                <w:szCs w:val="18"/>
              </w:rPr>
              <w:t xml:space="preserve">nnex </w:t>
            </w:r>
            <w:r>
              <w:rPr>
                <w:rFonts w:ascii="Calibri" w:eastAsia="Calibri" w:hAnsi="Calibri" w:cs="Calibri"/>
                <w:noProof/>
                <w:sz w:val="18"/>
                <w:szCs w:val="18"/>
              </w:rPr>
              <w:t>III: O</w:t>
            </w:r>
            <w:r w:rsidRPr="00116383">
              <w:rPr>
                <w:rFonts w:ascii="Calibri" w:eastAsia="Calibri" w:hAnsi="Calibri" w:cs="Calibri"/>
                <w:noProof/>
                <w:sz w:val="18"/>
                <w:szCs w:val="18"/>
              </w:rPr>
              <w:t>ccurrences related to air navigation services and facilities</w:t>
            </w:r>
          </w:p>
          <w:p w14:paraId="45B1132F" w14:textId="77777777" w:rsidR="00904FCC" w:rsidRPr="006A54C1" w:rsidRDefault="00904FCC" w:rsidP="00904FCC">
            <w:pPr>
              <w:spacing w:before="40" w:after="40"/>
              <w:jc w:val="left"/>
              <w:rPr>
                <w:rFonts w:ascii="Calibri" w:eastAsia="Calibri" w:hAnsi="Calibri" w:cs="Calibri"/>
                <w:noProof/>
                <w:sz w:val="18"/>
                <w:szCs w:val="18"/>
              </w:rPr>
            </w:pPr>
            <w:r>
              <w:rPr>
                <w:rFonts w:ascii="Calibri" w:eastAsia="Calibri" w:hAnsi="Calibri" w:cs="Calibri"/>
                <w:noProof/>
                <w:sz w:val="18"/>
                <w:szCs w:val="18"/>
              </w:rPr>
              <w:t>A</w:t>
            </w:r>
            <w:r w:rsidRPr="00116383">
              <w:rPr>
                <w:rFonts w:ascii="Calibri" w:eastAsia="Calibri" w:hAnsi="Calibri" w:cs="Calibri"/>
                <w:noProof/>
                <w:sz w:val="18"/>
                <w:szCs w:val="18"/>
              </w:rPr>
              <w:t xml:space="preserve">nnex </w:t>
            </w:r>
            <w:r>
              <w:rPr>
                <w:rFonts w:ascii="Calibri" w:eastAsia="Calibri" w:hAnsi="Calibri" w:cs="Calibri"/>
                <w:noProof/>
                <w:sz w:val="18"/>
                <w:szCs w:val="18"/>
              </w:rPr>
              <w:t>IV: O</w:t>
            </w:r>
            <w:r w:rsidRPr="00116383">
              <w:rPr>
                <w:rFonts w:ascii="Calibri" w:eastAsia="Calibri" w:hAnsi="Calibri" w:cs="Calibri"/>
                <w:noProof/>
                <w:sz w:val="18"/>
                <w:szCs w:val="18"/>
              </w:rPr>
              <w:t>ccurrences related to aerodromes and ground services</w:t>
            </w:r>
          </w:p>
          <w:p w14:paraId="3539CC07" w14:textId="77777777" w:rsidR="00904FCC" w:rsidRPr="00F5121A" w:rsidRDefault="00904FCC" w:rsidP="00904FCC">
            <w:pPr>
              <w:spacing w:before="40" w:after="40"/>
              <w:jc w:val="left"/>
              <w:rPr>
                <w:rFonts w:ascii="Calibri" w:eastAsia="Calibri" w:hAnsi="Calibri" w:cs="Calibri"/>
                <w:noProof/>
                <w:sz w:val="18"/>
                <w:szCs w:val="18"/>
              </w:rPr>
            </w:pPr>
            <w:r>
              <w:rPr>
                <w:rFonts w:ascii="Calibri" w:eastAsia="Calibri" w:hAnsi="Calibri" w:cs="Calibri"/>
                <w:noProof/>
                <w:sz w:val="18"/>
                <w:szCs w:val="18"/>
              </w:rPr>
              <w:t>A</w:t>
            </w:r>
            <w:r w:rsidRPr="00116383">
              <w:rPr>
                <w:rFonts w:ascii="Calibri" w:eastAsia="Calibri" w:hAnsi="Calibri" w:cs="Calibri"/>
                <w:noProof/>
                <w:sz w:val="18"/>
                <w:szCs w:val="18"/>
              </w:rPr>
              <w:t xml:space="preserve">nnex </w:t>
            </w:r>
            <w:r>
              <w:rPr>
                <w:rFonts w:ascii="Calibri" w:eastAsia="Calibri" w:hAnsi="Calibri" w:cs="Calibri"/>
                <w:noProof/>
                <w:sz w:val="18"/>
                <w:szCs w:val="18"/>
              </w:rPr>
              <w:t>V: O</w:t>
            </w:r>
            <w:r w:rsidRPr="00116383">
              <w:rPr>
                <w:rFonts w:ascii="Calibri" w:eastAsia="Calibri" w:hAnsi="Calibri" w:cs="Calibri"/>
                <w:noProof/>
                <w:sz w:val="18"/>
                <w:szCs w:val="18"/>
              </w:rPr>
              <w:t>ccurrences related to aircraft other than complex motor-powered aircraft, including sailplanes and lighter-than-air vehicles</w:t>
            </w:r>
          </w:p>
        </w:tc>
      </w:tr>
      <w:tr w:rsidR="00904FCC" w:rsidRPr="00F5121A" w14:paraId="089364AF" w14:textId="77777777" w:rsidTr="006A54C1">
        <w:trPr>
          <w:trHeight w:val="286"/>
        </w:trPr>
        <w:tc>
          <w:tcPr>
            <w:tcW w:w="2742" w:type="dxa"/>
            <w:tcMar>
              <w:top w:w="57" w:type="dxa"/>
              <w:left w:w="57" w:type="dxa"/>
              <w:bottom w:w="57" w:type="dxa"/>
              <w:right w:w="57" w:type="dxa"/>
            </w:tcMar>
          </w:tcPr>
          <w:p w14:paraId="26C27860" w14:textId="77777777" w:rsidR="00904FCC" w:rsidRPr="00FB18C9" w:rsidRDefault="00E001AA" w:rsidP="00904FCC">
            <w:pPr>
              <w:spacing w:before="40" w:after="40"/>
              <w:jc w:val="left"/>
              <w:rPr>
                <w:noProof/>
                <w:u w:val="single"/>
              </w:rPr>
            </w:pPr>
            <w:hyperlink r:id="rId44" w:history="1">
              <w:r w:rsidR="005D41F0" w:rsidRPr="00FB18C9">
                <w:rPr>
                  <w:rFonts w:ascii="Calibri" w:eastAsia="Calibri" w:hAnsi="Calibri" w:cs="Calibri"/>
                  <w:b/>
                  <w:bCs/>
                  <w:noProof/>
                  <w:color w:val="0563C1"/>
                  <w:sz w:val="18"/>
                  <w:szCs w:val="18"/>
                  <w:u w:val="single"/>
                </w:rPr>
                <w:t>Investigation and prevention of accidents and incidents in civil aviation</w:t>
              </w:r>
            </w:hyperlink>
            <w:r w:rsidR="005D41F0" w:rsidRPr="00FB18C9">
              <w:rPr>
                <w:noProof/>
                <w:u w:val="single"/>
              </w:rPr>
              <w:t xml:space="preserve"> </w:t>
            </w:r>
          </w:p>
        </w:tc>
        <w:tc>
          <w:tcPr>
            <w:tcW w:w="2356" w:type="dxa"/>
            <w:tcMar>
              <w:top w:w="57" w:type="dxa"/>
              <w:left w:w="57" w:type="dxa"/>
              <w:bottom w:w="57" w:type="dxa"/>
              <w:right w:w="57" w:type="dxa"/>
            </w:tcMar>
          </w:tcPr>
          <w:p w14:paraId="0D90B46C" w14:textId="3B877ED0" w:rsidR="00904FCC" w:rsidRPr="006A54C1" w:rsidRDefault="006F2089" w:rsidP="009D5D8B">
            <w:pPr>
              <w:spacing w:before="40" w:after="40"/>
              <w:jc w:val="left"/>
              <w:rPr>
                <w:rStyle w:val="CommentReference"/>
                <w:rFonts w:ascii="Calibri" w:eastAsia="Calibri" w:hAnsi="Calibri" w:cs="Calibri"/>
                <w:noProof/>
                <w:sz w:val="18"/>
                <w:szCs w:val="18"/>
              </w:rPr>
            </w:pPr>
            <w:r w:rsidRPr="00F5121A">
              <w:rPr>
                <w:rFonts w:ascii="Calibri" w:eastAsia="Calibri" w:hAnsi="Calibri" w:cs="Calibri"/>
                <w:noProof/>
                <w:sz w:val="18"/>
                <w:szCs w:val="18"/>
              </w:rPr>
              <w:t>(EU)</w:t>
            </w:r>
            <w:r w:rsidR="002656F3">
              <w:rPr>
                <w:rFonts w:ascii="Calibri" w:eastAsia="Calibri" w:hAnsi="Calibri" w:cs="Calibri"/>
                <w:noProof/>
                <w:sz w:val="18"/>
                <w:szCs w:val="18"/>
              </w:rPr>
              <w:t xml:space="preserve"> No</w:t>
            </w:r>
            <w:r w:rsidRPr="00F5121A">
              <w:rPr>
                <w:rFonts w:ascii="Calibri" w:eastAsia="Calibri" w:hAnsi="Calibri" w:cs="Calibri"/>
                <w:noProof/>
                <w:sz w:val="18"/>
                <w:szCs w:val="18"/>
              </w:rPr>
              <w:t xml:space="preserve"> 996/2010 </w:t>
            </w:r>
          </w:p>
        </w:tc>
        <w:tc>
          <w:tcPr>
            <w:tcW w:w="4962" w:type="dxa"/>
            <w:tcMar>
              <w:top w:w="57" w:type="dxa"/>
              <w:left w:w="57" w:type="dxa"/>
              <w:bottom w:w="57" w:type="dxa"/>
              <w:right w:w="57" w:type="dxa"/>
            </w:tcMar>
          </w:tcPr>
          <w:p w14:paraId="036659E5" w14:textId="77777777" w:rsidR="00904FCC" w:rsidRPr="00F5121A" w:rsidRDefault="00E26E31" w:rsidP="00116383">
            <w:pPr>
              <w:spacing w:before="40" w:after="40"/>
              <w:jc w:val="left"/>
              <w:rPr>
                <w:rFonts w:ascii="Calibri" w:eastAsia="Calibri" w:hAnsi="Calibri" w:cs="Calibri"/>
                <w:noProof/>
                <w:sz w:val="18"/>
                <w:szCs w:val="18"/>
              </w:rPr>
            </w:pPr>
            <w:r w:rsidRPr="00E26E31">
              <w:rPr>
                <w:rFonts w:ascii="Calibri" w:eastAsia="Calibri" w:hAnsi="Calibri" w:cs="Calibri"/>
                <w:noProof/>
                <w:sz w:val="18"/>
                <w:szCs w:val="18"/>
              </w:rPr>
              <w:t>A</w:t>
            </w:r>
            <w:r>
              <w:rPr>
                <w:rFonts w:ascii="Calibri" w:eastAsia="Calibri" w:hAnsi="Calibri" w:cs="Calibri"/>
                <w:noProof/>
                <w:sz w:val="18"/>
                <w:szCs w:val="18"/>
              </w:rPr>
              <w:t xml:space="preserve">nnex: </w:t>
            </w:r>
            <w:r w:rsidRPr="00E26E31">
              <w:rPr>
                <w:rFonts w:ascii="Calibri" w:eastAsia="Calibri" w:hAnsi="Calibri" w:cs="Calibri"/>
                <w:noProof/>
                <w:sz w:val="18"/>
                <w:szCs w:val="18"/>
              </w:rPr>
              <w:t>List of examples of serious incidents</w:t>
            </w:r>
          </w:p>
        </w:tc>
      </w:tr>
      <w:tr w:rsidR="006F2089" w:rsidRPr="00F5121A" w14:paraId="4AEFFB8C" w14:textId="77777777" w:rsidTr="006A54C1">
        <w:trPr>
          <w:cnfStyle w:val="000000100000" w:firstRow="0" w:lastRow="0" w:firstColumn="0" w:lastColumn="0" w:oddVBand="0" w:evenVBand="0" w:oddHBand="1" w:evenHBand="0" w:firstRowFirstColumn="0" w:firstRowLastColumn="0" w:lastRowFirstColumn="0" w:lastRowLastColumn="0"/>
          <w:trHeight w:val="286"/>
        </w:trPr>
        <w:tc>
          <w:tcPr>
            <w:tcW w:w="2742" w:type="dxa"/>
            <w:tcMar>
              <w:top w:w="57" w:type="dxa"/>
              <w:left w:w="57" w:type="dxa"/>
              <w:bottom w:w="57" w:type="dxa"/>
              <w:right w:w="57" w:type="dxa"/>
            </w:tcMar>
          </w:tcPr>
          <w:p w14:paraId="198A53C9" w14:textId="77777777" w:rsidR="006F2089" w:rsidRPr="004B32CA" w:rsidRDefault="00E001AA" w:rsidP="00904FCC">
            <w:pPr>
              <w:spacing w:before="40" w:after="40"/>
              <w:jc w:val="left"/>
              <w:rPr>
                <w:noProof/>
                <w:color w:val="0070C0"/>
              </w:rPr>
            </w:pPr>
            <w:hyperlink r:id="rId45" w:history="1">
              <w:r w:rsidR="008B2A75" w:rsidRPr="004B32CA">
                <w:rPr>
                  <w:rStyle w:val="Hyperlink"/>
                  <w:rFonts w:ascii="Calibri" w:eastAsia="Calibri" w:hAnsi="Calibri" w:cs="Calibri"/>
                  <w:b/>
                  <w:bCs/>
                  <w:noProof/>
                  <w:color w:val="0070C0"/>
                  <w:sz w:val="18"/>
                  <w:szCs w:val="18"/>
                </w:rPr>
                <w:t>Harmonisation of technical requirements and administrative procedures in the field of civil aviation</w:t>
              </w:r>
            </w:hyperlink>
          </w:p>
        </w:tc>
        <w:tc>
          <w:tcPr>
            <w:tcW w:w="2356" w:type="dxa"/>
            <w:tcMar>
              <w:top w:w="57" w:type="dxa"/>
              <w:left w:w="57" w:type="dxa"/>
              <w:bottom w:w="57" w:type="dxa"/>
              <w:right w:w="57" w:type="dxa"/>
            </w:tcMar>
          </w:tcPr>
          <w:p w14:paraId="6ABD0110" w14:textId="0689ACE6" w:rsidR="006F2089" w:rsidRPr="00F5121A" w:rsidRDefault="009D5D8B" w:rsidP="009D5D8B">
            <w:pPr>
              <w:spacing w:before="40" w:after="40"/>
              <w:jc w:val="left"/>
              <w:rPr>
                <w:rFonts w:ascii="Calibri" w:eastAsia="Calibri" w:hAnsi="Calibri" w:cs="Calibri"/>
                <w:noProof/>
                <w:sz w:val="18"/>
                <w:szCs w:val="18"/>
              </w:rPr>
            </w:pPr>
            <w:r>
              <w:rPr>
                <w:rFonts w:ascii="Calibri" w:eastAsia="Calibri" w:hAnsi="Calibri" w:cs="Calibri"/>
                <w:noProof/>
                <w:sz w:val="18"/>
                <w:szCs w:val="18"/>
              </w:rPr>
              <w:t xml:space="preserve">Council Regulation (EEC) </w:t>
            </w:r>
            <w:r w:rsidR="002656F3">
              <w:rPr>
                <w:rFonts w:ascii="Calibri" w:eastAsia="Calibri" w:hAnsi="Calibri" w:cs="Calibri"/>
                <w:noProof/>
                <w:sz w:val="18"/>
                <w:szCs w:val="18"/>
              </w:rPr>
              <w:t xml:space="preserve">No </w:t>
            </w:r>
            <w:r w:rsidR="00E12CB5" w:rsidRPr="00F5121A">
              <w:rPr>
                <w:rFonts w:ascii="Calibri" w:eastAsia="Calibri" w:hAnsi="Calibri" w:cs="Calibri"/>
                <w:noProof/>
                <w:sz w:val="18"/>
                <w:szCs w:val="18"/>
              </w:rPr>
              <w:t xml:space="preserve">3922/91 </w:t>
            </w:r>
          </w:p>
        </w:tc>
        <w:tc>
          <w:tcPr>
            <w:tcW w:w="4962" w:type="dxa"/>
            <w:tcMar>
              <w:top w:w="57" w:type="dxa"/>
              <w:left w:w="57" w:type="dxa"/>
              <w:bottom w:w="57" w:type="dxa"/>
              <w:right w:w="57" w:type="dxa"/>
            </w:tcMar>
          </w:tcPr>
          <w:p w14:paraId="6FDEA1BE" w14:textId="77777777" w:rsidR="006F2089" w:rsidRPr="00F5121A" w:rsidRDefault="006F2089" w:rsidP="00904FCC">
            <w:pPr>
              <w:spacing w:before="40" w:after="40"/>
              <w:jc w:val="left"/>
              <w:rPr>
                <w:rFonts w:ascii="Calibri" w:eastAsia="Calibri" w:hAnsi="Calibri" w:cs="Calibri"/>
                <w:noProof/>
                <w:sz w:val="18"/>
                <w:szCs w:val="18"/>
              </w:rPr>
            </w:pPr>
          </w:p>
        </w:tc>
      </w:tr>
      <w:tr w:rsidR="00F113D8" w:rsidRPr="00AE4977" w14:paraId="5399A518" w14:textId="77777777" w:rsidTr="006A54C1">
        <w:trPr>
          <w:trHeight w:val="286"/>
        </w:trPr>
        <w:tc>
          <w:tcPr>
            <w:tcW w:w="2742" w:type="dxa"/>
            <w:tcMar>
              <w:top w:w="57" w:type="dxa"/>
              <w:left w:w="57" w:type="dxa"/>
              <w:bottom w:w="57" w:type="dxa"/>
              <w:right w:w="57" w:type="dxa"/>
            </w:tcMar>
          </w:tcPr>
          <w:p w14:paraId="7391F7B5" w14:textId="77777777" w:rsidR="00AE4977" w:rsidRPr="004B32CA" w:rsidRDefault="00D12977" w:rsidP="00AE4977">
            <w:pPr>
              <w:spacing w:before="40" w:after="40"/>
              <w:jc w:val="left"/>
              <w:rPr>
                <w:rStyle w:val="Hyperlink"/>
                <w:rFonts w:ascii="Calibri" w:eastAsia="Calibri" w:hAnsi="Calibri" w:cs="Calibri"/>
                <w:b/>
                <w:bCs/>
                <w:noProof/>
                <w:color w:val="0070C0"/>
                <w:sz w:val="18"/>
                <w:szCs w:val="18"/>
              </w:rPr>
            </w:pPr>
            <w:r w:rsidRPr="004B32CA">
              <w:rPr>
                <w:rFonts w:ascii="Calibri" w:eastAsia="Calibri" w:hAnsi="Calibri" w:cs="Calibri"/>
                <w:b/>
                <w:bCs/>
                <w:noProof/>
                <w:color w:val="0070C0"/>
                <w:sz w:val="18"/>
                <w:szCs w:val="18"/>
              </w:rPr>
              <w:fldChar w:fldCharType="begin"/>
            </w:r>
            <w:r w:rsidRPr="004B32CA">
              <w:rPr>
                <w:rFonts w:ascii="Calibri" w:eastAsia="Calibri" w:hAnsi="Calibri" w:cs="Calibri"/>
                <w:b/>
                <w:bCs/>
                <w:noProof/>
                <w:color w:val="0070C0"/>
                <w:sz w:val="18"/>
                <w:szCs w:val="18"/>
              </w:rPr>
              <w:instrText xml:space="preserve"> HYPERLINK "https://eur-lex.europa.eu/legal-content/en/TXT/?uri=celex%3A32005R2111" </w:instrText>
            </w:r>
            <w:r w:rsidRPr="004B32CA">
              <w:rPr>
                <w:rFonts w:ascii="Calibri" w:eastAsia="Calibri" w:hAnsi="Calibri" w:cs="Calibri"/>
                <w:b/>
                <w:bCs/>
                <w:noProof/>
                <w:color w:val="0070C0"/>
                <w:sz w:val="18"/>
                <w:szCs w:val="18"/>
              </w:rPr>
              <w:fldChar w:fldCharType="separate"/>
            </w:r>
            <w:r w:rsidR="00AE4977" w:rsidRPr="004B32CA">
              <w:rPr>
                <w:rStyle w:val="Hyperlink"/>
                <w:rFonts w:ascii="Calibri" w:eastAsia="Calibri" w:hAnsi="Calibri" w:cs="Calibri"/>
                <w:b/>
                <w:bCs/>
                <w:noProof/>
                <w:color w:val="0070C0"/>
                <w:sz w:val="18"/>
                <w:szCs w:val="18"/>
              </w:rPr>
              <w:t>Establishment of a Community list of air carriers subject to an operating ban within the</w:t>
            </w:r>
          </w:p>
          <w:p w14:paraId="41D8D064" w14:textId="77777777" w:rsidR="00F113D8" w:rsidRPr="004B32CA" w:rsidRDefault="00AE4977" w:rsidP="00AE4977">
            <w:pPr>
              <w:spacing w:before="40" w:after="40"/>
              <w:jc w:val="left"/>
              <w:rPr>
                <w:noProof/>
                <w:color w:val="0070C0"/>
              </w:rPr>
            </w:pPr>
            <w:r w:rsidRPr="004B32CA">
              <w:rPr>
                <w:rStyle w:val="Hyperlink"/>
                <w:rFonts w:ascii="Calibri" w:eastAsia="Calibri" w:hAnsi="Calibri" w:cs="Calibri"/>
                <w:b/>
                <w:bCs/>
                <w:noProof/>
                <w:color w:val="0070C0"/>
                <w:sz w:val="18"/>
                <w:szCs w:val="18"/>
              </w:rPr>
              <w:t>Community</w:t>
            </w:r>
            <w:r w:rsidR="00D12977" w:rsidRPr="004B32CA">
              <w:rPr>
                <w:rFonts w:ascii="Calibri" w:eastAsia="Calibri" w:hAnsi="Calibri" w:cs="Calibri"/>
                <w:b/>
                <w:bCs/>
                <w:noProof/>
                <w:color w:val="0070C0"/>
                <w:sz w:val="18"/>
                <w:szCs w:val="18"/>
              </w:rPr>
              <w:fldChar w:fldCharType="end"/>
            </w:r>
            <w:r w:rsidRPr="004B32CA">
              <w:rPr>
                <w:rFonts w:ascii="Calibri" w:eastAsia="Calibri" w:hAnsi="Calibri" w:cs="Calibri"/>
                <w:b/>
                <w:bCs/>
                <w:noProof/>
                <w:color w:val="0070C0"/>
                <w:sz w:val="18"/>
                <w:szCs w:val="18"/>
              </w:rPr>
              <w:t xml:space="preserve"> </w:t>
            </w:r>
          </w:p>
        </w:tc>
        <w:tc>
          <w:tcPr>
            <w:tcW w:w="2356" w:type="dxa"/>
            <w:tcMar>
              <w:top w:w="57" w:type="dxa"/>
              <w:left w:w="57" w:type="dxa"/>
              <w:bottom w:w="57" w:type="dxa"/>
              <w:right w:w="57" w:type="dxa"/>
            </w:tcMar>
          </w:tcPr>
          <w:p w14:paraId="35BF6D10" w14:textId="0D60CE07" w:rsidR="00F113D8" w:rsidRPr="00FB18C9" w:rsidRDefault="00F113D8" w:rsidP="006A54C1">
            <w:pPr>
              <w:spacing w:before="40" w:after="40"/>
              <w:jc w:val="left"/>
              <w:rPr>
                <w:rFonts w:ascii="Calibri" w:eastAsia="Calibri" w:hAnsi="Calibri" w:cs="Calibri"/>
                <w:noProof/>
                <w:sz w:val="18"/>
                <w:szCs w:val="18"/>
                <w:lang w:val="es-419"/>
              </w:rPr>
            </w:pPr>
            <w:r w:rsidRPr="00FB18C9">
              <w:rPr>
                <w:rFonts w:ascii="Calibri" w:eastAsia="Calibri" w:hAnsi="Calibri" w:cs="Calibri"/>
                <w:noProof/>
                <w:sz w:val="18"/>
                <w:szCs w:val="18"/>
                <w:lang w:val="es-419"/>
              </w:rPr>
              <w:t xml:space="preserve">(EC) </w:t>
            </w:r>
            <w:r w:rsidR="002656F3">
              <w:rPr>
                <w:rFonts w:ascii="Calibri" w:eastAsia="Calibri" w:hAnsi="Calibri" w:cs="Calibri"/>
                <w:noProof/>
                <w:sz w:val="18"/>
                <w:szCs w:val="18"/>
                <w:lang w:val="es-419"/>
              </w:rPr>
              <w:t xml:space="preserve">No </w:t>
            </w:r>
            <w:r w:rsidRPr="00FB18C9">
              <w:rPr>
                <w:rFonts w:ascii="Calibri" w:eastAsia="Calibri" w:hAnsi="Calibri" w:cs="Calibri"/>
                <w:noProof/>
                <w:sz w:val="18"/>
                <w:szCs w:val="18"/>
                <w:lang w:val="es-419"/>
              </w:rPr>
              <w:t>2111/2005</w:t>
            </w:r>
          </w:p>
          <w:p w14:paraId="0BC7C566" w14:textId="77777777" w:rsidR="00F113D8" w:rsidRPr="00FB18C9" w:rsidRDefault="00F113D8" w:rsidP="006A54C1">
            <w:pPr>
              <w:spacing w:before="40" w:after="40"/>
              <w:jc w:val="left"/>
              <w:rPr>
                <w:rFonts w:ascii="Calibri" w:eastAsia="Calibri" w:hAnsi="Calibri" w:cs="Calibri"/>
                <w:noProof/>
                <w:sz w:val="18"/>
                <w:szCs w:val="18"/>
                <w:lang w:val="es-419"/>
              </w:rPr>
            </w:pPr>
          </w:p>
        </w:tc>
        <w:tc>
          <w:tcPr>
            <w:tcW w:w="4962" w:type="dxa"/>
            <w:tcMar>
              <w:top w:w="57" w:type="dxa"/>
              <w:left w:w="57" w:type="dxa"/>
              <w:bottom w:w="57" w:type="dxa"/>
              <w:right w:w="57" w:type="dxa"/>
            </w:tcMar>
          </w:tcPr>
          <w:p w14:paraId="09EC9195" w14:textId="77777777" w:rsidR="00F113D8" w:rsidRPr="00AE4977" w:rsidRDefault="00AE4977" w:rsidP="00E839F7">
            <w:pPr>
              <w:spacing w:before="40" w:after="40"/>
              <w:jc w:val="left"/>
              <w:rPr>
                <w:rFonts w:ascii="Calibri" w:eastAsia="Calibri" w:hAnsi="Calibri" w:cs="Calibri"/>
                <w:noProof/>
                <w:sz w:val="18"/>
                <w:szCs w:val="18"/>
              </w:rPr>
            </w:pPr>
            <w:r w:rsidRPr="00FB18C9">
              <w:rPr>
                <w:rFonts w:ascii="Calibri" w:eastAsia="Calibri" w:hAnsi="Calibri" w:cs="Calibri"/>
                <w:noProof/>
                <w:sz w:val="18"/>
                <w:szCs w:val="18"/>
              </w:rPr>
              <w:t>A</w:t>
            </w:r>
            <w:r>
              <w:rPr>
                <w:rFonts w:ascii="Calibri" w:eastAsia="Calibri" w:hAnsi="Calibri" w:cs="Calibri"/>
                <w:noProof/>
                <w:sz w:val="18"/>
                <w:szCs w:val="18"/>
              </w:rPr>
              <w:t xml:space="preserve">nnex: </w:t>
            </w:r>
            <w:r w:rsidRPr="00FB18C9">
              <w:rPr>
                <w:rFonts w:ascii="Calibri" w:eastAsia="Calibri" w:hAnsi="Calibri" w:cs="Calibri"/>
                <w:noProof/>
                <w:sz w:val="18"/>
                <w:szCs w:val="18"/>
              </w:rPr>
              <w:t>Common criteria for consideration of an operating ban for safety reasons at Community leve</w:t>
            </w:r>
            <w:r>
              <w:rPr>
                <w:rFonts w:ascii="Calibri" w:eastAsia="Calibri" w:hAnsi="Calibri" w:cs="Calibri"/>
                <w:noProof/>
                <w:sz w:val="18"/>
                <w:szCs w:val="18"/>
              </w:rPr>
              <w:t>l</w:t>
            </w:r>
          </w:p>
        </w:tc>
      </w:tr>
      <w:tr w:rsidR="00AE4977" w:rsidRPr="00AE4977" w14:paraId="5682CD6C" w14:textId="77777777" w:rsidTr="006A54C1">
        <w:trPr>
          <w:cnfStyle w:val="000000100000" w:firstRow="0" w:lastRow="0" w:firstColumn="0" w:lastColumn="0" w:oddVBand="0" w:evenVBand="0" w:oddHBand="1" w:evenHBand="0" w:firstRowFirstColumn="0" w:firstRowLastColumn="0" w:lastRowFirstColumn="0" w:lastRowLastColumn="0"/>
          <w:trHeight w:val="286"/>
        </w:trPr>
        <w:tc>
          <w:tcPr>
            <w:tcW w:w="2742" w:type="dxa"/>
            <w:tcMar>
              <w:top w:w="57" w:type="dxa"/>
              <w:left w:w="57" w:type="dxa"/>
              <w:bottom w:w="57" w:type="dxa"/>
              <w:right w:w="57" w:type="dxa"/>
            </w:tcMar>
          </w:tcPr>
          <w:p w14:paraId="485F6AC0" w14:textId="77777777" w:rsidR="00AE4977" w:rsidRPr="004B32CA" w:rsidRDefault="00D12977" w:rsidP="00AE4977">
            <w:pPr>
              <w:spacing w:before="40" w:after="40"/>
              <w:jc w:val="left"/>
              <w:rPr>
                <w:rStyle w:val="Hyperlink"/>
                <w:rFonts w:ascii="Calibri" w:eastAsia="Calibri" w:hAnsi="Calibri" w:cs="Calibri"/>
                <w:b/>
                <w:bCs/>
                <w:noProof/>
                <w:color w:val="0070C0"/>
                <w:sz w:val="18"/>
                <w:szCs w:val="18"/>
              </w:rPr>
            </w:pPr>
            <w:r w:rsidRPr="004B32CA">
              <w:rPr>
                <w:rFonts w:ascii="Calibri" w:eastAsia="Calibri" w:hAnsi="Calibri" w:cs="Calibri"/>
                <w:b/>
                <w:bCs/>
                <w:noProof/>
                <w:color w:val="0070C0"/>
                <w:sz w:val="18"/>
                <w:szCs w:val="18"/>
              </w:rPr>
              <w:fldChar w:fldCharType="begin"/>
            </w:r>
            <w:r w:rsidRPr="004B32CA">
              <w:rPr>
                <w:rFonts w:ascii="Calibri" w:eastAsia="Calibri" w:hAnsi="Calibri" w:cs="Calibri"/>
                <w:b/>
                <w:bCs/>
                <w:noProof/>
                <w:color w:val="0070C0"/>
                <w:sz w:val="18"/>
                <w:szCs w:val="18"/>
              </w:rPr>
              <w:instrText xml:space="preserve"> HYPERLINK "https://eur-lex.europa.eu/legal-content/en/TXT/?uri=CELEX%3A32006R0473" </w:instrText>
            </w:r>
            <w:r w:rsidRPr="004B32CA">
              <w:rPr>
                <w:rFonts w:ascii="Calibri" w:eastAsia="Calibri" w:hAnsi="Calibri" w:cs="Calibri"/>
                <w:b/>
                <w:bCs/>
                <w:noProof/>
                <w:color w:val="0070C0"/>
                <w:sz w:val="18"/>
                <w:szCs w:val="18"/>
              </w:rPr>
              <w:fldChar w:fldCharType="separate"/>
            </w:r>
            <w:r w:rsidR="00AE4977" w:rsidRPr="004B32CA">
              <w:rPr>
                <w:rStyle w:val="Hyperlink"/>
                <w:rFonts w:ascii="Calibri" w:eastAsia="Calibri" w:hAnsi="Calibri" w:cs="Calibri"/>
                <w:b/>
                <w:bCs/>
                <w:noProof/>
                <w:color w:val="0070C0"/>
                <w:sz w:val="18"/>
                <w:szCs w:val="18"/>
              </w:rPr>
              <w:t>Implementing rules for the Community list of air carriers which are subject to an</w:t>
            </w:r>
          </w:p>
          <w:p w14:paraId="0F8F2A36" w14:textId="77777777" w:rsidR="00AE4977" w:rsidRPr="004B32CA" w:rsidRDefault="00AE4977" w:rsidP="00AE4977">
            <w:pPr>
              <w:spacing w:before="40" w:after="40"/>
              <w:jc w:val="left"/>
              <w:rPr>
                <w:rFonts w:ascii="Calibri" w:eastAsia="Calibri" w:hAnsi="Calibri" w:cs="Calibri"/>
                <w:b/>
                <w:bCs/>
                <w:noProof/>
                <w:color w:val="0070C0"/>
                <w:sz w:val="18"/>
                <w:szCs w:val="18"/>
              </w:rPr>
            </w:pPr>
            <w:r w:rsidRPr="004B32CA">
              <w:rPr>
                <w:rStyle w:val="Hyperlink"/>
                <w:rFonts w:ascii="Calibri" w:eastAsia="Calibri" w:hAnsi="Calibri" w:cs="Calibri"/>
                <w:b/>
                <w:bCs/>
                <w:noProof/>
                <w:color w:val="0070C0"/>
                <w:sz w:val="18"/>
                <w:szCs w:val="18"/>
              </w:rPr>
              <w:t>operating ban within the Community</w:t>
            </w:r>
            <w:r w:rsidR="00D12977" w:rsidRPr="004B32CA">
              <w:rPr>
                <w:rFonts w:ascii="Calibri" w:eastAsia="Calibri" w:hAnsi="Calibri" w:cs="Calibri"/>
                <w:b/>
                <w:bCs/>
                <w:noProof/>
                <w:color w:val="0070C0"/>
                <w:sz w:val="18"/>
                <w:szCs w:val="18"/>
              </w:rPr>
              <w:fldChar w:fldCharType="end"/>
            </w:r>
          </w:p>
        </w:tc>
        <w:tc>
          <w:tcPr>
            <w:tcW w:w="2356" w:type="dxa"/>
            <w:tcMar>
              <w:top w:w="57" w:type="dxa"/>
              <w:left w:w="57" w:type="dxa"/>
              <w:bottom w:w="57" w:type="dxa"/>
              <w:right w:w="57" w:type="dxa"/>
            </w:tcMar>
          </w:tcPr>
          <w:p w14:paraId="025300A9" w14:textId="2E5234A9" w:rsidR="00AE4977" w:rsidRPr="00B26618" w:rsidRDefault="00AE4977" w:rsidP="00AE4977">
            <w:pPr>
              <w:spacing w:before="40" w:after="40"/>
              <w:jc w:val="left"/>
              <w:rPr>
                <w:rFonts w:ascii="Calibri" w:eastAsia="Calibri" w:hAnsi="Calibri" w:cs="Calibri"/>
                <w:noProof/>
                <w:sz w:val="18"/>
                <w:szCs w:val="18"/>
                <w:lang w:val="es-419"/>
              </w:rPr>
            </w:pPr>
            <w:r w:rsidRPr="00B26618">
              <w:rPr>
                <w:rFonts w:ascii="Calibri" w:eastAsia="Calibri" w:hAnsi="Calibri" w:cs="Calibri"/>
                <w:noProof/>
                <w:sz w:val="18"/>
                <w:szCs w:val="18"/>
                <w:lang w:val="es-419"/>
              </w:rPr>
              <w:t>(E</w:t>
            </w:r>
            <w:r>
              <w:rPr>
                <w:rFonts w:ascii="Calibri" w:eastAsia="Calibri" w:hAnsi="Calibri" w:cs="Calibri"/>
                <w:noProof/>
                <w:sz w:val="18"/>
                <w:szCs w:val="18"/>
                <w:lang w:val="es-419"/>
              </w:rPr>
              <w:t>C</w:t>
            </w:r>
            <w:r w:rsidRPr="00B26618">
              <w:rPr>
                <w:rFonts w:ascii="Calibri" w:eastAsia="Calibri" w:hAnsi="Calibri" w:cs="Calibri"/>
                <w:noProof/>
                <w:sz w:val="18"/>
                <w:szCs w:val="18"/>
                <w:lang w:val="es-419"/>
              </w:rPr>
              <w:t xml:space="preserve">) </w:t>
            </w:r>
            <w:r w:rsidR="002656F3">
              <w:rPr>
                <w:rFonts w:ascii="Calibri" w:eastAsia="Calibri" w:hAnsi="Calibri" w:cs="Calibri"/>
                <w:noProof/>
                <w:sz w:val="18"/>
                <w:szCs w:val="18"/>
                <w:lang w:val="es-419"/>
              </w:rPr>
              <w:t xml:space="preserve">No </w:t>
            </w:r>
            <w:r w:rsidRPr="00B26618">
              <w:rPr>
                <w:rFonts w:ascii="Calibri" w:eastAsia="Calibri" w:hAnsi="Calibri" w:cs="Calibri"/>
                <w:noProof/>
                <w:sz w:val="18"/>
                <w:szCs w:val="18"/>
                <w:lang w:val="es-419"/>
              </w:rPr>
              <w:t>473/2006</w:t>
            </w:r>
          </w:p>
          <w:p w14:paraId="454CF8DC" w14:textId="77777777" w:rsidR="00AE4977" w:rsidRPr="00FB18C9" w:rsidRDefault="00AE4977" w:rsidP="006A54C1">
            <w:pPr>
              <w:spacing w:before="40" w:after="40"/>
              <w:jc w:val="left"/>
              <w:rPr>
                <w:rFonts w:ascii="Calibri" w:eastAsia="Calibri" w:hAnsi="Calibri" w:cs="Calibri"/>
                <w:noProof/>
                <w:sz w:val="18"/>
                <w:szCs w:val="18"/>
              </w:rPr>
            </w:pPr>
          </w:p>
        </w:tc>
        <w:tc>
          <w:tcPr>
            <w:tcW w:w="4962" w:type="dxa"/>
            <w:tcMar>
              <w:top w:w="57" w:type="dxa"/>
              <w:left w:w="57" w:type="dxa"/>
              <w:bottom w:w="57" w:type="dxa"/>
              <w:right w:w="57" w:type="dxa"/>
            </w:tcMar>
          </w:tcPr>
          <w:p w14:paraId="34F3E2DF" w14:textId="77777777" w:rsidR="00AE4977" w:rsidRDefault="00AE4977" w:rsidP="00AE4977">
            <w:pPr>
              <w:spacing w:before="40" w:after="40"/>
              <w:jc w:val="left"/>
              <w:rPr>
                <w:rFonts w:ascii="Calibri" w:eastAsia="Calibri" w:hAnsi="Calibri" w:cs="Calibri"/>
                <w:noProof/>
                <w:sz w:val="18"/>
                <w:szCs w:val="18"/>
              </w:rPr>
            </w:pPr>
            <w:r>
              <w:rPr>
                <w:rFonts w:ascii="Calibri" w:eastAsia="Calibri" w:hAnsi="Calibri" w:cs="Calibri"/>
                <w:noProof/>
                <w:sz w:val="18"/>
                <w:szCs w:val="18"/>
              </w:rPr>
              <w:t xml:space="preserve">Annex </w:t>
            </w:r>
            <w:r w:rsidRPr="00AE4977">
              <w:rPr>
                <w:rFonts w:ascii="Calibri" w:eastAsia="Calibri" w:hAnsi="Calibri" w:cs="Calibri"/>
                <w:noProof/>
                <w:sz w:val="18"/>
                <w:szCs w:val="18"/>
              </w:rPr>
              <w:t>A</w:t>
            </w:r>
            <w:r>
              <w:rPr>
                <w:rFonts w:ascii="Calibri" w:eastAsia="Calibri" w:hAnsi="Calibri" w:cs="Calibri"/>
                <w:noProof/>
                <w:sz w:val="18"/>
                <w:szCs w:val="18"/>
              </w:rPr>
              <w:t xml:space="preserve">: </w:t>
            </w:r>
            <w:r w:rsidRPr="00AE4977">
              <w:rPr>
                <w:rFonts w:ascii="Calibri" w:eastAsia="Calibri" w:hAnsi="Calibri" w:cs="Calibri"/>
                <w:noProof/>
                <w:sz w:val="18"/>
                <w:szCs w:val="18"/>
              </w:rPr>
              <w:t xml:space="preserve">Information to be provided by a Member State making a request under Article 4(2) of the </w:t>
            </w:r>
            <w:r w:rsidR="00F50930">
              <w:rPr>
                <w:rFonts w:ascii="Calibri" w:eastAsia="Calibri" w:hAnsi="Calibri" w:cs="Calibri"/>
                <w:noProof/>
                <w:sz w:val="18"/>
                <w:szCs w:val="18"/>
              </w:rPr>
              <w:t>B</w:t>
            </w:r>
            <w:r w:rsidRPr="00AE4977">
              <w:rPr>
                <w:rFonts w:ascii="Calibri" w:eastAsia="Calibri" w:hAnsi="Calibri" w:cs="Calibri"/>
                <w:noProof/>
                <w:sz w:val="18"/>
                <w:szCs w:val="18"/>
              </w:rPr>
              <w:t xml:space="preserve">asic </w:t>
            </w:r>
            <w:r w:rsidR="00F50930">
              <w:rPr>
                <w:rFonts w:ascii="Calibri" w:eastAsia="Calibri" w:hAnsi="Calibri" w:cs="Calibri"/>
                <w:noProof/>
                <w:sz w:val="18"/>
                <w:szCs w:val="18"/>
              </w:rPr>
              <w:t>R</w:t>
            </w:r>
            <w:r w:rsidRPr="00AE4977">
              <w:rPr>
                <w:rFonts w:ascii="Calibri" w:eastAsia="Calibri" w:hAnsi="Calibri" w:cs="Calibri"/>
                <w:noProof/>
                <w:sz w:val="18"/>
                <w:szCs w:val="18"/>
              </w:rPr>
              <w:t>egulation</w:t>
            </w:r>
          </w:p>
          <w:p w14:paraId="0B53526B" w14:textId="77777777" w:rsidR="00AE4977" w:rsidRDefault="00AE4977" w:rsidP="00AE4977">
            <w:pPr>
              <w:spacing w:before="40" w:after="40"/>
              <w:jc w:val="left"/>
              <w:rPr>
                <w:rFonts w:ascii="Calibri" w:eastAsia="Calibri" w:hAnsi="Calibri" w:cs="Calibri"/>
                <w:noProof/>
                <w:sz w:val="18"/>
                <w:szCs w:val="18"/>
              </w:rPr>
            </w:pPr>
            <w:r>
              <w:rPr>
                <w:rFonts w:ascii="Calibri" w:eastAsia="Calibri" w:hAnsi="Calibri" w:cs="Calibri"/>
                <w:noProof/>
                <w:sz w:val="18"/>
                <w:szCs w:val="18"/>
              </w:rPr>
              <w:t xml:space="preserve">Annex B: </w:t>
            </w:r>
            <w:r w:rsidRPr="00FB18C9">
              <w:rPr>
                <w:rFonts w:ascii="Calibri" w:eastAsia="Calibri" w:hAnsi="Calibri" w:cs="Calibri"/>
                <w:noProof/>
                <w:sz w:val="18"/>
                <w:szCs w:val="18"/>
              </w:rPr>
              <w:t xml:space="preserve">Communication by a Member State of exceptional measures taken under </w:t>
            </w:r>
            <w:r w:rsidR="00F50930">
              <w:rPr>
                <w:rFonts w:ascii="Calibri" w:eastAsia="Calibri" w:hAnsi="Calibri" w:cs="Calibri"/>
                <w:noProof/>
                <w:sz w:val="18"/>
                <w:szCs w:val="18"/>
              </w:rPr>
              <w:t>A</w:t>
            </w:r>
            <w:r w:rsidRPr="00FB18C9">
              <w:rPr>
                <w:rFonts w:ascii="Calibri" w:eastAsia="Calibri" w:hAnsi="Calibri" w:cs="Calibri"/>
                <w:noProof/>
                <w:sz w:val="18"/>
                <w:szCs w:val="18"/>
              </w:rPr>
              <w:t xml:space="preserve">rticle 6(1) of the </w:t>
            </w:r>
            <w:r w:rsidR="00F50930">
              <w:rPr>
                <w:rFonts w:ascii="Calibri" w:eastAsia="Calibri" w:hAnsi="Calibri" w:cs="Calibri"/>
                <w:noProof/>
                <w:sz w:val="18"/>
                <w:szCs w:val="18"/>
              </w:rPr>
              <w:t>B</w:t>
            </w:r>
            <w:r w:rsidRPr="00FB18C9">
              <w:rPr>
                <w:rFonts w:ascii="Calibri" w:eastAsia="Calibri" w:hAnsi="Calibri" w:cs="Calibri"/>
                <w:noProof/>
                <w:sz w:val="18"/>
                <w:szCs w:val="18"/>
              </w:rPr>
              <w:t>asic Regulation to impose an operating ban in its territory</w:t>
            </w:r>
          </w:p>
          <w:p w14:paraId="168D7857" w14:textId="77777777" w:rsidR="00AE4977" w:rsidRPr="00AE4977" w:rsidRDefault="00AE4977" w:rsidP="00AE4977">
            <w:pPr>
              <w:spacing w:before="40" w:after="40"/>
              <w:jc w:val="left"/>
              <w:rPr>
                <w:rFonts w:ascii="Calibri" w:eastAsia="Calibri" w:hAnsi="Calibri" w:cs="Calibri"/>
                <w:noProof/>
                <w:sz w:val="18"/>
                <w:szCs w:val="18"/>
              </w:rPr>
            </w:pPr>
            <w:r>
              <w:rPr>
                <w:rFonts w:ascii="Calibri" w:eastAsia="Calibri" w:hAnsi="Calibri" w:cs="Calibri"/>
                <w:noProof/>
                <w:sz w:val="18"/>
                <w:szCs w:val="18"/>
              </w:rPr>
              <w:t xml:space="preserve">Annex C: </w:t>
            </w:r>
            <w:r w:rsidRPr="00AE4977">
              <w:rPr>
                <w:rFonts w:ascii="Calibri" w:eastAsia="Calibri" w:hAnsi="Calibri" w:cs="Calibri"/>
                <w:noProof/>
                <w:sz w:val="18"/>
                <w:szCs w:val="18"/>
              </w:rPr>
              <w:t xml:space="preserve">Communication by a Member State of exceptional measures taken as permitted by </w:t>
            </w:r>
            <w:r w:rsidR="00F50930">
              <w:rPr>
                <w:rFonts w:ascii="Calibri" w:eastAsia="Calibri" w:hAnsi="Calibri" w:cs="Calibri"/>
                <w:noProof/>
                <w:sz w:val="18"/>
                <w:szCs w:val="18"/>
              </w:rPr>
              <w:t>A</w:t>
            </w:r>
            <w:r w:rsidRPr="00AE4977">
              <w:rPr>
                <w:rFonts w:ascii="Calibri" w:eastAsia="Calibri" w:hAnsi="Calibri" w:cs="Calibri"/>
                <w:noProof/>
                <w:sz w:val="18"/>
                <w:szCs w:val="18"/>
              </w:rPr>
              <w:t xml:space="preserve">rticle 6(2) of the </w:t>
            </w:r>
            <w:r w:rsidR="00AE2FB4">
              <w:rPr>
                <w:rFonts w:ascii="Calibri" w:eastAsia="Calibri" w:hAnsi="Calibri" w:cs="Calibri"/>
                <w:noProof/>
                <w:sz w:val="18"/>
                <w:szCs w:val="18"/>
              </w:rPr>
              <w:t>B</w:t>
            </w:r>
            <w:r w:rsidRPr="00AE4977">
              <w:rPr>
                <w:rFonts w:ascii="Calibri" w:eastAsia="Calibri" w:hAnsi="Calibri" w:cs="Calibri"/>
                <w:noProof/>
                <w:sz w:val="18"/>
                <w:szCs w:val="18"/>
              </w:rPr>
              <w:t>asic</w:t>
            </w:r>
          </w:p>
          <w:p w14:paraId="4C4E4E30" w14:textId="77777777" w:rsidR="00AE4977" w:rsidRPr="00AE4977" w:rsidRDefault="00AE4977" w:rsidP="00AE4977">
            <w:pPr>
              <w:spacing w:before="40" w:after="40"/>
              <w:jc w:val="left"/>
              <w:rPr>
                <w:rFonts w:ascii="Calibri" w:eastAsia="Calibri" w:hAnsi="Calibri" w:cs="Calibri"/>
                <w:noProof/>
                <w:sz w:val="18"/>
                <w:szCs w:val="18"/>
              </w:rPr>
            </w:pPr>
            <w:r w:rsidRPr="00AE4977">
              <w:rPr>
                <w:rFonts w:ascii="Calibri" w:eastAsia="Calibri" w:hAnsi="Calibri" w:cs="Calibri"/>
                <w:noProof/>
                <w:sz w:val="18"/>
                <w:szCs w:val="18"/>
              </w:rPr>
              <w:t>Regulation to maintain or impose an operating ban in its territory when the Commission has decided not to</w:t>
            </w:r>
          </w:p>
          <w:p w14:paraId="731A6432" w14:textId="77777777" w:rsidR="00AE4977" w:rsidRPr="00AE4977" w:rsidRDefault="00AE4977" w:rsidP="00E839F7">
            <w:pPr>
              <w:spacing w:before="40" w:after="40"/>
              <w:jc w:val="left"/>
              <w:rPr>
                <w:rFonts w:ascii="Calibri" w:eastAsia="Calibri" w:hAnsi="Calibri" w:cs="Calibri"/>
                <w:noProof/>
                <w:sz w:val="18"/>
                <w:szCs w:val="18"/>
              </w:rPr>
            </w:pPr>
            <w:r w:rsidRPr="00AE4977">
              <w:rPr>
                <w:rFonts w:ascii="Calibri" w:eastAsia="Calibri" w:hAnsi="Calibri" w:cs="Calibri"/>
                <w:noProof/>
                <w:sz w:val="18"/>
                <w:szCs w:val="18"/>
              </w:rPr>
              <w:t>include similar measures in the Community list</w:t>
            </w:r>
          </w:p>
        </w:tc>
      </w:tr>
      <w:tr w:rsidR="00904FCC" w:rsidRPr="00AE4977" w14:paraId="7C5AA949" w14:textId="77777777" w:rsidTr="006A54C1">
        <w:trPr>
          <w:trHeight w:val="286"/>
        </w:trPr>
        <w:tc>
          <w:tcPr>
            <w:tcW w:w="2742" w:type="dxa"/>
            <w:tcMar>
              <w:top w:w="57" w:type="dxa"/>
              <w:left w:w="57" w:type="dxa"/>
              <w:bottom w:w="57" w:type="dxa"/>
              <w:right w:w="57" w:type="dxa"/>
            </w:tcMar>
          </w:tcPr>
          <w:p w14:paraId="730F7A6E" w14:textId="77777777" w:rsidR="00904FCC" w:rsidRPr="004B32CA" w:rsidRDefault="00E001AA" w:rsidP="00E839F7">
            <w:pPr>
              <w:spacing w:before="40" w:after="40"/>
              <w:jc w:val="left"/>
              <w:rPr>
                <w:noProof/>
                <w:color w:val="0070C0"/>
              </w:rPr>
            </w:pPr>
            <w:hyperlink r:id="rId46" w:history="1">
              <w:r w:rsidR="00AE4977" w:rsidRPr="004B32CA">
                <w:rPr>
                  <w:rStyle w:val="Hyperlink"/>
                  <w:rFonts w:ascii="Calibri" w:eastAsia="Calibri" w:hAnsi="Calibri" w:cs="Calibri"/>
                  <w:b/>
                  <w:bCs/>
                  <w:noProof/>
                  <w:color w:val="0070C0"/>
                  <w:sz w:val="18"/>
                  <w:szCs w:val="18"/>
                </w:rPr>
                <w:t>Community list of air carriers which are subject to an operating ban within the Community</w:t>
              </w:r>
            </w:hyperlink>
          </w:p>
        </w:tc>
        <w:tc>
          <w:tcPr>
            <w:tcW w:w="2356" w:type="dxa"/>
            <w:tcMar>
              <w:top w:w="57" w:type="dxa"/>
              <w:left w:w="57" w:type="dxa"/>
              <w:bottom w:w="57" w:type="dxa"/>
              <w:right w:w="57" w:type="dxa"/>
            </w:tcMar>
          </w:tcPr>
          <w:p w14:paraId="33D8B1C4" w14:textId="46BC670C" w:rsidR="00904FCC" w:rsidRPr="00AE4977" w:rsidRDefault="00AE4977" w:rsidP="00303781">
            <w:pPr>
              <w:spacing w:before="40" w:after="40"/>
              <w:jc w:val="left"/>
              <w:rPr>
                <w:rStyle w:val="CommentReference"/>
                <w:rFonts w:ascii="Calibri" w:eastAsia="Calibri" w:hAnsi="Calibri" w:cs="Calibri"/>
                <w:noProof/>
                <w:sz w:val="18"/>
                <w:szCs w:val="18"/>
              </w:rPr>
            </w:pPr>
            <w:r w:rsidRPr="002028E5">
              <w:rPr>
                <w:rFonts w:ascii="Calibri" w:eastAsia="Calibri" w:hAnsi="Calibri" w:cs="Calibri"/>
                <w:noProof/>
                <w:sz w:val="18"/>
                <w:szCs w:val="18"/>
                <w:lang w:val="es-419"/>
              </w:rPr>
              <w:t xml:space="preserve">(EU) </w:t>
            </w:r>
            <w:r w:rsidR="002656F3">
              <w:rPr>
                <w:rFonts w:ascii="Calibri" w:eastAsia="Calibri" w:hAnsi="Calibri" w:cs="Calibri"/>
                <w:noProof/>
                <w:sz w:val="18"/>
                <w:szCs w:val="18"/>
                <w:lang w:val="es-419"/>
              </w:rPr>
              <w:t xml:space="preserve">No </w:t>
            </w:r>
            <w:r w:rsidRPr="002028E5">
              <w:rPr>
                <w:rFonts w:ascii="Calibri" w:eastAsia="Calibri" w:hAnsi="Calibri" w:cs="Calibri"/>
                <w:noProof/>
                <w:sz w:val="18"/>
                <w:szCs w:val="18"/>
                <w:lang w:val="es-419"/>
              </w:rPr>
              <w:t>474/2006</w:t>
            </w:r>
          </w:p>
        </w:tc>
        <w:tc>
          <w:tcPr>
            <w:tcW w:w="4962" w:type="dxa"/>
            <w:tcMar>
              <w:top w:w="57" w:type="dxa"/>
              <w:left w:w="57" w:type="dxa"/>
              <w:bottom w:w="57" w:type="dxa"/>
              <w:right w:w="57" w:type="dxa"/>
            </w:tcMar>
          </w:tcPr>
          <w:p w14:paraId="1B2883F2" w14:textId="77777777" w:rsidR="005250D1" w:rsidRPr="00AE4977" w:rsidRDefault="00AE4977" w:rsidP="00E839F7">
            <w:pPr>
              <w:spacing w:before="40" w:after="40"/>
              <w:jc w:val="left"/>
              <w:rPr>
                <w:rFonts w:ascii="Calibri" w:eastAsia="Calibri" w:hAnsi="Calibri" w:cs="Calibri"/>
                <w:noProof/>
                <w:sz w:val="18"/>
                <w:szCs w:val="18"/>
              </w:rPr>
            </w:pPr>
            <w:r w:rsidRPr="00AE4977">
              <w:rPr>
                <w:rFonts w:ascii="Calibri" w:eastAsia="Calibri" w:hAnsi="Calibri" w:cs="Calibri"/>
                <w:noProof/>
                <w:sz w:val="18"/>
                <w:szCs w:val="18"/>
              </w:rPr>
              <w:t>A</w:t>
            </w:r>
            <w:r>
              <w:rPr>
                <w:rFonts w:ascii="Calibri" w:eastAsia="Calibri" w:hAnsi="Calibri" w:cs="Calibri"/>
                <w:noProof/>
                <w:sz w:val="18"/>
                <w:szCs w:val="18"/>
              </w:rPr>
              <w:t>nnex</w:t>
            </w:r>
            <w:r w:rsidRPr="00AE4977">
              <w:rPr>
                <w:rFonts w:ascii="Calibri" w:eastAsia="Calibri" w:hAnsi="Calibri" w:cs="Calibri"/>
                <w:noProof/>
                <w:sz w:val="18"/>
                <w:szCs w:val="18"/>
              </w:rPr>
              <w:t xml:space="preserve"> A</w:t>
            </w:r>
            <w:r>
              <w:rPr>
                <w:rFonts w:ascii="Calibri" w:eastAsia="Calibri" w:hAnsi="Calibri" w:cs="Calibri"/>
                <w:noProof/>
                <w:sz w:val="18"/>
                <w:szCs w:val="18"/>
              </w:rPr>
              <w:t xml:space="preserve">: </w:t>
            </w:r>
            <w:r w:rsidR="00D12977">
              <w:rPr>
                <w:rFonts w:ascii="Calibri" w:eastAsia="Calibri" w:hAnsi="Calibri" w:cs="Calibri"/>
                <w:noProof/>
                <w:sz w:val="18"/>
                <w:szCs w:val="18"/>
              </w:rPr>
              <w:t>L</w:t>
            </w:r>
            <w:r w:rsidRPr="00AE4977">
              <w:rPr>
                <w:rFonts w:ascii="Calibri" w:eastAsia="Calibri" w:hAnsi="Calibri" w:cs="Calibri"/>
                <w:noProof/>
                <w:sz w:val="18"/>
                <w:szCs w:val="18"/>
              </w:rPr>
              <w:t>ist of air carriers of which all operations are subject to a ban within the</w:t>
            </w:r>
            <w:r w:rsidR="00D12977">
              <w:rPr>
                <w:rFonts w:ascii="Calibri" w:eastAsia="Calibri" w:hAnsi="Calibri" w:cs="Calibri"/>
                <w:noProof/>
                <w:sz w:val="18"/>
                <w:szCs w:val="18"/>
              </w:rPr>
              <w:t xml:space="preserve"> C</w:t>
            </w:r>
            <w:r w:rsidRPr="00AE4977">
              <w:rPr>
                <w:rFonts w:ascii="Calibri" w:eastAsia="Calibri" w:hAnsi="Calibri" w:cs="Calibri"/>
                <w:noProof/>
                <w:sz w:val="18"/>
                <w:szCs w:val="18"/>
              </w:rPr>
              <w:t>ommunit</w:t>
            </w:r>
            <w:r>
              <w:rPr>
                <w:rFonts w:ascii="Calibri" w:eastAsia="Calibri" w:hAnsi="Calibri" w:cs="Calibri"/>
                <w:noProof/>
                <w:sz w:val="18"/>
                <w:szCs w:val="18"/>
              </w:rPr>
              <w:t>y</w:t>
            </w:r>
          </w:p>
        </w:tc>
      </w:tr>
      <w:tr w:rsidR="006A54C1" w:rsidRPr="00AE4977" w14:paraId="2DE139B3" w14:textId="77777777" w:rsidTr="006A54C1">
        <w:trPr>
          <w:cnfStyle w:val="000000100000" w:firstRow="0" w:lastRow="0" w:firstColumn="0" w:lastColumn="0" w:oddVBand="0" w:evenVBand="0" w:oddHBand="1" w:evenHBand="0" w:firstRowFirstColumn="0" w:firstRowLastColumn="0" w:lastRowFirstColumn="0" w:lastRowLastColumn="0"/>
          <w:trHeight w:val="286"/>
        </w:trPr>
        <w:tc>
          <w:tcPr>
            <w:tcW w:w="2742" w:type="dxa"/>
            <w:tcMar>
              <w:top w:w="57" w:type="dxa"/>
              <w:left w:w="57" w:type="dxa"/>
              <w:bottom w:w="57" w:type="dxa"/>
              <w:right w:w="57" w:type="dxa"/>
            </w:tcMar>
          </w:tcPr>
          <w:p w14:paraId="3D1D5593" w14:textId="77777777" w:rsidR="006A54C1" w:rsidRPr="004B32CA" w:rsidRDefault="006A54C1" w:rsidP="006A54C1">
            <w:pPr>
              <w:spacing w:before="40" w:after="40"/>
              <w:jc w:val="left"/>
              <w:rPr>
                <w:rFonts w:ascii="Calibri" w:eastAsia="Calibri" w:hAnsi="Calibri" w:cs="Calibri"/>
                <w:b/>
                <w:bCs/>
                <w:noProof/>
                <w:color w:val="0070C0"/>
                <w:sz w:val="18"/>
                <w:szCs w:val="18"/>
              </w:rPr>
            </w:pPr>
          </w:p>
        </w:tc>
        <w:tc>
          <w:tcPr>
            <w:tcW w:w="2356" w:type="dxa"/>
            <w:tcMar>
              <w:top w:w="57" w:type="dxa"/>
              <w:left w:w="57" w:type="dxa"/>
              <w:bottom w:w="57" w:type="dxa"/>
              <w:right w:w="57" w:type="dxa"/>
            </w:tcMar>
          </w:tcPr>
          <w:p w14:paraId="2968AC37" w14:textId="77777777" w:rsidR="006A54C1" w:rsidRPr="00AE4977" w:rsidRDefault="006A54C1" w:rsidP="006A54C1">
            <w:pPr>
              <w:spacing w:before="40" w:after="40"/>
              <w:jc w:val="left"/>
              <w:rPr>
                <w:rFonts w:ascii="Calibri" w:eastAsia="Calibri" w:hAnsi="Calibri" w:cs="Calibri"/>
                <w:noProof/>
                <w:sz w:val="18"/>
                <w:szCs w:val="18"/>
              </w:rPr>
            </w:pPr>
          </w:p>
        </w:tc>
        <w:tc>
          <w:tcPr>
            <w:tcW w:w="4962" w:type="dxa"/>
            <w:tcMar>
              <w:top w:w="57" w:type="dxa"/>
              <w:left w:w="57" w:type="dxa"/>
              <w:bottom w:w="57" w:type="dxa"/>
              <w:right w:w="57" w:type="dxa"/>
            </w:tcMar>
          </w:tcPr>
          <w:p w14:paraId="2FA37C38" w14:textId="77777777" w:rsidR="006A54C1" w:rsidRPr="00AE4977" w:rsidRDefault="00D12977" w:rsidP="00E839F7">
            <w:pPr>
              <w:spacing w:before="40" w:after="40"/>
              <w:jc w:val="left"/>
              <w:rPr>
                <w:rFonts w:ascii="Calibri" w:eastAsia="Calibri" w:hAnsi="Calibri" w:cs="Calibri"/>
                <w:noProof/>
                <w:sz w:val="18"/>
                <w:szCs w:val="18"/>
              </w:rPr>
            </w:pPr>
            <w:r w:rsidRPr="00D12977">
              <w:rPr>
                <w:rFonts w:ascii="Calibri" w:eastAsia="Calibri" w:hAnsi="Calibri" w:cs="Calibri"/>
                <w:noProof/>
                <w:sz w:val="18"/>
                <w:szCs w:val="18"/>
              </w:rPr>
              <w:t>A</w:t>
            </w:r>
            <w:r>
              <w:rPr>
                <w:rFonts w:ascii="Calibri" w:eastAsia="Calibri" w:hAnsi="Calibri" w:cs="Calibri"/>
                <w:noProof/>
                <w:sz w:val="18"/>
                <w:szCs w:val="18"/>
              </w:rPr>
              <w:t xml:space="preserve">nnex </w:t>
            </w:r>
            <w:r w:rsidRPr="00D12977">
              <w:rPr>
                <w:rFonts w:ascii="Calibri" w:eastAsia="Calibri" w:hAnsi="Calibri" w:cs="Calibri"/>
                <w:noProof/>
                <w:sz w:val="18"/>
                <w:szCs w:val="18"/>
              </w:rPr>
              <w:t>B</w:t>
            </w:r>
            <w:r>
              <w:rPr>
                <w:rFonts w:ascii="Calibri" w:eastAsia="Calibri" w:hAnsi="Calibri" w:cs="Calibri"/>
                <w:noProof/>
                <w:sz w:val="18"/>
                <w:szCs w:val="18"/>
              </w:rPr>
              <w:t>: L</w:t>
            </w:r>
            <w:r w:rsidRPr="00D12977">
              <w:rPr>
                <w:rFonts w:ascii="Calibri" w:eastAsia="Calibri" w:hAnsi="Calibri" w:cs="Calibri"/>
                <w:noProof/>
                <w:sz w:val="18"/>
                <w:szCs w:val="18"/>
              </w:rPr>
              <w:t>ist of air carriers of which operations are subject to operational restrictions</w:t>
            </w:r>
            <w:r>
              <w:rPr>
                <w:rFonts w:ascii="Calibri" w:eastAsia="Calibri" w:hAnsi="Calibri" w:cs="Calibri"/>
                <w:noProof/>
                <w:sz w:val="18"/>
                <w:szCs w:val="18"/>
              </w:rPr>
              <w:t xml:space="preserve"> </w:t>
            </w:r>
            <w:r w:rsidRPr="00D12977">
              <w:rPr>
                <w:rFonts w:ascii="Calibri" w:eastAsia="Calibri" w:hAnsi="Calibri" w:cs="Calibri"/>
                <w:noProof/>
                <w:sz w:val="18"/>
                <w:szCs w:val="18"/>
              </w:rPr>
              <w:t xml:space="preserve">within the </w:t>
            </w:r>
            <w:r>
              <w:rPr>
                <w:rFonts w:ascii="Calibri" w:eastAsia="Calibri" w:hAnsi="Calibri" w:cs="Calibri"/>
                <w:noProof/>
                <w:sz w:val="18"/>
                <w:szCs w:val="18"/>
              </w:rPr>
              <w:t>C</w:t>
            </w:r>
            <w:r w:rsidRPr="00D12977">
              <w:rPr>
                <w:rFonts w:ascii="Calibri" w:eastAsia="Calibri" w:hAnsi="Calibri" w:cs="Calibri"/>
                <w:noProof/>
                <w:sz w:val="18"/>
                <w:szCs w:val="18"/>
              </w:rPr>
              <w:t>ommunity</w:t>
            </w:r>
          </w:p>
        </w:tc>
      </w:tr>
      <w:tr w:rsidR="00EC08B0" w:rsidRPr="00F5121A" w:rsidDel="00EC08B0" w14:paraId="4D41B2E4" w14:textId="77777777" w:rsidTr="006A54C1">
        <w:trPr>
          <w:trHeight w:val="286"/>
        </w:trPr>
        <w:tc>
          <w:tcPr>
            <w:tcW w:w="2742" w:type="dxa"/>
            <w:tcMar>
              <w:top w:w="57" w:type="dxa"/>
              <w:left w:w="57" w:type="dxa"/>
              <w:bottom w:w="57" w:type="dxa"/>
              <w:right w:w="57" w:type="dxa"/>
            </w:tcMar>
          </w:tcPr>
          <w:p w14:paraId="346F5B33" w14:textId="77777777" w:rsidR="00EC08B0" w:rsidRPr="004B32CA" w:rsidDel="00EC08B0" w:rsidRDefault="00E001AA" w:rsidP="00EC08B0">
            <w:pPr>
              <w:spacing w:before="40" w:after="40"/>
              <w:jc w:val="left"/>
              <w:rPr>
                <w:noProof/>
                <w:color w:val="0070C0"/>
              </w:rPr>
            </w:pPr>
            <w:hyperlink r:id="rId47" w:history="1">
              <w:r w:rsidR="00EC08B0" w:rsidRPr="004B32CA">
                <w:rPr>
                  <w:rStyle w:val="Hyperlink"/>
                  <w:rFonts w:ascii="Calibri" w:eastAsia="Calibri" w:hAnsi="Calibri" w:cs="Calibri"/>
                  <w:b/>
                  <w:noProof/>
                  <w:color w:val="0070C0"/>
                  <w:sz w:val="18"/>
                  <w:szCs w:val="18"/>
                </w:rPr>
                <w:t>Single European Sky Framework</w:t>
              </w:r>
            </w:hyperlink>
            <w:r w:rsidR="00EC08B0" w:rsidRPr="004B32CA">
              <w:rPr>
                <w:rFonts w:ascii="Calibri" w:eastAsia="Calibri" w:hAnsi="Calibri" w:cs="Calibri"/>
                <w:b/>
                <w:noProof/>
                <w:color w:val="0070C0"/>
                <w:sz w:val="18"/>
                <w:szCs w:val="18"/>
                <w:u w:val="single"/>
              </w:rPr>
              <w:t xml:space="preserve"> </w:t>
            </w:r>
          </w:p>
        </w:tc>
        <w:tc>
          <w:tcPr>
            <w:tcW w:w="2356" w:type="dxa"/>
            <w:tcMar>
              <w:top w:w="57" w:type="dxa"/>
              <w:left w:w="57" w:type="dxa"/>
              <w:bottom w:w="57" w:type="dxa"/>
              <w:right w:w="57" w:type="dxa"/>
            </w:tcMar>
          </w:tcPr>
          <w:p w14:paraId="2F0A7ED5" w14:textId="7E24E30C" w:rsidR="00EC08B0" w:rsidRPr="00F5121A" w:rsidDel="00EC08B0" w:rsidRDefault="00EC08B0" w:rsidP="00EC08B0">
            <w:pPr>
              <w:spacing w:before="40" w:after="40"/>
              <w:jc w:val="left"/>
              <w:rPr>
                <w:rFonts w:ascii="Calibri" w:eastAsia="Calibri" w:hAnsi="Calibri" w:cs="Calibri"/>
                <w:noProof/>
                <w:sz w:val="18"/>
                <w:szCs w:val="18"/>
              </w:rPr>
            </w:pPr>
            <w:r>
              <w:rPr>
                <w:rFonts w:ascii="Calibri" w:eastAsia="Calibri" w:hAnsi="Calibri" w:cs="Calibri"/>
                <w:noProof/>
                <w:sz w:val="18"/>
                <w:szCs w:val="18"/>
              </w:rPr>
              <w:t xml:space="preserve">(EC) </w:t>
            </w:r>
            <w:r w:rsidR="002656F3">
              <w:rPr>
                <w:rFonts w:ascii="Calibri" w:eastAsia="Calibri" w:hAnsi="Calibri" w:cs="Calibri"/>
                <w:noProof/>
                <w:sz w:val="18"/>
                <w:szCs w:val="18"/>
              </w:rPr>
              <w:t xml:space="preserve">No </w:t>
            </w:r>
            <w:r>
              <w:rPr>
                <w:rFonts w:ascii="Calibri" w:eastAsia="Calibri" w:hAnsi="Calibri" w:cs="Calibri"/>
                <w:noProof/>
                <w:sz w:val="18"/>
                <w:szCs w:val="18"/>
              </w:rPr>
              <w:t>549/2004</w:t>
            </w:r>
          </w:p>
        </w:tc>
        <w:tc>
          <w:tcPr>
            <w:tcW w:w="4962" w:type="dxa"/>
            <w:tcMar>
              <w:top w:w="57" w:type="dxa"/>
              <w:left w:w="57" w:type="dxa"/>
              <w:bottom w:w="57" w:type="dxa"/>
              <w:right w:w="57" w:type="dxa"/>
            </w:tcMar>
          </w:tcPr>
          <w:p w14:paraId="40B079E9" w14:textId="77777777" w:rsidR="00EC08B0" w:rsidRPr="00F5121A" w:rsidDel="00EC08B0" w:rsidRDefault="00EC08B0" w:rsidP="00EC08B0">
            <w:pPr>
              <w:spacing w:before="40" w:after="40"/>
              <w:jc w:val="left"/>
              <w:rPr>
                <w:rFonts w:ascii="Calibri" w:eastAsia="Calibri" w:hAnsi="Calibri" w:cs="Calibri"/>
                <w:noProof/>
                <w:sz w:val="18"/>
                <w:szCs w:val="18"/>
              </w:rPr>
            </w:pPr>
          </w:p>
        </w:tc>
      </w:tr>
      <w:tr w:rsidR="00EC08B0" w:rsidRPr="00F5121A" w:rsidDel="00EC08B0" w14:paraId="40D606CC" w14:textId="77777777" w:rsidTr="006A54C1">
        <w:trPr>
          <w:cnfStyle w:val="000000100000" w:firstRow="0" w:lastRow="0" w:firstColumn="0" w:lastColumn="0" w:oddVBand="0" w:evenVBand="0" w:oddHBand="1" w:evenHBand="0" w:firstRowFirstColumn="0" w:firstRowLastColumn="0" w:lastRowFirstColumn="0" w:lastRowLastColumn="0"/>
          <w:trHeight w:val="286"/>
        </w:trPr>
        <w:tc>
          <w:tcPr>
            <w:tcW w:w="2742" w:type="dxa"/>
            <w:tcMar>
              <w:top w:w="57" w:type="dxa"/>
              <w:left w:w="57" w:type="dxa"/>
              <w:bottom w:w="57" w:type="dxa"/>
              <w:right w:w="57" w:type="dxa"/>
            </w:tcMar>
          </w:tcPr>
          <w:p w14:paraId="6C78A719" w14:textId="77777777" w:rsidR="00EC08B0" w:rsidRPr="004B32CA" w:rsidDel="00EC08B0" w:rsidRDefault="00E001AA" w:rsidP="00EC08B0">
            <w:pPr>
              <w:spacing w:before="40" w:after="40"/>
              <w:jc w:val="left"/>
              <w:rPr>
                <w:noProof/>
                <w:color w:val="0070C0"/>
              </w:rPr>
            </w:pPr>
            <w:hyperlink r:id="rId48" w:history="1">
              <w:r w:rsidR="00EC08B0" w:rsidRPr="004B32CA">
                <w:rPr>
                  <w:rStyle w:val="Hyperlink"/>
                  <w:rFonts w:ascii="Calibri" w:eastAsia="Calibri" w:hAnsi="Calibri" w:cs="Calibri"/>
                  <w:b/>
                  <w:noProof/>
                  <w:color w:val="0070C0"/>
                  <w:sz w:val="18"/>
                  <w:szCs w:val="18"/>
                </w:rPr>
                <w:t>Single European Sky ANS Service Provision</w:t>
              </w:r>
            </w:hyperlink>
            <w:r w:rsidR="00EC08B0" w:rsidRPr="004B32CA">
              <w:rPr>
                <w:rFonts w:ascii="Calibri" w:eastAsia="Calibri" w:hAnsi="Calibri" w:cs="Calibri"/>
                <w:b/>
                <w:noProof/>
                <w:color w:val="0070C0"/>
                <w:sz w:val="18"/>
                <w:szCs w:val="18"/>
                <w:u w:val="single"/>
              </w:rPr>
              <w:t xml:space="preserve"> </w:t>
            </w:r>
          </w:p>
        </w:tc>
        <w:tc>
          <w:tcPr>
            <w:tcW w:w="2356" w:type="dxa"/>
            <w:tcMar>
              <w:top w:w="57" w:type="dxa"/>
              <w:left w:w="57" w:type="dxa"/>
              <w:bottom w:w="57" w:type="dxa"/>
              <w:right w:w="57" w:type="dxa"/>
            </w:tcMar>
          </w:tcPr>
          <w:p w14:paraId="6BAF54DA" w14:textId="0A44EC92" w:rsidR="00EC08B0" w:rsidRPr="00F5121A" w:rsidDel="00EC08B0" w:rsidRDefault="00EC08B0" w:rsidP="00EC08B0">
            <w:pPr>
              <w:spacing w:before="40" w:after="40"/>
              <w:jc w:val="left"/>
              <w:rPr>
                <w:rFonts w:ascii="Calibri" w:eastAsia="Calibri" w:hAnsi="Calibri" w:cs="Calibri"/>
                <w:noProof/>
                <w:sz w:val="18"/>
                <w:szCs w:val="18"/>
              </w:rPr>
            </w:pPr>
            <w:r>
              <w:rPr>
                <w:rFonts w:ascii="Calibri" w:eastAsia="Calibri" w:hAnsi="Calibri" w:cs="Calibri"/>
                <w:noProof/>
                <w:sz w:val="18"/>
                <w:szCs w:val="18"/>
              </w:rPr>
              <w:t xml:space="preserve">(EC) </w:t>
            </w:r>
            <w:r w:rsidR="002656F3">
              <w:rPr>
                <w:rFonts w:ascii="Calibri" w:eastAsia="Calibri" w:hAnsi="Calibri" w:cs="Calibri"/>
                <w:noProof/>
                <w:sz w:val="18"/>
                <w:szCs w:val="18"/>
              </w:rPr>
              <w:t xml:space="preserve">No </w:t>
            </w:r>
            <w:r>
              <w:rPr>
                <w:rFonts w:ascii="Calibri" w:eastAsia="Calibri" w:hAnsi="Calibri" w:cs="Calibri"/>
                <w:noProof/>
                <w:sz w:val="18"/>
                <w:szCs w:val="18"/>
              </w:rPr>
              <w:t>550/2004</w:t>
            </w:r>
          </w:p>
        </w:tc>
        <w:tc>
          <w:tcPr>
            <w:tcW w:w="4962" w:type="dxa"/>
            <w:tcMar>
              <w:top w:w="57" w:type="dxa"/>
              <w:left w:w="57" w:type="dxa"/>
              <w:bottom w:w="57" w:type="dxa"/>
              <w:right w:w="57" w:type="dxa"/>
            </w:tcMar>
          </w:tcPr>
          <w:p w14:paraId="40572941" w14:textId="77777777" w:rsidR="00EC08B0" w:rsidRDefault="00A33072" w:rsidP="00EC08B0">
            <w:pPr>
              <w:spacing w:before="40" w:after="40"/>
              <w:jc w:val="left"/>
              <w:rPr>
                <w:rFonts w:ascii="Calibri" w:eastAsia="Calibri" w:hAnsi="Calibri" w:cs="Calibri"/>
                <w:noProof/>
                <w:sz w:val="18"/>
                <w:szCs w:val="18"/>
              </w:rPr>
            </w:pPr>
            <w:r w:rsidRPr="00A33072">
              <w:rPr>
                <w:rFonts w:ascii="Calibri" w:eastAsia="Calibri" w:hAnsi="Calibri" w:cs="Calibri"/>
                <w:noProof/>
                <w:sz w:val="18"/>
                <w:szCs w:val="18"/>
              </w:rPr>
              <w:t xml:space="preserve">Annex I:  Requirements </w:t>
            </w:r>
            <w:r>
              <w:rPr>
                <w:rFonts w:ascii="Calibri" w:eastAsia="Calibri" w:hAnsi="Calibri" w:cs="Calibri"/>
                <w:noProof/>
                <w:sz w:val="18"/>
                <w:szCs w:val="18"/>
              </w:rPr>
              <w:t>f</w:t>
            </w:r>
            <w:r w:rsidRPr="00A33072">
              <w:rPr>
                <w:rFonts w:ascii="Calibri" w:eastAsia="Calibri" w:hAnsi="Calibri" w:cs="Calibri"/>
                <w:noProof/>
                <w:sz w:val="18"/>
                <w:szCs w:val="18"/>
              </w:rPr>
              <w:t>or Recognised Organisations</w:t>
            </w:r>
          </w:p>
          <w:p w14:paraId="6AD67867" w14:textId="77777777" w:rsidR="00A33072" w:rsidRPr="00F5121A" w:rsidDel="00EC08B0" w:rsidRDefault="00A33072" w:rsidP="00EC08B0">
            <w:pPr>
              <w:spacing w:before="40" w:after="40"/>
              <w:jc w:val="left"/>
              <w:rPr>
                <w:rFonts w:ascii="Calibri" w:eastAsia="Calibri" w:hAnsi="Calibri" w:cs="Calibri"/>
                <w:noProof/>
                <w:sz w:val="18"/>
                <w:szCs w:val="18"/>
              </w:rPr>
            </w:pPr>
            <w:r w:rsidRPr="00A33072">
              <w:rPr>
                <w:rFonts w:ascii="Calibri" w:eastAsia="Calibri" w:hAnsi="Calibri" w:cs="Calibri"/>
                <w:noProof/>
                <w:sz w:val="18"/>
                <w:szCs w:val="18"/>
              </w:rPr>
              <w:t>Annex II: Conditions to be attached to</w:t>
            </w:r>
            <w:r>
              <w:rPr>
                <w:noProof/>
              </w:rPr>
              <w:t xml:space="preserve"> </w:t>
            </w:r>
            <w:r w:rsidRPr="00A33072">
              <w:rPr>
                <w:rFonts w:ascii="Calibri" w:eastAsia="Calibri" w:hAnsi="Calibri" w:cs="Calibri"/>
                <w:noProof/>
                <w:sz w:val="18"/>
                <w:szCs w:val="18"/>
              </w:rPr>
              <w:t>certificates</w:t>
            </w:r>
          </w:p>
        </w:tc>
      </w:tr>
      <w:tr w:rsidR="00EC08B0" w:rsidRPr="00F5121A" w:rsidDel="00EC08B0" w14:paraId="0E9DFF31" w14:textId="77777777" w:rsidTr="006A54C1">
        <w:trPr>
          <w:trHeight w:val="286"/>
        </w:trPr>
        <w:tc>
          <w:tcPr>
            <w:tcW w:w="2742" w:type="dxa"/>
            <w:tcMar>
              <w:top w:w="57" w:type="dxa"/>
              <w:left w:w="57" w:type="dxa"/>
              <w:bottom w:w="57" w:type="dxa"/>
              <w:right w:w="57" w:type="dxa"/>
            </w:tcMar>
          </w:tcPr>
          <w:p w14:paraId="6DCF91DB" w14:textId="77777777" w:rsidR="00EC08B0" w:rsidRPr="004B32CA" w:rsidDel="00EC08B0" w:rsidRDefault="00E001AA" w:rsidP="00EC08B0">
            <w:pPr>
              <w:spacing w:before="40" w:after="40"/>
              <w:jc w:val="left"/>
              <w:rPr>
                <w:noProof/>
                <w:color w:val="0070C0"/>
              </w:rPr>
            </w:pPr>
            <w:hyperlink r:id="rId49" w:history="1">
              <w:r w:rsidR="00EC08B0" w:rsidRPr="004B32CA">
                <w:rPr>
                  <w:rStyle w:val="Hyperlink"/>
                  <w:rFonts w:ascii="Calibri" w:eastAsia="Calibri" w:hAnsi="Calibri" w:cs="Calibri"/>
                  <w:b/>
                  <w:noProof/>
                  <w:color w:val="0070C0"/>
                  <w:sz w:val="18"/>
                  <w:szCs w:val="18"/>
                </w:rPr>
                <w:t xml:space="preserve">Single European Sky </w:t>
              </w:r>
              <w:r w:rsidR="00CD3CF1" w:rsidRPr="004B32CA">
                <w:rPr>
                  <w:rStyle w:val="Hyperlink"/>
                  <w:rFonts w:ascii="Calibri" w:eastAsia="Calibri" w:hAnsi="Calibri" w:cs="Calibri"/>
                  <w:b/>
                  <w:noProof/>
                  <w:color w:val="0070C0"/>
                  <w:sz w:val="18"/>
                  <w:szCs w:val="18"/>
                </w:rPr>
                <w:t>–</w:t>
              </w:r>
              <w:r w:rsidR="00EC08B0" w:rsidRPr="004B32CA">
                <w:rPr>
                  <w:rStyle w:val="Hyperlink"/>
                  <w:rFonts w:ascii="Calibri" w:eastAsia="Calibri" w:hAnsi="Calibri" w:cs="Calibri"/>
                  <w:b/>
                  <w:noProof/>
                  <w:color w:val="0070C0"/>
                  <w:sz w:val="18"/>
                  <w:szCs w:val="18"/>
                </w:rPr>
                <w:t xml:space="preserve"> organisation and use of the airspace</w:t>
              </w:r>
            </w:hyperlink>
            <w:r w:rsidR="00EC08B0" w:rsidRPr="004B32CA">
              <w:rPr>
                <w:rFonts w:ascii="Calibri" w:eastAsia="Calibri" w:hAnsi="Calibri" w:cs="Calibri"/>
                <w:b/>
                <w:noProof/>
                <w:color w:val="0070C0"/>
                <w:sz w:val="18"/>
                <w:szCs w:val="18"/>
                <w:u w:val="single"/>
              </w:rPr>
              <w:t xml:space="preserve"> </w:t>
            </w:r>
          </w:p>
        </w:tc>
        <w:tc>
          <w:tcPr>
            <w:tcW w:w="2356" w:type="dxa"/>
            <w:tcMar>
              <w:top w:w="57" w:type="dxa"/>
              <w:left w:w="57" w:type="dxa"/>
              <w:bottom w:w="57" w:type="dxa"/>
              <w:right w:w="57" w:type="dxa"/>
            </w:tcMar>
          </w:tcPr>
          <w:p w14:paraId="4F1B5EEA" w14:textId="63EB944C" w:rsidR="00EC08B0" w:rsidRPr="00F5121A" w:rsidDel="00EC08B0" w:rsidRDefault="00EC08B0" w:rsidP="00EC08B0">
            <w:pPr>
              <w:spacing w:before="40" w:after="40"/>
              <w:jc w:val="left"/>
              <w:rPr>
                <w:rFonts w:ascii="Calibri" w:eastAsia="Calibri" w:hAnsi="Calibri" w:cs="Calibri"/>
                <w:noProof/>
                <w:sz w:val="18"/>
                <w:szCs w:val="18"/>
              </w:rPr>
            </w:pPr>
            <w:r>
              <w:rPr>
                <w:rFonts w:ascii="Calibri" w:eastAsia="Calibri" w:hAnsi="Calibri" w:cs="Calibri"/>
                <w:noProof/>
                <w:sz w:val="18"/>
                <w:szCs w:val="18"/>
              </w:rPr>
              <w:t xml:space="preserve">(EC) </w:t>
            </w:r>
            <w:r w:rsidR="002656F3">
              <w:rPr>
                <w:rFonts w:ascii="Calibri" w:eastAsia="Calibri" w:hAnsi="Calibri" w:cs="Calibri"/>
                <w:noProof/>
                <w:sz w:val="18"/>
                <w:szCs w:val="18"/>
              </w:rPr>
              <w:t xml:space="preserve">No </w:t>
            </w:r>
            <w:r>
              <w:rPr>
                <w:rFonts w:ascii="Calibri" w:eastAsia="Calibri" w:hAnsi="Calibri" w:cs="Calibri"/>
                <w:noProof/>
                <w:sz w:val="18"/>
                <w:szCs w:val="18"/>
              </w:rPr>
              <w:t>551/2004</w:t>
            </w:r>
          </w:p>
        </w:tc>
        <w:tc>
          <w:tcPr>
            <w:tcW w:w="4962" w:type="dxa"/>
            <w:tcMar>
              <w:top w:w="57" w:type="dxa"/>
              <w:left w:w="57" w:type="dxa"/>
              <w:bottom w:w="57" w:type="dxa"/>
              <w:right w:w="57" w:type="dxa"/>
            </w:tcMar>
          </w:tcPr>
          <w:p w14:paraId="6815279F" w14:textId="77777777" w:rsidR="00EC08B0" w:rsidRPr="00F5121A" w:rsidDel="00EC08B0" w:rsidRDefault="00EC08B0" w:rsidP="00EC08B0">
            <w:pPr>
              <w:spacing w:before="40" w:after="40"/>
              <w:jc w:val="left"/>
              <w:rPr>
                <w:rFonts w:ascii="Calibri" w:eastAsia="Calibri" w:hAnsi="Calibri" w:cs="Calibri"/>
                <w:noProof/>
                <w:sz w:val="18"/>
                <w:szCs w:val="18"/>
              </w:rPr>
            </w:pPr>
          </w:p>
        </w:tc>
      </w:tr>
      <w:tr w:rsidR="006A0CB6" w:rsidRPr="00F5121A" w:rsidDel="00EC08B0" w14:paraId="37295D75" w14:textId="77777777" w:rsidTr="006A54C1">
        <w:trPr>
          <w:cnfStyle w:val="000000100000" w:firstRow="0" w:lastRow="0" w:firstColumn="0" w:lastColumn="0" w:oddVBand="0" w:evenVBand="0" w:oddHBand="1" w:evenHBand="0" w:firstRowFirstColumn="0" w:firstRowLastColumn="0" w:lastRowFirstColumn="0" w:lastRowLastColumn="0"/>
          <w:trHeight w:val="286"/>
        </w:trPr>
        <w:tc>
          <w:tcPr>
            <w:tcW w:w="2742" w:type="dxa"/>
            <w:tcMar>
              <w:top w:w="57" w:type="dxa"/>
              <w:left w:w="57" w:type="dxa"/>
              <w:bottom w:w="57" w:type="dxa"/>
              <w:right w:w="57" w:type="dxa"/>
            </w:tcMar>
          </w:tcPr>
          <w:p w14:paraId="5E53BB03" w14:textId="77777777" w:rsidR="006A0CB6" w:rsidRDefault="006A0CB6" w:rsidP="00EC08B0">
            <w:pPr>
              <w:spacing w:before="40" w:after="40"/>
              <w:jc w:val="left"/>
              <w:rPr>
                <w:rFonts w:ascii="Calibri" w:eastAsia="Calibri" w:hAnsi="Calibri" w:cs="Calibri"/>
                <w:b/>
                <w:noProof/>
                <w:color w:val="0563C1"/>
                <w:sz w:val="18"/>
                <w:szCs w:val="18"/>
                <w:u w:val="single"/>
              </w:rPr>
            </w:pPr>
            <w:r w:rsidRPr="006A0CB6">
              <w:rPr>
                <w:rFonts w:ascii="Calibri" w:eastAsia="Calibri" w:hAnsi="Calibri" w:cs="Calibri"/>
                <w:b/>
                <w:noProof/>
                <w:color w:val="0563C1"/>
                <w:sz w:val="18"/>
                <w:szCs w:val="18"/>
                <w:u w:val="single"/>
              </w:rPr>
              <w:t xml:space="preserve">Single European Sky – </w:t>
            </w:r>
            <w:r>
              <w:rPr>
                <w:rFonts w:ascii="Calibri" w:eastAsia="Calibri" w:hAnsi="Calibri" w:cs="Calibri"/>
                <w:b/>
                <w:noProof/>
                <w:color w:val="0563C1"/>
                <w:sz w:val="18"/>
                <w:szCs w:val="18"/>
                <w:u w:val="single"/>
              </w:rPr>
              <w:t xml:space="preserve">Common Projects </w:t>
            </w:r>
          </w:p>
        </w:tc>
        <w:tc>
          <w:tcPr>
            <w:tcW w:w="2356" w:type="dxa"/>
            <w:tcMar>
              <w:top w:w="57" w:type="dxa"/>
              <w:left w:w="57" w:type="dxa"/>
              <w:bottom w:w="57" w:type="dxa"/>
              <w:right w:w="57" w:type="dxa"/>
            </w:tcMar>
          </w:tcPr>
          <w:p w14:paraId="4D3A557B" w14:textId="781CA37E" w:rsidR="006A0CB6" w:rsidRPr="007A10A8" w:rsidRDefault="006A0CB6" w:rsidP="00EC08B0">
            <w:pPr>
              <w:spacing w:before="40" w:after="40"/>
              <w:jc w:val="left"/>
              <w:rPr>
                <w:rFonts w:ascii="Calibri" w:eastAsia="Calibri" w:hAnsi="Calibri" w:cs="Calibri"/>
                <w:noProof/>
                <w:sz w:val="18"/>
                <w:szCs w:val="18"/>
              </w:rPr>
            </w:pPr>
            <w:r>
              <w:rPr>
                <w:rFonts w:ascii="Calibri" w:eastAsia="Calibri" w:hAnsi="Calibri" w:cs="Calibri"/>
                <w:noProof/>
                <w:sz w:val="18"/>
                <w:szCs w:val="18"/>
              </w:rPr>
              <w:t>IR</w:t>
            </w:r>
            <w:r w:rsidR="009D5D8B">
              <w:rPr>
                <w:rFonts w:ascii="Calibri" w:eastAsia="Calibri" w:hAnsi="Calibri" w:cs="Calibri"/>
                <w:noProof/>
                <w:sz w:val="18"/>
                <w:szCs w:val="18"/>
              </w:rPr>
              <w:t>:</w:t>
            </w:r>
            <w:r>
              <w:rPr>
                <w:rFonts w:ascii="Calibri" w:eastAsia="Calibri" w:hAnsi="Calibri" w:cs="Calibri"/>
                <w:noProof/>
                <w:sz w:val="18"/>
                <w:szCs w:val="18"/>
              </w:rPr>
              <w:t xml:space="preserve"> (EU) </w:t>
            </w:r>
            <w:r w:rsidR="002656F3">
              <w:rPr>
                <w:rFonts w:ascii="Calibri" w:eastAsia="Calibri" w:hAnsi="Calibri" w:cs="Calibri"/>
                <w:noProof/>
                <w:sz w:val="18"/>
                <w:szCs w:val="18"/>
              </w:rPr>
              <w:t xml:space="preserve">No </w:t>
            </w:r>
            <w:r>
              <w:rPr>
                <w:rFonts w:ascii="Calibri" w:eastAsia="Calibri" w:hAnsi="Calibri" w:cs="Calibri"/>
                <w:noProof/>
                <w:sz w:val="18"/>
                <w:szCs w:val="18"/>
              </w:rPr>
              <w:t>409/2013</w:t>
            </w:r>
          </w:p>
        </w:tc>
        <w:tc>
          <w:tcPr>
            <w:tcW w:w="4962" w:type="dxa"/>
            <w:tcMar>
              <w:top w:w="57" w:type="dxa"/>
              <w:left w:w="57" w:type="dxa"/>
              <w:bottom w:w="57" w:type="dxa"/>
              <w:right w:w="57" w:type="dxa"/>
            </w:tcMar>
          </w:tcPr>
          <w:p w14:paraId="51EE1F08" w14:textId="77777777" w:rsidR="006A0CB6" w:rsidRPr="006D59C9" w:rsidRDefault="008F090F" w:rsidP="006D59C9">
            <w:pPr>
              <w:spacing w:before="40" w:after="40"/>
              <w:jc w:val="left"/>
              <w:rPr>
                <w:rFonts w:ascii="Calibri" w:eastAsia="Calibri" w:hAnsi="Calibri" w:cs="Calibri"/>
                <w:noProof/>
                <w:sz w:val="18"/>
                <w:szCs w:val="18"/>
              </w:rPr>
            </w:pPr>
            <w:r>
              <w:rPr>
                <w:rFonts w:ascii="Calibri" w:eastAsia="Calibri" w:hAnsi="Calibri" w:cs="Calibri"/>
                <w:noProof/>
                <w:sz w:val="18"/>
                <w:szCs w:val="18"/>
              </w:rPr>
              <w:t xml:space="preserve"> </w:t>
            </w:r>
          </w:p>
        </w:tc>
      </w:tr>
      <w:tr w:rsidR="00EC08B0" w:rsidRPr="00F5121A" w:rsidDel="00EC08B0" w14:paraId="685E878E" w14:textId="77777777" w:rsidTr="006A54C1">
        <w:trPr>
          <w:trHeight w:val="286"/>
        </w:trPr>
        <w:tc>
          <w:tcPr>
            <w:tcW w:w="2742" w:type="dxa"/>
            <w:tcMar>
              <w:top w:w="57" w:type="dxa"/>
              <w:left w:w="57" w:type="dxa"/>
              <w:bottom w:w="57" w:type="dxa"/>
              <w:right w:w="57" w:type="dxa"/>
            </w:tcMar>
          </w:tcPr>
          <w:p w14:paraId="48F32C64" w14:textId="77777777" w:rsidR="00EC08B0" w:rsidRPr="004B32CA" w:rsidDel="00EC08B0" w:rsidRDefault="00E001AA" w:rsidP="00EC08B0">
            <w:pPr>
              <w:spacing w:before="40" w:after="40"/>
              <w:jc w:val="left"/>
              <w:rPr>
                <w:rFonts w:asciiTheme="minorHAnsi" w:hAnsiTheme="minorHAnsi" w:cstheme="minorHAnsi"/>
                <w:b/>
                <w:noProof/>
                <w:sz w:val="18"/>
                <w:szCs w:val="18"/>
                <w:u w:val="single"/>
              </w:rPr>
            </w:pPr>
            <w:hyperlink r:id="rId50" w:history="1">
              <w:r w:rsidR="00EC08B0" w:rsidRPr="004B32CA">
                <w:rPr>
                  <w:rFonts w:asciiTheme="minorHAnsi" w:hAnsiTheme="minorHAnsi" w:cstheme="minorHAnsi"/>
                  <w:b/>
                  <w:noProof/>
                  <w:color w:val="0563C1"/>
                  <w:sz w:val="18"/>
                  <w:szCs w:val="18"/>
                  <w:u w:val="single"/>
                </w:rPr>
                <w:t xml:space="preserve">Performance &amp; Charging Scheme in the Single European Sky </w:t>
              </w:r>
              <w:r w:rsidR="00CD3CF1" w:rsidRPr="004B32CA">
                <w:rPr>
                  <w:rFonts w:asciiTheme="minorHAnsi" w:hAnsiTheme="minorHAnsi" w:cstheme="minorHAnsi"/>
                  <w:b/>
                  <w:noProof/>
                  <w:color w:val="0563C1"/>
                  <w:sz w:val="18"/>
                  <w:szCs w:val="18"/>
                  <w:u w:val="single"/>
                </w:rPr>
                <w:t>–</w:t>
              </w:r>
              <w:r w:rsidR="00EC08B0" w:rsidRPr="004B32CA">
                <w:rPr>
                  <w:rFonts w:asciiTheme="minorHAnsi" w:hAnsiTheme="minorHAnsi" w:cstheme="minorHAnsi"/>
                  <w:b/>
                  <w:noProof/>
                  <w:color w:val="0563C1"/>
                  <w:sz w:val="18"/>
                  <w:szCs w:val="18"/>
                  <w:u w:val="single"/>
                </w:rPr>
                <w:t xml:space="preserve"> Safety Key Performance Indicators</w:t>
              </w:r>
            </w:hyperlink>
          </w:p>
        </w:tc>
        <w:tc>
          <w:tcPr>
            <w:tcW w:w="2356" w:type="dxa"/>
            <w:tcMar>
              <w:top w:w="57" w:type="dxa"/>
              <w:left w:w="57" w:type="dxa"/>
              <w:bottom w:w="57" w:type="dxa"/>
              <w:right w:w="57" w:type="dxa"/>
            </w:tcMar>
          </w:tcPr>
          <w:p w14:paraId="33FADED5" w14:textId="77777777" w:rsidR="00EC08B0" w:rsidRPr="00F5121A" w:rsidDel="00EC08B0" w:rsidRDefault="00EC08B0" w:rsidP="00EC08B0">
            <w:pPr>
              <w:spacing w:before="40" w:after="40"/>
              <w:jc w:val="left"/>
              <w:rPr>
                <w:rFonts w:ascii="Calibri" w:eastAsia="Calibri" w:hAnsi="Calibri" w:cs="Calibri"/>
                <w:noProof/>
                <w:sz w:val="18"/>
                <w:szCs w:val="18"/>
              </w:rPr>
            </w:pPr>
            <w:r w:rsidRPr="007A10A8">
              <w:rPr>
                <w:rFonts w:ascii="Calibri" w:eastAsia="Calibri" w:hAnsi="Calibri" w:cs="Calibri"/>
                <w:noProof/>
                <w:sz w:val="18"/>
                <w:szCs w:val="18"/>
              </w:rPr>
              <w:t xml:space="preserve">IR: </w:t>
            </w:r>
            <w:r w:rsidRPr="007A10A8">
              <w:rPr>
                <w:rFonts w:ascii="Calibri" w:eastAsia="Calibri" w:hAnsi="Calibri" w:cs="Calibri"/>
                <w:bCs/>
                <w:noProof/>
                <w:sz w:val="18"/>
                <w:szCs w:val="18"/>
              </w:rPr>
              <w:t>(EU) 2019/317</w:t>
            </w:r>
          </w:p>
        </w:tc>
        <w:tc>
          <w:tcPr>
            <w:tcW w:w="4962" w:type="dxa"/>
            <w:tcMar>
              <w:top w:w="57" w:type="dxa"/>
              <w:left w:w="57" w:type="dxa"/>
              <w:bottom w:w="57" w:type="dxa"/>
              <w:right w:w="57" w:type="dxa"/>
            </w:tcMar>
          </w:tcPr>
          <w:p w14:paraId="3A435770" w14:textId="77777777" w:rsidR="00EC08B0" w:rsidRDefault="006D59C9" w:rsidP="006D59C9">
            <w:pPr>
              <w:spacing w:before="40" w:after="40"/>
              <w:jc w:val="left"/>
              <w:rPr>
                <w:rFonts w:ascii="Calibri" w:eastAsia="Calibri" w:hAnsi="Calibri" w:cs="Calibri"/>
                <w:noProof/>
                <w:sz w:val="18"/>
                <w:szCs w:val="18"/>
              </w:rPr>
            </w:pPr>
            <w:r w:rsidRPr="006D59C9">
              <w:rPr>
                <w:rFonts w:ascii="Calibri" w:eastAsia="Calibri" w:hAnsi="Calibri" w:cs="Calibri"/>
                <w:noProof/>
                <w:sz w:val="18"/>
                <w:szCs w:val="18"/>
              </w:rPr>
              <w:t>A</w:t>
            </w:r>
            <w:r w:rsidR="00351A2D" w:rsidRPr="006D59C9">
              <w:rPr>
                <w:rFonts w:ascii="Calibri" w:eastAsia="Calibri" w:hAnsi="Calibri" w:cs="Calibri"/>
                <w:noProof/>
                <w:sz w:val="18"/>
                <w:szCs w:val="18"/>
              </w:rPr>
              <w:t xml:space="preserve">nnex </w:t>
            </w:r>
            <w:r w:rsidRPr="006D59C9">
              <w:rPr>
                <w:rFonts w:ascii="Calibri" w:eastAsia="Calibri" w:hAnsi="Calibri" w:cs="Calibri"/>
                <w:noProof/>
                <w:sz w:val="18"/>
                <w:szCs w:val="18"/>
              </w:rPr>
              <w:t>I</w:t>
            </w:r>
            <w:r w:rsidR="00351A2D">
              <w:rPr>
                <w:rFonts w:ascii="Calibri" w:eastAsia="Calibri" w:hAnsi="Calibri" w:cs="Calibri"/>
                <w:noProof/>
                <w:sz w:val="18"/>
                <w:szCs w:val="18"/>
              </w:rPr>
              <w:t xml:space="preserve">: </w:t>
            </w:r>
            <w:r w:rsidR="00351A2D" w:rsidRPr="006D59C9">
              <w:rPr>
                <w:rFonts w:ascii="Calibri" w:eastAsia="Calibri" w:hAnsi="Calibri" w:cs="Calibri"/>
                <w:noProof/>
                <w:sz w:val="18"/>
                <w:szCs w:val="18"/>
              </w:rPr>
              <w:t>Key Performance Indicators (K</w:t>
            </w:r>
            <w:r w:rsidR="00351A2D">
              <w:rPr>
                <w:rFonts w:ascii="Calibri" w:eastAsia="Calibri" w:hAnsi="Calibri" w:cs="Calibri"/>
                <w:noProof/>
                <w:sz w:val="18"/>
                <w:szCs w:val="18"/>
              </w:rPr>
              <w:t>PI</w:t>
            </w:r>
            <w:r w:rsidR="00351A2D" w:rsidRPr="006D59C9">
              <w:rPr>
                <w:rFonts w:ascii="Calibri" w:eastAsia="Calibri" w:hAnsi="Calibri" w:cs="Calibri"/>
                <w:noProof/>
                <w:sz w:val="18"/>
                <w:szCs w:val="18"/>
              </w:rPr>
              <w:t xml:space="preserve">) </w:t>
            </w:r>
            <w:r w:rsidR="00351A2D">
              <w:rPr>
                <w:rFonts w:ascii="Calibri" w:eastAsia="Calibri" w:hAnsi="Calibri" w:cs="Calibri"/>
                <w:noProof/>
                <w:sz w:val="18"/>
                <w:szCs w:val="18"/>
              </w:rPr>
              <w:t>f</w:t>
            </w:r>
            <w:r w:rsidR="00351A2D" w:rsidRPr="006D59C9">
              <w:rPr>
                <w:rFonts w:ascii="Calibri" w:eastAsia="Calibri" w:hAnsi="Calibri" w:cs="Calibri"/>
                <w:noProof/>
                <w:sz w:val="18"/>
                <w:szCs w:val="18"/>
              </w:rPr>
              <w:t xml:space="preserve">or Target Setting </w:t>
            </w:r>
            <w:r w:rsidR="00351A2D">
              <w:rPr>
                <w:rFonts w:ascii="Calibri" w:eastAsia="Calibri" w:hAnsi="Calibri" w:cs="Calibri"/>
                <w:noProof/>
                <w:sz w:val="18"/>
                <w:szCs w:val="18"/>
              </w:rPr>
              <w:t>a</w:t>
            </w:r>
            <w:r w:rsidR="00351A2D" w:rsidRPr="006D59C9">
              <w:rPr>
                <w:rFonts w:ascii="Calibri" w:eastAsia="Calibri" w:hAnsi="Calibri" w:cs="Calibri"/>
                <w:noProof/>
                <w:sz w:val="18"/>
                <w:szCs w:val="18"/>
              </w:rPr>
              <w:t xml:space="preserve">nd Indicators </w:t>
            </w:r>
            <w:r w:rsidR="00351A2D">
              <w:rPr>
                <w:rFonts w:ascii="Calibri" w:eastAsia="Calibri" w:hAnsi="Calibri" w:cs="Calibri"/>
                <w:noProof/>
                <w:sz w:val="18"/>
                <w:szCs w:val="18"/>
              </w:rPr>
              <w:t>f</w:t>
            </w:r>
            <w:r w:rsidR="00351A2D" w:rsidRPr="006D59C9">
              <w:rPr>
                <w:rFonts w:ascii="Calibri" w:eastAsia="Calibri" w:hAnsi="Calibri" w:cs="Calibri"/>
                <w:noProof/>
                <w:sz w:val="18"/>
                <w:szCs w:val="18"/>
              </w:rPr>
              <w:t>or Monitoring</w:t>
            </w:r>
          </w:p>
          <w:p w14:paraId="447E3728" w14:textId="77777777" w:rsidR="006D59C9" w:rsidRDefault="006D59C9" w:rsidP="006D59C9">
            <w:pPr>
              <w:spacing w:before="40" w:after="40"/>
              <w:jc w:val="left"/>
              <w:rPr>
                <w:rFonts w:ascii="Calibri" w:eastAsia="Calibri" w:hAnsi="Calibri" w:cs="Calibri"/>
                <w:noProof/>
                <w:sz w:val="18"/>
                <w:szCs w:val="18"/>
              </w:rPr>
            </w:pPr>
            <w:r>
              <w:rPr>
                <w:rFonts w:ascii="Calibri" w:eastAsia="Calibri" w:hAnsi="Calibri" w:cs="Calibri"/>
                <w:noProof/>
                <w:sz w:val="18"/>
                <w:szCs w:val="18"/>
              </w:rPr>
              <w:t>A</w:t>
            </w:r>
            <w:r w:rsidR="00351A2D" w:rsidRPr="006D59C9">
              <w:rPr>
                <w:rFonts w:ascii="Calibri" w:eastAsia="Calibri" w:hAnsi="Calibri" w:cs="Calibri"/>
                <w:noProof/>
                <w:sz w:val="18"/>
                <w:szCs w:val="18"/>
              </w:rPr>
              <w:t xml:space="preserve">nnex </w:t>
            </w:r>
            <w:r w:rsidRPr="006D59C9">
              <w:rPr>
                <w:rFonts w:ascii="Calibri" w:eastAsia="Calibri" w:hAnsi="Calibri" w:cs="Calibri"/>
                <w:noProof/>
                <w:sz w:val="18"/>
                <w:szCs w:val="18"/>
              </w:rPr>
              <w:t>II</w:t>
            </w:r>
            <w:r w:rsidR="00351A2D">
              <w:rPr>
                <w:rFonts w:ascii="Calibri" w:eastAsia="Calibri" w:hAnsi="Calibri" w:cs="Calibri"/>
                <w:noProof/>
                <w:sz w:val="18"/>
                <w:szCs w:val="18"/>
              </w:rPr>
              <w:t xml:space="preserve">: </w:t>
            </w:r>
            <w:r w:rsidR="00351A2D" w:rsidRPr="006D59C9">
              <w:rPr>
                <w:rFonts w:ascii="Calibri" w:eastAsia="Calibri" w:hAnsi="Calibri" w:cs="Calibri"/>
                <w:noProof/>
                <w:sz w:val="18"/>
                <w:szCs w:val="18"/>
              </w:rPr>
              <w:t xml:space="preserve">Template </w:t>
            </w:r>
            <w:r w:rsidR="00351A2D">
              <w:rPr>
                <w:rFonts w:ascii="Calibri" w:eastAsia="Calibri" w:hAnsi="Calibri" w:cs="Calibri"/>
                <w:noProof/>
                <w:sz w:val="18"/>
                <w:szCs w:val="18"/>
              </w:rPr>
              <w:t>f</w:t>
            </w:r>
            <w:r w:rsidR="00351A2D" w:rsidRPr="006D59C9">
              <w:rPr>
                <w:rFonts w:ascii="Calibri" w:eastAsia="Calibri" w:hAnsi="Calibri" w:cs="Calibri"/>
                <w:noProof/>
                <w:sz w:val="18"/>
                <w:szCs w:val="18"/>
              </w:rPr>
              <w:t xml:space="preserve">or Performance Plans </w:t>
            </w:r>
            <w:r w:rsidR="00351A2D">
              <w:rPr>
                <w:rFonts w:ascii="Calibri" w:eastAsia="Calibri" w:hAnsi="Calibri" w:cs="Calibri"/>
                <w:noProof/>
                <w:sz w:val="18"/>
                <w:szCs w:val="18"/>
              </w:rPr>
              <w:t>a</w:t>
            </w:r>
            <w:r w:rsidR="00351A2D" w:rsidRPr="006D59C9">
              <w:rPr>
                <w:rFonts w:ascii="Calibri" w:eastAsia="Calibri" w:hAnsi="Calibri" w:cs="Calibri"/>
                <w:noProof/>
                <w:sz w:val="18"/>
                <w:szCs w:val="18"/>
              </w:rPr>
              <w:t xml:space="preserve">t National </w:t>
            </w:r>
            <w:r w:rsidR="00351A2D">
              <w:rPr>
                <w:rFonts w:ascii="Calibri" w:eastAsia="Calibri" w:hAnsi="Calibri" w:cs="Calibri"/>
                <w:noProof/>
                <w:sz w:val="18"/>
                <w:szCs w:val="18"/>
              </w:rPr>
              <w:t>o</w:t>
            </w:r>
            <w:r w:rsidR="00351A2D" w:rsidRPr="006D59C9">
              <w:rPr>
                <w:rFonts w:ascii="Calibri" w:eastAsia="Calibri" w:hAnsi="Calibri" w:cs="Calibri"/>
                <w:noProof/>
                <w:sz w:val="18"/>
                <w:szCs w:val="18"/>
              </w:rPr>
              <w:t xml:space="preserve">r Functional Airspace Block Level </w:t>
            </w:r>
            <w:r w:rsidR="00351A2D">
              <w:rPr>
                <w:rFonts w:ascii="Calibri" w:eastAsia="Calibri" w:hAnsi="Calibri" w:cs="Calibri"/>
                <w:noProof/>
                <w:sz w:val="18"/>
                <w:szCs w:val="18"/>
              </w:rPr>
              <w:t>r</w:t>
            </w:r>
            <w:r w:rsidR="00351A2D" w:rsidRPr="006D59C9">
              <w:rPr>
                <w:rFonts w:ascii="Calibri" w:eastAsia="Calibri" w:hAnsi="Calibri" w:cs="Calibri"/>
                <w:noProof/>
                <w:sz w:val="18"/>
                <w:szCs w:val="18"/>
              </w:rPr>
              <w:t xml:space="preserve">eferred </w:t>
            </w:r>
            <w:r w:rsidR="00351A2D">
              <w:rPr>
                <w:rFonts w:ascii="Calibri" w:eastAsia="Calibri" w:hAnsi="Calibri" w:cs="Calibri"/>
                <w:noProof/>
                <w:sz w:val="18"/>
                <w:szCs w:val="18"/>
              </w:rPr>
              <w:t>t</w:t>
            </w:r>
            <w:r w:rsidR="00351A2D" w:rsidRPr="006D59C9">
              <w:rPr>
                <w:rFonts w:ascii="Calibri" w:eastAsia="Calibri" w:hAnsi="Calibri" w:cs="Calibri"/>
                <w:noProof/>
                <w:sz w:val="18"/>
                <w:szCs w:val="18"/>
              </w:rPr>
              <w:t xml:space="preserve">o </w:t>
            </w:r>
            <w:r w:rsidR="00351A2D">
              <w:rPr>
                <w:rFonts w:ascii="Calibri" w:eastAsia="Calibri" w:hAnsi="Calibri" w:cs="Calibri"/>
                <w:noProof/>
                <w:sz w:val="18"/>
                <w:szCs w:val="18"/>
              </w:rPr>
              <w:t>i</w:t>
            </w:r>
            <w:r w:rsidR="00351A2D" w:rsidRPr="006D59C9">
              <w:rPr>
                <w:rFonts w:ascii="Calibri" w:eastAsia="Calibri" w:hAnsi="Calibri" w:cs="Calibri"/>
                <w:noProof/>
                <w:sz w:val="18"/>
                <w:szCs w:val="18"/>
              </w:rPr>
              <w:t>n Article 10(1)</w:t>
            </w:r>
          </w:p>
          <w:p w14:paraId="3916E0B5" w14:textId="77777777" w:rsidR="006D59C9" w:rsidRDefault="006D59C9" w:rsidP="006D59C9">
            <w:pPr>
              <w:spacing w:before="40" w:after="40"/>
              <w:jc w:val="left"/>
              <w:rPr>
                <w:rFonts w:ascii="Calibri" w:eastAsia="Calibri" w:hAnsi="Calibri" w:cs="Calibri"/>
                <w:noProof/>
                <w:sz w:val="18"/>
                <w:szCs w:val="18"/>
              </w:rPr>
            </w:pPr>
            <w:r w:rsidRPr="006D59C9">
              <w:rPr>
                <w:rFonts w:ascii="Calibri" w:eastAsia="Calibri" w:hAnsi="Calibri" w:cs="Calibri"/>
                <w:noProof/>
                <w:sz w:val="18"/>
                <w:szCs w:val="18"/>
              </w:rPr>
              <w:t>A</w:t>
            </w:r>
            <w:r w:rsidR="00351A2D" w:rsidRPr="006D59C9">
              <w:rPr>
                <w:rFonts w:ascii="Calibri" w:eastAsia="Calibri" w:hAnsi="Calibri" w:cs="Calibri"/>
                <w:noProof/>
                <w:sz w:val="18"/>
                <w:szCs w:val="18"/>
              </w:rPr>
              <w:t xml:space="preserve">nnex </w:t>
            </w:r>
            <w:r w:rsidRPr="006D59C9">
              <w:rPr>
                <w:rFonts w:ascii="Calibri" w:eastAsia="Calibri" w:hAnsi="Calibri" w:cs="Calibri"/>
                <w:noProof/>
                <w:sz w:val="18"/>
                <w:szCs w:val="18"/>
              </w:rPr>
              <w:t>III</w:t>
            </w:r>
            <w:r w:rsidR="00351A2D">
              <w:rPr>
                <w:rFonts w:ascii="Calibri" w:eastAsia="Calibri" w:hAnsi="Calibri" w:cs="Calibri"/>
                <w:noProof/>
                <w:sz w:val="18"/>
                <w:szCs w:val="18"/>
              </w:rPr>
              <w:t xml:space="preserve">: </w:t>
            </w:r>
            <w:r w:rsidR="00351A2D" w:rsidRPr="006D59C9">
              <w:rPr>
                <w:rFonts w:ascii="Calibri" w:eastAsia="Calibri" w:hAnsi="Calibri" w:cs="Calibri"/>
                <w:noProof/>
                <w:sz w:val="18"/>
                <w:szCs w:val="18"/>
              </w:rPr>
              <w:t xml:space="preserve">Template </w:t>
            </w:r>
            <w:r w:rsidR="00351A2D">
              <w:rPr>
                <w:rFonts w:ascii="Calibri" w:eastAsia="Calibri" w:hAnsi="Calibri" w:cs="Calibri"/>
                <w:noProof/>
                <w:sz w:val="18"/>
                <w:szCs w:val="18"/>
              </w:rPr>
              <w:t>f</w:t>
            </w:r>
            <w:r w:rsidR="00351A2D" w:rsidRPr="006D59C9">
              <w:rPr>
                <w:rFonts w:ascii="Calibri" w:eastAsia="Calibri" w:hAnsi="Calibri" w:cs="Calibri"/>
                <w:noProof/>
                <w:sz w:val="18"/>
                <w:szCs w:val="18"/>
              </w:rPr>
              <w:t xml:space="preserve">or </w:t>
            </w:r>
            <w:r w:rsidR="00351A2D">
              <w:rPr>
                <w:rFonts w:ascii="Calibri" w:eastAsia="Calibri" w:hAnsi="Calibri" w:cs="Calibri"/>
                <w:noProof/>
                <w:sz w:val="18"/>
                <w:szCs w:val="18"/>
              </w:rPr>
              <w:t>t</w:t>
            </w:r>
            <w:r w:rsidR="00351A2D" w:rsidRPr="006D59C9">
              <w:rPr>
                <w:rFonts w:ascii="Calibri" w:eastAsia="Calibri" w:hAnsi="Calibri" w:cs="Calibri"/>
                <w:noProof/>
                <w:sz w:val="18"/>
                <w:szCs w:val="18"/>
              </w:rPr>
              <w:t xml:space="preserve">he Network Performance Plan </w:t>
            </w:r>
            <w:r w:rsidR="00351A2D">
              <w:rPr>
                <w:rFonts w:ascii="Calibri" w:eastAsia="Calibri" w:hAnsi="Calibri" w:cs="Calibri"/>
                <w:noProof/>
                <w:sz w:val="18"/>
                <w:szCs w:val="18"/>
              </w:rPr>
              <w:t>r</w:t>
            </w:r>
            <w:r w:rsidR="00351A2D" w:rsidRPr="006D59C9">
              <w:rPr>
                <w:rFonts w:ascii="Calibri" w:eastAsia="Calibri" w:hAnsi="Calibri" w:cs="Calibri"/>
                <w:noProof/>
                <w:sz w:val="18"/>
                <w:szCs w:val="18"/>
              </w:rPr>
              <w:t xml:space="preserve">eferred </w:t>
            </w:r>
            <w:r w:rsidR="00351A2D">
              <w:rPr>
                <w:rFonts w:ascii="Calibri" w:eastAsia="Calibri" w:hAnsi="Calibri" w:cs="Calibri"/>
                <w:noProof/>
                <w:sz w:val="18"/>
                <w:szCs w:val="18"/>
              </w:rPr>
              <w:t>t</w:t>
            </w:r>
            <w:r w:rsidR="00351A2D" w:rsidRPr="006D59C9">
              <w:rPr>
                <w:rFonts w:ascii="Calibri" w:eastAsia="Calibri" w:hAnsi="Calibri" w:cs="Calibri"/>
                <w:noProof/>
                <w:sz w:val="18"/>
                <w:szCs w:val="18"/>
              </w:rPr>
              <w:t xml:space="preserve">o </w:t>
            </w:r>
            <w:r w:rsidR="00351A2D">
              <w:rPr>
                <w:rFonts w:ascii="Calibri" w:eastAsia="Calibri" w:hAnsi="Calibri" w:cs="Calibri"/>
                <w:noProof/>
                <w:sz w:val="18"/>
                <w:szCs w:val="18"/>
              </w:rPr>
              <w:t>i</w:t>
            </w:r>
            <w:r w:rsidR="00351A2D" w:rsidRPr="006D59C9">
              <w:rPr>
                <w:rFonts w:ascii="Calibri" w:eastAsia="Calibri" w:hAnsi="Calibri" w:cs="Calibri"/>
                <w:noProof/>
                <w:sz w:val="18"/>
                <w:szCs w:val="18"/>
              </w:rPr>
              <w:t>n Article 10(5)</w:t>
            </w:r>
          </w:p>
          <w:p w14:paraId="3DB75E2A" w14:textId="77777777" w:rsidR="006D59C9" w:rsidRDefault="006D59C9" w:rsidP="006D59C9">
            <w:pPr>
              <w:spacing w:before="40" w:after="40"/>
              <w:jc w:val="left"/>
              <w:rPr>
                <w:rFonts w:ascii="Calibri" w:eastAsia="Calibri" w:hAnsi="Calibri" w:cs="Calibri"/>
                <w:noProof/>
                <w:sz w:val="18"/>
                <w:szCs w:val="18"/>
              </w:rPr>
            </w:pPr>
            <w:r w:rsidRPr="006D59C9">
              <w:rPr>
                <w:rFonts w:ascii="Calibri" w:eastAsia="Calibri" w:hAnsi="Calibri" w:cs="Calibri"/>
                <w:noProof/>
                <w:sz w:val="18"/>
                <w:szCs w:val="18"/>
              </w:rPr>
              <w:t>A</w:t>
            </w:r>
            <w:r w:rsidR="00351A2D" w:rsidRPr="006D59C9">
              <w:rPr>
                <w:rFonts w:ascii="Calibri" w:eastAsia="Calibri" w:hAnsi="Calibri" w:cs="Calibri"/>
                <w:noProof/>
                <w:sz w:val="18"/>
                <w:szCs w:val="18"/>
              </w:rPr>
              <w:t>nnex</w:t>
            </w:r>
            <w:r w:rsidRPr="006D59C9">
              <w:rPr>
                <w:rFonts w:ascii="Calibri" w:eastAsia="Calibri" w:hAnsi="Calibri" w:cs="Calibri"/>
                <w:noProof/>
                <w:sz w:val="18"/>
                <w:szCs w:val="18"/>
              </w:rPr>
              <w:t xml:space="preserve"> IV</w:t>
            </w:r>
            <w:r w:rsidR="00351A2D">
              <w:rPr>
                <w:rFonts w:ascii="Calibri" w:eastAsia="Calibri" w:hAnsi="Calibri" w:cs="Calibri"/>
                <w:noProof/>
                <w:sz w:val="18"/>
                <w:szCs w:val="18"/>
              </w:rPr>
              <w:t xml:space="preserve">: </w:t>
            </w:r>
            <w:r w:rsidR="00351A2D" w:rsidRPr="006D59C9">
              <w:rPr>
                <w:rFonts w:ascii="Calibri" w:eastAsia="Calibri" w:hAnsi="Calibri" w:cs="Calibri"/>
                <w:noProof/>
                <w:sz w:val="18"/>
                <w:szCs w:val="18"/>
              </w:rPr>
              <w:t xml:space="preserve">Criteria </w:t>
            </w:r>
            <w:r w:rsidR="00351A2D">
              <w:rPr>
                <w:rFonts w:ascii="Calibri" w:eastAsia="Calibri" w:hAnsi="Calibri" w:cs="Calibri"/>
                <w:noProof/>
                <w:sz w:val="18"/>
                <w:szCs w:val="18"/>
              </w:rPr>
              <w:t>f</w:t>
            </w:r>
            <w:r w:rsidR="00351A2D" w:rsidRPr="006D59C9">
              <w:rPr>
                <w:rFonts w:ascii="Calibri" w:eastAsia="Calibri" w:hAnsi="Calibri" w:cs="Calibri"/>
                <w:noProof/>
                <w:sz w:val="18"/>
                <w:szCs w:val="18"/>
              </w:rPr>
              <w:t xml:space="preserve">or </w:t>
            </w:r>
            <w:r w:rsidR="00351A2D">
              <w:rPr>
                <w:rFonts w:ascii="Calibri" w:eastAsia="Calibri" w:hAnsi="Calibri" w:cs="Calibri"/>
                <w:noProof/>
                <w:sz w:val="18"/>
                <w:szCs w:val="18"/>
              </w:rPr>
              <w:t>t</w:t>
            </w:r>
            <w:r w:rsidR="00351A2D" w:rsidRPr="006D59C9">
              <w:rPr>
                <w:rFonts w:ascii="Calibri" w:eastAsia="Calibri" w:hAnsi="Calibri" w:cs="Calibri"/>
                <w:noProof/>
                <w:sz w:val="18"/>
                <w:szCs w:val="18"/>
              </w:rPr>
              <w:t xml:space="preserve">he </w:t>
            </w:r>
            <w:r w:rsidR="00351A2D">
              <w:rPr>
                <w:rFonts w:ascii="Calibri" w:eastAsia="Calibri" w:hAnsi="Calibri" w:cs="Calibri"/>
                <w:noProof/>
                <w:sz w:val="18"/>
                <w:szCs w:val="18"/>
              </w:rPr>
              <w:t>a</w:t>
            </w:r>
            <w:r w:rsidR="00351A2D" w:rsidRPr="006D59C9">
              <w:rPr>
                <w:rFonts w:ascii="Calibri" w:eastAsia="Calibri" w:hAnsi="Calibri" w:cs="Calibri"/>
                <w:noProof/>
                <w:sz w:val="18"/>
                <w:szCs w:val="18"/>
              </w:rPr>
              <w:t xml:space="preserve">ssessment </w:t>
            </w:r>
            <w:r w:rsidR="00351A2D">
              <w:rPr>
                <w:rFonts w:ascii="Calibri" w:eastAsia="Calibri" w:hAnsi="Calibri" w:cs="Calibri"/>
                <w:noProof/>
                <w:sz w:val="18"/>
                <w:szCs w:val="18"/>
              </w:rPr>
              <w:t>o</w:t>
            </w:r>
            <w:r w:rsidR="00351A2D" w:rsidRPr="006D59C9">
              <w:rPr>
                <w:rFonts w:ascii="Calibri" w:eastAsia="Calibri" w:hAnsi="Calibri" w:cs="Calibri"/>
                <w:noProof/>
                <w:sz w:val="18"/>
                <w:szCs w:val="18"/>
              </w:rPr>
              <w:t xml:space="preserve">f Performance Plans </w:t>
            </w:r>
            <w:r w:rsidR="00351A2D">
              <w:rPr>
                <w:rFonts w:ascii="Calibri" w:eastAsia="Calibri" w:hAnsi="Calibri" w:cs="Calibri"/>
                <w:noProof/>
                <w:sz w:val="18"/>
                <w:szCs w:val="18"/>
              </w:rPr>
              <w:t>a</w:t>
            </w:r>
            <w:r w:rsidR="00351A2D" w:rsidRPr="006D59C9">
              <w:rPr>
                <w:rFonts w:ascii="Calibri" w:eastAsia="Calibri" w:hAnsi="Calibri" w:cs="Calibri"/>
                <w:noProof/>
                <w:sz w:val="18"/>
                <w:szCs w:val="18"/>
              </w:rPr>
              <w:t xml:space="preserve">nd Targets </w:t>
            </w:r>
            <w:r w:rsidR="00351A2D">
              <w:rPr>
                <w:rFonts w:ascii="Calibri" w:eastAsia="Calibri" w:hAnsi="Calibri" w:cs="Calibri"/>
                <w:noProof/>
                <w:sz w:val="18"/>
                <w:szCs w:val="18"/>
              </w:rPr>
              <w:t>a</w:t>
            </w:r>
            <w:r w:rsidR="00351A2D" w:rsidRPr="006D59C9">
              <w:rPr>
                <w:rFonts w:ascii="Calibri" w:eastAsia="Calibri" w:hAnsi="Calibri" w:cs="Calibri"/>
                <w:noProof/>
                <w:sz w:val="18"/>
                <w:szCs w:val="18"/>
              </w:rPr>
              <w:t xml:space="preserve">t National </w:t>
            </w:r>
            <w:r w:rsidR="00351A2D">
              <w:rPr>
                <w:rFonts w:ascii="Calibri" w:eastAsia="Calibri" w:hAnsi="Calibri" w:cs="Calibri"/>
                <w:noProof/>
                <w:sz w:val="18"/>
                <w:szCs w:val="18"/>
              </w:rPr>
              <w:t>o</w:t>
            </w:r>
            <w:r w:rsidR="00351A2D" w:rsidRPr="006D59C9">
              <w:rPr>
                <w:rFonts w:ascii="Calibri" w:eastAsia="Calibri" w:hAnsi="Calibri" w:cs="Calibri"/>
                <w:noProof/>
                <w:sz w:val="18"/>
                <w:szCs w:val="18"/>
              </w:rPr>
              <w:t>r Functional Airspace Block Level</w:t>
            </w:r>
          </w:p>
          <w:p w14:paraId="3EA44601" w14:textId="77777777" w:rsidR="006D59C9" w:rsidRDefault="006D59C9" w:rsidP="006D59C9">
            <w:pPr>
              <w:spacing w:before="40" w:after="40"/>
              <w:jc w:val="left"/>
              <w:rPr>
                <w:rFonts w:ascii="Calibri" w:eastAsia="Calibri" w:hAnsi="Calibri" w:cs="Calibri"/>
                <w:noProof/>
                <w:sz w:val="18"/>
                <w:szCs w:val="18"/>
              </w:rPr>
            </w:pPr>
            <w:r w:rsidRPr="006D59C9">
              <w:rPr>
                <w:rFonts w:ascii="Calibri" w:eastAsia="Calibri" w:hAnsi="Calibri" w:cs="Calibri"/>
                <w:noProof/>
                <w:sz w:val="18"/>
                <w:szCs w:val="18"/>
              </w:rPr>
              <w:t>A</w:t>
            </w:r>
            <w:r w:rsidR="00351A2D" w:rsidRPr="006D59C9">
              <w:rPr>
                <w:rFonts w:ascii="Calibri" w:eastAsia="Calibri" w:hAnsi="Calibri" w:cs="Calibri"/>
                <w:noProof/>
                <w:sz w:val="18"/>
                <w:szCs w:val="18"/>
              </w:rPr>
              <w:t>nnex</w:t>
            </w:r>
            <w:r w:rsidRPr="006D59C9">
              <w:rPr>
                <w:rFonts w:ascii="Calibri" w:eastAsia="Calibri" w:hAnsi="Calibri" w:cs="Calibri"/>
                <w:noProof/>
                <w:sz w:val="18"/>
                <w:szCs w:val="18"/>
              </w:rPr>
              <w:t xml:space="preserve"> V</w:t>
            </w:r>
            <w:r w:rsidR="00351A2D">
              <w:rPr>
                <w:rFonts w:ascii="Calibri" w:eastAsia="Calibri" w:hAnsi="Calibri" w:cs="Calibri"/>
                <w:noProof/>
                <w:sz w:val="18"/>
                <w:szCs w:val="18"/>
              </w:rPr>
              <w:t xml:space="preserve">: </w:t>
            </w:r>
            <w:r w:rsidR="00351A2D" w:rsidRPr="006D59C9">
              <w:rPr>
                <w:rFonts w:ascii="Calibri" w:eastAsia="Calibri" w:hAnsi="Calibri" w:cs="Calibri"/>
                <w:noProof/>
                <w:sz w:val="18"/>
                <w:szCs w:val="18"/>
              </w:rPr>
              <w:t xml:space="preserve">Criteria </w:t>
            </w:r>
            <w:r w:rsidR="00351A2D">
              <w:rPr>
                <w:rFonts w:ascii="Calibri" w:eastAsia="Calibri" w:hAnsi="Calibri" w:cs="Calibri"/>
                <w:noProof/>
                <w:sz w:val="18"/>
                <w:szCs w:val="18"/>
              </w:rPr>
              <w:t>f</w:t>
            </w:r>
            <w:r w:rsidR="00351A2D" w:rsidRPr="006D59C9">
              <w:rPr>
                <w:rFonts w:ascii="Calibri" w:eastAsia="Calibri" w:hAnsi="Calibri" w:cs="Calibri"/>
                <w:noProof/>
                <w:sz w:val="18"/>
                <w:szCs w:val="18"/>
              </w:rPr>
              <w:t xml:space="preserve">or </w:t>
            </w:r>
            <w:r w:rsidR="00351A2D">
              <w:rPr>
                <w:rFonts w:ascii="Calibri" w:eastAsia="Calibri" w:hAnsi="Calibri" w:cs="Calibri"/>
                <w:noProof/>
                <w:sz w:val="18"/>
                <w:szCs w:val="18"/>
              </w:rPr>
              <w:t>t</w:t>
            </w:r>
            <w:r w:rsidR="00351A2D" w:rsidRPr="006D59C9">
              <w:rPr>
                <w:rFonts w:ascii="Calibri" w:eastAsia="Calibri" w:hAnsi="Calibri" w:cs="Calibri"/>
                <w:noProof/>
                <w:sz w:val="18"/>
                <w:szCs w:val="18"/>
              </w:rPr>
              <w:t xml:space="preserve">he Assessment </w:t>
            </w:r>
            <w:r w:rsidR="00351A2D">
              <w:rPr>
                <w:rFonts w:ascii="Calibri" w:eastAsia="Calibri" w:hAnsi="Calibri" w:cs="Calibri"/>
                <w:noProof/>
                <w:sz w:val="18"/>
                <w:szCs w:val="18"/>
              </w:rPr>
              <w:t>o</w:t>
            </w:r>
            <w:r w:rsidR="00351A2D" w:rsidRPr="006D59C9">
              <w:rPr>
                <w:rFonts w:ascii="Calibri" w:eastAsia="Calibri" w:hAnsi="Calibri" w:cs="Calibri"/>
                <w:noProof/>
                <w:sz w:val="18"/>
                <w:szCs w:val="18"/>
              </w:rPr>
              <w:t xml:space="preserve">f </w:t>
            </w:r>
            <w:r w:rsidR="00351A2D">
              <w:rPr>
                <w:rFonts w:ascii="Calibri" w:eastAsia="Calibri" w:hAnsi="Calibri" w:cs="Calibri"/>
                <w:noProof/>
                <w:sz w:val="18"/>
                <w:szCs w:val="18"/>
              </w:rPr>
              <w:t>t</w:t>
            </w:r>
            <w:r w:rsidR="00351A2D" w:rsidRPr="006D59C9">
              <w:rPr>
                <w:rFonts w:ascii="Calibri" w:eastAsia="Calibri" w:hAnsi="Calibri" w:cs="Calibri"/>
                <w:noProof/>
                <w:sz w:val="18"/>
                <w:szCs w:val="18"/>
              </w:rPr>
              <w:t xml:space="preserve">he </w:t>
            </w:r>
            <w:r w:rsidR="00351A2D">
              <w:rPr>
                <w:rFonts w:ascii="Calibri" w:eastAsia="Calibri" w:hAnsi="Calibri" w:cs="Calibri"/>
                <w:noProof/>
                <w:sz w:val="18"/>
                <w:szCs w:val="18"/>
              </w:rPr>
              <w:t>d</w:t>
            </w:r>
            <w:r w:rsidR="00351A2D" w:rsidRPr="006D59C9">
              <w:rPr>
                <w:rFonts w:ascii="Calibri" w:eastAsia="Calibri" w:hAnsi="Calibri" w:cs="Calibri"/>
                <w:noProof/>
                <w:sz w:val="18"/>
                <w:szCs w:val="18"/>
              </w:rPr>
              <w:t>raft Network Performance Plan</w:t>
            </w:r>
          </w:p>
          <w:p w14:paraId="3F1E588C" w14:textId="77777777" w:rsidR="006D59C9" w:rsidRDefault="006D59C9" w:rsidP="006D59C9">
            <w:pPr>
              <w:spacing w:before="40" w:after="40"/>
              <w:jc w:val="left"/>
              <w:rPr>
                <w:rFonts w:ascii="Calibri" w:eastAsia="Calibri" w:hAnsi="Calibri" w:cs="Calibri"/>
                <w:noProof/>
                <w:sz w:val="18"/>
                <w:szCs w:val="18"/>
              </w:rPr>
            </w:pPr>
            <w:r w:rsidRPr="006D59C9">
              <w:rPr>
                <w:rFonts w:ascii="Calibri" w:eastAsia="Calibri" w:hAnsi="Calibri" w:cs="Calibri"/>
                <w:noProof/>
                <w:sz w:val="18"/>
                <w:szCs w:val="18"/>
              </w:rPr>
              <w:t>A</w:t>
            </w:r>
            <w:r w:rsidR="00351A2D" w:rsidRPr="006D59C9">
              <w:rPr>
                <w:rFonts w:ascii="Calibri" w:eastAsia="Calibri" w:hAnsi="Calibri" w:cs="Calibri"/>
                <w:noProof/>
                <w:sz w:val="18"/>
                <w:szCs w:val="18"/>
              </w:rPr>
              <w:t>nnex</w:t>
            </w:r>
            <w:r w:rsidRPr="006D59C9">
              <w:rPr>
                <w:rFonts w:ascii="Calibri" w:eastAsia="Calibri" w:hAnsi="Calibri" w:cs="Calibri"/>
                <w:noProof/>
                <w:sz w:val="18"/>
                <w:szCs w:val="18"/>
              </w:rPr>
              <w:t xml:space="preserve"> VI</w:t>
            </w:r>
            <w:r w:rsidR="00351A2D">
              <w:rPr>
                <w:rFonts w:ascii="Calibri" w:eastAsia="Calibri" w:hAnsi="Calibri" w:cs="Calibri"/>
                <w:noProof/>
                <w:sz w:val="18"/>
                <w:szCs w:val="18"/>
              </w:rPr>
              <w:t>: L</w:t>
            </w:r>
            <w:r w:rsidR="00351A2D" w:rsidRPr="006D59C9">
              <w:rPr>
                <w:rFonts w:ascii="Calibri" w:eastAsia="Calibri" w:hAnsi="Calibri" w:cs="Calibri"/>
                <w:noProof/>
                <w:sz w:val="18"/>
                <w:szCs w:val="18"/>
              </w:rPr>
              <w:t xml:space="preserve">ist of </w:t>
            </w:r>
            <w:r w:rsidR="00351A2D">
              <w:rPr>
                <w:rFonts w:ascii="Calibri" w:eastAsia="Calibri" w:hAnsi="Calibri" w:cs="Calibri"/>
                <w:noProof/>
                <w:sz w:val="18"/>
                <w:szCs w:val="18"/>
              </w:rPr>
              <w:t>P</w:t>
            </w:r>
            <w:r w:rsidR="00351A2D" w:rsidRPr="006D59C9">
              <w:rPr>
                <w:rFonts w:ascii="Calibri" w:eastAsia="Calibri" w:hAnsi="Calibri" w:cs="Calibri"/>
                <w:noProof/>
                <w:sz w:val="18"/>
                <w:szCs w:val="18"/>
              </w:rPr>
              <w:t xml:space="preserve">erformance-related data to be provided to the </w:t>
            </w:r>
            <w:r w:rsidR="00351A2D">
              <w:rPr>
                <w:rFonts w:ascii="Calibri" w:eastAsia="Calibri" w:hAnsi="Calibri" w:cs="Calibri"/>
                <w:noProof/>
                <w:sz w:val="18"/>
                <w:szCs w:val="18"/>
              </w:rPr>
              <w:t>C</w:t>
            </w:r>
            <w:r w:rsidR="00351A2D" w:rsidRPr="006D59C9">
              <w:rPr>
                <w:rFonts w:ascii="Calibri" w:eastAsia="Calibri" w:hAnsi="Calibri" w:cs="Calibri"/>
                <w:noProof/>
                <w:sz w:val="18"/>
                <w:szCs w:val="18"/>
              </w:rPr>
              <w:t xml:space="preserve">ommission for monitoring of performance in accordance with </w:t>
            </w:r>
            <w:r w:rsidR="00351A2D">
              <w:rPr>
                <w:rFonts w:ascii="Calibri" w:eastAsia="Calibri" w:hAnsi="Calibri" w:cs="Calibri"/>
                <w:noProof/>
                <w:sz w:val="18"/>
                <w:szCs w:val="18"/>
              </w:rPr>
              <w:t>A</w:t>
            </w:r>
            <w:r w:rsidR="00351A2D" w:rsidRPr="006D59C9">
              <w:rPr>
                <w:rFonts w:ascii="Calibri" w:eastAsia="Calibri" w:hAnsi="Calibri" w:cs="Calibri"/>
                <w:noProof/>
                <w:sz w:val="18"/>
                <w:szCs w:val="18"/>
              </w:rPr>
              <w:t xml:space="preserve">rticle 36(1) and </w:t>
            </w:r>
            <w:r w:rsidR="00351A2D">
              <w:rPr>
                <w:rFonts w:ascii="Calibri" w:eastAsia="Calibri" w:hAnsi="Calibri" w:cs="Calibri"/>
                <w:noProof/>
                <w:sz w:val="18"/>
                <w:szCs w:val="18"/>
              </w:rPr>
              <w:t>A</w:t>
            </w:r>
            <w:r w:rsidR="00351A2D" w:rsidRPr="006D59C9">
              <w:rPr>
                <w:rFonts w:ascii="Calibri" w:eastAsia="Calibri" w:hAnsi="Calibri" w:cs="Calibri"/>
                <w:noProof/>
                <w:sz w:val="18"/>
                <w:szCs w:val="18"/>
              </w:rPr>
              <w:t>rticle 37</w:t>
            </w:r>
          </w:p>
          <w:p w14:paraId="0A37D7F1" w14:textId="77777777" w:rsidR="006D59C9" w:rsidRDefault="006D59C9" w:rsidP="006D59C9">
            <w:pPr>
              <w:spacing w:before="40" w:after="40"/>
              <w:jc w:val="left"/>
              <w:rPr>
                <w:rFonts w:ascii="Calibri" w:eastAsia="Calibri" w:hAnsi="Calibri" w:cs="Calibri"/>
                <w:noProof/>
                <w:sz w:val="18"/>
                <w:szCs w:val="18"/>
              </w:rPr>
            </w:pPr>
            <w:r w:rsidRPr="006D59C9">
              <w:rPr>
                <w:rFonts w:ascii="Calibri" w:eastAsia="Calibri" w:hAnsi="Calibri" w:cs="Calibri"/>
                <w:noProof/>
                <w:sz w:val="18"/>
                <w:szCs w:val="18"/>
              </w:rPr>
              <w:t>A</w:t>
            </w:r>
            <w:r w:rsidR="00351A2D" w:rsidRPr="006D59C9">
              <w:rPr>
                <w:rFonts w:ascii="Calibri" w:eastAsia="Calibri" w:hAnsi="Calibri" w:cs="Calibri"/>
                <w:noProof/>
                <w:sz w:val="18"/>
                <w:szCs w:val="18"/>
              </w:rPr>
              <w:t>nnex</w:t>
            </w:r>
            <w:r w:rsidRPr="006D59C9">
              <w:rPr>
                <w:rFonts w:ascii="Calibri" w:eastAsia="Calibri" w:hAnsi="Calibri" w:cs="Calibri"/>
                <w:noProof/>
                <w:sz w:val="18"/>
                <w:szCs w:val="18"/>
              </w:rPr>
              <w:t xml:space="preserve"> VII</w:t>
            </w:r>
            <w:r w:rsidR="00351A2D">
              <w:rPr>
                <w:rFonts w:ascii="Calibri" w:eastAsia="Calibri" w:hAnsi="Calibri" w:cs="Calibri"/>
                <w:noProof/>
                <w:sz w:val="18"/>
                <w:szCs w:val="18"/>
              </w:rPr>
              <w:t>: D</w:t>
            </w:r>
            <w:r w:rsidR="00351A2D" w:rsidRPr="006D59C9">
              <w:rPr>
                <w:rFonts w:ascii="Calibri" w:eastAsia="Calibri" w:hAnsi="Calibri" w:cs="Calibri"/>
                <w:noProof/>
                <w:sz w:val="18"/>
                <w:szCs w:val="18"/>
              </w:rPr>
              <w:t xml:space="preserve">etermined </w:t>
            </w:r>
            <w:r w:rsidR="00351A2D">
              <w:rPr>
                <w:rFonts w:ascii="Calibri" w:eastAsia="Calibri" w:hAnsi="Calibri" w:cs="Calibri"/>
                <w:noProof/>
                <w:sz w:val="18"/>
                <w:szCs w:val="18"/>
              </w:rPr>
              <w:t>a</w:t>
            </w:r>
            <w:r w:rsidR="00351A2D" w:rsidRPr="006D59C9">
              <w:rPr>
                <w:rFonts w:ascii="Calibri" w:eastAsia="Calibri" w:hAnsi="Calibri" w:cs="Calibri"/>
                <w:noProof/>
                <w:sz w:val="18"/>
                <w:szCs w:val="18"/>
              </w:rPr>
              <w:t>nd Actual Costs</w:t>
            </w:r>
          </w:p>
          <w:p w14:paraId="1B63ED4E" w14:textId="77777777" w:rsidR="006D59C9" w:rsidRDefault="006D59C9" w:rsidP="006D59C9">
            <w:pPr>
              <w:spacing w:before="40" w:after="40"/>
              <w:jc w:val="left"/>
              <w:rPr>
                <w:rFonts w:ascii="Calibri" w:eastAsia="Calibri" w:hAnsi="Calibri" w:cs="Calibri"/>
                <w:noProof/>
                <w:sz w:val="18"/>
                <w:szCs w:val="18"/>
              </w:rPr>
            </w:pPr>
            <w:r w:rsidRPr="006D59C9">
              <w:rPr>
                <w:rFonts w:ascii="Calibri" w:eastAsia="Calibri" w:hAnsi="Calibri" w:cs="Calibri"/>
                <w:noProof/>
                <w:sz w:val="18"/>
                <w:szCs w:val="18"/>
              </w:rPr>
              <w:t>A</w:t>
            </w:r>
            <w:r w:rsidR="00351A2D" w:rsidRPr="006D59C9">
              <w:rPr>
                <w:rFonts w:ascii="Calibri" w:eastAsia="Calibri" w:hAnsi="Calibri" w:cs="Calibri"/>
                <w:noProof/>
                <w:sz w:val="18"/>
                <w:szCs w:val="18"/>
              </w:rPr>
              <w:t xml:space="preserve">nnex </w:t>
            </w:r>
            <w:r w:rsidRPr="006D59C9">
              <w:rPr>
                <w:rFonts w:ascii="Calibri" w:eastAsia="Calibri" w:hAnsi="Calibri" w:cs="Calibri"/>
                <w:noProof/>
                <w:sz w:val="18"/>
                <w:szCs w:val="18"/>
              </w:rPr>
              <w:t>VIII</w:t>
            </w:r>
            <w:r w:rsidR="00351A2D">
              <w:rPr>
                <w:rFonts w:ascii="Calibri" w:eastAsia="Calibri" w:hAnsi="Calibri" w:cs="Calibri"/>
                <w:noProof/>
                <w:sz w:val="18"/>
                <w:szCs w:val="18"/>
              </w:rPr>
              <w:t xml:space="preserve">: </w:t>
            </w:r>
            <w:r w:rsidR="00420964">
              <w:rPr>
                <w:rFonts w:ascii="Calibri" w:eastAsia="Calibri" w:hAnsi="Calibri" w:cs="Calibri"/>
                <w:noProof/>
                <w:sz w:val="18"/>
                <w:szCs w:val="18"/>
              </w:rPr>
              <w:t>R</w:t>
            </w:r>
            <w:r w:rsidR="00420964" w:rsidRPr="006D59C9">
              <w:rPr>
                <w:rFonts w:ascii="Calibri" w:eastAsia="Calibri" w:hAnsi="Calibri" w:cs="Calibri"/>
                <w:noProof/>
                <w:sz w:val="18"/>
                <w:szCs w:val="18"/>
              </w:rPr>
              <w:t xml:space="preserve">equirements for the </w:t>
            </w:r>
            <w:r w:rsidR="00420964">
              <w:rPr>
                <w:rFonts w:ascii="Calibri" w:eastAsia="Calibri" w:hAnsi="Calibri" w:cs="Calibri"/>
                <w:noProof/>
                <w:sz w:val="18"/>
                <w:szCs w:val="18"/>
              </w:rPr>
              <w:t>C</w:t>
            </w:r>
            <w:r w:rsidR="00420964" w:rsidRPr="006D59C9">
              <w:rPr>
                <w:rFonts w:ascii="Calibri" w:eastAsia="Calibri" w:hAnsi="Calibri" w:cs="Calibri"/>
                <w:noProof/>
                <w:sz w:val="18"/>
                <w:szCs w:val="18"/>
              </w:rPr>
              <w:t xml:space="preserve">alculation of </w:t>
            </w:r>
            <w:r w:rsidR="00420964">
              <w:rPr>
                <w:rFonts w:ascii="Calibri" w:eastAsia="Calibri" w:hAnsi="Calibri" w:cs="Calibri"/>
                <w:noProof/>
                <w:sz w:val="18"/>
                <w:szCs w:val="18"/>
              </w:rPr>
              <w:t>E</w:t>
            </w:r>
            <w:r w:rsidR="00420964" w:rsidRPr="006D59C9">
              <w:rPr>
                <w:rFonts w:ascii="Calibri" w:eastAsia="Calibri" w:hAnsi="Calibri" w:cs="Calibri"/>
                <w:noProof/>
                <w:sz w:val="18"/>
                <w:szCs w:val="18"/>
              </w:rPr>
              <w:t xml:space="preserve">n </w:t>
            </w:r>
            <w:r w:rsidR="00420964">
              <w:rPr>
                <w:rFonts w:ascii="Calibri" w:eastAsia="Calibri" w:hAnsi="Calibri" w:cs="Calibri"/>
                <w:noProof/>
                <w:sz w:val="18"/>
                <w:szCs w:val="18"/>
              </w:rPr>
              <w:t>R</w:t>
            </w:r>
            <w:r w:rsidR="00420964" w:rsidRPr="006D59C9">
              <w:rPr>
                <w:rFonts w:ascii="Calibri" w:eastAsia="Calibri" w:hAnsi="Calibri" w:cs="Calibri"/>
                <w:noProof/>
                <w:sz w:val="18"/>
                <w:szCs w:val="18"/>
              </w:rPr>
              <w:t xml:space="preserve">oute and </w:t>
            </w:r>
            <w:r w:rsidR="00420964">
              <w:rPr>
                <w:rFonts w:ascii="Calibri" w:eastAsia="Calibri" w:hAnsi="Calibri" w:cs="Calibri"/>
                <w:noProof/>
                <w:sz w:val="18"/>
                <w:szCs w:val="18"/>
              </w:rPr>
              <w:t>T</w:t>
            </w:r>
            <w:r w:rsidR="00420964" w:rsidRPr="006D59C9">
              <w:rPr>
                <w:rFonts w:ascii="Calibri" w:eastAsia="Calibri" w:hAnsi="Calibri" w:cs="Calibri"/>
                <w:noProof/>
                <w:sz w:val="18"/>
                <w:szCs w:val="18"/>
              </w:rPr>
              <w:t xml:space="preserve">erminal </w:t>
            </w:r>
            <w:r w:rsidR="00420964">
              <w:rPr>
                <w:rFonts w:ascii="Calibri" w:eastAsia="Calibri" w:hAnsi="Calibri" w:cs="Calibri"/>
                <w:noProof/>
                <w:sz w:val="18"/>
                <w:szCs w:val="18"/>
              </w:rPr>
              <w:t>S</w:t>
            </w:r>
            <w:r w:rsidR="00420964" w:rsidRPr="006D59C9">
              <w:rPr>
                <w:rFonts w:ascii="Calibri" w:eastAsia="Calibri" w:hAnsi="Calibri" w:cs="Calibri"/>
                <w:noProof/>
                <w:sz w:val="18"/>
                <w:szCs w:val="18"/>
              </w:rPr>
              <w:t xml:space="preserve">ervice </w:t>
            </w:r>
            <w:r w:rsidR="00420964">
              <w:rPr>
                <w:rFonts w:ascii="Calibri" w:eastAsia="Calibri" w:hAnsi="Calibri" w:cs="Calibri"/>
                <w:noProof/>
                <w:sz w:val="18"/>
                <w:szCs w:val="18"/>
              </w:rPr>
              <w:t>U</w:t>
            </w:r>
            <w:r w:rsidR="00420964" w:rsidRPr="006D59C9">
              <w:rPr>
                <w:rFonts w:ascii="Calibri" w:eastAsia="Calibri" w:hAnsi="Calibri" w:cs="Calibri"/>
                <w:noProof/>
                <w:sz w:val="18"/>
                <w:szCs w:val="18"/>
              </w:rPr>
              <w:t xml:space="preserve">nits referred to in </w:t>
            </w:r>
            <w:r w:rsidR="00420964">
              <w:rPr>
                <w:rFonts w:ascii="Calibri" w:eastAsia="Calibri" w:hAnsi="Calibri" w:cs="Calibri"/>
                <w:noProof/>
                <w:sz w:val="18"/>
                <w:szCs w:val="18"/>
              </w:rPr>
              <w:t>A</w:t>
            </w:r>
            <w:r w:rsidR="00420964" w:rsidRPr="006D59C9">
              <w:rPr>
                <w:rFonts w:ascii="Calibri" w:eastAsia="Calibri" w:hAnsi="Calibri" w:cs="Calibri"/>
                <w:noProof/>
                <w:sz w:val="18"/>
                <w:szCs w:val="18"/>
              </w:rPr>
              <w:t>rticle 25</w:t>
            </w:r>
          </w:p>
          <w:p w14:paraId="63937804" w14:textId="77777777" w:rsidR="006D59C9" w:rsidRDefault="006D59C9" w:rsidP="006D59C9">
            <w:pPr>
              <w:spacing w:before="40" w:after="40"/>
              <w:jc w:val="left"/>
              <w:rPr>
                <w:rFonts w:ascii="Calibri" w:eastAsia="Calibri" w:hAnsi="Calibri" w:cs="Calibri"/>
                <w:noProof/>
                <w:sz w:val="18"/>
                <w:szCs w:val="18"/>
              </w:rPr>
            </w:pPr>
            <w:r w:rsidRPr="006D59C9">
              <w:rPr>
                <w:rFonts w:ascii="Calibri" w:eastAsia="Calibri" w:hAnsi="Calibri" w:cs="Calibri"/>
                <w:noProof/>
                <w:sz w:val="18"/>
                <w:szCs w:val="18"/>
              </w:rPr>
              <w:t>A</w:t>
            </w:r>
            <w:r w:rsidR="00420964">
              <w:rPr>
                <w:rFonts w:ascii="Calibri" w:eastAsia="Calibri" w:hAnsi="Calibri" w:cs="Calibri"/>
                <w:noProof/>
                <w:sz w:val="18"/>
                <w:szCs w:val="18"/>
              </w:rPr>
              <w:t>nnex</w:t>
            </w:r>
            <w:r w:rsidRPr="006D59C9">
              <w:rPr>
                <w:rFonts w:ascii="Calibri" w:eastAsia="Calibri" w:hAnsi="Calibri" w:cs="Calibri"/>
                <w:noProof/>
                <w:sz w:val="18"/>
                <w:szCs w:val="18"/>
              </w:rPr>
              <w:t xml:space="preserve"> IX</w:t>
            </w:r>
            <w:r w:rsidR="00420964">
              <w:rPr>
                <w:rFonts w:ascii="Calibri" w:eastAsia="Calibri" w:hAnsi="Calibri" w:cs="Calibri"/>
                <w:noProof/>
                <w:sz w:val="18"/>
                <w:szCs w:val="18"/>
              </w:rPr>
              <w:t xml:space="preserve">: Unit Rates </w:t>
            </w:r>
          </w:p>
          <w:p w14:paraId="2B701183" w14:textId="77777777" w:rsidR="006D59C9" w:rsidRDefault="006D59C9" w:rsidP="006D59C9">
            <w:pPr>
              <w:spacing w:before="40" w:after="40"/>
              <w:jc w:val="left"/>
              <w:rPr>
                <w:rFonts w:ascii="Calibri" w:eastAsia="Calibri" w:hAnsi="Calibri" w:cs="Calibri"/>
                <w:noProof/>
                <w:sz w:val="18"/>
                <w:szCs w:val="18"/>
              </w:rPr>
            </w:pPr>
            <w:r w:rsidRPr="006D59C9">
              <w:rPr>
                <w:rFonts w:ascii="Calibri" w:eastAsia="Calibri" w:hAnsi="Calibri" w:cs="Calibri"/>
                <w:noProof/>
                <w:sz w:val="18"/>
                <w:szCs w:val="18"/>
              </w:rPr>
              <w:t>A</w:t>
            </w:r>
            <w:r w:rsidR="00420964">
              <w:rPr>
                <w:rFonts w:ascii="Calibri" w:eastAsia="Calibri" w:hAnsi="Calibri" w:cs="Calibri"/>
                <w:noProof/>
                <w:sz w:val="18"/>
                <w:szCs w:val="18"/>
              </w:rPr>
              <w:t xml:space="preserve">nnex </w:t>
            </w:r>
            <w:r w:rsidRPr="006D59C9">
              <w:rPr>
                <w:rFonts w:ascii="Calibri" w:eastAsia="Calibri" w:hAnsi="Calibri" w:cs="Calibri"/>
                <w:noProof/>
                <w:sz w:val="18"/>
                <w:szCs w:val="18"/>
              </w:rPr>
              <w:t>X</w:t>
            </w:r>
            <w:r w:rsidR="00420964">
              <w:rPr>
                <w:rFonts w:ascii="Calibri" w:eastAsia="Calibri" w:hAnsi="Calibri" w:cs="Calibri"/>
                <w:noProof/>
                <w:sz w:val="18"/>
                <w:szCs w:val="18"/>
              </w:rPr>
              <w:t xml:space="preserve">: </w:t>
            </w:r>
            <w:r w:rsidR="00420964" w:rsidRPr="006D59C9">
              <w:rPr>
                <w:rFonts w:ascii="Calibri" w:eastAsia="Calibri" w:hAnsi="Calibri" w:cs="Calibri"/>
                <w:noProof/>
                <w:sz w:val="18"/>
                <w:szCs w:val="18"/>
              </w:rPr>
              <w:t xml:space="preserve">Criteria </w:t>
            </w:r>
            <w:r w:rsidR="00420964">
              <w:rPr>
                <w:rFonts w:ascii="Calibri" w:eastAsia="Calibri" w:hAnsi="Calibri" w:cs="Calibri"/>
                <w:noProof/>
                <w:sz w:val="18"/>
                <w:szCs w:val="18"/>
              </w:rPr>
              <w:t>f</w:t>
            </w:r>
            <w:r w:rsidR="00420964" w:rsidRPr="006D59C9">
              <w:rPr>
                <w:rFonts w:ascii="Calibri" w:eastAsia="Calibri" w:hAnsi="Calibri" w:cs="Calibri"/>
                <w:noProof/>
                <w:sz w:val="18"/>
                <w:szCs w:val="18"/>
              </w:rPr>
              <w:t xml:space="preserve">or </w:t>
            </w:r>
            <w:r w:rsidR="00420964">
              <w:rPr>
                <w:rFonts w:ascii="Calibri" w:eastAsia="Calibri" w:hAnsi="Calibri" w:cs="Calibri"/>
                <w:noProof/>
                <w:sz w:val="18"/>
                <w:szCs w:val="18"/>
              </w:rPr>
              <w:t>t</w:t>
            </w:r>
            <w:r w:rsidR="00420964" w:rsidRPr="006D59C9">
              <w:rPr>
                <w:rFonts w:ascii="Calibri" w:eastAsia="Calibri" w:hAnsi="Calibri" w:cs="Calibri"/>
                <w:noProof/>
                <w:sz w:val="18"/>
                <w:szCs w:val="18"/>
              </w:rPr>
              <w:t xml:space="preserve">he Assessment </w:t>
            </w:r>
            <w:r w:rsidR="00420964">
              <w:rPr>
                <w:rFonts w:ascii="Calibri" w:eastAsia="Calibri" w:hAnsi="Calibri" w:cs="Calibri"/>
                <w:noProof/>
                <w:sz w:val="18"/>
                <w:szCs w:val="18"/>
              </w:rPr>
              <w:t>o</w:t>
            </w:r>
            <w:r w:rsidR="00420964" w:rsidRPr="006D59C9">
              <w:rPr>
                <w:rFonts w:ascii="Calibri" w:eastAsia="Calibri" w:hAnsi="Calibri" w:cs="Calibri"/>
                <w:noProof/>
                <w:sz w:val="18"/>
                <w:szCs w:val="18"/>
              </w:rPr>
              <w:t xml:space="preserve">f </w:t>
            </w:r>
            <w:r w:rsidR="00420964">
              <w:rPr>
                <w:rFonts w:ascii="Calibri" w:eastAsia="Calibri" w:hAnsi="Calibri" w:cs="Calibri"/>
                <w:noProof/>
                <w:sz w:val="18"/>
                <w:szCs w:val="18"/>
              </w:rPr>
              <w:t>w</w:t>
            </w:r>
            <w:r w:rsidR="00420964" w:rsidRPr="006D59C9">
              <w:rPr>
                <w:rFonts w:ascii="Calibri" w:eastAsia="Calibri" w:hAnsi="Calibri" w:cs="Calibri"/>
                <w:noProof/>
                <w:sz w:val="18"/>
                <w:szCs w:val="18"/>
              </w:rPr>
              <w:t xml:space="preserve">hether </w:t>
            </w:r>
            <w:r w:rsidR="00420964">
              <w:rPr>
                <w:rFonts w:ascii="Calibri" w:eastAsia="Calibri" w:hAnsi="Calibri" w:cs="Calibri"/>
                <w:noProof/>
                <w:sz w:val="18"/>
                <w:szCs w:val="18"/>
              </w:rPr>
              <w:t>t</w:t>
            </w:r>
            <w:r w:rsidR="00420964" w:rsidRPr="006D59C9">
              <w:rPr>
                <w:rFonts w:ascii="Calibri" w:eastAsia="Calibri" w:hAnsi="Calibri" w:cs="Calibri"/>
                <w:noProof/>
                <w:sz w:val="18"/>
                <w:szCs w:val="18"/>
              </w:rPr>
              <w:t xml:space="preserve">he </w:t>
            </w:r>
            <w:r w:rsidR="00420964">
              <w:rPr>
                <w:rFonts w:ascii="Calibri" w:eastAsia="Calibri" w:hAnsi="Calibri" w:cs="Calibri"/>
                <w:noProof/>
                <w:sz w:val="18"/>
                <w:szCs w:val="18"/>
              </w:rPr>
              <w:t>p</w:t>
            </w:r>
            <w:r w:rsidR="00420964" w:rsidRPr="006D59C9">
              <w:rPr>
                <w:rFonts w:ascii="Calibri" w:eastAsia="Calibri" w:hAnsi="Calibri" w:cs="Calibri"/>
                <w:noProof/>
                <w:sz w:val="18"/>
                <w:szCs w:val="18"/>
              </w:rPr>
              <w:t xml:space="preserve">rovision </w:t>
            </w:r>
            <w:r w:rsidR="00420964">
              <w:rPr>
                <w:rFonts w:ascii="Calibri" w:eastAsia="Calibri" w:hAnsi="Calibri" w:cs="Calibri"/>
                <w:noProof/>
                <w:sz w:val="18"/>
                <w:szCs w:val="18"/>
              </w:rPr>
              <w:t>o</w:t>
            </w:r>
            <w:r w:rsidR="00420964" w:rsidRPr="006D59C9">
              <w:rPr>
                <w:rFonts w:ascii="Calibri" w:eastAsia="Calibri" w:hAnsi="Calibri" w:cs="Calibri"/>
                <w:noProof/>
                <w:sz w:val="18"/>
                <w:szCs w:val="18"/>
              </w:rPr>
              <w:t xml:space="preserve">f </w:t>
            </w:r>
            <w:r w:rsidR="00420964">
              <w:rPr>
                <w:rFonts w:ascii="Calibri" w:eastAsia="Calibri" w:hAnsi="Calibri" w:cs="Calibri"/>
                <w:noProof/>
                <w:sz w:val="18"/>
                <w:szCs w:val="18"/>
              </w:rPr>
              <w:t>t</w:t>
            </w:r>
            <w:r w:rsidR="00420964" w:rsidRPr="006D59C9">
              <w:rPr>
                <w:rFonts w:ascii="Calibri" w:eastAsia="Calibri" w:hAnsi="Calibri" w:cs="Calibri"/>
                <w:noProof/>
                <w:sz w:val="18"/>
                <w:szCs w:val="18"/>
              </w:rPr>
              <w:t xml:space="preserve">he </w:t>
            </w:r>
            <w:r w:rsidR="00420964">
              <w:rPr>
                <w:rFonts w:ascii="Calibri" w:eastAsia="Calibri" w:hAnsi="Calibri" w:cs="Calibri"/>
                <w:noProof/>
                <w:sz w:val="18"/>
                <w:szCs w:val="18"/>
              </w:rPr>
              <w:t>s</w:t>
            </w:r>
            <w:r w:rsidR="00420964" w:rsidRPr="006D59C9">
              <w:rPr>
                <w:rFonts w:ascii="Calibri" w:eastAsia="Calibri" w:hAnsi="Calibri" w:cs="Calibri"/>
                <w:noProof/>
                <w:sz w:val="18"/>
                <w:szCs w:val="18"/>
              </w:rPr>
              <w:t xml:space="preserve">ervices </w:t>
            </w:r>
            <w:r w:rsidR="00420964">
              <w:rPr>
                <w:rFonts w:ascii="Calibri" w:eastAsia="Calibri" w:hAnsi="Calibri" w:cs="Calibri"/>
                <w:noProof/>
                <w:sz w:val="18"/>
                <w:szCs w:val="18"/>
              </w:rPr>
              <w:t>r</w:t>
            </w:r>
            <w:r w:rsidR="00420964" w:rsidRPr="006D59C9">
              <w:rPr>
                <w:rFonts w:ascii="Calibri" w:eastAsia="Calibri" w:hAnsi="Calibri" w:cs="Calibri"/>
                <w:noProof/>
                <w:sz w:val="18"/>
                <w:szCs w:val="18"/>
              </w:rPr>
              <w:t xml:space="preserve">eferred </w:t>
            </w:r>
            <w:r w:rsidR="00420964">
              <w:rPr>
                <w:rFonts w:ascii="Calibri" w:eastAsia="Calibri" w:hAnsi="Calibri" w:cs="Calibri"/>
                <w:noProof/>
                <w:sz w:val="18"/>
                <w:szCs w:val="18"/>
              </w:rPr>
              <w:t>t</w:t>
            </w:r>
            <w:r w:rsidR="00420964" w:rsidRPr="006D59C9">
              <w:rPr>
                <w:rFonts w:ascii="Calibri" w:eastAsia="Calibri" w:hAnsi="Calibri" w:cs="Calibri"/>
                <w:noProof/>
                <w:sz w:val="18"/>
                <w:szCs w:val="18"/>
              </w:rPr>
              <w:t xml:space="preserve">o </w:t>
            </w:r>
            <w:r w:rsidR="00420964">
              <w:rPr>
                <w:rFonts w:ascii="Calibri" w:eastAsia="Calibri" w:hAnsi="Calibri" w:cs="Calibri"/>
                <w:noProof/>
                <w:sz w:val="18"/>
                <w:szCs w:val="18"/>
              </w:rPr>
              <w:t>i</w:t>
            </w:r>
            <w:r w:rsidR="00420964" w:rsidRPr="006D59C9">
              <w:rPr>
                <w:rFonts w:ascii="Calibri" w:eastAsia="Calibri" w:hAnsi="Calibri" w:cs="Calibri"/>
                <w:noProof/>
                <w:sz w:val="18"/>
                <w:szCs w:val="18"/>
              </w:rPr>
              <w:t xml:space="preserve">n Article 35(1) </w:t>
            </w:r>
            <w:r w:rsidR="00420964">
              <w:rPr>
                <w:rFonts w:ascii="Calibri" w:eastAsia="Calibri" w:hAnsi="Calibri" w:cs="Calibri"/>
                <w:noProof/>
                <w:sz w:val="18"/>
                <w:szCs w:val="18"/>
              </w:rPr>
              <w:t>i</w:t>
            </w:r>
            <w:r w:rsidR="00420964" w:rsidRPr="006D59C9">
              <w:rPr>
                <w:rFonts w:ascii="Calibri" w:eastAsia="Calibri" w:hAnsi="Calibri" w:cs="Calibri"/>
                <w:noProof/>
                <w:sz w:val="18"/>
                <w:szCs w:val="18"/>
              </w:rPr>
              <w:t xml:space="preserve">s </w:t>
            </w:r>
            <w:r w:rsidR="00420964">
              <w:rPr>
                <w:rFonts w:ascii="Calibri" w:eastAsia="Calibri" w:hAnsi="Calibri" w:cs="Calibri"/>
                <w:noProof/>
                <w:sz w:val="18"/>
                <w:szCs w:val="18"/>
              </w:rPr>
              <w:t>s</w:t>
            </w:r>
            <w:r w:rsidR="00420964" w:rsidRPr="006D59C9">
              <w:rPr>
                <w:rFonts w:ascii="Calibri" w:eastAsia="Calibri" w:hAnsi="Calibri" w:cs="Calibri"/>
                <w:noProof/>
                <w:sz w:val="18"/>
                <w:szCs w:val="18"/>
              </w:rPr>
              <w:t xml:space="preserve">ubject </w:t>
            </w:r>
            <w:r w:rsidR="00420964">
              <w:rPr>
                <w:rFonts w:ascii="Calibri" w:eastAsia="Calibri" w:hAnsi="Calibri" w:cs="Calibri"/>
                <w:noProof/>
                <w:sz w:val="18"/>
                <w:szCs w:val="18"/>
              </w:rPr>
              <w:t>t</w:t>
            </w:r>
            <w:r w:rsidR="00420964" w:rsidRPr="006D59C9">
              <w:rPr>
                <w:rFonts w:ascii="Calibri" w:eastAsia="Calibri" w:hAnsi="Calibri" w:cs="Calibri"/>
                <w:noProof/>
                <w:sz w:val="18"/>
                <w:szCs w:val="18"/>
              </w:rPr>
              <w:t xml:space="preserve">o </w:t>
            </w:r>
            <w:r w:rsidR="00420964">
              <w:rPr>
                <w:rFonts w:ascii="Calibri" w:eastAsia="Calibri" w:hAnsi="Calibri" w:cs="Calibri"/>
                <w:noProof/>
                <w:sz w:val="18"/>
                <w:szCs w:val="18"/>
              </w:rPr>
              <w:t>M</w:t>
            </w:r>
            <w:r w:rsidR="00420964" w:rsidRPr="006D59C9">
              <w:rPr>
                <w:rFonts w:ascii="Calibri" w:eastAsia="Calibri" w:hAnsi="Calibri" w:cs="Calibri"/>
                <w:noProof/>
                <w:sz w:val="18"/>
                <w:szCs w:val="18"/>
              </w:rPr>
              <w:t>arket Conditions</w:t>
            </w:r>
          </w:p>
          <w:p w14:paraId="055CA330" w14:textId="77777777" w:rsidR="006D59C9" w:rsidRDefault="006D59C9" w:rsidP="006D59C9">
            <w:pPr>
              <w:spacing w:before="40" w:after="40"/>
              <w:jc w:val="left"/>
              <w:rPr>
                <w:rFonts w:ascii="Calibri" w:eastAsia="Calibri" w:hAnsi="Calibri" w:cs="Calibri"/>
                <w:noProof/>
                <w:sz w:val="18"/>
                <w:szCs w:val="18"/>
              </w:rPr>
            </w:pPr>
            <w:r w:rsidRPr="006D59C9">
              <w:rPr>
                <w:rFonts w:ascii="Calibri" w:eastAsia="Calibri" w:hAnsi="Calibri" w:cs="Calibri"/>
                <w:noProof/>
                <w:sz w:val="18"/>
                <w:szCs w:val="18"/>
              </w:rPr>
              <w:t>A</w:t>
            </w:r>
            <w:r w:rsidR="00420964" w:rsidRPr="006D59C9">
              <w:rPr>
                <w:rFonts w:ascii="Calibri" w:eastAsia="Calibri" w:hAnsi="Calibri" w:cs="Calibri"/>
                <w:noProof/>
                <w:sz w:val="18"/>
                <w:szCs w:val="18"/>
              </w:rPr>
              <w:t>nnex</w:t>
            </w:r>
            <w:r w:rsidRPr="006D59C9">
              <w:rPr>
                <w:rFonts w:ascii="Calibri" w:eastAsia="Calibri" w:hAnsi="Calibri" w:cs="Calibri"/>
                <w:noProof/>
                <w:sz w:val="18"/>
                <w:szCs w:val="18"/>
              </w:rPr>
              <w:t xml:space="preserve"> XI</w:t>
            </w:r>
            <w:r w:rsidR="00420964">
              <w:rPr>
                <w:rFonts w:ascii="Calibri" w:eastAsia="Calibri" w:hAnsi="Calibri" w:cs="Calibri"/>
                <w:noProof/>
                <w:sz w:val="18"/>
                <w:szCs w:val="18"/>
              </w:rPr>
              <w:t xml:space="preserve">: </w:t>
            </w:r>
            <w:r w:rsidR="00420964" w:rsidRPr="006D59C9">
              <w:rPr>
                <w:rFonts w:ascii="Calibri" w:eastAsia="Calibri" w:hAnsi="Calibri" w:cs="Calibri"/>
                <w:noProof/>
                <w:sz w:val="18"/>
                <w:szCs w:val="18"/>
              </w:rPr>
              <w:t xml:space="preserve">Reporting </w:t>
            </w:r>
            <w:r w:rsidR="00420964">
              <w:rPr>
                <w:rFonts w:ascii="Calibri" w:eastAsia="Calibri" w:hAnsi="Calibri" w:cs="Calibri"/>
                <w:noProof/>
                <w:sz w:val="18"/>
                <w:szCs w:val="18"/>
              </w:rPr>
              <w:t>t</w:t>
            </w:r>
            <w:r w:rsidR="00420964" w:rsidRPr="006D59C9">
              <w:rPr>
                <w:rFonts w:ascii="Calibri" w:eastAsia="Calibri" w:hAnsi="Calibri" w:cs="Calibri"/>
                <w:noProof/>
                <w:sz w:val="18"/>
                <w:szCs w:val="18"/>
              </w:rPr>
              <w:t xml:space="preserve">ables </w:t>
            </w:r>
            <w:r w:rsidR="00420964">
              <w:rPr>
                <w:rFonts w:ascii="Calibri" w:eastAsia="Calibri" w:hAnsi="Calibri" w:cs="Calibri"/>
                <w:noProof/>
                <w:sz w:val="18"/>
                <w:szCs w:val="18"/>
              </w:rPr>
              <w:t>t</w:t>
            </w:r>
            <w:r w:rsidR="00420964" w:rsidRPr="006D59C9">
              <w:rPr>
                <w:rFonts w:ascii="Calibri" w:eastAsia="Calibri" w:hAnsi="Calibri" w:cs="Calibri"/>
                <w:noProof/>
                <w:sz w:val="18"/>
                <w:szCs w:val="18"/>
              </w:rPr>
              <w:t xml:space="preserve">o </w:t>
            </w:r>
            <w:r w:rsidR="00420964">
              <w:rPr>
                <w:rFonts w:ascii="Calibri" w:eastAsia="Calibri" w:hAnsi="Calibri" w:cs="Calibri"/>
                <w:noProof/>
                <w:sz w:val="18"/>
                <w:szCs w:val="18"/>
              </w:rPr>
              <w:t>s</w:t>
            </w:r>
            <w:r w:rsidR="00420964" w:rsidRPr="006D59C9">
              <w:rPr>
                <w:rFonts w:ascii="Calibri" w:eastAsia="Calibri" w:hAnsi="Calibri" w:cs="Calibri"/>
                <w:noProof/>
                <w:sz w:val="18"/>
                <w:szCs w:val="18"/>
              </w:rPr>
              <w:t xml:space="preserve">upport </w:t>
            </w:r>
            <w:r w:rsidR="00420964">
              <w:rPr>
                <w:rFonts w:ascii="Calibri" w:eastAsia="Calibri" w:hAnsi="Calibri" w:cs="Calibri"/>
                <w:noProof/>
                <w:sz w:val="18"/>
                <w:szCs w:val="18"/>
              </w:rPr>
              <w:t>t</w:t>
            </w:r>
            <w:r w:rsidR="00420964" w:rsidRPr="006D59C9">
              <w:rPr>
                <w:rFonts w:ascii="Calibri" w:eastAsia="Calibri" w:hAnsi="Calibri" w:cs="Calibri"/>
                <w:noProof/>
                <w:sz w:val="18"/>
                <w:szCs w:val="18"/>
              </w:rPr>
              <w:t xml:space="preserve">he Cost Base </w:t>
            </w:r>
            <w:r w:rsidR="00420964">
              <w:rPr>
                <w:rFonts w:ascii="Calibri" w:eastAsia="Calibri" w:hAnsi="Calibri" w:cs="Calibri"/>
                <w:noProof/>
                <w:sz w:val="18"/>
                <w:szCs w:val="18"/>
              </w:rPr>
              <w:t>a</w:t>
            </w:r>
            <w:r w:rsidR="00420964" w:rsidRPr="006D59C9">
              <w:rPr>
                <w:rFonts w:ascii="Calibri" w:eastAsia="Calibri" w:hAnsi="Calibri" w:cs="Calibri"/>
                <w:noProof/>
                <w:sz w:val="18"/>
                <w:szCs w:val="18"/>
              </w:rPr>
              <w:t xml:space="preserve">nd Unit Rates </w:t>
            </w:r>
            <w:r w:rsidR="00420964">
              <w:rPr>
                <w:rFonts w:ascii="Calibri" w:eastAsia="Calibri" w:hAnsi="Calibri" w:cs="Calibri"/>
                <w:noProof/>
                <w:sz w:val="18"/>
                <w:szCs w:val="18"/>
              </w:rPr>
              <w:t>t</w:t>
            </w:r>
            <w:r w:rsidR="00420964" w:rsidRPr="006D59C9">
              <w:rPr>
                <w:rFonts w:ascii="Calibri" w:eastAsia="Calibri" w:hAnsi="Calibri" w:cs="Calibri"/>
                <w:noProof/>
                <w:sz w:val="18"/>
                <w:szCs w:val="18"/>
              </w:rPr>
              <w:t xml:space="preserve">o </w:t>
            </w:r>
            <w:r w:rsidR="00420964">
              <w:rPr>
                <w:rFonts w:ascii="Calibri" w:eastAsia="Calibri" w:hAnsi="Calibri" w:cs="Calibri"/>
                <w:noProof/>
                <w:sz w:val="18"/>
                <w:szCs w:val="18"/>
              </w:rPr>
              <w:t>b</w:t>
            </w:r>
            <w:r w:rsidR="00420964" w:rsidRPr="006D59C9">
              <w:rPr>
                <w:rFonts w:ascii="Calibri" w:eastAsia="Calibri" w:hAnsi="Calibri" w:cs="Calibri"/>
                <w:noProof/>
                <w:sz w:val="18"/>
                <w:szCs w:val="18"/>
              </w:rPr>
              <w:t xml:space="preserve">e </w:t>
            </w:r>
            <w:r w:rsidR="00420964">
              <w:rPr>
                <w:rFonts w:ascii="Calibri" w:eastAsia="Calibri" w:hAnsi="Calibri" w:cs="Calibri"/>
                <w:noProof/>
                <w:sz w:val="18"/>
                <w:szCs w:val="18"/>
              </w:rPr>
              <w:t>p</w:t>
            </w:r>
            <w:r w:rsidR="00420964" w:rsidRPr="006D59C9">
              <w:rPr>
                <w:rFonts w:ascii="Calibri" w:eastAsia="Calibri" w:hAnsi="Calibri" w:cs="Calibri"/>
                <w:noProof/>
                <w:sz w:val="18"/>
                <w:szCs w:val="18"/>
              </w:rPr>
              <w:t xml:space="preserve">rovided </w:t>
            </w:r>
            <w:r w:rsidR="00420964">
              <w:rPr>
                <w:rFonts w:ascii="Calibri" w:eastAsia="Calibri" w:hAnsi="Calibri" w:cs="Calibri"/>
                <w:noProof/>
                <w:sz w:val="18"/>
                <w:szCs w:val="18"/>
              </w:rPr>
              <w:t>t</w:t>
            </w:r>
            <w:r w:rsidR="00420964" w:rsidRPr="006D59C9">
              <w:rPr>
                <w:rFonts w:ascii="Calibri" w:eastAsia="Calibri" w:hAnsi="Calibri" w:cs="Calibri"/>
                <w:noProof/>
                <w:sz w:val="18"/>
                <w:szCs w:val="18"/>
              </w:rPr>
              <w:t xml:space="preserve">o </w:t>
            </w:r>
            <w:r w:rsidR="00420964">
              <w:rPr>
                <w:rFonts w:ascii="Calibri" w:eastAsia="Calibri" w:hAnsi="Calibri" w:cs="Calibri"/>
                <w:noProof/>
                <w:sz w:val="18"/>
                <w:szCs w:val="18"/>
              </w:rPr>
              <w:t>t</w:t>
            </w:r>
            <w:r w:rsidR="00420964" w:rsidRPr="006D59C9">
              <w:rPr>
                <w:rFonts w:ascii="Calibri" w:eastAsia="Calibri" w:hAnsi="Calibri" w:cs="Calibri"/>
                <w:noProof/>
                <w:sz w:val="18"/>
                <w:szCs w:val="18"/>
              </w:rPr>
              <w:t xml:space="preserve">he Commission </w:t>
            </w:r>
            <w:r w:rsidR="00420964">
              <w:rPr>
                <w:rFonts w:ascii="Calibri" w:eastAsia="Calibri" w:hAnsi="Calibri" w:cs="Calibri"/>
                <w:noProof/>
                <w:sz w:val="18"/>
                <w:szCs w:val="18"/>
              </w:rPr>
              <w:t>i</w:t>
            </w:r>
            <w:r w:rsidR="00420964" w:rsidRPr="006D59C9">
              <w:rPr>
                <w:rFonts w:ascii="Calibri" w:eastAsia="Calibri" w:hAnsi="Calibri" w:cs="Calibri"/>
                <w:noProof/>
                <w:sz w:val="18"/>
                <w:szCs w:val="18"/>
              </w:rPr>
              <w:t xml:space="preserve">n </w:t>
            </w:r>
            <w:r w:rsidR="00420964">
              <w:rPr>
                <w:rFonts w:ascii="Calibri" w:eastAsia="Calibri" w:hAnsi="Calibri" w:cs="Calibri"/>
                <w:noProof/>
                <w:sz w:val="18"/>
                <w:szCs w:val="18"/>
              </w:rPr>
              <w:t>a</w:t>
            </w:r>
            <w:r w:rsidR="00420964" w:rsidRPr="006D59C9">
              <w:rPr>
                <w:rFonts w:ascii="Calibri" w:eastAsia="Calibri" w:hAnsi="Calibri" w:cs="Calibri"/>
                <w:noProof/>
                <w:sz w:val="18"/>
                <w:szCs w:val="18"/>
              </w:rPr>
              <w:t xml:space="preserve">ccordance </w:t>
            </w:r>
            <w:r w:rsidR="00420964">
              <w:rPr>
                <w:rFonts w:ascii="Calibri" w:eastAsia="Calibri" w:hAnsi="Calibri" w:cs="Calibri"/>
                <w:noProof/>
                <w:sz w:val="18"/>
                <w:szCs w:val="18"/>
              </w:rPr>
              <w:t>w</w:t>
            </w:r>
            <w:r w:rsidR="00420964" w:rsidRPr="006D59C9">
              <w:rPr>
                <w:rFonts w:ascii="Calibri" w:eastAsia="Calibri" w:hAnsi="Calibri" w:cs="Calibri"/>
                <w:noProof/>
                <w:sz w:val="18"/>
                <w:szCs w:val="18"/>
              </w:rPr>
              <w:t xml:space="preserve">ith Article </w:t>
            </w:r>
            <w:r w:rsidRPr="006D59C9">
              <w:rPr>
                <w:rFonts w:ascii="Calibri" w:eastAsia="Calibri" w:hAnsi="Calibri" w:cs="Calibri"/>
                <w:noProof/>
                <w:sz w:val="18"/>
                <w:szCs w:val="18"/>
              </w:rPr>
              <w:t>35(6</w:t>
            </w:r>
            <w:r>
              <w:rPr>
                <w:rFonts w:ascii="Calibri" w:eastAsia="Calibri" w:hAnsi="Calibri" w:cs="Calibri"/>
                <w:noProof/>
                <w:sz w:val="18"/>
                <w:szCs w:val="18"/>
              </w:rPr>
              <w:t>)</w:t>
            </w:r>
          </w:p>
          <w:p w14:paraId="4DED1EAF" w14:textId="77777777" w:rsidR="006D59C9" w:rsidRDefault="006D59C9" w:rsidP="006D59C9">
            <w:pPr>
              <w:spacing w:before="40" w:after="40"/>
              <w:jc w:val="left"/>
              <w:rPr>
                <w:rFonts w:ascii="Calibri" w:eastAsia="Calibri" w:hAnsi="Calibri" w:cs="Calibri"/>
                <w:noProof/>
                <w:sz w:val="18"/>
                <w:szCs w:val="18"/>
              </w:rPr>
            </w:pPr>
            <w:r w:rsidRPr="006D59C9">
              <w:rPr>
                <w:rFonts w:ascii="Calibri" w:eastAsia="Calibri" w:hAnsi="Calibri" w:cs="Calibri"/>
                <w:noProof/>
                <w:sz w:val="18"/>
                <w:szCs w:val="18"/>
              </w:rPr>
              <w:t>A</w:t>
            </w:r>
            <w:r w:rsidR="00420964" w:rsidRPr="006D59C9">
              <w:rPr>
                <w:rFonts w:ascii="Calibri" w:eastAsia="Calibri" w:hAnsi="Calibri" w:cs="Calibri"/>
                <w:noProof/>
                <w:sz w:val="18"/>
                <w:szCs w:val="18"/>
              </w:rPr>
              <w:t xml:space="preserve">nnex </w:t>
            </w:r>
            <w:r w:rsidRPr="006D59C9">
              <w:rPr>
                <w:rFonts w:ascii="Calibri" w:eastAsia="Calibri" w:hAnsi="Calibri" w:cs="Calibri"/>
                <w:noProof/>
                <w:sz w:val="18"/>
                <w:szCs w:val="18"/>
              </w:rPr>
              <w:t>XII</w:t>
            </w:r>
            <w:r w:rsidR="00420964">
              <w:rPr>
                <w:rFonts w:ascii="Calibri" w:eastAsia="Calibri" w:hAnsi="Calibri" w:cs="Calibri"/>
                <w:noProof/>
                <w:sz w:val="18"/>
                <w:szCs w:val="18"/>
              </w:rPr>
              <w:t xml:space="preserve">: </w:t>
            </w:r>
            <w:r w:rsidR="00420964" w:rsidRPr="006D59C9">
              <w:rPr>
                <w:rFonts w:ascii="Calibri" w:eastAsia="Calibri" w:hAnsi="Calibri" w:cs="Calibri"/>
                <w:noProof/>
                <w:sz w:val="18"/>
                <w:szCs w:val="18"/>
              </w:rPr>
              <w:t xml:space="preserve">Essential </w:t>
            </w:r>
            <w:r w:rsidR="00420964">
              <w:rPr>
                <w:rFonts w:ascii="Calibri" w:eastAsia="Calibri" w:hAnsi="Calibri" w:cs="Calibri"/>
                <w:noProof/>
                <w:sz w:val="18"/>
                <w:szCs w:val="18"/>
              </w:rPr>
              <w:t>e</w:t>
            </w:r>
            <w:r w:rsidR="00420964" w:rsidRPr="006D59C9">
              <w:rPr>
                <w:rFonts w:ascii="Calibri" w:eastAsia="Calibri" w:hAnsi="Calibri" w:cs="Calibri"/>
                <w:noProof/>
                <w:sz w:val="18"/>
                <w:szCs w:val="18"/>
              </w:rPr>
              <w:t xml:space="preserve">lements </w:t>
            </w:r>
            <w:r w:rsidR="00420964">
              <w:rPr>
                <w:rFonts w:ascii="Calibri" w:eastAsia="Calibri" w:hAnsi="Calibri" w:cs="Calibri"/>
                <w:noProof/>
                <w:sz w:val="18"/>
                <w:szCs w:val="18"/>
              </w:rPr>
              <w:t>f</w:t>
            </w:r>
            <w:r w:rsidR="00420964" w:rsidRPr="006D59C9">
              <w:rPr>
                <w:rFonts w:ascii="Calibri" w:eastAsia="Calibri" w:hAnsi="Calibri" w:cs="Calibri"/>
                <w:noProof/>
                <w:sz w:val="18"/>
                <w:szCs w:val="18"/>
              </w:rPr>
              <w:t xml:space="preserve">or </w:t>
            </w:r>
            <w:r w:rsidR="00420964">
              <w:rPr>
                <w:rFonts w:ascii="Calibri" w:eastAsia="Calibri" w:hAnsi="Calibri" w:cs="Calibri"/>
                <w:noProof/>
                <w:sz w:val="18"/>
                <w:szCs w:val="18"/>
              </w:rPr>
              <w:t>t</w:t>
            </w:r>
            <w:r w:rsidR="00420964" w:rsidRPr="006D59C9">
              <w:rPr>
                <w:rFonts w:ascii="Calibri" w:eastAsia="Calibri" w:hAnsi="Calibri" w:cs="Calibri"/>
                <w:noProof/>
                <w:sz w:val="18"/>
                <w:szCs w:val="18"/>
              </w:rPr>
              <w:t xml:space="preserve">he </w:t>
            </w:r>
            <w:r w:rsidR="00420964">
              <w:rPr>
                <w:rFonts w:ascii="Calibri" w:eastAsia="Calibri" w:hAnsi="Calibri" w:cs="Calibri"/>
                <w:noProof/>
                <w:sz w:val="18"/>
                <w:szCs w:val="18"/>
              </w:rPr>
              <w:t>c</w:t>
            </w:r>
            <w:r w:rsidR="00420964" w:rsidRPr="006D59C9">
              <w:rPr>
                <w:rFonts w:ascii="Calibri" w:eastAsia="Calibri" w:hAnsi="Calibri" w:cs="Calibri"/>
                <w:noProof/>
                <w:sz w:val="18"/>
                <w:szCs w:val="18"/>
              </w:rPr>
              <w:t xml:space="preserve">onsultations </w:t>
            </w:r>
            <w:r w:rsidR="00420964">
              <w:rPr>
                <w:rFonts w:ascii="Calibri" w:eastAsia="Calibri" w:hAnsi="Calibri" w:cs="Calibri"/>
                <w:noProof/>
                <w:sz w:val="18"/>
                <w:szCs w:val="18"/>
              </w:rPr>
              <w:t>r</w:t>
            </w:r>
            <w:r w:rsidR="00420964" w:rsidRPr="006D59C9">
              <w:rPr>
                <w:rFonts w:ascii="Calibri" w:eastAsia="Calibri" w:hAnsi="Calibri" w:cs="Calibri"/>
                <w:noProof/>
                <w:sz w:val="18"/>
                <w:szCs w:val="18"/>
              </w:rPr>
              <w:t xml:space="preserve">eferred </w:t>
            </w:r>
            <w:r w:rsidR="00420964">
              <w:rPr>
                <w:rFonts w:ascii="Calibri" w:eastAsia="Calibri" w:hAnsi="Calibri" w:cs="Calibri"/>
                <w:noProof/>
                <w:sz w:val="18"/>
                <w:szCs w:val="18"/>
              </w:rPr>
              <w:t>t</w:t>
            </w:r>
            <w:r w:rsidR="00420964" w:rsidRPr="006D59C9">
              <w:rPr>
                <w:rFonts w:ascii="Calibri" w:eastAsia="Calibri" w:hAnsi="Calibri" w:cs="Calibri"/>
                <w:noProof/>
                <w:sz w:val="18"/>
                <w:szCs w:val="18"/>
              </w:rPr>
              <w:t xml:space="preserve">o </w:t>
            </w:r>
            <w:r w:rsidR="00420964">
              <w:rPr>
                <w:rFonts w:ascii="Calibri" w:eastAsia="Calibri" w:hAnsi="Calibri" w:cs="Calibri"/>
                <w:noProof/>
                <w:sz w:val="18"/>
                <w:szCs w:val="18"/>
              </w:rPr>
              <w:t>i</w:t>
            </w:r>
            <w:r w:rsidR="00420964" w:rsidRPr="006D59C9">
              <w:rPr>
                <w:rFonts w:ascii="Calibri" w:eastAsia="Calibri" w:hAnsi="Calibri" w:cs="Calibri"/>
                <w:noProof/>
                <w:sz w:val="18"/>
                <w:szCs w:val="18"/>
              </w:rPr>
              <w:t xml:space="preserve">n Article 24(3) </w:t>
            </w:r>
            <w:r w:rsidR="00420964">
              <w:rPr>
                <w:rFonts w:ascii="Calibri" w:eastAsia="Calibri" w:hAnsi="Calibri" w:cs="Calibri"/>
                <w:noProof/>
                <w:sz w:val="18"/>
                <w:szCs w:val="18"/>
              </w:rPr>
              <w:t>a</w:t>
            </w:r>
            <w:r w:rsidR="00420964" w:rsidRPr="006D59C9">
              <w:rPr>
                <w:rFonts w:ascii="Calibri" w:eastAsia="Calibri" w:hAnsi="Calibri" w:cs="Calibri"/>
                <w:noProof/>
                <w:sz w:val="18"/>
                <w:szCs w:val="18"/>
              </w:rPr>
              <w:t xml:space="preserve">nd Article </w:t>
            </w:r>
            <w:r w:rsidRPr="006D59C9">
              <w:rPr>
                <w:rFonts w:ascii="Calibri" w:eastAsia="Calibri" w:hAnsi="Calibri" w:cs="Calibri"/>
                <w:noProof/>
                <w:sz w:val="18"/>
                <w:szCs w:val="18"/>
              </w:rPr>
              <w:t>30(1)</w:t>
            </w:r>
          </w:p>
          <w:p w14:paraId="1CBF0CE6" w14:textId="77777777" w:rsidR="006D59C9" w:rsidRPr="00F5121A" w:rsidDel="00EC08B0" w:rsidRDefault="006D59C9" w:rsidP="00420964">
            <w:pPr>
              <w:spacing w:before="40" w:after="40"/>
              <w:jc w:val="left"/>
              <w:rPr>
                <w:rFonts w:ascii="Calibri" w:eastAsia="Calibri" w:hAnsi="Calibri" w:cs="Calibri"/>
                <w:noProof/>
                <w:sz w:val="18"/>
                <w:szCs w:val="18"/>
              </w:rPr>
            </w:pPr>
            <w:r w:rsidRPr="006D59C9">
              <w:rPr>
                <w:rFonts w:ascii="Calibri" w:eastAsia="Calibri" w:hAnsi="Calibri" w:cs="Calibri"/>
                <w:noProof/>
                <w:sz w:val="18"/>
                <w:szCs w:val="18"/>
              </w:rPr>
              <w:t>A</w:t>
            </w:r>
            <w:r w:rsidR="00420964">
              <w:rPr>
                <w:rFonts w:ascii="Calibri" w:eastAsia="Calibri" w:hAnsi="Calibri" w:cs="Calibri"/>
                <w:noProof/>
                <w:sz w:val="18"/>
                <w:szCs w:val="18"/>
              </w:rPr>
              <w:t xml:space="preserve">nnex </w:t>
            </w:r>
            <w:r w:rsidRPr="006D59C9">
              <w:rPr>
                <w:rFonts w:ascii="Calibri" w:eastAsia="Calibri" w:hAnsi="Calibri" w:cs="Calibri"/>
                <w:noProof/>
                <w:sz w:val="18"/>
                <w:szCs w:val="18"/>
              </w:rPr>
              <w:t>XIII</w:t>
            </w:r>
            <w:r w:rsidR="00420964">
              <w:rPr>
                <w:rFonts w:ascii="Calibri" w:eastAsia="Calibri" w:hAnsi="Calibri" w:cs="Calibri"/>
                <w:noProof/>
                <w:sz w:val="18"/>
                <w:szCs w:val="18"/>
              </w:rPr>
              <w:t xml:space="preserve">: </w:t>
            </w:r>
            <w:r w:rsidR="00420964" w:rsidRPr="006D59C9">
              <w:rPr>
                <w:rFonts w:ascii="Calibri" w:eastAsia="Calibri" w:hAnsi="Calibri" w:cs="Calibri"/>
                <w:noProof/>
                <w:sz w:val="18"/>
                <w:szCs w:val="18"/>
              </w:rPr>
              <w:t xml:space="preserve">Specific </w:t>
            </w:r>
            <w:r w:rsidR="00420964">
              <w:rPr>
                <w:rFonts w:ascii="Calibri" w:eastAsia="Calibri" w:hAnsi="Calibri" w:cs="Calibri"/>
                <w:noProof/>
                <w:sz w:val="18"/>
                <w:szCs w:val="18"/>
              </w:rPr>
              <w:t>r</w:t>
            </w:r>
            <w:r w:rsidR="00420964" w:rsidRPr="006D59C9">
              <w:rPr>
                <w:rFonts w:ascii="Calibri" w:eastAsia="Calibri" w:hAnsi="Calibri" w:cs="Calibri"/>
                <w:noProof/>
                <w:sz w:val="18"/>
                <w:szCs w:val="18"/>
              </w:rPr>
              <w:t xml:space="preserve">equirements </w:t>
            </w:r>
            <w:r w:rsidR="00420964">
              <w:rPr>
                <w:rFonts w:ascii="Calibri" w:eastAsia="Calibri" w:hAnsi="Calibri" w:cs="Calibri"/>
                <w:noProof/>
                <w:sz w:val="18"/>
                <w:szCs w:val="18"/>
              </w:rPr>
              <w:t>o</w:t>
            </w:r>
            <w:r w:rsidR="00420964" w:rsidRPr="006D59C9">
              <w:rPr>
                <w:rFonts w:ascii="Calibri" w:eastAsia="Calibri" w:hAnsi="Calibri" w:cs="Calibri"/>
                <w:noProof/>
                <w:sz w:val="18"/>
                <w:szCs w:val="18"/>
              </w:rPr>
              <w:t xml:space="preserve">n </w:t>
            </w:r>
            <w:r w:rsidR="00420964">
              <w:rPr>
                <w:rFonts w:ascii="Calibri" w:eastAsia="Calibri" w:hAnsi="Calibri" w:cs="Calibri"/>
                <w:noProof/>
                <w:sz w:val="18"/>
                <w:szCs w:val="18"/>
              </w:rPr>
              <w:t>i</w:t>
            </w:r>
            <w:r w:rsidR="00420964" w:rsidRPr="006D59C9">
              <w:rPr>
                <w:rFonts w:ascii="Calibri" w:eastAsia="Calibri" w:hAnsi="Calibri" w:cs="Calibri"/>
                <w:noProof/>
                <w:sz w:val="18"/>
                <w:szCs w:val="18"/>
              </w:rPr>
              <w:t xml:space="preserve">ncentive </w:t>
            </w:r>
            <w:r w:rsidR="00420964">
              <w:rPr>
                <w:rFonts w:ascii="Calibri" w:eastAsia="Calibri" w:hAnsi="Calibri" w:cs="Calibri"/>
                <w:noProof/>
                <w:sz w:val="18"/>
                <w:szCs w:val="18"/>
              </w:rPr>
              <w:t>s</w:t>
            </w:r>
            <w:r w:rsidR="00420964" w:rsidRPr="006D59C9">
              <w:rPr>
                <w:rFonts w:ascii="Calibri" w:eastAsia="Calibri" w:hAnsi="Calibri" w:cs="Calibri"/>
                <w:noProof/>
                <w:sz w:val="18"/>
                <w:szCs w:val="18"/>
              </w:rPr>
              <w:t xml:space="preserve">chemes </w:t>
            </w:r>
            <w:r w:rsidR="00420964">
              <w:rPr>
                <w:rFonts w:ascii="Calibri" w:eastAsia="Calibri" w:hAnsi="Calibri" w:cs="Calibri"/>
                <w:noProof/>
                <w:sz w:val="18"/>
                <w:szCs w:val="18"/>
              </w:rPr>
              <w:t>r</w:t>
            </w:r>
            <w:r w:rsidR="00420964" w:rsidRPr="006D59C9">
              <w:rPr>
                <w:rFonts w:ascii="Calibri" w:eastAsia="Calibri" w:hAnsi="Calibri" w:cs="Calibri"/>
                <w:noProof/>
                <w:sz w:val="18"/>
                <w:szCs w:val="18"/>
              </w:rPr>
              <w:t xml:space="preserve">eferred to in Article </w:t>
            </w:r>
            <w:r w:rsidRPr="006D59C9">
              <w:rPr>
                <w:rFonts w:ascii="Calibri" w:eastAsia="Calibri" w:hAnsi="Calibri" w:cs="Calibri"/>
                <w:noProof/>
                <w:sz w:val="18"/>
                <w:szCs w:val="18"/>
              </w:rPr>
              <w:t>11(3)</w:t>
            </w:r>
          </w:p>
        </w:tc>
      </w:tr>
      <w:bookmarkEnd w:id="54"/>
    </w:tbl>
    <w:p w14:paraId="0D832EAD" w14:textId="77777777" w:rsidR="00286CAD" w:rsidRDefault="00286CAD">
      <w:pPr>
        <w:spacing w:before="0" w:after="200" w:line="276" w:lineRule="auto"/>
        <w:jc w:val="left"/>
        <w:rPr>
          <w:rFonts w:ascii="Calibri" w:eastAsia="Calibri" w:hAnsi="Calibri" w:cs="Calibri"/>
          <w:i/>
          <w:noProof/>
          <w:color w:val="0070C0"/>
          <w:sz w:val="20"/>
          <w:szCs w:val="20"/>
        </w:rPr>
      </w:pPr>
    </w:p>
    <w:p w14:paraId="7CA25F63" w14:textId="77777777" w:rsidR="00860AA7" w:rsidRPr="008D6145" w:rsidRDefault="00860AA7" w:rsidP="00860AA7">
      <w:pPr>
        <w:spacing w:after="240"/>
        <w:ind w:left="-142" w:right="-708" w:hanging="142"/>
        <w:rPr>
          <w:rFonts w:ascii="Calibri" w:eastAsia="Calibri" w:hAnsi="Calibri" w:cs="Calibri"/>
          <w:i/>
          <w:noProof/>
          <w:color w:val="0070C0"/>
          <w:sz w:val="20"/>
          <w:szCs w:val="20"/>
        </w:rPr>
      </w:pPr>
    </w:p>
    <w:tbl>
      <w:tblPr>
        <w:tblStyle w:val="GridTable4-Accent6"/>
        <w:tblpPr w:leftFromText="180" w:rightFromText="180" w:vertAnchor="text" w:tblpX="-147" w:tblpY="1"/>
        <w:tblW w:w="10060" w:type="dxa"/>
        <w:tblLook w:val="0420" w:firstRow="1" w:lastRow="0" w:firstColumn="0" w:lastColumn="0" w:noHBand="0" w:noVBand="1"/>
      </w:tblPr>
      <w:tblGrid>
        <w:gridCol w:w="2742"/>
        <w:gridCol w:w="2356"/>
        <w:gridCol w:w="4962"/>
      </w:tblGrid>
      <w:tr w:rsidR="00860AA7" w:rsidRPr="00F5121A" w14:paraId="313AA7E3" w14:textId="77777777" w:rsidTr="001906BD">
        <w:trPr>
          <w:cnfStyle w:val="100000000000" w:firstRow="1" w:lastRow="0" w:firstColumn="0" w:lastColumn="0" w:oddVBand="0" w:evenVBand="0" w:oddHBand="0" w:evenHBand="0" w:firstRowFirstColumn="0" w:firstRowLastColumn="0" w:lastRowFirstColumn="0" w:lastRowLastColumn="0"/>
          <w:trHeight w:val="286"/>
        </w:trPr>
        <w:tc>
          <w:tcPr>
            <w:tcW w:w="10060" w:type="dxa"/>
            <w:gridSpan w:val="3"/>
            <w:tcMar>
              <w:top w:w="57" w:type="dxa"/>
              <w:left w:w="57" w:type="dxa"/>
              <w:bottom w:w="57" w:type="dxa"/>
              <w:right w:w="57" w:type="dxa"/>
            </w:tcMar>
          </w:tcPr>
          <w:p w14:paraId="7C32502C" w14:textId="3338E256" w:rsidR="00860AA7" w:rsidRPr="00F5121A" w:rsidRDefault="00860AA7" w:rsidP="00A8457B">
            <w:pPr>
              <w:spacing w:before="40" w:after="40"/>
              <w:jc w:val="left"/>
              <w:rPr>
                <w:rFonts w:ascii="Calibri" w:eastAsia="Calibri" w:hAnsi="Calibri" w:cs="Calibri"/>
                <w:noProof/>
                <w:sz w:val="18"/>
                <w:szCs w:val="18"/>
              </w:rPr>
            </w:pPr>
            <w:r>
              <w:rPr>
                <w:rFonts w:ascii="Calibri" w:eastAsia="Calibri" w:hAnsi="Calibri" w:cs="Calibri"/>
                <w:b w:val="0"/>
                <w:bCs w:val="0"/>
                <w:i/>
                <w:noProof/>
                <w:color w:val="0070C0"/>
                <w:sz w:val="20"/>
                <w:szCs w:val="20"/>
              </w:rPr>
              <w:t xml:space="preserve">Other Regulations in the area of civil aviation relating to </w:t>
            </w:r>
            <w:r w:rsidR="00D755C3">
              <w:rPr>
                <w:rFonts w:ascii="Calibri" w:eastAsia="Calibri" w:hAnsi="Calibri" w:cs="Calibri"/>
                <w:b w:val="0"/>
                <w:bCs w:val="0"/>
                <w:i/>
                <w:noProof/>
                <w:color w:val="0070C0"/>
                <w:sz w:val="20"/>
                <w:szCs w:val="20"/>
              </w:rPr>
              <w:t xml:space="preserve">environmental protection </w:t>
            </w:r>
          </w:p>
        </w:tc>
      </w:tr>
      <w:tr w:rsidR="00860AA7" w:rsidRPr="00F5121A" w14:paraId="69D7950E" w14:textId="77777777" w:rsidTr="001906BD">
        <w:trPr>
          <w:cnfStyle w:val="000000100000" w:firstRow="0" w:lastRow="0" w:firstColumn="0" w:lastColumn="0" w:oddVBand="0" w:evenVBand="0" w:oddHBand="1" w:evenHBand="0" w:firstRowFirstColumn="0" w:firstRowLastColumn="0" w:lastRowFirstColumn="0" w:lastRowLastColumn="0"/>
          <w:trHeight w:val="286"/>
        </w:trPr>
        <w:tc>
          <w:tcPr>
            <w:tcW w:w="2742" w:type="dxa"/>
            <w:tcMar>
              <w:top w:w="57" w:type="dxa"/>
              <w:left w:w="57" w:type="dxa"/>
              <w:bottom w:w="57" w:type="dxa"/>
              <w:right w:w="57" w:type="dxa"/>
            </w:tcMar>
          </w:tcPr>
          <w:p w14:paraId="32478BB4" w14:textId="77777777" w:rsidR="00860AA7" w:rsidRPr="004B32CA" w:rsidRDefault="00FC7812" w:rsidP="001906BD">
            <w:pPr>
              <w:spacing w:before="40" w:after="40"/>
              <w:jc w:val="left"/>
              <w:rPr>
                <w:b/>
                <w:noProof/>
                <w:u w:val="single"/>
              </w:rPr>
            </w:pPr>
            <w:r w:rsidRPr="004B32CA">
              <w:rPr>
                <w:rFonts w:ascii="Calibri" w:eastAsia="Calibri" w:hAnsi="Calibri" w:cs="Calibri"/>
                <w:b/>
                <w:noProof/>
                <w:color w:val="0070C0"/>
                <w:sz w:val="18"/>
                <w:szCs w:val="18"/>
                <w:u w:val="single"/>
              </w:rPr>
              <w:t>N</w:t>
            </w:r>
            <w:r w:rsidR="00D755C3" w:rsidRPr="004B32CA">
              <w:rPr>
                <w:rFonts w:ascii="Calibri" w:eastAsia="Calibri" w:hAnsi="Calibri" w:cs="Calibri"/>
                <w:b/>
                <w:noProof/>
                <w:color w:val="0070C0"/>
                <w:sz w:val="18"/>
                <w:szCs w:val="18"/>
                <w:u w:val="single"/>
              </w:rPr>
              <w:t xml:space="preserve">oise-related operating restrictions at Union airports </w:t>
            </w:r>
            <w:r w:rsidR="00860AA7" w:rsidRPr="004B32CA">
              <w:rPr>
                <w:b/>
                <w:noProof/>
                <w:color w:val="0070C0"/>
                <w:u w:val="single"/>
              </w:rPr>
              <w:t xml:space="preserve"> </w:t>
            </w:r>
          </w:p>
        </w:tc>
        <w:tc>
          <w:tcPr>
            <w:tcW w:w="2356" w:type="dxa"/>
            <w:tcMar>
              <w:top w:w="57" w:type="dxa"/>
              <w:left w:w="57" w:type="dxa"/>
              <w:bottom w:w="57" w:type="dxa"/>
              <w:right w:w="57" w:type="dxa"/>
            </w:tcMar>
          </w:tcPr>
          <w:p w14:paraId="7DC742DE" w14:textId="2CD1EF44" w:rsidR="00860AA7" w:rsidRDefault="00D755C3" w:rsidP="001906BD">
            <w:pPr>
              <w:spacing w:before="40" w:after="40"/>
              <w:jc w:val="left"/>
              <w:rPr>
                <w:rFonts w:ascii="Calibri" w:eastAsia="Calibri" w:hAnsi="Calibri" w:cs="Calibri"/>
                <w:noProof/>
                <w:sz w:val="18"/>
                <w:szCs w:val="18"/>
              </w:rPr>
            </w:pPr>
            <w:r>
              <w:rPr>
                <w:rFonts w:ascii="Calibri" w:eastAsia="Calibri" w:hAnsi="Calibri" w:cs="Calibri"/>
                <w:noProof/>
                <w:sz w:val="18"/>
                <w:szCs w:val="18"/>
              </w:rPr>
              <w:t>IR</w:t>
            </w:r>
            <w:r w:rsidR="009D5D8B">
              <w:rPr>
                <w:rFonts w:ascii="Calibri" w:eastAsia="Calibri" w:hAnsi="Calibri" w:cs="Calibri"/>
                <w:noProof/>
                <w:sz w:val="18"/>
                <w:szCs w:val="18"/>
              </w:rPr>
              <w:t xml:space="preserve">: </w:t>
            </w:r>
            <w:r w:rsidR="00860AA7">
              <w:rPr>
                <w:rFonts w:ascii="Calibri" w:eastAsia="Calibri" w:hAnsi="Calibri" w:cs="Calibri"/>
                <w:noProof/>
                <w:sz w:val="18"/>
                <w:szCs w:val="18"/>
              </w:rPr>
              <w:t>(EU)</w:t>
            </w:r>
            <w:r w:rsidR="002656F3">
              <w:rPr>
                <w:rFonts w:ascii="Calibri" w:eastAsia="Calibri" w:hAnsi="Calibri" w:cs="Calibri"/>
                <w:noProof/>
                <w:sz w:val="18"/>
                <w:szCs w:val="18"/>
              </w:rPr>
              <w:t xml:space="preserve"> No</w:t>
            </w:r>
            <w:r w:rsidR="00860AA7">
              <w:rPr>
                <w:rFonts w:ascii="Calibri" w:eastAsia="Calibri" w:hAnsi="Calibri" w:cs="Calibri"/>
                <w:noProof/>
                <w:sz w:val="18"/>
                <w:szCs w:val="18"/>
              </w:rPr>
              <w:t xml:space="preserve"> </w:t>
            </w:r>
            <w:r>
              <w:rPr>
                <w:rFonts w:ascii="Calibri" w:eastAsia="Calibri" w:hAnsi="Calibri" w:cs="Calibri"/>
                <w:noProof/>
                <w:sz w:val="18"/>
                <w:szCs w:val="18"/>
              </w:rPr>
              <w:t>598</w:t>
            </w:r>
            <w:r w:rsidR="00860AA7">
              <w:rPr>
                <w:rFonts w:ascii="Calibri" w:eastAsia="Calibri" w:hAnsi="Calibri" w:cs="Calibri"/>
                <w:noProof/>
                <w:sz w:val="18"/>
                <w:szCs w:val="18"/>
              </w:rPr>
              <w:t>/2014</w:t>
            </w:r>
            <w:r w:rsidR="00A954C5" w:rsidRPr="00FB18C9">
              <w:rPr>
                <w:rFonts w:ascii="Calibri" w:eastAsia="Calibri" w:hAnsi="Calibri" w:cs="Calibri"/>
                <w:noProof/>
                <w:sz w:val="18"/>
                <w:szCs w:val="18"/>
                <w:vertAlign w:val="superscript"/>
              </w:rPr>
              <w:footnoteReference w:id="5"/>
            </w:r>
          </w:p>
        </w:tc>
        <w:tc>
          <w:tcPr>
            <w:tcW w:w="4962" w:type="dxa"/>
            <w:tcMar>
              <w:top w:w="57" w:type="dxa"/>
              <w:left w:w="57" w:type="dxa"/>
              <w:bottom w:w="57" w:type="dxa"/>
              <w:right w:w="57" w:type="dxa"/>
            </w:tcMar>
          </w:tcPr>
          <w:p w14:paraId="605D2D9E" w14:textId="77777777" w:rsidR="00FC7812" w:rsidRPr="00FB18C9" w:rsidRDefault="00FC7812" w:rsidP="001906BD">
            <w:pPr>
              <w:spacing w:before="40" w:after="40"/>
              <w:jc w:val="left"/>
              <w:rPr>
                <w:rFonts w:ascii="Calibri" w:eastAsia="Calibri" w:hAnsi="Calibri" w:cs="Calibri"/>
                <w:noProof/>
                <w:sz w:val="18"/>
                <w:szCs w:val="18"/>
              </w:rPr>
            </w:pPr>
            <w:r w:rsidRPr="00FB18C9">
              <w:rPr>
                <w:rFonts w:ascii="Calibri" w:eastAsia="Calibri" w:hAnsi="Calibri" w:cs="Calibri"/>
                <w:noProof/>
                <w:sz w:val="18"/>
                <w:szCs w:val="18"/>
              </w:rPr>
              <w:t>Annex I</w:t>
            </w:r>
            <w:r>
              <w:rPr>
                <w:rFonts w:ascii="Calibri" w:eastAsia="Calibri" w:hAnsi="Calibri" w:cs="Calibri"/>
                <w:noProof/>
                <w:sz w:val="18"/>
                <w:szCs w:val="18"/>
              </w:rPr>
              <w:t>:</w:t>
            </w:r>
            <w:r w:rsidRPr="00FB18C9">
              <w:rPr>
                <w:rFonts w:ascii="Calibri" w:eastAsia="Calibri" w:hAnsi="Calibri" w:cs="Calibri"/>
                <w:noProof/>
                <w:sz w:val="18"/>
                <w:szCs w:val="18"/>
              </w:rPr>
              <w:t xml:space="preserve"> Assessment of the Noise Situation at an airport</w:t>
            </w:r>
          </w:p>
          <w:p w14:paraId="71ABE0AF" w14:textId="77777777" w:rsidR="00860AA7" w:rsidRPr="00F5121A" w:rsidRDefault="00FC7812" w:rsidP="001906BD">
            <w:pPr>
              <w:spacing w:before="40" w:after="40"/>
              <w:jc w:val="left"/>
              <w:rPr>
                <w:rFonts w:ascii="Calibri" w:eastAsia="Calibri" w:hAnsi="Calibri" w:cs="Calibri"/>
                <w:noProof/>
                <w:sz w:val="18"/>
                <w:szCs w:val="18"/>
              </w:rPr>
            </w:pPr>
            <w:r w:rsidRPr="00FB18C9">
              <w:rPr>
                <w:rFonts w:ascii="Calibri" w:eastAsia="Calibri" w:hAnsi="Calibri" w:cs="Calibri"/>
                <w:noProof/>
                <w:sz w:val="18"/>
                <w:szCs w:val="18"/>
              </w:rPr>
              <w:t>A</w:t>
            </w:r>
            <w:r>
              <w:rPr>
                <w:rFonts w:ascii="Calibri" w:eastAsia="Calibri" w:hAnsi="Calibri" w:cs="Calibri"/>
                <w:noProof/>
                <w:sz w:val="18"/>
                <w:szCs w:val="18"/>
              </w:rPr>
              <w:t>nnex</w:t>
            </w:r>
            <w:r w:rsidRPr="00FB18C9">
              <w:rPr>
                <w:rFonts w:ascii="Calibri" w:eastAsia="Calibri" w:hAnsi="Calibri" w:cs="Calibri"/>
                <w:noProof/>
                <w:sz w:val="18"/>
                <w:szCs w:val="18"/>
              </w:rPr>
              <w:t xml:space="preserve"> II</w:t>
            </w:r>
            <w:r>
              <w:rPr>
                <w:rFonts w:ascii="Calibri" w:eastAsia="Calibri" w:hAnsi="Calibri" w:cs="Calibri"/>
                <w:noProof/>
                <w:sz w:val="18"/>
                <w:szCs w:val="18"/>
              </w:rPr>
              <w:t>:</w:t>
            </w:r>
            <w:r w:rsidRPr="00FB18C9">
              <w:rPr>
                <w:rFonts w:ascii="Calibri" w:eastAsia="Calibri" w:hAnsi="Calibri" w:cs="Calibri"/>
                <w:noProof/>
                <w:sz w:val="18"/>
                <w:szCs w:val="18"/>
              </w:rPr>
              <w:t xml:space="preserve"> Assessment of the cost-effectiveness of noise-related operating restrictions</w:t>
            </w:r>
            <w:r>
              <w:rPr>
                <w:noProof/>
              </w:rPr>
              <w:t xml:space="preserve"> </w:t>
            </w:r>
          </w:p>
        </w:tc>
      </w:tr>
    </w:tbl>
    <w:p w14:paraId="6844C825" w14:textId="77777777" w:rsidR="00860AA7" w:rsidRPr="00FF49A8" w:rsidRDefault="00860AA7" w:rsidP="00FF49A8">
      <w:pPr>
        <w:spacing w:after="240"/>
        <w:ind w:left="-142" w:right="-708" w:hanging="142"/>
        <w:rPr>
          <w:noProof/>
          <w:sz w:val="17"/>
          <w:szCs w:val="17"/>
        </w:rPr>
      </w:pPr>
    </w:p>
    <w:p w14:paraId="17C92603" w14:textId="4656D073" w:rsidR="00EC1230" w:rsidRDefault="00DE0D85" w:rsidP="0006001F">
      <w:pPr>
        <w:rPr>
          <w:noProof/>
        </w:rPr>
      </w:pPr>
      <w:r>
        <w:rPr>
          <w:noProof/>
        </w:rPr>
        <w:t>A</w:t>
      </w:r>
      <w:r w:rsidR="009D152B">
        <w:rPr>
          <w:noProof/>
        </w:rPr>
        <w:t xml:space="preserve">pplicable </w:t>
      </w:r>
      <w:r w:rsidR="00BA002D">
        <w:rPr>
          <w:noProof/>
        </w:rPr>
        <w:t xml:space="preserve">Union </w:t>
      </w:r>
      <w:r w:rsidR="00087497" w:rsidRPr="001A35E7">
        <w:rPr>
          <w:noProof/>
        </w:rPr>
        <w:t xml:space="preserve">aviation safety </w:t>
      </w:r>
      <w:r w:rsidR="00AB32AD" w:rsidRPr="001A35E7">
        <w:rPr>
          <w:noProof/>
        </w:rPr>
        <w:t>legislation</w:t>
      </w:r>
      <w:r w:rsidR="00087497" w:rsidRPr="001A35E7">
        <w:rPr>
          <w:noProof/>
        </w:rPr>
        <w:t xml:space="preserve"> </w:t>
      </w:r>
      <w:r w:rsidR="00AB32AD" w:rsidRPr="001A35E7">
        <w:rPr>
          <w:noProof/>
        </w:rPr>
        <w:t>can be found</w:t>
      </w:r>
      <w:r w:rsidR="00601EC5">
        <w:rPr>
          <w:noProof/>
        </w:rPr>
        <w:t xml:space="preserve"> on </w:t>
      </w:r>
      <w:r w:rsidR="003771A8">
        <w:rPr>
          <w:noProof/>
        </w:rPr>
        <w:t xml:space="preserve">the </w:t>
      </w:r>
      <w:r w:rsidR="00601EC5">
        <w:rPr>
          <w:noProof/>
        </w:rPr>
        <w:t xml:space="preserve">EUR-Lex website, in the section </w:t>
      </w:r>
      <w:r w:rsidR="00601EC5" w:rsidRPr="00601EC5">
        <w:rPr>
          <w:noProof/>
        </w:rPr>
        <w:t>Directory of European Union legislation</w:t>
      </w:r>
      <w:r w:rsidR="00601EC5">
        <w:rPr>
          <w:noProof/>
        </w:rPr>
        <w:t xml:space="preserve">, Chapter </w:t>
      </w:r>
      <w:hyperlink r:id="rId51" w:history="1">
        <w:r w:rsidR="00601EC5">
          <w:rPr>
            <w:rStyle w:val="Hyperlink"/>
            <w:noProof/>
          </w:rPr>
          <w:t>07.40.30</w:t>
        </w:r>
      </w:hyperlink>
      <w:r w:rsidR="007C1A2D" w:rsidRPr="00FB18C9">
        <w:rPr>
          <w:noProof/>
          <w:color w:val="0000FF"/>
          <w:u w:val="single"/>
          <w:vertAlign w:val="superscript"/>
        </w:rPr>
        <w:footnoteReference w:id="6"/>
      </w:r>
      <w:r w:rsidR="00EC1230">
        <w:rPr>
          <w:noProof/>
        </w:rPr>
        <w:t>.</w:t>
      </w:r>
      <w:r w:rsidR="000D4FA0">
        <w:rPr>
          <w:noProof/>
        </w:rPr>
        <w:t xml:space="preserve"> The Agency also publishes a</w:t>
      </w:r>
      <w:r w:rsidR="009741B3">
        <w:rPr>
          <w:noProof/>
        </w:rPr>
        <w:t xml:space="preserve">n overview </w:t>
      </w:r>
      <w:r w:rsidR="000D4FA0">
        <w:rPr>
          <w:noProof/>
        </w:rPr>
        <w:t>of the regulatory framework</w:t>
      </w:r>
      <w:r w:rsidR="007C1A2D" w:rsidRPr="00FB18C9">
        <w:rPr>
          <w:noProof/>
          <w:vertAlign w:val="superscript"/>
        </w:rPr>
        <w:footnoteReference w:id="7"/>
      </w:r>
      <w:r w:rsidR="000D4FA0">
        <w:rPr>
          <w:noProof/>
        </w:rPr>
        <w:t>.</w:t>
      </w:r>
    </w:p>
    <w:p w14:paraId="1AC3F7B7" w14:textId="21219516" w:rsidR="001346AF" w:rsidRPr="00D84D4E" w:rsidRDefault="001346AF" w:rsidP="00D84D4E">
      <w:pPr>
        <w:rPr>
          <w:rFonts w:cs="Times New Roman"/>
          <w:noProof/>
          <w:szCs w:val="24"/>
        </w:rPr>
      </w:pPr>
      <w:r w:rsidRPr="00216CD8">
        <w:rPr>
          <w:rFonts w:cs="Times New Roman"/>
          <w:noProof/>
          <w:sz w:val="22"/>
        </w:rPr>
        <w:t xml:space="preserve">To </w:t>
      </w:r>
      <w:r w:rsidRPr="00D84D4E">
        <w:rPr>
          <w:rFonts w:cs="Times New Roman"/>
          <w:noProof/>
          <w:szCs w:val="24"/>
        </w:rPr>
        <w:t xml:space="preserve">support the implementation of EU </w:t>
      </w:r>
      <w:r w:rsidR="008938AF">
        <w:rPr>
          <w:rFonts w:cs="Times New Roman"/>
          <w:noProof/>
          <w:szCs w:val="24"/>
        </w:rPr>
        <w:t xml:space="preserve">aviation safety </w:t>
      </w:r>
      <w:r w:rsidRPr="00D84D4E">
        <w:rPr>
          <w:rFonts w:cs="Times New Roman"/>
          <w:noProof/>
          <w:szCs w:val="24"/>
        </w:rPr>
        <w:t>law and promote it globally</w:t>
      </w:r>
      <w:r w:rsidR="005C13AA">
        <w:rPr>
          <w:rFonts w:cs="Times New Roman"/>
          <w:noProof/>
          <w:szCs w:val="24"/>
        </w:rPr>
        <w:t>,</w:t>
      </w:r>
      <w:r w:rsidRPr="00D84D4E">
        <w:rPr>
          <w:rFonts w:cs="Times New Roman"/>
          <w:noProof/>
          <w:szCs w:val="24"/>
        </w:rPr>
        <w:t xml:space="preserve"> EASA makes available </w:t>
      </w:r>
      <w:r w:rsidR="00F75E9B" w:rsidRPr="00D84D4E">
        <w:rPr>
          <w:rFonts w:cs="Times New Roman"/>
          <w:noProof/>
          <w:szCs w:val="24"/>
        </w:rPr>
        <w:t xml:space="preserve">consolidated </w:t>
      </w:r>
      <w:r w:rsidRPr="00D84D4E">
        <w:rPr>
          <w:rFonts w:cs="Times New Roman"/>
          <w:noProof/>
          <w:szCs w:val="24"/>
        </w:rPr>
        <w:t xml:space="preserve">versions of the </w:t>
      </w:r>
      <w:r w:rsidR="00F75E9B" w:rsidRPr="00D84D4E">
        <w:rPr>
          <w:rFonts w:cs="Times New Roman"/>
          <w:noProof/>
          <w:szCs w:val="24"/>
        </w:rPr>
        <w:t xml:space="preserve">aviation rules through its eRules project, aiming at the </w:t>
      </w:r>
      <w:r w:rsidRPr="00D84D4E">
        <w:rPr>
          <w:rFonts w:cs="Times New Roman"/>
          <w:noProof/>
          <w:szCs w:val="24"/>
        </w:rPr>
        <w:t xml:space="preserve">digitalisation of aviation rules. </w:t>
      </w:r>
      <w:r w:rsidR="008938AF">
        <w:rPr>
          <w:rFonts w:cs="Times New Roman"/>
          <w:noProof/>
          <w:szCs w:val="24"/>
        </w:rPr>
        <w:t>The</w:t>
      </w:r>
      <w:r w:rsidRPr="00D84D4E">
        <w:rPr>
          <w:rFonts w:cs="Times New Roman"/>
          <w:noProof/>
          <w:szCs w:val="24"/>
        </w:rPr>
        <w:t xml:space="preserve"> </w:t>
      </w:r>
      <w:r w:rsidRPr="00D84D4E">
        <w:rPr>
          <w:rFonts w:cs="Times New Roman"/>
          <w:b/>
          <w:bCs/>
          <w:noProof/>
          <w:szCs w:val="24"/>
        </w:rPr>
        <w:t>Easy Access Rules</w:t>
      </w:r>
      <w:r w:rsidRPr="00D84D4E">
        <w:rPr>
          <w:rFonts w:cs="Times New Roman"/>
          <w:noProof/>
          <w:szCs w:val="24"/>
        </w:rPr>
        <w:t xml:space="preserve"> present the aviation law in a consolidated, user-friendly manner (implementing rules with all their amendments are displayed next to the related acceptable means of compliance, guidance material, certification specifications</w:t>
      </w:r>
      <w:r w:rsidR="00F75E9B" w:rsidRPr="00D84D4E">
        <w:rPr>
          <w:rFonts w:cs="Times New Roman"/>
          <w:noProof/>
          <w:szCs w:val="24"/>
        </w:rPr>
        <w:t xml:space="preserve"> and detailed specifications</w:t>
      </w:r>
      <w:r w:rsidRPr="00D84D4E">
        <w:rPr>
          <w:rFonts w:cs="Times New Roman"/>
          <w:noProof/>
          <w:szCs w:val="24"/>
        </w:rPr>
        <w:t xml:space="preserve">). </w:t>
      </w:r>
    </w:p>
    <w:p w14:paraId="6B02EAEA" w14:textId="77777777" w:rsidR="001346AF" w:rsidRPr="00D84D4E" w:rsidRDefault="001346AF" w:rsidP="00271129">
      <w:pPr>
        <w:pStyle w:val="Default"/>
        <w:rPr>
          <w:rFonts w:ascii="Times New Roman" w:hAnsi="Times New Roman" w:cs="Times New Roman"/>
          <w:noProof/>
        </w:rPr>
      </w:pPr>
      <w:r w:rsidRPr="00D84D4E">
        <w:rPr>
          <w:rFonts w:ascii="Times New Roman" w:hAnsi="Times New Roman" w:cs="Times New Roman"/>
          <w:noProof/>
        </w:rPr>
        <w:t xml:space="preserve">Easy Access Rules are available for all the aviation domains and are shared </w:t>
      </w:r>
      <w:r w:rsidR="008938AF">
        <w:rPr>
          <w:rFonts w:ascii="Times New Roman" w:hAnsi="Times New Roman" w:cs="Times New Roman"/>
          <w:noProof/>
        </w:rPr>
        <w:t xml:space="preserve">in </w:t>
      </w:r>
      <w:r w:rsidRPr="00D84D4E">
        <w:rPr>
          <w:rFonts w:ascii="Times New Roman" w:hAnsi="Times New Roman" w:cs="Times New Roman"/>
          <w:noProof/>
        </w:rPr>
        <w:t xml:space="preserve">pdf </w:t>
      </w:r>
      <w:r w:rsidR="008938AF">
        <w:rPr>
          <w:rFonts w:ascii="Times New Roman" w:hAnsi="Times New Roman" w:cs="Times New Roman"/>
          <w:noProof/>
        </w:rPr>
        <w:t xml:space="preserve">format and </w:t>
      </w:r>
      <w:r w:rsidRPr="00D84D4E">
        <w:rPr>
          <w:rFonts w:ascii="Times New Roman" w:hAnsi="Times New Roman" w:cs="Times New Roman"/>
          <w:noProof/>
        </w:rPr>
        <w:t>as an online dynamic publication</w:t>
      </w:r>
      <w:r w:rsidR="00271129">
        <w:rPr>
          <w:rFonts w:ascii="Times New Roman" w:hAnsi="Times New Roman" w:cs="Times New Roman"/>
          <w:noProof/>
        </w:rPr>
        <w:t xml:space="preserve">. </w:t>
      </w:r>
      <w:r w:rsidR="008938AF">
        <w:rPr>
          <w:rFonts w:ascii="Times New Roman" w:hAnsi="Times New Roman" w:cs="Times New Roman"/>
          <w:noProof/>
        </w:rPr>
        <w:t>They</w:t>
      </w:r>
      <w:r w:rsidRPr="00D84D4E">
        <w:rPr>
          <w:rFonts w:ascii="Times New Roman" w:hAnsi="Times New Roman" w:cs="Times New Roman"/>
          <w:noProof/>
        </w:rPr>
        <w:t xml:space="preserve"> can be found at the following link: </w:t>
      </w:r>
      <w:hyperlink r:id="rId52" w:history="1">
        <w:r w:rsidRPr="00D84D4E">
          <w:rPr>
            <w:rStyle w:val="Hyperlink"/>
            <w:rFonts w:ascii="Times New Roman" w:hAnsi="Times New Roman" w:cs="Times New Roman"/>
            <w:noProof/>
          </w:rPr>
          <w:t>https://www.easa.europa.eu/document-library/easy-access-rules</w:t>
        </w:r>
      </w:hyperlink>
    </w:p>
    <w:p w14:paraId="69FAFF21" w14:textId="341ED252" w:rsidR="008F27DA" w:rsidRPr="00D119E0" w:rsidRDefault="008F27DA" w:rsidP="001A0D14">
      <w:pPr>
        <w:pStyle w:val="Heading3"/>
        <w:keepLines w:val="0"/>
        <w:numPr>
          <w:ilvl w:val="2"/>
          <w:numId w:val="11"/>
        </w:numPr>
        <w:spacing w:before="240" w:after="240"/>
        <w:rPr>
          <w:noProof/>
        </w:rPr>
      </w:pPr>
      <w:bookmarkStart w:id="56" w:name="_Toc94875644"/>
      <w:bookmarkStart w:id="57" w:name="_Toc102569201"/>
      <w:r w:rsidRPr="00D119E0">
        <w:rPr>
          <w:noProof/>
        </w:rPr>
        <w:t>Regulation</w:t>
      </w:r>
      <w:r w:rsidR="00D119E0">
        <w:rPr>
          <w:noProof/>
        </w:rPr>
        <w:t xml:space="preserve"> </w:t>
      </w:r>
      <w:r w:rsidR="00056842" w:rsidRPr="00056842">
        <w:rPr>
          <w:noProof/>
        </w:rPr>
        <w:t>(</w:t>
      </w:r>
      <w:r w:rsidR="0085037E" w:rsidRPr="00056842">
        <w:rPr>
          <w:noProof/>
        </w:rPr>
        <w:t>E</w:t>
      </w:r>
      <w:r w:rsidR="0085037E">
        <w:rPr>
          <w:noProof/>
        </w:rPr>
        <w:t>U</w:t>
      </w:r>
      <w:r w:rsidR="00056842" w:rsidRPr="00056842">
        <w:rPr>
          <w:noProof/>
        </w:rPr>
        <w:t xml:space="preserve">) </w:t>
      </w:r>
      <w:r w:rsidR="006831DF">
        <w:rPr>
          <w:noProof/>
        </w:rPr>
        <w:t>2018/1139</w:t>
      </w:r>
      <w:r w:rsidR="00056842" w:rsidRPr="00056842">
        <w:rPr>
          <w:noProof/>
        </w:rPr>
        <w:t xml:space="preserve"> </w:t>
      </w:r>
      <w:r w:rsidR="00D119E0">
        <w:rPr>
          <w:noProof/>
        </w:rPr>
        <w:t>and associated rules</w:t>
      </w:r>
      <w:bookmarkEnd w:id="56"/>
      <w:bookmarkEnd w:id="57"/>
    </w:p>
    <w:p w14:paraId="5D1A7306" w14:textId="77777777" w:rsidR="005B07B9" w:rsidRDefault="005B07B9" w:rsidP="001A0D14">
      <w:pPr>
        <w:pStyle w:val="Heading4"/>
        <w:keepLines w:val="0"/>
        <w:numPr>
          <w:ilvl w:val="3"/>
          <w:numId w:val="11"/>
        </w:numPr>
        <w:spacing w:before="240" w:after="240"/>
        <w:rPr>
          <w:noProof/>
        </w:rPr>
      </w:pPr>
      <w:r>
        <w:rPr>
          <w:noProof/>
        </w:rPr>
        <w:t>The legal requirements</w:t>
      </w:r>
    </w:p>
    <w:p w14:paraId="5ABB8572" w14:textId="1331D73F" w:rsidR="00502AAE" w:rsidRPr="00E25C16" w:rsidRDefault="00502AAE" w:rsidP="0006001F">
      <w:pPr>
        <w:rPr>
          <w:noProof/>
        </w:rPr>
      </w:pPr>
      <w:r w:rsidRPr="00E25C16">
        <w:rPr>
          <w:noProof/>
        </w:rPr>
        <w:t>Regulation (</w:t>
      </w:r>
      <w:r w:rsidR="0085037E" w:rsidRPr="00E25C16">
        <w:rPr>
          <w:noProof/>
        </w:rPr>
        <w:t>E</w:t>
      </w:r>
      <w:r w:rsidR="0085037E">
        <w:rPr>
          <w:noProof/>
        </w:rPr>
        <w:t>U</w:t>
      </w:r>
      <w:r w:rsidRPr="00E25C16">
        <w:rPr>
          <w:noProof/>
        </w:rPr>
        <w:t xml:space="preserve">) </w:t>
      </w:r>
      <w:r w:rsidR="0085037E">
        <w:rPr>
          <w:noProof/>
        </w:rPr>
        <w:t>2018/1139</w:t>
      </w:r>
      <w:r w:rsidR="007C1A2D" w:rsidRPr="00FB18C9">
        <w:rPr>
          <w:noProof/>
          <w:vertAlign w:val="superscript"/>
        </w:rPr>
        <w:footnoteReference w:id="8"/>
      </w:r>
      <w:r w:rsidR="009874F6" w:rsidRPr="00FB18C9">
        <w:rPr>
          <w:noProof/>
          <w:vertAlign w:val="superscript"/>
        </w:rPr>
        <w:t xml:space="preserve"> </w:t>
      </w:r>
      <w:r w:rsidRPr="00E25C16">
        <w:rPr>
          <w:noProof/>
        </w:rPr>
        <w:t xml:space="preserve">is the centrepiece of the EU aviation safety system. It aims </w:t>
      </w:r>
      <w:r w:rsidR="00831830">
        <w:rPr>
          <w:noProof/>
        </w:rPr>
        <w:t xml:space="preserve">at </w:t>
      </w:r>
      <w:r w:rsidRPr="00E25C16">
        <w:rPr>
          <w:noProof/>
        </w:rPr>
        <w:t>establish</w:t>
      </w:r>
      <w:r w:rsidR="00831830">
        <w:rPr>
          <w:noProof/>
        </w:rPr>
        <w:t>ing</w:t>
      </w:r>
      <w:r w:rsidRPr="00E25C16">
        <w:rPr>
          <w:noProof/>
        </w:rPr>
        <w:t xml:space="preserve"> and maintain</w:t>
      </w:r>
      <w:r w:rsidR="00831830">
        <w:rPr>
          <w:noProof/>
        </w:rPr>
        <w:t>ing</w:t>
      </w:r>
      <w:r w:rsidRPr="00E25C16">
        <w:rPr>
          <w:noProof/>
        </w:rPr>
        <w:t xml:space="preserve"> a high uniform level of civil aviation safety in Europe by establishing common rules in the field of civil aviation. It also enables the mutual recognition of certificates, introduces a standardisation</w:t>
      </w:r>
      <w:r w:rsidR="004E17BD">
        <w:rPr>
          <w:noProof/>
        </w:rPr>
        <w:t xml:space="preserve"> inspections</w:t>
      </w:r>
      <w:r w:rsidRPr="00E25C16">
        <w:rPr>
          <w:noProof/>
        </w:rPr>
        <w:t xml:space="preserve"> </w:t>
      </w:r>
      <w:r w:rsidR="004E17BD" w:rsidRPr="00E25C16">
        <w:rPr>
          <w:noProof/>
        </w:rPr>
        <w:t>process</w:t>
      </w:r>
      <w:r w:rsidR="004E17BD">
        <w:rPr>
          <w:noProof/>
        </w:rPr>
        <w:t xml:space="preserve"> to monitor rules</w:t>
      </w:r>
      <w:r w:rsidR="00CD3CF1">
        <w:rPr>
          <w:noProof/>
        </w:rPr>
        <w:t>’</w:t>
      </w:r>
      <w:r w:rsidR="004E17BD">
        <w:rPr>
          <w:noProof/>
        </w:rPr>
        <w:t xml:space="preserve"> application by the Member </w:t>
      </w:r>
      <w:r w:rsidR="00A46B04">
        <w:rPr>
          <w:noProof/>
        </w:rPr>
        <w:t>State</w:t>
      </w:r>
      <w:r w:rsidR="004E17BD">
        <w:rPr>
          <w:noProof/>
        </w:rPr>
        <w:t>s</w:t>
      </w:r>
      <w:r w:rsidRPr="00E25C16">
        <w:rPr>
          <w:noProof/>
        </w:rPr>
        <w:t xml:space="preserve"> and </w:t>
      </w:r>
      <w:r w:rsidR="00990665">
        <w:rPr>
          <w:noProof/>
        </w:rPr>
        <w:t>establishes</w:t>
      </w:r>
      <w:r w:rsidR="00990665" w:rsidRPr="00E25C16">
        <w:rPr>
          <w:noProof/>
        </w:rPr>
        <w:t xml:space="preserve"> </w:t>
      </w:r>
      <w:r w:rsidRPr="00E25C16">
        <w:rPr>
          <w:noProof/>
        </w:rPr>
        <w:t xml:space="preserve">the European </w:t>
      </w:r>
      <w:r w:rsidR="00990665">
        <w:rPr>
          <w:noProof/>
        </w:rPr>
        <w:t xml:space="preserve">Union </w:t>
      </w:r>
      <w:r w:rsidRPr="00E25C16">
        <w:rPr>
          <w:noProof/>
        </w:rPr>
        <w:t xml:space="preserve">Aviation Safety Agency. </w:t>
      </w:r>
    </w:p>
    <w:p w14:paraId="66FB3F34" w14:textId="77777777" w:rsidR="00502AAE" w:rsidRPr="00E25C16" w:rsidRDefault="00502AAE" w:rsidP="0006001F">
      <w:pPr>
        <w:rPr>
          <w:noProof/>
        </w:rPr>
      </w:pPr>
      <w:r w:rsidRPr="00E25C16">
        <w:rPr>
          <w:noProof/>
        </w:rPr>
        <w:t xml:space="preserve">Regulation </w:t>
      </w:r>
      <w:r w:rsidR="00084F65">
        <w:rPr>
          <w:noProof/>
        </w:rPr>
        <w:t xml:space="preserve">(EU) </w:t>
      </w:r>
      <w:r w:rsidR="00990665" w:rsidRPr="00990665">
        <w:rPr>
          <w:noProof/>
        </w:rPr>
        <w:t>2018/1139</w:t>
      </w:r>
      <w:r>
        <w:rPr>
          <w:noProof/>
        </w:rPr>
        <w:t xml:space="preserve"> </w:t>
      </w:r>
      <w:r w:rsidRPr="00E25C16">
        <w:rPr>
          <w:noProof/>
        </w:rPr>
        <w:t xml:space="preserve">defines </w:t>
      </w:r>
      <w:r w:rsidR="00CD3CF1">
        <w:rPr>
          <w:noProof/>
        </w:rPr>
        <w:t>‘</w:t>
      </w:r>
      <w:r w:rsidRPr="00E25C16">
        <w:rPr>
          <w:noProof/>
        </w:rPr>
        <w:t>essential requirements</w:t>
      </w:r>
      <w:r w:rsidR="00CD3CF1">
        <w:rPr>
          <w:noProof/>
        </w:rPr>
        <w:t>’</w:t>
      </w:r>
      <w:r w:rsidRPr="00E25C16">
        <w:rPr>
          <w:noProof/>
        </w:rPr>
        <w:t xml:space="preserve"> that set high level objectives and obligations on authorities, persons and organisations in order to achieve the objective of </w:t>
      </w:r>
      <w:r w:rsidR="00765315">
        <w:rPr>
          <w:noProof/>
        </w:rPr>
        <w:t xml:space="preserve">the </w:t>
      </w:r>
      <w:r w:rsidRPr="00E25C16">
        <w:rPr>
          <w:noProof/>
        </w:rPr>
        <w:t>Regulation. The essential requirements implement the standards and recommended practices set by the Annexes to the Chicago Convention. They concern aeronautical products, parts and appliances, operators involved in air transport, as well as pilots and persons, products and organisations involved in their training and medical examination, aerodromes</w:t>
      </w:r>
      <w:r w:rsidR="00765315">
        <w:rPr>
          <w:noProof/>
        </w:rPr>
        <w:t>,</w:t>
      </w:r>
      <w:r w:rsidRPr="00E25C16">
        <w:rPr>
          <w:noProof/>
        </w:rPr>
        <w:t xml:space="preserve"> air traffic</w:t>
      </w:r>
      <w:r w:rsidR="0001673B">
        <w:rPr>
          <w:noProof/>
        </w:rPr>
        <w:t xml:space="preserve"> management and </w:t>
      </w:r>
      <w:r w:rsidR="00097853">
        <w:rPr>
          <w:noProof/>
        </w:rPr>
        <w:t xml:space="preserve">air navigation </w:t>
      </w:r>
      <w:r w:rsidR="0001673B">
        <w:rPr>
          <w:noProof/>
        </w:rPr>
        <w:t>services (ATM/AN</w:t>
      </w:r>
      <w:r w:rsidRPr="00E25C16">
        <w:rPr>
          <w:noProof/>
        </w:rPr>
        <w:t>S) provided in the airspace of the territory to which the EU Treaty applies</w:t>
      </w:r>
      <w:r w:rsidR="00765315">
        <w:rPr>
          <w:noProof/>
        </w:rPr>
        <w:t xml:space="preserve">, air traffic controllers, </w:t>
      </w:r>
      <w:r w:rsidR="00765315" w:rsidRPr="00E25C16">
        <w:rPr>
          <w:noProof/>
        </w:rPr>
        <w:t>and</w:t>
      </w:r>
      <w:r w:rsidR="00765315">
        <w:rPr>
          <w:noProof/>
        </w:rPr>
        <w:t xml:space="preserve"> unmanned aircraft</w:t>
      </w:r>
      <w:r w:rsidRPr="00E25C16">
        <w:rPr>
          <w:noProof/>
        </w:rPr>
        <w:t xml:space="preserve">. </w:t>
      </w:r>
    </w:p>
    <w:p w14:paraId="4FB49118" w14:textId="01FEA899" w:rsidR="00502AAE" w:rsidRPr="00E25C16" w:rsidRDefault="00502AAE" w:rsidP="0006001F">
      <w:pPr>
        <w:rPr>
          <w:noProof/>
        </w:rPr>
      </w:pPr>
      <w:r w:rsidRPr="00E25C16">
        <w:rPr>
          <w:noProof/>
        </w:rPr>
        <w:t>In application of Regulation</w:t>
      </w:r>
      <w:r w:rsidRPr="006A7686">
        <w:rPr>
          <w:noProof/>
        </w:rPr>
        <w:t xml:space="preserve"> </w:t>
      </w:r>
      <w:r w:rsidR="00084F65">
        <w:rPr>
          <w:noProof/>
        </w:rPr>
        <w:t>(EU)</w:t>
      </w:r>
      <w:r w:rsidR="00C832B8">
        <w:rPr>
          <w:noProof/>
        </w:rPr>
        <w:t xml:space="preserve"> </w:t>
      </w:r>
      <w:r w:rsidR="00990665" w:rsidRPr="00990665">
        <w:rPr>
          <w:noProof/>
        </w:rPr>
        <w:t>2018/1139</w:t>
      </w:r>
      <w:r w:rsidRPr="00E25C16">
        <w:rPr>
          <w:noProof/>
        </w:rPr>
        <w:t xml:space="preserve">, the Commission adopted </w:t>
      </w:r>
      <w:r w:rsidR="00765315">
        <w:rPr>
          <w:noProof/>
        </w:rPr>
        <w:t xml:space="preserve">delegated and </w:t>
      </w:r>
      <w:r w:rsidRPr="00E25C16">
        <w:rPr>
          <w:noProof/>
        </w:rPr>
        <w:t>implementing Regulations</w:t>
      </w:r>
      <w:r w:rsidR="005B1AD8">
        <w:rPr>
          <w:noProof/>
        </w:rPr>
        <w:t>, including those</w:t>
      </w:r>
      <w:r w:rsidRPr="00E25C16">
        <w:rPr>
          <w:noProof/>
        </w:rPr>
        <w:t xml:space="preserve"> detailed in the </w:t>
      </w:r>
      <w:r w:rsidR="009E0C72">
        <w:rPr>
          <w:noProof/>
        </w:rPr>
        <w:t>table</w:t>
      </w:r>
      <w:r w:rsidRPr="00E25C16">
        <w:rPr>
          <w:noProof/>
        </w:rPr>
        <w:t xml:space="preserve"> included in section 1.</w:t>
      </w:r>
      <w:r w:rsidR="007A198D">
        <w:rPr>
          <w:noProof/>
        </w:rPr>
        <w:t>3</w:t>
      </w:r>
      <w:r w:rsidRPr="00E25C16">
        <w:rPr>
          <w:noProof/>
        </w:rPr>
        <w:t>.1.</w:t>
      </w:r>
    </w:p>
    <w:p w14:paraId="5D2F3270" w14:textId="2196B98B" w:rsidR="00502AAE" w:rsidRPr="00E25C16" w:rsidRDefault="00502AAE" w:rsidP="0006001F">
      <w:pPr>
        <w:autoSpaceDE w:val="0"/>
        <w:autoSpaceDN w:val="0"/>
        <w:adjustRightInd w:val="0"/>
        <w:rPr>
          <w:noProof/>
        </w:rPr>
      </w:pPr>
      <w:r w:rsidRPr="00E25C16">
        <w:rPr>
          <w:noProof/>
        </w:rPr>
        <w:t xml:space="preserve">All these rules are directly applicable in the Member </w:t>
      </w:r>
      <w:r w:rsidR="00A46B04">
        <w:rPr>
          <w:noProof/>
        </w:rPr>
        <w:t>State</w:t>
      </w:r>
      <w:r w:rsidRPr="00E25C16">
        <w:rPr>
          <w:noProof/>
        </w:rPr>
        <w:t xml:space="preserve">s and do not require national </w:t>
      </w:r>
      <w:r w:rsidR="006B64ED">
        <w:rPr>
          <w:noProof/>
        </w:rPr>
        <w:t>transposition</w:t>
      </w:r>
      <w:r w:rsidRPr="00E25C16">
        <w:rPr>
          <w:noProof/>
        </w:rPr>
        <w:t>.</w:t>
      </w:r>
    </w:p>
    <w:p w14:paraId="76AEE207" w14:textId="58292344" w:rsidR="00E741BA" w:rsidRDefault="00502AAE" w:rsidP="0006001F">
      <w:pPr>
        <w:rPr>
          <w:noProof/>
          <w:kern w:val="32"/>
        </w:rPr>
      </w:pPr>
      <w:r w:rsidRPr="00E25C16">
        <w:rPr>
          <w:noProof/>
        </w:rPr>
        <w:t xml:space="preserve">In the European Union, application of </w:t>
      </w:r>
      <w:r w:rsidR="00CD4F5D">
        <w:rPr>
          <w:noProof/>
        </w:rPr>
        <w:t>EU</w:t>
      </w:r>
      <w:r w:rsidRPr="00E25C16">
        <w:rPr>
          <w:noProof/>
        </w:rPr>
        <w:t xml:space="preserve"> law is primarily the responsibility of the Member </w:t>
      </w:r>
      <w:r w:rsidR="00A46B04">
        <w:rPr>
          <w:noProof/>
        </w:rPr>
        <w:t>State</w:t>
      </w:r>
      <w:r w:rsidRPr="00E25C16">
        <w:rPr>
          <w:noProof/>
        </w:rPr>
        <w:t xml:space="preserve">s. Most certification and oversight tasks required by Regulation </w:t>
      </w:r>
      <w:r w:rsidR="00084F65">
        <w:rPr>
          <w:noProof/>
        </w:rPr>
        <w:t xml:space="preserve">(EU) </w:t>
      </w:r>
      <w:r w:rsidR="00990665" w:rsidRPr="00990665">
        <w:rPr>
          <w:noProof/>
        </w:rPr>
        <w:t>2018/1139</w:t>
      </w:r>
      <w:r w:rsidRPr="006A7686" w:rsidDel="00797DBE">
        <w:rPr>
          <w:noProof/>
        </w:rPr>
        <w:t xml:space="preserve"> </w:t>
      </w:r>
      <w:r w:rsidRPr="00E25C16">
        <w:rPr>
          <w:noProof/>
        </w:rPr>
        <w:t>and its implementing rules are therefore executed at national level</w:t>
      </w:r>
      <w:r w:rsidRPr="00F03135">
        <w:rPr>
          <w:noProof/>
        </w:rPr>
        <w:t xml:space="preserve"> </w:t>
      </w:r>
      <w:r w:rsidRPr="00E25C16">
        <w:rPr>
          <w:noProof/>
        </w:rPr>
        <w:t>by the</w:t>
      </w:r>
      <w:r>
        <w:rPr>
          <w:noProof/>
        </w:rPr>
        <w:t xml:space="preserve"> national</w:t>
      </w:r>
      <w:r w:rsidRPr="00E25C16">
        <w:rPr>
          <w:noProof/>
        </w:rPr>
        <w:t xml:space="preserve"> competent authorities. However, in certain clearly defined cases</w:t>
      </w:r>
      <w:r>
        <w:rPr>
          <w:noProof/>
        </w:rPr>
        <w:t>,</w:t>
      </w:r>
      <w:r w:rsidRPr="00E25C16">
        <w:rPr>
          <w:noProof/>
        </w:rPr>
        <w:t xml:space="preserve"> </w:t>
      </w:r>
      <w:r w:rsidR="006B64ED">
        <w:rPr>
          <w:noProof/>
        </w:rPr>
        <w:t xml:space="preserve">such as for example </w:t>
      </w:r>
      <w:r w:rsidR="00203B8C">
        <w:rPr>
          <w:noProof/>
        </w:rPr>
        <w:t>design organisation approvals</w:t>
      </w:r>
      <w:r w:rsidR="006B64ED">
        <w:rPr>
          <w:noProof/>
        </w:rPr>
        <w:t xml:space="preserve">, </w:t>
      </w:r>
      <w:r w:rsidRPr="00E25C16">
        <w:rPr>
          <w:noProof/>
        </w:rPr>
        <w:t>EASA is the competent authority and is empowered to issue certificates and to take the related enforcement measures.</w:t>
      </w:r>
    </w:p>
    <w:p w14:paraId="2E22239A" w14:textId="77777777" w:rsidR="00E46E18" w:rsidRPr="00FB18C9" w:rsidRDefault="009F19E2" w:rsidP="00FB18C9">
      <w:pPr>
        <w:rPr>
          <w:i/>
          <w:noProof/>
          <w:kern w:val="32"/>
        </w:rPr>
      </w:pPr>
      <w:bookmarkStart w:id="59" w:name="_Hlk93322409"/>
      <w:r>
        <w:rPr>
          <w:noProof/>
          <w:kern w:val="32"/>
        </w:rPr>
        <w:t>The aviation safety domain</w:t>
      </w:r>
      <w:r w:rsidR="00F166B5">
        <w:rPr>
          <w:noProof/>
          <w:kern w:val="32"/>
        </w:rPr>
        <w:t>s</w:t>
      </w:r>
      <w:r>
        <w:rPr>
          <w:noProof/>
          <w:kern w:val="32"/>
        </w:rPr>
        <w:t xml:space="preserve"> where EU competence is currently exercised are:</w:t>
      </w:r>
      <w:bookmarkEnd w:id="59"/>
    </w:p>
    <w:p w14:paraId="6EBC8490" w14:textId="77777777" w:rsidR="009F19E2" w:rsidRPr="00FB18C9" w:rsidRDefault="009F19E2" w:rsidP="00E46E18">
      <w:pPr>
        <w:pStyle w:val="ListParagraph"/>
        <w:numPr>
          <w:ilvl w:val="0"/>
          <w:numId w:val="49"/>
        </w:numPr>
        <w:rPr>
          <w:b/>
          <w:bCs/>
          <w:i/>
          <w:noProof/>
          <w:kern w:val="32"/>
        </w:rPr>
      </w:pPr>
      <w:r w:rsidRPr="00FB18C9">
        <w:rPr>
          <w:b/>
          <w:bCs/>
          <w:i/>
          <w:noProof/>
          <w:kern w:val="32"/>
        </w:rPr>
        <w:t xml:space="preserve">Airworthiness and environmental </w:t>
      </w:r>
      <w:r w:rsidR="00F91F9D" w:rsidRPr="00FB18C9">
        <w:rPr>
          <w:b/>
          <w:bCs/>
          <w:i/>
          <w:noProof/>
          <w:kern w:val="32"/>
        </w:rPr>
        <w:t>c</w:t>
      </w:r>
      <w:r w:rsidR="00E46E18" w:rsidRPr="00FB18C9">
        <w:rPr>
          <w:b/>
          <w:bCs/>
          <w:i/>
          <w:noProof/>
          <w:kern w:val="32"/>
        </w:rPr>
        <w:t xml:space="preserve">ertification </w:t>
      </w:r>
    </w:p>
    <w:p w14:paraId="51367C4D" w14:textId="7CDF589B" w:rsidR="009F19E2" w:rsidRPr="00FB18C9" w:rsidRDefault="005F72CD" w:rsidP="00FB18C9">
      <w:pPr>
        <w:rPr>
          <w:noProof/>
        </w:rPr>
      </w:pPr>
      <w:r w:rsidRPr="00FB18C9">
        <w:rPr>
          <w:noProof/>
        </w:rPr>
        <w:t xml:space="preserve">The EU rules apply to aircraft referred to in points (a) and (b) of Article 2(1) </w:t>
      </w:r>
      <w:r w:rsidR="00A55D06">
        <w:rPr>
          <w:noProof/>
        </w:rPr>
        <w:t xml:space="preserve">of </w:t>
      </w:r>
      <w:bookmarkStart w:id="60" w:name="_Hlk105689952"/>
      <w:r w:rsidRPr="00FB18C9">
        <w:rPr>
          <w:noProof/>
        </w:rPr>
        <w:t>Regulation (EU) 2018</w:t>
      </w:r>
      <w:r w:rsidR="001C2BFC" w:rsidRPr="00FB18C9">
        <w:rPr>
          <w:noProof/>
        </w:rPr>
        <w:t>/1139</w:t>
      </w:r>
      <w:bookmarkEnd w:id="60"/>
      <w:r w:rsidRPr="00FB18C9">
        <w:rPr>
          <w:noProof/>
        </w:rPr>
        <w:t>, other than unmanned aircraft, and their engines, propellers, parts and non-installed equipment</w:t>
      </w:r>
      <w:r w:rsidR="00D00FC8">
        <w:rPr>
          <w:noProof/>
        </w:rPr>
        <w:t>, which</w:t>
      </w:r>
      <w:r w:rsidRPr="00FB18C9">
        <w:rPr>
          <w:noProof/>
        </w:rPr>
        <w:t xml:space="preserve"> shall comply with the essential requirements for airworthiness set out in Annex II to </w:t>
      </w:r>
      <w:r w:rsidR="00132525" w:rsidRPr="00FB18C9">
        <w:rPr>
          <w:noProof/>
        </w:rPr>
        <w:t>that</w:t>
      </w:r>
      <w:r w:rsidRPr="00FB18C9">
        <w:rPr>
          <w:noProof/>
        </w:rPr>
        <w:t xml:space="preserve"> Regulation.</w:t>
      </w:r>
      <w:r w:rsidR="00132525" w:rsidRPr="00FB18C9">
        <w:rPr>
          <w:noProof/>
        </w:rPr>
        <w:t xml:space="preserve"> </w:t>
      </w:r>
    </w:p>
    <w:p w14:paraId="324B76B5" w14:textId="604003A3" w:rsidR="003728CE" w:rsidRPr="00FB18C9" w:rsidRDefault="005F72CD" w:rsidP="00FB18C9">
      <w:pPr>
        <w:rPr>
          <w:noProof/>
        </w:rPr>
      </w:pPr>
      <w:r w:rsidRPr="00FB18C9">
        <w:rPr>
          <w:noProof/>
        </w:rPr>
        <w:t xml:space="preserve">As regards noise and emissions, those aircraft and their engines, propellers, parts and non-installed equipment shall comply with the environmental protection requirements contained in </w:t>
      </w:r>
      <w:r w:rsidR="00A55D06">
        <w:rPr>
          <w:noProof/>
        </w:rPr>
        <w:t>the latest amendments to Annex 16 to the Chicago Convention, which is regularly adapted</w:t>
      </w:r>
      <w:r w:rsidRPr="00FB18C9">
        <w:rPr>
          <w:noProof/>
        </w:rPr>
        <w:t>. The essential requirements for environmental compatibility set out in Annex III to Regulation (EU) 2018</w:t>
      </w:r>
      <w:r w:rsidR="001C2BFC" w:rsidRPr="00FB18C9">
        <w:rPr>
          <w:noProof/>
        </w:rPr>
        <w:t>/1139</w:t>
      </w:r>
      <w:r w:rsidRPr="00FB18C9">
        <w:rPr>
          <w:noProof/>
        </w:rPr>
        <w:t xml:space="preserve"> shall apply to products, parts and non-installed equipment to the extent that the provisions of the Chicago Convention referred to in the first subparagraph of </w:t>
      </w:r>
      <w:r w:rsidR="00A55D06">
        <w:rPr>
          <w:noProof/>
        </w:rPr>
        <w:t>Article 9(2)</w:t>
      </w:r>
      <w:r w:rsidRPr="00FB18C9">
        <w:rPr>
          <w:noProof/>
        </w:rPr>
        <w:t xml:space="preserve"> </w:t>
      </w:r>
      <w:r w:rsidR="00A55D06" w:rsidRPr="00A55D06">
        <w:rPr>
          <w:noProof/>
        </w:rPr>
        <w:t xml:space="preserve"> Regulation (EU) 2018/1139</w:t>
      </w:r>
      <w:r w:rsidR="00A55D06">
        <w:rPr>
          <w:noProof/>
        </w:rPr>
        <w:t xml:space="preserve"> </w:t>
      </w:r>
      <w:r w:rsidRPr="00FB18C9">
        <w:rPr>
          <w:noProof/>
        </w:rPr>
        <w:t xml:space="preserve">do not contain environmental protection requirements. </w:t>
      </w:r>
    </w:p>
    <w:p w14:paraId="1415C457" w14:textId="7FE69EFB" w:rsidR="005F72CD" w:rsidRDefault="00132525" w:rsidP="00FB18C9">
      <w:pPr>
        <w:rPr>
          <w:noProof/>
          <w:kern w:val="32"/>
        </w:rPr>
      </w:pPr>
      <w:r w:rsidRPr="00FB18C9">
        <w:rPr>
          <w:noProof/>
        </w:rPr>
        <w:t>A set of rules</w:t>
      </w:r>
      <w:r w:rsidR="00A55D06">
        <w:rPr>
          <w:noProof/>
        </w:rPr>
        <w:t xml:space="preserve"> related to initial and continuous airworthiness</w:t>
      </w:r>
      <w:r w:rsidRPr="00FB18C9">
        <w:rPr>
          <w:noProof/>
        </w:rPr>
        <w:t xml:space="preserve"> is applicable to the design of products, to the design of parts, to the design of non-installed equipment, to individual aircraft, to organisations responsible for the design</w:t>
      </w:r>
      <w:r w:rsidR="00A016EC" w:rsidRPr="00FB18C9">
        <w:rPr>
          <w:noProof/>
        </w:rPr>
        <w:t xml:space="preserve">, </w:t>
      </w:r>
      <w:r w:rsidRPr="00FB18C9">
        <w:rPr>
          <w:noProof/>
        </w:rPr>
        <w:t>production</w:t>
      </w:r>
      <w:r w:rsidR="00A016EC" w:rsidRPr="00FB18C9">
        <w:rPr>
          <w:noProof/>
        </w:rPr>
        <w:t xml:space="preserve">, continuing airworthiness management and maintenance as applicable, </w:t>
      </w:r>
      <w:r w:rsidRPr="00FB18C9">
        <w:rPr>
          <w:noProof/>
        </w:rPr>
        <w:t>of products, parts and non-installed equipment, and to personnel responsible involved in these activities</w:t>
      </w:r>
      <w:r>
        <w:rPr>
          <w:noProof/>
          <w:kern w:val="32"/>
        </w:rPr>
        <w:t xml:space="preserve">. </w:t>
      </w:r>
    </w:p>
    <w:p w14:paraId="2219F521" w14:textId="77777777" w:rsidR="00FA775E" w:rsidRPr="00FB18C9" w:rsidRDefault="00FA775E" w:rsidP="00FB18C9">
      <w:pPr>
        <w:pStyle w:val="ListParagraph"/>
        <w:numPr>
          <w:ilvl w:val="0"/>
          <w:numId w:val="49"/>
        </w:numPr>
        <w:rPr>
          <w:b/>
          <w:bCs/>
          <w:i/>
          <w:noProof/>
          <w:kern w:val="32"/>
        </w:rPr>
      </w:pPr>
      <w:r w:rsidRPr="00FB18C9">
        <w:rPr>
          <w:b/>
          <w:bCs/>
          <w:i/>
          <w:noProof/>
          <w:kern w:val="32"/>
        </w:rPr>
        <w:t xml:space="preserve">Environmental protection </w:t>
      </w:r>
    </w:p>
    <w:p w14:paraId="58DDBD51" w14:textId="150C72D9" w:rsidR="00E5547F" w:rsidRPr="00FB18C9" w:rsidRDefault="00E5547F" w:rsidP="00FB18C9">
      <w:pPr>
        <w:rPr>
          <w:noProof/>
        </w:rPr>
      </w:pPr>
      <w:r>
        <w:rPr>
          <w:noProof/>
        </w:rPr>
        <w:t>EASA applies measures as</w:t>
      </w:r>
      <w:r w:rsidRPr="00F24F39">
        <w:rPr>
          <w:noProof/>
        </w:rPr>
        <w:t xml:space="preserve"> regards emissions and noise, for the purpose of the certification of the design of products in accordance with Article 11</w:t>
      </w:r>
      <w:r>
        <w:rPr>
          <w:noProof/>
        </w:rPr>
        <w:t xml:space="preserve"> of </w:t>
      </w:r>
      <w:r w:rsidRPr="00FB18C9">
        <w:rPr>
          <w:noProof/>
        </w:rPr>
        <w:t>Regulation (EU) 2018/1139</w:t>
      </w:r>
      <w:r w:rsidRPr="00F24F39">
        <w:rPr>
          <w:noProof/>
        </w:rPr>
        <w:t xml:space="preserve">, </w:t>
      </w:r>
      <w:r>
        <w:rPr>
          <w:noProof/>
        </w:rPr>
        <w:t>with the</w:t>
      </w:r>
      <w:r w:rsidRPr="00F24F39">
        <w:rPr>
          <w:noProof/>
        </w:rPr>
        <w:t xml:space="preserve"> aim to prevent significant harmful effects on climate, environment and human health caused by the civil aviation products concerned</w:t>
      </w:r>
      <w:r>
        <w:rPr>
          <w:noProof/>
        </w:rPr>
        <w:t xml:space="preserve">. In taking </w:t>
      </w:r>
      <w:r w:rsidR="006B64ED">
        <w:rPr>
          <w:noProof/>
        </w:rPr>
        <w:t xml:space="preserve">those </w:t>
      </w:r>
      <w:r>
        <w:rPr>
          <w:noProof/>
        </w:rPr>
        <w:t>measures</w:t>
      </w:r>
      <w:r w:rsidR="006B64ED">
        <w:rPr>
          <w:noProof/>
        </w:rPr>
        <w:t>,</w:t>
      </w:r>
      <w:r>
        <w:rPr>
          <w:noProof/>
        </w:rPr>
        <w:t xml:space="preserve"> </w:t>
      </w:r>
      <w:r w:rsidR="006B64ED">
        <w:rPr>
          <w:noProof/>
        </w:rPr>
        <w:t>EASA</w:t>
      </w:r>
      <w:r>
        <w:rPr>
          <w:noProof/>
        </w:rPr>
        <w:t xml:space="preserve"> gives</w:t>
      </w:r>
      <w:r w:rsidRPr="00F24F39">
        <w:rPr>
          <w:noProof/>
        </w:rPr>
        <w:t xml:space="preserve"> </w:t>
      </w:r>
      <w:r>
        <w:rPr>
          <w:noProof/>
        </w:rPr>
        <w:t xml:space="preserve">due </w:t>
      </w:r>
      <w:r w:rsidRPr="00F24F39">
        <w:rPr>
          <w:noProof/>
        </w:rPr>
        <w:t>consideration</w:t>
      </w:r>
      <w:r>
        <w:rPr>
          <w:noProof/>
        </w:rPr>
        <w:t xml:space="preserve"> </w:t>
      </w:r>
      <w:r w:rsidRPr="00F24F39">
        <w:rPr>
          <w:noProof/>
        </w:rPr>
        <w:t>to the international standards and recommended practices, environmental benefits, technological feasibility and economic impact</w:t>
      </w:r>
      <w:r>
        <w:rPr>
          <w:noProof/>
        </w:rPr>
        <w:t xml:space="preserve">. The measures include </w:t>
      </w:r>
      <w:r w:rsidR="008D17CF">
        <w:rPr>
          <w:noProof/>
        </w:rPr>
        <w:t xml:space="preserve">ensuring </w:t>
      </w:r>
      <w:r w:rsidRPr="006B5263">
        <w:rPr>
          <w:noProof/>
        </w:rPr>
        <w:t>t</w:t>
      </w:r>
      <w:r w:rsidRPr="00FB18C9">
        <w:rPr>
          <w:noProof/>
        </w:rPr>
        <w:t xml:space="preserve">he availability of environmental standards </w:t>
      </w:r>
      <w:r w:rsidR="008D17CF" w:rsidRPr="002848CD">
        <w:rPr>
          <w:noProof/>
        </w:rPr>
        <w:t xml:space="preserve">which is achieved through </w:t>
      </w:r>
      <w:r w:rsidRPr="002848CD">
        <w:rPr>
          <w:noProof/>
        </w:rPr>
        <w:t xml:space="preserve">the EU’s </w:t>
      </w:r>
      <w:r w:rsidRPr="00FB18C9">
        <w:rPr>
          <w:noProof/>
        </w:rPr>
        <w:t>effective involvement upstream in the ICAO</w:t>
      </w:r>
      <w:r w:rsidRPr="00125DA2">
        <w:rPr>
          <w:noProof/>
        </w:rPr>
        <w:t xml:space="preserve"> </w:t>
      </w:r>
      <w:r w:rsidRPr="00FB18C9">
        <w:rPr>
          <w:noProof/>
        </w:rPr>
        <w:t xml:space="preserve">Committee on Aviation Environmental Protection (CAEP) process. Moreover, Regulation (EU) 2018/1139 empowers the EU to create environmental standards in those areas where no ICAO standards are available, </w:t>
      </w:r>
      <w:r w:rsidR="00A55D06">
        <w:rPr>
          <w:noProof/>
        </w:rPr>
        <w:t>included but not limited to</w:t>
      </w:r>
      <w:r w:rsidRPr="00FB18C9">
        <w:rPr>
          <w:noProof/>
        </w:rPr>
        <w:t xml:space="preserve"> hybrid</w:t>
      </w:r>
      <w:r w:rsidR="00A55D06">
        <w:rPr>
          <w:noProof/>
        </w:rPr>
        <w:t>,</w:t>
      </w:r>
      <w:r w:rsidRPr="00FB18C9">
        <w:rPr>
          <w:noProof/>
        </w:rPr>
        <w:t xml:space="preserve"> electric and hydrogen-powered aircraft. </w:t>
      </w:r>
    </w:p>
    <w:p w14:paraId="4DB4AD75" w14:textId="36CCBFDA" w:rsidR="00E5547F" w:rsidRDefault="00E5547F" w:rsidP="00FB18C9">
      <w:pPr>
        <w:rPr>
          <w:noProof/>
        </w:rPr>
      </w:pPr>
      <w:r w:rsidRPr="00FB18C9">
        <w:rPr>
          <w:noProof/>
        </w:rPr>
        <w:t xml:space="preserve">Generally, the Commission and EASA define and coordinate civil aviation environmental protection policies and actions at the EU level. </w:t>
      </w:r>
      <w:r w:rsidRPr="00BB7569">
        <w:rPr>
          <w:noProof/>
        </w:rPr>
        <w:t>In that context, the Commission, EASA, other EU institutions, bodies, offices and agencies as well as Member States are called to cooperate on environmental matters</w:t>
      </w:r>
      <w:r>
        <w:rPr>
          <w:noProof/>
        </w:rPr>
        <w:t xml:space="preserve">. The cooperation includes activities related to the </w:t>
      </w:r>
      <w:r w:rsidRPr="00BB7569">
        <w:rPr>
          <w:noProof/>
        </w:rPr>
        <w:t>EU Emissions Trading System (ETS)</w:t>
      </w:r>
      <w:r w:rsidR="00BA3A2A">
        <w:rPr>
          <w:noProof/>
        </w:rPr>
        <w:t xml:space="preserve">, </w:t>
      </w:r>
      <w:r w:rsidRPr="00BB7569">
        <w:rPr>
          <w:noProof/>
        </w:rPr>
        <w:t>the Registration, Evaluation, Authorisation and Restriction of Chemicals Regulation (REACH)</w:t>
      </w:r>
      <w:r w:rsidRPr="00FB18C9">
        <w:rPr>
          <w:noProof/>
          <w:vertAlign w:val="superscript"/>
        </w:rPr>
        <w:footnoteReference w:id="9"/>
      </w:r>
      <w:r>
        <w:rPr>
          <w:noProof/>
        </w:rPr>
        <w:t xml:space="preserve">. In the same context, EASA is also contributing to the implementation of </w:t>
      </w:r>
      <w:r w:rsidR="00135D8C">
        <w:rPr>
          <w:noProof/>
        </w:rPr>
        <w:t xml:space="preserve">the </w:t>
      </w:r>
      <w:r>
        <w:rPr>
          <w:noProof/>
        </w:rPr>
        <w:t>EU’s environmental strategy actions, such as the development of an environmental labelling programme for aviation as part of the Smart and Sustainable Mobility Strategy</w:t>
      </w:r>
      <w:r w:rsidR="006B64ED">
        <w:rPr>
          <w:rStyle w:val="FootnoteReference"/>
          <w:noProof/>
        </w:rPr>
        <w:footnoteReference w:id="10"/>
      </w:r>
      <w:r>
        <w:rPr>
          <w:noProof/>
        </w:rPr>
        <w:t xml:space="preserve"> as well as the support provided as regards the development of the </w:t>
      </w:r>
      <w:r w:rsidR="00660072">
        <w:rPr>
          <w:noProof/>
        </w:rPr>
        <w:t>‘</w:t>
      </w:r>
      <w:r>
        <w:rPr>
          <w:noProof/>
        </w:rPr>
        <w:t>Fit for 55 package</w:t>
      </w:r>
      <w:r w:rsidR="00660072">
        <w:rPr>
          <w:noProof/>
        </w:rPr>
        <w:t>’</w:t>
      </w:r>
      <w:r>
        <w:rPr>
          <w:noProof/>
        </w:rPr>
        <w:t xml:space="preserve">, which includes the </w:t>
      </w:r>
      <w:r w:rsidR="006B64ED">
        <w:rPr>
          <w:noProof/>
        </w:rPr>
        <w:t xml:space="preserve">Commission’s proposal for the </w:t>
      </w:r>
      <w:r>
        <w:rPr>
          <w:noProof/>
        </w:rPr>
        <w:t>RefuelEU Aviation legislative framework</w:t>
      </w:r>
      <w:r w:rsidR="006B64ED">
        <w:rPr>
          <w:rStyle w:val="FootnoteReference"/>
          <w:noProof/>
        </w:rPr>
        <w:footnoteReference w:id="11"/>
      </w:r>
      <w:r>
        <w:rPr>
          <w:noProof/>
        </w:rPr>
        <w:t xml:space="preserve"> with a monitoring and reporting task on uptake of Sustainable Aviation Fuels for EASA.  </w:t>
      </w:r>
    </w:p>
    <w:p w14:paraId="276F43F6" w14:textId="6344AC2D" w:rsidR="00E5547F" w:rsidRDefault="00E5547F" w:rsidP="00FB18C9">
      <w:pPr>
        <w:rPr>
          <w:noProof/>
        </w:rPr>
      </w:pPr>
      <w:r>
        <w:rPr>
          <w:noProof/>
        </w:rPr>
        <w:t>A</w:t>
      </w:r>
      <w:r w:rsidRPr="00BB7569">
        <w:rPr>
          <w:noProof/>
        </w:rPr>
        <w:t>lso, an environmental review jointly developed by the European Environment Agency (EEA) and EASA</w:t>
      </w:r>
      <w:r w:rsidR="00BA3A2A">
        <w:rPr>
          <w:noProof/>
        </w:rPr>
        <w:t>,</w:t>
      </w:r>
      <w:r w:rsidRPr="00BB7569">
        <w:rPr>
          <w:noProof/>
        </w:rPr>
        <w:t xml:space="preserve"> with the support of the </w:t>
      </w:r>
      <w:r w:rsidR="003E3B97">
        <w:rPr>
          <w:noProof/>
        </w:rPr>
        <w:t>Single European Sky (</w:t>
      </w:r>
      <w:r w:rsidRPr="00BB7569">
        <w:rPr>
          <w:noProof/>
        </w:rPr>
        <w:t>SES</w:t>
      </w:r>
      <w:r w:rsidR="003E3B97">
        <w:rPr>
          <w:noProof/>
        </w:rPr>
        <w:t>)</w:t>
      </w:r>
      <w:r w:rsidRPr="00BB7569">
        <w:rPr>
          <w:noProof/>
        </w:rPr>
        <w:t xml:space="preserve"> Network </w:t>
      </w:r>
      <w:r w:rsidR="003E3B97">
        <w:rPr>
          <w:noProof/>
        </w:rPr>
        <w:t>M</w:t>
      </w:r>
      <w:r w:rsidRPr="00BB7569">
        <w:rPr>
          <w:noProof/>
        </w:rPr>
        <w:t>anager</w:t>
      </w:r>
      <w:r w:rsidR="00BA3A2A">
        <w:rPr>
          <w:noProof/>
        </w:rPr>
        <w:t>,</w:t>
      </w:r>
      <w:r w:rsidRPr="00BB7569">
        <w:rPr>
          <w:noProof/>
        </w:rPr>
        <w:t xml:space="preserve"> provides an objective account of the state of environmental protection relating to civil aviation in the Union. This review, published every three years in the European Aviation Environmental Report, contains recommendations on how to improve the level of environmental protection in the area of civil aviation in the Union. The l</w:t>
      </w:r>
      <w:r w:rsidR="00B32202">
        <w:rPr>
          <w:noProof/>
        </w:rPr>
        <w:t>ast report was published in September 2022</w:t>
      </w:r>
      <w:r w:rsidRPr="00FB18C9">
        <w:rPr>
          <w:noProof/>
          <w:vertAlign w:val="superscript"/>
        </w:rPr>
        <w:footnoteReference w:id="12"/>
      </w:r>
      <w:r>
        <w:rPr>
          <w:noProof/>
        </w:rPr>
        <w:t>.</w:t>
      </w:r>
    </w:p>
    <w:p w14:paraId="728F01C4" w14:textId="77777777" w:rsidR="00E5547F" w:rsidRPr="00F34AEB" w:rsidRDefault="00E5547F" w:rsidP="00FB18C9">
      <w:pPr>
        <w:rPr>
          <w:noProof/>
        </w:rPr>
      </w:pPr>
      <w:r>
        <w:rPr>
          <w:noProof/>
        </w:rPr>
        <w:t>In addition</w:t>
      </w:r>
      <w:r w:rsidR="00660072">
        <w:rPr>
          <w:noProof/>
        </w:rPr>
        <w:t>,</w:t>
      </w:r>
      <w:r>
        <w:rPr>
          <w:noProof/>
        </w:rPr>
        <w:t xml:space="preserve"> EASA also has a mandate to collect and verify aircraft noise and performance information for noise modelling around airports, as per Regulation (EU) 598/2014</w:t>
      </w:r>
      <w:r w:rsidR="00795ABE">
        <w:rPr>
          <w:rStyle w:val="FootnoteReference"/>
          <w:noProof/>
        </w:rPr>
        <w:footnoteReference w:id="13"/>
      </w:r>
      <w:r>
        <w:rPr>
          <w:noProof/>
        </w:rPr>
        <w:t>.</w:t>
      </w:r>
    </w:p>
    <w:p w14:paraId="7343AE64" w14:textId="77777777" w:rsidR="005F72CD" w:rsidRPr="00FB18C9" w:rsidRDefault="005F72CD" w:rsidP="00FB18C9">
      <w:pPr>
        <w:pStyle w:val="ListParagraph"/>
        <w:numPr>
          <w:ilvl w:val="0"/>
          <w:numId w:val="49"/>
        </w:numPr>
        <w:rPr>
          <w:b/>
          <w:bCs/>
          <w:i/>
          <w:noProof/>
          <w:kern w:val="32"/>
        </w:rPr>
      </w:pPr>
      <w:r w:rsidRPr="00FB18C9">
        <w:rPr>
          <w:b/>
          <w:bCs/>
          <w:i/>
          <w:noProof/>
          <w:kern w:val="32"/>
        </w:rPr>
        <w:t>Aircrew</w:t>
      </w:r>
    </w:p>
    <w:p w14:paraId="06862BA4" w14:textId="77777777" w:rsidR="00CC4378" w:rsidRPr="00FB18C9" w:rsidRDefault="00CC4378" w:rsidP="00FB18C9">
      <w:pPr>
        <w:rPr>
          <w:noProof/>
        </w:rPr>
      </w:pPr>
      <w:r w:rsidRPr="00FB18C9">
        <w:rPr>
          <w:noProof/>
        </w:rPr>
        <w:t>Pilots and cabin crew involved in the operation of aircraft referred to in point (b) of Article 2(1) of Regulation (EU) 2018</w:t>
      </w:r>
      <w:r w:rsidR="001C2BFC" w:rsidRPr="00FB18C9">
        <w:rPr>
          <w:noProof/>
        </w:rPr>
        <w:t>//1139</w:t>
      </w:r>
      <w:r w:rsidRPr="00FB18C9">
        <w:rPr>
          <w:noProof/>
        </w:rPr>
        <w:t xml:space="preserve">, other than unmanned aircraft, as well as flight simulation training devices, persons and organisations involved in the training, testing, checking or medical assessment of those pilots and cabin crew, shall comply with the essential requirements set out in Annex IV to that Regulation. </w:t>
      </w:r>
      <w:r w:rsidR="00FB4BB3" w:rsidRPr="00FB18C9">
        <w:rPr>
          <w:noProof/>
        </w:rPr>
        <w:t xml:space="preserve">Pilots are required to hold a pilot licence and a pilot medical certificate appropriate to the operation to be performed, cabin crew involved in commercial air transport operations is required to hold an attestation, </w:t>
      </w:r>
      <w:r w:rsidR="008128EB" w:rsidRPr="00FB18C9">
        <w:rPr>
          <w:noProof/>
        </w:rPr>
        <w:t xml:space="preserve">and approvals are required in respect of aero-medical centres, </w:t>
      </w:r>
      <w:r w:rsidR="003728CE" w:rsidRPr="00FB18C9">
        <w:rPr>
          <w:noProof/>
        </w:rPr>
        <w:t>pilot training organisations and cabin crew training organisations.</w:t>
      </w:r>
    </w:p>
    <w:p w14:paraId="6444E90D" w14:textId="77777777" w:rsidR="003728CE" w:rsidRPr="00FB18C9" w:rsidRDefault="003728CE" w:rsidP="00FB18C9">
      <w:pPr>
        <w:rPr>
          <w:noProof/>
        </w:rPr>
      </w:pPr>
      <w:r w:rsidRPr="00FB18C9">
        <w:rPr>
          <w:noProof/>
        </w:rPr>
        <w:t>Certificates are required in respect of each flight simulation training device used for the training of pilots. Persons responsible for providing flight training, flight simulation training, or for assessing pilots</w:t>
      </w:r>
      <w:r w:rsidR="00CD3CF1" w:rsidRPr="00FB18C9">
        <w:rPr>
          <w:noProof/>
        </w:rPr>
        <w:t>’</w:t>
      </w:r>
      <w:r w:rsidRPr="00FB18C9">
        <w:rPr>
          <w:noProof/>
        </w:rPr>
        <w:t xml:space="preserve"> skills, as well as aero-medical examiners, are also required to hold a certificate.</w:t>
      </w:r>
    </w:p>
    <w:p w14:paraId="42AD7396" w14:textId="77777777" w:rsidR="005F72CD" w:rsidRPr="00FB18C9" w:rsidRDefault="00FD078F" w:rsidP="00FB18C9">
      <w:pPr>
        <w:pStyle w:val="ListParagraph"/>
        <w:numPr>
          <w:ilvl w:val="0"/>
          <w:numId w:val="49"/>
        </w:numPr>
        <w:rPr>
          <w:b/>
          <w:bCs/>
          <w:i/>
          <w:noProof/>
          <w:kern w:val="32"/>
        </w:rPr>
      </w:pPr>
      <w:r w:rsidRPr="00FB18C9">
        <w:rPr>
          <w:b/>
          <w:bCs/>
          <w:i/>
          <w:noProof/>
          <w:kern w:val="32"/>
        </w:rPr>
        <w:t>Air operations</w:t>
      </w:r>
    </w:p>
    <w:p w14:paraId="13380F7F" w14:textId="29DF68F6" w:rsidR="001706E9" w:rsidRPr="001706E9" w:rsidRDefault="00FD078F" w:rsidP="00FB18C9">
      <w:pPr>
        <w:rPr>
          <w:noProof/>
          <w:kern w:val="32"/>
        </w:rPr>
      </w:pPr>
      <w:r w:rsidRPr="00FB18C9">
        <w:rPr>
          <w:noProof/>
        </w:rPr>
        <w:t>The operation of aircraft falling within the scope of Regulation (EU) 2018/1</w:t>
      </w:r>
      <w:r w:rsidR="003F4565" w:rsidRPr="00FB18C9">
        <w:rPr>
          <w:noProof/>
        </w:rPr>
        <w:t>1</w:t>
      </w:r>
      <w:r w:rsidRPr="00FB18C9">
        <w:rPr>
          <w:noProof/>
        </w:rPr>
        <w:t>39, other than unmanned aircraft, shall comply with the essential requirements set out in Annex V and, if applicable, Annexes VII and VIII of the Regulation.</w:t>
      </w:r>
      <w:r w:rsidR="001706E9" w:rsidRPr="00FB18C9">
        <w:rPr>
          <w:noProof/>
        </w:rPr>
        <w:t xml:space="preserve"> Aircraft operators will either declare their capability, and the availability to them of the means, to discharge the responsibilities associated with the operation of aircraft in compliance with the applicable EU implementing rules, or hold a certificate. The certificate shall specify the privileges granted to the aircraft operator and may be amended to add or remove privileges. Similarly, the certificate may be limited, suspended or revoked, when the holder no longer complies with the applicable EU rules and procedures for issuing and maintaining such certificate.</w:t>
      </w:r>
    </w:p>
    <w:p w14:paraId="68B731FB" w14:textId="77777777" w:rsidR="005F72CD" w:rsidRPr="00FB18C9" w:rsidRDefault="003B15CB" w:rsidP="00FB18C9">
      <w:pPr>
        <w:pStyle w:val="ListParagraph"/>
        <w:numPr>
          <w:ilvl w:val="0"/>
          <w:numId w:val="49"/>
        </w:numPr>
        <w:rPr>
          <w:b/>
          <w:bCs/>
          <w:i/>
          <w:noProof/>
          <w:kern w:val="32"/>
        </w:rPr>
      </w:pPr>
      <w:r w:rsidRPr="00FB18C9">
        <w:rPr>
          <w:b/>
          <w:bCs/>
          <w:i/>
          <w:noProof/>
          <w:kern w:val="32"/>
        </w:rPr>
        <w:t>Aerodromes</w:t>
      </w:r>
      <w:r w:rsidR="00CC1B33" w:rsidRPr="00FB18C9">
        <w:rPr>
          <w:b/>
          <w:bCs/>
          <w:i/>
          <w:noProof/>
          <w:kern w:val="32"/>
        </w:rPr>
        <w:t xml:space="preserve"> and groundh</w:t>
      </w:r>
      <w:r w:rsidR="00F91F9D" w:rsidRPr="00FB18C9">
        <w:rPr>
          <w:b/>
          <w:bCs/>
          <w:i/>
          <w:noProof/>
          <w:kern w:val="32"/>
        </w:rPr>
        <w:t>a</w:t>
      </w:r>
      <w:r w:rsidR="00CC1B33" w:rsidRPr="00FB18C9">
        <w:rPr>
          <w:b/>
          <w:bCs/>
          <w:i/>
          <w:noProof/>
          <w:kern w:val="32"/>
        </w:rPr>
        <w:t>ndling</w:t>
      </w:r>
    </w:p>
    <w:p w14:paraId="570568E3" w14:textId="77777777" w:rsidR="002E0F5D" w:rsidRPr="00FB18C9" w:rsidRDefault="008929D1" w:rsidP="00FB18C9">
      <w:pPr>
        <w:rPr>
          <w:noProof/>
        </w:rPr>
      </w:pPr>
      <w:r w:rsidRPr="00FB18C9">
        <w:rPr>
          <w:noProof/>
        </w:rPr>
        <w:t xml:space="preserve">Aerodromes, safety-related aerodrome equipment, the operation of aerodromes and the provision of groundhandling services and </w:t>
      </w:r>
      <w:r w:rsidR="007668F6" w:rsidRPr="00FB18C9">
        <w:rPr>
          <w:noProof/>
        </w:rPr>
        <w:t>apron management services (</w:t>
      </w:r>
      <w:r w:rsidRPr="00FB18C9">
        <w:rPr>
          <w:noProof/>
        </w:rPr>
        <w:t>AMS</w:t>
      </w:r>
      <w:r w:rsidR="007668F6" w:rsidRPr="00FB18C9">
        <w:rPr>
          <w:noProof/>
        </w:rPr>
        <w:t>)</w:t>
      </w:r>
      <w:r w:rsidRPr="00FB18C9">
        <w:rPr>
          <w:noProof/>
        </w:rPr>
        <w:t xml:space="preserve"> at aerodromes shall comply with the essential requirements set out in Annex VII and, if applicable, Annex VIII </w:t>
      </w:r>
      <w:r w:rsidR="002F43A5" w:rsidRPr="00FB18C9">
        <w:rPr>
          <w:noProof/>
        </w:rPr>
        <w:t>to</w:t>
      </w:r>
      <w:r w:rsidRPr="00FB18C9">
        <w:rPr>
          <w:noProof/>
        </w:rPr>
        <w:t xml:space="preserve"> Regulation (EU) 2018/1139. </w:t>
      </w:r>
      <w:r w:rsidR="00CB12AB" w:rsidRPr="00FB18C9">
        <w:rPr>
          <w:noProof/>
        </w:rPr>
        <w:t xml:space="preserve">The EU rules apply to </w:t>
      </w:r>
      <w:r w:rsidR="002E0F5D" w:rsidRPr="00FB18C9">
        <w:rPr>
          <w:noProof/>
        </w:rPr>
        <w:t xml:space="preserve">aerodromes, located in the territory to which the Treaties apply, and which meet all of the following criteria: </w:t>
      </w:r>
    </w:p>
    <w:p w14:paraId="0595AC3A" w14:textId="77777777" w:rsidR="002E0F5D" w:rsidRPr="00FB18C9" w:rsidRDefault="002E0F5D" w:rsidP="00FB18C9">
      <w:pPr>
        <w:pStyle w:val="ListParagraph"/>
        <w:numPr>
          <w:ilvl w:val="0"/>
          <w:numId w:val="48"/>
        </w:numPr>
        <w:rPr>
          <w:noProof/>
        </w:rPr>
      </w:pPr>
      <w:r w:rsidRPr="00FB18C9">
        <w:rPr>
          <w:noProof/>
        </w:rPr>
        <w:t>open to public use,</w:t>
      </w:r>
    </w:p>
    <w:p w14:paraId="59FCE5CA" w14:textId="77777777" w:rsidR="002E0F5D" w:rsidRPr="00FB18C9" w:rsidRDefault="002E0F5D" w:rsidP="00FB18C9">
      <w:pPr>
        <w:pStyle w:val="ListParagraph"/>
        <w:numPr>
          <w:ilvl w:val="0"/>
          <w:numId w:val="48"/>
        </w:numPr>
        <w:rPr>
          <w:noProof/>
        </w:rPr>
      </w:pPr>
      <w:r w:rsidRPr="00FB18C9">
        <w:rPr>
          <w:noProof/>
        </w:rPr>
        <w:t>serving commercial air transport; and</w:t>
      </w:r>
    </w:p>
    <w:p w14:paraId="5608637A" w14:textId="77777777" w:rsidR="002E0F5D" w:rsidRPr="00FB18C9" w:rsidRDefault="002E0F5D" w:rsidP="00FB18C9">
      <w:pPr>
        <w:pStyle w:val="ListParagraph"/>
        <w:numPr>
          <w:ilvl w:val="0"/>
          <w:numId w:val="48"/>
        </w:numPr>
        <w:rPr>
          <w:noProof/>
        </w:rPr>
      </w:pPr>
      <w:r w:rsidRPr="00FB18C9">
        <w:rPr>
          <w:noProof/>
        </w:rPr>
        <w:t xml:space="preserve">having a paved instrument runway of 800 metres or more, or </w:t>
      </w:r>
    </w:p>
    <w:p w14:paraId="1ADD2B25" w14:textId="77777777" w:rsidR="002E0F5D" w:rsidRPr="00FB18C9" w:rsidRDefault="000742EF" w:rsidP="00FB18C9">
      <w:pPr>
        <w:pStyle w:val="ListParagraph"/>
        <w:numPr>
          <w:ilvl w:val="0"/>
          <w:numId w:val="48"/>
        </w:numPr>
        <w:rPr>
          <w:noProof/>
        </w:rPr>
      </w:pPr>
      <w:r>
        <w:rPr>
          <w:noProof/>
        </w:rPr>
        <w:t xml:space="preserve">exclusively serving </w:t>
      </w:r>
      <w:r w:rsidR="002E0F5D" w:rsidRPr="00FB18C9">
        <w:rPr>
          <w:noProof/>
        </w:rPr>
        <w:t>helicopters using instrument approach or departure procedures</w:t>
      </w:r>
      <w:r w:rsidR="001706E9" w:rsidRPr="00FB18C9">
        <w:rPr>
          <w:noProof/>
        </w:rPr>
        <w:t>.</w:t>
      </w:r>
    </w:p>
    <w:p w14:paraId="31CCEC88" w14:textId="77777777" w:rsidR="002E0F5D" w:rsidRPr="00FB18C9" w:rsidRDefault="001706E9" w:rsidP="00FB18C9">
      <w:pPr>
        <w:rPr>
          <w:noProof/>
        </w:rPr>
      </w:pPr>
      <w:r w:rsidRPr="00FB18C9">
        <w:rPr>
          <w:noProof/>
        </w:rPr>
        <w:t>T</w:t>
      </w:r>
      <w:r w:rsidR="002E0F5D" w:rsidRPr="00FB18C9">
        <w:rPr>
          <w:noProof/>
        </w:rPr>
        <w:t>he EU rules set out common requirements for:</w:t>
      </w:r>
    </w:p>
    <w:p w14:paraId="1D9AD8D4" w14:textId="77777777" w:rsidR="002E0F5D" w:rsidRPr="00FB18C9" w:rsidRDefault="002E0F5D" w:rsidP="00FB18C9">
      <w:pPr>
        <w:pStyle w:val="ListParagraph"/>
        <w:numPr>
          <w:ilvl w:val="0"/>
          <w:numId w:val="48"/>
        </w:numPr>
        <w:rPr>
          <w:noProof/>
        </w:rPr>
      </w:pPr>
      <w:r w:rsidRPr="00FB18C9">
        <w:rPr>
          <w:noProof/>
        </w:rPr>
        <w:t xml:space="preserve">the design, maintenance and operation of aerodromes, </w:t>
      </w:r>
    </w:p>
    <w:p w14:paraId="587CF210" w14:textId="7ACA6DBF" w:rsidR="002E0F5D" w:rsidRPr="00FB18C9" w:rsidRDefault="000742EF" w:rsidP="00FB18C9">
      <w:pPr>
        <w:pStyle w:val="ListParagraph"/>
        <w:numPr>
          <w:ilvl w:val="0"/>
          <w:numId w:val="48"/>
        </w:numPr>
        <w:rPr>
          <w:noProof/>
        </w:rPr>
      </w:pPr>
      <w:r w:rsidRPr="00FB18C9">
        <w:rPr>
          <w:noProof/>
        </w:rPr>
        <w:t xml:space="preserve">including the safety-related </w:t>
      </w:r>
      <w:r w:rsidR="002E0F5D" w:rsidRPr="00FB18C9">
        <w:rPr>
          <w:noProof/>
        </w:rPr>
        <w:t>equipment used at those</w:t>
      </w:r>
      <w:r w:rsidR="009E7EE7">
        <w:rPr>
          <w:noProof/>
        </w:rPr>
        <w:t>,</w:t>
      </w:r>
      <w:r w:rsidR="002E0F5D" w:rsidRPr="00FB18C9">
        <w:rPr>
          <w:noProof/>
        </w:rPr>
        <w:t xml:space="preserve"> </w:t>
      </w:r>
    </w:p>
    <w:p w14:paraId="4C5F40BB" w14:textId="77777777" w:rsidR="00CB12AB" w:rsidRPr="00FB18C9" w:rsidRDefault="002E0F5D" w:rsidP="00FB18C9">
      <w:pPr>
        <w:pStyle w:val="ListParagraph"/>
        <w:numPr>
          <w:ilvl w:val="0"/>
          <w:numId w:val="48"/>
        </w:numPr>
        <w:rPr>
          <w:noProof/>
        </w:rPr>
      </w:pPr>
      <w:r w:rsidRPr="00FB18C9">
        <w:rPr>
          <w:noProof/>
        </w:rPr>
        <w:t xml:space="preserve">the </w:t>
      </w:r>
      <w:r w:rsidR="00CB12AB" w:rsidRPr="00FB18C9">
        <w:rPr>
          <w:noProof/>
        </w:rPr>
        <w:t>design, production, maintenance and operation of safety-related aerodrome equipment used or intended for use at the aerodromes that are within the scope of EU rules</w:t>
      </w:r>
      <w:r w:rsidRPr="00FB18C9">
        <w:rPr>
          <w:noProof/>
        </w:rPr>
        <w:t xml:space="preserve">, </w:t>
      </w:r>
      <w:r w:rsidR="00CB12AB" w:rsidRPr="00FB18C9">
        <w:rPr>
          <w:noProof/>
        </w:rPr>
        <w:t>as well as the provision of groundhandling services and Apron Management Services at those aerodromes;</w:t>
      </w:r>
      <w:r w:rsidRPr="00FB18C9">
        <w:rPr>
          <w:noProof/>
        </w:rPr>
        <w:t xml:space="preserve"> and</w:t>
      </w:r>
    </w:p>
    <w:p w14:paraId="7D431581" w14:textId="77777777" w:rsidR="005723C0" w:rsidRDefault="002E0F5D" w:rsidP="00FB18C9">
      <w:pPr>
        <w:pStyle w:val="ListParagraph"/>
        <w:numPr>
          <w:ilvl w:val="0"/>
          <w:numId w:val="48"/>
        </w:numPr>
        <w:rPr>
          <w:noProof/>
          <w:kern w:val="32"/>
        </w:rPr>
      </w:pPr>
      <w:r w:rsidRPr="00FB18C9">
        <w:rPr>
          <w:noProof/>
        </w:rPr>
        <w:t xml:space="preserve">the safeguarding of surroundings of the aerodromes referred, this without </w:t>
      </w:r>
      <w:r w:rsidR="00CB12AB" w:rsidRPr="00FB18C9">
        <w:rPr>
          <w:noProof/>
        </w:rPr>
        <w:t>prejudice to Union and national law on environment and land-use</w:t>
      </w:r>
      <w:r w:rsidR="00CB12AB" w:rsidRPr="005723C0">
        <w:rPr>
          <w:noProof/>
          <w:kern w:val="32"/>
        </w:rPr>
        <w:t xml:space="preserve"> planning</w:t>
      </w:r>
      <w:r w:rsidRPr="005723C0">
        <w:rPr>
          <w:noProof/>
          <w:kern w:val="32"/>
        </w:rPr>
        <w:t>.</w:t>
      </w:r>
    </w:p>
    <w:p w14:paraId="119CF253" w14:textId="77777777" w:rsidR="003B15CB" w:rsidRPr="005723C0" w:rsidRDefault="003B15CB" w:rsidP="00FB18C9">
      <w:pPr>
        <w:pStyle w:val="ListParagraph"/>
        <w:rPr>
          <w:noProof/>
          <w:kern w:val="32"/>
        </w:rPr>
      </w:pPr>
    </w:p>
    <w:p w14:paraId="4D090263" w14:textId="77777777" w:rsidR="005F72CD" w:rsidRDefault="003B15CB" w:rsidP="00FB18C9">
      <w:pPr>
        <w:pStyle w:val="ListParagraph"/>
        <w:numPr>
          <w:ilvl w:val="0"/>
          <w:numId w:val="49"/>
        </w:numPr>
        <w:rPr>
          <w:b/>
          <w:bCs/>
          <w:i/>
          <w:noProof/>
          <w:kern w:val="32"/>
        </w:rPr>
      </w:pPr>
      <w:r w:rsidRPr="00FB18C9">
        <w:rPr>
          <w:b/>
          <w:bCs/>
          <w:i/>
          <w:noProof/>
          <w:kern w:val="32"/>
        </w:rPr>
        <w:t>ATM/ANS, including implementation of SES</w:t>
      </w:r>
    </w:p>
    <w:p w14:paraId="6DAD7E8E" w14:textId="77777777" w:rsidR="004D1296" w:rsidRPr="00FB18C9" w:rsidRDefault="004D1296" w:rsidP="00FB18C9">
      <w:pPr>
        <w:pStyle w:val="ListParagraph"/>
        <w:rPr>
          <w:bCs/>
          <w:noProof/>
          <w:kern w:val="32"/>
        </w:rPr>
      </w:pPr>
    </w:p>
    <w:p w14:paraId="33DD11B0" w14:textId="2C4D74B3" w:rsidR="00911BC7" w:rsidRPr="00FB18C9" w:rsidRDefault="00911BC7" w:rsidP="00FB18C9">
      <w:pPr>
        <w:pStyle w:val="ListParagraph"/>
        <w:ind w:left="0"/>
        <w:rPr>
          <w:noProof/>
        </w:rPr>
      </w:pPr>
      <w:r w:rsidRPr="006B5263">
        <w:rPr>
          <w:bCs/>
          <w:noProof/>
          <w:kern w:val="32"/>
        </w:rPr>
        <w:t xml:space="preserve">The provision of ATM/ANS shall comply with the essential requirements set out in </w:t>
      </w:r>
      <w:r w:rsidRPr="00E511F8">
        <w:rPr>
          <w:bCs/>
          <w:noProof/>
          <w:kern w:val="32"/>
        </w:rPr>
        <w:t>Annex VIII and, if applicable, Annex VII. Aircraft operating in the Single European Sky (SES) airspace, except those engaged in activities</w:t>
      </w:r>
      <w:r w:rsidRPr="00FB18C9">
        <w:rPr>
          <w:noProof/>
        </w:rPr>
        <w:t xml:space="preserve"> referred to in point (a) of Article 2(3) of Regulation (EU) 2018/1139, shall comply with the essential requirements set out in point 1 of Annex VIII. Providers of ATM/ANS are required to hold a certificate specifying the privileges granted</w:t>
      </w:r>
      <w:r w:rsidR="0014275D" w:rsidRPr="00FB18C9">
        <w:rPr>
          <w:noProof/>
        </w:rPr>
        <w:t>, once</w:t>
      </w:r>
      <w:r w:rsidRPr="00FB18C9">
        <w:rPr>
          <w:noProof/>
        </w:rPr>
        <w:t xml:space="preserve"> they have demonstrated compliance with the applicable EU rules. As well, </w:t>
      </w:r>
      <w:bookmarkStart w:id="62" w:name="_Hlk94717279"/>
      <w:r w:rsidRPr="00FB18C9">
        <w:rPr>
          <w:noProof/>
        </w:rPr>
        <w:t xml:space="preserve">organisations involved in the design, production or maintenance of ATM/ANS systems and ATM/ANS constituents </w:t>
      </w:r>
      <w:bookmarkEnd w:id="62"/>
      <w:r w:rsidRPr="00FB18C9">
        <w:rPr>
          <w:noProof/>
        </w:rPr>
        <w:t>may be required to hold a certificate.</w:t>
      </w:r>
    </w:p>
    <w:p w14:paraId="42FC4968" w14:textId="52312E09" w:rsidR="00911BC7" w:rsidRPr="00FB18C9" w:rsidRDefault="00911BC7" w:rsidP="00FB18C9">
      <w:pPr>
        <w:rPr>
          <w:noProof/>
        </w:rPr>
      </w:pPr>
      <w:r w:rsidRPr="00FB18C9">
        <w:rPr>
          <w:noProof/>
        </w:rPr>
        <w:t>EASA is the competent authority responsible for the certification, oversight and enforcement in respect of certain ATM/ANS service providers and ATCO training organisations</w:t>
      </w:r>
      <w:r w:rsidR="00E0543B">
        <w:rPr>
          <w:noProof/>
        </w:rPr>
        <w:t xml:space="preserve">, </w:t>
      </w:r>
      <w:r w:rsidRPr="00FB18C9">
        <w:rPr>
          <w:noProof/>
        </w:rPr>
        <w:t>including pan-European providers,</w:t>
      </w:r>
      <w:r w:rsidRPr="00071593">
        <w:rPr>
          <w:noProof/>
        </w:rPr>
        <w:t xml:space="preserve"> </w:t>
      </w:r>
      <w:r>
        <w:rPr>
          <w:noProof/>
        </w:rPr>
        <w:t xml:space="preserve">as well as of the </w:t>
      </w:r>
      <w:r w:rsidRPr="00FB18C9">
        <w:rPr>
          <w:noProof/>
        </w:rPr>
        <w:t>organisations involved in the design, production or maintenance of ATM/ANS systems and ATM/ANS constituents</w:t>
      </w:r>
      <w:r w:rsidR="00800DFF">
        <w:rPr>
          <w:noProof/>
        </w:rPr>
        <w:t>.</w:t>
      </w:r>
    </w:p>
    <w:p w14:paraId="6398E4A9" w14:textId="77777777" w:rsidR="003F4565" w:rsidRDefault="005824F7" w:rsidP="00FB18C9">
      <w:pPr>
        <w:rPr>
          <w:noProof/>
          <w:kern w:val="32"/>
        </w:rPr>
      </w:pPr>
      <w:r w:rsidRPr="00FB18C9">
        <w:rPr>
          <w:noProof/>
        </w:rPr>
        <w:t>EASA, upon request, provides technical assistance to the Commission in the implementation of SES as defined in Article 93 of Regulation (EU) 2018</w:t>
      </w:r>
      <w:r w:rsidRPr="00F60F70">
        <w:rPr>
          <w:noProof/>
          <w:kern w:val="32"/>
        </w:rPr>
        <w:t>/1139</w:t>
      </w:r>
      <w:r w:rsidR="00911BC7">
        <w:rPr>
          <w:noProof/>
          <w:kern w:val="32"/>
        </w:rPr>
        <w:t>.</w:t>
      </w:r>
      <w:r w:rsidR="004D1296" w:rsidDel="004D1296">
        <w:rPr>
          <w:noProof/>
          <w:kern w:val="32"/>
        </w:rPr>
        <w:t xml:space="preserve"> </w:t>
      </w:r>
      <w:r w:rsidR="00F60F70">
        <w:rPr>
          <w:noProof/>
          <w:kern w:val="32"/>
        </w:rPr>
        <w:t xml:space="preserve"> </w:t>
      </w:r>
    </w:p>
    <w:p w14:paraId="7B8904FA" w14:textId="77777777" w:rsidR="003B15CB" w:rsidRPr="00FB18C9" w:rsidRDefault="003B15CB" w:rsidP="00FB18C9">
      <w:pPr>
        <w:pStyle w:val="ListParagraph"/>
        <w:numPr>
          <w:ilvl w:val="0"/>
          <w:numId w:val="49"/>
        </w:numPr>
        <w:rPr>
          <w:b/>
          <w:bCs/>
          <w:i/>
          <w:noProof/>
          <w:kern w:val="32"/>
        </w:rPr>
      </w:pPr>
      <w:r w:rsidRPr="00FB18C9">
        <w:rPr>
          <w:b/>
          <w:bCs/>
          <w:i/>
          <w:noProof/>
          <w:kern w:val="32"/>
        </w:rPr>
        <w:t>Air traffic controllers</w:t>
      </w:r>
    </w:p>
    <w:p w14:paraId="5290E600" w14:textId="77777777" w:rsidR="00F13835" w:rsidRDefault="00F13835" w:rsidP="00AD5567">
      <w:pPr>
        <w:pStyle w:val="ListParagraph"/>
        <w:rPr>
          <w:noProof/>
          <w:kern w:val="32"/>
        </w:rPr>
      </w:pPr>
    </w:p>
    <w:p w14:paraId="1BD47F85" w14:textId="77777777" w:rsidR="00911BC7" w:rsidRPr="00AD5567" w:rsidRDefault="00911BC7" w:rsidP="00FB18C9">
      <w:pPr>
        <w:pStyle w:val="ListParagraph"/>
        <w:ind w:left="0"/>
        <w:rPr>
          <w:noProof/>
          <w:kern w:val="32"/>
        </w:rPr>
      </w:pPr>
      <w:r w:rsidRPr="00FB18C9">
        <w:rPr>
          <w:noProof/>
        </w:rPr>
        <w:t>Air traffic controllers involved in the provision of ATM/ANS, as well as persons, organisations and synthetic training devices involved in the training, testing, checking or medical assessment of those air traffic controllers, shall comply with the essential requirements set out in </w:t>
      </w:r>
      <w:hyperlink r:id="rId53" w:anchor="_DxCrossRefBm8655583842035745" w:history="1">
        <w:r w:rsidRPr="00FB18C9">
          <w:rPr>
            <w:noProof/>
          </w:rPr>
          <w:t>Annex VIII</w:t>
        </w:r>
      </w:hyperlink>
      <w:r w:rsidRPr="00FB18C9">
        <w:rPr>
          <w:noProof/>
        </w:rPr>
        <w:t xml:space="preserve"> of Regulation (EU) 2018/1139. Air traffic controllers shall be required to hold an air traffic controller licence and an air traffic controller medical certificate specifying the privileges granted and they may be amended to add or remove privileges, as well as limited, suspended or revoked when the holder no longer complies with the EU applicable rules and procedures for issuing and maintaining a licence or a medical certificate. Air traffic controller training organisations and aero-medical centres are required to hold a certificate. Persons responsible for providing practical training, for assessing the practical skills of air traffic controllers, as well as aero-medical examiners, shall also be required to meet certain competence requirements</w:t>
      </w:r>
      <w:r w:rsidRPr="00560E33">
        <w:rPr>
          <w:noProof/>
          <w:kern w:val="32"/>
        </w:rPr>
        <w:t>.</w:t>
      </w:r>
    </w:p>
    <w:p w14:paraId="422CCBE9" w14:textId="77777777" w:rsidR="003B15CB" w:rsidRPr="00FB18C9" w:rsidRDefault="003B15CB" w:rsidP="00081245">
      <w:pPr>
        <w:pStyle w:val="ListParagraph"/>
        <w:rPr>
          <w:b/>
          <w:bCs/>
          <w:noProof/>
          <w:kern w:val="32"/>
        </w:rPr>
      </w:pPr>
    </w:p>
    <w:p w14:paraId="4B978522" w14:textId="77777777" w:rsidR="003B15CB" w:rsidRPr="00FB18C9" w:rsidRDefault="003B15CB" w:rsidP="00FB18C9">
      <w:pPr>
        <w:pStyle w:val="ListParagraph"/>
        <w:numPr>
          <w:ilvl w:val="0"/>
          <w:numId w:val="49"/>
        </w:numPr>
        <w:rPr>
          <w:b/>
          <w:bCs/>
          <w:i/>
          <w:noProof/>
          <w:kern w:val="32"/>
        </w:rPr>
      </w:pPr>
      <w:r w:rsidRPr="00FB18C9">
        <w:rPr>
          <w:b/>
          <w:bCs/>
          <w:i/>
          <w:noProof/>
          <w:kern w:val="32"/>
        </w:rPr>
        <w:t>Unmanned aircraft</w:t>
      </w:r>
    </w:p>
    <w:p w14:paraId="0EDB3AE0" w14:textId="77777777" w:rsidR="00F13835" w:rsidRDefault="00F13835" w:rsidP="00081245">
      <w:pPr>
        <w:pStyle w:val="ListParagraph"/>
        <w:rPr>
          <w:noProof/>
          <w:kern w:val="32"/>
        </w:rPr>
      </w:pPr>
    </w:p>
    <w:p w14:paraId="0B6E6ED5" w14:textId="77777777" w:rsidR="00C832B8" w:rsidRDefault="00560E33" w:rsidP="00FB18C9">
      <w:pPr>
        <w:pStyle w:val="ListParagraph"/>
        <w:ind w:left="0"/>
        <w:rPr>
          <w:noProof/>
          <w:kern w:val="32"/>
        </w:rPr>
      </w:pPr>
      <w:r w:rsidRPr="00560E33">
        <w:rPr>
          <w:noProof/>
          <w:kern w:val="32"/>
        </w:rPr>
        <w:t>The design, production, maintenance and operation of unmanned aircraft</w:t>
      </w:r>
      <w:r>
        <w:rPr>
          <w:noProof/>
          <w:kern w:val="32"/>
        </w:rPr>
        <w:t xml:space="preserve"> </w:t>
      </w:r>
      <w:r w:rsidRPr="00560E33">
        <w:rPr>
          <w:noProof/>
          <w:kern w:val="32"/>
        </w:rPr>
        <w:t>and their engines, propellers, parts, non-installed equipment and equipment to control them remotely, as well as the personnel, including remote pilots, and organisations involved in those activities, shall comply with the essential requirements set out in </w:t>
      </w:r>
      <w:hyperlink r:id="rId54" w:anchor="_DxCrossRefBm5270047499547434783" w:history="1">
        <w:r w:rsidRPr="00560E33">
          <w:rPr>
            <w:rStyle w:val="Hyperlink"/>
            <w:noProof/>
            <w:kern w:val="32"/>
          </w:rPr>
          <w:t>Annex IX</w:t>
        </w:r>
      </w:hyperlink>
      <w:r w:rsidRPr="00560E33">
        <w:rPr>
          <w:noProof/>
          <w:kern w:val="32"/>
        </w:rPr>
        <w:t>, and</w:t>
      </w:r>
      <w:r>
        <w:rPr>
          <w:noProof/>
          <w:kern w:val="32"/>
        </w:rPr>
        <w:t xml:space="preserve"> where applicable</w:t>
      </w:r>
      <w:r w:rsidRPr="00560E33">
        <w:rPr>
          <w:noProof/>
          <w:kern w:val="32"/>
        </w:rPr>
        <w:t xml:space="preserve"> with the essential requirements set out in Annexes II, IV and V </w:t>
      </w:r>
      <w:r w:rsidR="002F43A5">
        <w:rPr>
          <w:noProof/>
          <w:kern w:val="32"/>
        </w:rPr>
        <w:t>to</w:t>
      </w:r>
      <w:r w:rsidRPr="00560E33">
        <w:rPr>
          <w:noProof/>
          <w:kern w:val="32"/>
        </w:rPr>
        <w:t xml:space="preserve"> Regulation (EU) 2018/1139.</w:t>
      </w:r>
      <w:r>
        <w:rPr>
          <w:noProof/>
          <w:kern w:val="32"/>
        </w:rPr>
        <w:t xml:space="preserve"> </w:t>
      </w:r>
      <w:r w:rsidR="00EF2A84" w:rsidRPr="00EF2A84">
        <w:rPr>
          <w:noProof/>
          <w:kern w:val="32"/>
        </w:rPr>
        <w:t>Taking into account the nature and risk of the activity concerned, the operational characteristics of the unmanned aircraft concerned and the characteristics of area of operation, a certificate may be required for the design, production, maintenance and operation of unmanned aircraft and their engines, propellers, parts, non-installed equipment and equipment to control them remotely, as well as for the personnel, including remote pilots, and organisations involved in those activities</w:t>
      </w:r>
      <w:r w:rsidR="0078430D">
        <w:rPr>
          <w:noProof/>
          <w:kern w:val="32"/>
        </w:rPr>
        <w:t>.</w:t>
      </w:r>
      <w:r w:rsidR="00E97EED">
        <w:rPr>
          <w:noProof/>
          <w:kern w:val="32"/>
        </w:rPr>
        <w:t xml:space="preserve"> </w:t>
      </w:r>
      <w:r w:rsidR="00AD6BD8" w:rsidRPr="00AD6BD8">
        <w:rPr>
          <w:noProof/>
          <w:kern w:val="32"/>
        </w:rPr>
        <w:t>The certificate shall specify the safety-related limitations, operating conditions and privileges</w:t>
      </w:r>
      <w:r w:rsidR="00AD6BD8">
        <w:rPr>
          <w:noProof/>
          <w:kern w:val="32"/>
        </w:rPr>
        <w:t>, and</w:t>
      </w:r>
      <w:r w:rsidR="00AD6BD8" w:rsidRPr="00AD6BD8">
        <w:rPr>
          <w:noProof/>
          <w:kern w:val="32"/>
        </w:rPr>
        <w:t xml:space="preserve"> may be amended to add or remove limitations, conditions and privileges</w:t>
      </w:r>
      <w:r w:rsidR="00AD6BD8">
        <w:rPr>
          <w:noProof/>
          <w:kern w:val="32"/>
        </w:rPr>
        <w:t xml:space="preserve">, as well as </w:t>
      </w:r>
      <w:r w:rsidR="00AD6BD8" w:rsidRPr="00AD6BD8">
        <w:rPr>
          <w:noProof/>
          <w:kern w:val="32"/>
        </w:rPr>
        <w:t>limited, suspended or revoked when the holder no longer complies with the conditions, rules and procedures for issuing or maintaining such certificate</w:t>
      </w:r>
      <w:r w:rsidR="00AD6BD8">
        <w:rPr>
          <w:noProof/>
          <w:kern w:val="32"/>
        </w:rPr>
        <w:t>.</w:t>
      </w:r>
    </w:p>
    <w:p w14:paraId="269E917C" w14:textId="77777777" w:rsidR="004D1296" w:rsidRDefault="004D1296" w:rsidP="00FB18C9">
      <w:pPr>
        <w:pStyle w:val="ListParagraph"/>
        <w:ind w:left="0"/>
        <w:rPr>
          <w:noProof/>
          <w:kern w:val="32"/>
        </w:rPr>
      </w:pPr>
    </w:p>
    <w:p w14:paraId="2C400D0D" w14:textId="77777777" w:rsidR="003B15CB" w:rsidRPr="00FB18C9" w:rsidRDefault="003B15CB" w:rsidP="00FB18C9">
      <w:pPr>
        <w:pStyle w:val="ListParagraph"/>
        <w:numPr>
          <w:ilvl w:val="0"/>
          <w:numId w:val="49"/>
        </w:numPr>
        <w:rPr>
          <w:b/>
          <w:bCs/>
          <w:i/>
          <w:noProof/>
          <w:kern w:val="32"/>
        </w:rPr>
      </w:pPr>
      <w:bookmarkStart w:id="63" w:name="_Hlk112663144"/>
      <w:r w:rsidRPr="00FB18C9">
        <w:rPr>
          <w:b/>
          <w:bCs/>
          <w:i/>
          <w:noProof/>
          <w:kern w:val="32"/>
        </w:rPr>
        <w:t>Third Country Operations</w:t>
      </w:r>
    </w:p>
    <w:p w14:paraId="30417EBF" w14:textId="77777777" w:rsidR="00F13835" w:rsidRDefault="00F13835" w:rsidP="00AD6BD8">
      <w:pPr>
        <w:pStyle w:val="ListParagraph"/>
        <w:rPr>
          <w:noProof/>
          <w:kern w:val="32"/>
        </w:rPr>
      </w:pPr>
    </w:p>
    <w:p w14:paraId="5BA822C0" w14:textId="2A262487" w:rsidR="00AD6BD8" w:rsidRPr="00AD6BD8" w:rsidRDefault="001952EC" w:rsidP="00FB18C9">
      <w:pPr>
        <w:pStyle w:val="ListParagraph"/>
        <w:ind w:left="0"/>
        <w:rPr>
          <w:noProof/>
          <w:kern w:val="32"/>
        </w:rPr>
      </w:pPr>
      <w:r>
        <w:rPr>
          <w:noProof/>
          <w:kern w:val="32"/>
        </w:rPr>
        <w:t>A</w:t>
      </w:r>
      <w:r w:rsidR="00AD6BD8" w:rsidRPr="00AD6BD8">
        <w:rPr>
          <w:noProof/>
          <w:kern w:val="32"/>
        </w:rPr>
        <w:t xml:space="preserve">ircraft referred to in </w:t>
      </w:r>
      <w:hyperlink r:id="rId55" w:anchor="_DxCrossRefBm9000002" w:history="1">
        <w:r w:rsidR="00AD6BD8" w:rsidRPr="00AD6BD8">
          <w:rPr>
            <w:rStyle w:val="Hyperlink"/>
            <w:noProof/>
            <w:kern w:val="32"/>
          </w:rPr>
          <w:t>Article 2(1)</w:t>
        </w:r>
      </w:hyperlink>
      <w:r w:rsidR="00D4162D">
        <w:rPr>
          <w:rStyle w:val="Hyperlink"/>
          <w:noProof/>
          <w:kern w:val="32"/>
        </w:rPr>
        <w:t>(c)</w:t>
      </w:r>
      <w:r>
        <w:rPr>
          <w:noProof/>
          <w:kern w:val="32"/>
        </w:rPr>
        <w:t xml:space="preserve"> </w:t>
      </w:r>
      <w:r w:rsidRPr="001952EC">
        <w:rPr>
          <w:noProof/>
          <w:kern w:val="32"/>
        </w:rPr>
        <w:t>of Regulation (EU) 2018/1139</w:t>
      </w:r>
      <w:r w:rsidR="00AD6BD8" w:rsidRPr="00AD6BD8">
        <w:rPr>
          <w:noProof/>
          <w:kern w:val="32"/>
        </w:rPr>
        <w:t>, as well as their aircrew and their operations, shall comply with the applicable ICAO standards.</w:t>
      </w:r>
      <w:r>
        <w:rPr>
          <w:noProof/>
          <w:kern w:val="32"/>
        </w:rPr>
        <w:t xml:space="preserve"> </w:t>
      </w:r>
      <w:r w:rsidR="00AD6BD8" w:rsidRPr="00AD6BD8">
        <w:rPr>
          <w:noProof/>
          <w:kern w:val="32"/>
        </w:rPr>
        <w:t>To the extent that there are no such standards, those aircraft, their aircrew an</w:t>
      </w:r>
      <w:r>
        <w:rPr>
          <w:noProof/>
          <w:kern w:val="32"/>
        </w:rPr>
        <w:t>d their operations shall comply,</w:t>
      </w:r>
      <w:r w:rsidR="00AD6BD8" w:rsidRPr="00AD6BD8">
        <w:rPr>
          <w:noProof/>
          <w:kern w:val="32"/>
        </w:rPr>
        <w:t> as regard aircraft other than unmanned aircraft, with the essential requirements set out in Annexes II, IV and V</w:t>
      </w:r>
      <w:r>
        <w:rPr>
          <w:noProof/>
          <w:kern w:val="32"/>
        </w:rPr>
        <w:t xml:space="preserve"> </w:t>
      </w:r>
      <w:r w:rsidR="002F43A5">
        <w:rPr>
          <w:noProof/>
          <w:kern w:val="32"/>
        </w:rPr>
        <w:t>to</w:t>
      </w:r>
      <w:r w:rsidRPr="001952EC">
        <w:rPr>
          <w:noProof/>
          <w:kern w:val="32"/>
        </w:rPr>
        <w:t xml:space="preserve"> Regulation (EU) 2018/1139</w:t>
      </w:r>
      <w:r>
        <w:rPr>
          <w:noProof/>
          <w:kern w:val="32"/>
        </w:rPr>
        <w:t>. A</w:t>
      </w:r>
      <w:r w:rsidR="00AD6BD8" w:rsidRPr="00AD6BD8">
        <w:rPr>
          <w:noProof/>
          <w:kern w:val="32"/>
        </w:rPr>
        <w:t xml:space="preserve">s regards unmanned aircraft, </w:t>
      </w:r>
      <w:r>
        <w:rPr>
          <w:noProof/>
          <w:kern w:val="32"/>
        </w:rPr>
        <w:t xml:space="preserve">they shall comply </w:t>
      </w:r>
      <w:r w:rsidR="00AD6BD8" w:rsidRPr="00AD6BD8">
        <w:rPr>
          <w:noProof/>
          <w:kern w:val="32"/>
        </w:rPr>
        <w:t>with the essential requirements set out in </w:t>
      </w:r>
      <w:hyperlink r:id="rId56" w:anchor="_DxCrossRefBm5270047499547434783" w:history="1">
        <w:r w:rsidR="00AD6BD8" w:rsidRPr="00AD6BD8">
          <w:rPr>
            <w:rStyle w:val="Hyperlink"/>
            <w:noProof/>
            <w:kern w:val="32"/>
          </w:rPr>
          <w:t>Annex IX</w:t>
        </w:r>
      </w:hyperlink>
      <w:r w:rsidR="00AD6BD8" w:rsidRPr="00AD6BD8">
        <w:rPr>
          <w:noProof/>
          <w:kern w:val="32"/>
        </w:rPr>
        <w:t xml:space="preserve"> and, where </w:t>
      </w:r>
      <w:r>
        <w:rPr>
          <w:noProof/>
          <w:kern w:val="32"/>
        </w:rPr>
        <w:t>applicable</w:t>
      </w:r>
      <w:r w:rsidR="00AD6BD8" w:rsidRPr="00AD6BD8">
        <w:rPr>
          <w:noProof/>
          <w:kern w:val="32"/>
        </w:rPr>
        <w:t>, with the essential requirements set out in Annexes II, IV and V</w:t>
      </w:r>
      <w:r>
        <w:rPr>
          <w:noProof/>
          <w:kern w:val="32"/>
        </w:rPr>
        <w:t xml:space="preserve"> of the said Regulation</w:t>
      </w:r>
      <w:r w:rsidR="00AD6BD8" w:rsidRPr="00AD6BD8">
        <w:rPr>
          <w:noProof/>
          <w:kern w:val="32"/>
        </w:rPr>
        <w:t>.</w:t>
      </w:r>
      <w:r w:rsidR="00F45DBF" w:rsidRPr="00F45DBF">
        <w:rPr>
          <w:noProof/>
          <w:kern w:val="32"/>
        </w:rPr>
        <w:t> </w:t>
      </w:r>
    </w:p>
    <w:bookmarkEnd w:id="63"/>
    <w:p w14:paraId="5C4A16E2" w14:textId="77777777" w:rsidR="00AD6BD8" w:rsidRPr="00FB18C9" w:rsidRDefault="00AD6BD8" w:rsidP="00FB18C9">
      <w:pPr>
        <w:pStyle w:val="ListParagraph"/>
        <w:ind w:left="0"/>
        <w:rPr>
          <w:b/>
          <w:bCs/>
          <w:noProof/>
          <w:kern w:val="32"/>
        </w:rPr>
      </w:pPr>
    </w:p>
    <w:p w14:paraId="215CD4F7" w14:textId="77777777" w:rsidR="003B15CB" w:rsidRPr="00FB18C9" w:rsidRDefault="003B15CB" w:rsidP="00FB18C9">
      <w:pPr>
        <w:pStyle w:val="ListParagraph"/>
        <w:numPr>
          <w:ilvl w:val="0"/>
          <w:numId w:val="49"/>
        </w:numPr>
        <w:rPr>
          <w:b/>
          <w:bCs/>
          <w:i/>
          <w:noProof/>
          <w:kern w:val="32"/>
        </w:rPr>
      </w:pPr>
      <w:r w:rsidRPr="00FB18C9">
        <w:rPr>
          <w:b/>
          <w:bCs/>
          <w:i/>
          <w:noProof/>
          <w:kern w:val="32"/>
        </w:rPr>
        <w:t>Research and innovation</w:t>
      </w:r>
      <w:r w:rsidR="00526BE2" w:rsidRPr="00FB18C9">
        <w:rPr>
          <w:b/>
          <w:bCs/>
          <w:i/>
          <w:noProof/>
          <w:kern w:val="32"/>
        </w:rPr>
        <w:t xml:space="preserve"> (R&amp;I)</w:t>
      </w:r>
    </w:p>
    <w:p w14:paraId="0162BAB0" w14:textId="77777777" w:rsidR="004D1296" w:rsidRDefault="004D1296" w:rsidP="00081245">
      <w:pPr>
        <w:pStyle w:val="ListParagraph"/>
        <w:rPr>
          <w:noProof/>
          <w:kern w:val="32"/>
        </w:rPr>
      </w:pPr>
    </w:p>
    <w:p w14:paraId="43A092D5" w14:textId="77777777" w:rsidR="003B15CB" w:rsidRPr="00FB18C9" w:rsidRDefault="0016092C" w:rsidP="00FB18C9">
      <w:pPr>
        <w:rPr>
          <w:noProof/>
        </w:rPr>
      </w:pPr>
      <w:r w:rsidRPr="00FB18C9">
        <w:rPr>
          <w:noProof/>
        </w:rPr>
        <w:t xml:space="preserve">Regulation (EU) 2018/1139 introduced a number of </w:t>
      </w:r>
      <w:r w:rsidR="000E56CB" w:rsidRPr="00FB18C9">
        <w:rPr>
          <w:noProof/>
        </w:rPr>
        <w:t xml:space="preserve">key new competences for EASA. In </w:t>
      </w:r>
      <w:r w:rsidR="005326B9">
        <w:rPr>
          <w:noProof/>
        </w:rPr>
        <w:t>the</w:t>
      </w:r>
      <w:r w:rsidR="005326B9" w:rsidRPr="00FB18C9">
        <w:rPr>
          <w:noProof/>
        </w:rPr>
        <w:t xml:space="preserve"> </w:t>
      </w:r>
      <w:r w:rsidR="000E56CB" w:rsidRPr="00FB18C9">
        <w:rPr>
          <w:noProof/>
        </w:rPr>
        <w:t xml:space="preserve">field </w:t>
      </w:r>
      <w:r w:rsidR="005326B9">
        <w:rPr>
          <w:noProof/>
        </w:rPr>
        <w:t xml:space="preserve">of R&amp;I, </w:t>
      </w:r>
      <w:r w:rsidR="000E56CB" w:rsidRPr="00FB18C9">
        <w:rPr>
          <w:noProof/>
        </w:rPr>
        <w:t>t</w:t>
      </w:r>
      <w:r w:rsidRPr="00FB18C9">
        <w:rPr>
          <w:noProof/>
        </w:rPr>
        <w:t>he Agency assist</w:t>
      </w:r>
      <w:r w:rsidR="000E56CB" w:rsidRPr="00FB18C9">
        <w:rPr>
          <w:noProof/>
        </w:rPr>
        <w:t>s</w:t>
      </w:r>
      <w:r w:rsidRPr="00FB18C9">
        <w:rPr>
          <w:noProof/>
        </w:rPr>
        <w:t xml:space="preserve"> the Commission and the Member </w:t>
      </w:r>
      <w:r w:rsidR="00A46B04" w:rsidRPr="00FB18C9">
        <w:rPr>
          <w:noProof/>
        </w:rPr>
        <w:t>State</w:t>
      </w:r>
      <w:r w:rsidRPr="00FB18C9">
        <w:rPr>
          <w:noProof/>
        </w:rPr>
        <w:t xml:space="preserve">s in identifying key research themes in the field of civil aviation to contribute to ensuring consistency and coordination between publicly funded research and development and policies falling within the scope of </w:t>
      </w:r>
      <w:r w:rsidR="000E56CB" w:rsidRPr="00FB18C9">
        <w:rPr>
          <w:noProof/>
        </w:rPr>
        <w:t>the</w:t>
      </w:r>
      <w:r w:rsidRPr="00FB18C9">
        <w:rPr>
          <w:noProof/>
        </w:rPr>
        <w:t xml:space="preserve"> Regulation. </w:t>
      </w:r>
      <w:r w:rsidR="000E56CB" w:rsidRPr="00FB18C9">
        <w:rPr>
          <w:noProof/>
        </w:rPr>
        <w:t>EASA</w:t>
      </w:r>
      <w:r w:rsidRPr="00FB18C9">
        <w:rPr>
          <w:noProof/>
        </w:rPr>
        <w:t xml:space="preserve"> support</w:t>
      </w:r>
      <w:r w:rsidR="000E56CB" w:rsidRPr="00FB18C9">
        <w:rPr>
          <w:noProof/>
        </w:rPr>
        <w:t>s</w:t>
      </w:r>
      <w:r w:rsidRPr="00FB18C9">
        <w:rPr>
          <w:noProof/>
        </w:rPr>
        <w:t xml:space="preserve"> the Commission in the definition and accomplishment of the relevant Union framework programmes for research and innovation activities and of the annual and multi-annual work programmes, including in the conduct of evaluation procedures, in the review of funded projects and in the exploitation of the results of research and innovation projects.</w:t>
      </w:r>
      <w:r w:rsidR="000E56CB" w:rsidRPr="00FB18C9">
        <w:rPr>
          <w:noProof/>
        </w:rPr>
        <w:t xml:space="preserve"> </w:t>
      </w:r>
      <w:r w:rsidRPr="00FB18C9">
        <w:rPr>
          <w:noProof/>
        </w:rPr>
        <w:t xml:space="preserve">The Agency </w:t>
      </w:r>
      <w:r w:rsidR="000E56CB" w:rsidRPr="00FB18C9">
        <w:rPr>
          <w:noProof/>
        </w:rPr>
        <w:t>also</w:t>
      </w:r>
      <w:r w:rsidRPr="00FB18C9">
        <w:rPr>
          <w:noProof/>
        </w:rPr>
        <w:t xml:space="preserve"> implement</w:t>
      </w:r>
      <w:r w:rsidR="000E56CB" w:rsidRPr="00FB18C9">
        <w:rPr>
          <w:noProof/>
        </w:rPr>
        <w:t>s</w:t>
      </w:r>
      <w:r w:rsidRPr="00FB18C9">
        <w:rPr>
          <w:noProof/>
        </w:rPr>
        <w:t xml:space="preserve"> civil aviation related parts of the </w:t>
      </w:r>
      <w:r w:rsidR="000E56CB" w:rsidRPr="00FB18C9">
        <w:rPr>
          <w:noProof/>
        </w:rPr>
        <w:t xml:space="preserve">EU </w:t>
      </w:r>
      <w:r w:rsidRPr="00FB18C9">
        <w:rPr>
          <w:noProof/>
        </w:rPr>
        <w:t>Framework Programme for Research and Innovation</w:t>
      </w:r>
      <w:r w:rsidR="000E56CB" w:rsidRPr="00FB18C9">
        <w:rPr>
          <w:noProof/>
        </w:rPr>
        <w:t>, and it engages in ad hoc research activities that are compatible with the Agency</w:t>
      </w:r>
      <w:r w:rsidR="00F13835" w:rsidRPr="00FB18C9">
        <w:rPr>
          <w:noProof/>
        </w:rPr>
        <w:t>’</w:t>
      </w:r>
      <w:r w:rsidR="000E56CB" w:rsidRPr="00FB18C9">
        <w:rPr>
          <w:noProof/>
        </w:rPr>
        <w:t>s tasks and the objectives of Regulation (EU) 2018/1139.</w:t>
      </w:r>
    </w:p>
    <w:p w14:paraId="022DC542" w14:textId="77777777" w:rsidR="00526BE2" w:rsidRPr="00FB18C9" w:rsidRDefault="00526BE2" w:rsidP="00FB18C9">
      <w:pPr>
        <w:rPr>
          <w:noProof/>
        </w:rPr>
      </w:pPr>
      <w:r w:rsidRPr="00FB18C9">
        <w:rPr>
          <w:noProof/>
        </w:rPr>
        <w:t xml:space="preserve">The European aviation industry has gone through a successful development in the past decades placing Europe at a leading position in the global competitive market. Significant elements are the European aviation R&amp;I programmes of the EU as well as the Member States’ and industry’s research activities. These initiatives are directly relevant to the objective of both the EASP and the EPAS of ensuring the highest level of safety, security and environmental protection in Europe. </w:t>
      </w:r>
    </w:p>
    <w:p w14:paraId="30F525AE" w14:textId="7544FAC9" w:rsidR="00526BE2" w:rsidRDefault="00526BE2" w:rsidP="00FB18C9">
      <w:pPr>
        <w:rPr>
          <w:noProof/>
        </w:rPr>
      </w:pPr>
      <w:r w:rsidRPr="00FB18C9">
        <w:rPr>
          <w:noProof/>
        </w:rPr>
        <w:t xml:space="preserve">New technologies and concepts emerge at an unprecedented pace. The European and national R&amp;I programmes, including Clean Sky/Clean Aviation and SESAR are developing new aviation concepts and solutions, which will need to be certified or approved prior to entering operation in Europe as well as in third countries. Furthermore, new entrants, in particular in the drone sector, bring new requirements to the European aeronautics arena and necessitate new European regulatory responses. </w:t>
      </w:r>
    </w:p>
    <w:p w14:paraId="7255EED2" w14:textId="44D75839" w:rsidR="006E5B84" w:rsidRPr="00FB18C9" w:rsidRDefault="006E5B84" w:rsidP="00FB18C9">
      <w:pPr>
        <w:rPr>
          <w:noProof/>
        </w:rPr>
      </w:pPr>
      <w:r>
        <w:rPr>
          <w:noProof/>
        </w:rPr>
        <w:t>The European aviation safety system supports the deployment of these new solutions, and more generally the safe integration of new technologies and concepts.</w:t>
      </w:r>
    </w:p>
    <w:p w14:paraId="478DBD00" w14:textId="150C54E3" w:rsidR="00526BE2" w:rsidRDefault="00526BE2" w:rsidP="00FB18C9">
      <w:pPr>
        <w:rPr>
          <w:noProof/>
          <w:kern w:val="32"/>
        </w:rPr>
      </w:pPr>
      <w:r w:rsidRPr="00FB18C9">
        <w:rPr>
          <w:noProof/>
        </w:rPr>
        <w:t>As concerns the EPAS, research projects that become part of the Plan derive from the list of prioritised</w:t>
      </w:r>
      <w:r w:rsidRPr="00526BE2">
        <w:rPr>
          <w:noProof/>
          <w:kern w:val="32"/>
        </w:rPr>
        <w:t xml:space="preserve"> research agenda topics, for which a funding </w:t>
      </w:r>
      <w:r w:rsidR="00F13835">
        <w:rPr>
          <w:noProof/>
          <w:kern w:val="32"/>
        </w:rPr>
        <w:t xml:space="preserve">source is </w:t>
      </w:r>
      <w:r w:rsidRPr="00526BE2">
        <w:rPr>
          <w:noProof/>
          <w:kern w:val="32"/>
        </w:rPr>
        <w:t>secured or where it is likely that the project will be funded by the start of the reference period of the given EPAS</w:t>
      </w:r>
      <w:r w:rsidR="00F13835" w:rsidRPr="00FB18C9">
        <w:rPr>
          <w:noProof/>
          <w:kern w:val="32"/>
          <w:vertAlign w:val="superscript"/>
        </w:rPr>
        <w:footnoteReference w:id="14"/>
      </w:r>
      <w:r w:rsidRPr="00526BE2">
        <w:rPr>
          <w:noProof/>
          <w:kern w:val="32"/>
        </w:rPr>
        <w:t xml:space="preserve">. </w:t>
      </w:r>
    </w:p>
    <w:p w14:paraId="239886AA" w14:textId="6FD95352" w:rsidR="004805C0" w:rsidRDefault="004805C0" w:rsidP="004805C0">
      <w:pPr>
        <w:rPr>
          <w:noProof/>
          <w:kern w:val="32"/>
        </w:rPr>
      </w:pPr>
      <w:r>
        <w:rPr>
          <w:noProof/>
          <w:kern w:val="32"/>
        </w:rPr>
        <w:t xml:space="preserve">The </w:t>
      </w:r>
      <w:r w:rsidRPr="00751ECE">
        <w:rPr>
          <w:iCs/>
          <w:noProof/>
          <w:kern w:val="32"/>
        </w:rPr>
        <w:t>Data4Safety</w:t>
      </w:r>
      <w:r w:rsidRPr="00C95ABF">
        <w:rPr>
          <w:noProof/>
          <w:kern w:val="32"/>
        </w:rPr>
        <w:t xml:space="preserve"> </w:t>
      </w:r>
      <w:r w:rsidR="00C95ABF">
        <w:rPr>
          <w:noProof/>
          <w:kern w:val="32"/>
        </w:rPr>
        <w:t>programme</w:t>
      </w:r>
      <w:r>
        <w:rPr>
          <w:noProof/>
          <w:kern w:val="32"/>
        </w:rPr>
        <w:t xml:space="preserve"> provide</w:t>
      </w:r>
      <w:r w:rsidR="006E5B84">
        <w:rPr>
          <w:noProof/>
          <w:kern w:val="32"/>
        </w:rPr>
        <w:t>s</w:t>
      </w:r>
      <w:r>
        <w:rPr>
          <w:noProof/>
          <w:kern w:val="32"/>
        </w:rPr>
        <w:t xml:space="preserve"> a valuable source </w:t>
      </w:r>
      <w:r w:rsidR="006E5B84">
        <w:rPr>
          <w:noProof/>
          <w:kern w:val="32"/>
        </w:rPr>
        <w:t xml:space="preserve">for the identification </w:t>
      </w:r>
      <w:r>
        <w:rPr>
          <w:noProof/>
          <w:kern w:val="32"/>
        </w:rPr>
        <w:t xml:space="preserve">of relevant data (flight data, traffic data, weather, safety reports, etc) that </w:t>
      </w:r>
      <w:r w:rsidR="006E5B84">
        <w:rPr>
          <w:noProof/>
          <w:kern w:val="32"/>
        </w:rPr>
        <w:t>is</w:t>
      </w:r>
      <w:r>
        <w:rPr>
          <w:noProof/>
          <w:kern w:val="32"/>
        </w:rPr>
        <w:t xml:space="preserve"> available in a</w:t>
      </w:r>
      <w:r w:rsidR="0014275D">
        <w:rPr>
          <w:noProof/>
          <w:kern w:val="32"/>
        </w:rPr>
        <w:t>n</w:t>
      </w:r>
      <w:r>
        <w:rPr>
          <w:noProof/>
          <w:kern w:val="32"/>
        </w:rPr>
        <w:t xml:space="preserve"> aggregated manner to support the research</w:t>
      </w:r>
      <w:r w:rsidR="00C95ABF">
        <w:rPr>
          <w:noProof/>
          <w:kern w:val="32"/>
        </w:rPr>
        <w:t>-projects</w:t>
      </w:r>
      <w:r w:rsidR="006E5B84">
        <w:rPr>
          <w:noProof/>
          <w:kern w:val="32"/>
        </w:rPr>
        <w:t>, in line with Article 72 of Regulation (EU) 2018/</w:t>
      </w:r>
      <w:r w:rsidR="000F5100">
        <w:rPr>
          <w:noProof/>
          <w:kern w:val="32"/>
        </w:rPr>
        <w:t>11</w:t>
      </w:r>
      <w:r w:rsidR="006E5B84">
        <w:rPr>
          <w:noProof/>
          <w:kern w:val="32"/>
        </w:rPr>
        <w:t>39 that calls for EASA to gather and analyse safety data to identify risks and measure the safety performance of the European aviation safety system</w:t>
      </w:r>
      <w:r>
        <w:rPr>
          <w:noProof/>
          <w:kern w:val="32"/>
        </w:rPr>
        <w:t>.</w:t>
      </w:r>
    </w:p>
    <w:p w14:paraId="2D72DD2F" w14:textId="77777777" w:rsidR="004805C0" w:rsidRDefault="004805C0" w:rsidP="00FB18C9">
      <w:pPr>
        <w:rPr>
          <w:noProof/>
          <w:kern w:val="32"/>
        </w:rPr>
      </w:pPr>
    </w:p>
    <w:p w14:paraId="2A9C1B1C" w14:textId="77777777" w:rsidR="003B15CB" w:rsidRPr="00FB18C9" w:rsidRDefault="003B15CB" w:rsidP="00926282">
      <w:pPr>
        <w:pStyle w:val="ListParagraph"/>
        <w:numPr>
          <w:ilvl w:val="0"/>
          <w:numId w:val="49"/>
        </w:numPr>
        <w:rPr>
          <w:b/>
          <w:bCs/>
          <w:i/>
          <w:noProof/>
          <w:kern w:val="32"/>
        </w:rPr>
      </w:pPr>
      <w:r w:rsidRPr="00FB18C9">
        <w:rPr>
          <w:b/>
          <w:bCs/>
          <w:i/>
          <w:noProof/>
          <w:kern w:val="32"/>
        </w:rPr>
        <w:t xml:space="preserve">Interdependencies </w:t>
      </w:r>
      <w:r w:rsidR="00387DD9" w:rsidRPr="00FB18C9">
        <w:rPr>
          <w:b/>
          <w:bCs/>
          <w:i/>
          <w:noProof/>
          <w:kern w:val="32"/>
        </w:rPr>
        <w:t xml:space="preserve">between civil aviation </w:t>
      </w:r>
      <w:r w:rsidRPr="00FB18C9">
        <w:rPr>
          <w:b/>
          <w:bCs/>
          <w:i/>
          <w:noProof/>
          <w:kern w:val="32"/>
        </w:rPr>
        <w:t>safety</w:t>
      </w:r>
      <w:r w:rsidR="00387DD9" w:rsidRPr="00FB18C9">
        <w:rPr>
          <w:b/>
          <w:bCs/>
          <w:i/>
          <w:noProof/>
          <w:kern w:val="32"/>
        </w:rPr>
        <w:t xml:space="preserve"> and </w:t>
      </w:r>
      <w:r w:rsidRPr="00FB18C9">
        <w:rPr>
          <w:b/>
          <w:bCs/>
          <w:i/>
          <w:noProof/>
          <w:kern w:val="32"/>
        </w:rPr>
        <w:t>security, including cybersecurity</w:t>
      </w:r>
    </w:p>
    <w:p w14:paraId="41C8BC24" w14:textId="77777777" w:rsidR="00F13835" w:rsidRPr="00C832B8" w:rsidRDefault="00F13835" w:rsidP="00FB18C9">
      <w:pPr>
        <w:pStyle w:val="ListParagraph"/>
        <w:rPr>
          <w:i/>
          <w:noProof/>
          <w:kern w:val="32"/>
        </w:rPr>
      </w:pPr>
    </w:p>
    <w:p w14:paraId="4CE6890B" w14:textId="33AF5336" w:rsidR="00DC17ED" w:rsidRDefault="00E26A43" w:rsidP="00FB18C9">
      <w:pPr>
        <w:pStyle w:val="ListParagraph"/>
        <w:ind w:left="0"/>
        <w:rPr>
          <w:noProof/>
          <w:kern w:val="32"/>
        </w:rPr>
      </w:pPr>
      <w:r>
        <w:rPr>
          <w:noProof/>
          <w:kern w:val="32"/>
        </w:rPr>
        <w:t>Regulation (EU) 2018/1139 lays down that</w:t>
      </w:r>
      <w:r w:rsidR="00DC17ED">
        <w:rPr>
          <w:noProof/>
          <w:kern w:val="32"/>
        </w:rPr>
        <w:t xml:space="preserve"> t</w:t>
      </w:r>
      <w:r w:rsidR="00DC17ED" w:rsidRPr="00DC17ED">
        <w:rPr>
          <w:noProof/>
          <w:kern w:val="32"/>
        </w:rPr>
        <w:t xml:space="preserve">he Commission, the Agency and the Member </w:t>
      </w:r>
      <w:r w:rsidR="00A46B04">
        <w:rPr>
          <w:noProof/>
          <w:kern w:val="32"/>
        </w:rPr>
        <w:t>State</w:t>
      </w:r>
      <w:r w:rsidR="00DC17ED" w:rsidRPr="00DC17ED">
        <w:rPr>
          <w:noProof/>
          <w:kern w:val="32"/>
        </w:rPr>
        <w:t>s shall cooperate on security matters related to civil aviation, including cyber security, where interdependencies between civil aviation safety and security exist. </w:t>
      </w:r>
      <w:r w:rsidR="00DC17ED">
        <w:rPr>
          <w:noProof/>
          <w:kern w:val="32"/>
        </w:rPr>
        <w:t>EASA may also</w:t>
      </w:r>
      <w:r w:rsidR="00DC17ED" w:rsidRPr="00DC17ED">
        <w:rPr>
          <w:noProof/>
          <w:kern w:val="32"/>
        </w:rPr>
        <w:t xml:space="preserve"> provide technical assistance to the Commission, where the Agency has the relevant safety expertise, in the implementation of Regulation (EC) No 300/2008 of the European Parliament and of the Council</w:t>
      </w:r>
      <w:r w:rsidR="00DC17ED" w:rsidRPr="00DC17ED">
        <w:rPr>
          <w:noProof/>
          <w:kern w:val="32"/>
          <w:vertAlign w:val="superscript"/>
        </w:rPr>
        <w:t>41</w:t>
      </w:r>
      <w:r w:rsidR="00DC17ED" w:rsidRPr="00DC17ED">
        <w:rPr>
          <w:noProof/>
          <w:kern w:val="32"/>
        </w:rPr>
        <w:t> and other relevant provisions of Union legislation. To contribute to protecting civil aviation against acts of unlawful interference, the Agency shall</w:t>
      </w:r>
      <w:r w:rsidR="008524C3">
        <w:rPr>
          <w:noProof/>
          <w:kern w:val="32"/>
        </w:rPr>
        <w:t>,</w:t>
      </w:r>
      <w:r w:rsidR="00DC17ED" w:rsidRPr="00DC17ED">
        <w:rPr>
          <w:noProof/>
          <w:kern w:val="32"/>
        </w:rPr>
        <w:t xml:space="preserve"> where necessary, react without undue delay to an urgent problem </w:t>
      </w:r>
      <w:r w:rsidR="00743668">
        <w:rPr>
          <w:noProof/>
          <w:kern w:val="32"/>
        </w:rPr>
        <w:t>by</w:t>
      </w:r>
      <w:r w:rsidR="00DC17ED" w:rsidRPr="00DC17ED">
        <w:rPr>
          <w:noProof/>
          <w:kern w:val="32"/>
        </w:rPr>
        <w:t xml:space="preserve"> taking measures </w:t>
      </w:r>
      <w:r w:rsidR="00743668">
        <w:rPr>
          <w:noProof/>
          <w:kern w:val="32"/>
        </w:rPr>
        <w:t>related to airworthiness and environmental certification</w:t>
      </w:r>
      <w:r w:rsidR="00DC17ED" w:rsidRPr="00DC17ED">
        <w:rPr>
          <w:noProof/>
          <w:kern w:val="32"/>
        </w:rPr>
        <w:t> to address vul</w:t>
      </w:r>
      <w:r w:rsidR="00743668">
        <w:rPr>
          <w:noProof/>
          <w:kern w:val="32"/>
        </w:rPr>
        <w:t xml:space="preserve">nerabilities in aircraft design, and </w:t>
      </w:r>
      <w:r w:rsidR="00DC17ED" w:rsidRPr="00DC17ED">
        <w:rPr>
          <w:noProof/>
          <w:kern w:val="32"/>
        </w:rPr>
        <w:t>recommend</w:t>
      </w:r>
      <w:r w:rsidR="00743668">
        <w:rPr>
          <w:noProof/>
          <w:kern w:val="32"/>
        </w:rPr>
        <w:t>ing</w:t>
      </w:r>
      <w:r w:rsidR="00DC17ED" w:rsidRPr="00DC17ED">
        <w:rPr>
          <w:noProof/>
          <w:kern w:val="32"/>
        </w:rPr>
        <w:t xml:space="preserve"> corrective actions to be taken by the national competent authorities or natural and legal persons subject to </w:t>
      </w:r>
      <w:r w:rsidR="00743668" w:rsidRPr="00743668">
        <w:rPr>
          <w:noProof/>
          <w:kern w:val="32"/>
        </w:rPr>
        <w:t>Regulation (EU) 2018/1139</w:t>
      </w:r>
      <w:r w:rsidR="00743668">
        <w:rPr>
          <w:noProof/>
          <w:kern w:val="32"/>
        </w:rPr>
        <w:t xml:space="preserve"> </w:t>
      </w:r>
      <w:r w:rsidR="00DC17ED" w:rsidRPr="00DC17ED">
        <w:rPr>
          <w:noProof/>
          <w:kern w:val="32"/>
        </w:rPr>
        <w:t>and/or disseminat</w:t>
      </w:r>
      <w:r w:rsidR="00743668">
        <w:rPr>
          <w:noProof/>
          <w:kern w:val="32"/>
        </w:rPr>
        <w:t>ing</w:t>
      </w:r>
      <w:r w:rsidR="00DC17ED" w:rsidRPr="00DC17ED">
        <w:rPr>
          <w:noProof/>
          <w:kern w:val="32"/>
        </w:rPr>
        <w:t xml:space="preserve"> relevant information to those authorities and persons, in the case that the problem affects aircraft operation, including the risks to civil aviation arising from conflict zones.</w:t>
      </w:r>
    </w:p>
    <w:p w14:paraId="43244E47" w14:textId="77777777" w:rsidR="00227854" w:rsidRPr="002006F3" w:rsidRDefault="00227854" w:rsidP="00227854">
      <w:pPr>
        <w:pStyle w:val="ListParagraph"/>
        <w:rPr>
          <w:noProof/>
          <w:kern w:val="32"/>
        </w:rPr>
      </w:pPr>
    </w:p>
    <w:p w14:paraId="62DBC71E" w14:textId="77777777" w:rsidR="003B15CB" w:rsidRPr="00FB18C9" w:rsidRDefault="003B15CB" w:rsidP="00FB18C9">
      <w:pPr>
        <w:pStyle w:val="ListParagraph"/>
        <w:numPr>
          <w:ilvl w:val="0"/>
          <w:numId w:val="49"/>
        </w:numPr>
        <w:rPr>
          <w:b/>
          <w:bCs/>
          <w:i/>
          <w:noProof/>
          <w:kern w:val="32"/>
        </w:rPr>
      </w:pPr>
      <w:r w:rsidRPr="00FB18C9">
        <w:rPr>
          <w:b/>
          <w:bCs/>
          <w:i/>
          <w:noProof/>
          <w:kern w:val="32"/>
        </w:rPr>
        <w:t>International cooperation</w:t>
      </w:r>
    </w:p>
    <w:p w14:paraId="2472B51F" w14:textId="77777777" w:rsidR="00F13835" w:rsidRPr="00FB18C9" w:rsidRDefault="00F13835">
      <w:pPr>
        <w:pStyle w:val="ListParagraph"/>
        <w:rPr>
          <w:b/>
          <w:bCs/>
          <w:i/>
          <w:noProof/>
          <w:kern w:val="32"/>
        </w:rPr>
      </w:pPr>
    </w:p>
    <w:p w14:paraId="5F9B3D54" w14:textId="77777777" w:rsidR="009A1E61" w:rsidRPr="00FB18C9" w:rsidRDefault="00603D57" w:rsidP="00FB18C9">
      <w:pPr>
        <w:pStyle w:val="ListParagraph"/>
        <w:ind w:left="0"/>
        <w:rPr>
          <w:noProof/>
        </w:rPr>
      </w:pPr>
      <w:r w:rsidRPr="006B5263">
        <w:rPr>
          <w:bCs/>
          <w:noProof/>
          <w:kern w:val="32"/>
        </w:rPr>
        <w:t>By virtue of international agreements in the aviation sector, the EU extends its regulatory framework to third countries and</w:t>
      </w:r>
      <w:r w:rsidRPr="00FB18C9">
        <w:rPr>
          <w:noProof/>
        </w:rPr>
        <w:t xml:space="preserve"> regions worldwide. </w:t>
      </w:r>
      <w:r w:rsidR="00D27D57" w:rsidRPr="00FB18C9">
        <w:rPr>
          <w:noProof/>
        </w:rPr>
        <w:t xml:space="preserve">These agreements seek either full regulatory convergence with the applicable EU rules with a view to </w:t>
      </w:r>
      <w:r w:rsidR="00651520" w:rsidRPr="00FB18C9">
        <w:rPr>
          <w:noProof/>
        </w:rPr>
        <w:t>enlarge the EU aviation single market with these third countries and regions, or establish rules and procedures for the mutual recognition of certificates.</w:t>
      </w:r>
      <w:r w:rsidR="00430596" w:rsidRPr="00FB18C9">
        <w:rPr>
          <w:noProof/>
        </w:rPr>
        <w:t xml:space="preserve"> In this respect, it is important to note the intense activity performed by the Commission and EASA to provide technical assistance to third countries and regions to support them in the implementation of the applicable EU aviation law. </w:t>
      </w:r>
      <w:r w:rsidR="00F62098" w:rsidRPr="00FB18C9">
        <w:rPr>
          <w:noProof/>
        </w:rPr>
        <w:t>Such assistance contribute</w:t>
      </w:r>
      <w:r w:rsidR="00430596" w:rsidRPr="00FB18C9">
        <w:rPr>
          <w:noProof/>
        </w:rPr>
        <w:t>s</w:t>
      </w:r>
      <w:r w:rsidR="00F62098" w:rsidRPr="00FB18C9">
        <w:rPr>
          <w:noProof/>
        </w:rPr>
        <w:t xml:space="preserve"> to the harmonisation of rules, the mutual recognition of certificates, in the interest of European industry, and the promotion of European aviation safety standards.</w:t>
      </w:r>
      <w:r w:rsidR="00430596" w:rsidRPr="00FB18C9">
        <w:rPr>
          <w:noProof/>
        </w:rPr>
        <w:t xml:space="preserve"> </w:t>
      </w:r>
      <w:r w:rsidR="00F62098" w:rsidRPr="00FB18C9">
        <w:rPr>
          <w:noProof/>
        </w:rPr>
        <w:t>The Agency cooperate</w:t>
      </w:r>
      <w:r w:rsidR="00430596" w:rsidRPr="00FB18C9">
        <w:rPr>
          <w:noProof/>
        </w:rPr>
        <w:t>s</w:t>
      </w:r>
      <w:r w:rsidR="00F62098" w:rsidRPr="00FB18C9">
        <w:rPr>
          <w:noProof/>
        </w:rPr>
        <w:t xml:space="preserve"> with the competent authorities of third countries and with international organisations </w:t>
      </w:r>
      <w:r w:rsidR="00430596" w:rsidRPr="00FB18C9">
        <w:rPr>
          <w:noProof/>
        </w:rPr>
        <w:t>and</w:t>
      </w:r>
      <w:r w:rsidR="00F62098" w:rsidRPr="00FB18C9">
        <w:rPr>
          <w:noProof/>
        </w:rPr>
        <w:t xml:space="preserve"> establish</w:t>
      </w:r>
      <w:r w:rsidR="00430596" w:rsidRPr="00FB18C9">
        <w:rPr>
          <w:noProof/>
        </w:rPr>
        <w:t>es</w:t>
      </w:r>
      <w:r w:rsidR="00F62098" w:rsidRPr="00FB18C9">
        <w:rPr>
          <w:noProof/>
        </w:rPr>
        <w:t xml:space="preserve"> working arrangements with those authorities and international organisations.</w:t>
      </w:r>
    </w:p>
    <w:p w14:paraId="618C9BE7" w14:textId="77777777" w:rsidR="00F62098" w:rsidRPr="00FB18C9" w:rsidRDefault="00430596" w:rsidP="00FB18C9">
      <w:pPr>
        <w:rPr>
          <w:noProof/>
        </w:rPr>
      </w:pPr>
      <w:r w:rsidRPr="00FB18C9">
        <w:rPr>
          <w:noProof/>
        </w:rPr>
        <w:t>In the context of ICAO, EASA</w:t>
      </w:r>
      <w:r w:rsidR="00F62098" w:rsidRPr="00FB18C9">
        <w:rPr>
          <w:noProof/>
        </w:rPr>
        <w:t xml:space="preserve"> assist</w:t>
      </w:r>
      <w:r w:rsidRPr="00FB18C9">
        <w:rPr>
          <w:noProof/>
        </w:rPr>
        <w:t>s</w:t>
      </w:r>
      <w:r w:rsidR="00F62098" w:rsidRPr="00FB18C9">
        <w:rPr>
          <w:noProof/>
        </w:rPr>
        <w:t xml:space="preserve"> Member </w:t>
      </w:r>
      <w:r w:rsidR="00A46B04" w:rsidRPr="00FB18C9">
        <w:rPr>
          <w:noProof/>
        </w:rPr>
        <w:t>State</w:t>
      </w:r>
      <w:r w:rsidR="00F62098" w:rsidRPr="00FB18C9">
        <w:rPr>
          <w:noProof/>
        </w:rPr>
        <w:t>s in exercising their rights and fulfilling their obligations under international agreements relating to matters covered by this Regulation, in particular their rights and obligations under the Chicago Convention.</w:t>
      </w:r>
    </w:p>
    <w:p w14:paraId="6A45C555" w14:textId="77777777" w:rsidR="00CC1B33" w:rsidRDefault="00F62098" w:rsidP="00FB18C9">
      <w:pPr>
        <w:rPr>
          <w:noProof/>
          <w:kern w:val="32"/>
        </w:rPr>
      </w:pPr>
      <w:r w:rsidRPr="00FB18C9">
        <w:rPr>
          <w:noProof/>
        </w:rPr>
        <w:t>The Agency</w:t>
      </w:r>
      <w:r w:rsidRPr="00F62098">
        <w:rPr>
          <w:noProof/>
          <w:kern w:val="32"/>
        </w:rPr>
        <w:t xml:space="preserve"> act</w:t>
      </w:r>
      <w:r w:rsidR="00430596">
        <w:rPr>
          <w:noProof/>
          <w:kern w:val="32"/>
        </w:rPr>
        <w:t>s</w:t>
      </w:r>
      <w:r w:rsidRPr="00F62098">
        <w:rPr>
          <w:noProof/>
          <w:kern w:val="32"/>
        </w:rPr>
        <w:t xml:space="preserve"> as a Regional Safety Oversight Organisation in the ICAO framework</w:t>
      </w:r>
      <w:r w:rsidR="00A83F50">
        <w:rPr>
          <w:noProof/>
          <w:kern w:val="32"/>
        </w:rPr>
        <w:t xml:space="preserve"> (see section 1.2 above)</w:t>
      </w:r>
      <w:r w:rsidRPr="00F62098">
        <w:rPr>
          <w:noProof/>
          <w:kern w:val="32"/>
        </w:rPr>
        <w:t>.</w:t>
      </w:r>
    </w:p>
    <w:p w14:paraId="11B0349C" w14:textId="77777777" w:rsidR="005326B9" w:rsidRDefault="005326B9" w:rsidP="00FB18C9">
      <w:pPr>
        <w:rPr>
          <w:noProof/>
          <w:kern w:val="32"/>
        </w:rPr>
      </w:pPr>
    </w:p>
    <w:p w14:paraId="2FDEF946" w14:textId="5E418556" w:rsidR="00514236" w:rsidRPr="00FB18C9" w:rsidRDefault="00E26A43" w:rsidP="00FB18C9">
      <w:pPr>
        <w:pStyle w:val="ListParagraph"/>
        <w:numPr>
          <w:ilvl w:val="0"/>
          <w:numId w:val="49"/>
        </w:numPr>
        <w:rPr>
          <w:b/>
          <w:bCs/>
          <w:i/>
          <w:noProof/>
          <w:kern w:val="32"/>
        </w:rPr>
      </w:pPr>
      <w:bookmarkStart w:id="64" w:name="_Hlk93331382"/>
      <w:r>
        <w:rPr>
          <w:b/>
          <w:bCs/>
          <w:i/>
          <w:noProof/>
          <w:kern w:val="32"/>
        </w:rPr>
        <w:t>Aviation Crisis Management</w:t>
      </w:r>
    </w:p>
    <w:p w14:paraId="180DB98A" w14:textId="77777777" w:rsidR="00514236" w:rsidRDefault="00514236" w:rsidP="00514236">
      <w:pPr>
        <w:pStyle w:val="ListParagraph"/>
        <w:rPr>
          <w:i/>
          <w:noProof/>
          <w:kern w:val="32"/>
        </w:rPr>
      </w:pPr>
    </w:p>
    <w:p w14:paraId="6193A511" w14:textId="77777777" w:rsidR="00514236" w:rsidRPr="00FB18C9" w:rsidRDefault="00D520E7" w:rsidP="00FB18C9">
      <w:pPr>
        <w:rPr>
          <w:noProof/>
        </w:rPr>
      </w:pPr>
      <w:r w:rsidRPr="00FB18C9">
        <w:rPr>
          <w:noProof/>
        </w:rPr>
        <w:t xml:space="preserve">The Commission, as well as </w:t>
      </w:r>
      <w:r w:rsidR="00514236" w:rsidRPr="00FB18C9">
        <w:rPr>
          <w:noProof/>
        </w:rPr>
        <w:t xml:space="preserve">EASA in accordance with Article 91 of Regulation (EU) 2018/1139, took immediate action within its field of competence to contribute to a timely response to and mitigation of the COVID-19 crisis. EASA in coordination with </w:t>
      </w:r>
      <w:r w:rsidRPr="00FB18C9">
        <w:rPr>
          <w:noProof/>
        </w:rPr>
        <w:t>relevant</w:t>
      </w:r>
      <w:r w:rsidR="00514236" w:rsidRPr="00FB18C9">
        <w:rPr>
          <w:noProof/>
        </w:rPr>
        <w:t xml:space="preserve"> stakeholders issued a number of requirements and recommendations for the Member States and aviation stakeholders, in the form of Safety Directives, Safety Information Bulletins, guidelines and safety promotion materials. </w:t>
      </w:r>
    </w:p>
    <w:p w14:paraId="78307761" w14:textId="77777777" w:rsidR="00514236" w:rsidRDefault="00514236" w:rsidP="00FB18C9">
      <w:pPr>
        <w:pStyle w:val="ListParagraph"/>
        <w:ind w:left="0"/>
        <w:rPr>
          <w:noProof/>
          <w:kern w:val="32"/>
        </w:rPr>
      </w:pPr>
      <w:r w:rsidRPr="00FB18C9">
        <w:rPr>
          <w:noProof/>
        </w:rPr>
        <w:t>Among these documents, EASA and the European Centre for Disease Prevention and Control (ECDC) issued a joint document defining measures to assure the health safety of air travellers and aviation personnel once airlines resume regular flight schedules following the severe disruption caused</w:t>
      </w:r>
      <w:r w:rsidRPr="00312BA8">
        <w:rPr>
          <w:noProof/>
          <w:kern w:val="32"/>
        </w:rPr>
        <w:t xml:space="preserve"> by COVID-19</w:t>
      </w:r>
      <w:r w:rsidRPr="00FB18C9">
        <w:rPr>
          <w:noProof/>
          <w:kern w:val="32"/>
          <w:vertAlign w:val="superscript"/>
        </w:rPr>
        <w:footnoteReference w:id="15"/>
      </w:r>
      <w:r w:rsidRPr="00312BA8">
        <w:rPr>
          <w:noProof/>
          <w:kern w:val="32"/>
        </w:rPr>
        <w:t>.</w:t>
      </w:r>
      <w:r>
        <w:rPr>
          <w:noProof/>
          <w:kern w:val="32"/>
        </w:rPr>
        <w:t xml:space="preserve"> </w:t>
      </w:r>
    </w:p>
    <w:p w14:paraId="7660CE41" w14:textId="77777777" w:rsidR="007C4D15" w:rsidRDefault="007C4D15" w:rsidP="00514236">
      <w:pPr>
        <w:pStyle w:val="ListParagraph"/>
        <w:rPr>
          <w:noProof/>
          <w:kern w:val="32"/>
        </w:rPr>
      </w:pPr>
    </w:p>
    <w:p w14:paraId="7AD583ED" w14:textId="77777777" w:rsidR="007C4D15" w:rsidRPr="00FB18C9" w:rsidRDefault="007C4D15" w:rsidP="007C4D15">
      <w:pPr>
        <w:pStyle w:val="ListParagraph"/>
        <w:numPr>
          <w:ilvl w:val="0"/>
          <w:numId w:val="49"/>
        </w:numPr>
        <w:rPr>
          <w:b/>
          <w:bCs/>
          <w:i/>
          <w:noProof/>
          <w:kern w:val="32"/>
        </w:rPr>
      </w:pPr>
      <w:r w:rsidRPr="00FB18C9">
        <w:rPr>
          <w:b/>
          <w:bCs/>
          <w:i/>
          <w:noProof/>
          <w:kern w:val="32"/>
        </w:rPr>
        <w:t>Interdependencies between civil aviation safety and socio-economic factors</w:t>
      </w:r>
    </w:p>
    <w:p w14:paraId="6C332616" w14:textId="77777777" w:rsidR="007C4D15" w:rsidRPr="00DC17ED" w:rsidRDefault="007C4D15" w:rsidP="007C4D15">
      <w:pPr>
        <w:pStyle w:val="ListParagraph"/>
        <w:rPr>
          <w:noProof/>
          <w:kern w:val="32"/>
        </w:rPr>
      </w:pPr>
    </w:p>
    <w:p w14:paraId="0149181A" w14:textId="77777777" w:rsidR="007C4D15" w:rsidRPr="00B26618" w:rsidRDefault="007C4D15" w:rsidP="00FB18C9">
      <w:pPr>
        <w:pStyle w:val="ListParagraph"/>
        <w:ind w:left="0"/>
        <w:contextualSpacing w:val="0"/>
        <w:rPr>
          <w:noProof/>
          <w:kern w:val="32"/>
        </w:rPr>
      </w:pPr>
      <w:r w:rsidRPr="002006F3">
        <w:rPr>
          <w:noProof/>
          <w:kern w:val="32"/>
        </w:rPr>
        <w:t>Article 89 of R</w:t>
      </w:r>
      <w:r w:rsidRPr="00B26618">
        <w:rPr>
          <w:noProof/>
          <w:kern w:val="32"/>
        </w:rPr>
        <w:t xml:space="preserve">egulation (EU) 2018/1139 </w:t>
      </w:r>
      <w:r w:rsidRPr="002006F3">
        <w:rPr>
          <w:noProof/>
          <w:kern w:val="32"/>
        </w:rPr>
        <w:t xml:space="preserve">introduced the requirement that </w:t>
      </w:r>
      <w:r>
        <w:rPr>
          <w:noProof/>
          <w:kern w:val="32"/>
        </w:rPr>
        <w:t>‘</w:t>
      </w:r>
      <w:r w:rsidRPr="00FB18C9">
        <w:rPr>
          <w:i/>
          <w:noProof/>
          <w:kern w:val="32"/>
        </w:rPr>
        <w:t>the Commission, the Agency, other Union institutions bodies, offices and agencies and the Member States shall cooperate with a view to ensuring that interdependencies between civil aviation safety and related socio-economic factors are taken into account including in regulatory procedures, oversight and implementation of just culture […] to address socio-economic risks to aviation safety</w:t>
      </w:r>
      <w:r>
        <w:rPr>
          <w:noProof/>
          <w:kern w:val="32"/>
        </w:rPr>
        <w:t>’</w:t>
      </w:r>
      <w:r w:rsidRPr="00B26618">
        <w:rPr>
          <w:noProof/>
          <w:kern w:val="32"/>
        </w:rPr>
        <w:t>.</w:t>
      </w:r>
    </w:p>
    <w:p w14:paraId="6C2E4588" w14:textId="77777777" w:rsidR="007C4D15" w:rsidRPr="002006F3" w:rsidRDefault="007C4D15" w:rsidP="00FB18C9">
      <w:pPr>
        <w:pStyle w:val="ListParagraph"/>
        <w:ind w:left="0"/>
        <w:contextualSpacing w:val="0"/>
        <w:rPr>
          <w:noProof/>
          <w:kern w:val="32"/>
        </w:rPr>
      </w:pPr>
      <w:r w:rsidRPr="00B26618">
        <w:rPr>
          <w:noProof/>
          <w:kern w:val="32"/>
        </w:rPr>
        <w:t xml:space="preserve">It further requires the Agency to publish every </w:t>
      </w:r>
      <w:r>
        <w:rPr>
          <w:noProof/>
          <w:kern w:val="32"/>
        </w:rPr>
        <w:t>three</w:t>
      </w:r>
      <w:r w:rsidRPr="00B26618">
        <w:rPr>
          <w:noProof/>
          <w:kern w:val="32"/>
        </w:rPr>
        <w:t xml:space="preserve"> years a review </w:t>
      </w:r>
      <w:r w:rsidR="00E5706D">
        <w:rPr>
          <w:noProof/>
          <w:kern w:val="32"/>
        </w:rPr>
        <w:t>‘</w:t>
      </w:r>
      <w:r w:rsidRPr="00FB18C9">
        <w:rPr>
          <w:i/>
          <w:noProof/>
          <w:kern w:val="32"/>
        </w:rPr>
        <w:t>which shall give an objective account of the actions and measures undertaken, in particular those addressing the interdependencies between civil aviation safety and socio-economic factors</w:t>
      </w:r>
      <w:r>
        <w:rPr>
          <w:noProof/>
          <w:kern w:val="32"/>
        </w:rPr>
        <w:t>’.</w:t>
      </w:r>
    </w:p>
    <w:p w14:paraId="462E5311" w14:textId="531DAA1C" w:rsidR="007C4D15" w:rsidRDefault="007C4D15" w:rsidP="00FB18C9">
      <w:pPr>
        <w:pStyle w:val="ListParagraph"/>
        <w:ind w:left="0"/>
        <w:contextualSpacing w:val="0"/>
        <w:rPr>
          <w:noProof/>
          <w:kern w:val="32"/>
        </w:rPr>
      </w:pPr>
      <w:r>
        <w:rPr>
          <w:noProof/>
          <w:kern w:val="32"/>
        </w:rPr>
        <w:t>This is in line with</w:t>
      </w:r>
      <w:r w:rsidRPr="002006F3">
        <w:rPr>
          <w:noProof/>
          <w:kern w:val="32"/>
        </w:rPr>
        <w:t xml:space="preserve"> the European Safety Risk Management </w:t>
      </w:r>
      <w:r>
        <w:rPr>
          <w:noProof/>
          <w:kern w:val="32"/>
        </w:rPr>
        <w:t xml:space="preserve">(SRM) </w:t>
      </w:r>
      <w:r w:rsidRPr="002006F3">
        <w:rPr>
          <w:noProof/>
          <w:kern w:val="32"/>
        </w:rPr>
        <w:t>process</w:t>
      </w:r>
      <w:r>
        <w:rPr>
          <w:noProof/>
          <w:kern w:val="32"/>
        </w:rPr>
        <w:t>, which</w:t>
      </w:r>
      <w:r w:rsidRPr="002006F3">
        <w:rPr>
          <w:noProof/>
          <w:kern w:val="32"/>
        </w:rPr>
        <w:t xml:space="preserve"> </w:t>
      </w:r>
      <w:r w:rsidR="00274FEE">
        <w:rPr>
          <w:noProof/>
          <w:kern w:val="32"/>
        </w:rPr>
        <w:t xml:space="preserve">- </w:t>
      </w:r>
      <w:r w:rsidRPr="002006F3">
        <w:rPr>
          <w:noProof/>
          <w:kern w:val="32"/>
        </w:rPr>
        <w:t xml:space="preserve">being a proactive and data driven </w:t>
      </w:r>
      <w:r>
        <w:rPr>
          <w:noProof/>
          <w:kern w:val="32"/>
        </w:rPr>
        <w:t>process</w:t>
      </w:r>
      <w:r w:rsidR="00274FEE">
        <w:rPr>
          <w:noProof/>
          <w:kern w:val="32"/>
        </w:rPr>
        <w:t xml:space="preserve"> -</w:t>
      </w:r>
      <w:r>
        <w:rPr>
          <w:noProof/>
          <w:kern w:val="32"/>
        </w:rPr>
        <w:t xml:space="preserve"> </w:t>
      </w:r>
      <w:r w:rsidRPr="002006F3">
        <w:rPr>
          <w:noProof/>
          <w:kern w:val="32"/>
        </w:rPr>
        <w:t>aims at a systematic identification and assessment of safety issues including those arising from socio-economic factors.</w:t>
      </w:r>
      <w:r>
        <w:rPr>
          <w:noProof/>
          <w:kern w:val="32"/>
        </w:rPr>
        <w:t xml:space="preserve"> EASA published t</w:t>
      </w:r>
      <w:r w:rsidRPr="002006F3">
        <w:rPr>
          <w:noProof/>
          <w:kern w:val="32"/>
        </w:rPr>
        <w:t>he first issue of the Article 89 review in December 2021</w:t>
      </w:r>
      <w:r w:rsidRPr="00FB18C9">
        <w:rPr>
          <w:noProof/>
          <w:kern w:val="32"/>
          <w:vertAlign w:val="superscript"/>
        </w:rPr>
        <w:footnoteReference w:id="16"/>
      </w:r>
      <w:r w:rsidR="001A196C">
        <w:rPr>
          <w:noProof/>
          <w:kern w:val="32"/>
        </w:rPr>
        <w:t>.</w:t>
      </w:r>
      <w:r w:rsidRPr="002006F3">
        <w:rPr>
          <w:noProof/>
          <w:kern w:val="32"/>
        </w:rPr>
        <w:t xml:space="preserve"> </w:t>
      </w:r>
      <w:r>
        <w:rPr>
          <w:noProof/>
          <w:kern w:val="32"/>
        </w:rPr>
        <w:t xml:space="preserve">The review </w:t>
      </w:r>
      <w:r w:rsidRPr="002006F3">
        <w:rPr>
          <w:noProof/>
          <w:kern w:val="32"/>
        </w:rPr>
        <w:t>examines in particular the safety implications of socio-economic factors in the areas of Employment and Working Conditions, Health and Lifestyle and Education. It also identifies possible future actions and measures</w:t>
      </w:r>
      <w:r w:rsidRPr="00702D64">
        <w:rPr>
          <w:noProof/>
          <w:kern w:val="32"/>
        </w:rPr>
        <w:t xml:space="preserve"> </w:t>
      </w:r>
      <w:r>
        <w:rPr>
          <w:noProof/>
          <w:kern w:val="32"/>
        </w:rPr>
        <w:t xml:space="preserve">in the </w:t>
      </w:r>
      <w:r w:rsidRPr="002006F3">
        <w:rPr>
          <w:noProof/>
          <w:kern w:val="32"/>
        </w:rPr>
        <w:t>EPAS</w:t>
      </w:r>
      <w:r>
        <w:rPr>
          <w:noProof/>
          <w:kern w:val="32"/>
        </w:rPr>
        <w:t xml:space="preserve"> context</w:t>
      </w:r>
      <w:r w:rsidRPr="002006F3">
        <w:rPr>
          <w:noProof/>
          <w:kern w:val="32"/>
        </w:rPr>
        <w:t>.</w:t>
      </w:r>
    </w:p>
    <w:p w14:paraId="7A357E53" w14:textId="77777777" w:rsidR="00004DE8" w:rsidRPr="00004DE8" w:rsidRDefault="00056842" w:rsidP="001A0D14">
      <w:pPr>
        <w:pStyle w:val="Heading4"/>
        <w:keepLines w:val="0"/>
        <w:numPr>
          <w:ilvl w:val="3"/>
          <w:numId w:val="11"/>
        </w:numPr>
        <w:spacing w:before="240" w:after="240"/>
        <w:rPr>
          <w:noProof/>
        </w:rPr>
      </w:pPr>
      <w:r w:rsidRPr="00056842">
        <w:rPr>
          <w:noProof/>
        </w:rPr>
        <w:t>Agency measures</w:t>
      </w:r>
    </w:p>
    <w:p w14:paraId="713C3D78" w14:textId="77777777" w:rsidR="00502AAE" w:rsidRPr="00E25C16" w:rsidRDefault="00502AAE" w:rsidP="00FB3545">
      <w:pPr>
        <w:rPr>
          <w:noProof/>
        </w:rPr>
      </w:pPr>
      <w:r w:rsidRPr="00E25C16">
        <w:rPr>
          <w:noProof/>
        </w:rPr>
        <w:t xml:space="preserve">The implementation of Regulation </w:t>
      </w:r>
      <w:r w:rsidR="00084F65">
        <w:rPr>
          <w:noProof/>
        </w:rPr>
        <w:t xml:space="preserve">(EU) </w:t>
      </w:r>
      <w:r w:rsidR="006831DF">
        <w:rPr>
          <w:noProof/>
        </w:rPr>
        <w:t>2018/1139</w:t>
      </w:r>
      <w:r>
        <w:rPr>
          <w:noProof/>
        </w:rPr>
        <w:t xml:space="preserve"> </w:t>
      </w:r>
      <w:r w:rsidRPr="00E25C16">
        <w:rPr>
          <w:noProof/>
        </w:rPr>
        <w:t xml:space="preserve">and of </w:t>
      </w:r>
      <w:r>
        <w:rPr>
          <w:noProof/>
        </w:rPr>
        <w:t>its</w:t>
      </w:r>
      <w:r w:rsidRPr="00E25C16">
        <w:rPr>
          <w:noProof/>
        </w:rPr>
        <w:t xml:space="preserve"> implementing </w:t>
      </w:r>
      <w:r w:rsidR="00E26A43">
        <w:rPr>
          <w:noProof/>
        </w:rPr>
        <w:t xml:space="preserve">and delegated </w:t>
      </w:r>
      <w:r w:rsidR="00E37473">
        <w:rPr>
          <w:noProof/>
        </w:rPr>
        <w:t>acts</w:t>
      </w:r>
      <w:r w:rsidRPr="00E25C16">
        <w:rPr>
          <w:noProof/>
        </w:rPr>
        <w:t xml:space="preserve"> is supported, where relevant, by Certification Specifications (CS</w:t>
      </w:r>
      <w:r w:rsidR="00E27E65">
        <w:rPr>
          <w:noProof/>
        </w:rPr>
        <w:t>s</w:t>
      </w:r>
      <w:r w:rsidRPr="00E25C16">
        <w:rPr>
          <w:noProof/>
        </w:rPr>
        <w:t>)</w:t>
      </w:r>
      <w:r w:rsidR="00BA79D1">
        <w:rPr>
          <w:noProof/>
        </w:rPr>
        <w:t xml:space="preserve"> and other detailed specifications (DS</w:t>
      </w:r>
      <w:r w:rsidR="00E27E65">
        <w:rPr>
          <w:noProof/>
        </w:rPr>
        <w:t>s</w:t>
      </w:r>
      <w:r w:rsidR="00BA79D1">
        <w:rPr>
          <w:noProof/>
        </w:rPr>
        <w:t>)</w:t>
      </w:r>
      <w:r w:rsidRPr="00E25C16">
        <w:rPr>
          <w:noProof/>
        </w:rPr>
        <w:t xml:space="preserve">, Acceptable Means of Compliance (AMC) </w:t>
      </w:r>
      <w:r w:rsidR="0044705D">
        <w:rPr>
          <w:noProof/>
        </w:rPr>
        <w:t>and</w:t>
      </w:r>
      <w:r w:rsidRPr="00E25C16">
        <w:rPr>
          <w:noProof/>
        </w:rPr>
        <w:t xml:space="preserve"> Guidance Material (GM). </w:t>
      </w:r>
    </w:p>
    <w:p w14:paraId="2F0F2698" w14:textId="2746058F" w:rsidR="00CB72B8" w:rsidRPr="00CB72B8" w:rsidRDefault="00BA79D1" w:rsidP="00CB72B8">
      <w:pPr>
        <w:rPr>
          <w:noProof/>
        </w:rPr>
      </w:pPr>
      <w:r w:rsidRPr="00FB47FE">
        <w:rPr>
          <w:noProof/>
        </w:rPr>
        <w:t>CSs</w:t>
      </w:r>
      <w:r>
        <w:rPr>
          <w:noProof/>
        </w:rPr>
        <w:t xml:space="preserve"> </w:t>
      </w:r>
      <w:r w:rsidR="00874D5F">
        <w:rPr>
          <w:noProof/>
        </w:rPr>
        <w:t>provide for</w:t>
      </w:r>
      <w:r>
        <w:rPr>
          <w:noProof/>
        </w:rPr>
        <w:t xml:space="preserve"> </w:t>
      </w:r>
      <w:r w:rsidRPr="00FB47FE">
        <w:rPr>
          <w:noProof/>
        </w:rPr>
        <w:t>technical standards</w:t>
      </w:r>
      <w:r>
        <w:rPr>
          <w:noProof/>
        </w:rPr>
        <w:t xml:space="preserve">, which </w:t>
      </w:r>
      <w:r w:rsidRPr="00FB47FE">
        <w:rPr>
          <w:noProof/>
        </w:rPr>
        <w:t>indicat</w:t>
      </w:r>
      <w:r>
        <w:rPr>
          <w:noProof/>
        </w:rPr>
        <w:t>e</w:t>
      </w:r>
      <w:r w:rsidRPr="00FB47FE">
        <w:rPr>
          <w:noProof/>
        </w:rPr>
        <w:t xml:space="preserve"> the means to demonstrate compliance with Regulation</w:t>
      </w:r>
      <w:r>
        <w:rPr>
          <w:noProof/>
        </w:rPr>
        <w:t xml:space="preserve"> (EU) 2018/1139</w:t>
      </w:r>
      <w:r w:rsidRPr="00FB47FE">
        <w:rPr>
          <w:noProof/>
        </w:rPr>
        <w:t xml:space="preserve"> and </w:t>
      </w:r>
      <w:r>
        <w:rPr>
          <w:noProof/>
        </w:rPr>
        <w:t>the delegated and implementing acts adopted on the basis thereof</w:t>
      </w:r>
      <w:r w:rsidR="00CB72B8">
        <w:rPr>
          <w:noProof/>
        </w:rPr>
        <w:t xml:space="preserve">. They are used </w:t>
      </w:r>
      <w:r w:rsidR="00CB72B8" w:rsidRPr="00CB72B8">
        <w:rPr>
          <w:noProof/>
        </w:rPr>
        <w:t>for the purpose of certification of products, persons and organisations</w:t>
      </w:r>
      <w:r w:rsidR="00CB72B8">
        <w:rPr>
          <w:noProof/>
        </w:rPr>
        <w:t xml:space="preserve">. </w:t>
      </w:r>
      <w:r w:rsidR="00874D5F">
        <w:rPr>
          <w:noProof/>
        </w:rPr>
        <w:t xml:space="preserve">Where </w:t>
      </w:r>
      <w:r w:rsidR="00874D5F" w:rsidRPr="00FB47FE">
        <w:rPr>
          <w:noProof/>
        </w:rPr>
        <w:t>Regulation</w:t>
      </w:r>
      <w:r w:rsidR="00874D5F">
        <w:rPr>
          <w:noProof/>
        </w:rPr>
        <w:t xml:space="preserve"> (EU) 2018/1139</w:t>
      </w:r>
      <w:r w:rsidR="00874D5F" w:rsidRPr="00FB47FE">
        <w:rPr>
          <w:noProof/>
        </w:rPr>
        <w:t xml:space="preserve"> </w:t>
      </w:r>
      <w:r w:rsidR="008F56F5">
        <w:rPr>
          <w:noProof/>
        </w:rPr>
        <w:t xml:space="preserve">so </w:t>
      </w:r>
      <w:r w:rsidR="00874D5F">
        <w:rPr>
          <w:noProof/>
        </w:rPr>
        <w:t>provides, some</w:t>
      </w:r>
      <w:r w:rsidR="00CB72B8">
        <w:rPr>
          <w:noProof/>
        </w:rPr>
        <w:t xml:space="preserve"> </w:t>
      </w:r>
      <w:r w:rsidR="00CB72B8" w:rsidRPr="00CB72B8">
        <w:rPr>
          <w:noProof/>
        </w:rPr>
        <w:t>CS</w:t>
      </w:r>
      <w:r w:rsidR="00E27E65">
        <w:rPr>
          <w:noProof/>
        </w:rPr>
        <w:t>s</w:t>
      </w:r>
      <w:r w:rsidR="00CB72B8" w:rsidRPr="00CB72B8">
        <w:rPr>
          <w:noProof/>
        </w:rPr>
        <w:t xml:space="preserve"> </w:t>
      </w:r>
      <w:r w:rsidR="00874D5F">
        <w:rPr>
          <w:noProof/>
        </w:rPr>
        <w:t>form</w:t>
      </w:r>
      <w:r w:rsidR="00CB72B8" w:rsidRPr="00CB72B8">
        <w:rPr>
          <w:noProof/>
        </w:rPr>
        <w:t xml:space="preserve"> the certification basis </w:t>
      </w:r>
      <w:r w:rsidR="00874D5F">
        <w:rPr>
          <w:noProof/>
        </w:rPr>
        <w:t>for the issuance of</w:t>
      </w:r>
      <w:r w:rsidR="00CB72B8" w:rsidRPr="00CB72B8">
        <w:rPr>
          <w:noProof/>
        </w:rPr>
        <w:t xml:space="preserve"> the certificate by </w:t>
      </w:r>
      <w:r w:rsidR="00874D5F">
        <w:rPr>
          <w:noProof/>
        </w:rPr>
        <w:t>EASA</w:t>
      </w:r>
      <w:r w:rsidR="00CB72B8" w:rsidRPr="00CB72B8">
        <w:rPr>
          <w:noProof/>
        </w:rPr>
        <w:t xml:space="preserve">. </w:t>
      </w:r>
    </w:p>
    <w:p w14:paraId="734874C0" w14:textId="160D61BC" w:rsidR="00CB72B8" w:rsidRPr="00CB72B8" w:rsidRDefault="00BA79D1" w:rsidP="00CB72B8">
      <w:pPr>
        <w:rPr>
          <w:noProof/>
        </w:rPr>
      </w:pPr>
      <w:bookmarkStart w:id="65" w:name="_Hlk82513475"/>
      <w:r>
        <w:rPr>
          <w:noProof/>
        </w:rPr>
        <w:t xml:space="preserve">DSs </w:t>
      </w:r>
      <w:r w:rsidRPr="00FB47FE">
        <w:rPr>
          <w:noProof/>
        </w:rPr>
        <w:t xml:space="preserve">are </w:t>
      </w:r>
      <w:r>
        <w:rPr>
          <w:noProof/>
        </w:rPr>
        <w:t xml:space="preserve">non-binding </w:t>
      </w:r>
      <w:r w:rsidRPr="00FB47FE">
        <w:rPr>
          <w:noProof/>
        </w:rPr>
        <w:t xml:space="preserve">standards </w:t>
      </w:r>
      <w:r>
        <w:rPr>
          <w:noProof/>
        </w:rPr>
        <w:t>issued</w:t>
      </w:r>
      <w:r w:rsidRPr="00FB47FE">
        <w:rPr>
          <w:noProof/>
        </w:rPr>
        <w:t xml:space="preserve"> by the Agency</w:t>
      </w:r>
      <w:r>
        <w:rPr>
          <w:noProof/>
        </w:rPr>
        <w:t xml:space="preserve"> for the purpose of implementing</w:t>
      </w:r>
      <w:r w:rsidRPr="00FB47FE">
        <w:rPr>
          <w:noProof/>
        </w:rPr>
        <w:t xml:space="preserve"> </w:t>
      </w:r>
      <w:r w:rsidR="00E37473">
        <w:rPr>
          <w:noProof/>
        </w:rPr>
        <w:t xml:space="preserve">certain provisions of </w:t>
      </w:r>
      <w:r w:rsidRPr="00FB47FE">
        <w:rPr>
          <w:noProof/>
        </w:rPr>
        <w:t xml:space="preserve">Regulation </w:t>
      </w:r>
      <w:r>
        <w:rPr>
          <w:noProof/>
        </w:rPr>
        <w:t xml:space="preserve">(EU) 2018/1139 </w:t>
      </w:r>
      <w:r w:rsidRPr="00FB47FE">
        <w:rPr>
          <w:noProof/>
        </w:rPr>
        <w:t xml:space="preserve">and </w:t>
      </w:r>
      <w:r>
        <w:rPr>
          <w:noProof/>
        </w:rPr>
        <w:t>the delegated and implementing acts adopted on the basis thereof</w:t>
      </w:r>
      <w:bookmarkEnd w:id="65"/>
      <w:r w:rsidR="00773519">
        <w:rPr>
          <w:noProof/>
        </w:rPr>
        <w:t xml:space="preserve">, where </w:t>
      </w:r>
      <w:r w:rsidR="00CB72B8" w:rsidRPr="00CB72B8">
        <w:rPr>
          <w:noProof/>
        </w:rPr>
        <w:t>Regulation</w:t>
      </w:r>
      <w:r w:rsidR="00CB72B8">
        <w:rPr>
          <w:noProof/>
        </w:rPr>
        <w:t xml:space="preserve"> </w:t>
      </w:r>
      <w:r w:rsidR="00CB72B8" w:rsidRPr="00CB72B8">
        <w:rPr>
          <w:noProof/>
        </w:rPr>
        <w:t>(EU) 2018/1139</w:t>
      </w:r>
      <w:r w:rsidR="00773519">
        <w:rPr>
          <w:noProof/>
        </w:rPr>
        <w:t xml:space="preserve"> requires the use of detailed specifications for the </w:t>
      </w:r>
      <w:r w:rsidR="00CB72B8" w:rsidRPr="00CB72B8">
        <w:rPr>
          <w:noProof/>
        </w:rPr>
        <w:t xml:space="preserve">declaration </w:t>
      </w:r>
      <w:r w:rsidR="00773519">
        <w:rPr>
          <w:noProof/>
        </w:rPr>
        <w:t xml:space="preserve">of compliance </w:t>
      </w:r>
      <w:r w:rsidR="00CB72B8" w:rsidRPr="00CB72B8">
        <w:rPr>
          <w:noProof/>
        </w:rPr>
        <w:t>by the organisation or person subject to such declaration</w:t>
      </w:r>
      <w:r w:rsidR="00CB72B8">
        <w:rPr>
          <w:noProof/>
        </w:rPr>
        <w:t xml:space="preserve"> obligation</w:t>
      </w:r>
      <w:r w:rsidR="00CB72B8" w:rsidRPr="00CB72B8">
        <w:rPr>
          <w:noProof/>
        </w:rPr>
        <w:t xml:space="preserve">. </w:t>
      </w:r>
    </w:p>
    <w:p w14:paraId="3DB3DA4B" w14:textId="77777777" w:rsidR="00BA79D1" w:rsidRDefault="00BA79D1" w:rsidP="00FB3545">
      <w:pPr>
        <w:rPr>
          <w:noProof/>
        </w:rPr>
      </w:pPr>
      <w:bookmarkStart w:id="66" w:name="_Hlk83536399"/>
      <w:r w:rsidRPr="00FB47FE">
        <w:rPr>
          <w:noProof/>
        </w:rPr>
        <w:t>AMC</w:t>
      </w:r>
      <w:r>
        <w:rPr>
          <w:noProof/>
        </w:rPr>
        <w:t xml:space="preserve"> </w:t>
      </w:r>
      <w:r w:rsidRPr="00FB47FE">
        <w:rPr>
          <w:noProof/>
        </w:rPr>
        <w:t xml:space="preserve">are non-binding standards </w:t>
      </w:r>
      <w:r>
        <w:rPr>
          <w:noProof/>
        </w:rPr>
        <w:t>issued</w:t>
      </w:r>
      <w:r w:rsidRPr="00FB47FE">
        <w:rPr>
          <w:noProof/>
        </w:rPr>
        <w:t xml:space="preserve"> by the Agency</w:t>
      </w:r>
      <w:r>
        <w:rPr>
          <w:noProof/>
        </w:rPr>
        <w:t xml:space="preserve"> which are used by</w:t>
      </w:r>
      <w:r w:rsidRPr="00FB47FE">
        <w:rPr>
          <w:noProof/>
        </w:rPr>
        <w:t xml:space="preserve"> </w:t>
      </w:r>
      <w:r>
        <w:rPr>
          <w:noProof/>
        </w:rPr>
        <w:t>organisations to show</w:t>
      </w:r>
      <w:r w:rsidRPr="00FB47FE">
        <w:rPr>
          <w:noProof/>
        </w:rPr>
        <w:t xml:space="preserve"> compliance with Regulation</w:t>
      </w:r>
      <w:r>
        <w:rPr>
          <w:noProof/>
        </w:rPr>
        <w:t xml:space="preserve"> (EU) 2018/1139</w:t>
      </w:r>
      <w:r w:rsidRPr="00FB47FE">
        <w:rPr>
          <w:noProof/>
        </w:rPr>
        <w:t xml:space="preserve"> and </w:t>
      </w:r>
      <w:r>
        <w:rPr>
          <w:noProof/>
        </w:rPr>
        <w:t>the delegated and implementing acts adopted on the basis thereof, or with the CSs and D</w:t>
      </w:r>
      <w:bookmarkEnd w:id="66"/>
      <w:r>
        <w:rPr>
          <w:noProof/>
        </w:rPr>
        <w:t>S</w:t>
      </w:r>
      <w:r w:rsidR="00E27E65">
        <w:rPr>
          <w:noProof/>
        </w:rPr>
        <w:t>s</w:t>
      </w:r>
      <w:r>
        <w:rPr>
          <w:noProof/>
        </w:rPr>
        <w:t>.</w:t>
      </w:r>
    </w:p>
    <w:p w14:paraId="37CA427E" w14:textId="77777777" w:rsidR="00BA79D1" w:rsidRDefault="00BA79D1" w:rsidP="00FB3545">
      <w:pPr>
        <w:rPr>
          <w:noProof/>
        </w:rPr>
      </w:pPr>
      <w:r w:rsidRPr="00490B26">
        <w:rPr>
          <w:noProof/>
        </w:rPr>
        <w:t>GM</w:t>
      </w:r>
      <w:r>
        <w:rPr>
          <w:noProof/>
        </w:rPr>
        <w:t xml:space="preserve"> </w:t>
      </w:r>
      <w:r w:rsidRPr="00490B26">
        <w:rPr>
          <w:noProof/>
        </w:rPr>
        <w:t>is non-binding material</w:t>
      </w:r>
      <w:r>
        <w:rPr>
          <w:noProof/>
        </w:rPr>
        <w:t xml:space="preserve"> issued </w:t>
      </w:r>
      <w:r w:rsidRPr="00490B26">
        <w:rPr>
          <w:noProof/>
        </w:rPr>
        <w:t>by the Agency</w:t>
      </w:r>
      <w:r>
        <w:rPr>
          <w:noProof/>
        </w:rPr>
        <w:t xml:space="preserve">, which helps to </w:t>
      </w:r>
      <w:r w:rsidRPr="00490B26">
        <w:rPr>
          <w:noProof/>
        </w:rPr>
        <w:t xml:space="preserve">illustrate the meaning of </w:t>
      </w:r>
      <w:r>
        <w:rPr>
          <w:noProof/>
        </w:rPr>
        <w:t>delegated or implementing acts</w:t>
      </w:r>
      <w:r w:rsidR="00343760">
        <w:rPr>
          <w:noProof/>
        </w:rPr>
        <w:t xml:space="preserve">, </w:t>
      </w:r>
      <w:r>
        <w:rPr>
          <w:noProof/>
        </w:rPr>
        <w:t xml:space="preserve">CSs </w:t>
      </w:r>
      <w:r w:rsidR="00343760">
        <w:rPr>
          <w:noProof/>
        </w:rPr>
        <w:t xml:space="preserve">or </w:t>
      </w:r>
      <w:r>
        <w:rPr>
          <w:noProof/>
        </w:rPr>
        <w:t>DSs,</w:t>
      </w:r>
      <w:r w:rsidRPr="00555944">
        <w:rPr>
          <w:noProof/>
        </w:rPr>
        <w:t xml:space="preserve"> a</w:t>
      </w:r>
      <w:r>
        <w:rPr>
          <w:noProof/>
        </w:rPr>
        <w:t>nd which</w:t>
      </w:r>
      <w:r w:rsidRPr="00555944">
        <w:rPr>
          <w:noProof/>
        </w:rPr>
        <w:t xml:space="preserve"> is used to support the </w:t>
      </w:r>
      <w:r>
        <w:rPr>
          <w:noProof/>
        </w:rPr>
        <w:t>interpretation</w:t>
      </w:r>
      <w:r w:rsidRPr="00555944">
        <w:rPr>
          <w:noProof/>
        </w:rPr>
        <w:t xml:space="preserve"> of </w:t>
      </w:r>
      <w:r>
        <w:rPr>
          <w:noProof/>
        </w:rPr>
        <w:t>Regulation (EU) 2018/1139, the delegated and implementing acts adopted on the basis thereof, and of CSs and DSs</w:t>
      </w:r>
      <w:r w:rsidR="00FB3545">
        <w:rPr>
          <w:noProof/>
        </w:rPr>
        <w:t>.</w:t>
      </w:r>
    </w:p>
    <w:bookmarkEnd w:id="64"/>
    <w:p w14:paraId="6565AE0B" w14:textId="77777777" w:rsidR="00087497" w:rsidRPr="001A35E7" w:rsidRDefault="00087497" w:rsidP="001A0D14">
      <w:pPr>
        <w:pStyle w:val="Heading4"/>
        <w:keepLines w:val="0"/>
        <w:numPr>
          <w:ilvl w:val="3"/>
          <w:numId w:val="11"/>
        </w:numPr>
        <w:spacing w:before="240" w:after="240"/>
        <w:rPr>
          <w:noProof/>
        </w:rPr>
      </w:pPr>
      <w:r w:rsidRPr="001A35E7">
        <w:rPr>
          <w:noProof/>
        </w:rPr>
        <w:t xml:space="preserve">Flexibility Arrangements </w:t>
      </w:r>
    </w:p>
    <w:p w14:paraId="08D2C6C6" w14:textId="77777777" w:rsidR="00502AAE" w:rsidRPr="00E25C16" w:rsidRDefault="00502AAE" w:rsidP="0006001F">
      <w:pPr>
        <w:rPr>
          <w:noProof/>
        </w:rPr>
      </w:pPr>
      <w:r w:rsidRPr="00E25C16">
        <w:rPr>
          <w:noProof/>
        </w:rPr>
        <w:t xml:space="preserve">Since aviation is a complex activity, rules are </w:t>
      </w:r>
      <w:r w:rsidR="00097853">
        <w:rPr>
          <w:noProof/>
        </w:rPr>
        <w:t xml:space="preserve">not </w:t>
      </w:r>
      <w:r w:rsidRPr="00E25C16">
        <w:rPr>
          <w:noProof/>
        </w:rPr>
        <w:t xml:space="preserve">able to cater for all situations and a certain amount of flexibility is required to enable activities to take place whilst maintaining an adequate level of safety. </w:t>
      </w:r>
    </w:p>
    <w:p w14:paraId="19204730" w14:textId="77777777" w:rsidR="00502AAE" w:rsidRPr="00E25C16" w:rsidRDefault="00502AAE" w:rsidP="0006001F">
      <w:pPr>
        <w:rPr>
          <w:noProof/>
        </w:rPr>
      </w:pPr>
      <w:r w:rsidRPr="00E25C16">
        <w:rPr>
          <w:noProof/>
        </w:rPr>
        <w:t>To this end flexibility provisions are contained in Regulation</w:t>
      </w:r>
      <w:r w:rsidRPr="006A7686">
        <w:rPr>
          <w:noProof/>
        </w:rPr>
        <w:t xml:space="preserve"> </w:t>
      </w:r>
      <w:r w:rsidR="00084F65">
        <w:rPr>
          <w:noProof/>
        </w:rPr>
        <w:t xml:space="preserve">(EU) </w:t>
      </w:r>
      <w:r w:rsidR="006831DF">
        <w:rPr>
          <w:noProof/>
        </w:rPr>
        <w:t>2018/1139</w:t>
      </w:r>
      <w:r>
        <w:rPr>
          <w:noProof/>
        </w:rPr>
        <w:t>,</w:t>
      </w:r>
      <w:r w:rsidRPr="00E25C16">
        <w:rPr>
          <w:noProof/>
        </w:rPr>
        <w:t xml:space="preserve"> enabl</w:t>
      </w:r>
      <w:r>
        <w:rPr>
          <w:noProof/>
        </w:rPr>
        <w:t>ing the</w:t>
      </w:r>
      <w:r w:rsidRPr="00E25C16">
        <w:rPr>
          <w:noProof/>
          <w:color w:val="0000FF"/>
        </w:rPr>
        <w:t xml:space="preserve"> </w:t>
      </w:r>
      <w:r w:rsidRPr="00E25C16">
        <w:rPr>
          <w:noProof/>
        </w:rPr>
        <w:t xml:space="preserve">Member </w:t>
      </w:r>
      <w:r w:rsidR="00A46B04">
        <w:rPr>
          <w:noProof/>
        </w:rPr>
        <w:t>State</w:t>
      </w:r>
      <w:r w:rsidRPr="00E25C16">
        <w:rPr>
          <w:noProof/>
        </w:rPr>
        <w:t>s</w:t>
      </w:r>
      <w:r w:rsidR="005617A2">
        <w:rPr>
          <w:noProof/>
        </w:rPr>
        <w:t xml:space="preserve"> to grant exemptions to any natural or legal person subject to the Regulation from the requirements applicable, in the event of urgent unforeseeable circumstances affecting those persons or urgent operational needs of those persons, provided that all of the following conditions have been met</w:t>
      </w:r>
      <w:r w:rsidRPr="00E25C16">
        <w:rPr>
          <w:noProof/>
        </w:rPr>
        <w:t>:</w:t>
      </w:r>
    </w:p>
    <w:p w14:paraId="0657CB31" w14:textId="77777777" w:rsidR="00502AAE" w:rsidRPr="00E25C16" w:rsidRDefault="0096399A" w:rsidP="001A0D14">
      <w:pPr>
        <w:numPr>
          <w:ilvl w:val="0"/>
          <w:numId w:val="32"/>
        </w:numPr>
        <w:rPr>
          <w:noProof/>
        </w:rPr>
      </w:pPr>
      <w:r w:rsidRPr="0096399A">
        <w:rPr>
          <w:noProof/>
        </w:rPr>
        <w:t>it is not possible to adequately address those circumstances or needs in compliance with the applicable requirements</w:t>
      </w:r>
      <w:r w:rsidR="00502AAE" w:rsidRPr="00E25C16">
        <w:rPr>
          <w:noProof/>
        </w:rPr>
        <w:t>;</w:t>
      </w:r>
    </w:p>
    <w:p w14:paraId="711AC69A" w14:textId="77777777" w:rsidR="00502AAE" w:rsidRPr="00E25C16" w:rsidRDefault="0096399A" w:rsidP="001A0D14">
      <w:pPr>
        <w:numPr>
          <w:ilvl w:val="0"/>
          <w:numId w:val="32"/>
        </w:numPr>
        <w:rPr>
          <w:noProof/>
        </w:rPr>
      </w:pPr>
      <w:r w:rsidRPr="0096399A">
        <w:rPr>
          <w:noProof/>
        </w:rPr>
        <w:t>safety, environmental protection and compliance with the applicable essential requirements are ensured, where necessary through the application of mitigation measures</w:t>
      </w:r>
      <w:r w:rsidR="00502AAE" w:rsidRPr="00E25C16">
        <w:rPr>
          <w:noProof/>
        </w:rPr>
        <w:t>;</w:t>
      </w:r>
    </w:p>
    <w:p w14:paraId="2B41FDCE" w14:textId="77777777" w:rsidR="00502AAE" w:rsidRDefault="0096399A" w:rsidP="001A0D14">
      <w:pPr>
        <w:numPr>
          <w:ilvl w:val="0"/>
          <w:numId w:val="32"/>
        </w:numPr>
        <w:rPr>
          <w:noProof/>
        </w:rPr>
      </w:pPr>
      <w:r w:rsidRPr="0096399A">
        <w:rPr>
          <w:noProof/>
        </w:rPr>
        <w:t xml:space="preserve">the Member </w:t>
      </w:r>
      <w:r w:rsidR="00A46B04">
        <w:rPr>
          <w:noProof/>
        </w:rPr>
        <w:t>State</w:t>
      </w:r>
      <w:r w:rsidRPr="0096399A">
        <w:rPr>
          <w:noProof/>
        </w:rPr>
        <w:t xml:space="preserve"> has mitigated any possible distortion of market conditions as a consequence of the granting of the exemption as far as possible;</w:t>
      </w:r>
      <w:r>
        <w:rPr>
          <w:noProof/>
        </w:rPr>
        <w:t xml:space="preserve"> and</w:t>
      </w:r>
    </w:p>
    <w:p w14:paraId="1DB2850E" w14:textId="77777777" w:rsidR="0096399A" w:rsidRDefault="0096399A" w:rsidP="001A0D14">
      <w:pPr>
        <w:numPr>
          <w:ilvl w:val="0"/>
          <w:numId w:val="32"/>
        </w:numPr>
        <w:rPr>
          <w:noProof/>
        </w:rPr>
      </w:pPr>
      <w:r w:rsidRPr="0096399A">
        <w:rPr>
          <w:noProof/>
        </w:rPr>
        <w:t>the exemption is limited in scope and duration to the extent strictly necessary and it is applied in a non-discriminatory manner.</w:t>
      </w:r>
    </w:p>
    <w:p w14:paraId="64A72CEC" w14:textId="77777777" w:rsidR="00ED74D9" w:rsidRDefault="005B19CE" w:rsidP="0006001F">
      <w:pPr>
        <w:rPr>
          <w:noProof/>
        </w:rPr>
      </w:pPr>
      <w:r w:rsidRPr="005B19CE">
        <w:rPr>
          <w:noProof/>
        </w:rPr>
        <w:t xml:space="preserve">Where the exemption was granted for a duration that exceeds eight consecutive months or where a Member </w:t>
      </w:r>
      <w:r w:rsidR="00A46B04">
        <w:rPr>
          <w:noProof/>
        </w:rPr>
        <w:t>State</w:t>
      </w:r>
      <w:r w:rsidRPr="005B19CE">
        <w:rPr>
          <w:noProof/>
        </w:rPr>
        <w:t xml:space="preserve"> has granted the same exemption repetitively and its total duration exceeds eight months, the Agency shall assess whether the conditions set out </w:t>
      </w:r>
      <w:r>
        <w:rPr>
          <w:noProof/>
        </w:rPr>
        <w:t xml:space="preserve">above </w:t>
      </w:r>
      <w:r w:rsidRPr="005B19CE">
        <w:rPr>
          <w:noProof/>
        </w:rPr>
        <w:t>have been met and shall issue, within three months from the date of the reception of the notification, a recommendation to the Commission as regards the outcome of that assessment.</w:t>
      </w:r>
      <w:r>
        <w:rPr>
          <w:noProof/>
        </w:rPr>
        <w:t xml:space="preserve"> Then </w:t>
      </w:r>
      <w:r w:rsidRPr="005B19CE">
        <w:rPr>
          <w:noProof/>
        </w:rPr>
        <w:t xml:space="preserve">the Commission shall, taking account of that recommendation, assess whether those conditions have been met. Where it considers that those conditions have not been met or where it departs from the outcome of the assessment by the Agency, the Commission shall adopt, within </w:t>
      </w:r>
      <w:r w:rsidR="00616B43">
        <w:rPr>
          <w:noProof/>
        </w:rPr>
        <w:t>three</w:t>
      </w:r>
      <w:r w:rsidRPr="005B19CE">
        <w:rPr>
          <w:noProof/>
        </w:rPr>
        <w:t xml:space="preserve"> months from the date of the reception of that recommendation, an implementing act containing its decision to that effect. Upon notification of an implementing act confirming that those conditions have not been met, the Member </w:t>
      </w:r>
      <w:r w:rsidR="00A46B04">
        <w:rPr>
          <w:noProof/>
        </w:rPr>
        <w:t>State</w:t>
      </w:r>
      <w:r w:rsidRPr="005B19CE">
        <w:rPr>
          <w:noProof/>
        </w:rPr>
        <w:t xml:space="preserve"> concerned shall immediately revoke the exem</w:t>
      </w:r>
      <w:r>
        <w:rPr>
          <w:noProof/>
        </w:rPr>
        <w:t>ption granted</w:t>
      </w:r>
      <w:r w:rsidR="00ED74D9">
        <w:rPr>
          <w:noProof/>
        </w:rPr>
        <w:t>.</w:t>
      </w:r>
    </w:p>
    <w:p w14:paraId="7C733478" w14:textId="77777777" w:rsidR="00ED74D9" w:rsidRDefault="00ED74D9" w:rsidP="0006001F">
      <w:pPr>
        <w:rPr>
          <w:noProof/>
        </w:rPr>
      </w:pPr>
      <w:r w:rsidRPr="00ED74D9">
        <w:rPr>
          <w:noProof/>
        </w:rPr>
        <w:t xml:space="preserve">Where a Member </w:t>
      </w:r>
      <w:r w:rsidR="00A46B04">
        <w:rPr>
          <w:noProof/>
        </w:rPr>
        <w:t>State</w:t>
      </w:r>
      <w:r w:rsidRPr="00ED74D9">
        <w:rPr>
          <w:noProof/>
        </w:rPr>
        <w:t xml:space="preserve"> considers that the compliance with the applicable essential requirements set out in the Annexes can be demonstrated by other means than those laid down in the delegated and implementing acts adopted on the basis of this Regulation, and that those means present significant advantages in terms of civil aviation safety or of efficiency for the persons subject to this Regulation or for the authorities concerned, it may submit to the Commission and the Agency</w:t>
      </w:r>
      <w:r>
        <w:rPr>
          <w:noProof/>
        </w:rPr>
        <w:t xml:space="preserve"> </w:t>
      </w:r>
      <w:r w:rsidRPr="00ED74D9">
        <w:rPr>
          <w:noProof/>
        </w:rPr>
        <w:t xml:space="preserve">a reasoned request for amendment of the delegated or implementing act concerned so as to allow for the use of those other means. In that case, the Agency shall, without undue delay, issue a recommendation to the Commission on whether the Member </w:t>
      </w:r>
      <w:r w:rsidR="00A46B04">
        <w:rPr>
          <w:noProof/>
        </w:rPr>
        <w:t>State</w:t>
      </w:r>
      <w:r w:rsidRPr="00ED74D9">
        <w:rPr>
          <w:noProof/>
        </w:rPr>
        <w:t xml:space="preserve">'s request fulfils the conditions set out </w:t>
      </w:r>
      <w:r>
        <w:rPr>
          <w:noProof/>
        </w:rPr>
        <w:t>above</w:t>
      </w:r>
      <w:r w:rsidRPr="00ED74D9">
        <w:rPr>
          <w:noProof/>
        </w:rPr>
        <w:t>. Where necessary, the Commission shall, without delay and taking account of that recommendation, consider amending the delegated or implementing act concerned.</w:t>
      </w:r>
    </w:p>
    <w:p w14:paraId="6AB0DE85" w14:textId="489A425A" w:rsidR="0026595A" w:rsidRDefault="005B20D3" w:rsidP="001A0D14">
      <w:pPr>
        <w:pStyle w:val="Heading3"/>
        <w:keepLines w:val="0"/>
        <w:numPr>
          <w:ilvl w:val="2"/>
          <w:numId w:val="11"/>
        </w:numPr>
        <w:spacing w:before="240" w:after="240"/>
        <w:rPr>
          <w:noProof/>
        </w:rPr>
      </w:pPr>
      <w:bookmarkStart w:id="67" w:name="_Toc94875645"/>
      <w:bookmarkStart w:id="68" w:name="_Toc102569202"/>
      <w:r>
        <w:rPr>
          <w:noProof/>
        </w:rPr>
        <w:t>I</w:t>
      </w:r>
      <w:r w:rsidR="0026595A" w:rsidRPr="0026595A">
        <w:rPr>
          <w:noProof/>
        </w:rPr>
        <w:t>nvestigation of accidents and incidents in civil aviation</w:t>
      </w:r>
      <w:bookmarkEnd w:id="67"/>
      <w:bookmarkEnd w:id="68"/>
    </w:p>
    <w:p w14:paraId="1E558922" w14:textId="6D053528" w:rsidR="00502AAE" w:rsidRDefault="00502AAE" w:rsidP="0006001F">
      <w:pPr>
        <w:rPr>
          <w:noProof/>
        </w:rPr>
      </w:pPr>
      <w:r w:rsidRPr="005B20D3">
        <w:rPr>
          <w:noProof/>
        </w:rPr>
        <w:t>The</w:t>
      </w:r>
      <w:r>
        <w:rPr>
          <w:noProof/>
        </w:rPr>
        <w:t xml:space="preserve"> </w:t>
      </w:r>
      <w:r w:rsidRPr="005B20D3">
        <w:rPr>
          <w:noProof/>
        </w:rPr>
        <w:t xml:space="preserve">rules applicable to the investigation of accidents and incidents are defined at European level, within Regulation (EU) </w:t>
      </w:r>
      <w:r w:rsidR="002656F3">
        <w:rPr>
          <w:noProof/>
        </w:rPr>
        <w:t xml:space="preserve">No </w:t>
      </w:r>
      <w:r w:rsidRPr="005B20D3">
        <w:rPr>
          <w:noProof/>
        </w:rPr>
        <w:t>996/2010</w:t>
      </w:r>
      <w:r w:rsidR="007C1A2D" w:rsidRPr="00FB18C9">
        <w:rPr>
          <w:noProof/>
          <w:vertAlign w:val="superscript"/>
        </w:rPr>
        <w:footnoteReference w:id="17"/>
      </w:r>
      <w:r w:rsidR="00A87137">
        <w:rPr>
          <w:noProof/>
        </w:rPr>
        <w:t>.</w:t>
      </w:r>
      <w:r>
        <w:rPr>
          <w:noProof/>
        </w:rPr>
        <w:t xml:space="preserve"> </w:t>
      </w:r>
      <w:r w:rsidRPr="005B20D3">
        <w:rPr>
          <w:noProof/>
        </w:rPr>
        <w:t>It ensures a high level of efficiency, expediency, and quality of European civil aviation safety investigations</w:t>
      </w:r>
      <w:r>
        <w:rPr>
          <w:noProof/>
        </w:rPr>
        <w:t>;</w:t>
      </w:r>
      <w:r w:rsidRPr="005B20D3">
        <w:rPr>
          <w:noProof/>
        </w:rPr>
        <w:t xml:space="preserve"> the sole objective being the prevention of future accidents and incidents without apportioning blame or liability. It further reinforces cooperation among safety investigation authorities by establishing the European Network of Civil Aviation Safety Investigation Authorities (ENCASIA) and introduces provisions for </w:t>
      </w:r>
      <w:r w:rsidR="003F1790">
        <w:rPr>
          <w:noProof/>
        </w:rPr>
        <w:t xml:space="preserve">storing </w:t>
      </w:r>
      <w:r w:rsidRPr="005B20D3">
        <w:rPr>
          <w:noProof/>
        </w:rPr>
        <w:t>safety recommendations and the</w:t>
      </w:r>
      <w:r>
        <w:rPr>
          <w:noProof/>
        </w:rPr>
        <w:t>ir</w:t>
      </w:r>
      <w:r w:rsidRPr="005B20D3">
        <w:rPr>
          <w:noProof/>
        </w:rPr>
        <w:t xml:space="preserve"> associated responses </w:t>
      </w:r>
      <w:r w:rsidR="003F1790">
        <w:rPr>
          <w:noProof/>
        </w:rPr>
        <w:t>in a</w:t>
      </w:r>
      <w:r w:rsidR="003F06D7">
        <w:rPr>
          <w:noProof/>
        </w:rPr>
        <w:t>n</w:t>
      </w:r>
      <w:r w:rsidR="003F1790">
        <w:rPr>
          <w:noProof/>
        </w:rPr>
        <w:t xml:space="preserve"> EU </w:t>
      </w:r>
      <w:r w:rsidR="00DE1767">
        <w:rPr>
          <w:noProof/>
        </w:rPr>
        <w:t xml:space="preserve">central </w:t>
      </w:r>
      <w:r w:rsidR="003F1790">
        <w:rPr>
          <w:noProof/>
        </w:rPr>
        <w:t>database</w:t>
      </w:r>
      <w:r w:rsidRPr="005B20D3">
        <w:rPr>
          <w:noProof/>
        </w:rPr>
        <w:t>.</w:t>
      </w:r>
    </w:p>
    <w:p w14:paraId="527A97A5" w14:textId="77777777" w:rsidR="005B20D3" w:rsidRPr="006F2980" w:rsidRDefault="00502AAE" w:rsidP="0006001F">
      <w:pPr>
        <w:rPr>
          <w:i/>
          <w:noProof/>
        </w:rPr>
      </w:pPr>
      <w:r>
        <w:rPr>
          <w:noProof/>
        </w:rPr>
        <w:t xml:space="preserve">More information about </w:t>
      </w:r>
      <w:r w:rsidR="00097853">
        <w:rPr>
          <w:noProof/>
        </w:rPr>
        <w:t xml:space="preserve">the </w:t>
      </w:r>
      <w:r>
        <w:rPr>
          <w:noProof/>
        </w:rPr>
        <w:t xml:space="preserve">accident and incident investigation processes in the European Union is enclosed under </w:t>
      </w:r>
      <w:hyperlink w:anchor="_Accident_and_incident" w:history="1">
        <w:r w:rsidRPr="00510011">
          <w:rPr>
            <w:rStyle w:val="Hyperlink"/>
            <w:noProof/>
          </w:rPr>
          <w:t>section 1.</w:t>
        </w:r>
        <w:r w:rsidR="00864210">
          <w:rPr>
            <w:rStyle w:val="Hyperlink"/>
            <w:noProof/>
          </w:rPr>
          <w:t>5</w:t>
        </w:r>
      </w:hyperlink>
      <w:r>
        <w:rPr>
          <w:noProof/>
        </w:rPr>
        <w:t>.</w:t>
      </w:r>
    </w:p>
    <w:p w14:paraId="44187AEB" w14:textId="4CEA6F5D" w:rsidR="008128A1" w:rsidRDefault="0026595A" w:rsidP="001A0D14">
      <w:pPr>
        <w:pStyle w:val="Heading3"/>
        <w:keepLines w:val="0"/>
        <w:numPr>
          <w:ilvl w:val="2"/>
          <w:numId w:val="11"/>
        </w:numPr>
        <w:spacing w:before="240" w:after="240"/>
        <w:rPr>
          <w:noProof/>
        </w:rPr>
      </w:pPr>
      <w:bookmarkStart w:id="69" w:name="_Toc94875646"/>
      <w:bookmarkStart w:id="70" w:name="_Toc102569203"/>
      <w:r w:rsidRPr="0026595A">
        <w:rPr>
          <w:noProof/>
        </w:rPr>
        <w:t>Reporting, analysis and follow-up of occurrences in civil aviation</w:t>
      </w:r>
      <w:bookmarkEnd w:id="69"/>
      <w:bookmarkEnd w:id="70"/>
    </w:p>
    <w:p w14:paraId="7A306B60" w14:textId="6729772E" w:rsidR="007E2DFE" w:rsidRDefault="00502AAE" w:rsidP="0006001F">
      <w:pPr>
        <w:rPr>
          <w:noProof/>
        </w:rPr>
      </w:pPr>
      <w:r>
        <w:rPr>
          <w:noProof/>
        </w:rPr>
        <w:t xml:space="preserve">Regulation (EU) </w:t>
      </w:r>
      <w:r w:rsidR="002656F3">
        <w:rPr>
          <w:noProof/>
        </w:rPr>
        <w:t xml:space="preserve">No </w:t>
      </w:r>
      <w:r>
        <w:rPr>
          <w:noProof/>
        </w:rPr>
        <w:t>376/2014</w:t>
      </w:r>
      <w:r w:rsidR="007C1A2D" w:rsidRPr="00FB18C9">
        <w:rPr>
          <w:noProof/>
          <w:vertAlign w:val="superscript"/>
        </w:rPr>
        <w:footnoteReference w:id="18"/>
      </w:r>
      <w:r w:rsidRPr="00E31A91">
        <w:rPr>
          <w:noProof/>
        </w:rPr>
        <w:t xml:space="preserve"> </w:t>
      </w:r>
      <w:r>
        <w:rPr>
          <w:noProof/>
        </w:rPr>
        <w:t>includes rules related to the reporting, analysis and follow-up of occurrences</w:t>
      </w:r>
      <w:r w:rsidR="007E2DFE">
        <w:rPr>
          <w:noProof/>
        </w:rPr>
        <w:t xml:space="preserve"> complementing the domain specific rules on occurrence reporting included with the domain implementing regulations</w:t>
      </w:r>
      <w:r>
        <w:rPr>
          <w:noProof/>
        </w:rPr>
        <w:t xml:space="preserve">. This legislation establishes requirements aiming at encouraging </w:t>
      </w:r>
      <w:r w:rsidR="00097853">
        <w:rPr>
          <w:noProof/>
        </w:rPr>
        <w:t>a strong</w:t>
      </w:r>
      <w:r>
        <w:rPr>
          <w:noProof/>
        </w:rPr>
        <w:t xml:space="preserve"> reporting culture. It also sets up obligations for the industry, for the Member </w:t>
      </w:r>
      <w:r w:rsidR="00A46B04">
        <w:rPr>
          <w:noProof/>
        </w:rPr>
        <w:t>State</w:t>
      </w:r>
      <w:r>
        <w:rPr>
          <w:noProof/>
        </w:rPr>
        <w:t>s and for EASA to collect and analyse occurrences</w:t>
      </w:r>
      <w:r w:rsidR="00097853">
        <w:rPr>
          <w:noProof/>
        </w:rPr>
        <w:t>,</w:t>
      </w:r>
      <w:r>
        <w:rPr>
          <w:noProof/>
        </w:rPr>
        <w:t xml:space="preserve"> with the view to support their safety management processes. </w:t>
      </w:r>
      <w:r w:rsidR="00A7469E">
        <w:rPr>
          <w:noProof/>
        </w:rPr>
        <w:t xml:space="preserve">In addition, </w:t>
      </w:r>
      <w:r>
        <w:rPr>
          <w:noProof/>
        </w:rPr>
        <w:t xml:space="preserve">it ensures that information is appropriately protected and is shared among the Member </w:t>
      </w:r>
      <w:r w:rsidR="00A46B04">
        <w:rPr>
          <w:noProof/>
        </w:rPr>
        <w:t>State</w:t>
      </w:r>
      <w:r>
        <w:rPr>
          <w:noProof/>
        </w:rPr>
        <w:t xml:space="preserve">s and with EASA. </w:t>
      </w:r>
      <w:r w:rsidR="00A7469E" w:rsidRPr="00A7469E">
        <w:rPr>
          <w:noProof/>
        </w:rPr>
        <w:t xml:space="preserve">The regulation </w:t>
      </w:r>
      <w:r w:rsidR="007E2DFE">
        <w:rPr>
          <w:noProof/>
        </w:rPr>
        <w:t xml:space="preserve">further </w:t>
      </w:r>
      <w:r w:rsidR="00A7469E" w:rsidRPr="00A7469E">
        <w:rPr>
          <w:noProof/>
        </w:rPr>
        <w:t xml:space="preserve">contains provisions to foster Just Culture principles in all Member </w:t>
      </w:r>
      <w:r w:rsidR="00A46B04">
        <w:rPr>
          <w:noProof/>
        </w:rPr>
        <w:t>State</w:t>
      </w:r>
      <w:r w:rsidR="00A7469E" w:rsidRPr="00A7469E">
        <w:rPr>
          <w:noProof/>
        </w:rPr>
        <w:t xml:space="preserve">s. </w:t>
      </w:r>
    </w:p>
    <w:p w14:paraId="2E943232" w14:textId="0E63E30B" w:rsidR="004805C0" w:rsidRDefault="00A7469E" w:rsidP="004805C0">
      <w:pPr>
        <w:rPr>
          <w:noProof/>
        </w:rPr>
      </w:pPr>
      <w:r w:rsidRPr="00A7469E">
        <w:rPr>
          <w:noProof/>
        </w:rPr>
        <w:t xml:space="preserve">Finally, the EASP benefits from the work of the Network of Analysts established by this regulation for the purpose of determining what action needs to be implemented at Union level from an evidence-based perspective. </w:t>
      </w:r>
      <w:r w:rsidR="004805C0">
        <w:rPr>
          <w:noProof/>
        </w:rPr>
        <w:t>This work benefit</w:t>
      </w:r>
      <w:r w:rsidR="006E5B84">
        <w:rPr>
          <w:noProof/>
        </w:rPr>
        <w:t>s</w:t>
      </w:r>
      <w:r w:rsidR="004805C0">
        <w:rPr>
          <w:noProof/>
        </w:rPr>
        <w:t xml:space="preserve"> from the advanced analytics available in the </w:t>
      </w:r>
      <w:r w:rsidR="004805C0" w:rsidRPr="004805C0">
        <w:rPr>
          <w:noProof/>
        </w:rPr>
        <w:t>Data4Safety</w:t>
      </w:r>
      <w:r w:rsidR="004805C0">
        <w:rPr>
          <w:noProof/>
        </w:rPr>
        <w:t xml:space="preserve"> platform as well as the possibility, when relevant, to </w:t>
      </w:r>
      <w:r w:rsidR="00C95ABF">
        <w:rPr>
          <w:noProof/>
        </w:rPr>
        <w:t xml:space="preserve">merge </w:t>
      </w:r>
      <w:r w:rsidR="004805C0">
        <w:rPr>
          <w:noProof/>
        </w:rPr>
        <w:t xml:space="preserve">occurrence data with other sources of data hence </w:t>
      </w:r>
      <w:r w:rsidR="00751ECE">
        <w:rPr>
          <w:noProof/>
        </w:rPr>
        <w:t>enhancing</w:t>
      </w:r>
      <w:r w:rsidR="004805C0">
        <w:rPr>
          <w:noProof/>
        </w:rPr>
        <w:t xml:space="preserve"> the data-driven dimension of this work and enabling a better identification and evaluation of the risks system-wide.</w:t>
      </w:r>
    </w:p>
    <w:p w14:paraId="0656666F" w14:textId="77777777" w:rsidR="00502AAE" w:rsidRDefault="00502AAE" w:rsidP="0006001F">
      <w:pPr>
        <w:rPr>
          <w:noProof/>
        </w:rPr>
      </w:pPr>
    </w:p>
    <w:p w14:paraId="3BA461A1" w14:textId="772DB7FF" w:rsidR="005D2F40" w:rsidRDefault="00235D5B" w:rsidP="001A0D14">
      <w:pPr>
        <w:pStyle w:val="Heading3"/>
        <w:keepLines w:val="0"/>
        <w:numPr>
          <w:ilvl w:val="2"/>
          <w:numId w:val="11"/>
        </w:numPr>
        <w:spacing w:before="240" w:after="240"/>
        <w:rPr>
          <w:noProof/>
        </w:rPr>
      </w:pPr>
      <w:bookmarkStart w:id="72" w:name="_Toc94875647"/>
      <w:bookmarkStart w:id="73" w:name="_Toc102569204"/>
      <w:r>
        <w:rPr>
          <w:noProof/>
        </w:rPr>
        <w:t xml:space="preserve">European Union </w:t>
      </w:r>
      <w:r w:rsidR="005D2F40" w:rsidRPr="005D2F40">
        <w:rPr>
          <w:noProof/>
        </w:rPr>
        <w:t xml:space="preserve">list of air carriers subject to an operating ban within the </w:t>
      </w:r>
      <w:r>
        <w:rPr>
          <w:noProof/>
        </w:rPr>
        <w:t>EU</w:t>
      </w:r>
      <w:bookmarkEnd w:id="72"/>
      <w:bookmarkEnd w:id="73"/>
    </w:p>
    <w:p w14:paraId="2C4224E5" w14:textId="6BB55F76" w:rsidR="00502AAE" w:rsidRDefault="00502AAE" w:rsidP="00AA04D9">
      <w:pPr>
        <w:rPr>
          <w:noProof/>
        </w:rPr>
      </w:pPr>
      <w:r w:rsidRPr="00932529">
        <w:rPr>
          <w:noProof/>
        </w:rPr>
        <w:t>Regulation (EC)</w:t>
      </w:r>
      <w:r w:rsidR="002656F3">
        <w:rPr>
          <w:noProof/>
        </w:rPr>
        <w:t xml:space="preserve"> No</w:t>
      </w:r>
      <w:r w:rsidRPr="00932529">
        <w:rPr>
          <w:noProof/>
        </w:rPr>
        <w:t xml:space="preserve"> 2111/2005</w:t>
      </w:r>
      <w:r w:rsidR="007C1A2D" w:rsidRPr="00FB18C9">
        <w:rPr>
          <w:noProof/>
          <w:vertAlign w:val="superscript"/>
        </w:rPr>
        <w:footnoteReference w:id="19"/>
      </w:r>
      <w:r w:rsidRPr="00FB18C9">
        <w:rPr>
          <w:noProof/>
          <w:vertAlign w:val="superscript"/>
        </w:rPr>
        <w:t xml:space="preserve"> </w:t>
      </w:r>
      <w:r w:rsidR="00A87137" w:rsidRPr="00A87137">
        <w:rPr>
          <w:noProof/>
        </w:rPr>
        <w:t xml:space="preserve">(hereinafter 'Regulation </w:t>
      </w:r>
      <w:r w:rsidR="00A87137">
        <w:rPr>
          <w:noProof/>
        </w:rPr>
        <w:t>No 2111/</w:t>
      </w:r>
      <w:r w:rsidR="005E0CEE">
        <w:rPr>
          <w:noProof/>
        </w:rPr>
        <w:t>2005'</w:t>
      </w:r>
      <w:r w:rsidR="00A87137">
        <w:rPr>
          <w:noProof/>
        </w:rPr>
        <w:t xml:space="preserve">) </w:t>
      </w:r>
      <w:r w:rsidRPr="00932529">
        <w:rPr>
          <w:noProof/>
        </w:rPr>
        <w:t>establishes rules on the establishment and publication of a</w:t>
      </w:r>
      <w:r w:rsidR="002C5C5E">
        <w:rPr>
          <w:noProof/>
        </w:rPr>
        <w:t>n</w:t>
      </w:r>
      <w:r w:rsidRPr="00932529">
        <w:rPr>
          <w:noProof/>
        </w:rPr>
        <w:t xml:space="preserve"> </w:t>
      </w:r>
      <w:r w:rsidR="00095505">
        <w:rPr>
          <w:noProof/>
        </w:rPr>
        <w:t>EU</w:t>
      </w:r>
      <w:r w:rsidRPr="00932529">
        <w:rPr>
          <w:noProof/>
        </w:rPr>
        <w:t xml:space="preserve"> list, based on common criteria, of air carriers which, for safety reasons, are subject to an operating ban in the Union.</w:t>
      </w:r>
      <w:r>
        <w:rPr>
          <w:noProof/>
        </w:rPr>
        <w:t xml:space="preserve"> The </w:t>
      </w:r>
      <w:hyperlink r:id="rId57" w:history="1">
        <w:r w:rsidRPr="001E4E1D">
          <w:rPr>
            <w:rStyle w:val="Hyperlink"/>
            <w:noProof/>
          </w:rPr>
          <w:t>list of banned air carriers</w:t>
        </w:r>
      </w:hyperlink>
      <w:r w:rsidR="007C1A2D" w:rsidRPr="00FB18C9">
        <w:rPr>
          <w:noProof/>
          <w:color w:val="0000FF"/>
          <w:u w:val="single"/>
          <w:vertAlign w:val="superscript"/>
        </w:rPr>
        <w:footnoteReference w:id="20"/>
      </w:r>
      <w:r>
        <w:rPr>
          <w:noProof/>
        </w:rPr>
        <w:t xml:space="preserve"> adopted on the basis of this Regulation is itself a Regulation </w:t>
      </w:r>
      <w:r w:rsidR="00773519">
        <w:rPr>
          <w:noProof/>
        </w:rPr>
        <w:t>and is therefore directly applicable in</w:t>
      </w:r>
      <w:r>
        <w:rPr>
          <w:noProof/>
        </w:rPr>
        <w:t xml:space="preserve"> the Member </w:t>
      </w:r>
      <w:r w:rsidR="00A46B04">
        <w:rPr>
          <w:noProof/>
        </w:rPr>
        <w:t>State</w:t>
      </w:r>
      <w:r>
        <w:rPr>
          <w:noProof/>
        </w:rPr>
        <w:t xml:space="preserve">s. </w:t>
      </w:r>
      <w:r w:rsidR="00AA04D9">
        <w:rPr>
          <w:noProof/>
        </w:rPr>
        <w:t xml:space="preserve">The list of banned air carriers is established by </w:t>
      </w:r>
      <w:r w:rsidR="00AA04D9" w:rsidRPr="00AA04D9">
        <w:rPr>
          <w:noProof/>
        </w:rPr>
        <w:t xml:space="preserve">Commission Regulation (EC) </w:t>
      </w:r>
      <w:r w:rsidR="002656F3">
        <w:rPr>
          <w:noProof/>
        </w:rPr>
        <w:t xml:space="preserve">No </w:t>
      </w:r>
      <w:r w:rsidR="00AA04D9" w:rsidRPr="00AA04D9">
        <w:rPr>
          <w:noProof/>
        </w:rPr>
        <w:t>474/2006</w:t>
      </w:r>
      <w:r w:rsidR="007C1A2D" w:rsidRPr="00FB18C9">
        <w:rPr>
          <w:noProof/>
          <w:vertAlign w:val="superscript"/>
        </w:rPr>
        <w:footnoteReference w:id="21"/>
      </w:r>
      <w:r w:rsidR="005B1AD8">
        <w:rPr>
          <w:noProof/>
        </w:rPr>
        <w:t>.</w:t>
      </w:r>
      <w:r w:rsidR="00AA04D9">
        <w:rPr>
          <w:noProof/>
        </w:rPr>
        <w:t xml:space="preserve"> </w:t>
      </w:r>
      <w:r>
        <w:rPr>
          <w:noProof/>
        </w:rPr>
        <w:t>It is regularly updated.</w:t>
      </w:r>
      <w:r w:rsidR="003F1790" w:rsidRPr="003F1790">
        <w:rPr>
          <w:noProof/>
        </w:rPr>
        <w:t xml:space="preserve"> </w:t>
      </w:r>
    </w:p>
    <w:p w14:paraId="008E4301" w14:textId="497E1013" w:rsidR="00502AAE" w:rsidRPr="0056122C" w:rsidRDefault="00502AAE" w:rsidP="0006001F">
      <w:pPr>
        <w:rPr>
          <w:noProof/>
        </w:rPr>
      </w:pPr>
      <w:r w:rsidRPr="0056122C">
        <w:rPr>
          <w:noProof/>
        </w:rPr>
        <w:t xml:space="preserve">For the purpose of updating the list, the Commission is assisted by the </w:t>
      </w:r>
      <w:r w:rsidR="00AC7A42">
        <w:rPr>
          <w:noProof/>
        </w:rPr>
        <w:t>‘</w:t>
      </w:r>
      <w:r w:rsidR="0057347F">
        <w:rPr>
          <w:noProof/>
        </w:rPr>
        <w:t xml:space="preserve">Air </w:t>
      </w:r>
      <w:r w:rsidRPr="0056122C">
        <w:rPr>
          <w:noProof/>
        </w:rPr>
        <w:t>Safety Committee</w:t>
      </w:r>
      <w:r w:rsidR="00AC7A42">
        <w:rPr>
          <w:noProof/>
        </w:rPr>
        <w:t>’</w:t>
      </w:r>
      <w:r w:rsidR="00025280">
        <w:rPr>
          <w:noProof/>
        </w:rPr>
        <w:t>,</w:t>
      </w:r>
      <w:r w:rsidRPr="0056122C">
        <w:rPr>
          <w:noProof/>
        </w:rPr>
        <w:t xml:space="preserve"> composed </w:t>
      </w:r>
      <w:r w:rsidR="00095505">
        <w:rPr>
          <w:noProof/>
        </w:rPr>
        <w:t>of</w:t>
      </w:r>
      <w:r w:rsidRPr="0056122C">
        <w:rPr>
          <w:noProof/>
        </w:rPr>
        <w:t xml:space="preserve"> technical air safety experts from all </w:t>
      </w:r>
      <w:r w:rsidR="00CD3CF1">
        <w:rPr>
          <w:noProof/>
        </w:rPr>
        <w:t xml:space="preserve">EASA </w:t>
      </w:r>
      <w:r w:rsidR="00A46B04">
        <w:rPr>
          <w:noProof/>
        </w:rPr>
        <w:t>State</w:t>
      </w:r>
      <w:r w:rsidRPr="0056122C">
        <w:rPr>
          <w:noProof/>
        </w:rPr>
        <w:t xml:space="preserve">s and chaired by the Commission. Acting on a proposal by the Commission, the </w:t>
      </w:r>
      <w:r w:rsidR="00AC7A42">
        <w:rPr>
          <w:noProof/>
        </w:rPr>
        <w:t>‘</w:t>
      </w:r>
      <w:r w:rsidR="0057347F">
        <w:rPr>
          <w:noProof/>
        </w:rPr>
        <w:t xml:space="preserve">Air </w:t>
      </w:r>
      <w:r w:rsidRPr="0056122C">
        <w:rPr>
          <w:noProof/>
        </w:rPr>
        <w:t>Safety Committee</w:t>
      </w:r>
      <w:r w:rsidR="00AC7A42">
        <w:rPr>
          <w:noProof/>
        </w:rPr>
        <w:t>’</w:t>
      </w:r>
      <w:r w:rsidRPr="0056122C">
        <w:rPr>
          <w:noProof/>
        </w:rPr>
        <w:t xml:space="preserve"> adopts its opinion by qualified majority</w:t>
      </w:r>
      <w:r w:rsidR="00025280">
        <w:rPr>
          <w:noProof/>
        </w:rPr>
        <w:t>.</w:t>
      </w:r>
      <w:r w:rsidR="007C1A2D" w:rsidRPr="00FB18C9">
        <w:rPr>
          <w:noProof/>
          <w:vertAlign w:val="superscript"/>
        </w:rPr>
        <w:footnoteReference w:id="22"/>
      </w:r>
    </w:p>
    <w:p w14:paraId="6CAD40B9" w14:textId="45B93525" w:rsidR="0056122C" w:rsidRPr="0056122C" w:rsidRDefault="00502AAE" w:rsidP="0006001F">
      <w:pPr>
        <w:rPr>
          <w:noProof/>
        </w:rPr>
      </w:pPr>
      <w:r w:rsidRPr="0056122C">
        <w:rPr>
          <w:noProof/>
        </w:rPr>
        <w:t xml:space="preserve">The decision to include or remove a carrier (or a group of carriers certified in the same </w:t>
      </w:r>
      <w:r w:rsidR="00A46B04">
        <w:rPr>
          <w:noProof/>
        </w:rPr>
        <w:t>State</w:t>
      </w:r>
      <w:r w:rsidRPr="0056122C">
        <w:rPr>
          <w:noProof/>
        </w:rPr>
        <w:t>) is taken on the basis of the common safety criteria contained in Regulation</w:t>
      </w:r>
      <w:r>
        <w:rPr>
          <w:noProof/>
        </w:rPr>
        <w:t xml:space="preserve"> </w:t>
      </w:r>
      <w:r w:rsidR="00025280">
        <w:rPr>
          <w:noProof/>
        </w:rPr>
        <w:t>(EC)</w:t>
      </w:r>
      <w:r w:rsidRPr="0056122C">
        <w:rPr>
          <w:noProof/>
        </w:rPr>
        <w:t xml:space="preserve"> </w:t>
      </w:r>
      <w:r w:rsidR="002656F3">
        <w:rPr>
          <w:noProof/>
        </w:rPr>
        <w:t xml:space="preserve">No </w:t>
      </w:r>
      <w:r w:rsidRPr="0056122C">
        <w:rPr>
          <w:noProof/>
        </w:rPr>
        <w:t>2111/2005. These criteria take into consideration, for instance, the existence of safety deficiencies on the part of an air c</w:t>
      </w:r>
      <w:r>
        <w:rPr>
          <w:noProof/>
        </w:rPr>
        <w:t>arrier, the lack of ability or willingness</w:t>
      </w:r>
      <w:r w:rsidRPr="0056122C">
        <w:rPr>
          <w:noProof/>
        </w:rPr>
        <w:t xml:space="preserve"> by an air carrier or authorities responsible for its oversight to address safety deficiencies, operating bans imposed by third countries, audit reports drawn up by third countries or international organisations (ICAO) and substantiated </w:t>
      </w:r>
      <w:r w:rsidR="008C0D04" w:rsidRPr="0056122C">
        <w:rPr>
          <w:noProof/>
        </w:rPr>
        <w:t>accident-related</w:t>
      </w:r>
      <w:r w:rsidRPr="0056122C">
        <w:rPr>
          <w:noProof/>
        </w:rPr>
        <w:t xml:space="preserve"> information. All criteria </w:t>
      </w:r>
      <w:r w:rsidR="000B1FD6">
        <w:rPr>
          <w:noProof/>
        </w:rPr>
        <w:t xml:space="preserve">take into consideration the relevant </w:t>
      </w:r>
      <w:r w:rsidRPr="0056122C">
        <w:rPr>
          <w:noProof/>
        </w:rPr>
        <w:t>aviation safety standards</w:t>
      </w:r>
      <w:r w:rsidR="000B1FD6">
        <w:rPr>
          <w:noProof/>
        </w:rPr>
        <w:t>, being either ICAO SARPs in the case of third country operators or EU law in the case of European operators</w:t>
      </w:r>
      <w:r w:rsidRPr="0056122C">
        <w:rPr>
          <w:noProof/>
        </w:rPr>
        <w:t>.</w:t>
      </w:r>
    </w:p>
    <w:p w14:paraId="4D98DE5C" w14:textId="3F1EEA39" w:rsidR="00087497" w:rsidRPr="001C416B" w:rsidRDefault="001C416B" w:rsidP="001A0D14">
      <w:pPr>
        <w:pStyle w:val="Heading2"/>
        <w:keepLines w:val="0"/>
        <w:numPr>
          <w:ilvl w:val="1"/>
          <w:numId w:val="11"/>
        </w:numPr>
        <w:rPr>
          <w:noProof/>
        </w:rPr>
      </w:pPr>
      <w:bookmarkStart w:id="74" w:name="_Toc94875648"/>
      <w:bookmarkStart w:id="75" w:name="_Toc102569205"/>
      <w:r>
        <w:rPr>
          <w:noProof/>
        </w:rPr>
        <w:t xml:space="preserve">Safety </w:t>
      </w:r>
      <w:r w:rsidR="00AA5029">
        <w:rPr>
          <w:noProof/>
        </w:rPr>
        <w:t>r</w:t>
      </w:r>
      <w:r w:rsidR="00087497" w:rsidRPr="001C416B">
        <w:rPr>
          <w:noProof/>
        </w:rPr>
        <w:t xml:space="preserve">esponsibilities and </w:t>
      </w:r>
      <w:r w:rsidR="00AA5029">
        <w:rPr>
          <w:noProof/>
        </w:rPr>
        <w:t>a</w:t>
      </w:r>
      <w:r w:rsidR="00087497" w:rsidRPr="001C416B">
        <w:rPr>
          <w:noProof/>
        </w:rPr>
        <w:t>ccountabilities</w:t>
      </w:r>
      <w:r w:rsidRPr="001C416B">
        <w:rPr>
          <w:noProof/>
        </w:rPr>
        <w:t xml:space="preserve"> </w:t>
      </w:r>
      <w:r>
        <w:rPr>
          <w:noProof/>
        </w:rPr>
        <w:t>in the European Union</w:t>
      </w:r>
      <w:bookmarkEnd w:id="74"/>
      <w:bookmarkEnd w:id="75"/>
    </w:p>
    <w:p w14:paraId="7C975D0A" w14:textId="64E704F7" w:rsidR="00292EEB" w:rsidRDefault="00292EEB" w:rsidP="001A0D14">
      <w:pPr>
        <w:pStyle w:val="Heading3"/>
        <w:keepLines w:val="0"/>
        <w:numPr>
          <w:ilvl w:val="2"/>
          <w:numId w:val="11"/>
        </w:numPr>
        <w:spacing w:before="240" w:after="240"/>
        <w:rPr>
          <w:noProof/>
        </w:rPr>
      </w:pPr>
      <w:bookmarkStart w:id="76" w:name="_Decision_making_process"/>
      <w:bookmarkStart w:id="77" w:name="_Toc94875649"/>
      <w:bookmarkStart w:id="78" w:name="_Toc102569206"/>
      <w:bookmarkEnd w:id="76"/>
      <w:r>
        <w:rPr>
          <w:noProof/>
        </w:rPr>
        <w:t xml:space="preserve">Decision making </w:t>
      </w:r>
      <w:r w:rsidR="000D091D">
        <w:rPr>
          <w:noProof/>
        </w:rPr>
        <w:t>process</w:t>
      </w:r>
      <w:r>
        <w:rPr>
          <w:noProof/>
        </w:rPr>
        <w:t xml:space="preserve"> within the European Union</w:t>
      </w:r>
      <w:bookmarkEnd w:id="77"/>
      <w:bookmarkEnd w:id="78"/>
      <w:r>
        <w:rPr>
          <w:noProof/>
        </w:rPr>
        <w:t xml:space="preserve"> </w:t>
      </w:r>
    </w:p>
    <w:p w14:paraId="55D93EDE" w14:textId="56401C13" w:rsidR="00502AAE" w:rsidRDefault="00502AAE" w:rsidP="0006001F">
      <w:pPr>
        <w:rPr>
          <w:noProof/>
        </w:rPr>
      </w:pPr>
      <w:r>
        <w:rPr>
          <w:noProof/>
        </w:rPr>
        <w:t xml:space="preserve">Article 100(2) of the </w:t>
      </w:r>
      <w:r w:rsidR="00A52CAC">
        <w:rPr>
          <w:noProof/>
        </w:rPr>
        <w:t>TFEU</w:t>
      </w:r>
      <w:r w:rsidR="00E04ECA" w:rsidRPr="00E04ECA">
        <w:rPr>
          <w:noProof/>
        </w:rPr>
        <w:t xml:space="preserve"> allows, among many others, </w:t>
      </w:r>
      <w:r w:rsidR="00C1764E">
        <w:rPr>
          <w:noProof/>
        </w:rPr>
        <w:t xml:space="preserve">the </w:t>
      </w:r>
      <w:r w:rsidR="00E04ECA" w:rsidRPr="00E04ECA">
        <w:rPr>
          <w:noProof/>
        </w:rPr>
        <w:t>adoption of</w:t>
      </w:r>
      <w:r>
        <w:rPr>
          <w:noProof/>
        </w:rPr>
        <w:t xml:space="preserve"> </w:t>
      </w:r>
      <w:r w:rsidRPr="006E3587">
        <w:rPr>
          <w:noProof/>
        </w:rPr>
        <w:t xml:space="preserve">measures to improve </w:t>
      </w:r>
      <w:r>
        <w:rPr>
          <w:noProof/>
        </w:rPr>
        <w:t xml:space="preserve">air </w:t>
      </w:r>
      <w:r w:rsidRPr="006E3587">
        <w:rPr>
          <w:noProof/>
        </w:rPr>
        <w:t>transport safety</w:t>
      </w:r>
      <w:r>
        <w:rPr>
          <w:noProof/>
        </w:rPr>
        <w:t xml:space="preserve"> </w:t>
      </w:r>
      <w:r w:rsidR="00E04ECA">
        <w:rPr>
          <w:noProof/>
        </w:rPr>
        <w:t xml:space="preserve">which </w:t>
      </w:r>
      <w:r>
        <w:rPr>
          <w:noProof/>
        </w:rPr>
        <w:t xml:space="preserve">shall be adopted by </w:t>
      </w:r>
      <w:r w:rsidRPr="006E3587">
        <w:rPr>
          <w:noProof/>
        </w:rPr>
        <w:t>the European Parliament and the Council, acting in accordance with the ordinary legislative procedure and after consulting the Economic and Social Committee and the Committee of the Regions</w:t>
      </w:r>
      <w:r>
        <w:rPr>
          <w:noProof/>
        </w:rPr>
        <w:t>.</w:t>
      </w:r>
    </w:p>
    <w:p w14:paraId="0A4DBCC5" w14:textId="76914A95" w:rsidR="00502AAE" w:rsidRDefault="00095505" w:rsidP="0006001F">
      <w:pPr>
        <w:rPr>
          <w:noProof/>
        </w:rPr>
      </w:pPr>
      <w:r>
        <w:rPr>
          <w:noProof/>
        </w:rPr>
        <w:t>Such legislation</w:t>
      </w:r>
      <w:r w:rsidR="00502AAE">
        <w:rPr>
          <w:noProof/>
        </w:rPr>
        <w:t xml:space="preserve"> </w:t>
      </w:r>
      <w:r>
        <w:rPr>
          <w:noProof/>
        </w:rPr>
        <w:t>is</w:t>
      </w:r>
      <w:r w:rsidR="00502AAE">
        <w:rPr>
          <w:noProof/>
        </w:rPr>
        <w:t xml:space="preserve"> proposed by the Commission, which has the right of initiative, and presented to the </w:t>
      </w:r>
      <w:r w:rsidR="00E04ECA" w:rsidRPr="00E04ECA">
        <w:rPr>
          <w:noProof/>
        </w:rPr>
        <w:t xml:space="preserve">European Parliament and the Council, often referred to as </w:t>
      </w:r>
      <w:r w:rsidR="00AC7A42">
        <w:rPr>
          <w:noProof/>
        </w:rPr>
        <w:t>‘</w:t>
      </w:r>
      <w:r w:rsidR="00502AAE">
        <w:rPr>
          <w:noProof/>
        </w:rPr>
        <w:t>co-legislators</w:t>
      </w:r>
      <w:r w:rsidR="00AC7A42">
        <w:rPr>
          <w:noProof/>
        </w:rPr>
        <w:t>’</w:t>
      </w:r>
      <w:r w:rsidR="00502AAE">
        <w:rPr>
          <w:noProof/>
        </w:rPr>
        <w:t xml:space="preserve">. The European Parliament, </w:t>
      </w:r>
      <w:r w:rsidR="00E04ECA">
        <w:rPr>
          <w:noProof/>
        </w:rPr>
        <w:t>elected by</w:t>
      </w:r>
      <w:r w:rsidR="00502AAE">
        <w:rPr>
          <w:noProof/>
        </w:rPr>
        <w:t xml:space="preserve"> the European citizens, and the Council, </w:t>
      </w:r>
      <w:r w:rsidR="00E04ECA">
        <w:rPr>
          <w:noProof/>
        </w:rPr>
        <w:t xml:space="preserve">composed of </w:t>
      </w:r>
      <w:r w:rsidR="00502AAE">
        <w:rPr>
          <w:noProof/>
        </w:rPr>
        <w:t xml:space="preserve">Member </w:t>
      </w:r>
      <w:r w:rsidR="00A46B04">
        <w:rPr>
          <w:noProof/>
        </w:rPr>
        <w:t>State</w:t>
      </w:r>
      <w:r w:rsidR="00502AAE">
        <w:rPr>
          <w:noProof/>
        </w:rPr>
        <w:t>s</w:t>
      </w:r>
      <w:r w:rsidR="00E04ECA">
        <w:rPr>
          <w:noProof/>
        </w:rPr>
        <w:t xml:space="preserve"> representatives</w:t>
      </w:r>
      <w:r w:rsidR="00502AAE">
        <w:rPr>
          <w:noProof/>
        </w:rPr>
        <w:t xml:space="preserve">, may amend the </w:t>
      </w:r>
      <w:r w:rsidR="00E04ECA">
        <w:rPr>
          <w:noProof/>
        </w:rPr>
        <w:t xml:space="preserve">text proposed by the </w:t>
      </w:r>
      <w:r w:rsidR="00502AAE">
        <w:rPr>
          <w:noProof/>
        </w:rPr>
        <w:t>Commission</w:t>
      </w:r>
      <w:r w:rsidR="00E04ECA" w:rsidRPr="00E04ECA">
        <w:rPr>
          <w:noProof/>
        </w:rPr>
        <w:t>, subject to the requirements of the Treaties</w:t>
      </w:r>
      <w:r w:rsidR="00502AAE">
        <w:rPr>
          <w:noProof/>
        </w:rPr>
        <w:t xml:space="preserve">. </w:t>
      </w:r>
      <w:r w:rsidR="00E04ECA">
        <w:rPr>
          <w:noProof/>
        </w:rPr>
        <w:t>A</w:t>
      </w:r>
      <w:r w:rsidR="00E04ECA" w:rsidRPr="00E04ECA">
        <w:rPr>
          <w:noProof/>
        </w:rPr>
        <w:t xml:space="preserve">doption by the </w:t>
      </w:r>
      <w:r w:rsidR="00502AAE">
        <w:rPr>
          <w:noProof/>
        </w:rPr>
        <w:t xml:space="preserve">co-legislators </w:t>
      </w:r>
      <w:r w:rsidR="00E04ECA" w:rsidRPr="00E04ECA">
        <w:rPr>
          <w:noProof/>
        </w:rPr>
        <w:t>supposes their agreement, ultimately, on a corresponding text</w:t>
      </w:r>
      <w:r w:rsidR="00451A0A">
        <w:rPr>
          <w:noProof/>
        </w:rPr>
        <w:t>.</w:t>
      </w:r>
    </w:p>
    <w:p w14:paraId="634F772E" w14:textId="77777777" w:rsidR="00502AAE" w:rsidRPr="00DF73E1" w:rsidRDefault="00502AAE" w:rsidP="0006001F">
      <w:pPr>
        <w:rPr>
          <w:noProof/>
        </w:rPr>
      </w:pPr>
      <w:r w:rsidRPr="00DF73E1">
        <w:rPr>
          <w:noProof/>
        </w:rPr>
        <w:t>Once both European Parliament and Council have approved the final text, it is jointly signed by the Presidents and Secretaries General of both institutions. After signature, the texts are published in the Official Journal.</w:t>
      </w:r>
    </w:p>
    <w:p w14:paraId="7A9C0097" w14:textId="77777777" w:rsidR="00502AAE" w:rsidRDefault="00502AAE" w:rsidP="0006001F">
      <w:pPr>
        <w:rPr>
          <w:noProof/>
        </w:rPr>
      </w:pPr>
      <w:r w:rsidRPr="00DF73E1">
        <w:rPr>
          <w:noProof/>
        </w:rPr>
        <w:t xml:space="preserve">Regulations are directly binding throughout the EU as of the date set down in </w:t>
      </w:r>
      <w:r w:rsidR="0090118B" w:rsidRPr="0090118B">
        <w:rPr>
          <w:noProof/>
        </w:rPr>
        <w:t xml:space="preserve">the version published in </w:t>
      </w:r>
      <w:r w:rsidRPr="00DF73E1">
        <w:rPr>
          <w:noProof/>
        </w:rPr>
        <w:t>the Official Journal.</w:t>
      </w:r>
      <w:r>
        <w:rPr>
          <w:noProof/>
        </w:rPr>
        <w:t xml:space="preserve"> </w:t>
      </w:r>
    </w:p>
    <w:p w14:paraId="4DCF9BBD" w14:textId="77777777" w:rsidR="00502AAE" w:rsidRDefault="00502AAE" w:rsidP="0006001F">
      <w:pPr>
        <w:rPr>
          <w:noProof/>
        </w:rPr>
      </w:pPr>
      <w:r>
        <w:rPr>
          <w:noProof/>
        </w:rPr>
        <w:t>A</w:t>
      </w:r>
      <w:r w:rsidR="00451A0A">
        <w:rPr>
          <w:noProof/>
        </w:rPr>
        <w:t>cts a</w:t>
      </w:r>
      <w:r>
        <w:rPr>
          <w:noProof/>
        </w:rPr>
        <w:t xml:space="preserve">dopted </w:t>
      </w:r>
      <w:r w:rsidR="00451A0A" w:rsidRPr="00451A0A">
        <w:rPr>
          <w:noProof/>
        </w:rPr>
        <w:t>in accordance with the above procedure</w:t>
      </w:r>
      <w:r>
        <w:rPr>
          <w:noProof/>
        </w:rPr>
        <w:t xml:space="preserve"> may include </w:t>
      </w:r>
      <w:r w:rsidR="00451A0A">
        <w:rPr>
          <w:noProof/>
        </w:rPr>
        <w:t xml:space="preserve">delegated and </w:t>
      </w:r>
      <w:r>
        <w:rPr>
          <w:noProof/>
        </w:rPr>
        <w:t>i</w:t>
      </w:r>
      <w:r w:rsidRPr="005227A5">
        <w:rPr>
          <w:noProof/>
        </w:rPr>
        <w:t xml:space="preserve">mplementing powers </w:t>
      </w:r>
      <w:r w:rsidR="00451A0A">
        <w:rPr>
          <w:noProof/>
        </w:rPr>
        <w:t>for</w:t>
      </w:r>
      <w:r w:rsidRPr="005227A5">
        <w:rPr>
          <w:noProof/>
        </w:rPr>
        <w:t xml:space="preserve"> the Commission. The Commission only holds </w:t>
      </w:r>
      <w:r>
        <w:rPr>
          <w:noProof/>
        </w:rPr>
        <w:t>such</w:t>
      </w:r>
      <w:r w:rsidRPr="005227A5">
        <w:rPr>
          <w:noProof/>
        </w:rPr>
        <w:t xml:space="preserve"> powers if the basic legal act so provides.</w:t>
      </w:r>
    </w:p>
    <w:p w14:paraId="3096774E" w14:textId="70E45791" w:rsidR="00502AAE" w:rsidRDefault="007F07DA" w:rsidP="0006001F">
      <w:pPr>
        <w:rPr>
          <w:noProof/>
        </w:rPr>
      </w:pPr>
      <w:r>
        <w:rPr>
          <w:noProof/>
        </w:rPr>
        <w:t xml:space="preserve">For the adoption of delegated acts, a specific expert group has been set up, where the Commission, after thorough discussion of the regulatory proposals with experts representing the Member </w:t>
      </w:r>
      <w:r w:rsidR="00A46B04">
        <w:rPr>
          <w:noProof/>
        </w:rPr>
        <w:t>State</w:t>
      </w:r>
      <w:r>
        <w:rPr>
          <w:noProof/>
        </w:rPr>
        <w:t>s, adopts the delegated acts. For the adoption of implementing acts, a specific committee</w:t>
      </w:r>
      <w:r w:rsidR="007C1A2D" w:rsidRPr="00FB18C9">
        <w:rPr>
          <w:noProof/>
          <w:vertAlign w:val="superscript"/>
        </w:rPr>
        <w:footnoteReference w:id="23"/>
      </w:r>
      <w:r w:rsidRPr="00FB18C9">
        <w:rPr>
          <w:noProof/>
          <w:vertAlign w:val="superscript"/>
        </w:rPr>
        <w:t xml:space="preserve"> </w:t>
      </w:r>
      <w:r w:rsidR="00C84DC8">
        <w:rPr>
          <w:noProof/>
        </w:rPr>
        <w:t>has been created</w:t>
      </w:r>
      <w:r w:rsidR="00E355B9" w:rsidRPr="00E355B9">
        <w:rPr>
          <w:noProof/>
        </w:rPr>
        <w:t xml:space="preserve"> </w:t>
      </w:r>
      <w:r w:rsidR="00E355B9">
        <w:rPr>
          <w:noProof/>
        </w:rPr>
        <w:t xml:space="preserve">to adopt </w:t>
      </w:r>
      <w:r w:rsidR="00E355B9" w:rsidRPr="00E355B9">
        <w:rPr>
          <w:noProof/>
        </w:rPr>
        <w:t xml:space="preserve">draft </w:t>
      </w:r>
      <w:r w:rsidR="00A24933">
        <w:rPr>
          <w:noProof/>
        </w:rPr>
        <w:t>i</w:t>
      </w:r>
      <w:r w:rsidR="00E355B9" w:rsidRPr="00E355B9">
        <w:rPr>
          <w:noProof/>
        </w:rPr>
        <w:t xml:space="preserve">mplementing </w:t>
      </w:r>
      <w:r w:rsidR="00A24933">
        <w:rPr>
          <w:noProof/>
        </w:rPr>
        <w:t>a</w:t>
      </w:r>
      <w:r w:rsidR="00E355B9">
        <w:rPr>
          <w:noProof/>
        </w:rPr>
        <w:t>cts</w:t>
      </w:r>
      <w:r w:rsidR="00E355B9" w:rsidRPr="00E355B9">
        <w:rPr>
          <w:noProof/>
        </w:rPr>
        <w:t xml:space="preserve"> to Regulations </w:t>
      </w:r>
      <w:r w:rsidR="00F463A8">
        <w:rPr>
          <w:noProof/>
        </w:rPr>
        <w:t xml:space="preserve">(EU) </w:t>
      </w:r>
      <w:r w:rsidR="00E355B9" w:rsidRPr="00E355B9">
        <w:rPr>
          <w:noProof/>
        </w:rPr>
        <w:t xml:space="preserve">2018/1139 and </w:t>
      </w:r>
      <w:r w:rsidR="00F463A8">
        <w:rPr>
          <w:noProof/>
        </w:rPr>
        <w:t>(EU)</w:t>
      </w:r>
      <w:r w:rsidR="00E355B9" w:rsidRPr="00E355B9">
        <w:rPr>
          <w:noProof/>
        </w:rPr>
        <w:t xml:space="preserve"> </w:t>
      </w:r>
      <w:r w:rsidR="002656F3">
        <w:rPr>
          <w:noProof/>
        </w:rPr>
        <w:t xml:space="preserve">No </w:t>
      </w:r>
      <w:r w:rsidR="00E355B9" w:rsidRPr="00E355B9">
        <w:rPr>
          <w:noProof/>
        </w:rPr>
        <w:t>376/2014</w:t>
      </w:r>
      <w:r w:rsidR="00C84DC8">
        <w:rPr>
          <w:noProof/>
        </w:rPr>
        <w:t xml:space="preserve">, where the Commission tables draft Regulations based </w:t>
      </w:r>
      <w:r w:rsidR="00940484">
        <w:rPr>
          <w:noProof/>
        </w:rPr>
        <w:t xml:space="preserve">mostly </w:t>
      </w:r>
      <w:r w:rsidR="00C84DC8">
        <w:rPr>
          <w:noProof/>
        </w:rPr>
        <w:t xml:space="preserve">on proposals made by EASA (the so-called Opinions) which have undergone a broad stakeholder consultation before they are published by the Agency. </w:t>
      </w:r>
      <w:r w:rsidR="00DF53FC">
        <w:rPr>
          <w:noProof/>
        </w:rPr>
        <w:t>T</w:t>
      </w:r>
      <w:r w:rsidR="00502AAE">
        <w:rPr>
          <w:noProof/>
        </w:rPr>
        <w:t xml:space="preserve">he </w:t>
      </w:r>
      <w:r w:rsidR="00502AAE" w:rsidRPr="005227A5">
        <w:rPr>
          <w:noProof/>
        </w:rPr>
        <w:t xml:space="preserve">draft </w:t>
      </w:r>
      <w:r w:rsidR="00BC60F7">
        <w:rPr>
          <w:noProof/>
        </w:rPr>
        <w:t>Regulation</w:t>
      </w:r>
      <w:r w:rsidR="00BC60F7" w:rsidRPr="005227A5">
        <w:rPr>
          <w:noProof/>
        </w:rPr>
        <w:t xml:space="preserve"> </w:t>
      </w:r>
      <w:r w:rsidR="00DF53FC">
        <w:rPr>
          <w:noProof/>
        </w:rPr>
        <w:t>is discussed in this regulatory</w:t>
      </w:r>
      <w:r w:rsidR="00502AAE">
        <w:rPr>
          <w:noProof/>
        </w:rPr>
        <w:t xml:space="preserve"> committee</w:t>
      </w:r>
      <w:r w:rsidR="00502AAE" w:rsidRPr="005227A5">
        <w:rPr>
          <w:noProof/>
        </w:rPr>
        <w:t xml:space="preserve"> composed of representatives of </w:t>
      </w:r>
      <w:r w:rsidR="00502AAE">
        <w:rPr>
          <w:noProof/>
        </w:rPr>
        <w:t xml:space="preserve">the </w:t>
      </w:r>
      <w:r w:rsidR="008C4F29">
        <w:rPr>
          <w:noProof/>
        </w:rPr>
        <w:t xml:space="preserve">27 </w:t>
      </w:r>
      <w:r w:rsidR="00502AAE" w:rsidRPr="005227A5">
        <w:rPr>
          <w:noProof/>
        </w:rPr>
        <w:t xml:space="preserve">Member </w:t>
      </w:r>
      <w:r w:rsidR="00A46B04">
        <w:rPr>
          <w:noProof/>
        </w:rPr>
        <w:t>State</w:t>
      </w:r>
      <w:r w:rsidR="00502AAE" w:rsidRPr="005227A5">
        <w:rPr>
          <w:noProof/>
        </w:rPr>
        <w:t>s</w:t>
      </w:r>
      <w:r w:rsidR="00BE2F6F">
        <w:rPr>
          <w:noProof/>
        </w:rPr>
        <w:t xml:space="preserve">, that also counts as observers the </w:t>
      </w:r>
      <w:r w:rsidR="00BE2F6F" w:rsidRPr="00487880">
        <w:rPr>
          <w:noProof/>
        </w:rPr>
        <w:t>representatives of Iceland, Liechtenstein, Norway</w:t>
      </w:r>
      <w:r w:rsidR="00BE2F6F">
        <w:rPr>
          <w:noProof/>
        </w:rPr>
        <w:t xml:space="preserve">, Switzerland </w:t>
      </w:r>
      <w:r w:rsidR="00BE2F6F" w:rsidRPr="00487880">
        <w:rPr>
          <w:noProof/>
        </w:rPr>
        <w:t>and the EFTA Surveillance Authority</w:t>
      </w:r>
      <w:r w:rsidR="002C57B9">
        <w:rPr>
          <w:noProof/>
        </w:rPr>
        <w:t xml:space="preserve">, in accordance with the </w:t>
      </w:r>
      <w:r w:rsidR="002C57B9" w:rsidRPr="002C57B9">
        <w:rPr>
          <w:noProof/>
        </w:rPr>
        <w:t>EEA agreement</w:t>
      </w:r>
      <w:r w:rsidR="00376123">
        <w:rPr>
          <w:rStyle w:val="FootnoteReference"/>
          <w:noProof/>
        </w:rPr>
        <w:footnoteReference w:id="24"/>
      </w:r>
      <w:r w:rsidR="002C57B9">
        <w:rPr>
          <w:noProof/>
        </w:rPr>
        <w:t xml:space="preserve"> and </w:t>
      </w:r>
      <w:r w:rsidR="002C57B9" w:rsidRPr="002C57B9">
        <w:rPr>
          <w:noProof/>
        </w:rPr>
        <w:t>the Agreement between the European Community and the Swiss Confederation on Air Transport</w:t>
      </w:r>
      <w:r w:rsidR="00376123">
        <w:rPr>
          <w:rStyle w:val="FootnoteReference"/>
          <w:noProof/>
        </w:rPr>
        <w:footnoteReference w:id="25"/>
      </w:r>
      <w:r w:rsidR="00502AAE" w:rsidRPr="005227A5">
        <w:rPr>
          <w:noProof/>
        </w:rPr>
        <w:t>.</w:t>
      </w:r>
      <w:r w:rsidR="006016EC">
        <w:rPr>
          <w:noProof/>
        </w:rPr>
        <w:t xml:space="preserve"> If the C</w:t>
      </w:r>
      <w:r w:rsidR="006016EC" w:rsidRPr="00794D99">
        <w:rPr>
          <w:noProof/>
        </w:rPr>
        <w:t>ommittee provides a</w:t>
      </w:r>
      <w:r w:rsidR="006016EC">
        <w:rPr>
          <w:noProof/>
        </w:rPr>
        <w:t xml:space="preserve"> positive</w:t>
      </w:r>
      <w:r w:rsidR="006016EC" w:rsidRPr="00794D99">
        <w:rPr>
          <w:noProof/>
        </w:rPr>
        <w:t xml:space="preserve"> opinion on the Commiss</w:t>
      </w:r>
      <w:r w:rsidR="006016EC">
        <w:rPr>
          <w:noProof/>
        </w:rPr>
        <w:t>i</w:t>
      </w:r>
      <w:r w:rsidR="006016EC" w:rsidRPr="00794D99">
        <w:rPr>
          <w:noProof/>
        </w:rPr>
        <w:t>on’s proposed measures</w:t>
      </w:r>
      <w:r w:rsidR="006016EC">
        <w:rPr>
          <w:noProof/>
        </w:rPr>
        <w:t>, the Implementing Regulation is adopted</w:t>
      </w:r>
      <w:r w:rsidR="006016EC" w:rsidRPr="00794D99">
        <w:rPr>
          <w:noProof/>
        </w:rPr>
        <w:t xml:space="preserve">. </w:t>
      </w:r>
      <w:r w:rsidR="006016EC">
        <w:rPr>
          <w:noProof/>
        </w:rPr>
        <w:t xml:space="preserve"> </w:t>
      </w:r>
      <w:r w:rsidR="00502AAE">
        <w:rPr>
          <w:noProof/>
        </w:rPr>
        <w:t xml:space="preserve"> </w:t>
      </w:r>
    </w:p>
    <w:p w14:paraId="176BB66B" w14:textId="0B7EA0CF" w:rsidR="00502AAE" w:rsidRPr="00794D99" w:rsidRDefault="00502AAE" w:rsidP="00F60B97">
      <w:pPr>
        <w:rPr>
          <w:noProof/>
        </w:rPr>
      </w:pPr>
      <w:r w:rsidRPr="00794D99">
        <w:rPr>
          <w:noProof/>
        </w:rPr>
        <w:t xml:space="preserve">In the area of </w:t>
      </w:r>
      <w:r w:rsidR="004756D7">
        <w:rPr>
          <w:noProof/>
        </w:rPr>
        <w:t xml:space="preserve">civil </w:t>
      </w:r>
      <w:r w:rsidRPr="00794D99">
        <w:rPr>
          <w:noProof/>
        </w:rPr>
        <w:t xml:space="preserve">aviation safety, </w:t>
      </w:r>
      <w:r w:rsidR="009D4307">
        <w:rPr>
          <w:noProof/>
        </w:rPr>
        <w:t xml:space="preserve">another committee is of relevance: </w:t>
      </w:r>
      <w:r w:rsidR="00CD3CF1" w:rsidRPr="00794D99">
        <w:rPr>
          <w:noProof/>
        </w:rPr>
        <w:t>t</w:t>
      </w:r>
      <w:r w:rsidR="00CD3CF1">
        <w:rPr>
          <w:noProof/>
        </w:rPr>
        <w:t>he</w:t>
      </w:r>
      <w:r w:rsidR="009D4307" w:rsidRPr="00794D99">
        <w:rPr>
          <w:noProof/>
        </w:rPr>
        <w:t xml:space="preserve"> </w:t>
      </w:r>
      <w:r w:rsidR="00AC7A42">
        <w:rPr>
          <w:noProof/>
        </w:rPr>
        <w:t>‘</w:t>
      </w:r>
      <w:r w:rsidR="009D4307">
        <w:rPr>
          <w:noProof/>
        </w:rPr>
        <w:t xml:space="preserve">Air </w:t>
      </w:r>
      <w:r w:rsidR="009D4307" w:rsidRPr="00794D99">
        <w:rPr>
          <w:noProof/>
        </w:rPr>
        <w:t xml:space="preserve">Safety </w:t>
      </w:r>
      <w:r w:rsidR="00CD3CF1" w:rsidRPr="00794D99">
        <w:rPr>
          <w:noProof/>
        </w:rPr>
        <w:t>Commit</w:t>
      </w:r>
      <w:r w:rsidR="00CD3CF1">
        <w:rPr>
          <w:noProof/>
        </w:rPr>
        <w:t>t</w:t>
      </w:r>
      <w:r w:rsidR="00CD3CF1" w:rsidRPr="00794D99">
        <w:rPr>
          <w:noProof/>
        </w:rPr>
        <w:t>ee</w:t>
      </w:r>
      <w:r w:rsidR="00AC7A42">
        <w:rPr>
          <w:noProof/>
        </w:rPr>
        <w:t>’</w:t>
      </w:r>
      <w:r w:rsidR="009D4307" w:rsidRPr="00794D99">
        <w:rPr>
          <w:noProof/>
        </w:rPr>
        <w:t xml:space="preserve"> that is involved in the update of the list of air carriers subject to an operating ban under Regulation </w:t>
      </w:r>
      <w:r w:rsidR="00741331">
        <w:rPr>
          <w:noProof/>
        </w:rPr>
        <w:t>(EU)</w:t>
      </w:r>
      <w:r w:rsidR="009D4307" w:rsidRPr="00794D99">
        <w:rPr>
          <w:noProof/>
        </w:rPr>
        <w:t xml:space="preserve"> 2111/2005</w:t>
      </w:r>
      <w:r w:rsidR="009D4307">
        <w:rPr>
          <w:noProof/>
        </w:rPr>
        <w:t>.</w:t>
      </w:r>
      <w:r w:rsidR="00CA6215">
        <w:rPr>
          <w:noProof/>
        </w:rPr>
        <w:t xml:space="preserve"> </w:t>
      </w:r>
      <w:r w:rsidR="00A535B4">
        <w:rPr>
          <w:noProof/>
        </w:rPr>
        <w:t>Also,</w:t>
      </w:r>
      <w:r w:rsidR="00CA6215">
        <w:rPr>
          <w:noProof/>
        </w:rPr>
        <w:t xml:space="preserve"> the Single Sky Committee is in charge of adopting the performance scheme rules, that include the safety performance indicators for ATM/ANS.</w:t>
      </w:r>
    </w:p>
    <w:p w14:paraId="1A41DA80" w14:textId="37CA5643" w:rsidR="00827575" w:rsidRDefault="00827575" w:rsidP="001A0D14">
      <w:pPr>
        <w:pStyle w:val="Heading3"/>
        <w:keepLines w:val="0"/>
        <w:numPr>
          <w:ilvl w:val="2"/>
          <w:numId w:val="11"/>
        </w:numPr>
        <w:spacing w:before="240" w:after="240"/>
        <w:rPr>
          <w:noProof/>
        </w:rPr>
      </w:pPr>
      <w:bookmarkStart w:id="79" w:name="_Toc94875650"/>
      <w:bookmarkStart w:id="80" w:name="_Toc102569207"/>
      <w:r>
        <w:rPr>
          <w:noProof/>
        </w:rPr>
        <w:t>Aviation safety competences and responsibilities within the European safety system</w:t>
      </w:r>
      <w:bookmarkEnd w:id="79"/>
      <w:bookmarkEnd w:id="80"/>
    </w:p>
    <w:p w14:paraId="6B6819BE" w14:textId="77777777" w:rsidR="00827575" w:rsidRDefault="00827575" w:rsidP="001A0D14">
      <w:pPr>
        <w:pStyle w:val="Heading4"/>
        <w:keepLines w:val="0"/>
        <w:numPr>
          <w:ilvl w:val="3"/>
          <w:numId w:val="11"/>
        </w:numPr>
        <w:spacing w:before="240" w:after="240"/>
        <w:rPr>
          <w:noProof/>
        </w:rPr>
      </w:pPr>
      <w:bookmarkStart w:id="81" w:name="_Hlk93331988"/>
      <w:r>
        <w:rPr>
          <w:noProof/>
        </w:rPr>
        <w:t>Summary of the competences and responsibilities in the European safety system</w:t>
      </w:r>
    </w:p>
    <w:bookmarkEnd w:id="81"/>
    <w:p w14:paraId="13B08589" w14:textId="77777777" w:rsidR="007C1A2D" w:rsidRPr="006B5263" w:rsidRDefault="007C1A2D" w:rsidP="00FB18C9">
      <w:pPr>
        <w:pStyle w:val="TabFig"/>
        <w:jc w:val="center"/>
        <w:rPr>
          <w:noProof/>
          <w:color w:val="FF0000"/>
          <w:highlight w:val="yellow"/>
        </w:rPr>
      </w:pPr>
    </w:p>
    <w:p w14:paraId="75FFA7D1" w14:textId="77777777" w:rsidR="007C1A2D" w:rsidRDefault="007C1A2D">
      <w:pPr>
        <w:spacing w:before="0" w:after="200" w:line="276" w:lineRule="auto"/>
        <w:jc w:val="left"/>
        <w:rPr>
          <w:rFonts w:eastAsiaTheme="majorEastAsia" w:cstheme="majorBidi"/>
          <w:bCs/>
          <w:iCs/>
          <w:noProof/>
          <w:color w:val="FF0000"/>
          <w:highlight w:val="yellow"/>
        </w:rPr>
      </w:pPr>
      <w:r>
        <w:rPr>
          <w:noProof/>
          <w:color w:val="FF0000"/>
          <w:highlight w:val="yellow"/>
        </w:rPr>
        <w:br w:type="page"/>
      </w:r>
    </w:p>
    <w:p w14:paraId="6BD5EEF7" w14:textId="77777777" w:rsidR="006C70E4" w:rsidRPr="00275AA4" w:rsidRDefault="00C6011D" w:rsidP="00FB18C9">
      <w:pPr>
        <w:pStyle w:val="Heading4"/>
        <w:spacing w:before="100" w:after="240"/>
        <w:jc w:val="center"/>
        <w:rPr>
          <w:i/>
          <w:noProof/>
          <w:color w:val="FF0000"/>
        </w:rPr>
      </w:pPr>
      <w:r w:rsidRPr="00275AA4">
        <w:rPr>
          <w:rStyle w:val="TabFigChar"/>
          <w:rFonts w:eastAsiaTheme="minorHAnsi" w:cstheme="minorBidi"/>
          <w:bCs/>
          <w:i w:val="0"/>
          <w:noProof/>
        </w:rPr>
        <w:t>Table 2. Competent Authorities under EU rules</w:t>
      </w:r>
      <w:r w:rsidRPr="00275AA4">
        <w:rPr>
          <w:rFonts w:eastAsiaTheme="minorHAnsi" w:cstheme="minorBidi"/>
          <w:b/>
          <w:i/>
          <w:iCs w:val="0"/>
          <w:noProof/>
          <w:color w:val="FF0000"/>
          <w:highlight w:val="yellow"/>
        </w:rPr>
        <w:t xml:space="preserve"> </w:t>
      </w:r>
    </w:p>
    <w:tbl>
      <w:tblPr>
        <w:tblW w:w="9851" w:type="dxa"/>
        <w:tblCellMar>
          <w:left w:w="0" w:type="dxa"/>
          <w:right w:w="0" w:type="dxa"/>
        </w:tblCellMar>
        <w:tblLook w:val="04A0" w:firstRow="1" w:lastRow="0" w:firstColumn="1" w:lastColumn="0" w:noHBand="0" w:noVBand="1"/>
      </w:tblPr>
      <w:tblGrid>
        <w:gridCol w:w="2245"/>
        <w:gridCol w:w="4191"/>
        <w:gridCol w:w="3415"/>
      </w:tblGrid>
      <w:tr w:rsidR="007220D5" w:rsidRPr="007220D5" w14:paraId="1FA04733" w14:textId="77777777" w:rsidTr="00B81F39">
        <w:tc>
          <w:tcPr>
            <w:tcW w:w="2245" w:type="dxa"/>
            <w:tcBorders>
              <w:top w:val="single" w:sz="18" w:space="0" w:color="auto"/>
              <w:left w:val="single" w:sz="18" w:space="0" w:color="auto"/>
              <w:bottom w:val="single" w:sz="18" w:space="0" w:color="auto"/>
            </w:tcBorders>
            <w:shd w:val="clear" w:color="auto" w:fill="4F81BD"/>
            <w:tcMar>
              <w:top w:w="0" w:type="dxa"/>
              <w:left w:w="108" w:type="dxa"/>
              <w:bottom w:w="0" w:type="dxa"/>
              <w:right w:w="108" w:type="dxa"/>
            </w:tcMar>
            <w:hideMark/>
          </w:tcPr>
          <w:p w14:paraId="093D6542" w14:textId="77777777" w:rsidR="007220D5" w:rsidRPr="007220D5" w:rsidRDefault="007220D5" w:rsidP="007220D5">
            <w:pPr>
              <w:spacing w:line="276" w:lineRule="auto"/>
              <w:jc w:val="center"/>
              <w:rPr>
                <w:rFonts w:ascii="Calibri" w:eastAsia="Calibri" w:hAnsi="Calibri" w:cs="Times New Roman"/>
                <w:b/>
                <w:bCs/>
                <w:noProof/>
                <w:color w:val="FFFFFF"/>
                <w:sz w:val="20"/>
                <w:szCs w:val="20"/>
              </w:rPr>
            </w:pPr>
            <w:bookmarkStart w:id="82" w:name="_Hlk92872379"/>
            <w:bookmarkStart w:id="83" w:name="_Hlk92801486"/>
            <w:bookmarkStart w:id="84" w:name="_Hlk92715665"/>
            <w:r w:rsidRPr="007220D5">
              <w:rPr>
                <w:rFonts w:ascii="Calibri" w:eastAsia="Calibri" w:hAnsi="Calibri" w:cs="Times New Roman"/>
                <w:b/>
                <w:bCs/>
                <w:noProof/>
                <w:color w:val="FFFFFF"/>
                <w:sz w:val="20"/>
                <w:szCs w:val="20"/>
              </w:rPr>
              <w:t>AREA OF COMPETENCE</w:t>
            </w:r>
          </w:p>
        </w:tc>
        <w:tc>
          <w:tcPr>
            <w:tcW w:w="4191" w:type="dxa"/>
            <w:tcBorders>
              <w:top w:val="single" w:sz="18" w:space="0" w:color="auto"/>
              <w:bottom w:val="single" w:sz="18" w:space="0" w:color="auto"/>
            </w:tcBorders>
            <w:shd w:val="clear" w:color="auto" w:fill="4F81BD"/>
            <w:tcMar>
              <w:top w:w="0" w:type="dxa"/>
              <w:left w:w="108" w:type="dxa"/>
              <w:bottom w:w="0" w:type="dxa"/>
              <w:right w:w="108" w:type="dxa"/>
            </w:tcMar>
            <w:hideMark/>
          </w:tcPr>
          <w:p w14:paraId="13623B45" w14:textId="77777777" w:rsidR="007220D5" w:rsidRPr="007220D5" w:rsidRDefault="007220D5" w:rsidP="007220D5">
            <w:pPr>
              <w:spacing w:line="276" w:lineRule="auto"/>
              <w:jc w:val="center"/>
              <w:rPr>
                <w:rFonts w:ascii="Calibri" w:eastAsia="Calibri" w:hAnsi="Calibri" w:cs="Times New Roman"/>
                <w:b/>
                <w:bCs/>
                <w:noProof/>
                <w:color w:val="FFFFFF"/>
                <w:sz w:val="20"/>
                <w:szCs w:val="20"/>
              </w:rPr>
            </w:pPr>
            <w:r w:rsidRPr="007220D5">
              <w:rPr>
                <w:rFonts w:ascii="Calibri" w:eastAsia="Calibri" w:hAnsi="Calibri" w:cs="Times New Roman"/>
                <w:b/>
                <w:bCs/>
                <w:noProof/>
                <w:color w:val="FFFFFF"/>
                <w:sz w:val="20"/>
                <w:szCs w:val="20"/>
              </w:rPr>
              <w:t xml:space="preserve">MEMBER </w:t>
            </w:r>
            <w:r w:rsidR="00A46B04">
              <w:rPr>
                <w:rFonts w:ascii="Calibri" w:eastAsia="Calibri" w:hAnsi="Calibri" w:cs="Times New Roman"/>
                <w:b/>
                <w:bCs/>
                <w:noProof/>
                <w:color w:val="FFFFFF"/>
                <w:sz w:val="20"/>
                <w:szCs w:val="20"/>
              </w:rPr>
              <w:t>STATE</w:t>
            </w:r>
            <w:r w:rsidRPr="007220D5">
              <w:rPr>
                <w:rFonts w:ascii="Calibri" w:eastAsia="Calibri" w:hAnsi="Calibri" w:cs="Times New Roman"/>
                <w:b/>
                <w:bCs/>
                <w:noProof/>
                <w:color w:val="FFFFFF"/>
                <w:sz w:val="20"/>
                <w:szCs w:val="20"/>
              </w:rPr>
              <w:t>S</w:t>
            </w:r>
          </w:p>
        </w:tc>
        <w:tc>
          <w:tcPr>
            <w:tcW w:w="3415" w:type="dxa"/>
            <w:tcBorders>
              <w:top w:val="single" w:sz="18" w:space="0" w:color="auto"/>
              <w:bottom w:val="single" w:sz="18" w:space="0" w:color="auto"/>
              <w:right w:val="single" w:sz="18" w:space="0" w:color="auto"/>
            </w:tcBorders>
            <w:shd w:val="clear" w:color="auto" w:fill="4F81BD"/>
            <w:tcMar>
              <w:top w:w="0" w:type="dxa"/>
              <w:left w:w="108" w:type="dxa"/>
              <w:bottom w:w="0" w:type="dxa"/>
              <w:right w:w="108" w:type="dxa"/>
            </w:tcMar>
            <w:hideMark/>
          </w:tcPr>
          <w:p w14:paraId="3A887293" w14:textId="77777777" w:rsidR="007220D5" w:rsidRPr="007220D5" w:rsidRDefault="007220D5" w:rsidP="007220D5">
            <w:pPr>
              <w:spacing w:line="276" w:lineRule="auto"/>
              <w:jc w:val="center"/>
              <w:rPr>
                <w:rFonts w:ascii="Calibri" w:eastAsia="Calibri" w:hAnsi="Calibri" w:cs="Times New Roman"/>
                <w:b/>
                <w:bCs/>
                <w:noProof/>
                <w:color w:val="FFFFFF"/>
                <w:sz w:val="20"/>
                <w:szCs w:val="20"/>
              </w:rPr>
            </w:pPr>
            <w:r w:rsidRPr="007220D5">
              <w:rPr>
                <w:rFonts w:ascii="Calibri" w:eastAsia="Calibri" w:hAnsi="Calibri" w:cs="Times New Roman"/>
                <w:b/>
                <w:bCs/>
                <w:noProof/>
                <w:color w:val="FFFFFF"/>
                <w:sz w:val="20"/>
                <w:szCs w:val="20"/>
              </w:rPr>
              <w:t>EASA</w:t>
            </w:r>
          </w:p>
        </w:tc>
      </w:tr>
      <w:tr w:rsidR="007220D5" w:rsidRPr="007220D5" w14:paraId="3A158B23" w14:textId="77777777" w:rsidTr="00B81F39">
        <w:trPr>
          <w:trHeight w:val="371"/>
        </w:trPr>
        <w:tc>
          <w:tcPr>
            <w:tcW w:w="2245" w:type="dxa"/>
            <w:vMerge w:val="restart"/>
            <w:tcBorders>
              <w:top w:val="single" w:sz="18" w:space="0" w:color="auto"/>
              <w:left w:val="single" w:sz="18" w:space="0" w:color="auto"/>
            </w:tcBorders>
            <w:shd w:val="clear" w:color="auto" w:fill="4F81BD"/>
            <w:tcMar>
              <w:top w:w="0" w:type="dxa"/>
              <w:left w:w="108" w:type="dxa"/>
              <w:bottom w:w="0" w:type="dxa"/>
              <w:right w:w="108" w:type="dxa"/>
            </w:tcMar>
            <w:hideMark/>
          </w:tcPr>
          <w:p w14:paraId="62D8222D" w14:textId="77777777" w:rsidR="00AA1CDA" w:rsidRDefault="007220D5" w:rsidP="007220D5">
            <w:pPr>
              <w:spacing w:line="276" w:lineRule="auto"/>
              <w:jc w:val="left"/>
              <w:rPr>
                <w:rFonts w:ascii="Calibri" w:eastAsia="Calibri" w:hAnsi="Calibri" w:cs="Times New Roman"/>
                <w:b/>
                <w:bCs/>
                <w:noProof/>
                <w:color w:val="FFFFFF"/>
                <w:sz w:val="20"/>
                <w:szCs w:val="20"/>
              </w:rPr>
            </w:pPr>
            <w:r w:rsidRPr="007220D5">
              <w:rPr>
                <w:rFonts w:ascii="Calibri" w:eastAsia="Calibri" w:hAnsi="Calibri" w:cs="Times New Roman"/>
                <w:b/>
                <w:bCs/>
                <w:noProof/>
                <w:color w:val="FFFFFF"/>
                <w:sz w:val="20"/>
                <w:szCs w:val="20"/>
              </w:rPr>
              <w:t>A</w:t>
            </w:r>
            <w:r w:rsidR="00AA1CDA">
              <w:rPr>
                <w:rFonts w:ascii="Calibri" w:eastAsia="Calibri" w:hAnsi="Calibri" w:cs="Times New Roman"/>
                <w:b/>
                <w:bCs/>
                <w:noProof/>
                <w:color w:val="FFFFFF"/>
                <w:sz w:val="20"/>
                <w:szCs w:val="20"/>
              </w:rPr>
              <w:t>ircraft a</w:t>
            </w:r>
            <w:r w:rsidRPr="007220D5">
              <w:rPr>
                <w:rFonts w:ascii="Calibri" w:eastAsia="Calibri" w:hAnsi="Calibri" w:cs="Times New Roman"/>
                <w:b/>
                <w:bCs/>
                <w:noProof/>
                <w:color w:val="FFFFFF"/>
                <w:sz w:val="20"/>
                <w:szCs w:val="20"/>
              </w:rPr>
              <w:t>irworthiness and environmental</w:t>
            </w:r>
            <w:r w:rsidR="0009153C">
              <w:rPr>
                <w:rFonts w:ascii="Calibri" w:eastAsia="Calibri" w:hAnsi="Calibri" w:cs="Times New Roman"/>
                <w:b/>
                <w:bCs/>
                <w:noProof/>
                <w:color w:val="FFFFFF"/>
                <w:sz w:val="20"/>
                <w:szCs w:val="20"/>
              </w:rPr>
              <w:t xml:space="preserve"> protection</w:t>
            </w:r>
            <w:r w:rsidR="00AA1CDA">
              <w:rPr>
                <w:rFonts w:ascii="Calibri" w:eastAsia="Calibri" w:hAnsi="Calibri" w:cs="Times New Roman"/>
                <w:b/>
                <w:bCs/>
                <w:noProof/>
                <w:color w:val="FFFFFF"/>
                <w:sz w:val="20"/>
                <w:szCs w:val="20"/>
              </w:rPr>
              <w:t>, covering:</w:t>
            </w:r>
          </w:p>
          <w:p w14:paraId="18A41076" w14:textId="77777777" w:rsidR="00AA1CDA" w:rsidRDefault="00AA1CDA" w:rsidP="00FB18C9">
            <w:pPr>
              <w:pStyle w:val="ListParagraph"/>
              <w:numPr>
                <w:ilvl w:val="0"/>
                <w:numId w:val="48"/>
              </w:numPr>
              <w:spacing w:line="276" w:lineRule="auto"/>
              <w:ind w:left="296" w:hanging="142"/>
              <w:jc w:val="left"/>
              <w:rPr>
                <w:rFonts w:ascii="Calibri" w:eastAsia="Calibri" w:hAnsi="Calibri" w:cs="Times New Roman"/>
                <w:b/>
                <w:bCs/>
                <w:noProof/>
                <w:color w:val="FFFFFF"/>
                <w:sz w:val="20"/>
                <w:szCs w:val="20"/>
              </w:rPr>
            </w:pPr>
            <w:r w:rsidRPr="00FB18C9">
              <w:rPr>
                <w:rFonts w:ascii="Calibri" w:eastAsia="Calibri" w:hAnsi="Calibri" w:cs="Times New Roman"/>
                <w:b/>
                <w:bCs/>
                <w:noProof/>
                <w:color w:val="FFFFFF"/>
                <w:sz w:val="20"/>
                <w:szCs w:val="20"/>
              </w:rPr>
              <w:t>aeroplanes,</w:t>
            </w:r>
          </w:p>
          <w:p w14:paraId="691838DC" w14:textId="77777777" w:rsidR="00E07DA9" w:rsidRDefault="00AA1CDA" w:rsidP="00FB18C9">
            <w:pPr>
              <w:pStyle w:val="ListParagraph"/>
              <w:numPr>
                <w:ilvl w:val="0"/>
                <w:numId w:val="48"/>
              </w:numPr>
              <w:spacing w:line="276" w:lineRule="auto"/>
              <w:ind w:left="296" w:hanging="142"/>
              <w:jc w:val="left"/>
              <w:rPr>
                <w:rFonts w:ascii="Calibri" w:eastAsia="Calibri" w:hAnsi="Calibri" w:cs="Times New Roman"/>
                <w:b/>
                <w:bCs/>
                <w:noProof/>
                <w:color w:val="FFFFFF"/>
                <w:sz w:val="20"/>
                <w:szCs w:val="20"/>
              </w:rPr>
            </w:pPr>
            <w:r w:rsidRPr="00FB18C9">
              <w:rPr>
                <w:rFonts w:ascii="Calibri" w:eastAsia="Calibri" w:hAnsi="Calibri" w:cs="Times New Roman"/>
                <w:b/>
                <w:bCs/>
                <w:noProof/>
                <w:color w:val="FFFFFF"/>
                <w:sz w:val="20"/>
                <w:szCs w:val="20"/>
              </w:rPr>
              <w:t xml:space="preserve">rotorcraft, </w:t>
            </w:r>
          </w:p>
          <w:p w14:paraId="614A4063" w14:textId="77777777" w:rsidR="00E07DA9" w:rsidRDefault="00AA1CDA" w:rsidP="00FB18C9">
            <w:pPr>
              <w:pStyle w:val="ListParagraph"/>
              <w:numPr>
                <w:ilvl w:val="0"/>
                <w:numId w:val="48"/>
              </w:numPr>
              <w:spacing w:line="276" w:lineRule="auto"/>
              <w:ind w:left="296" w:hanging="142"/>
              <w:jc w:val="left"/>
              <w:rPr>
                <w:rFonts w:ascii="Calibri" w:eastAsia="Calibri" w:hAnsi="Calibri" w:cs="Times New Roman"/>
                <w:b/>
                <w:bCs/>
                <w:noProof/>
                <w:color w:val="FFFFFF"/>
                <w:sz w:val="20"/>
                <w:szCs w:val="20"/>
              </w:rPr>
            </w:pPr>
            <w:r w:rsidRPr="00FB18C9">
              <w:rPr>
                <w:rFonts w:ascii="Calibri" w:eastAsia="Calibri" w:hAnsi="Calibri" w:cs="Times New Roman"/>
                <w:b/>
                <w:bCs/>
                <w:noProof/>
                <w:color w:val="FFFFFF"/>
                <w:sz w:val="20"/>
                <w:szCs w:val="20"/>
              </w:rPr>
              <w:t xml:space="preserve">sailplanes, </w:t>
            </w:r>
          </w:p>
          <w:p w14:paraId="78950874" w14:textId="77777777" w:rsidR="00E07DA9" w:rsidRDefault="00AA1CDA" w:rsidP="00FB18C9">
            <w:pPr>
              <w:pStyle w:val="ListParagraph"/>
              <w:numPr>
                <w:ilvl w:val="0"/>
                <w:numId w:val="48"/>
              </w:numPr>
              <w:spacing w:line="276" w:lineRule="auto"/>
              <w:ind w:left="296" w:hanging="142"/>
              <w:jc w:val="left"/>
              <w:rPr>
                <w:rFonts w:ascii="Calibri" w:eastAsia="Calibri" w:hAnsi="Calibri" w:cs="Times New Roman"/>
                <w:b/>
                <w:bCs/>
                <w:noProof/>
                <w:color w:val="FFFFFF"/>
                <w:sz w:val="20"/>
                <w:szCs w:val="20"/>
              </w:rPr>
            </w:pPr>
            <w:r w:rsidRPr="00FB18C9">
              <w:rPr>
                <w:rFonts w:ascii="Calibri" w:eastAsia="Calibri" w:hAnsi="Calibri" w:cs="Times New Roman"/>
                <w:b/>
                <w:bCs/>
                <w:noProof/>
                <w:color w:val="FFFFFF"/>
                <w:sz w:val="20"/>
                <w:szCs w:val="20"/>
              </w:rPr>
              <w:t xml:space="preserve">balloons, </w:t>
            </w:r>
          </w:p>
          <w:p w14:paraId="087238F7" w14:textId="77777777" w:rsidR="00E07DA9" w:rsidRDefault="00AA1CDA" w:rsidP="00FB18C9">
            <w:pPr>
              <w:pStyle w:val="ListParagraph"/>
              <w:numPr>
                <w:ilvl w:val="0"/>
                <w:numId w:val="48"/>
              </w:numPr>
              <w:spacing w:line="276" w:lineRule="auto"/>
              <w:ind w:left="296" w:hanging="142"/>
              <w:jc w:val="left"/>
              <w:rPr>
                <w:rFonts w:ascii="Calibri" w:eastAsia="Calibri" w:hAnsi="Calibri" w:cs="Times New Roman"/>
                <w:b/>
                <w:bCs/>
                <w:noProof/>
                <w:color w:val="FFFFFF"/>
                <w:sz w:val="20"/>
                <w:szCs w:val="20"/>
              </w:rPr>
            </w:pPr>
            <w:r w:rsidRPr="00FB18C9">
              <w:rPr>
                <w:rFonts w:ascii="Calibri" w:eastAsia="Calibri" w:hAnsi="Calibri" w:cs="Times New Roman"/>
                <w:b/>
                <w:bCs/>
                <w:noProof/>
                <w:color w:val="FFFFFF"/>
                <w:sz w:val="20"/>
                <w:szCs w:val="20"/>
              </w:rPr>
              <w:t xml:space="preserve">airships, </w:t>
            </w:r>
          </w:p>
          <w:p w14:paraId="210001B9" w14:textId="77777777" w:rsidR="007220D5" w:rsidRPr="00FB18C9" w:rsidRDefault="00AA1CDA" w:rsidP="00FB18C9">
            <w:pPr>
              <w:pStyle w:val="ListParagraph"/>
              <w:numPr>
                <w:ilvl w:val="0"/>
                <w:numId w:val="48"/>
              </w:numPr>
              <w:spacing w:line="276" w:lineRule="auto"/>
              <w:ind w:left="296" w:hanging="142"/>
              <w:jc w:val="left"/>
              <w:rPr>
                <w:rFonts w:ascii="Calibri" w:eastAsia="Calibri" w:hAnsi="Calibri" w:cs="Times New Roman"/>
                <w:b/>
                <w:bCs/>
                <w:noProof/>
                <w:color w:val="FFFFFF"/>
                <w:sz w:val="20"/>
                <w:szCs w:val="20"/>
              </w:rPr>
            </w:pPr>
            <w:r w:rsidRPr="00FB18C9">
              <w:rPr>
                <w:rFonts w:ascii="Calibri" w:eastAsia="Calibri" w:hAnsi="Calibri" w:cs="Times New Roman"/>
                <w:b/>
                <w:bCs/>
                <w:noProof/>
                <w:color w:val="FFFFFF"/>
                <w:sz w:val="20"/>
                <w:szCs w:val="20"/>
              </w:rPr>
              <w:t>e-VTOL aircraft</w:t>
            </w:r>
          </w:p>
        </w:tc>
        <w:tc>
          <w:tcPr>
            <w:tcW w:w="4191" w:type="dxa"/>
            <w:tcBorders>
              <w:top w:val="single" w:sz="18" w:space="0" w:color="auto"/>
            </w:tcBorders>
            <w:shd w:val="clear" w:color="auto" w:fill="FFFFFF" w:themeFill="background1"/>
            <w:tcMar>
              <w:top w:w="0" w:type="dxa"/>
              <w:left w:w="108" w:type="dxa"/>
              <w:bottom w:w="0" w:type="dxa"/>
              <w:right w:w="108" w:type="dxa"/>
            </w:tcMar>
            <w:hideMark/>
          </w:tcPr>
          <w:p w14:paraId="184ECD35" w14:textId="77777777" w:rsidR="007220D5" w:rsidRPr="007220D5" w:rsidRDefault="007220D5" w:rsidP="007220D5">
            <w:pPr>
              <w:spacing w:line="276" w:lineRule="auto"/>
              <w:jc w:val="left"/>
              <w:rPr>
                <w:rFonts w:ascii="Calibri" w:eastAsia="Calibri" w:hAnsi="Calibri" w:cs="Times New Roman"/>
                <w:noProof/>
                <w:color w:val="1F497D" w:themeColor="text2"/>
                <w:sz w:val="20"/>
                <w:szCs w:val="20"/>
              </w:rPr>
            </w:pPr>
            <w:r w:rsidRPr="007220D5">
              <w:rPr>
                <w:rFonts w:ascii="Calibri" w:eastAsia="Calibri" w:hAnsi="Calibri" w:cs="Times New Roman"/>
                <w:noProof/>
                <w:color w:val="1F497D" w:themeColor="text2"/>
                <w:sz w:val="20"/>
                <w:szCs w:val="20"/>
              </w:rPr>
              <w:t>Airworthiness certification of (individual) aircraft</w:t>
            </w:r>
          </w:p>
        </w:tc>
        <w:tc>
          <w:tcPr>
            <w:tcW w:w="3415" w:type="dxa"/>
            <w:tcBorders>
              <w:top w:val="single" w:sz="18" w:space="0" w:color="auto"/>
              <w:right w:val="single" w:sz="18" w:space="0" w:color="auto"/>
            </w:tcBorders>
            <w:shd w:val="clear" w:color="auto" w:fill="D8D8D8"/>
            <w:tcMar>
              <w:top w:w="0" w:type="dxa"/>
              <w:left w:w="108" w:type="dxa"/>
              <w:bottom w:w="0" w:type="dxa"/>
              <w:right w:w="108" w:type="dxa"/>
            </w:tcMar>
            <w:hideMark/>
          </w:tcPr>
          <w:p w14:paraId="22232A2B" w14:textId="77777777" w:rsidR="007220D5" w:rsidRPr="007220D5" w:rsidRDefault="007220D5" w:rsidP="007220D5">
            <w:pPr>
              <w:spacing w:line="276" w:lineRule="auto"/>
              <w:jc w:val="left"/>
              <w:rPr>
                <w:rFonts w:ascii="Calibri" w:eastAsia="Calibri" w:hAnsi="Calibri" w:cs="Times New Roman"/>
                <w:noProof/>
                <w:color w:val="1F497D" w:themeColor="text2"/>
                <w:sz w:val="20"/>
                <w:szCs w:val="20"/>
              </w:rPr>
            </w:pPr>
            <w:r w:rsidRPr="007220D5">
              <w:rPr>
                <w:rFonts w:ascii="Calibri" w:eastAsia="Calibri" w:hAnsi="Calibri" w:cs="Times New Roman"/>
                <w:noProof/>
                <w:color w:val="1F497D" w:themeColor="text2"/>
                <w:sz w:val="20"/>
                <w:szCs w:val="20"/>
              </w:rPr>
              <w:t>Type certification of aircraft, engine and propellers</w:t>
            </w:r>
          </w:p>
        </w:tc>
      </w:tr>
      <w:tr w:rsidR="007220D5" w:rsidRPr="007220D5" w14:paraId="641D3198" w14:textId="77777777" w:rsidTr="00B81F39">
        <w:trPr>
          <w:trHeight w:val="371"/>
        </w:trPr>
        <w:tc>
          <w:tcPr>
            <w:tcW w:w="2245" w:type="dxa"/>
            <w:vMerge/>
            <w:tcBorders>
              <w:left w:val="single" w:sz="18" w:space="0" w:color="auto"/>
            </w:tcBorders>
            <w:vAlign w:val="center"/>
            <w:hideMark/>
          </w:tcPr>
          <w:p w14:paraId="67879D8C" w14:textId="77777777" w:rsidR="007220D5" w:rsidRPr="007220D5" w:rsidRDefault="007220D5" w:rsidP="007220D5">
            <w:pPr>
              <w:spacing w:before="0" w:after="0"/>
              <w:jc w:val="left"/>
              <w:rPr>
                <w:rFonts w:ascii="Calibri" w:eastAsia="Calibri" w:hAnsi="Calibri" w:cs="Times New Roman"/>
                <w:b/>
                <w:bCs/>
                <w:noProof/>
                <w:color w:val="FFFFFF"/>
                <w:sz w:val="20"/>
                <w:szCs w:val="20"/>
              </w:rPr>
            </w:pPr>
          </w:p>
        </w:tc>
        <w:tc>
          <w:tcPr>
            <w:tcW w:w="4191" w:type="dxa"/>
            <w:shd w:val="clear" w:color="auto" w:fill="D8D8D8"/>
            <w:vAlign w:val="center"/>
            <w:hideMark/>
          </w:tcPr>
          <w:p w14:paraId="58B3E9E9" w14:textId="77777777" w:rsidR="007220D5" w:rsidRPr="007220D5" w:rsidRDefault="007220D5" w:rsidP="007220D5">
            <w:pPr>
              <w:spacing w:line="276" w:lineRule="auto"/>
              <w:jc w:val="left"/>
              <w:rPr>
                <w:rFonts w:ascii="Calibri" w:eastAsia="Calibri" w:hAnsi="Calibri" w:cs="Times New Roman"/>
                <w:noProof/>
                <w:color w:val="1F497D" w:themeColor="text2"/>
                <w:sz w:val="20"/>
                <w:szCs w:val="20"/>
              </w:rPr>
            </w:pPr>
            <w:r w:rsidRPr="007220D5">
              <w:rPr>
                <w:rFonts w:ascii="Calibri" w:eastAsia="Calibri" w:hAnsi="Calibri" w:cs="Times New Roman"/>
                <w:noProof/>
                <w:color w:val="1F497D" w:themeColor="text2"/>
                <w:sz w:val="20"/>
                <w:szCs w:val="20"/>
              </w:rPr>
              <w:t xml:space="preserve">  Noise certification of </w:t>
            </w:r>
            <w:r w:rsidR="00EB5FE4" w:rsidRPr="007220D5">
              <w:rPr>
                <w:rFonts w:ascii="Calibri" w:eastAsia="Calibri" w:hAnsi="Calibri" w:cs="Times New Roman"/>
                <w:noProof/>
                <w:color w:val="1F497D" w:themeColor="text2"/>
                <w:sz w:val="20"/>
                <w:szCs w:val="20"/>
              </w:rPr>
              <w:t xml:space="preserve">(individual) </w:t>
            </w:r>
            <w:r w:rsidRPr="007220D5">
              <w:rPr>
                <w:rFonts w:ascii="Calibri" w:eastAsia="Calibri" w:hAnsi="Calibri" w:cs="Times New Roman"/>
                <w:noProof/>
                <w:color w:val="1F497D" w:themeColor="text2"/>
                <w:sz w:val="20"/>
                <w:szCs w:val="20"/>
              </w:rPr>
              <w:t>aircraft</w:t>
            </w:r>
          </w:p>
        </w:tc>
        <w:tc>
          <w:tcPr>
            <w:tcW w:w="3415" w:type="dxa"/>
            <w:tcBorders>
              <w:right w:val="single" w:sz="18" w:space="0" w:color="auto"/>
            </w:tcBorders>
            <w:tcMar>
              <w:top w:w="0" w:type="dxa"/>
              <w:left w:w="108" w:type="dxa"/>
              <w:bottom w:w="0" w:type="dxa"/>
              <w:right w:w="108" w:type="dxa"/>
            </w:tcMar>
            <w:hideMark/>
          </w:tcPr>
          <w:p w14:paraId="0921789F" w14:textId="77777777" w:rsidR="007220D5" w:rsidRPr="007220D5" w:rsidRDefault="007220D5" w:rsidP="007220D5">
            <w:pPr>
              <w:spacing w:line="276" w:lineRule="auto"/>
              <w:jc w:val="left"/>
              <w:rPr>
                <w:rFonts w:ascii="Calibri" w:eastAsia="Calibri" w:hAnsi="Calibri" w:cs="Times New Roman"/>
                <w:noProof/>
                <w:color w:val="1F497D" w:themeColor="text2"/>
                <w:sz w:val="20"/>
                <w:szCs w:val="20"/>
              </w:rPr>
            </w:pPr>
            <w:r w:rsidRPr="007220D5">
              <w:rPr>
                <w:rFonts w:ascii="Calibri" w:eastAsia="Calibri" w:hAnsi="Calibri" w:cs="Times New Roman"/>
                <w:noProof/>
                <w:color w:val="1F497D" w:themeColor="text2"/>
                <w:sz w:val="20"/>
                <w:szCs w:val="20"/>
              </w:rPr>
              <w:t xml:space="preserve">Certification of parts and appliances </w:t>
            </w:r>
          </w:p>
        </w:tc>
      </w:tr>
      <w:tr w:rsidR="007220D5" w:rsidRPr="007220D5" w14:paraId="29BA77FB" w14:textId="77777777" w:rsidTr="00B81F39">
        <w:trPr>
          <w:trHeight w:val="371"/>
        </w:trPr>
        <w:tc>
          <w:tcPr>
            <w:tcW w:w="2245" w:type="dxa"/>
            <w:vMerge/>
            <w:tcBorders>
              <w:left w:val="single" w:sz="18" w:space="0" w:color="auto"/>
            </w:tcBorders>
            <w:vAlign w:val="center"/>
            <w:hideMark/>
          </w:tcPr>
          <w:p w14:paraId="4F047926" w14:textId="77777777" w:rsidR="007220D5" w:rsidRPr="007220D5" w:rsidRDefault="007220D5" w:rsidP="007220D5">
            <w:pPr>
              <w:spacing w:before="0" w:after="0"/>
              <w:jc w:val="left"/>
              <w:rPr>
                <w:rFonts w:ascii="Calibri" w:eastAsia="Calibri" w:hAnsi="Calibri" w:cs="Times New Roman"/>
                <w:b/>
                <w:bCs/>
                <w:noProof/>
                <w:color w:val="FFFFFF"/>
                <w:sz w:val="20"/>
                <w:szCs w:val="20"/>
              </w:rPr>
            </w:pPr>
          </w:p>
        </w:tc>
        <w:tc>
          <w:tcPr>
            <w:tcW w:w="4191" w:type="dxa"/>
            <w:shd w:val="clear" w:color="auto" w:fill="FFFFFF" w:themeFill="background1"/>
            <w:vAlign w:val="center"/>
          </w:tcPr>
          <w:p w14:paraId="79A873FA" w14:textId="77777777" w:rsidR="007220D5" w:rsidRPr="007220D5" w:rsidRDefault="00B07EB8" w:rsidP="00FB18C9">
            <w:pPr>
              <w:spacing w:line="276" w:lineRule="auto"/>
              <w:ind w:left="113"/>
              <w:jc w:val="left"/>
              <w:rPr>
                <w:rFonts w:ascii="Calibri" w:eastAsia="Calibri" w:hAnsi="Calibri" w:cs="Times New Roman"/>
                <w:noProof/>
                <w:color w:val="1F497D" w:themeColor="text2"/>
                <w:sz w:val="20"/>
                <w:szCs w:val="20"/>
              </w:rPr>
            </w:pPr>
            <w:r>
              <w:rPr>
                <w:rFonts w:ascii="Calibri" w:eastAsia="Calibri" w:hAnsi="Calibri" w:cs="Times New Roman"/>
                <w:noProof/>
                <w:color w:val="1F497D" w:themeColor="text2"/>
                <w:sz w:val="20"/>
                <w:szCs w:val="20"/>
              </w:rPr>
              <w:t>n/a</w:t>
            </w:r>
          </w:p>
        </w:tc>
        <w:tc>
          <w:tcPr>
            <w:tcW w:w="3415" w:type="dxa"/>
            <w:tcBorders>
              <w:right w:val="single" w:sz="18" w:space="0" w:color="auto"/>
            </w:tcBorders>
            <w:shd w:val="clear" w:color="auto" w:fill="D8D8D8"/>
            <w:tcMar>
              <w:top w:w="0" w:type="dxa"/>
              <w:left w:w="108" w:type="dxa"/>
              <w:bottom w:w="0" w:type="dxa"/>
              <w:right w:w="108" w:type="dxa"/>
            </w:tcMar>
            <w:hideMark/>
          </w:tcPr>
          <w:p w14:paraId="4E764178" w14:textId="77777777" w:rsidR="007220D5" w:rsidRPr="007220D5" w:rsidRDefault="00B07EB8" w:rsidP="007220D5">
            <w:pPr>
              <w:spacing w:line="276" w:lineRule="auto"/>
              <w:jc w:val="left"/>
              <w:rPr>
                <w:rFonts w:ascii="Calibri" w:eastAsia="Calibri" w:hAnsi="Calibri" w:cs="Times New Roman"/>
                <w:noProof/>
                <w:color w:val="1F497D" w:themeColor="text2"/>
                <w:sz w:val="20"/>
                <w:szCs w:val="20"/>
              </w:rPr>
            </w:pPr>
            <w:r w:rsidRPr="00DB19C6">
              <w:rPr>
                <w:rFonts w:ascii="Calibri" w:eastAsia="Calibri" w:hAnsi="Calibri" w:cs="Times New Roman"/>
                <w:noProof/>
                <w:color w:val="1F497D" w:themeColor="text2"/>
                <w:sz w:val="20"/>
                <w:szCs w:val="20"/>
              </w:rPr>
              <w:t>Certification</w:t>
            </w:r>
            <w:r>
              <w:rPr>
                <w:rFonts w:ascii="Calibri" w:eastAsia="Calibri" w:hAnsi="Calibri" w:cs="Times New Roman"/>
                <w:noProof/>
                <w:color w:val="1F497D" w:themeColor="text2"/>
                <w:sz w:val="20"/>
                <w:szCs w:val="20"/>
              </w:rPr>
              <w:t xml:space="preserve"> and oversight</w:t>
            </w:r>
            <w:r w:rsidR="007220D5" w:rsidRPr="007220D5">
              <w:rPr>
                <w:rFonts w:ascii="Calibri" w:eastAsia="Calibri" w:hAnsi="Calibri" w:cs="Times New Roman"/>
                <w:noProof/>
                <w:color w:val="1F497D" w:themeColor="text2"/>
                <w:sz w:val="20"/>
                <w:szCs w:val="20"/>
              </w:rPr>
              <w:t xml:space="preserve"> of design organisations</w:t>
            </w:r>
          </w:p>
        </w:tc>
      </w:tr>
      <w:tr w:rsidR="007220D5" w:rsidRPr="007220D5" w14:paraId="3D492ABC" w14:textId="77777777" w:rsidTr="00B81F39">
        <w:trPr>
          <w:trHeight w:val="371"/>
        </w:trPr>
        <w:tc>
          <w:tcPr>
            <w:tcW w:w="2245" w:type="dxa"/>
            <w:vMerge/>
            <w:tcBorders>
              <w:left w:val="single" w:sz="18" w:space="0" w:color="auto"/>
            </w:tcBorders>
            <w:vAlign w:val="center"/>
            <w:hideMark/>
          </w:tcPr>
          <w:p w14:paraId="7199946C" w14:textId="77777777" w:rsidR="007220D5" w:rsidRPr="007220D5" w:rsidRDefault="007220D5" w:rsidP="007220D5">
            <w:pPr>
              <w:spacing w:before="0" w:after="0"/>
              <w:jc w:val="left"/>
              <w:rPr>
                <w:rFonts w:ascii="Calibri" w:eastAsia="Calibri" w:hAnsi="Calibri" w:cs="Times New Roman"/>
                <w:b/>
                <w:bCs/>
                <w:noProof/>
                <w:color w:val="FFFFFF"/>
                <w:sz w:val="20"/>
                <w:szCs w:val="20"/>
              </w:rPr>
            </w:pPr>
          </w:p>
        </w:tc>
        <w:tc>
          <w:tcPr>
            <w:tcW w:w="4191" w:type="dxa"/>
            <w:shd w:val="clear" w:color="auto" w:fill="D8D8D8"/>
            <w:vAlign w:val="center"/>
            <w:hideMark/>
          </w:tcPr>
          <w:p w14:paraId="2BDFF4F0" w14:textId="77777777" w:rsidR="007220D5" w:rsidRPr="007220D5" w:rsidRDefault="00B07EB8" w:rsidP="00FB18C9">
            <w:pPr>
              <w:spacing w:line="276" w:lineRule="auto"/>
              <w:ind w:left="113"/>
              <w:jc w:val="left"/>
              <w:rPr>
                <w:rFonts w:ascii="Calibri" w:eastAsia="Calibri" w:hAnsi="Calibri" w:cs="Times New Roman"/>
                <w:noProof/>
                <w:color w:val="1F497D" w:themeColor="text2"/>
                <w:sz w:val="20"/>
                <w:szCs w:val="20"/>
              </w:rPr>
            </w:pPr>
            <w:r w:rsidRPr="00DB19C6">
              <w:rPr>
                <w:rFonts w:ascii="Calibri" w:eastAsia="Calibri" w:hAnsi="Calibri" w:cs="Times New Roman"/>
                <w:noProof/>
                <w:color w:val="1F497D" w:themeColor="text2"/>
                <w:sz w:val="20"/>
                <w:szCs w:val="20"/>
              </w:rPr>
              <w:t>Certification</w:t>
            </w:r>
            <w:r>
              <w:rPr>
                <w:rFonts w:ascii="Calibri" w:eastAsia="Calibri" w:hAnsi="Calibri" w:cs="Times New Roman"/>
                <w:noProof/>
                <w:color w:val="1F497D" w:themeColor="text2"/>
                <w:sz w:val="20"/>
                <w:szCs w:val="20"/>
              </w:rPr>
              <w:t xml:space="preserve"> and oversight</w:t>
            </w:r>
            <w:r w:rsidR="007220D5" w:rsidRPr="007220D5">
              <w:rPr>
                <w:rFonts w:ascii="Calibri" w:eastAsia="Calibri" w:hAnsi="Calibri" w:cs="Times New Roman"/>
                <w:noProof/>
                <w:color w:val="1F497D" w:themeColor="text2"/>
                <w:sz w:val="20"/>
                <w:szCs w:val="20"/>
              </w:rPr>
              <w:t xml:space="preserve"> of production organisations</w:t>
            </w:r>
            <w:r>
              <w:rPr>
                <w:rFonts w:ascii="Calibri" w:eastAsia="Calibri" w:hAnsi="Calibri" w:cs="Times New Roman"/>
                <w:noProof/>
                <w:color w:val="1F497D" w:themeColor="text2"/>
                <w:sz w:val="20"/>
                <w:szCs w:val="20"/>
              </w:rPr>
              <w:t>, with the exception of those for which EASA is the competent authority</w:t>
            </w:r>
          </w:p>
        </w:tc>
        <w:tc>
          <w:tcPr>
            <w:tcW w:w="3415" w:type="dxa"/>
            <w:tcBorders>
              <w:right w:val="single" w:sz="18" w:space="0" w:color="auto"/>
            </w:tcBorders>
            <w:shd w:val="clear" w:color="auto" w:fill="FFFFFF" w:themeFill="background1"/>
            <w:tcMar>
              <w:top w:w="0" w:type="dxa"/>
              <w:left w:w="108" w:type="dxa"/>
              <w:bottom w:w="0" w:type="dxa"/>
              <w:right w:w="108" w:type="dxa"/>
            </w:tcMar>
            <w:hideMark/>
          </w:tcPr>
          <w:p w14:paraId="49C45ED9" w14:textId="77777777" w:rsidR="007220D5" w:rsidRPr="007220D5" w:rsidRDefault="00B07EB8" w:rsidP="007220D5">
            <w:pPr>
              <w:spacing w:line="276" w:lineRule="auto"/>
              <w:jc w:val="left"/>
              <w:rPr>
                <w:rFonts w:ascii="Calibri" w:eastAsia="Calibri" w:hAnsi="Calibri" w:cs="Times New Roman"/>
                <w:noProof/>
                <w:color w:val="1F497D" w:themeColor="text2"/>
                <w:sz w:val="20"/>
                <w:szCs w:val="20"/>
              </w:rPr>
            </w:pPr>
            <w:r w:rsidRPr="00DB19C6">
              <w:rPr>
                <w:rFonts w:ascii="Calibri" w:eastAsia="Calibri" w:hAnsi="Calibri" w:cs="Times New Roman"/>
                <w:noProof/>
                <w:color w:val="1F497D" w:themeColor="text2"/>
                <w:sz w:val="20"/>
                <w:szCs w:val="20"/>
              </w:rPr>
              <w:t>Certification</w:t>
            </w:r>
            <w:r>
              <w:rPr>
                <w:rFonts w:ascii="Calibri" w:eastAsia="Calibri" w:hAnsi="Calibri" w:cs="Times New Roman"/>
                <w:noProof/>
                <w:color w:val="1F497D" w:themeColor="text2"/>
                <w:sz w:val="20"/>
                <w:szCs w:val="20"/>
              </w:rPr>
              <w:t xml:space="preserve"> and oversight</w:t>
            </w:r>
            <w:r w:rsidR="007220D5" w:rsidRPr="007220D5">
              <w:rPr>
                <w:rFonts w:ascii="Calibri" w:eastAsia="Calibri" w:hAnsi="Calibri" w:cs="Times New Roman"/>
                <w:noProof/>
                <w:color w:val="1F497D" w:themeColor="text2"/>
                <w:sz w:val="20"/>
                <w:szCs w:val="20"/>
              </w:rPr>
              <w:t xml:space="preserve"> of </w:t>
            </w:r>
            <w:r>
              <w:rPr>
                <w:rFonts w:ascii="Calibri" w:eastAsia="Calibri" w:hAnsi="Calibri" w:cs="Times New Roman"/>
                <w:noProof/>
                <w:color w:val="1F497D" w:themeColor="text2"/>
                <w:sz w:val="20"/>
                <w:szCs w:val="20"/>
              </w:rPr>
              <w:t xml:space="preserve">third </w:t>
            </w:r>
            <w:r w:rsidR="007220D5" w:rsidRPr="007220D5">
              <w:rPr>
                <w:rFonts w:ascii="Calibri" w:eastAsia="Calibri" w:hAnsi="Calibri" w:cs="Times New Roman"/>
                <w:noProof/>
                <w:color w:val="1F497D" w:themeColor="text2"/>
                <w:sz w:val="20"/>
                <w:szCs w:val="20"/>
              </w:rPr>
              <w:t xml:space="preserve">country production organisations </w:t>
            </w:r>
          </w:p>
          <w:p w14:paraId="0D778580" w14:textId="786FD793" w:rsidR="007220D5" w:rsidRPr="007220D5" w:rsidRDefault="00B07EB8" w:rsidP="007220D5">
            <w:pPr>
              <w:spacing w:line="276" w:lineRule="auto"/>
              <w:jc w:val="left"/>
              <w:rPr>
                <w:rFonts w:ascii="Calibri" w:eastAsia="Calibri" w:hAnsi="Calibri" w:cs="Times New Roman"/>
                <w:noProof/>
                <w:color w:val="1F497D" w:themeColor="text2"/>
                <w:sz w:val="20"/>
                <w:szCs w:val="20"/>
              </w:rPr>
            </w:pPr>
            <w:r w:rsidRPr="00DB19C6">
              <w:rPr>
                <w:rFonts w:ascii="Calibri" w:eastAsia="Calibri" w:hAnsi="Calibri" w:cs="Times New Roman"/>
                <w:noProof/>
                <w:color w:val="1F497D" w:themeColor="text2"/>
                <w:sz w:val="20"/>
                <w:szCs w:val="20"/>
              </w:rPr>
              <w:t>Certification</w:t>
            </w:r>
            <w:r>
              <w:rPr>
                <w:rFonts w:ascii="Calibri" w:eastAsia="Calibri" w:hAnsi="Calibri" w:cs="Times New Roman"/>
                <w:noProof/>
                <w:color w:val="1F497D" w:themeColor="text2"/>
                <w:sz w:val="20"/>
                <w:szCs w:val="20"/>
              </w:rPr>
              <w:t xml:space="preserve"> and oversight</w:t>
            </w:r>
            <w:r w:rsidR="00FA3F34">
              <w:rPr>
                <w:rFonts w:ascii="Calibri" w:eastAsia="Calibri" w:hAnsi="Calibri" w:cs="Times New Roman"/>
                <w:noProof/>
                <w:color w:val="1F497D" w:themeColor="text2"/>
                <w:sz w:val="20"/>
                <w:szCs w:val="20"/>
              </w:rPr>
              <w:t xml:space="preserve"> of EU production organisations whose certificate was transferred i</w:t>
            </w:r>
            <w:r w:rsidR="00CD3283">
              <w:rPr>
                <w:rFonts w:ascii="Calibri" w:eastAsia="Calibri" w:hAnsi="Calibri" w:cs="Times New Roman"/>
                <w:noProof/>
                <w:color w:val="1F497D" w:themeColor="text2"/>
                <w:sz w:val="20"/>
                <w:szCs w:val="20"/>
              </w:rPr>
              <w:t xml:space="preserve">n accordance with </w:t>
            </w:r>
            <w:r w:rsidR="00FA3F34">
              <w:rPr>
                <w:rFonts w:ascii="Calibri" w:eastAsia="Calibri" w:hAnsi="Calibri" w:cs="Times New Roman"/>
                <w:noProof/>
                <w:color w:val="1F497D" w:themeColor="text2"/>
                <w:sz w:val="20"/>
                <w:szCs w:val="20"/>
              </w:rPr>
              <w:t>BR Article 64 or 65</w:t>
            </w:r>
            <w:r w:rsidR="00CD3283" w:rsidRPr="00FB18C9">
              <w:rPr>
                <w:rFonts w:ascii="Calibri" w:eastAsia="Calibri" w:hAnsi="Calibri" w:cs="Times New Roman"/>
                <w:noProof/>
                <w:color w:val="1F497D" w:themeColor="text2"/>
                <w:sz w:val="20"/>
                <w:szCs w:val="20"/>
                <w:vertAlign w:val="superscript"/>
              </w:rPr>
              <w:footnoteReference w:id="26"/>
            </w:r>
          </w:p>
        </w:tc>
      </w:tr>
      <w:tr w:rsidR="007220D5" w:rsidRPr="007220D5" w14:paraId="5F8AFEBD" w14:textId="77777777" w:rsidTr="00B81F39">
        <w:trPr>
          <w:trHeight w:val="371"/>
        </w:trPr>
        <w:tc>
          <w:tcPr>
            <w:tcW w:w="2245" w:type="dxa"/>
            <w:vMerge/>
            <w:tcBorders>
              <w:left w:val="single" w:sz="18" w:space="0" w:color="auto"/>
            </w:tcBorders>
            <w:vAlign w:val="center"/>
            <w:hideMark/>
          </w:tcPr>
          <w:p w14:paraId="3AF940B8" w14:textId="77777777" w:rsidR="007220D5" w:rsidRPr="007220D5" w:rsidRDefault="007220D5" w:rsidP="007220D5">
            <w:pPr>
              <w:spacing w:before="0" w:after="0"/>
              <w:jc w:val="left"/>
              <w:rPr>
                <w:rFonts w:ascii="Calibri" w:eastAsia="Calibri" w:hAnsi="Calibri" w:cs="Times New Roman"/>
                <w:b/>
                <w:bCs/>
                <w:noProof/>
                <w:color w:val="FFFFFF"/>
                <w:sz w:val="20"/>
                <w:szCs w:val="20"/>
              </w:rPr>
            </w:pPr>
          </w:p>
        </w:tc>
        <w:tc>
          <w:tcPr>
            <w:tcW w:w="4191" w:type="dxa"/>
            <w:shd w:val="clear" w:color="auto" w:fill="FFFFFF" w:themeFill="background1"/>
            <w:vAlign w:val="center"/>
            <w:hideMark/>
          </w:tcPr>
          <w:p w14:paraId="0734A532" w14:textId="77777777" w:rsidR="007220D5" w:rsidRPr="007220D5" w:rsidRDefault="00B07EB8" w:rsidP="00FB18C9">
            <w:pPr>
              <w:spacing w:before="0" w:after="0"/>
              <w:ind w:left="113"/>
              <w:jc w:val="left"/>
              <w:rPr>
                <w:rFonts w:ascii="Calibri" w:eastAsia="Calibri" w:hAnsi="Calibri" w:cs="Times New Roman"/>
                <w:noProof/>
                <w:color w:val="1F497D" w:themeColor="text2"/>
                <w:sz w:val="20"/>
                <w:szCs w:val="20"/>
              </w:rPr>
            </w:pPr>
            <w:r w:rsidRPr="00DB19C6">
              <w:rPr>
                <w:rFonts w:ascii="Calibri" w:eastAsia="Calibri" w:hAnsi="Calibri" w:cs="Times New Roman"/>
                <w:noProof/>
                <w:color w:val="1F497D" w:themeColor="text2"/>
                <w:sz w:val="20"/>
                <w:szCs w:val="20"/>
              </w:rPr>
              <w:t>Certification</w:t>
            </w:r>
            <w:r>
              <w:rPr>
                <w:rFonts w:ascii="Calibri" w:eastAsia="Calibri" w:hAnsi="Calibri" w:cs="Times New Roman"/>
                <w:noProof/>
                <w:color w:val="1F497D" w:themeColor="text2"/>
                <w:sz w:val="20"/>
                <w:szCs w:val="20"/>
              </w:rPr>
              <w:t xml:space="preserve"> and oversight</w:t>
            </w:r>
            <w:r w:rsidR="007220D5" w:rsidRPr="007220D5">
              <w:rPr>
                <w:rFonts w:ascii="Calibri" w:eastAsia="Calibri" w:hAnsi="Calibri" w:cs="Times New Roman"/>
                <w:noProof/>
                <w:color w:val="1F497D" w:themeColor="text2"/>
                <w:sz w:val="20"/>
                <w:szCs w:val="20"/>
              </w:rPr>
              <w:t xml:space="preserve"> of maintenance organisations</w:t>
            </w:r>
            <w:r w:rsidR="00202452">
              <w:rPr>
                <w:rFonts w:ascii="Calibri" w:eastAsia="Calibri" w:hAnsi="Calibri" w:cs="Times New Roman"/>
                <w:noProof/>
                <w:color w:val="1F497D" w:themeColor="text2"/>
                <w:sz w:val="20"/>
                <w:szCs w:val="20"/>
              </w:rPr>
              <w:t xml:space="preserve"> </w:t>
            </w:r>
            <w:r w:rsidR="001E0379">
              <w:rPr>
                <w:rFonts w:ascii="Calibri" w:eastAsia="Calibri" w:hAnsi="Calibri" w:cs="Times New Roman"/>
                <w:noProof/>
                <w:color w:val="1F497D" w:themeColor="text2"/>
                <w:sz w:val="20"/>
                <w:szCs w:val="20"/>
              </w:rPr>
              <w:t>(Part-145)</w:t>
            </w:r>
            <w:r>
              <w:rPr>
                <w:rFonts w:ascii="Calibri" w:eastAsia="Calibri" w:hAnsi="Calibri" w:cs="Times New Roman"/>
                <w:noProof/>
                <w:color w:val="1F497D" w:themeColor="text2"/>
                <w:sz w:val="20"/>
                <w:szCs w:val="20"/>
              </w:rPr>
              <w:t>, with the exception of those for which EASA is the competent authority</w:t>
            </w:r>
          </w:p>
        </w:tc>
        <w:tc>
          <w:tcPr>
            <w:tcW w:w="3415" w:type="dxa"/>
            <w:tcBorders>
              <w:right w:val="single" w:sz="18" w:space="0" w:color="auto"/>
            </w:tcBorders>
            <w:shd w:val="clear" w:color="auto" w:fill="D8D8D8"/>
            <w:tcMar>
              <w:top w:w="0" w:type="dxa"/>
              <w:left w:w="108" w:type="dxa"/>
              <w:bottom w:w="0" w:type="dxa"/>
              <w:right w:w="108" w:type="dxa"/>
            </w:tcMar>
            <w:hideMark/>
          </w:tcPr>
          <w:p w14:paraId="09B2142F" w14:textId="77777777" w:rsidR="007220D5" w:rsidRDefault="00B07EB8" w:rsidP="007220D5">
            <w:pPr>
              <w:spacing w:line="276" w:lineRule="auto"/>
              <w:jc w:val="left"/>
              <w:rPr>
                <w:rFonts w:ascii="Calibri" w:eastAsia="Calibri" w:hAnsi="Calibri" w:cs="Times New Roman"/>
                <w:noProof/>
                <w:color w:val="1F497D" w:themeColor="text2"/>
                <w:sz w:val="20"/>
                <w:szCs w:val="20"/>
              </w:rPr>
            </w:pPr>
            <w:r w:rsidRPr="00DB19C6">
              <w:rPr>
                <w:rFonts w:ascii="Calibri" w:eastAsia="Calibri" w:hAnsi="Calibri" w:cs="Times New Roman"/>
                <w:noProof/>
                <w:color w:val="1F497D" w:themeColor="text2"/>
                <w:sz w:val="20"/>
                <w:szCs w:val="20"/>
              </w:rPr>
              <w:t>Certification</w:t>
            </w:r>
            <w:r>
              <w:rPr>
                <w:rFonts w:ascii="Calibri" w:eastAsia="Calibri" w:hAnsi="Calibri" w:cs="Times New Roman"/>
                <w:noProof/>
                <w:color w:val="1F497D" w:themeColor="text2"/>
                <w:sz w:val="20"/>
                <w:szCs w:val="20"/>
              </w:rPr>
              <w:t xml:space="preserve"> and oversight</w:t>
            </w:r>
            <w:r w:rsidR="007220D5" w:rsidRPr="007220D5">
              <w:rPr>
                <w:rFonts w:ascii="Calibri" w:eastAsia="Calibri" w:hAnsi="Calibri" w:cs="Times New Roman"/>
                <w:noProof/>
                <w:color w:val="1F497D" w:themeColor="text2"/>
                <w:sz w:val="20"/>
                <w:szCs w:val="20"/>
              </w:rPr>
              <w:t xml:space="preserve"> of</w:t>
            </w:r>
            <w:r>
              <w:rPr>
                <w:rFonts w:ascii="Calibri" w:eastAsia="Calibri" w:hAnsi="Calibri" w:cs="Times New Roman"/>
                <w:noProof/>
                <w:color w:val="1F497D" w:themeColor="text2"/>
                <w:sz w:val="20"/>
                <w:szCs w:val="20"/>
              </w:rPr>
              <w:t xml:space="preserve"> third </w:t>
            </w:r>
            <w:r w:rsidR="007220D5" w:rsidRPr="007220D5">
              <w:rPr>
                <w:rFonts w:ascii="Calibri" w:eastAsia="Calibri" w:hAnsi="Calibri" w:cs="Times New Roman"/>
                <w:noProof/>
                <w:color w:val="1F497D" w:themeColor="text2"/>
                <w:sz w:val="20"/>
                <w:szCs w:val="20"/>
              </w:rPr>
              <w:t xml:space="preserve">country maintenance organisations </w:t>
            </w:r>
            <w:r w:rsidR="001E0379">
              <w:rPr>
                <w:rFonts w:ascii="Calibri" w:eastAsia="Calibri" w:hAnsi="Calibri" w:cs="Times New Roman"/>
                <w:noProof/>
                <w:color w:val="1F497D" w:themeColor="text2"/>
                <w:sz w:val="20"/>
                <w:szCs w:val="20"/>
              </w:rPr>
              <w:t>(Part-145)</w:t>
            </w:r>
          </w:p>
          <w:p w14:paraId="0FBCF837" w14:textId="75AE1604" w:rsidR="00FA3F34" w:rsidRPr="007220D5" w:rsidRDefault="00B07EB8" w:rsidP="007220D5">
            <w:pPr>
              <w:spacing w:line="276" w:lineRule="auto"/>
              <w:jc w:val="left"/>
              <w:rPr>
                <w:rFonts w:ascii="Calibri" w:eastAsia="Calibri" w:hAnsi="Calibri" w:cs="Times New Roman"/>
                <w:noProof/>
                <w:color w:val="1F497D" w:themeColor="text2"/>
                <w:sz w:val="20"/>
                <w:szCs w:val="20"/>
              </w:rPr>
            </w:pPr>
            <w:r w:rsidRPr="00DB19C6">
              <w:rPr>
                <w:rFonts w:ascii="Calibri" w:eastAsia="Calibri" w:hAnsi="Calibri" w:cs="Times New Roman"/>
                <w:noProof/>
                <w:color w:val="1F497D" w:themeColor="text2"/>
                <w:sz w:val="20"/>
                <w:szCs w:val="20"/>
              </w:rPr>
              <w:t>Certification</w:t>
            </w:r>
            <w:r>
              <w:rPr>
                <w:rFonts w:ascii="Calibri" w:eastAsia="Calibri" w:hAnsi="Calibri" w:cs="Times New Roman"/>
                <w:noProof/>
                <w:color w:val="1F497D" w:themeColor="text2"/>
                <w:sz w:val="20"/>
                <w:szCs w:val="20"/>
              </w:rPr>
              <w:t xml:space="preserve"> and oversight </w:t>
            </w:r>
            <w:r w:rsidR="00FA3F34">
              <w:rPr>
                <w:rFonts w:ascii="Calibri" w:eastAsia="Calibri" w:hAnsi="Calibri" w:cs="Times New Roman"/>
                <w:noProof/>
                <w:color w:val="1F497D" w:themeColor="text2"/>
                <w:sz w:val="20"/>
                <w:szCs w:val="20"/>
              </w:rPr>
              <w:t xml:space="preserve">of EU Part-145 organisations whose certificate was transferred </w:t>
            </w:r>
            <w:r w:rsidR="00CD3283">
              <w:rPr>
                <w:rFonts w:ascii="Calibri" w:eastAsia="Calibri" w:hAnsi="Calibri" w:cs="Times New Roman"/>
                <w:noProof/>
                <w:color w:val="1F497D" w:themeColor="text2"/>
                <w:sz w:val="20"/>
                <w:szCs w:val="20"/>
              </w:rPr>
              <w:t>in accordance with BR Article 64 or 65</w:t>
            </w:r>
          </w:p>
        </w:tc>
      </w:tr>
      <w:tr w:rsidR="001E0379" w:rsidRPr="007220D5" w14:paraId="79F9167A" w14:textId="77777777" w:rsidTr="00222F1A">
        <w:trPr>
          <w:trHeight w:val="842"/>
        </w:trPr>
        <w:tc>
          <w:tcPr>
            <w:tcW w:w="2245" w:type="dxa"/>
            <w:vMerge/>
            <w:tcBorders>
              <w:left w:val="single" w:sz="18" w:space="0" w:color="auto"/>
            </w:tcBorders>
            <w:vAlign w:val="center"/>
          </w:tcPr>
          <w:p w14:paraId="725B91AB" w14:textId="77777777" w:rsidR="001E0379" w:rsidRPr="007220D5" w:rsidRDefault="001E0379" w:rsidP="007220D5">
            <w:pPr>
              <w:spacing w:before="0" w:after="0"/>
              <w:jc w:val="left"/>
              <w:rPr>
                <w:rFonts w:ascii="Calibri" w:eastAsia="Calibri" w:hAnsi="Calibri" w:cs="Times New Roman"/>
                <w:b/>
                <w:bCs/>
                <w:noProof/>
                <w:color w:val="FFFFFF"/>
                <w:sz w:val="20"/>
                <w:szCs w:val="20"/>
              </w:rPr>
            </w:pPr>
          </w:p>
        </w:tc>
        <w:tc>
          <w:tcPr>
            <w:tcW w:w="4191" w:type="dxa"/>
            <w:shd w:val="clear" w:color="auto" w:fill="D8D8D8"/>
            <w:vAlign w:val="center"/>
          </w:tcPr>
          <w:p w14:paraId="3DF0345F" w14:textId="77777777" w:rsidR="001E0379" w:rsidRPr="007220D5" w:rsidRDefault="00B07EB8" w:rsidP="00FB18C9">
            <w:pPr>
              <w:spacing w:before="0" w:after="0"/>
              <w:ind w:left="113"/>
              <w:jc w:val="left"/>
              <w:rPr>
                <w:rFonts w:ascii="Calibri" w:eastAsia="Calibri" w:hAnsi="Calibri" w:cs="Times New Roman"/>
                <w:noProof/>
                <w:color w:val="1F497D" w:themeColor="text2"/>
                <w:sz w:val="20"/>
                <w:szCs w:val="20"/>
              </w:rPr>
            </w:pPr>
            <w:r w:rsidRPr="00DB19C6">
              <w:rPr>
                <w:rFonts w:ascii="Calibri" w:eastAsia="Calibri" w:hAnsi="Calibri" w:cs="Times New Roman"/>
                <w:noProof/>
                <w:color w:val="1F497D" w:themeColor="text2"/>
                <w:sz w:val="20"/>
                <w:szCs w:val="20"/>
              </w:rPr>
              <w:t>Certification</w:t>
            </w:r>
            <w:r>
              <w:rPr>
                <w:rFonts w:ascii="Calibri" w:eastAsia="Calibri" w:hAnsi="Calibri" w:cs="Times New Roman"/>
                <w:noProof/>
                <w:color w:val="1F497D" w:themeColor="text2"/>
                <w:sz w:val="20"/>
                <w:szCs w:val="20"/>
              </w:rPr>
              <w:t xml:space="preserve"> and oversight </w:t>
            </w:r>
            <w:r w:rsidR="001E0379">
              <w:rPr>
                <w:rFonts w:ascii="Calibri" w:eastAsia="Calibri" w:hAnsi="Calibri" w:cs="Times New Roman"/>
                <w:noProof/>
                <w:color w:val="1F497D" w:themeColor="text2"/>
                <w:sz w:val="20"/>
                <w:szCs w:val="20"/>
              </w:rPr>
              <w:t xml:space="preserve">of </w:t>
            </w:r>
            <w:r w:rsidR="00982784">
              <w:rPr>
                <w:rFonts w:ascii="Calibri" w:eastAsia="Calibri" w:hAnsi="Calibri" w:cs="Times New Roman"/>
                <w:noProof/>
                <w:color w:val="1F497D" w:themeColor="text2"/>
                <w:sz w:val="20"/>
                <w:szCs w:val="20"/>
              </w:rPr>
              <w:t>c</w:t>
            </w:r>
            <w:r w:rsidR="001E0379">
              <w:rPr>
                <w:rFonts w:ascii="Calibri" w:eastAsia="Calibri" w:hAnsi="Calibri" w:cs="Times New Roman"/>
                <w:noProof/>
                <w:color w:val="1F497D" w:themeColor="text2"/>
                <w:sz w:val="20"/>
                <w:szCs w:val="20"/>
              </w:rPr>
              <w:t xml:space="preserve">ombined </w:t>
            </w:r>
            <w:r w:rsidR="00982784">
              <w:rPr>
                <w:rFonts w:ascii="Calibri" w:eastAsia="Calibri" w:hAnsi="Calibri" w:cs="Times New Roman"/>
                <w:noProof/>
                <w:color w:val="1F497D" w:themeColor="text2"/>
                <w:sz w:val="20"/>
                <w:szCs w:val="20"/>
              </w:rPr>
              <w:t>a</w:t>
            </w:r>
            <w:r w:rsidR="001E0379">
              <w:rPr>
                <w:rFonts w:ascii="Calibri" w:eastAsia="Calibri" w:hAnsi="Calibri" w:cs="Times New Roman"/>
                <w:noProof/>
                <w:color w:val="1F497D" w:themeColor="text2"/>
                <w:sz w:val="20"/>
                <w:szCs w:val="20"/>
              </w:rPr>
              <w:t xml:space="preserve">irworthiness </w:t>
            </w:r>
            <w:r w:rsidR="00982784">
              <w:rPr>
                <w:rFonts w:ascii="Calibri" w:eastAsia="Calibri" w:hAnsi="Calibri" w:cs="Times New Roman"/>
                <w:noProof/>
                <w:color w:val="1F497D" w:themeColor="text2"/>
                <w:sz w:val="20"/>
                <w:szCs w:val="20"/>
              </w:rPr>
              <w:t>o</w:t>
            </w:r>
            <w:r w:rsidR="001E0379">
              <w:rPr>
                <w:rFonts w:ascii="Calibri" w:eastAsia="Calibri" w:hAnsi="Calibri" w:cs="Times New Roman"/>
                <w:noProof/>
                <w:color w:val="1F497D" w:themeColor="text2"/>
                <w:sz w:val="20"/>
                <w:szCs w:val="20"/>
              </w:rPr>
              <w:t>rganisations (Part-CAO)</w:t>
            </w:r>
            <w:r>
              <w:rPr>
                <w:rFonts w:ascii="Calibri" w:eastAsia="Calibri" w:hAnsi="Calibri" w:cs="Times New Roman"/>
                <w:noProof/>
                <w:color w:val="1F497D" w:themeColor="text2"/>
                <w:sz w:val="20"/>
                <w:szCs w:val="20"/>
              </w:rPr>
              <w:t>, with the exception of those for which EASA is the competent authority</w:t>
            </w:r>
          </w:p>
        </w:tc>
        <w:tc>
          <w:tcPr>
            <w:tcW w:w="3415" w:type="dxa"/>
            <w:tcBorders>
              <w:right w:val="single" w:sz="18" w:space="0" w:color="auto"/>
            </w:tcBorders>
            <w:shd w:val="clear" w:color="auto" w:fill="FFFFFF" w:themeFill="background1"/>
            <w:tcMar>
              <w:top w:w="0" w:type="dxa"/>
              <w:left w:w="108" w:type="dxa"/>
              <w:bottom w:w="0" w:type="dxa"/>
              <w:right w:w="108" w:type="dxa"/>
            </w:tcMar>
            <w:vAlign w:val="center"/>
          </w:tcPr>
          <w:p w14:paraId="4316060A" w14:textId="77777777" w:rsidR="001E0379" w:rsidRDefault="00B07EB8" w:rsidP="007220D5">
            <w:pPr>
              <w:spacing w:line="276" w:lineRule="auto"/>
              <w:jc w:val="left"/>
              <w:rPr>
                <w:rFonts w:ascii="Calibri" w:eastAsia="Calibri" w:hAnsi="Calibri" w:cs="Times New Roman"/>
                <w:noProof/>
                <w:color w:val="1F497D" w:themeColor="text2"/>
                <w:sz w:val="20"/>
                <w:szCs w:val="20"/>
              </w:rPr>
            </w:pPr>
            <w:r w:rsidRPr="00DB19C6">
              <w:rPr>
                <w:rFonts w:ascii="Calibri" w:eastAsia="Calibri" w:hAnsi="Calibri" w:cs="Times New Roman"/>
                <w:noProof/>
                <w:color w:val="1F497D" w:themeColor="text2"/>
                <w:sz w:val="20"/>
                <w:szCs w:val="20"/>
              </w:rPr>
              <w:t>Certification</w:t>
            </w:r>
            <w:r>
              <w:rPr>
                <w:rFonts w:ascii="Calibri" w:eastAsia="Calibri" w:hAnsi="Calibri" w:cs="Times New Roman"/>
                <w:noProof/>
                <w:color w:val="1F497D" w:themeColor="text2"/>
                <w:sz w:val="20"/>
                <w:szCs w:val="20"/>
              </w:rPr>
              <w:t xml:space="preserve"> and oversight</w:t>
            </w:r>
            <w:r w:rsidR="00FA3F34" w:rsidRPr="00FB18C9">
              <w:rPr>
                <w:rFonts w:ascii="Calibri" w:eastAsia="Calibri" w:hAnsi="Calibri" w:cs="Times New Roman"/>
                <w:noProof/>
                <w:color w:val="1F497D" w:themeColor="text2"/>
                <w:sz w:val="20"/>
                <w:szCs w:val="20"/>
              </w:rPr>
              <w:t xml:space="preserve"> o</w:t>
            </w:r>
            <w:r>
              <w:rPr>
                <w:rFonts w:ascii="Calibri" w:eastAsia="Calibri" w:hAnsi="Calibri" w:cs="Times New Roman"/>
                <w:noProof/>
                <w:color w:val="1F497D" w:themeColor="text2"/>
                <w:sz w:val="20"/>
                <w:szCs w:val="20"/>
              </w:rPr>
              <w:t>f third</w:t>
            </w:r>
            <w:r w:rsidR="00FA3F34" w:rsidRPr="00FB18C9">
              <w:rPr>
                <w:rFonts w:ascii="Calibri" w:eastAsia="Calibri" w:hAnsi="Calibri" w:cs="Times New Roman"/>
                <w:noProof/>
                <w:color w:val="1F497D" w:themeColor="text2"/>
                <w:sz w:val="20"/>
                <w:szCs w:val="20"/>
              </w:rPr>
              <w:t xml:space="preserve"> country </w:t>
            </w:r>
            <w:r w:rsidR="00982784">
              <w:rPr>
                <w:rFonts w:ascii="Calibri" w:eastAsia="Calibri" w:hAnsi="Calibri" w:cs="Times New Roman"/>
                <w:noProof/>
                <w:color w:val="1F497D" w:themeColor="text2"/>
                <w:sz w:val="20"/>
                <w:szCs w:val="20"/>
              </w:rPr>
              <w:t>c</w:t>
            </w:r>
            <w:r w:rsidR="00FA3F34" w:rsidRPr="00FB18C9">
              <w:rPr>
                <w:rFonts w:ascii="Calibri" w:eastAsia="Calibri" w:hAnsi="Calibri" w:cs="Times New Roman"/>
                <w:noProof/>
                <w:color w:val="1F497D" w:themeColor="text2"/>
                <w:sz w:val="20"/>
                <w:szCs w:val="20"/>
              </w:rPr>
              <w:t xml:space="preserve">ombined </w:t>
            </w:r>
            <w:r w:rsidR="00982784">
              <w:rPr>
                <w:rFonts w:ascii="Calibri" w:eastAsia="Calibri" w:hAnsi="Calibri" w:cs="Times New Roman"/>
                <w:noProof/>
                <w:color w:val="1F497D" w:themeColor="text2"/>
                <w:sz w:val="20"/>
                <w:szCs w:val="20"/>
              </w:rPr>
              <w:t>a</w:t>
            </w:r>
            <w:r w:rsidR="00FA3F34" w:rsidRPr="00FB18C9">
              <w:rPr>
                <w:rFonts w:ascii="Calibri" w:eastAsia="Calibri" w:hAnsi="Calibri" w:cs="Times New Roman"/>
                <w:noProof/>
                <w:color w:val="1F497D" w:themeColor="text2"/>
                <w:sz w:val="20"/>
                <w:szCs w:val="20"/>
              </w:rPr>
              <w:t xml:space="preserve">irworthiness </w:t>
            </w:r>
            <w:r w:rsidR="00982784">
              <w:rPr>
                <w:rFonts w:ascii="Calibri" w:eastAsia="Calibri" w:hAnsi="Calibri" w:cs="Times New Roman"/>
                <w:noProof/>
                <w:color w:val="1F497D" w:themeColor="text2"/>
                <w:sz w:val="20"/>
                <w:szCs w:val="20"/>
              </w:rPr>
              <w:t>o</w:t>
            </w:r>
            <w:r w:rsidR="00FA3F34" w:rsidRPr="00FB18C9">
              <w:rPr>
                <w:rFonts w:ascii="Calibri" w:eastAsia="Calibri" w:hAnsi="Calibri" w:cs="Times New Roman"/>
                <w:noProof/>
                <w:color w:val="1F497D" w:themeColor="text2"/>
                <w:sz w:val="20"/>
                <w:szCs w:val="20"/>
              </w:rPr>
              <w:t>rganisations (Part-CAO</w:t>
            </w:r>
            <w:r w:rsidR="00FA3F34">
              <w:rPr>
                <w:rFonts w:ascii="Calibri" w:eastAsia="Calibri" w:hAnsi="Calibri" w:cs="Times New Roman"/>
                <w:noProof/>
                <w:color w:val="1F497D" w:themeColor="text2"/>
                <w:sz w:val="20"/>
                <w:szCs w:val="20"/>
              </w:rPr>
              <w:t>)</w:t>
            </w:r>
          </w:p>
          <w:p w14:paraId="3EF28C31" w14:textId="328F7BC9" w:rsidR="003770C1" w:rsidRPr="007220D5" w:rsidRDefault="00B07EB8" w:rsidP="007220D5">
            <w:pPr>
              <w:spacing w:line="276" w:lineRule="auto"/>
              <w:jc w:val="left"/>
              <w:rPr>
                <w:rFonts w:ascii="Calibri" w:eastAsia="Calibri" w:hAnsi="Calibri" w:cs="Times New Roman"/>
                <w:noProof/>
                <w:color w:val="1F497D" w:themeColor="text2"/>
                <w:sz w:val="20"/>
                <w:szCs w:val="20"/>
              </w:rPr>
            </w:pPr>
            <w:r w:rsidRPr="00DB19C6">
              <w:rPr>
                <w:rFonts w:ascii="Calibri" w:eastAsia="Calibri" w:hAnsi="Calibri" w:cs="Times New Roman"/>
                <w:noProof/>
                <w:color w:val="1F497D" w:themeColor="text2"/>
                <w:sz w:val="20"/>
                <w:szCs w:val="20"/>
              </w:rPr>
              <w:t>Certification</w:t>
            </w:r>
            <w:r>
              <w:rPr>
                <w:rFonts w:ascii="Calibri" w:eastAsia="Calibri" w:hAnsi="Calibri" w:cs="Times New Roman"/>
                <w:noProof/>
                <w:color w:val="1F497D" w:themeColor="text2"/>
                <w:sz w:val="20"/>
                <w:szCs w:val="20"/>
              </w:rPr>
              <w:t xml:space="preserve"> and oversight</w:t>
            </w:r>
            <w:r w:rsidR="003770C1">
              <w:rPr>
                <w:rFonts w:ascii="Calibri" w:eastAsia="Calibri" w:hAnsi="Calibri" w:cs="Times New Roman"/>
                <w:noProof/>
                <w:color w:val="1F497D" w:themeColor="text2"/>
                <w:sz w:val="20"/>
                <w:szCs w:val="20"/>
              </w:rPr>
              <w:t xml:space="preserve"> of EU Part-CAO </w:t>
            </w:r>
            <w:r w:rsidR="00982784">
              <w:rPr>
                <w:rFonts w:ascii="Calibri" w:eastAsia="Calibri" w:hAnsi="Calibri" w:cs="Times New Roman"/>
                <w:noProof/>
                <w:color w:val="1F497D" w:themeColor="text2"/>
                <w:sz w:val="20"/>
                <w:szCs w:val="20"/>
              </w:rPr>
              <w:t>organisations whose</w:t>
            </w:r>
            <w:r w:rsidR="003770C1">
              <w:rPr>
                <w:rFonts w:ascii="Calibri" w:eastAsia="Calibri" w:hAnsi="Calibri" w:cs="Times New Roman"/>
                <w:noProof/>
                <w:color w:val="1F497D" w:themeColor="text2"/>
                <w:sz w:val="20"/>
                <w:szCs w:val="20"/>
              </w:rPr>
              <w:t xml:space="preserve"> certificate was transferred </w:t>
            </w:r>
            <w:r w:rsidR="00CD3283">
              <w:rPr>
                <w:rFonts w:ascii="Calibri" w:eastAsia="Calibri" w:hAnsi="Calibri" w:cs="Times New Roman"/>
                <w:noProof/>
                <w:color w:val="1F497D" w:themeColor="text2"/>
                <w:sz w:val="20"/>
                <w:szCs w:val="20"/>
              </w:rPr>
              <w:t>in accordance with BR Article 64 or 65</w:t>
            </w:r>
          </w:p>
        </w:tc>
      </w:tr>
      <w:tr w:rsidR="007220D5" w:rsidRPr="007220D5" w14:paraId="778CDCCA" w14:textId="77777777" w:rsidTr="00222F1A">
        <w:trPr>
          <w:trHeight w:val="371"/>
        </w:trPr>
        <w:tc>
          <w:tcPr>
            <w:tcW w:w="2245" w:type="dxa"/>
            <w:vMerge/>
            <w:tcBorders>
              <w:left w:val="single" w:sz="18" w:space="0" w:color="auto"/>
            </w:tcBorders>
            <w:vAlign w:val="center"/>
            <w:hideMark/>
          </w:tcPr>
          <w:p w14:paraId="63E04EFD" w14:textId="77777777" w:rsidR="007220D5" w:rsidRPr="007220D5" w:rsidRDefault="007220D5" w:rsidP="007220D5">
            <w:pPr>
              <w:spacing w:before="0" w:after="0"/>
              <w:jc w:val="left"/>
              <w:rPr>
                <w:rFonts w:ascii="Calibri" w:eastAsia="Calibri" w:hAnsi="Calibri" w:cs="Times New Roman"/>
                <w:b/>
                <w:bCs/>
                <w:noProof/>
                <w:color w:val="FFFFFF"/>
                <w:sz w:val="20"/>
                <w:szCs w:val="20"/>
              </w:rPr>
            </w:pPr>
          </w:p>
        </w:tc>
        <w:tc>
          <w:tcPr>
            <w:tcW w:w="4191" w:type="dxa"/>
            <w:shd w:val="clear" w:color="auto" w:fill="FFFFFF" w:themeFill="background1"/>
            <w:vAlign w:val="center"/>
            <w:hideMark/>
          </w:tcPr>
          <w:p w14:paraId="2F4325BD" w14:textId="77777777" w:rsidR="007220D5" w:rsidRPr="007220D5" w:rsidRDefault="00B07EB8" w:rsidP="00FB18C9">
            <w:pPr>
              <w:spacing w:after="0" w:line="276" w:lineRule="auto"/>
              <w:ind w:left="113"/>
              <w:jc w:val="left"/>
              <w:rPr>
                <w:rFonts w:ascii="Calibri" w:eastAsia="Calibri" w:hAnsi="Calibri" w:cs="Times New Roman"/>
                <w:noProof/>
                <w:color w:val="1F497D" w:themeColor="text2"/>
                <w:sz w:val="20"/>
                <w:szCs w:val="20"/>
              </w:rPr>
            </w:pPr>
            <w:r w:rsidRPr="00DB19C6">
              <w:rPr>
                <w:rFonts w:ascii="Calibri" w:eastAsia="Calibri" w:hAnsi="Calibri" w:cs="Times New Roman"/>
                <w:noProof/>
                <w:color w:val="1F497D" w:themeColor="text2"/>
                <w:sz w:val="20"/>
                <w:szCs w:val="20"/>
              </w:rPr>
              <w:t>Certification</w:t>
            </w:r>
            <w:r>
              <w:rPr>
                <w:rFonts w:ascii="Calibri" w:eastAsia="Calibri" w:hAnsi="Calibri" w:cs="Times New Roman"/>
                <w:noProof/>
                <w:color w:val="1F497D" w:themeColor="text2"/>
                <w:sz w:val="20"/>
                <w:szCs w:val="20"/>
              </w:rPr>
              <w:t xml:space="preserve"> and oversight </w:t>
            </w:r>
            <w:r w:rsidR="007220D5" w:rsidRPr="007220D5">
              <w:rPr>
                <w:rFonts w:ascii="Calibri" w:eastAsia="Calibri" w:hAnsi="Calibri" w:cs="Times New Roman"/>
                <w:noProof/>
                <w:color w:val="1F497D" w:themeColor="text2"/>
                <w:sz w:val="20"/>
                <w:szCs w:val="20"/>
              </w:rPr>
              <w:t>of continuing airworthiness management organisations</w:t>
            </w:r>
            <w:r w:rsidR="001E0379">
              <w:rPr>
                <w:rFonts w:ascii="Calibri" w:eastAsia="Calibri" w:hAnsi="Calibri" w:cs="Times New Roman"/>
                <w:noProof/>
                <w:color w:val="1F497D" w:themeColor="text2"/>
                <w:sz w:val="20"/>
                <w:szCs w:val="20"/>
              </w:rPr>
              <w:t xml:space="preserve"> (Part-CAMO)</w:t>
            </w:r>
            <w:r>
              <w:rPr>
                <w:rFonts w:ascii="Calibri" w:eastAsia="Calibri" w:hAnsi="Calibri" w:cs="Times New Roman"/>
                <w:noProof/>
                <w:color w:val="1F497D" w:themeColor="text2"/>
                <w:sz w:val="20"/>
                <w:szCs w:val="20"/>
              </w:rPr>
              <w:t>, with the exception of those for which EASA is the competent authority)</w:t>
            </w:r>
          </w:p>
        </w:tc>
        <w:tc>
          <w:tcPr>
            <w:tcW w:w="3415" w:type="dxa"/>
            <w:tcBorders>
              <w:right w:val="single" w:sz="18" w:space="0" w:color="auto"/>
            </w:tcBorders>
            <w:shd w:val="clear" w:color="auto" w:fill="D9D9D9" w:themeFill="background1" w:themeFillShade="D9"/>
            <w:tcMar>
              <w:top w:w="0" w:type="dxa"/>
              <w:left w:w="108" w:type="dxa"/>
              <w:bottom w:w="0" w:type="dxa"/>
              <w:right w:w="108" w:type="dxa"/>
            </w:tcMar>
            <w:hideMark/>
          </w:tcPr>
          <w:p w14:paraId="3E0B97BB" w14:textId="7D341D2E" w:rsidR="007220D5" w:rsidRDefault="00B07EB8" w:rsidP="007220D5">
            <w:pPr>
              <w:spacing w:line="276" w:lineRule="auto"/>
              <w:jc w:val="left"/>
              <w:rPr>
                <w:rFonts w:ascii="Calibri" w:eastAsia="Calibri" w:hAnsi="Calibri" w:cs="Times New Roman"/>
                <w:noProof/>
                <w:color w:val="1F497D" w:themeColor="text2"/>
                <w:sz w:val="20"/>
                <w:szCs w:val="20"/>
              </w:rPr>
            </w:pPr>
            <w:r w:rsidRPr="00DB19C6">
              <w:rPr>
                <w:rFonts w:ascii="Calibri" w:eastAsia="Calibri" w:hAnsi="Calibri" w:cs="Times New Roman"/>
                <w:noProof/>
                <w:color w:val="1F497D" w:themeColor="text2"/>
                <w:sz w:val="20"/>
                <w:szCs w:val="20"/>
              </w:rPr>
              <w:t>Certification</w:t>
            </w:r>
            <w:r>
              <w:rPr>
                <w:rFonts w:ascii="Calibri" w:eastAsia="Calibri" w:hAnsi="Calibri" w:cs="Times New Roman"/>
                <w:noProof/>
                <w:color w:val="1F497D" w:themeColor="text2"/>
                <w:sz w:val="20"/>
                <w:szCs w:val="20"/>
              </w:rPr>
              <w:t xml:space="preserve"> and oversight</w:t>
            </w:r>
            <w:r w:rsidR="007220D5" w:rsidRPr="007220D5">
              <w:rPr>
                <w:rFonts w:ascii="Calibri" w:eastAsia="Calibri" w:hAnsi="Calibri" w:cs="Times New Roman"/>
                <w:noProof/>
                <w:color w:val="1F497D" w:themeColor="text2"/>
                <w:sz w:val="20"/>
                <w:szCs w:val="20"/>
              </w:rPr>
              <w:t xml:space="preserve"> of </w:t>
            </w:r>
            <w:r>
              <w:rPr>
                <w:rFonts w:ascii="Calibri" w:eastAsia="Calibri" w:hAnsi="Calibri" w:cs="Times New Roman"/>
                <w:noProof/>
                <w:color w:val="1F497D" w:themeColor="text2"/>
                <w:sz w:val="20"/>
                <w:szCs w:val="20"/>
              </w:rPr>
              <w:t>third</w:t>
            </w:r>
            <w:r w:rsidR="007220D5" w:rsidRPr="007220D5">
              <w:rPr>
                <w:rFonts w:ascii="Calibri" w:eastAsia="Calibri" w:hAnsi="Calibri" w:cs="Times New Roman"/>
                <w:noProof/>
                <w:color w:val="1F497D" w:themeColor="text2"/>
                <w:sz w:val="20"/>
                <w:szCs w:val="20"/>
              </w:rPr>
              <w:t xml:space="preserve"> country continuing airworthiness management organisations</w:t>
            </w:r>
            <w:r w:rsidR="001E0379">
              <w:rPr>
                <w:rFonts w:ascii="Calibri" w:eastAsia="Calibri" w:hAnsi="Calibri" w:cs="Times New Roman"/>
                <w:noProof/>
                <w:color w:val="1F497D" w:themeColor="text2"/>
                <w:sz w:val="20"/>
                <w:szCs w:val="20"/>
              </w:rPr>
              <w:t xml:space="preserve"> (Part-CAMO)</w:t>
            </w:r>
          </w:p>
          <w:p w14:paraId="5DC8B321" w14:textId="3B92A853" w:rsidR="00FA3F34" w:rsidRPr="007220D5" w:rsidRDefault="00B07EB8" w:rsidP="00732F6A">
            <w:pPr>
              <w:spacing w:line="276" w:lineRule="auto"/>
              <w:jc w:val="left"/>
              <w:rPr>
                <w:rFonts w:ascii="Calibri" w:eastAsia="Calibri" w:hAnsi="Calibri" w:cs="Times New Roman"/>
                <w:noProof/>
                <w:color w:val="1F497D" w:themeColor="text2"/>
                <w:sz w:val="20"/>
                <w:szCs w:val="20"/>
              </w:rPr>
            </w:pPr>
            <w:r w:rsidRPr="00DB19C6">
              <w:rPr>
                <w:rFonts w:ascii="Calibri" w:eastAsia="Calibri" w:hAnsi="Calibri" w:cs="Times New Roman"/>
                <w:noProof/>
                <w:color w:val="1F497D" w:themeColor="text2"/>
                <w:sz w:val="20"/>
                <w:szCs w:val="20"/>
              </w:rPr>
              <w:t>Certification</w:t>
            </w:r>
            <w:r>
              <w:rPr>
                <w:rFonts w:ascii="Calibri" w:eastAsia="Calibri" w:hAnsi="Calibri" w:cs="Times New Roman"/>
                <w:noProof/>
                <w:color w:val="1F497D" w:themeColor="text2"/>
                <w:sz w:val="20"/>
                <w:szCs w:val="20"/>
              </w:rPr>
              <w:t xml:space="preserve"> and oversight</w:t>
            </w:r>
            <w:r w:rsidR="00FA3F34">
              <w:rPr>
                <w:rFonts w:ascii="Calibri" w:eastAsia="Calibri" w:hAnsi="Calibri" w:cs="Times New Roman"/>
                <w:noProof/>
                <w:color w:val="1F497D" w:themeColor="text2"/>
                <w:sz w:val="20"/>
                <w:szCs w:val="20"/>
              </w:rPr>
              <w:t xml:space="preserve"> of EU </w:t>
            </w:r>
            <w:r w:rsidR="00982784" w:rsidRPr="007220D5">
              <w:rPr>
                <w:rFonts w:ascii="Calibri" w:eastAsia="Calibri" w:hAnsi="Calibri" w:cs="Times New Roman"/>
                <w:noProof/>
                <w:color w:val="1F497D" w:themeColor="text2"/>
                <w:sz w:val="20"/>
                <w:szCs w:val="20"/>
              </w:rPr>
              <w:t>continuing airworthiness management organisations</w:t>
            </w:r>
            <w:r w:rsidR="00982784">
              <w:rPr>
                <w:rFonts w:ascii="Calibri" w:eastAsia="Calibri" w:hAnsi="Calibri" w:cs="Times New Roman"/>
                <w:noProof/>
                <w:color w:val="1F497D" w:themeColor="text2"/>
                <w:sz w:val="20"/>
                <w:szCs w:val="20"/>
              </w:rPr>
              <w:t xml:space="preserve"> </w:t>
            </w:r>
            <w:r w:rsidR="00FA3F34">
              <w:rPr>
                <w:rFonts w:ascii="Calibri" w:eastAsia="Calibri" w:hAnsi="Calibri" w:cs="Times New Roman"/>
                <w:noProof/>
                <w:color w:val="1F497D" w:themeColor="text2"/>
                <w:sz w:val="20"/>
                <w:szCs w:val="20"/>
              </w:rPr>
              <w:t xml:space="preserve">whose certificate was transferred </w:t>
            </w:r>
            <w:r w:rsidR="00CD3283">
              <w:rPr>
                <w:rFonts w:ascii="Calibri" w:eastAsia="Calibri" w:hAnsi="Calibri" w:cs="Times New Roman"/>
                <w:noProof/>
                <w:color w:val="1F497D" w:themeColor="text2"/>
                <w:sz w:val="20"/>
                <w:szCs w:val="20"/>
              </w:rPr>
              <w:t>in accordance with BR Article 64 or 65</w:t>
            </w:r>
          </w:p>
        </w:tc>
      </w:tr>
      <w:tr w:rsidR="007220D5" w:rsidRPr="007220D5" w14:paraId="6778E79D" w14:textId="77777777" w:rsidTr="00B81F39">
        <w:trPr>
          <w:trHeight w:val="371"/>
        </w:trPr>
        <w:tc>
          <w:tcPr>
            <w:tcW w:w="2245" w:type="dxa"/>
            <w:vMerge/>
            <w:tcBorders>
              <w:left w:val="single" w:sz="18" w:space="0" w:color="auto"/>
              <w:bottom w:val="single" w:sz="18" w:space="0" w:color="auto"/>
            </w:tcBorders>
            <w:vAlign w:val="center"/>
            <w:hideMark/>
          </w:tcPr>
          <w:p w14:paraId="71FF2F7C" w14:textId="77777777" w:rsidR="007220D5" w:rsidRPr="007220D5" w:rsidRDefault="007220D5" w:rsidP="007220D5">
            <w:pPr>
              <w:spacing w:before="0" w:after="0"/>
              <w:jc w:val="left"/>
              <w:rPr>
                <w:rFonts w:ascii="Calibri" w:eastAsia="Calibri" w:hAnsi="Calibri" w:cs="Times New Roman"/>
                <w:b/>
                <w:bCs/>
                <w:noProof/>
                <w:color w:val="FFFFFF"/>
                <w:sz w:val="20"/>
                <w:szCs w:val="20"/>
              </w:rPr>
            </w:pPr>
          </w:p>
        </w:tc>
        <w:tc>
          <w:tcPr>
            <w:tcW w:w="4191" w:type="dxa"/>
            <w:shd w:val="clear" w:color="auto" w:fill="FFFFFF" w:themeFill="background1"/>
            <w:vAlign w:val="center"/>
            <w:hideMark/>
          </w:tcPr>
          <w:p w14:paraId="65CD9CDC" w14:textId="77777777" w:rsidR="007220D5" w:rsidRPr="007220D5" w:rsidRDefault="007220D5" w:rsidP="00FB18C9">
            <w:pPr>
              <w:spacing w:line="276" w:lineRule="auto"/>
              <w:ind w:left="113"/>
              <w:rPr>
                <w:rFonts w:ascii="Calibri" w:eastAsia="Calibri" w:hAnsi="Calibri" w:cs="Times New Roman"/>
                <w:noProof/>
                <w:color w:val="1F497D" w:themeColor="text2"/>
                <w:sz w:val="20"/>
                <w:szCs w:val="20"/>
              </w:rPr>
            </w:pPr>
            <w:r w:rsidRPr="007220D5">
              <w:rPr>
                <w:rFonts w:ascii="Calibri" w:eastAsia="Calibri" w:hAnsi="Calibri" w:cs="Times New Roman"/>
                <w:noProof/>
                <w:color w:val="1F497D" w:themeColor="text2"/>
                <w:sz w:val="20"/>
                <w:szCs w:val="20"/>
              </w:rPr>
              <w:t xml:space="preserve">Licensing of </w:t>
            </w:r>
            <w:r w:rsidR="00982784">
              <w:rPr>
                <w:rFonts w:ascii="Calibri" w:eastAsia="Calibri" w:hAnsi="Calibri" w:cs="Times New Roman"/>
                <w:noProof/>
                <w:color w:val="1F497D" w:themeColor="text2"/>
                <w:sz w:val="20"/>
                <w:szCs w:val="20"/>
              </w:rPr>
              <w:t xml:space="preserve">maintenance </w:t>
            </w:r>
            <w:r w:rsidRPr="007220D5">
              <w:rPr>
                <w:rFonts w:ascii="Calibri" w:eastAsia="Calibri" w:hAnsi="Calibri" w:cs="Times New Roman"/>
                <w:noProof/>
                <w:color w:val="1F497D" w:themeColor="text2"/>
                <w:sz w:val="20"/>
                <w:szCs w:val="20"/>
              </w:rPr>
              <w:t>certifying staff</w:t>
            </w:r>
          </w:p>
        </w:tc>
        <w:tc>
          <w:tcPr>
            <w:tcW w:w="3415" w:type="dxa"/>
            <w:tcBorders>
              <w:right w:val="single" w:sz="18" w:space="0" w:color="auto"/>
            </w:tcBorders>
            <w:shd w:val="clear" w:color="auto" w:fill="D8D8D8"/>
            <w:tcMar>
              <w:top w:w="0" w:type="dxa"/>
              <w:left w:w="108" w:type="dxa"/>
              <w:bottom w:w="0" w:type="dxa"/>
              <w:right w:w="108" w:type="dxa"/>
            </w:tcMar>
          </w:tcPr>
          <w:p w14:paraId="1C0784A8" w14:textId="77777777" w:rsidR="007220D5" w:rsidRPr="007220D5" w:rsidRDefault="00FA3F34" w:rsidP="007220D5">
            <w:pPr>
              <w:spacing w:line="276" w:lineRule="auto"/>
              <w:jc w:val="left"/>
              <w:rPr>
                <w:rFonts w:ascii="Calibri" w:eastAsia="Calibri" w:hAnsi="Calibri" w:cs="Times New Roman"/>
                <w:noProof/>
                <w:color w:val="1F497D" w:themeColor="text2"/>
                <w:sz w:val="20"/>
                <w:szCs w:val="20"/>
              </w:rPr>
            </w:pPr>
            <w:r>
              <w:rPr>
                <w:rFonts w:ascii="Calibri" w:eastAsia="Calibri" w:hAnsi="Calibri" w:cs="Times New Roman"/>
                <w:noProof/>
                <w:color w:val="1F497D" w:themeColor="text2"/>
                <w:sz w:val="20"/>
                <w:szCs w:val="20"/>
              </w:rPr>
              <w:t>n/a</w:t>
            </w:r>
          </w:p>
        </w:tc>
      </w:tr>
      <w:tr w:rsidR="007220D5" w:rsidRPr="007220D5" w14:paraId="7480CE7F" w14:textId="77777777" w:rsidTr="00B81F39">
        <w:trPr>
          <w:trHeight w:val="908"/>
        </w:trPr>
        <w:tc>
          <w:tcPr>
            <w:tcW w:w="2245" w:type="dxa"/>
            <w:vMerge/>
            <w:tcBorders>
              <w:top w:val="single" w:sz="18" w:space="0" w:color="auto"/>
              <w:left w:val="single" w:sz="18" w:space="0" w:color="auto"/>
              <w:bottom w:val="single" w:sz="18" w:space="0" w:color="auto"/>
            </w:tcBorders>
            <w:vAlign w:val="center"/>
            <w:hideMark/>
          </w:tcPr>
          <w:p w14:paraId="245A4FEC" w14:textId="77777777" w:rsidR="007220D5" w:rsidRPr="007220D5" w:rsidRDefault="007220D5" w:rsidP="007220D5">
            <w:pPr>
              <w:spacing w:before="0" w:after="0"/>
              <w:jc w:val="left"/>
              <w:rPr>
                <w:rFonts w:ascii="Calibri" w:eastAsia="Calibri" w:hAnsi="Calibri" w:cs="Times New Roman"/>
                <w:b/>
                <w:bCs/>
                <w:noProof/>
                <w:color w:val="FFFFFF"/>
                <w:sz w:val="20"/>
                <w:szCs w:val="20"/>
              </w:rPr>
            </w:pPr>
          </w:p>
        </w:tc>
        <w:tc>
          <w:tcPr>
            <w:tcW w:w="4191" w:type="dxa"/>
            <w:tcBorders>
              <w:bottom w:val="single" w:sz="18" w:space="0" w:color="auto"/>
            </w:tcBorders>
            <w:shd w:val="clear" w:color="auto" w:fill="D8D8D8"/>
            <w:vAlign w:val="center"/>
            <w:hideMark/>
          </w:tcPr>
          <w:p w14:paraId="37B8DB10" w14:textId="77777777" w:rsidR="007220D5" w:rsidRPr="007220D5" w:rsidRDefault="00B07EB8" w:rsidP="00FB18C9">
            <w:pPr>
              <w:spacing w:before="0" w:after="0"/>
              <w:ind w:left="113"/>
              <w:jc w:val="left"/>
              <w:rPr>
                <w:rFonts w:ascii="Calibri" w:eastAsia="Calibri" w:hAnsi="Calibri" w:cs="Times New Roman"/>
                <w:noProof/>
                <w:color w:val="1F497D" w:themeColor="text2"/>
                <w:sz w:val="20"/>
                <w:szCs w:val="20"/>
              </w:rPr>
            </w:pPr>
            <w:r w:rsidRPr="00DB19C6">
              <w:rPr>
                <w:rFonts w:ascii="Calibri" w:eastAsia="Calibri" w:hAnsi="Calibri" w:cs="Times New Roman"/>
                <w:noProof/>
                <w:color w:val="1F497D" w:themeColor="text2"/>
                <w:sz w:val="20"/>
                <w:szCs w:val="20"/>
              </w:rPr>
              <w:t>Certification</w:t>
            </w:r>
            <w:r>
              <w:rPr>
                <w:rFonts w:ascii="Calibri" w:eastAsia="Calibri" w:hAnsi="Calibri" w:cs="Times New Roman"/>
                <w:noProof/>
                <w:color w:val="1F497D" w:themeColor="text2"/>
                <w:sz w:val="20"/>
                <w:szCs w:val="20"/>
              </w:rPr>
              <w:t xml:space="preserve"> and oversight</w:t>
            </w:r>
            <w:r w:rsidR="007220D5" w:rsidRPr="007220D5">
              <w:rPr>
                <w:rFonts w:ascii="Calibri" w:eastAsia="Calibri" w:hAnsi="Calibri" w:cs="Times New Roman"/>
                <w:noProof/>
                <w:color w:val="1F497D" w:themeColor="text2"/>
                <w:sz w:val="20"/>
                <w:szCs w:val="20"/>
              </w:rPr>
              <w:t xml:space="preserve"> of </w:t>
            </w:r>
            <w:r w:rsidR="00982784">
              <w:rPr>
                <w:rFonts w:ascii="Calibri" w:eastAsia="Calibri" w:hAnsi="Calibri" w:cs="Times New Roman"/>
                <w:noProof/>
                <w:color w:val="1F497D" w:themeColor="text2"/>
                <w:sz w:val="20"/>
                <w:szCs w:val="20"/>
              </w:rPr>
              <w:t xml:space="preserve">aircraft </w:t>
            </w:r>
            <w:r w:rsidR="001E0379">
              <w:rPr>
                <w:rFonts w:ascii="Calibri" w:eastAsia="Calibri" w:hAnsi="Calibri" w:cs="Times New Roman"/>
                <w:noProof/>
                <w:color w:val="1F497D" w:themeColor="text2"/>
                <w:sz w:val="20"/>
                <w:szCs w:val="20"/>
              </w:rPr>
              <w:t xml:space="preserve">maintenance </w:t>
            </w:r>
            <w:r w:rsidR="007220D5" w:rsidRPr="007220D5">
              <w:rPr>
                <w:rFonts w:ascii="Calibri" w:eastAsia="Calibri" w:hAnsi="Calibri" w:cs="Times New Roman"/>
                <w:noProof/>
                <w:color w:val="1F497D" w:themeColor="text2"/>
                <w:sz w:val="20"/>
                <w:szCs w:val="20"/>
              </w:rPr>
              <w:t>training</w:t>
            </w:r>
            <w:r w:rsidR="00982784">
              <w:rPr>
                <w:rFonts w:ascii="Calibri" w:eastAsia="Calibri" w:hAnsi="Calibri" w:cs="Times New Roman"/>
                <w:noProof/>
                <w:color w:val="1F497D" w:themeColor="text2"/>
                <w:sz w:val="20"/>
                <w:szCs w:val="20"/>
              </w:rPr>
              <w:t xml:space="preserve"> </w:t>
            </w:r>
            <w:r w:rsidR="007220D5" w:rsidRPr="007220D5">
              <w:rPr>
                <w:rFonts w:ascii="Calibri" w:eastAsia="Calibri" w:hAnsi="Calibri" w:cs="Times New Roman"/>
                <w:noProof/>
                <w:color w:val="1F497D" w:themeColor="text2"/>
                <w:sz w:val="20"/>
                <w:szCs w:val="20"/>
              </w:rPr>
              <w:t xml:space="preserve">organisations </w:t>
            </w:r>
            <w:r w:rsidR="001E0379">
              <w:rPr>
                <w:rFonts w:ascii="Calibri" w:eastAsia="Calibri" w:hAnsi="Calibri" w:cs="Times New Roman"/>
                <w:noProof/>
                <w:color w:val="1F497D" w:themeColor="text2"/>
                <w:sz w:val="20"/>
                <w:szCs w:val="20"/>
              </w:rPr>
              <w:t>(Part-147)</w:t>
            </w:r>
            <w:r>
              <w:rPr>
                <w:rFonts w:ascii="Calibri" w:eastAsia="Calibri" w:hAnsi="Calibri" w:cs="Times New Roman"/>
                <w:noProof/>
                <w:color w:val="1F497D" w:themeColor="text2"/>
                <w:sz w:val="20"/>
                <w:szCs w:val="20"/>
              </w:rPr>
              <w:t>, with the exception of those for which EASA is the competent authority)</w:t>
            </w:r>
          </w:p>
        </w:tc>
        <w:tc>
          <w:tcPr>
            <w:tcW w:w="3415" w:type="dxa"/>
            <w:tcBorders>
              <w:bottom w:val="single" w:sz="18" w:space="0" w:color="auto"/>
              <w:right w:val="single" w:sz="18" w:space="0" w:color="auto"/>
            </w:tcBorders>
            <w:tcMar>
              <w:top w:w="0" w:type="dxa"/>
              <w:left w:w="108" w:type="dxa"/>
              <w:bottom w:w="0" w:type="dxa"/>
              <w:right w:w="108" w:type="dxa"/>
            </w:tcMar>
            <w:hideMark/>
          </w:tcPr>
          <w:p w14:paraId="49B8D5D8" w14:textId="77777777" w:rsidR="007220D5" w:rsidRDefault="00B07EB8" w:rsidP="007220D5">
            <w:pPr>
              <w:spacing w:line="276" w:lineRule="auto"/>
              <w:jc w:val="left"/>
              <w:rPr>
                <w:rFonts w:ascii="Calibri" w:eastAsia="Calibri" w:hAnsi="Calibri" w:cs="Times New Roman"/>
                <w:noProof/>
                <w:color w:val="1F497D" w:themeColor="text2"/>
                <w:sz w:val="20"/>
                <w:szCs w:val="20"/>
              </w:rPr>
            </w:pPr>
            <w:r w:rsidRPr="00DB19C6">
              <w:rPr>
                <w:rFonts w:ascii="Calibri" w:eastAsia="Calibri" w:hAnsi="Calibri" w:cs="Times New Roman"/>
                <w:noProof/>
                <w:color w:val="1F497D" w:themeColor="text2"/>
                <w:sz w:val="20"/>
                <w:szCs w:val="20"/>
              </w:rPr>
              <w:t>Certification</w:t>
            </w:r>
            <w:r>
              <w:rPr>
                <w:rFonts w:ascii="Calibri" w:eastAsia="Calibri" w:hAnsi="Calibri" w:cs="Times New Roman"/>
                <w:noProof/>
                <w:color w:val="1F497D" w:themeColor="text2"/>
                <w:sz w:val="20"/>
                <w:szCs w:val="20"/>
              </w:rPr>
              <w:t xml:space="preserve"> and oversight </w:t>
            </w:r>
            <w:r w:rsidR="007220D5" w:rsidRPr="007220D5">
              <w:rPr>
                <w:rFonts w:ascii="Calibri" w:eastAsia="Calibri" w:hAnsi="Calibri" w:cs="Times New Roman"/>
                <w:noProof/>
                <w:color w:val="1F497D" w:themeColor="text2"/>
                <w:sz w:val="20"/>
                <w:szCs w:val="20"/>
              </w:rPr>
              <w:t xml:space="preserve">of </w:t>
            </w:r>
            <w:r>
              <w:rPr>
                <w:rFonts w:ascii="Calibri" w:eastAsia="Calibri" w:hAnsi="Calibri" w:cs="Times New Roman"/>
                <w:noProof/>
                <w:color w:val="1F497D" w:themeColor="text2"/>
                <w:sz w:val="20"/>
                <w:szCs w:val="20"/>
              </w:rPr>
              <w:t xml:space="preserve">third </w:t>
            </w:r>
            <w:r w:rsidR="007220D5" w:rsidRPr="007220D5">
              <w:rPr>
                <w:rFonts w:ascii="Calibri" w:eastAsia="Calibri" w:hAnsi="Calibri" w:cs="Times New Roman"/>
                <w:noProof/>
                <w:color w:val="1F497D" w:themeColor="text2"/>
                <w:sz w:val="20"/>
                <w:szCs w:val="20"/>
              </w:rPr>
              <w:t xml:space="preserve">country </w:t>
            </w:r>
            <w:r w:rsidR="00982784">
              <w:rPr>
                <w:rFonts w:ascii="Calibri" w:eastAsia="Calibri" w:hAnsi="Calibri" w:cs="Times New Roman"/>
                <w:noProof/>
                <w:color w:val="1F497D" w:themeColor="text2"/>
                <w:sz w:val="20"/>
                <w:szCs w:val="20"/>
              </w:rPr>
              <w:t xml:space="preserve">aircraft </w:t>
            </w:r>
            <w:r w:rsidR="001E0379">
              <w:rPr>
                <w:rFonts w:ascii="Calibri" w:eastAsia="Calibri" w:hAnsi="Calibri" w:cs="Times New Roman"/>
                <w:noProof/>
                <w:color w:val="1F497D" w:themeColor="text2"/>
                <w:sz w:val="20"/>
                <w:szCs w:val="20"/>
              </w:rPr>
              <w:t xml:space="preserve">maintenance </w:t>
            </w:r>
            <w:r w:rsidR="007220D5" w:rsidRPr="007220D5">
              <w:rPr>
                <w:rFonts w:ascii="Calibri" w:eastAsia="Calibri" w:hAnsi="Calibri" w:cs="Times New Roman"/>
                <w:noProof/>
                <w:color w:val="1F497D" w:themeColor="text2"/>
                <w:sz w:val="20"/>
                <w:szCs w:val="20"/>
              </w:rPr>
              <w:t xml:space="preserve">training organisations </w:t>
            </w:r>
            <w:r w:rsidR="001E0379">
              <w:rPr>
                <w:rFonts w:ascii="Calibri" w:eastAsia="Calibri" w:hAnsi="Calibri" w:cs="Times New Roman"/>
                <w:noProof/>
                <w:color w:val="1F497D" w:themeColor="text2"/>
                <w:sz w:val="20"/>
                <w:szCs w:val="20"/>
              </w:rPr>
              <w:t>(Part-147)</w:t>
            </w:r>
          </w:p>
          <w:p w14:paraId="52F0A1EC" w14:textId="04505059" w:rsidR="00FA3F34" w:rsidRPr="007220D5" w:rsidRDefault="00FA3F34" w:rsidP="007220D5">
            <w:pPr>
              <w:spacing w:line="276" w:lineRule="auto"/>
              <w:jc w:val="left"/>
              <w:rPr>
                <w:rFonts w:ascii="Calibri" w:eastAsia="Calibri" w:hAnsi="Calibri" w:cs="Times New Roman"/>
                <w:noProof/>
                <w:color w:val="1F497D" w:themeColor="text2"/>
                <w:sz w:val="20"/>
                <w:szCs w:val="20"/>
              </w:rPr>
            </w:pPr>
            <w:r>
              <w:rPr>
                <w:rFonts w:ascii="Calibri" w:eastAsia="Calibri" w:hAnsi="Calibri" w:cs="Times New Roman"/>
                <w:noProof/>
                <w:color w:val="1F497D" w:themeColor="text2"/>
                <w:sz w:val="20"/>
                <w:szCs w:val="20"/>
              </w:rPr>
              <w:t xml:space="preserve">Approval of EU </w:t>
            </w:r>
            <w:r w:rsidR="00982784">
              <w:rPr>
                <w:rFonts w:ascii="Calibri" w:eastAsia="Calibri" w:hAnsi="Calibri" w:cs="Times New Roman"/>
                <w:noProof/>
                <w:color w:val="1F497D" w:themeColor="text2"/>
                <w:sz w:val="20"/>
                <w:szCs w:val="20"/>
              </w:rPr>
              <w:t xml:space="preserve">aircraft maintenance </w:t>
            </w:r>
            <w:r w:rsidR="00982784" w:rsidRPr="007220D5">
              <w:rPr>
                <w:rFonts w:ascii="Calibri" w:eastAsia="Calibri" w:hAnsi="Calibri" w:cs="Times New Roman"/>
                <w:noProof/>
                <w:color w:val="1F497D" w:themeColor="text2"/>
                <w:sz w:val="20"/>
                <w:szCs w:val="20"/>
              </w:rPr>
              <w:t xml:space="preserve">training organisations </w:t>
            </w:r>
            <w:r w:rsidR="00982784">
              <w:rPr>
                <w:rFonts w:ascii="Calibri" w:eastAsia="Calibri" w:hAnsi="Calibri" w:cs="Times New Roman"/>
                <w:noProof/>
                <w:color w:val="1F497D" w:themeColor="text2"/>
                <w:sz w:val="20"/>
                <w:szCs w:val="20"/>
              </w:rPr>
              <w:t>(</w:t>
            </w:r>
            <w:r>
              <w:rPr>
                <w:rFonts w:ascii="Calibri" w:eastAsia="Calibri" w:hAnsi="Calibri" w:cs="Times New Roman"/>
                <w:noProof/>
                <w:color w:val="1F497D" w:themeColor="text2"/>
                <w:sz w:val="20"/>
                <w:szCs w:val="20"/>
              </w:rPr>
              <w:t>Part-147</w:t>
            </w:r>
            <w:r w:rsidR="00982784">
              <w:rPr>
                <w:rFonts w:ascii="Calibri" w:eastAsia="Calibri" w:hAnsi="Calibri" w:cs="Times New Roman"/>
                <w:noProof/>
                <w:color w:val="1F497D" w:themeColor="text2"/>
                <w:sz w:val="20"/>
                <w:szCs w:val="20"/>
              </w:rPr>
              <w:t>)</w:t>
            </w:r>
            <w:r>
              <w:rPr>
                <w:rFonts w:ascii="Calibri" w:eastAsia="Calibri" w:hAnsi="Calibri" w:cs="Times New Roman"/>
                <w:noProof/>
                <w:color w:val="1F497D" w:themeColor="text2"/>
                <w:sz w:val="20"/>
                <w:szCs w:val="20"/>
              </w:rPr>
              <w:t xml:space="preserve"> whose certificate was transferred in accordance with BR Article 64 </w:t>
            </w:r>
            <w:r w:rsidR="00CD3283">
              <w:rPr>
                <w:rFonts w:ascii="Calibri" w:eastAsia="Calibri" w:hAnsi="Calibri" w:cs="Times New Roman"/>
                <w:noProof/>
                <w:color w:val="1F497D" w:themeColor="text2"/>
                <w:sz w:val="20"/>
                <w:szCs w:val="20"/>
              </w:rPr>
              <w:t xml:space="preserve">or 65 </w:t>
            </w:r>
          </w:p>
        </w:tc>
      </w:tr>
      <w:tr w:rsidR="002C5C5E" w:rsidRPr="007220D5" w14:paraId="26454277" w14:textId="77777777" w:rsidTr="00222F1A">
        <w:trPr>
          <w:trHeight w:val="1087"/>
        </w:trPr>
        <w:tc>
          <w:tcPr>
            <w:tcW w:w="2245" w:type="dxa"/>
            <w:vMerge w:val="restart"/>
            <w:tcBorders>
              <w:top w:val="single" w:sz="18" w:space="0" w:color="auto"/>
              <w:left w:val="single" w:sz="18" w:space="0" w:color="auto"/>
            </w:tcBorders>
            <w:shd w:val="clear" w:color="auto" w:fill="4F81BD"/>
            <w:tcMar>
              <w:top w:w="0" w:type="dxa"/>
              <w:left w:w="108" w:type="dxa"/>
              <w:bottom w:w="0" w:type="dxa"/>
              <w:right w:w="108" w:type="dxa"/>
            </w:tcMar>
            <w:vAlign w:val="center"/>
            <w:hideMark/>
          </w:tcPr>
          <w:p w14:paraId="0C7ED055" w14:textId="77777777" w:rsidR="002C5C5E" w:rsidRDefault="002C5C5E" w:rsidP="00FB18C9">
            <w:pPr>
              <w:spacing w:before="0" w:after="0" w:line="276" w:lineRule="auto"/>
              <w:jc w:val="left"/>
              <w:rPr>
                <w:rFonts w:ascii="Calibri" w:eastAsia="Calibri" w:hAnsi="Calibri" w:cs="Times New Roman"/>
                <w:b/>
                <w:bCs/>
                <w:noProof/>
                <w:color w:val="FFFFFF"/>
                <w:sz w:val="20"/>
                <w:szCs w:val="20"/>
              </w:rPr>
            </w:pPr>
            <w:bookmarkStart w:id="85" w:name="_Hlk93331832"/>
            <w:bookmarkEnd w:id="82"/>
            <w:r w:rsidRPr="007220D5">
              <w:rPr>
                <w:rFonts w:ascii="Calibri" w:eastAsia="Calibri" w:hAnsi="Calibri" w:cs="Times New Roman"/>
                <w:b/>
                <w:bCs/>
                <w:noProof/>
                <w:color w:val="FFFFFF"/>
                <w:sz w:val="20"/>
                <w:szCs w:val="20"/>
              </w:rPr>
              <w:t>Air Operations</w:t>
            </w:r>
          </w:p>
          <w:p w14:paraId="780AF975" w14:textId="77777777" w:rsidR="002C5C5E" w:rsidRPr="007220D5" w:rsidRDefault="002C5C5E" w:rsidP="00FB18C9">
            <w:pPr>
              <w:spacing w:before="0" w:after="0" w:line="276" w:lineRule="auto"/>
              <w:jc w:val="left"/>
              <w:rPr>
                <w:rFonts w:ascii="Calibri" w:eastAsia="Calibri" w:hAnsi="Calibri" w:cs="Times New Roman"/>
                <w:b/>
                <w:bCs/>
                <w:noProof/>
                <w:color w:val="FFFFFF"/>
                <w:sz w:val="20"/>
                <w:szCs w:val="20"/>
              </w:rPr>
            </w:pPr>
          </w:p>
        </w:tc>
        <w:tc>
          <w:tcPr>
            <w:tcW w:w="4191" w:type="dxa"/>
            <w:tcBorders>
              <w:top w:val="single" w:sz="18" w:space="0" w:color="auto"/>
            </w:tcBorders>
            <w:shd w:val="clear" w:color="auto" w:fill="FFFFFF" w:themeFill="background1"/>
            <w:tcMar>
              <w:top w:w="0" w:type="dxa"/>
              <w:left w:w="108" w:type="dxa"/>
              <w:bottom w:w="0" w:type="dxa"/>
              <w:right w:w="108" w:type="dxa"/>
            </w:tcMar>
            <w:vAlign w:val="center"/>
            <w:hideMark/>
          </w:tcPr>
          <w:p w14:paraId="581100A1" w14:textId="77777777" w:rsidR="002C5C5E" w:rsidRPr="007220D5" w:rsidRDefault="002C5C5E" w:rsidP="007220D5">
            <w:pPr>
              <w:spacing w:before="240" w:after="240" w:line="276" w:lineRule="auto"/>
              <w:jc w:val="left"/>
              <w:rPr>
                <w:rFonts w:ascii="Calibri" w:eastAsia="Calibri" w:hAnsi="Calibri" w:cs="Times New Roman"/>
                <w:noProof/>
                <w:color w:val="1F497D" w:themeColor="text2"/>
                <w:sz w:val="20"/>
                <w:szCs w:val="20"/>
              </w:rPr>
            </w:pPr>
            <w:r>
              <w:rPr>
                <w:rFonts w:ascii="Calibri" w:eastAsia="Calibri" w:hAnsi="Calibri" w:cs="Times New Roman"/>
                <w:noProof/>
                <w:color w:val="1F497D" w:themeColor="text2"/>
                <w:sz w:val="20"/>
                <w:szCs w:val="20"/>
              </w:rPr>
              <w:t>n/a</w:t>
            </w:r>
          </w:p>
        </w:tc>
        <w:tc>
          <w:tcPr>
            <w:tcW w:w="3415" w:type="dxa"/>
            <w:tcBorders>
              <w:top w:val="single" w:sz="18" w:space="0" w:color="auto"/>
              <w:right w:val="single" w:sz="18" w:space="0" w:color="auto"/>
            </w:tcBorders>
            <w:shd w:val="clear" w:color="auto" w:fill="D8D8D8"/>
            <w:tcMar>
              <w:top w:w="0" w:type="dxa"/>
              <w:left w:w="108" w:type="dxa"/>
              <w:bottom w:w="0" w:type="dxa"/>
              <w:right w:w="108" w:type="dxa"/>
            </w:tcMar>
            <w:vAlign w:val="center"/>
            <w:hideMark/>
          </w:tcPr>
          <w:p w14:paraId="1F51F589" w14:textId="77777777" w:rsidR="002C5C5E" w:rsidRPr="007220D5" w:rsidRDefault="002C5C5E" w:rsidP="006522E0">
            <w:pPr>
              <w:spacing w:before="240" w:after="240" w:line="276" w:lineRule="auto"/>
              <w:jc w:val="left"/>
              <w:rPr>
                <w:rFonts w:ascii="Calibri" w:eastAsia="Calibri" w:hAnsi="Calibri" w:cs="Times New Roman"/>
                <w:noProof/>
                <w:color w:val="1F497D" w:themeColor="text2"/>
                <w:sz w:val="20"/>
                <w:szCs w:val="20"/>
              </w:rPr>
            </w:pPr>
            <w:r w:rsidRPr="007220D5">
              <w:rPr>
                <w:rFonts w:ascii="Calibri" w:eastAsia="Calibri" w:hAnsi="Calibri" w:cs="Times New Roman"/>
                <w:noProof/>
                <w:color w:val="1F497D" w:themeColor="text2"/>
                <w:sz w:val="20"/>
                <w:szCs w:val="20"/>
              </w:rPr>
              <w:t xml:space="preserve">Authorisation of </w:t>
            </w:r>
            <w:r w:rsidR="00B07EB8">
              <w:rPr>
                <w:rFonts w:ascii="Calibri" w:eastAsia="Calibri" w:hAnsi="Calibri" w:cs="Times New Roman"/>
                <w:noProof/>
                <w:color w:val="1F497D" w:themeColor="text2"/>
                <w:sz w:val="20"/>
                <w:szCs w:val="20"/>
              </w:rPr>
              <w:t xml:space="preserve">third </w:t>
            </w:r>
            <w:r w:rsidRPr="007220D5">
              <w:rPr>
                <w:rFonts w:ascii="Calibri" w:eastAsia="Calibri" w:hAnsi="Calibri" w:cs="Times New Roman"/>
                <w:noProof/>
                <w:color w:val="1F497D" w:themeColor="text2"/>
                <w:sz w:val="20"/>
                <w:szCs w:val="20"/>
              </w:rPr>
              <w:t xml:space="preserve"> country operators</w:t>
            </w:r>
            <w:r w:rsidR="00CD3283">
              <w:rPr>
                <w:rFonts w:ascii="Calibri" w:eastAsia="Calibri" w:hAnsi="Calibri" w:cs="Times New Roman"/>
                <w:noProof/>
                <w:color w:val="1F497D" w:themeColor="text2"/>
                <w:sz w:val="20"/>
                <w:szCs w:val="20"/>
              </w:rPr>
              <w:t xml:space="preserve"> (commercial air transport)</w:t>
            </w:r>
          </w:p>
        </w:tc>
      </w:tr>
      <w:tr w:rsidR="00222F1A" w:rsidRPr="007220D5" w14:paraId="71ED63BF" w14:textId="77777777" w:rsidTr="00222F1A">
        <w:trPr>
          <w:trHeight w:val="1058"/>
        </w:trPr>
        <w:tc>
          <w:tcPr>
            <w:tcW w:w="2245" w:type="dxa"/>
            <w:vMerge/>
            <w:tcBorders>
              <w:left w:val="single" w:sz="18" w:space="0" w:color="auto"/>
              <w:bottom w:val="single" w:sz="18" w:space="0" w:color="auto"/>
            </w:tcBorders>
            <w:shd w:val="clear" w:color="auto" w:fill="4F81BD"/>
            <w:tcMar>
              <w:top w:w="0" w:type="dxa"/>
              <w:left w:w="108" w:type="dxa"/>
              <w:bottom w:w="0" w:type="dxa"/>
              <w:right w:w="108" w:type="dxa"/>
            </w:tcMar>
            <w:vAlign w:val="center"/>
          </w:tcPr>
          <w:p w14:paraId="61F40DB2" w14:textId="77777777" w:rsidR="00222F1A" w:rsidRPr="007220D5" w:rsidRDefault="00222F1A" w:rsidP="00781CBD">
            <w:pPr>
              <w:spacing w:before="0" w:after="0" w:line="276" w:lineRule="auto"/>
              <w:jc w:val="left"/>
              <w:rPr>
                <w:rFonts w:ascii="Calibri" w:eastAsia="Calibri" w:hAnsi="Calibri" w:cs="Times New Roman"/>
                <w:b/>
                <w:bCs/>
                <w:noProof/>
                <w:color w:val="FFFFFF"/>
                <w:sz w:val="20"/>
                <w:szCs w:val="20"/>
              </w:rPr>
            </w:pPr>
          </w:p>
        </w:tc>
        <w:tc>
          <w:tcPr>
            <w:tcW w:w="4191" w:type="dxa"/>
            <w:shd w:val="clear" w:color="auto" w:fill="D9D9D9" w:themeFill="background1" w:themeFillShade="D9"/>
            <w:tcMar>
              <w:top w:w="0" w:type="dxa"/>
              <w:left w:w="108" w:type="dxa"/>
              <w:bottom w:w="0" w:type="dxa"/>
              <w:right w:w="108" w:type="dxa"/>
            </w:tcMar>
            <w:vAlign w:val="center"/>
          </w:tcPr>
          <w:p w14:paraId="6ABE5874" w14:textId="4974DDE5" w:rsidR="00222F1A" w:rsidRPr="00DB19C6" w:rsidRDefault="00222F1A" w:rsidP="007220D5">
            <w:pPr>
              <w:spacing w:before="240" w:after="240" w:line="276" w:lineRule="auto"/>
              <w:jc w:val="left"/>
              <w:rPr>
                <w:rFonts w:ascii="Calibri" w:eastAsia="Calibri" w:hAnsi="Calibri" w:cs="Times New Roman"/>
                <w:noProof/>
                <w:color w:val="1F497D" w:themeColor="text2"/>
                <w:sz w:val="20"/>
                <w:szCs w:val="20"/>
              </w:rPr>
            </w:pPr>
            <w:r w:rsidRPr="00DB19C6">
              <w:rPr>
                <w:rFonts w:ascii="Calibri" w:eastAsia="Calibri" w:hAnsi="Calibri" w:cs="Times New Roman"/>
                <w:noProof/>
                <w:color w:val="1F497D" w:themeColor="text2"/>
                <w:sz w:val="20"/>
                <w:szCs w:val="20"/>
              </w:rPr>
              <w:t>Certification</w:t>
            </w:r>
            <w:r>
              <w:rPr>
                <w:rFonts w:ascii="Calibri" w:eastAsia="Calibri" w:hAnsi="Calibri" w:cs="Times New Roman"/>
                <w:noProof/>
                <w:color w:val="1F497D" w:themeColor="text2"/>
                <w:sz w:val="20"/>
                <w:szCs w:val="20"/>
              </w:rPr>
              <w:t xml:space="preserve"> and oversight </w:t>
            </w:r>
            <w:r w:rsidRPr="007220D5">
              <w:rPr>
                <w:rFonts w:ascii="Calibri" w:eastAsia="Calibri" w:hAnsi="Calibri" w:cs="Times New Roman"/>
                <w:noProof/>
                <w:color w:val="1F497D" w:themeColor="text2"/>
                <w:sz w:val="20"/>
                <w:szCs w:val="20"/>
              </w:rPr>
              <w:t xml:space="preserve">of commercial air </w:t>
            </w:r>
            <w:r>
              <w:rPr>
                <w:rFonts w:ascii="Calibri" w:eastAsia="Calibri" w:hAnsi="Calibri" w:cs="Times New Roman"/>
                <w:noProof/>
                <w:color w:val="1F497D" w:themeColor="text2"/>
                <w:sz w:val="20"/>
                <w:szCs w:val="20"/>
              </w:rPr>
              <w:t xml:space="preserve">transport </w:t>
            </w:r>
            <w:r w:rsidRPr="007220D5">
              <w:rPr>
                <w:rFonts w:ascii="Calibri" w:eastAsia="Calibri" w:hAnsi="Calibri" w:cs="Times New Roman"/>
                <w:noProof/>
                <w:color w:val="1F497D" w:themeColor="text2"/>
                <w:sz w:val="20"/>
                <w:szCs w:val="20"/>
              </w:rPr>
              <w:t>operators</w:t>
            </w:r>
            <w:r>
              <w:rPr>
                <w:rFonts w:ascii="Calibri" w:eastAsia="Calibri" w:hAnsi="Calibri" w:cs="Times New Roman"/>
                <w:noProof/>
                <w:color w:val="1F497D" w:themeColor="text2"/>
                <w:sz w:val="20"/>
                <w:szCs w:val="20"/>
              </w:rPr>
              <w:t xml:space="preserve"> / air operator certificate (AOC) holders, with the exception of those for which EASA is the competent authority</w:t>
            </w:r>
          </w:p>
        </w:tc>
        <w:tc>
          <w:tcPr>
            <w:tcW w:w="3415" w:type="dxa"/>
            <w:tcBorders>
              <w:right w:val="single" w:sz="18" w:space="0" w:color="auto"/>
            </w:tcBorders>
            <w:shd w:val="clear" w:color="auto" w:fill="FFFFFF" w:themeFill="background1"/>
            <w:tcMar>
              <w:top w:w="0" w:type="dxa"/>
              <w:left w:w="108" w:type="dxa"/>
              <w:bottom w:w="0" w:type="dxa"/>
              <w:right w:w="108" w:type="dxa"/>
            </w:tcMar>
            <w:vAlign w:val="center"/>
          </w:tcPr>
          <w:p w14:paraId="23543E79" w14:textId="182711CB" w:rsidR="00222F1A" w:rsidRPr="00DB19C6" w:rsidRDefault="00222F1A" w:rsidP="007220D5">
            <w:pPr>
              <w:spacing w:before="240" w:after="240" w:line="276" w:lineRule="auto"/>
              <w:jc w:val="left"/>
              <w:rPr>
                <w:rFonts w:ascii="Calibri" w:eastAsia="Calibri" w:hAnsi="Calibri" w:cs="Times New Roman"/>
                <w:noProof/>
                <w:color w:val="1F497D" w:themeColor="text2"/>
                <w:sz w:val="20"/>
                <w:szCs w:val="20"/>
              </w:rPr>
            </w:pPr>
            <w:r w:rsidRPr="00DB19C6">
              <w:rPr>
                <w:rFonts w:ascii="Calibri" w:eastAsia="Calibri" w:hAnsi="Calibri" w:cs="Times New Roman"/>
                <w:noProof/>
                <w:color w:val="1F497D" w:themeColor="text2"/>
                <w:sz w:val="20"/>
                <w:szCs w:val="20"/>
              </w:rPr>
              <w:t>Certification</w:t>
            </w:r>
            <w:r>
              <w:rPr>
                <w:rFonts w:ascii="Calibri" w:eastAsia="Calibri" w:hAnsi="Calibri" w:cs="Times New Roman"/>
                <w:noProof/>
                <w:color w:val="1F497D" w:themeColor="text2"/>
                <w:sz w:val="20"/>
                <w:szCs w:val="20"/>
              </w:rPr>
              <w:t xml:space="preserve"> and oversight of commercial air transport operators whose AOC was transferred in accordance with BR Article 64 or 65</w:t>
            </w:r>
          </w:p>
        </w:tc>
      </w:tr>
      <w:tr w:rsidR="002C5C5E" w:rsidRPr="007220D5" w14:paraId="0044D143" w14:textId="77777777" w:rsidTr="00222F1A">
        <w:trPr>
          <w:trHeight w:val="1058"/>
        </w:trPr>
        <w:tc>
          <w:tcPr>
            <w:tcW w:w="2245" w:type="dxa"/>
            <w:vMerge/>
            <w:tcBorders>
              <w:left w:val="single" w:sz="18" w:space="0" w:color="auto"/>
              <w:bottom w:val="single" w:sz="18" w:space="0" w:color="auto"/>
            </w:tcBorders>
            <w:shd w:val="clear" w:color="auto" w:fill="4F81BD"/>
            <w:tcMar>
              <w:top w:w="0" w:type="dxa"/>
              <w:left w:w="108" w:type="dxa"/>
              <w:bottom w:w="0" w:type="dxa"/>
              <w:right w:w="108" w:type="dxa"/>
            </w:tcMar>
            <w:vAlign w:val="center"/>
          </w:tcPr>
          <w:p w14:paraId="4A13A3D3" w14:textId="77777777" w:rsidR="002C5C5E" w:rsidRPr="007220D5" w:rsidRDefault="002C5C5E" w:rsidP="00781CBD">
            <w:pPr>
              <w:spacing w:before="0" w:after="0" w:line="276" w:lineRule="auto"/>
              <w:jc w:val="left"/>
              <w:rPr>
                <w:rFonts w:ascii="Calibri" w:eastAsia="Calibri" w:hAnsi="Calibri" w:cs="Times New Roman"/>
                <w:b/>
                <w:bCs/>
                <w:noProof/>
                <w:color w:val="FFFFFF"/>
                <w:sz w:val="20"/>
                <w:szCs w:val="20"/>
              </w:rPr>
            </w:pPr>
          </w:p>
        </w:tc>
        <w:tc>
          <w:tcPr>
            <w:tcW w:w="4191" w:type="dxa"/>
            <w:tcBorders>
              <w:bottom w:val="single" w:sz="18" w:space="0" w:color="auto"/>
            </w:tcBorders>
            <w:shd w:val="clear" w:color="auto" w:fill="FFFFFF" w:themeFill="background1"/>
            <w:tcMar>
              <w:top w:w="0" w:type="dxa"/>
              <w:left w:w="108" w:type="dxa"/>
              <w:bottom w:w="0" w:type="dxa"/>
              <w:right w:w="108" w:type="dxa"/>
            </w:tcMar>
            <w:vAlign w:val="center"/>
          </w:tcPr>
          <w:p w14:paraId="5A43A1A9" w14:textId="77777777" w:rsidR="00CD3283" w:rsidRDefault="00CD3283" w:rsidP="007220D5">
            <w:pPr>
              <w:spacing w:before="240" w:after="240" w:line="276" w:lineRule="auto"/>
              <w:jc w:val="left"/>
              <w:rPr>
                <w:rFonts w:ascii="Calibri" w:eastAsia="Calibri" w:hAnsi="Calibri" w:cs="Times New Roman"/>
                <w:noProof/>
                <w:color w:val="1F497D" w:themeColor="text2"/>
                <w:sz w:val="20"/>
                <w:szCs w:val="20"/>
              </w:rPr>
            </w:pPr>
            <w:r>
              <w:rPr>
                <w:rFonts w:ascii="Calibri" w:eastAsia="Calibri" w:hAnsi="Calibri" w:cs="Times New Roman"/>
                <w:noProof/>
                <w:color w:val="1F497D" w:themeColor="text2"/>
                <w:sz w:val="20"/>
                <w:szCs w:val="20"/>
              </w:rPr>
              <w:t>Oversight/</w:t>
            </w:r>
            <w:r w:rsidR="00436CBB">
              <w:rPr>
                <w:rFonts w:ascii="Calibri" w:eastAsia="Calibri" w:hAnsi="Calibri" w:cs="Times New Roman"/>
                <w:noProof/>
                <w:color w:val="1F497D" w:themeColor="text2"/>
                <w:sz w:val="20"/>
                <w:szCs w:val="20"/>
              </w:rPr>
              <w:t>a</w:t>
            </w:r>
            <w:r>
              <w:rPr>
                <w:rFonts w:ascii="Calibri" w:eastAsia="Calibri" w:hAnsi="Calibri" w:cs="Times New Roman"/>
                <w:noProof/>
                <w:color w:val="1F497D" w:themeColor="text2"/>
                <w:sz w:val="20"/>
                <w:szCs w:val="20"/>
              </w:rPr>
              <w:t>uthorisation of other operators (non-commercial operations, specialised operations)</w:t>
            </w:r>
            <w:r w:rsidR="00B07EB8">
              <w:rPr>
                <w:rFonts w:ascii="Calibri" w:eastAsia="Calibri" w:hAnsi="Calibri" w:cs="Times New Roman"/>
                <w:noProof/>
                <w:color w:val="1F497D" w:themeColor="text2"/>
                <w:sz w:val="20"/>
                <w:szCs w:val="20"/>
              </w:rPr>
              <w:t>, with the exception of those for which EASA is the competent authority</w:t>
            </w:r>
          </w:p>
        </w:tc>
        <w:tc>
          <w:tcPr>
            <w:tcW w:w="3415" w:type="dxa"/>
            <w:tcBorders>
              <w:bottom w:val="single" w:sz="18" w:space="0" w:color="auto"/>
              <w:right w:val="single" w:sz="18" w:space="0" w:color="auto"/>
            </w:tcBorders>
            <w:shd w:val="clear" w:color="auto" w:fill="D8D8D8"/>
            <w:tcMar>
              <w:top w:w="0" w:type="dxa"/>
              <w:left w:w="108" w:type="dxa"/>
              <w:bottom w:w="0" w:type="dxa"/>
              <w:right w:w="108" w:type="dxa"/>
            </w:tcMar>
            <w:vAlign w:val="center"/>
          </w:tcPr>
          <w:p w14:paraId="0EAF9070" w14:textId="2DE259B6" w:rsidR="00CD3283" w:rsidRPr="007220D5" w:rsidRDefault="00CD3283" w:rsidP="007220D5">
            <w:pPr>
              <w:spacing w:before="240" w:after="240" w:line="276" w:lineRule="auto"/>
              <w:jc w:val="left"/>
              <w:rPr>
                <w:rFonts w:ascii="Calibri" w:eastAsia="Calibri" w:hAnsi="Calibri" w:cs="Times New Roman"/>
                <w:noProof/>
                <w:color w:val="1F497D" w:themeColor="text2"/>
                <w:sz w:val="20"/>
                <w:szCs w:val="20"/>
              </w:rPr>
            </w:pPr>
            <w:r>
              <w:rPr>
                <w:rFonts w:ascii="Calibri" w:eastAsia="Calibri" w:hAnsi="Calibri" w:cs="Times New Roman"/>
                <w:noProof/>
                <w:color w:val="1F497D" w:themeColor="text2"/>
                <w:sz w:val="20"/>
                <w:szCs w:val="20"/>
              </w:rPr>
              <w:t>Oversight/authorisation of other operators where oversight was transferred in accordance with BR Articles 64 or 65</w:t>
            </w:r>
          </w:p>
        </w:tc>
      </w:tr>
      <w:bookmarkEnd w:id="85"/>
      <w:tr w:rsidR="007220D5" w:rsidRPr="007220D5" w14:paraId="55C7DF1E" w14:textId="77777777" w:rsidTr="00B81F39">
        <w:trPr>
          <w:trHeight w:val="519"/>
        </w:trPr>
        <w:tc>
          <w:tcPr>
            <w:tcW w:w="2245" w:type="dxa"/>
            <w:vMerge w:val="restart"/>
            <w:tcBorders>
              <w:top w:val="single" w:sz="18" w:space="0" w:color="auto"/>
              <w:left w:val="single" w:sz="18" w:space="0" w:color="auto"/>
            </w:tcBorders>
            <w:shd w:val="clear" w:color="auto" w:fill="4F81BD"/>
            <w:tcMar>
              <w:top w:w="0" w:type="dxa"/>
              <w:left w:w="108" w:type="dxa"/>
              <w:bottom w:w="0" w:type="dxa"/>
              <w:right w:w="108" w:type="dxa"/>
            </w:tcMar>
            <w:hideMark/>
          </w:tcPr>
          <w:p w14:paraId="6B1CB022" w14:textId="77777777" w:rsidR="007220D5" w:rsidRPr="007220D5" w:rsidRDefault="007220D5" w:rsidP="007220D5">
            <w:pPr>
              <w:spacing w:line="276" w:lineRule="auto"/>
              <w:jc w:val="left"/>
              <w:rPr>
                <w:rFonts w:ascii="Calibri" w:eastAsia="Calibri" w:hAnsi="Calibri" w:cs="Times New Roman"/>
                <w:b/>
                <w:bCs/>
                <w:noProof/>
                <w:color w:val="FFFFFF"/>
                <w:sz w:val="20"/>
                <w:szCs w:val="20"/>
              </w:rPr>
            </w:pPr>
            <w:r w:rsidRPr="007220D5">
              <w:rPr>
                <w:rFonts w:ascii="Calibri" w:eastAsia="Calibri" w:hAnsi="Calibri" w:cs="Times New Roman"/>
                <w:b/>
                <w:bCs/>
                <w:noProof/>
                <w:color w:val="FFFFFF"/>
                <w:sz w:val="20"/>
                <w:szCs w:val="20"/>
              </w:rPr>
              <w:t>Air Crew and Medical</w:t>
            </w:r>
          </w:p>
        </w:tc>
        <w:tc>
          <w:tcPr>
            <w:tcW w:w="4191" w:type="dxa"/>
            <w:tcBorders>
              <w:top w:val="single" w:sz="18" w:space="0" w:color="auto"/>
            </w:tcBorders>
            <w:shd w:val="clear" w:color="auto" w:fill="D8D8D8"/>
            <w:tcMar>
              <w:top w:w="0" w:type="dxa"/>
              <w:left w:w="108" w:type="dxa"/>
              <w:bottom w:w="0" w:type="dxa"/>
              <w:right w:w="108" w:type="dxa"/>
            </w:tcMar>
            <w:vAlign w:val="center"/>
            <w:hideMark/>
          </w:tcPr>
          <w:p w14:paraId="469DFC6B" w14:textId="77777777" w:rsidR="007220D5" w:rsidRPr="007220D5" w:rsidRDefault="007220D5" w:rsidP="007220D5">
            <w:pPr>
              <w:spacing w:line="276" w:lineRule="auto"/>
              <w:jc w:val="left"/>
              <w:rPr>
                <w:rFonts w:ascii="Calibri" w:eastAsia="Calibri" w:hAnsi="Calibri" w:cs="Times New Roman"/>
                <w:noProof/>
                <w:color w:val="1F497D" w:themeColor="text2"/>
                <w:sz w:val="20"/>
                <w:szCs w:val="20"/>
              </w:rPr>
            </w:pPr>
            <w:r w:rsidRPr="007220D5">
              <w:rPr>
                <w:rFonts w:ascii="Calibri" w:eastAsia="Calibri" w:hAnsi="Calibri" w:cs="Times New Roman"/>
                <w:noProof/>
                <w:color w:val="1F497D" w:themeColor="text2"/>
                <w:sz w:val="20"/>
                <w:szCs w:val="20"/>
              </w:rPr>
              <w:t xml:space="preserve">Licencing and medical certification of pilots  </w:t>
            </w:r>
          </w:p>
        </w:tc>
        <w:tc>
          <w:tcPr>
            <w:tcW w:w="3415" w:type="dxa"/>
            <w:tcBorders>
              <w:top w:val="single" w:sz="18" w:space="0" w:color="auto"/>
              <w:right w:val="single" w:sz="18" w:space="0" w:color="auto"/>
            </w:tcBorders>
            <w:shd w:val="clear" w:color="auto" w:fill="FFFFFF" w:themeFill="background1"/>
            <w:tcMar>
              <w:top w:w="0" w:type="dxa"/>
              <w:left w:w="108" w:type="dxa"/>
              <w:bottom w:w="0" w:type="dxa"/>
              <w:right w:w="108" w:type="dxa"/>
            </w:tcMar>
            <w:vAlign w:val="center"/>
            <w:hideMark/>
          </w:tcPr>
          <w:p w14:paraId="35E964AC" w14:textId="77777777" w:rsidR="007220D5" w:rsidRPr="007220D5" w:rsidRDefault="002C5C5E" w:rsidP="007220D5">
            <w:pPr>
              <w:spacing w:before="0" w:after="0" w:line="276" w:lineRule="auto"/>
              <w:jc w:val="left"/>
              <w:rPr>
                <w:rFonts w:ascii="Calibri" w:eastAsia="Calibri" w:hAnsi="Calibri" w:cs="Times New Roman"/>
                <w:noProof/>
                <w:sz w:val="22"/>
              </w:rPr>
            </w:pPr>
            <w:r>
              <w:rPr>
                <w:rFonts w:ascii="Calibri" w:eastAsia="Calibri" w:hAnsi="Calibri" w:cs="Times New Roman"/>
                <w:noProof/>
                <w:color w:val="1F497D" w:themeColor="text2"/>
                <w:sz w:val="20"/>
                <w:szCs w:val="20"/>
              </w:rPr>
              <w:t>n/a</w:t>
            </w:r>
          </w:p>
        </w:tc>
      </w:tr>
      <w:tr w:rsidR="007220D5" w:rsidRPr="007220D5" w14:paraId="43F7D5C6" w14:textId="77777777" w:rsidTr="00B81F39">
        <w:trPr>
          <w:trHeight w:val="517"/>
        </w:trPr>
        <w:tc>
          <w:tcPr>
            <w:tcW w:w="2245" w:type="dxa"/>
            <w:vMerge/>
            <w:tcBorders>
              <w:left w:val="single" w:sz="18" w:space="0" w:color="auto"/>
            </w:tcBorders>
            <w:vAlign w:val="center"/>
            <w:hideMark/>
          </w:tcPr>
          <w:p w14:paraId="6FC76A6C" w14:textId="77777777" w:rsidR="007220D5" w:rsidRPr="007220D5" w:rsidRDefault="007220D5" w:rsidP="007220D5">
            <w:pPr>
              <w:spacing w:before="0" w:after="0"/>
              <w:jc w:val="left"/>
              <w:rPr>
                <w:rFonts w:ascii="Calibri" w:eastAsia="Calibri" w:hAnsi="Calibri" w:cs="Times New Roman"/>
                <w:b/>
                <w:bCs/>
                <w:noProof/>
                <w:color w:val="FFFFFF"/>
                <w:sz w:val="20"/>
                <w:szCs w:val="20"/>
              </w:rPr>
            </w:pPr>
          </w:p>
        </w:tc>
        <w:tc>
          <w:tcPr>
            <w:tcW w:w="4191" w:type="dxa"/>
            <w:tcMar>
              <w:top w:w="0" w:type="dxa"/>
              <w:left w:w="108" w:type="dxa"/>
              <w:bottom w:w="0" w:type="dxa"/>
              <w:right w:w="108" w:type="dxa"/>
            </w:tcMar>
            <w:hideMark/>
          </w:tcPr>
          <w:p w14:paraId="504A99FC" w14:textId="77777777" w:rsidR="007220D5" w:rsidRPr="007220D5" w:rsidRDefault="007220D5" w:rsidP="007220D5">
            <w:pPr>
              <w:spacing w:line="276" w:lineRule="auto"/>
              <w:jc w:val="left"/>
              <w:rPr>
                <w:rFonts w:ascii="Calibri" w:eastAsia="Calibri" w:hAnsi="Calibri" w:cs="Times New Roman"/>
                <w:noProof/>
                <w:color w:val="1F497D" w:themeColor="text2"/>
                <w:sz w:val="20"/>
                <w:szCs w:val="20"/>
              </w:rPr>
            </w:pPr>
            <w:r w:rsidRPr="007220D5">
              <w:rPr>
                <w:rFonts w:ascii="Calibri" w:eastAsia="Calibri" w:hAnsi="Calibri" w:cs="Times New Roman"/>
                <w:noProof/>
                <w:color w:val="1F497D" w:themeColor="text2"/>
                <w:sz w:val="20"/>
                <w:szCs w:val="20"/>
              </w:rPr>
              <w:t>Attestation of cabin crew</w:t>
            </w:r>
          </w:p>
        </w:tc>
        <w:tc>
          <w:tcPr>
            <w:tcW w:w="3415" w:type="dxa"/>
            <w:tcBorders>
              <w:right w:val="single" w:sz="18" w:space="0" w:color="auto"/>
            </w:tcBorders>
            <w:shd w:val="clear" w:color="auto" w:fill="D8D8D8"/>
            <w:tcMar>
              <w:top w:w="0" w:type="dxa"/>
              <w:left w:w="108" w:type="dxa"/>
              <w:bottom w:w="0" w:type="dxa"/>
              <w:right w:w="108" w:type="dxa"/>
            </w:tcMar>
          </w:tcPr>
          <w:p w14:paraId="59022FFD" w14:textId="77777777" w:rsidR="007220D5" w:rsidRPr="007220D5" w:rsidRDefault="002C5C5E" w:rsidP="007220D5">
            <w:pPr>
              <w:spacing w:line="276" w:lineRule="auto"/>
              <w:jc w:val="left"/>
              <w:rPr>
                <w:rFonts w:ascii="Calibri" w:eastAsia="Calibri" w:hAnsi="Calibri" w:cs="Times New Roman"/>
                <w:noProof/>
                <w:color w:val="1F497D" w:themeColor="text2"/>
                <w:sz w:val="20"/>
                <w:szCs w:val="20"/>
              </w:rPr>
            </w:pPr>
            <w:r>
              <w:rPr>
                <w:rFonts w:ascii="Calibri" w:eastAsia="Calibri" w:hAnsi="Calibri" w:cs="Times New Roman"/>
                <w:noProof/>
                <w:color w:val="1F497D" w:themeColor="text2"/>
                <w:sz w:val="20"/>
                <w:szCs w:val="20"/>
              </w:rPr>
              <w:t>n/a</w:t>
            </w:r>
          </w:p>
        </w:tc>
      </w:tr>
      <w:tr w:rsidR="007220D5" w:rsidRPr="007220D5" w14:paraId="54D15EF8" w14:textId="77777777" w:rsidTr="00B81F39">
        <w:trPr>
          <w:trHeight w:val="517"/>
        </w:trPr>
        <w:tc>
          <w:tcPr>
            <w:tcW w:w="2245" w:type="dxa"/>
            <w:vMerge/>
            <w:tcBorders>
              <w:left w:val="single" w:sz="18" w:space="0" w:color="auto"/>
            </w:tcBorders>
            <w:vAlign w:val="center"/>
            <w:hideMark/>
          </w:tcPr>
          <w:p w14:paraId="15D0F71B" w14:textId="77777777" w:rsidR="007220D5" w:rsidRPr="007220D5" w:rsidRDefault="007220D5" w:rsidP="007220D5">
            <w:pPr>
              <w:spacing w:before="0" w:after="0"/>
              <w:jc w:val="left"/>
              <w:rPr>
                <w:rFonts w:ascii="Calibri" w:eastAsia="Calibri" w:hAnsi="Calibri" w:cs="Times New Roman"/>
                <w:b/>
                <w:bCs/>
                <w:noProof/>
                <w:color w:val="FFFFFF"/>
                <w:sz w:val="20"/>
                <w:szCs w:val="20"/>
              </w:rPr>
            </w:pPr>
          </w:p>
        </w:tc>
        <w:tc>
          <w:tcPr>
            <w:tcW w:w="4191" w:type="dxa"/>
            <w:shd w:val="clear" w:color="auto" w:fill="D8D8D8"/>
            <w:tcMar>
              <w:top w:w="0" w:type="dxa"/>
              <w:left w:w="108" w:type="dxa"/>
              <w:bottom w:w="0" w:type="dxa"/>
              <w:right w:w="108" w:type="dxa"/>
            </w:tcMar>
            <w:vAlign w:val="center"/>
            <w:hideMark/>
          </w:tcPr>
          <w:p w14:paraId="0CA4890C" w14:textId="77777777" w:rsidR="007220D5" w:rsidRPr="007220D5" w:rsidRDefault="00B07EB8" w:rsidP="00943CEB">
            <w:pPr>
              <w:spacing w:line="276" w:lineRule="auto"/>
              <w:jc w:val="left"/>
              <w:rPr>
                <w:rFonts w:ascii="Calibri" w:eastAsia="Calibri" w:hAnsi="Calibri" w:cs="Times New Roman"/>
                <w:noProof/>
                <w:color w:val="1F497D" w:themeColor="text2"/>
                <w:sz w:val="20"/>
                <w:szCs w:val="20"/>
              </w:rPr>
            </w:pPr>
            <w:r w:rsidRPr="00DB19C6">
              <w:rPr>
                <w:rFonts w:ascii="Calibri" w:eastAsia="Calibri" w:hAnsi="Calibri" w:cs="Times New Roman"/>
                <w:noProof/>
                <w:color w:val="1F497D" w:themeColor="text2"/>
                <w:sz w:val="20"/>
                <w:szCs w:val="20"/>
              </w:rPr>
              <w:t>Certification</w:t>
            </w:r>
            <w:r>
              <w:rPr>
                <w:rFonts w:ascii="Calibri" w:eastAsia="Calibri" w:hAnsi="Calibri" w:cs="Times New Roman"/>
                <w:noProof/>
                <w:color w:val="1F497D" w:themeColor="text2"/>
                <w:sz w:val="20"/>
                <w:szCs w:val="20"/>
              </w:rPr>
              <w:t xml:space="preserve"> and oversight</w:t>
            </w:r>
            <w:r w:rsidR="007220D5" w:rsidRPr="007220D5">
              <w:rPr>
                <w:rFonts w:ascii="Calibri" w:eastAsia="Calibri" w:hAnsi="Calibri" w:cs="Times New Roman"/>
                <w:noProof/>
                <w:color w:val="1F497D" w:themeColor="text2"/>
                <w:sz w:val="20"/>
                <w:szCs w:val="20"/>
              </w:rPr>
              <w:t xml:space="preserve"> of pilot training organisations</w:t>
            </w:r>
            <w:r>
              <w:rPr>
                <w:rFonts w:ascii="Calibri" w:eastAsia="Calibri" w:hAnsi="Calibri" w:cs="Times New Roman"/>
                <w:noProof/>
                <w:color w:val="1F497D" w:themeColor="text2"/>
                <w:sz w:val="20"/>
                <w:szCs w:val="20"/>
              </w:rPr>
              <w:t>, with the exception of those for which EASA is the competent authority</w:t>
            </w:r>
          </w:p>
        </w:tc>
        <w:tc>
          <w:tcPr>
            <w:tcW w:w="3415" w:type="dxa"/>
            <w:tcBorders>
              <w:right w:val="single" w:sz="18" w:space="0" w:color="auto"/>
            </w:tcBorders>
            <w:shd w:val="clear" w:color="auto" w:fill="FFFFFF" w:themeFill="background1"/>
            <w:tcMar>
              <w:top w:w="0" w:type="dxa"/>
              <w:left w:w="108" w:type="dxa"/>
              <w:bottom w:w="0" w:type="dxa"/>
              <w:right w:w="108" w:type="dxa"/>
            </w:tcMar>
            <w:hideMark/>
          </w:tcPr>
          <w:p w14:paraId="1F2A5AB7" w14:textId="77777777" w:rsidR="007220D5" w:rsidRDefault="00B07EB8" w:rsidP="007220D5">
            <w:pPr>
              <w:spacing w:line="276" w:lineRule="auto"/>
              <w:jc w:val="left"/>
              <w:rPr>
                <w:rFonts w:ascii="Calibri" w:eastAsia="Calibri" w:hAnsi="Calibri" w:cs="Times New Roman"/>
                <w:noProof/>
                <w:color w:val="1F497D" w:themeColor="text2"/>
                <w:sz w:val="20"/>
                <w:szCs w:val="20"/>
              </w:rPr>
            </w:pPr>
            <w:r w:rsidRPr="00DB19C6">
              <w:rPr>
                <w:rFonts w:ascii="Calibri" w:eastAsia="Calibri" w:hAnsi="Calibri" w:cs="Times New Roman"/>
                <w:noProof/>
                <w:color w:val="1F497D" w:themeColor="text2"/>
                <w:sz w:val="20"/>
                <w:szCs w:val="20"/>
              </w:rPr>
              <w:t>Certification</w:t>
            </w:r>
            <w:r>
              <w:rPr>
                <w:rFonts w:ascii="Calibri" w:eastAsia="Calibri" w:hAnsi="Calibri" w:cs="Times New Roman"/>
                <w:noProof/>
                <w:color w:val="1F497D" w:themeColor="text2"/>
                <w:sz w:val="20"/>
                <w:szCs w:val="20"/>
              </w:rPr>
              <w:t xml:space="preserve"> and oversight</w:t>
            </w:r>
            <w:r w:rsidR="007220D5" w:rsidRPr="007220D5">
              <w:rPr>
                <w:rFonts w:ascii="Calibri" w:eastAsia="Calibri" w:hAnsi="Calibri" w:cs="Times New Roman"/>
                <w:noProof/>
                <w:color w:val="1F497D" w:themeColor="text2"/>
                <w:sz w:val="20"/>
                <w:szCs w:val="20"/>
              </w:rPr>
              <w:t xml:space="preserve"> of </w:t>
            </w:r>
            <w:r>
              <w:rPr>
                <w:rFonts w:ascii="Calibri" w:eastAsia="Calibri" w:hAnsi="Calibri" w:cs="Times New Roman"/>
                <w:noProof/>
                <w:color w:val="1F497D" w:themeColor="text2"/>
                <w:sz w:val="20"/>
                <w:szCs w:val="20"/>
              </w:rPr>
              <w:t xml:space="preserve">third </w:t>
            </w:r>
            <w:r w:rsidR="007220D5" w:rsidRPr="007220D5">
              <w:rPr>
                <w:rFonts w:ascii="Calibri" w:eastAsia="Calibri" w:hAnsi="Calibri" w:cs="Times New Roman"/>
                <w:noProof/>
                <w:color w:val="1F497D" w:themeColor="text2"/>
                <w:sz w:val="20"/>
                <w:szCs w:val="20"/>
              </w:rPr>
              <w:t xml:space="preserve">country pilot training organisations </w:t>
            </w:r>
          </w:p>
          <w:p w14:paraId="36E6F1A7" w14:textId="5F986119" w:rsidR="00FA3F34" w:rsidRPr="007220D5" w:rsidRDefault="00B07EB8" w:rsidP="007220D5">
            <w:pPr>
              <w:spacing w:line="276" w:lineRule="auto"/>
              <w:jc w:val="left"/>
              <w:rPr>
                <w:rFonts w:ascii="Calibri" w:eastAsia="Calibri" w:hAnsi="Calibri" w:cs="Times New Roman"/>
                <w:noProof/>
                <w:color w:val="1F497D" w:themeColor="text2"/>
                <w:sz w:val="20"/>
                <w:szCs w:val="20"/>
              </w:rPr>
            </w:pPr>
            <w:r w:rsidRPr="00DB19C6">
              <w:rPr>
                <w:rFonts w:ascii="Calibri" w:eastAsia="Calibri" w:hAnsi="Calibri" w:cs="Times New Roman"/>
                <w:noProof/>
                <w:color w:val="1F497D" w:themeColor="text2"/>
                <w:sz w:val="20"/>
                <w:szCs w:val="20"/>
              </w:rPr>
              <w:t>Certification</w:t>
            </w:r>
            <w:r>
              <w:rPr>
                <w:rFonts w:ascii="Calibri" w:eastAsia="Calibri" w:hAnsi="Calibri" w:cs="Times New Roman"/>
                <w:noProof/>
                <w:color w:val="1F497D" w:themeColor="text2"/>
                <w:sz w:val="20"/>
                <w:szCs w:val="20"/>
              </w:rPr>
              <w:t xml:space="preserve"> and oversight </w:t>
            </w:r>
            <w:r w:rsidR="00FA3F34">
              <w:rPr>
                <w:rFonts w:ascii="Calibri" w:eastAsia="Calibri" w:hAnsi="Calibri" w:cs="Times New Roman"/>
                <w:noProof/>
                <w:color w:val="1F497D" w:themeColor="text2"/>
                <w:sz w:val="20"/>
                <w:szCs w:val="20"/>
              </w:rPr>
              <w:t xml:space="preserve">of EU </w:t>
            </w:r>
            <w:r w:rsidR="00FA3F34" w:rsidRPr="007220D5">
              <w:rPr>
                <w:rFonts w:ascii="Calibri" w:eastAsia="Calibri" w:hAnsi="Calibri" w:cs="Times New Roman"/>
                <w:noProof/>
                <w:color w:val="1F497D" w:themeColor="text2"/>
                <w:sz w:val="20"/>
                <w:szCs w:val="20"/>
              </w:rPr>
              <w:t xml:space="preserve">pilot training organisations </w:t>
            </w:r>
            <w:r w:rsidR="00FA3F34">
              <w:rPr>
                <w:rFonts w:ascii="Calibri" w:eastAsia="Calibri" w:hAnsi="Calibri" w:cs="Times New Roman"/>
                <w:noProof/>
                <w:color w:val="1F497D" w:themeColor="text2"/>
                <w:sz w:val="20"/>
                <w:szCs w:val="20"/>
              </w:rPr>
              <w:t xml:space="preserve">whose certificate was transferred </w:t>
            </w:r>
            <w:r w:rsidR="00CD3283">
              <w:rPr>
                <w:rFonts w:ascii="Calibri" w:eastAsia="Calibri" w:hAnsi="Calibri" w:cs="Times New Roman"/>
                <w:noProof/>
                <w:color w:val="1F497D" w:themeColor="text2"/>
                <w:sz w:val="20"/>
                <w:szCs w:val="20"/>
              </w:rPr>
              <w:t>in accordance with BR Article 64 or 65</w:t>
            </w:r>
          </w:p>
        </w:tc>
      </w:tr>
      <w:tr w:rsidR="007220D5" w:rsidRPr="007220D5" w14:paraId="3DBDAE1E" w14:textId="77777777" w:rsidTr="00B81F39">
        <w:trPr>
          <w:trHeight w:val="517"/>
        </w:trPr>
        <w:tc>
          <w:tcPr>
            <w:tcW w:w="2245" w:type="dxa"/>
            <w:vMerge/>
            <w:tcBorders>
              <w:left w:val="single" w:sz="18" w:space="0" w:color="auto"/>
            </w:tcBorders>
            <w:vAlign w:val="center"/>
            <w:hideMark/>
          </w:tcPr>
          <w:p w14:paraId="7F353EFC" w14:textId="77777777" w:rsidR="007220D5" w:rsidRPr="007220D5" w:rsidRDefault="007220D5" w:rsidP="007220D5">
            <w:pPr>
              <w:spacing w:before="0" w:after="0"/>
              <w:jc w:val="left"/>
              <w:rPr>
                <w:rFonts w:ascii="Calibri" w:eastAsia="Calibri" w:hAnsi="Calibri" w:cs="Times New Roman"/>
                <w:b/>
                <w:bCs/>
                <w:noProof/>
                <w:color w:val="FFFFFF"/>
                <w:sz w:val="20"/>
                <w:szCs w:val="20"/>
              </w:rPr>
            </w:pPr>
          </w:p>
        </w:tc>
        <w:tc>
          <w:tcPr>
            <w:tcW w:w="4191" w:type="dxa"/>
            <w:tcMar>
              <w:top w:w="0" w:type="dxa"/>
              <w:left w:w="108" w:type="dxa"/>
              <w:bottom w:w="0" w:type="dxa"/>
              <w:right w:w="108" w:type="dxa"/>
            </w:tcMar>
            <w:hideMark/>
          </w:tcPr>
          <w:p w14:paraId="38BE4328" w14:textId="77777777" w:rsidR="007220D5" w:rsidRPr="007220D5" w:rsidRDefault="00B07EB8" w:rsidP="007220D5">
            <w:pPr>
              <w:spacing w:line="276" w:lineRule="auto"/>
              <w:jc w:val="left"/>
              <w:rPr>
                <w:rFonts w:ascii="Calibri" w:eastAsia="Calibri" w:hAnsi="Calibri" w:cs="Times New Roman"/>
                <w:noProof/>
                <w:color w:val="1F497D" w:themeColor="text2"/>
                <w:sz w:val="20"/>
                <w:szCs w:val="20"/>
              </w:rPr>
            </w:pPr>
            <w:r w:rsidRPr="00DB19C6">
              <w:rPr>
                <w:rFonts w:ascii="Calibri" w:eastAsia="Calibri" w:hAnsi="Calibri" w:cs="Times New Roman"/>
                <w:noProof/>
                <w:color w:val="1F497D" w:themeColor="text2"/>
                <w:sz w:val="20"/>
                <w:szCs w:val="20"/>
              </w:rPr>
              <w:t>Certification</w:t>
            </w:r>
            <w:r>
              <w:rPr>
                <w:rFonts w:ascii="Calibri" w:eastAsia="Calibri" w:hAnsi="Calibri" w:cs="Times New Roman"/>
                <w:noProof/>
                <w:color w:val="1F497D" w:themeColor="text2"/>
                <w:sz w:val="20"/>
                <w:szCs w:val="20"/>
              </w:rPr>
              <w:t xml:space="preserve"> and oversight</w:t>
            </w:r>
            <w:r w:rsidR="007220D5" w:rsidRPr="007220D5">
              <w:rPr>
                <w:rFonts w:ascii="Calibri" w:eastAsia="Calibri" w:hAnsi="Calibri" w:cs="Times New Roman"/>
                <w:noProof/>
                <w:color w:val="1F497D" w:themeColor="text2"/>
                <w:sz w:val="20"/>
                <w:szCs w:val="20"/>
              </w:rPr>
              <w:t xml:space="preserve"> of aeromedical centres</w:t>
            </w:r>
            <w:r>
              <w:rPr>
                <w:rFonts w:ascii="Calibri" w:eastAsia="Calibri" w:hAnsi="Calibri" w:cs="Times New Roman"/>
                <w:noProof/>
                <w:color w:val="1F497D" w:themeColor="text2"/>
                <w:sz w:val="20"/>
                <w:szCs w:val="20"/>
              </w:rPr>
              <w:t>, with the exception of those for which EASA is the competent authority</w:t>
            </w:r>
          </w:p>
        </w:tc>
        <w:tc>
          <w:tcPr>
            <w:tcW w:w="3415" w:type="dxa"/>
            <w:tcBorders>
              <w:right w:val="single" w:sz="18" w:space="0" w:color="auto"/>
            </w:tcBorders>
            <w:shd w:val="clear" w:color="auto" w:fill="D8D8D8"/>
            <w:tcMar>
              <w:top w:w="0" w:type="dxa"/>
              <w:left w:w="108" w:type="dxa"/>
              <w:bottom w:w="0" w:type="dxa"/>
              <w:right w:w="108" w:type="dxa"/>
            </w:tcMar>
            <w:hideMark/>
          </w:tcPr>
          <w:p w14:paraId="762327E0" w14:textId="77777777" w:rsidR="007220D5" w:rsidRPr="007220D5" w:rsidRDefault="00B07EB8" w:rsidP="007220D5">
            <w:pPr>
              <w:spacing w:line="276" w:lineRule="auto"/>
              <w:jc w:val="left"/>
              <w:rPr>
                <w:rFonts w:ascii="Calibri" w:eastAsia="Calibri" w:hAnsi="Calibri" w:cs="Times New Roman"/>
                <w:noProof/>
                <w:color w:val="1F497D" w:themeColor="text2"/>
                <w:sz w:val="20"/>
                <w:szCs w:val="20"/>
              </w:rPr>
            </w:pPr>
            <w:r w:rsidRPr="00DB19C6">
              <w:rPr>
                <w:rFonts w:ascii="Calibri" w:eastAsia="Calibri" w:hAnsi="Calibri" w:cs="Times New Roman"/>
                <w:noProof/>
                <w:color w:val="1F497D" w:themeColor="text2"/>
                <w:sz w:val="20"/>
                <w:szCs w:val="20"/>
              </w:rPr>
              <w:t>Certification</w:t>
            </w:r>
            <w:r>
              <w:rPr>
                <w:rFonts w:ascii="Calibri" w:eastAsia="Calibri" w:hAnsi="Calibri" w:cs="Times New Roman"/>
                <w:noProof/>
                <w:color w:val="1F497D" w:themeColor="text2"/>
                <w:sz w:val="20"/>
                <w:szCs w:val="20"/>
              </w:rPr>
              <w:t xml:space="preserve"> and oversight</w:t>
            </w:r>
            <w:r w:rsidR="007220D5" w:rsidRPr="007220D5">
              <w:rPr>
                <w:rFonts w:ascii="Calibri" w:eastAsia="Calibri" w:hAnsi="Calibri" w:cs="Times New Roman"/>
                <w:noProof/>
                <w:color w:val="1F497D" w:themeColor="text2"/>
                <w:sz w:val="20"/>
                <w:szCs w:val="20"/>
              </w:rPr>
              <w:t xml:space="preserve"> of </w:t>
            </w:r>
            <w:r>
              <w:rPr>
                <w:rFonts w:ascii="Calibri" w:eastAsia="Calibri" w:hAnsi="Calibri" w:cs="Times New Roman"/>
                <w:noProof/>
                <w:color w:val="1F497D" w:themeColor="text2"/>
                <w:sz w:val="20"/>
                <w:szCs w:val="20"/>
              </w:rPr>
              <w:t xml:space="preserve">third </w:t>
            </w:r>
            <w:r w:rsidR="007220D5" w:rsidRPr="007220D5">
              <w:rPr>
                <w:rFonts w:ascii="Calibri" w:eastAsia="Calibri" w:hAnsi="Calibri" w:cs="Times New Roman"/>
                <w:noProof/>
                <w:color w:val="1F497D" w:themeColor="text2"/>
                <w:sz w:val="20"/>
                <w:szCs w:val="20"/>
              </w:rPr>
              <w:t xml:space="preserve"> country aeromedical centres </w:t>
            </w:r>
          </w:p>
        </w:tc>
      </w:tr>
      <w:tr w:rsidR="007220D5" w:rsidRPr="007220D5" w14:paraId="550A73B2" w14:textId="77777777" w:rsidTr="00B81F39">
        <w:trPr>
          <w:trHeight w:val="618"/>
        </w:trPr>
        <w:tc>
          <w:tcPr>
            <w:tcW w:w="2245" w:type="dxa"/>
            <w:vMerge/>
            <w:tcBorders>
              <w:left w:val="single" w:sz="18" w:space="0" w:color="auto"/>
            </w:tcBorders>
            <w:vAlign w:val="center"/>
            <w:hideMark/>
          </w:tcPr>
          <w:p w14:paraId="30CD848C" w14:textId="77777777" w:rsidR="007220D5" w:rsidRPr="007220D5" w:rsidRDefault="007220D5" w:rsidP="007220D5">
            <w:pPr>
              <w:spacing w:before="0" w:after="0"/>
              <w:jc w:val="left"/>
              <w:rPr>
                <w:rFonts w:ascii="Calibri" w:eastAsia="Calibri" w:hAnsi="Calibri" w:cs="Times New Roman"/>
                <w:b/>
                <w:bCs/>
                <w:noProof/>
                <w:color w:val="FFFFFF"/>
                <w:sz w:val="20"/>
                <w:szCs w:val="20"/>
              </w:rPr>
            </w:pPr>
          </w:p>
        </w:tc>
        <w:tc>
          <w:tcPr>
            <w:tcW w:w="4191" w:type="dxa"/>
            <w:shd w:val="clear" w:color="auto" w:fill="D8D8D8"/>
            <w:tcMar>
              <w:top w:w="0" w:type="dxa"/>
              <w:left w:w="108" w:type="dxa"/>
              <w:bottom w:w="0" w:type="dxa"/>
              <w:right w:w="108" w:type="dxa"/>
            </w:tcMar>
            <w:vAlign w:val="center"/>
          </w:tcPr>
          <w:p w14:paraId="5762CBEB" w14:textId="77777777" w:rsidR="007220D5" w:rsidRPr="007220D5" w:rsidRDefault="007220D5" w:rsidP="00943CEB">
            <w:pPr>
              <w:spacing w:line="276" w:lineRule="auto"/>
              <w:jc w:val="left"/>
              <w:rPr>
                <w:rFonts w:ascii="Calibri" w:eastAsia="Calibri" w:hAnsi="Calibri" w:cs="Times New Roman"/>
                <w:noProof/>
                <w:color w:val="1F497D" w:themeColor="text2"/>
                <w:sz w:val="20"/>
                <w:szCs w:val="20"/>
              </w:rPr>
            </w:pPr>
            <w:r w:rsidRPr="007220D5">
              <w:rPr>
                <w:rFonts w:ascii="Calibri" w:eastAsia="Calibri" w:hAnsi="Calibri" w:cs="Times New Roman"/>
                <w:noProof/>
                <w:color w:val="1F497D" w:themeColor="text2"/>
                <w:sz w:val="20"/>
                <w:szCs w:val="20"/>
              </w:rPr>
              <w:t>Certification of FSTDs</w:t>
            </w:r>
            <w:r w:rsidR="00202452">
              <w:rPr>
                <w:rFonts w:ascii="Calibri" w:eastAsia="Calibri" w:hAnsi="Calibri" w:cs="Times New Roman"/>
                <w:noProof/>
                <w:color w:val="1F497D" w:themeColor="text2"/>
                <w:sz w:val="20"/>
                <w:szCs w:val="20"/>
              </w:rPr>
              <w:t>,</w:t>
            </w:r>
            <w:r w:rsidR="00B07EB8">
              <w:rPr>
                <w:rFonts w:ascii="Calibri" w:eastAsia="Calibri" w:hAnsi="Calibri" w:cs="Times New Roman"/>
                <w:noProof/>
                <w:color w:val="1F497D" w:themeColor="text2"/>
                <w:sz w:val="20"/>
                <w:szCs w:val="20"/>
              </w:rPr>
              <w:t xml:space="preserve"> with the exception of those for which EASA is the competent authority</w:t>
            </w:r>
            <w:r w:rsidRPr="007220D5">
              <w:rPr>
                <w:rFonts w:ascii="Calibri" w:eastAsia="Calibri" w:hAnsi="Calibri" w:cs="Times New Roman"/>
                <w:noProof/>
                <w:color w:val="1F497D" w:themeColor="text2"/>
                <w:sz w:val="20"/>
                <w:szCs w:val="20"/>
              </w:rPr>
              <w:t xml:space="preserve"> </w:t>
            </w:r>
          </w:p>
        </w:tc>
        <w:tc>
          <w:tcPr>
            <w:tcW w:w="3415" w:type="dxa"/>
            <w:tcBorders>
              <w:right w:val="single" w:sz="18" w:space="0" w:color="auto"/>
            </w:tcBorders>
            <w:shd w:val="clear" w:color="auto" w:fill="FFFFFF" w:themeFill="background1"/>
            <w:tcMar>
              <w:top w:w="0" w:type="dxa"/>
              <w:left w:w="108" w:type="dxa"/>
              <w:bottom w:w="0" w:type="dxa"/>
              <w:right w:w="108" w:type="dxa"/>
            </w:tcMar>
            <w:hideMark/>
          </w:tcPr>
          <w:p w14:paraId="0435E724" w14:textId="77777777" w:rsidR="007220D5" w:rsidRPr="007220D5" w:rsidRDefault="007220D5" w:rsidP="007220D5">
            <w:pPr>
              <w:spacing w:after="0" w:line="276" w:lineRule="auto"/>
              <w:jc w:val="left"/>
              <w:rPr>
                <w:rFonts w:ascii="Calibri" w:eastAsia="Calibri" w:hAnsi="Calibri" w:cs="Times New Roman"/>
                <w:noProof/>
                <w:color w:val="1F497D" w:themeColor="text2"/>
                <w:sz w:val="20"/>
                <w:szCs w:val="20"/>
              </w:rPr>
            </w:pPr>
            <w:r w:rsidRPr="007220D5">
              <w:rPr>
                <w:rFonts w:ascii="Calibri" w:eastAsia="Calibri" w:hAnsi="Calibri" w:cs="Times New Roman"/>
                <w:noProof/>
                <w:color w:val="1F497D" w:themeColor="text2"/>
                <w:sz w:val="20"/>
                <w:szCs w:val="20"/>
              </w:rPr>
              <w:t>Certification of FSTDs:</w:t>
            </w:r>
          </w:p>
          <w:p w14:paraId="22F111B8" w14:textId="77777777" w:rsidR="007220D5" w:rsidRPr="007220D5" w:rsidRDefault="007220D5" w:rsidP="007220D5">
            <w:pPr>
              <w:spacing w:line="276" w:lineRule="auto"/>
              <w:ind w:left="205" w:hanging="205"/>
              <w:contextualSpacing/>
              <w:jc w:val="left"/>
              <w:rPr>
                <w:rFonts w:ascii="Calibri" w:eastAsia="Calibri" w:hAnsi="Calibri" w:cs="Times New Roman"/>
                <w:noProof/>
                <w:color w:val="1F497D" w:themeColor="text2"/>
                <w:sz w:val="20"/>
                <w:szCs w:val="20"/>
              </w:rPr>
            </w:pPr>
            <w:r w:rsidRPr="007220D5">
              <w:rPr>
                <w:rFonts w:ascii="Calibri" w:eastAsia="Calibri" w:hAnsi="Calibri" w:cs="Times New Roman"/>
                <w:noProof/>
                <w:color w:val="1F497D" w:themeColor="text2"/>
                <w:sz w:val="20"/>
                <w:szCs w:val="20"/>
              </w:rPr>
              <w:t>-   used by training organisations certified by EASA</w:t>
            </w:r>
          </w:p>
          <w:p w14:paraId="154177D1" w14:textId="77777777" w:rsidR="007220D5" w:rsidRPr="007220D5" w:rsidRDefault="007220D5" w:rsidP="007220D5">
            <w:pPr>
              <w:spacing w:line="276" w:lineRule="auto"/>
              <w:ind w:left="205" w:hanging="205"/>
              <w:contextualSpacing/>
              <w:jc w:val="left"/>
              <w:rPr>
                <w:rFonts w:ascii="Calibri" w:eastAsia="Calibri" w:hAnsi="Calibri" w:cs="Times New Roman"/>
                <w:noProof/>
                <w:color w:val="1F497D" w:themeColor="text2"/>
                <w:sz w:val="20"/>
                <w:szCs w:val="20"/>
              </w:rPr>
            </w:pPr>
            <w:r w:rsidRPr="007220D5">
              <w:rPr>
                <w:rFonts w:ascii="Calibri" w:eastAsia="Calibri" w:hAnsi="Calibri" w:cs="Times New Roman"/>
                <w:noProof/>
                <w:color w:val="1F497D" w:themeColor="text2"/>
                <w:sz w:val="20"/>
                <w:szCs w:val="20"/>
              </w:rPr>
              <w:t xml:space="preserve">-   located in a </w:t>
            </w:r>
            <w:r w:rsidR="00B07EB8">
              <w:rPr>
                <w:rFonts w:ascii="Calibri" w:eastAsia="Calibri" w:hAnsi="Calibri" w:cs="Times New Roman"/>
                <w:noProof/>
                <w:color w:val="1F497D" w:themeColor="text2"/>
                <w:sz w:val="20"/>
                <w:szCs w:val="20"/>
              </w:rPr>
              <w:t xml:space="preserve">third </w:t>
            </w:r>
            <w:r w:rsidRPr="007220D5">
              <w:rPr>
                <w:rFonts w:ascii="Calibri" w:eastAsia="Calibri" w:hAnsi="Calibri" w:cs="Times New Roman"/>
                <w:noProof/>
                <w:color w:val="1F497D" w:themeColor="text2"/>
                <w:sz w:val="20"/>
                <w:szCs w:val="20"/>
              </w:rPr>
              <w:t xml:space="preserve"> country </w:t>
            </w:r>
          </w:p>
          <w:p w14:paraId="0B9E5AB4" w14:textId="77777777" w:rsidR="007220D5" w:rsidRPr="007220D5" w:rsidRDefault="007220D5" w:rsidP="007220D5">
            <w:pPr>
              <w:spacing w:before="0" w:line="276" w:lineRule="auto"/>
              <w:ind w:left="205" w:hanging="205"/>
              <w:jc w:val="left"/>
              <w:rPr>
                <w:rFonts w:ascii="Calibri" w:eastAsia="Calibri" w:hAnsi="Calibri" w:cs="Times New Roman"/>
                <w:noProof/>
                <w:color w:val="1F497D" w:themeColor="text2"/>
                <w:sz w:val="20"/>
                <w:szCs w:val="20"/>
              </w:rPr>
            </w:pPr>
            <w:r w:rsidRPr="007220D5">
              <w:rPr>
                <w:rFonts w:ascii="Calibri" w:eastAsia="Calibri" w:hAnsi="Calibri" w:cs="Times New Roman"/>
                <w:noProof/>
                <w:color w:val="1F497D" w:themeColor="text2"/>
                <w:sz w:val="20"/>
                <w:szCs w:val="20"/>
              </w:rPr>
              <w:t xml:space="preserve">-   located in a Member </w:t>
            </w:r>
            <w:r w:rsidR="00A46B04">
              <w:rPr>
                <w:rFonts w:ascii="Calibri" w:eastAsia="Calibri" w:hAnsi="Calibri" w:cs="Times New Roman"/>
                <w:noProof/>
                <w:color w:val="1F497D" w:themeColor="text2"/>
                <w:sz w:val="20"/>
                <w:szCs w:val="20"/>
              </w:rPr>
              <w:t>State</w:t>
            </w:r>
            <w:r w:rsidRPr="007220D5">
              <w:rPr>
                <w:rFonts w:ascii="Calibri" w:eastAsia="Calibri" w:hAnsi="Calibri" w:cs="Times New Roman"/>
                <w:noProof/>
                <w:color w:val="1F497D" w:themeColor="text2"/>
                <w:sz w:val="20"/>
                <w:szCs w:val="20"/>
              </w:rPr>
              <w:t xml:space="preserve"> on Member </w:t>
            </w:r>
            <w:r w:rsidR="00A46B04">
              <w:rPr>
                <w:rFonts w:ascii="Calibri" w:eastAsia="Calibri" w:hAnsi="Calibri" w:cs="Times New Roman"/>
                <w:noProof/>
                <w:color w:val="1F497D" w:themeColor="text2"/>
                <w:sz w:val="20"/>
                <w:szCs w:val="20"/>
              </w:rPr>
              <w:t>State</w:t>
            </w:r>
            <w:r w:rsidRPr="007220D5">
              <w:rPr>
                <w:rFonts w:ascii="Calibri" w:eastAsia="Calibri" w:hAnsi="Calibri" w:cs="Times New Roman"/>
                <w:noProof/>
                <w:color w:val="1F497D" w:themeColor="text2"/>
                <w:sz w:val="20"/>
                <w:szCs w:val="20"/>
              </w:rPr>
              <w:t xml:space="preserve"> request</w:t>
            </w:r>
          </w:p>
        </w:tc>
      </w:tr>
      <w:tr w:rsidR="007220D5" w:rsidRPr="007220D5" w14:paraId="0760F486" w14:textId="77777777" w:rsidTr="00222F1A">
        <w:trPr>
          <w:trHeight w:val="1134"/>
        </w:trPr>
        <w:tc>
          <w:tcPr>
            <w:tcW w:w="2245" w:type="dxa"/>
            <w:vMerge/>
            <w:tcBorders>
              <w:left w:val="single" w:sz="18" w:space="0" w:color="auto"/>
              <w:bottom w:val="single" w:sz="18" w:space="0" w:color="auto"/>
            </w:tcBorders>
            <w:vAlign w:val="center"/>
            <w:hideMark/>
          </w:tcPr>
          <w:p w14:paraId="0D05585F" w14:textId="77777777" w:rsidR="007220D5" w:rsidRPr="007220D5" w:rsidRDefault="007220D5" w:rsidP="007220D5">
            <w:pPr>
              <w:spacing w:before="0" w:after="0"/>
              <w:jc w:val="left"/>
              <w:rPr>
                <w:rFonts w:ascii="Calibri" w:eastAsia="Calibri" w:hAnsi="Calibri" w:cs="Times New Roman"/>
                <w:b/>
                <w:bCs/>
                <w:noProof/>
                <w:color w:val="FFFFFF"/>
                <w:sz w:val="20"/>
                <w:szCs w:val="20"/>
              </w:rPr>
            </w:pPr>
          </w:p>
        </w:tc>
        <w:tc>
          <w:tcPr>
            <w:tcW w:w="4191" w:type="dxa"/>
            <w:tcBorders>
              <w:bottom w:val="single" w:sz="18" w:space="0" w:color="auto"/>
            </w:tcBorders>
            <w:tcMar>
              <w:top w:w="0" w:type="dxa"/>
              <w:left w:w="108" w:type="dxa"/>
              <w:bottom w:w="0" w:type="dxa"/>
              <w:right w:w="108" w:type="dxa"/>
            </w:tcMar>
            <w:hideMark/>
          </w:tcPr>
          <w:p w14:paraId="211BECC9" w14:textId="77777777" w:rsidR="00102DB7" w:rsidRPr="007220D5" w:rsidRDefault="007220D5" w:rsidP="007220D5">
            <w:pPr>
              <w:spacing w:line="276" w:lineRule="auto"/>
              <w:jc w:val="left"/>
              <w:rPr>
                <w:rFonts w:ascii="Calibri" w:eastAsia="Calibri" w:hAnsi="Calibri" w:cs="Times New Roman"/>
                <w:noProof/>
                <w:color w:val="1F497D" w:themeColor="text2"/>
                <w:sz w:val="20"/>
                <w:szCs w:val="20"/>
              </w:rPr>
            </w:pPr>
            <w:r w:rsidRPr="007220D5">
              <w:rPr>
                <w:rFonts w:ascii="Calibri" w:eastAsia="Calibri" w:hAnsi="Calibri" w:cs="Times New Roman"/>
                <w:noProof/>
                <w:color w:val="1F497D" w:themeColor="text2"/>
                <w:sz w:val="20"/>
                <w:szCs w:val="20"/>
              </w:rPr>
              <w:t>Certification of instructors and examiners and of aero-medical examiners</w:t>
            </w:r>
          </w:p>
        </w:tc>
        <w:tc>
          <w:tcPr>
            <w:tcW w:w="3415" w:type="dxa"/>
            <w:tcBorders>
              <w:bottom w:val="single" w:sz="18" w:space="0" w:color="auto"/>
              <w:right w:val="single" w:sz="18" w:space="0" w:color="auto"/>
            </w:tcBorders>
            <w:shd w:val="clear" w:color="auto" w:fill="D8D8D8"/>
            <w:tcMar>
              <w:top w:w="0" w:type="dxa"/>
              <w:left w:w="108" w:type="dxa"/>
              <w:bottom w:w="0" w:type="dxa"/>
              <w:right w:w="108" w:type="dxa"/>
            </w:tcMar>
          </w:tcPr>
          <w:p w14:paraId="47579E4E" w14:textId="77777777" w:rsidR="007220D5" w:rsidRPr="007220D5" w:rsidRDefault="002C5C5E" w:rsidP="007220D5">
            <w:pPr>
              <w:spacing w:line="276" w:lineRule="auto"/>
              <w:jc w:val="left"/>
              <w:rPr>
                <w:rFonts w:ascii="Calibri" w:eastAsia="Calibri" w:hAnsi="Calibri" w:cs="Times New Roman"/>
                <w:noProof/>
                <w:color w:val="1F497D" w:themeColor="text2"/>
                <w:sz w:val="20"/>
                <w:szCs w:val="20"/>
              </w:rPr>
            </w:pPr>
            <w:r>
              <w:rPr>
                <w:rFonts w:ascii="Calibri" w:eastAsia="Calibri" w:hAnsi="Calibri" w:cs="Times New Roman"/>
                <w:noProof/>
                <w:color w:val="1F497D" w:themeColor="text2"/>
                <w:sz w:val="20"/>
                <w:szCs w:val="20"/>
              </w:rPr>
              <w:t>n/a</w:t>
            </w:r>
          </w:p>
        </w:tc>
      </w:tr>
      <w:bookmarkEnd w:id="83"/>
      <w:bookmarkEnd w:id="84"/>
      <w:tr w:rsidR="00222F1A" w:rsidRPr="007220D5" w14:paraId="2D83959A" w14:textId="77777777" w:rsidTr="00222F1A">
        <w:trPr>
          <w:trHeight w:val="700"/>
        </w:trPr>
        <w:tc>
          <w:tcPr>
            <w:tcW w:w="2245" w:type="dxa"/>
            <w:vMerge w:val="restart"/>
            <w:tcBorders>
              <w:top w:val="single" w:sz="18" w:space="0" w:color="auto"/>
              <w:left w:val="single" w:sz="18" w:space="0" w:color="auto"/>
            </w:tcBorders>
            <w:shd w:val="clear" w:color="auto" w:fill="4F81BD"/>
            <w:tcMar>
              <w:top w:w="0" w:type="dxa"/>
              <w:left w:w="108" w:type="dxa"/>
              <w:bottom w:w="0" w:type="dxa"/>
              <w:right w:w="108" w:type="dxa"/>
            </w:tcMar>
          </w:tcPr>
          <w:p w14:paraId="2D917885" w14:textId="77777777" w:rsidR="00222F1A" w:rsidRPr="007220D5" w:rsidRDefault="00222F1A" w:rsidP="00764498">
            <w:pPr>
              <w:spacing w:line="276" w:lineRule="auto"/>
              <w:jc w:val="left"/>
              <w:rPr>
                <w:rFonts w:ascii="Calibri" w:eastAsia="Calibri" w:hAnsi="Calibri" w:cs="Times New Roman"/>
                <w:b/>
                <w:bCs/>
                <w:noProof/>
                <w:color w:val="FFFFFF"/>
                <w:sz w:val="20"/>
                <w:szCs w:val="20"/>
              </w:rPr>
            </w:pPr>
            <w:r w:rsidRPr="007220D5">
              <w:rPr>
                <w:rFonts w:ascii="Calibri" w:eastAsia="Calibri" w:hAnsi="Calibri" w:cs="Times New Roman"/>
                <w:b/>
                <w:bCs/>
                <w:noProof/>
                <w:color w:val="FFFFFF"/>
                <w:sz w:val="20"/>
                <w:szCs w:val="20"/>
              </w:rPr>
              <w:t>ATM/ANS</w:t>
            </w:r>
          </w:p>
          <w:p w14:paraId="40C956DD" w14:textId="77777777" w:rsidR="00222F1A" w:rsidRPr="007220D5" w:rsidRDefault="00222F1A" w:rsidP="00764498">
            <w:pPr>
              <w:spacing w:line="276" w:lineRule="auto"/>
              <w:jc w:val="left"/>
              <w:rPr>
                <w:rFonts w:ascii="Calibri" w:eastAsia="Calibri" w:hAnsi="Calibri" w:cs="Times New Roman"/>
                <w:b/>
                <w:bCs/>
                <w:noProof/>
                <w:color w:val="FFFFFF"/>
                <w:sz w:val="20"/>
                <w:szCs w:val="20"/>
              </w:rPr>
            </w:pPr>
          </w:p>
        </w:tc>
        <w:tc>
          <w:tcPr>
            <w:tcW w:w="4191" w:type="dxa"/>
            <w:tcBorders>
              <w:top w:val="single" w:sz="18" w:space="0" w:color="auto"/>
            </w:tcBorders>
            <w:shd w:val="clear" w:color="auto" w:fill="D8D8D8"/>
            <w:tcMar>
              <w:top w:w="0" w:type="dxa"/>
              <w:left w:w="108" w:type="dxa"/>
              <w:bottom w:w="0" w:type="dxa"/>
              <w:right w:w="108" w:type="dxa"/>
            </w:tcMar>
            <w:hideMark/>
          </w:tcPr>
          <w:p w14:paraId="0716403E" w14:textId="77777777" w:rsidR="00222F1A" w:rsidRPr="007220D5" w:rsidRDefault="00222F1A" w:rsidP="00764498">
            <w:pPr>
              <w:spacing w:line="276" w:lineRule="auto"/>
              <w:jc w:val="left"/>
              <w:rPr>
                <w:rFonts w:ascii="Calibri" w:eastAsia="Calibri" w:hAnsi="Calibri" w:cs="Times New Roman"/>
                <w:noProof/>
                <w:color w:val="1F497D" w:themeColor="text2"/>
                <w:sz w:val="20"/>
                <w:szCs w:val="20"/>
              </w:rPr>
            </w:pPr>
            <w:r w:rsidRPr="00DB19C6">
              <w:rPr>
                <w:rFonts w:ascii="Calibri" w:eastAsia="Calibri" w:hAnsi="Calibri" w:cs="Times New Roman"/>
                <w:noProof/>
                <w:color w:val="1F497D" w:themeColor="text2"/>
                <w:sz w:val="20"/>
                <w:szCs w:val="20"/>
              </w:rPr>
              <w:t>Certification</w:t>
            </w:r>
            <w:r>
              <w:rPr>
                <w:rFonts w:ascii="Calibri" w:eastAsia="Calibri" w:hAnsi="Calibri" w:cs="Times New Roman"/>
                <w:noProof/>
                <w:color w:val="1F497D" w:themeColor="text2"/>
                <w:sz w:val="20"/>
                <w:szCs w:val="20"/>
              </w:rPr>
              <w:t xml:space="preserve"> and oversight </w:t>
            </w:r>
            <w:r w:rsidRPr="00DB19C6">
              <w:rPr>
                <w:rFonts w:ascii="Calibri" w:eastAsia="Calibri" w:hAnsi="Calibri" w:cs="Times New Roman"/>
                <w:noProof/>
                <w:color w:val="1F497D" w:themeColor="text2"/>
                <w:sz w:val="20"/>
                <w:szCs w:val="20"/>
              </w:rPr>
              <w:t>of ATM/ANS providers</w:t>
            </w:r>
            <w:r>
              <w:rPr>
                <w:rFonts w:ascii="Calibri" w:eastAsia="Calibri" w:hAnsi="Calibri" w:cs="Times New Roman"/>
                <w:noProof/>
                <w:color w:val="1F497D" w:themeColor="text2"/>
                <w:sz w:val="20"/>
                <w:szCs w:val="20"/>
              </w:rPr>
              <w:t>, with the exception of those for which EASA is the competent authority</w:t>
            </w:r>
          </w:p>
        </w:tc>
        <w:tc>
          <w:tcPr>
            <w:tcW w:w="3415" w:type="dxa"/>
            <w:tcBorders>
              <w:top w:val="single" w:sz="18" w:space="0" w:color="auto"/>
              <w:right w:val="single" w:sz="18" w:space="0" w:color="auto"/>
            </w:tcBorders>
            <w:shd w:val="clear" w:color="auto" w:fill="FFFFFF" w:themeFill="background1"/>
            <w:tcMar>
              <w:top w:w="0" w:type="dxa"/>
              <w:left w:w="108" w:type="dxa"/>
              <w:bottom w:w="0" w:type="dxa"/>
              <w:right w:w="108" w:type="dxa"/>
            </w:tcMar>
            <w:hideMark/>
          </w:tcPr>
          <w:p w14:paraId="7BAB49D6" w14:textId="77777777" w:rsidR="00222F1A" w:rsidRPr="00DB19C6" w:rsidRDefault="00222F1A" w:rsidP="00764498">
            <w:pPr>
              <w:spacing w:line="276" w:lineRule="auto"/>
              <w:rPr>
                <w:rFonts w:ascii="Calibri" w:eastAsia="Calibri" w:hAnsi="Calibri" w:cs="Times New Roman"/>
                <w:noProof/>
                <w:color w:val="1F497D" w:themeColor="text2"/>
                <w:sz w:val="20"/>
                <w:szCs w:val="20"/>
              </w:rPr>
            </w:pPr>
            <w:r w:rsidRPr="00DB19C6">
              <w:rPr>
                <w:rFonts w:ascii="Calibri" w:eastAsia="Calibri" w:hAnsi="Calibri" w:cs="Times New Roman"/>
                <w:noProof/>
                <w:color w:val="1F497D" w:themeColor="text2"/>
                <w:sz w:val="20"/>
                <w:szCs w:val="20"/>
              </w:rPr>
              <w:t>Certification</w:t>
            </w:r>
            <w:r>
              <w:rPr>
                <w:rFonts w:ascii="Calibri" w:eastAsia="Calibri" w:hAnsi="Calibri" w:cs="Times New Roman"/>
                <w:noProof/>
                <w:color w:val="1F497D" w:themeColor="text2"/>
                <w:sz w:val="20"/>
                <w:szCs w:val="20"/>
              </w:rPr>
              <w:t xml:space="preserve"> and oversight </w:t>
            </w:r>
            <w:r w:rsidRPr="00DB19C6">
              <w:rPr>
                <w:rFonts w:ascii="Calibri" w:eastAsia="Calibri" w:hAnsi="Calibri" w:cs="Times New Roman"/>
                <w:noProof/>
                <w:color w:val="1F497D" w:themeColor="text2"/>
                <w:sz w:val="20"/>
                <w:szCs w:val="20"/>
              </w:rPr>
              <w:t xml:space="preserve">of </w:t>
            </w:r>
            <w:r>
              <w:rPr>
                <w:rFonts w:ascii="Calibri" w:eastAsia="Calibri" w:hAnsi="Calibri" w:cs="Times New Roman"/>
                <w:noProof/>
                <w:color w:val="1F497D" w:themeColor="text2"/>
                <w:sz w:val="20"/>
                <w:szCs w:val="20"/>
              </w:rPr>
              <w:t>third</w:t>
            </w:r>
            <w:r w:rsidRPr="00DB19C6">
              <w:rPr>
                <w:rFonts w:ascii="Calibri" w:eastAsia="Calibri" w:hAnsi="Calibri" w:cs="Times New Roman"/>
                <w:noProof/>
                <w:color w:val="1F497D" w:themeColor="text2"/>
                <w:sz w:val="20"/>
                <w:szCs w:val="20"/>
              </w:rPr>
              <w:t xml:space="preserve"> country ATM/ANS providers</w:t>
            </w:r>
            <w:r>
              <w:rPr>
                <w:rFonts w:ascii="Calibri" w:eastAsia="Calibri" w:hAnsi="Calibri" w:cs="Times New Roman"/>
                <w:noProof/>
                <w:color w:val="1F497D" w:themeColor="text2"/>
                <w:sz w:val="20"/>
                <w:szCs w:val="20"/>
              </w:rPr>
              <w:t>.</w:t>
            </w:r>
            <w:r w:rsidRPr="00DB19C6">
              <w:rPr>
                <w:rFonts w:ascii="Calibri" w:eastAsia="Calibri" w:hAnsi="Calibri" w:cs="Times New Roman"/>
                <w:noProof/>
                <w:color w:val="1F497D" w:themeColor="text2"/>
                <w:sz w:val="20"/>
                <w:szCs w:val="20"/>
              </w:rPr>
              <w:t xml:space="preserve"> </w:t>
            </w:r>
          </w:p>
          <w:p w14:paraId="753C833C" w14:textId="6A35A0CE" w:rsidR="00222F1A" w:rsidRPr="007220D5" w:rsidRDefault="00222F1A" w:rsidP="009851D5">
            <w:pPr>
              <w:spacing w:line="276" w:lineRule="auto"/>
              <w:rPr>
                <w:rFonts w:ascii="Calibri" w:eastAsia="Calibri" w:hAnsi="Calibri" w:cs="Times New Roman"/>
                <w:noProof/>
                <w:color w:val="1F497D" w:themeColor="text2"/>
                <w:sz w:val="20"/>
                <w:szCs w:val="20"/>
              </w:rPr>
            </w:pPr>
            <w:r w:rsidRPr="00DB19C6">
              <w:rPr>
                <w:rFonts w:ascii="Calibri" w:eastAsia="Calibri" w:hAnsi="Calibri" w:cs="Times New Roman"/>
                <w:noProof/>
                <w:color w:val="1F497D" w:themeColor="text2"/>
                <w:sz w:val="20"/>
                <w:szCs w:val="20"/>
              </w:rPr>
              <w:t>Certification</w:t>
            </w:r>
            <w:r>
              <w:rPr>
                <w:rFonts w:ascii="Calibri" w:eastAsia="Calibri" w:hAnsi="Calibri" w:cs="Times New Roman"/>
                <w:noProof/>
                <w:color w:val="1F497D" w:themeColor="text2"/>
                <w:sz w:val="20"/>
                <w:szCs w:val="20"/>
              </w:rPr>
              <w:t xml:space="preserve"> and oversight </w:t>
            </w:r>
            <w:r w:rsidRPr="00DB19C6">
              <w:rPr>
                <w:rFonts w:ascii="Calibri" w:eastAsia="Calibri" w:hAnsi="Calibri" w:cs="Times New Roman"/>
                <w:noProof/>
                <w:color w:val="1F497D" w:themeColor="text2"/>
                <w:sz w:val="20"/>
                <w:szCs w:val="20"/>
              </w:rPr>
              <w:t>of pan-European ATM/ANS providers</w:t>
            </w:r>
            <w:r>
              <w:rPr>
                <w:rFonts w:ascii="Calibri" w:eastAsia="Calibri" w:hAnsi="Calibri" w:cs="Times New Roman"/>
                <w:noProof/>
                <w:color w:val="1F497D" w:themeColor="text2"/>
                <w:sz w:val="20"/>
                <w:szCs w:val="20"/>
              </w:rPr>
              <w:t>, including the Network Manager and providers of DAT services</w:t>
            </w:r>
          </w:p>
        </w:tc>
      </w:tr>
      <w:tr w:rsidR="00222F1A" w:rsidRPr="007220D5" w14:paraId="1206FEDB" w14:textId="77777777" w:rsidTr="00222F1A">
        <w:trPr>
          <w:trHeight w:val="700"/>
        </w:trPr>
        <w:tc>
          <w:tcPr>
            <w:tcW w:w="2245" w:type="dxa"/>
            <w:vMerge/>
            <w:tcBorders>
              <w:left w:val="single" w:sz="18" w:space="0" w:color="auto"/>
            </w:tcBorders>
            <w:shd w:val="clear" w:color="auto" w:fill="4F81BD"/>
            <w:tcMar>
              <w:top w:w="0" w:type="dxa"/>
              <w:left w:w="108" w:type="dxa"/>
              <w:bottom w:w="0" w:type="dxa"/>
              <w:right w:w="108" w:type="dxa"/>
            </w:tcMar>
          </w:tcPr>
          <w:p w14:paraId="2C0EF1B7" w14:textId="77777777" w:rsidR="00222F1A" w:rsidRPr="007220D5" w:rsidRDefault="00222F1A" w:rsidP="007220D5">
            <w:pPr>
              <w:spacing w:line="276" w:lineRule="auto"/>
              <w:jc w:val="left"/>
              <w:rPr>
                <w:rFonts w:ascii="Calibri" w:eastAsia="Calibri" w:hAnsi="Calibri" w:cs="Times New Roman"/>
                <w:b/>
                <w:bCs/>
                <w:noProof/>
                <w:color w:val="FFFFFF"/>
                <w:sz w:val="20"/>
                <w:szCs w:val="20"/>
              </w:rPr>
            </w:pPr>
          </w:p>
        </w:tc>
        <w:tc>
          <w:tcPr>
            <w:tcW w:w="4191" w:type="dxa"/>
            <w:shd w:val="clear" w:color="auto" w:fill="FFFFFF" w:themeFill="background1"/>
            <w:tcMar>
              <w:top w:w="0" w:type="dxa"/>
              <w:left w:w="108" w:type="dxa"/>
              <w:bottom w:w="0" w:type="dxa"/>
              <w:right w:w="108" w:type="dxa"/>
            </w:tcMar>
            <w:vAlign w:val="center"/>
          </w:tcPr>
          <w:p w14:paraId="545BB8DE" w14:textId="77777777" w:rsidR="00222F1A" w:rsidRDefault="00222F1A" w:rsidP="00943CEB">
            <w:pPr>
              <w:spacing w:line="276" w:lineRule="auto"/>
              <w:jc w:val="left"/>
              <w:rPr>
                <w:rFonts w:ascii="Calibri" w:eastAsia="Calibri" w:hAnsi="Calibri" w:cs="Times New Roman"/>
                <w:noProof/>
                <w:color w:val="1F497D" w:themeColor="text2"/>
                <w:sz w:val="20"/>
                <w:szCs w:val="20"/>
              </w:rPr>
            </w:pPr>
            <w:r>
              <w:rPr>
                <w:rFonts w:ascii="Calibri" w:eastAsia="Calibri" w:hAnsi="Calibri" w:cs="Times New Roman"/>
                <w:noProof/>
                <w:color w:val="1F497D" w:themeColor="text2"/>
                <w:sz w:val="20"/>
                <w:szCs w:val="20"/>
              </w:rPr>
              <w:t>n/a</w:t>
            </w:r>
          </w:p>
        </w:tc>
        <w:tc>
          <w:tcPr>
            <w:tcW w:w="3415" w:type="dxa"/>
            <w:tcBorders>
              <w:right w:val="single" w:sz="18" w:space="0" w:color="auto"/>
            </w:tcBorders>
            <w:shd w:val="clear" w:color="auto" w:fill="D9D9D9" w:themeFill="background1" w:themeFillShade="D9"/>
            <w:tcMar>
              <w:top w:w="0" w:type="dxa"/>
              <w:left w:w="108" w:type="dxa"/>
              <w:bottom w:w="0" w:type="dxa"/>
              <w:right w:w="108" w:type="dxa"/>
            </w:tcMar>
            <w:vAlign w:val="center"/>
          </w:tcPr>
          <w:p w14:paraId="5DD0101D" w14:textId="2666FAB2" w:rsidR="00222F1A" w:rsidRDefault="00222F1A" w:rsidP="00943CEB">
            <w:pPr>
              <w:spacing w:line="276" w:lineRule="auto"/>
              <w:jc w:val="left"/>
              <w:rPr>
                <w:rFonts w:ascii="Calibri" w:eastAsia="Calibri" w:hAnsi="Calibri" w:cs="Times New Roman"/>
                <w:noProof/>
                <w:color w:val="1F497D" w:themeColor="text2"/>
                <w:sz w:val="20"/>
                <w:szCs w:val="20"/>
              </w:rPr>
            </w:pPr>
            <w:r>
              <w:rPr>
                <w:rFonts w:ascii="Calibri" w:eastAsia="Calibri" w:hAnsi="Calibri" w:cs="Times New Roman"/>
                <w:noProof/>
                <w:color w:val="1F497D" w:themeColor="text2"/>
                <w:sz w:val="20"/>
                <w:szCs w:val="20"/>
              </w:rPr>
              <w:t>Certification and oversight with respect to the certificates for, and the declarations made in respect of certain safety-related ATM/ANS equipment</w:t>
            </w:r>
          </w:p>
        </w:tc>
      </w:tr>
      <w:tr w:rsidR="00222F1A" w:rsidRPr="007220D5" w14:paraId="6E7A54BA" w14:textId="77777777" w:rsidTr="00222F1A">
        <w:trPr>
          <w:trHeight w:val="700"/>
        </w:trPr>
        <w:tc>
          <w:tcPr>
            <w:tcW w:w="2245" w:type="dxa"/>
            <w:vMerge/>
            <w:tcBorders>
              <w:left w:val="single" w:sz="18" w:space="0" w:color="auto"/>
            </w:tcBorders>
            <w:shd w:val="clear" w:color="auto" w:fill="4F81BD"/>
            <w:tcMar>
              <w:top w:w="0" w:type="dxa"/>
              <w:left w:w="108" w:type="dxa"/>
              <w:bottom w:w="0" w:type="dxa"/>
              <w:right w:w="108" w:type="dxa"/>
            </w:tcMar>
          </w:tcPr>
          <w:p w14:paraId="316BD4A0" w14:textId="77777777" w:rsidR="00222F1A" w:rsidRPr="007220D5" w:rsidRDefault="00222F1A" w:rsidP="007220D5">
            <w:pPr>
              <w:spacing w:line="276" w:lineRule="auto"/>
              <w:jc w:val="left"/>
              <w:rPr>
                <w:rFonts w:ascii="Calibri" w:eastAsia="Calibri" w:hAnsi="Calibri" w:cs="Times New Roman"/>
                <w:b/>
                <w:bCs/>
                <w:noProof/>
                <w:color w:val="FFFFFF"/>
                <w:sz w:val="20"/>
                <w:szCs w:val="20"/>
              </w:rPr>
            </w:pPr>
          </w:p>
        </w:tc>
        <w:tc>
          <w:tcPr>
            <w:tcW w:w="4191" w:type="dxa"/>
            <w:shd w:val="clear" w:color="auto" w:fill="D8D8D8"/>
            <w:tcMar>
              <w:top w:w="0" w:type="dxa"/>
              <w:left w:w="108" w:type="dxa"/>
              <w:bottom w:w="0" w:type="dxa"/>
              <w:right w:w="108" w:type="dxa"/>
            </w:tcMar>
          </w:tcPr>
          <w:p w14:paraId="10C8D964" w14:textId="77777777" w:rsidR="00222F1A" w:rsidRPr="007220D5" w:rsidRDefault="00222F1A" w:rsidP="00943CEB">
            <w:pPr>
              <w:spacing w:line="276" w:lineRule="auto"/>
              <w:jc w:val="left"/>
              <w:rPr>
                <w:rFonts w:ascii="Calibri" w:eastAsia="Calibri" w:hAnsi="Calibri" w:cs="Times New Roman"/>
                <w:noProof/>
                <w:color w:val="1F497D" w:themeColor="text2"/>
                <w:sz w:val="20"/>
                <w:szCs w:val="20"/>
              </w:rPr>
            </w:pPr>
            <w:r w:rsidRPr="00EF1243">
              <w:rPr>
                <w:rFonts w:ascii="Calibri" w:eastAsia="Calibri" w:hAnsi="Calibri" w:cs="Times New Roman"/>
                <w:noProof/>
                <w:color w:val="1F497D" w:themeColor="text2"/>
                <w:sz w:val="20"/>
                <w:szCs w:val="20"/>
              </w:rPr>
              <w:t>Licensing and medical certification of air traffic controllers</w:t>
            </w:r>
            <w:r w:rsidRPr="009851D5">
              <w:rPr>
                <w:rFonts w:ascii="Calibri" w:eastAsia="Calibri" w:hAnsi="Calibri" w:cs="Times New Roman"/>
                <w:noProof/>
                <w:color w:val="1F497D" w:themeColor="text2"/>
                <w:sz w:val="20"/>
                <w:szCs w:val="20"/>
              </w:rPr>
              <w:t xml:space="preserve"> (including instructors and assessors)</w:t>
            </w:r>
          </w:p>
        </w:tc>
        <w:tc>
          <w:tcPr>
            <w:tcW w:w="3415" w:type="dxa"/>
            <w:tcBorders>
              <w:right w:val="single" w:sz="18" w:space="0" w:color="auto"/>
            </w:tcBorders>
            <w:shd w:val="clear" w:color="auto" w:fill="FFFFFF" w:themeFill="background1"/>
            <w:tcMar>
              <w:top w:w="0" w:type="dxa"/>
              <w:left w:w="108" w:type="dxa"/>
              <w:bottom w:w="0" w:type="dxa"/>
              <w:right w:w="108" w:type="dxa"/>
            </w:tcMar>
          </w:tcPr>
          <w:p w14:paraId="04488DF3" w14:textId="77777777" w:rsidR="00222F1A" w:rsidRPr="007220D5" w:rsidRDefault="00222F1A" w:rsidP="00943CEB">
            <w:pPr>
              <w:spacing w:line="276" w:lineRule="auto"/>
              <w:jc w:val="left"/>
              <w:rPr>
                <w:rFonts w:ascii="Calibri" w:eastAsia="Calibri" w:hAnsi="Calibri" w:cs="Times New Roman"/>
                <w:noProof/>
                <w:color w:val="1F497D" w:themeColor="text2"/>
                <w:sz w:val="20"/>
                <w:szCs w:val="20"/>
              </w:rPr>
            </w:pPr>
            <w:r>
              <w:rPr>
                <w:rFonts w:ascii="Calibri" w:eastAsia="Calibri" w:hAnsi="Calibri" w:cs="Times New Roman"/>
                <w:noProof/>
                <w:color w:val="1F497D" w:themeColor="text2"/>
                <w:sz w:val="20"/>
                <w:szCs w:val="20"/>
              </w:rPr>
              <w:t>n/a</w:t>
            </w:r>
          </w:p>
        </w:tc>
      </w:tr>
      <w:tr w:rsidR="00222F1A" w:rsidRPr="007220D5" w14:paraId="170C7C32" w14:textId="77777777" w:rsidTr="00B81F39">
        <w:trPr>
          <w:trHeight w:val="805"/>
        </w:trPr>
        <w:tc>
          <w:tcPr>
            <w:tcW w:w="2245" w:type="dxa"/>
            <w:vMerge/>
            <w:tcBorders>
              <w:left w:val="single" w:sz="18" w:space="0" w:color="auto"/>
            </w:tcBorders>
            <w:shd w:val="clear" w:color="auto" w:fill="4F81BD"/>
            <w:vAlign w:val="center"/>
            <w:hideMark/>
          </w:tcPr>
          <w:p w14:paraId="66115F46" w14:textId="77777777" w:rsidR="00222F1A" w:rsidRPr="007220D5" w:rsidRDefault="00222F1A" w:rsidP="007220D5">
            <w:pPr>
              <w:spacing w:before="0" w:after="0"/>
              <w:jc w:val="left"/>
              <w:rPr>
                <w:rFonts w:ascii="Calibri" w:eastAsia="Calibri" w:hAnsi="Calibri" w:cs="Times New Roman"/>
                <w:b/>
                <w:bCs/>
                <w:noProof/>
                <w:color w:val="FFFFFF"/>
                <w:sz w:val="20"/>
                <w:szCs w:val="20"/>
              </w:rPr>
            </w:pPr>
          </w:p>
        </w:tc>
        <w:tc>
          <w:tcPr>
            <w:tcW w:w="4191" w:type="dxa"/>
            <w:shd w:val="clear" w:color="auto" w:fill="FFFFFF" w:themeFill="background1"/>
            <w:tcMar>
              <w:top w:w="0" w:type="dxa"/>
              <w:left w:w="108" w:type="dxa"/>
              <w:bottom w:w="0" w:type="dxa"/>
              <w:right w:w="108" w:type="dxa"/>
            </w:tcMar>
            <w:vAlign w:val="center"/>
            <w:hideMark/>
          </w:tcPr>
          <w:p w14:paraId="4380FC70" w14:textId="77777777" w:rsidR="00222F1A" w:rsidRPr="007220D5" w:rsidRDefault="00222F1A" w:rsidP="007220D5">
            <w:pPr>
              <w:spacing w:line="276" w:lineRule="auto"/>
              <w:jc w:val="left"/>
              <w:rPr>
                <w:rFonts w:ascii="Calibri" w:eastAsia="Calibri" w:hAnsi="Calibri" w:cs="Times New Roman"/>
                <w:noProof/>
                <w:color w:val="1F497D" w:themeColor="text2"/>
                <w:sz w:val="20"/>
                <w:szCs w:val="20"/>
              </w:rPr>
            </w:pPr>
            <w:r w:rsidRPr="007220D5">
              <w:rPr>
                <w:rFonts w:ascii="Calibri" w:eastAsia="Calibri" w:hAnsi="Calibri" w:cs="Times New Roman"/>
                <w:noProof/>
                <w:color w:val="1F497D" w:themeColor="text2"/>
                <w:sz w:val="20"/>
                <w:szCs w:val="20"/>
              </w:rPr>
              <w:t>Certification of air traffic controller training organisations</w:t>
            </w:r>
            <w:r>
              <w:rPr>
                <w:rFonts w:ascii="Calibri" w:eastAsia="Calibri" w:hAnsi="Calibri" w:cs="Times New Roman"/>
                <w:noProof/>
                <w:color w:val="1F497D" w:themeColor="text2"/>
                <w:sz w:val="20"/>
                <w:szCs w:val="20"/>
              </w:rPr>
              <w:t>,</w:t>
            </w:r>
            <w:r w:rsidRPr="007220D5">
              <w:rPr>
                <w:rFonts w:ascii="Calibri" w:eastAsia="Calibri" w:hAnsi="Calibri" w:cs="Times New Roman"/>
                <w:noProof/>
                <w:color w:val="1F497D" w:themeColor="text2"/>
                <w:sz w:val="20"/>
                <w:szCs w:val="20"/>
              </w:rPr>
              <w:t xml:space="preserve"> </w:t>
            </w:r>
            <w:r>
              <w:rPr>
                <w:rFonts w:ascii="Calibri" w:eastAsia="Calibri" w:hAnsi="Calibri" w:cs="Times New Roman"/>
                <w:noProof/>
                <w:color w:val="1F497D" w:themeColor="text2"/>
                <w:sz w:val="20"/>
                <w:szCs w:val="20"/>
              </w:rPr>
              <w:t>with the exception of those for which EASA is the competent authority</w:t>
            </w:r>
          </w:p>
        </w:tc>
        <w:tc>
          <w:tcPr>
            <w:tcW w:w="3415" w:type="dxa"/>
            <w:tcBorders>
              <w:right w:val="single" w:sz="18" w:space="0" w:color="auto"/>
            </w:tcBorders>
            <w:shd w:val="clear" w:color="auto" w:fill="D8D8D8"/>
            <w:tcMar>
              <w:top w:w="0" w:type="dxa"/>
              <w:left w:w="108" w:type="dxa"/>
              <w:bottom w:w="0" w:type="dxa"/>
              <w:right w:w="108" w:type="dxa"/>
            </w:tcMar>
          </w:tcPr>
          <w:p w14:paraId="46611FC4" w14:textId="77777777" w:rsidR="00222F1A" w:rsidRPr="007220D5" w:rsidRDefault="00222F1A" w:rsidP="007220D5">
            <w:pPr>
              <w:spacing w:line="276" w:lineRule="auto"/>
              <w:jc w:val="left"/>
              <w:rPr>
                <w:rFonts w:ascii="Calibri" w:eastAsia="Calibri" w:hAnsi="Calibri" w:cs="Times New Roman"/>
                <w:noProof/>
                <w:color w:val="1F497D" w:themeColor="text2"/>
                <w:sz w:val="20"/>
                <w:szCs w:val="20"/>
              </w:rPr>
            </w:pPr>
            <w:r w:rsidRPr="007220D5">
              <w:rPr>
                <w:rFonts w:ascii="Calibri" w:eastAsia="Calibri" w:hAnsi="Calibri" w:cs="Times New Roman"/>
                <w:noProof/>
                <w:color w:val="1F497D" w:themeColor="text2"/>
                <w:sz w:val="20"/>
                <w:szCs w:val="20"/>
              </w:rPr>
              <w:t xml:space="preserve">Certification of </w:t>
            </w:r>
            <w:r>
              <w:rPr>
                <w:rFonts w:ascii="Calibri" w:eastAsia="Calibri" w:hAnsi="Calibri" w:cs="Times New Roman"/>
                <w:noProof/>
                <w:color w:val="1F497D" w:themeColor="text2"/>
                <w:sz w:val="20"/>
                <w:szCs w:val="20"/>
              </w:rPr>
              <w:t xml:space="preserve">third </w:t>
            </w:r>
            <w:r w:rsidRPr="007220D5">
              <w:rPr>
                <w:rFonts w:ascii="Calibri" w:eastAsia="Calibri" w:hAnsi="Calibri" w:cs="Times New Roman"/>
                <w:noProof/>
                <w:color w:val="1F497D" w:themeColor="text2"/>
                <w:sz w:val="20"/>
                <w:szCs w:val="20"/>
              </w:rPr>
              <w:t xml:space="preserve"> country air traffic controller training organisations </w:t>
            </w:r>
            <w:r>
              <w:rPr>
                <w:rFonts w:ascii="Calibri" w:eastAsia="Calibri" w:hAnsi="Calibri" w:cs="Times New Roman"/>
                <w:noProof/>
                <w:color w:val="1F497D" w:themeColor="text2"/>
                <w:sz w:val="20"/>
                <w:szCs w:val="20"/>
              </w:rPr>
              <w:t xml:space="preserve"> </w:t>
            </w:r>
            <w:r w:rsidRPr="007220D5">
              <w:rPr>
                <w:rFonts w:ascii="Calibri" w:eastAsia="Calibri" w:hAnsi="Calibri" w:cs="Times New Roman"/>
                <w:noProof/>
                <w:color w:val="1F497D" w:themeColor="text2"/>
                <w:sz w:val="20"/>
                <w:szCs w:val="20"/>
              </w:rPr>
              <w:t xml:space="preserve">  </w:t>
            </w:r>
          </w:p>
        </w:tc>
      </w:tr>
      <w:tr w:rsidR="00222F1A" w:rsidRPr="007220D5" w14:paraId="138FAF6B" w14:textId="77777777" w:rsidTr="00222F1A">
        <w:trPr>
          <w:trHeight w:val="757"/>
        </w:trPr>
        <w:tc>
          <w:tcPr>
            <w:tcW w:w="2245" w:type="dxa"/>
            <w:vMerge/>
            <w:tcBorders>
              <w:left w:val="single" w:sz="18" w:space="0" w:color="auto"/>
              <w:bottom w:val="single" w:sz="18" w:space="0" w:color="auto"/>
            </w:tcBorders>
            <w:shd w:val="clear" w:color="auto" w:fill="4F81BD"/>
            <w:vAlign w:val="center"/>
            <w:hideMark/>
          </w:tcPr>
          <w:p w14:paraId="55054369" w14:textId="77777777" w:rsidR="00222F1A" w:rsidRPr="007220D5" w:rsidRDefault="00222F1A" w:rsidP="007220D5">
            <w:pPr>
              <w:spacing w:before="0" w:after="0"/>
              <w:jc w:val="left"/>
              <w:rPr>
                <w:rFonts w:ascii="Calibri" w:eastAsia="Calibri" w:hAnsi="Calibri" w:cs="Times New Roman"/>
                <w:b/>
                <w:bCs/>
                <w:noProof/>
                <w:color w:val="FFFFFF"/>
                <w:sz w:val="20"/>
                <w:szCs w:val="20"/>
              </w:rPr>
            </w:pPr>
          </w:p>
        </w:tc>
        <w:tc>
          <w:tcPr>
            <w:tcW w:w="4191" w:type="dxa"/>
            <w:tcBorders>
              <w:bottom w:val="single" w:sz="18" w:space="0" w:color="auto"/>
            </w:tcBorders>
            <w:shd w:val="clear" w:color="auto" w:fill="D8D8D8"/>
            <w:tcMar>
              <w:top w:w="0" w:type="dxa"/>
              <w:left w:w="108" w:type="dxa"/>
              <w:bottom w:w="0" w:type="dxa"/>
              <w:right w:w="108" w:type="dxa"/>
            </w:tcMar>
            <w:vAlign w:val="center"/>
            <w:hideMark/>
          </w:tcPr>
          <w:p w14:paraId="45F7E44B" w14:textId="77777777" w:rsidR="00222F1A" w:rsidRPr="007220D5" w:rsidRDefault="00222F1A" w:rsidP="00943CEB">
            <w:pPr>
              <w:spacing w:line="276" w:lineRule="auto"/>
              <w:jc w:val="left"/>
              <w:rPr>
                <w:rFonts w:ascii="Calibri" w:eastAsia="Calibri" w:hAnsi="Calibri" w:cs="Times New Roman"/>
                <w:noProof/>
                <w:color w:val="1F497D" w:themeColor="text2"/>
                <w:sz w:val="20"/>
                <w:szCs w:val="20"/>
              </w:rPr>
            </w:pPr>
            <w:r w:rsidRPr="007220D5">
              <w:rPr>
                <w:rFonts w:ascii="Calibri" w:eastAsia="Calibri" w:hAnsi="Calibri" w:cs="Times New Roman"/>
                <w:noProof/>
                <w:color w:val="1F497D" w:themeColor="text2"/>
                <w:sz w:val="20"/>
                <w:szCs w:val="20"/>
              </w:rPr>
              <w:t>Certification of aero medical examiners and medical centres</w:t>
            </w:r>
          </w:p>
        </w:tc>
        <w:tc>
          <w:tcPr>
            <w:tcW w:w="3415" w:type="dxa"/>
            <w:tcBorders>
              <w:bottom w:val="single" w:sz="18" w:space="0" w:color="auto"/>
              <w:right w:val="single" w:sz="18" w:space="0" w:color="auto"/>
            </w:tcBorders>
            <w:shd w:val="clear" w:color="auto" w:fill="FFFFFF" w:themeFill="background1"/>
            <w:tcMar>
              <w:top w:w="0" w:type="dxa"/>
              <w:left w:w="108" w:type="dxa"/>
              <w:bottom w:w="0" w:type="dxa"/>
              <w:right w:w="108" w:type="dxa"/>
            </w:tcMar>
            <w:hideMark/>
          </w:tcPr>
          <w:p w14:paraId="51FDE038" w14:textId="77777777" w:rsidR="00222F1A" w:rsidRPr="007220D5" w:rsidRDefault="00222F1A" w:rsidP="007220D5">
            <w:pPr>
              <w:spacing w:line="276" w:lineRule="auto"/>
              <w:jc w:val="left"/>
              <w:rPr>
                <w:rFonts w:ascii="Calibri" w:eastAsia="Calibri" w:hAnsi="Calibri" w:cs="Times New Roman"/>
                <w:noProof/>
                <w:color w:val="1F497D" w:themeColor="text2"/>
                <w:sz w:val="20"/>
                <w:szCs w:val="20"/>
              </w:rPr>
            </w:pPr>
            <w:r>
              <w:rPr>
                <w:rFonts w:ascii="Calibri" w:eastAsia="Calibri" w:hAnsi="Calibri" w:cs="Times New Roman"/>
                <w:noProof/>
                <w:color w:val="1F497D" w:themeColor="text2"/>
                <w:sz w:val="20"/>
                <w:szCs w:val="20"/>
              </w:rPr>
              <w:t>n/a</w:t>
            </w:r>
          </w:p>
        </w:tc>
      </w:tr>
      <w:tr w:rsidR="00764498" w:rsidRPr="007220D5" w14:paraId="1B1ADAF1" w14:textId="77777777" w:rsidTr="00222F1A">
        <w:trPr>
          <w:trHeight w:val="697"/>
        </w:trPr>
        <w:tc>
          <w:tcPr>
            <w:tcW w:w="2245" w:type="dxa"/>
            <w:tcBorders>
              <w:top w:val="single" w:sz="18" w:space="0" w:color="auto"/>
              <w:left w:val="single" w:sz="18" w:space="0" w:color="auto"/>
            </w:tcBorders>
            <w:shd w:val="clear" w:color="auto" w:fill="4F81BD"/>
            <w:hideMark/>
          </w:tcPr>
          <w:p w14:paraId="0A496501" w14:textId="0B5D3E45" w:rsidR="00764498" w:rsidRPr="007220D5" w:rsidRDefault="00B81F39" w:rsidP="007220D5">
            <w:pPr>
              <w:spacing w:before="0" w:after="0"/>
              <w:jc w:val="left"/>
              <w:rPr>
                <w:rFonts w:ascii="Calibri" w:eastAsia="Calibri" w:hAnsi="Calibri" w:cs="Times New Roman"/>
                <w:b/>
                <w:bCs/>
                <w:noProof/>
                <w:color w:val="FFFFFF"/>
                <w:sz w:val="20"/>
                <w:szCs w:val="20"/>
              </w:rPr>
            </w:pPr>
            <w:r w:rsidRPr="00B81F39">
              <w:rPr>
                <w:rFonts w:ascii="Calibri" w:eastAsia="Calibri" w:hAnsi="Calibri" w:cs="Times New Roman"/>
                <w:b/>
                <w:bCs/>
                <w:noProof/>
                <w:color w:val="FFFFFF"/>
                <w:sz w:val="20"/>
                <w:szCs w:val="20"/>
              </w:rPr>
              <w:t>Aerodromes (including heliports and vertiports)</w:t>
            </w:r>
          </w:p>
        </w:tc>
        <w:tc>
          <w:tcPr>
            <w:tcW w:w="4191" w:type="dxa"/>
            <w:tcBorders>
              <w:top w:val="single" w:sz="18" w:space="0" w:color="auto"/>
            </w:tcBorders>
            <w:shd w:val="clear" w:color="auto" w:fill="D8D8D8"/>
            <w:tcMar>
              <w:top w:w="0" w:type="dxa"/>
              <w:left w:w="108" w:type="dxa"/>
              <w:bottom w:w="0" w:type="dxa"/>
              <w:right w:w="108" w:type="dxa"/>
            </w:tcMar>
            <w:hideMark/>
          </w:tcPr>
          <w:p w14:paraId="3CB495A1" w14:textId="77777777" w:rsidR="00764498" w:rsidRPr="007220D5" w:rsidRDefault="00764498" w:rsidP="00943CEB">
            <w:pPr>
              <w:spacing w:line="276" w:lineRule="auto"/>
              <w:jc w:val="left"/>
              <w:rPr>
                <w:rFonts w:ascii="Calibri" w:eastAsia="Calibri" w:hAnsi="Calibri" w:cs="Times New Roman"/>
                <w:noProof/>
                <w:color w:val="1F497D" w:themeColor="text2"/>
                <w:sz w:val="20"/>
                <w:szCs w:val="20"/>
              </w:rPr>
            </w:pPr>
            <w:r w:rsidRPr="007220D5">
              <w:rPr>
                <w:rFonts w:ascii="Calibri" w:eastAsia="Calibri" w:hAnsi="Calibri" w:cs="Times New Roman"/>
                <w:noProof/>
                <w:color w:val="1F497D" w:themeColor="text2"/>
                <w:sz w:val="20"/>
                <w:szCs w:val="20"/>
              </w:rPr>
              <w:t xml:space="preserve">Certification of aerodromes and </w:t>
            </w:r>
            <w:r>
              <w:rPr>
                <w:rFonts w:ascii="Calibri" w:eastAsia="Calibri" w:hAnsi="Calibri" w:cs="Times New Roman"/>
                <w:noProof/>
                <w:color w:val="1F497D" w:themeColor="text2"/>
                <w:sz w:val="20"/>
                <w:szCs w:val="20"/>
              </w:rPr>
              <w:t xml:space="preserve">their </w:t>
            </w:r>
            <w:r w:rsidRPr="007220D5">
              <w:rPr>
                <w:rFonts w:ascii="Calibri" w:eastAsia="Calibri" w:hAnsi="Calibri" w:cs="Times New Roman"/>
                <w:noProof/>
                <w:color w:val="1F497D" w:themeColor="text2"/>
                <w:sz w:val="20"/>
                <w:szCs w:val="20"/>
              </w:rPr>
              <w:t xml:space="preserve">safety related equipment </w:t>
            </w:r>
          </w:p>
        </w:tc>
        <w:tc>
          <w:tcPr>
            <w:tcW w:w="3415" w:type="dxa"/>
            <w:tcBorders>
              <w:top w:val="single" w:sz="18" w:space="0" w:color="auto"/>
              <w:right w:val="single" w:sz="18" w:space="0" w:color="auto"/>
            </w:tcBorders>
            <w:shd w:val="clear" w:color="auto" w:fill="FFFFFF" w:themeFill="background1"/>
            <w:tcMar>
              <w:top w:w="0" w:type="dxa"/>
              <w:left w:w="108" w:type="dxa"/>
              <w:bottom w:w="0" w:type="dxa"/>
              <w:right w:w="108" w:type="dxa"/>
            </w:tcMar>
          </w:tcPr>
          <w:p w14:paraId="76DD1927" w14:textId="57AC3BCE" w:rsidR="00764498" w:rsidRPr="007220D5" w:rsidRDefault="00764498" w:rsidP="007220D5">
            <w:pPr>
              <w:spacing w:line="276" w:lineRule="auto"/>
              <w:jc w:val="left"/>
              <w:rPr>
                <w:rFonts w:ascii="Calibri" w:eastAsia="Calibri" w:hAnsi="Calibri" w:cs="Times New Roman"/>
                <w:noProof/>
                <w:color w:val="1F497D" w:themeColor="text2"/>
                <w:sz w:val="20"/>
                <w:szCs w:val="20"/>
              </w:rPr>
            </w:pPr>
            <w:r>
              <w:rPr>
                <w:rFonts w:ascii="Calibri" w:eastAsia="Calibri" w:hAnsi="Calibri" w:cs="Times New Roman"/>
                <w:noProof/>
                <w:color w:val="1F497D" w:themeColor="text2"/>
                <w:sz w:val="20"/>
                <w:szCs w:val="20"/>
              </w:rPr>
              <w:t>Certification</w:t>
            </w:r>
            <w:r w:rsidR="00DE2806">
              <w:rPr>
                <w:rFonts w:ascii="Calibri" w:eastAsia="Calibri" w:hAnsi="Calibri" w:cs="Times New Roman"/>
                <w:noProof/>
                <w:color w:val="1F497D" w:themeColor="text2"/>
                <w:sz w:val="20"/>
                <w:szCs w:val="20"/>
              </w:rPr>
              <w:t xml:space="preserve"> and </w:t>
            </w:r>
            <w:r>
              <w:rPr>
                <w:rFonts w:ascii="Calibri" w:eastAsia="Calibri" w:hAnsi="Calibri" w:cs="Times New Roman"/>
                <w:noProof/>
                <w:color w:val="1F497D" w:themeColor="text2"/>
                <w:sz w:val="20"/>
                <w:szCs w:val="20"/>
              </w:rPr>
              <w:t>oversight with respect to the certificates for, and the declarations made in respect of certain safety-related aerodrome equipment</w:t>
            </w:r>
          </w:p>
        </w:tc>
      </w:tr>
      <w:tr w:rsidR="00764498" w:rsidRPr="007220D5" w14:paraId="7EEEADC2" w14:textId="77777777" w:rsidTr="00222F1A">
        <w:trPr>
          <w:trHeight w:val="540"/>
        </w:trPr>
        <w:tc>
          <w:tcPr>
            <w:tcW w:w="2245" w:type="dxa"/>
            <w:tcBorders>
              <w:left w:val="single" w:sz="18" w:space="0" w:color="auto"/>
              <w:bottom w:val="single" w:sz="18" w:space="0" w:color="auto"/>
            </w:tcBorders>
            <w:shd w:val="clear" w:color="auto" w:fill="4F81BD"/>
            <w:vAlign w:val="center"/>
            <w:hideMark/>
          </w:tcPr>
          <w:p w14:paraId="704E0712" w14:textId="77777777" w:rsidR="00764498" w:rsidRPr="007220D5" w:rsidRDefault="00764498" w:rsidP="007220D5">
            <w:pPr>
              <w:spacing w:before="0" w:after="0"/>
              <w:jc w:val="left"/>
              <w:rPr>
                <w:rFonts w:ascii="Calibri" w:eastAsia="Calibri" w:hAnsi="Calibri" w:cs="Times New Roman"/>
                <w:b/>
                <w:bCs/>
                <w:noProof/>
                <w:color w:val="FFFFFF"/>
                <w:sz w:val="20"/>
                <w:szCs w:val="20"/>
              </w:rPr>
            </w:pPr>
          </w:p>
        </w:tc>
        <w:tc>
          <w:tcPr>
            <w:tcW w:w="4191" w:type="dxa"/>
            <w:tcBorders>
              <w:bottom w:val="single" w:sz="18" w:space="0" w:color="auto"/>
            </w:tcBorders>
            <w:shd w:val="clear" w:color="auto" w:fill="FFFFFF" w:themeFill="background1"/>
            <w:tcMar>
              <w:top w:w="0" w:type="dxa"/>
              <w:left w:w="108" w:type="dxa"/>
              <w:bottom w:w="0" w:type="dxa"/>
              <w:right w:w="108" w:type="dxa"/>
            </w:tcMar>
            <w:hideMark/>
          </w:tcPr>
          <w:p w14:paraId="7C722E3A" w14:textId="77777777" w:rsidR="00764498" w:rsidRPr="007220D5" w:rsidRDefault="00764498" w:rsidP="007220D5">
            <w:pPr>
              <w:spacing w:line="276" w:lineRule="auto"/>
              <w:jc w:val="left"/>
              <w:rPr>
                <w:rFonts w:ascii="Calibri" w:eastAsia="Calibri" w:hAnsi="Calibri" w:cs="Times New Roman"/>
                <w:noProof/>
                <w:color w:val="1F497D" w:themeColor="text2"/>
                <w:sz w:val="20"/>
                <w:szCs w:val="20"/>
              </w:rPr>
            </w:pPr>
            <w:r w:rsidRPr="007220D5">
              <w:rPr>
                <w:rFonts w:ascii="Calibri" w:eastAsia="Calibri" w:hAnsi="Calibri" w:cs="Times New Roman"/>
                <w:noProof/>
                <w:color w:val="1F497D" w:themeColor="text2"/>
                <w:sz w:val="20"/>
                <w:szCs w:val="20"/>
              </w:rPr>
              <w:t>Certification of aerodrome operators</w:t>
            </w:r>
            <w:r>
              <w:rPr>
                <w:rFonts w:ascii="Calibri" w:eastAsia="Calibri" w:hAnsi="Calibri" w:cs="Times New Roman"/>
                <w:noProof/>
                <w:color w:val="1F497D" w:themeColor="text2"/>
                <w:sz w:val="20"/>
                <w:szCs w:val="20"/>
              </w:rPr>
              <w:t xml:space="preserve"> and their operations</w:t>
            </w:r>
          </w:p>
        </w:tc>
        <w:tc>
          <w:tcPr>
            <w:tcW w:w="3415" w:type="dxa"/>
            <w:tcBorders>
              <w:bottom w:val="single" w:sz="18" w:space="0" w:color="auto"/>
              <w:right w:val="single" w:sz="18" w:space="0" w:color="auto"/>
            </w:tcBorders>
            <w:shd w:val="clear" w:color="auto" w:fill="D8D8D8"/>
            <w:tcMar>
              <w:top w:w="0" w:type="dxa"/>
              <w:left w:w="108" w:type="dxa"/>
              <w:bottom w:w="0" w:type="dxa"/>
              <w:right w:w="108" w:type="dxa"/>
            </w:tcMar>
            <w:vAlign w:val="center"/>
          </w:tcPr>
          <w:p w14:paraId="43646E77" w14:textId="77777777" w:rsidR="00764498" w:rsidRPr="007220D5" w:rsidRDefault="00764498" w:rsidP="007220D5">
            <w:pPr>
              <w:spacing w:line="276" w:lineRule="auto"/>
              <w:jc w:val="left"/>
              <w:rPr>
                <w:rFonts w:ascii="Calibri" w:eastAsia="Calibri" w:hAnsi="Calibri" w:cs="Times New Roman"/>
                <w:noProof/>
                <w:color w:val="1F497D" w:themeColor="text2"/>
                <w:sz w:val="20"/>
                <w:szCs w:val="20"/>
              </w:rPr>
            </w:pPr>
            <w:r>
              <w:rPr>
                <w:rFonts w:ascii="Calibri" w:eastAsia="Calibri" w:hAnsi="Calibri" w:cs="Times New Roman"/>
                <w:noProof/>
                <w:color w:val="1F497D" w:themeColor="text2"/>
                <w:sz w:val="20"/>
                <w:szCs w:val="20"/>
              </w:rPr>
              <w:t>n/a</w:t>
            </w:r>
          </w:p>
        </w:tc>
      </w:tr>
      <w:tr w:rsidR="00222F1A" w:rsidRPr="007220D5" w14:paraId="7E41BAF9" w14:textId="77777777" w:rsidTr="00222F1A">
        <w:trPr>
          <w:trHeight w:val="349"/>
        </w:trPr>
        <w:tc>
          <w:tcPr>
            <w:tcW w:w="2245" w:type="dxa"/>
            <w:tcBorders>
              <w:top w:val="single" w:sz="18" w:space="0" w:color="auto"/>
              <w:left w:val="single" w:sz="18" w:space="0" w:color="auto"/>
            </w:tcBorders>
            <w:shd w:val="clear" w:color="auto" w:fill="4F81BD"/>
            <w:tcMar>
              <w:top w:w="0" w:type="dxa"/>
              <w:left w:w="108" w:type="dxa"/>
              <w:bottom w:w="0" w:type="dxa"/>
              <w:right w:w="108" w:type="dxa"/>
            </w:tcMar>
            <w:hideMark/>
          </w:tcPr>
          <w:p w14:paraId="258CE636" w14:textId="3526478A" w:rsidR="00222F1A" w:rsidRPr="007220D5" w:rsidRDefault="00222F1A" w:rsidP="007220D5">
            <w:pPr>
              <w:spacing w:line="276" w:lineRule="auto"/>
              <w:jc w:val="left"/>
              <w:rPr>
                <w:rFonts w:ascii="Calibri" w:eastAsia="Calibri" w:hAnsi="Calibri" w:cs="Times New Roman"/>
                <w:b/>
                <w:bCs/>
                <w:noProof/>
                <w:color w:val="FFFFFF"/>
                <w:sz w:val="20"/>
                <w:szCs w:val="20"/>
              </w:rPr>
            </w:pPr>
            <w:r>
              <w:rPr>
                <w:rFonts w:ascii="Calibri" w:eastAsia="Calibri" w:hAnsi="Calibri" w:cs="Times New Roman"/>
                <w:b/>
                <w:bCs/>
                <w:noProof/>
                <w:color w:val="FFFFFF"/>
                <w:sz w:val="20"/>
                <w:szCs w:val="20"/>
              </w:rPr>
              <w:t>UAS (</w:t>
            </w:r>
            <w:r w:rsidRPr="00FB18C9">
              <w:rPr>
                <w:rFonts w:ascii="Calibri" w:eastAsia="Calibri" w:hAnsi="Calibri" w:cs="Times New Roman"/>
                <w:b/>
                <w:bCs/>
                <w:noProof/>
                <w:color w:val="FFFFFF"/>
                <w:sz w:val="20"/>
                <w:szCs w:val="20"/>
              </w:rPr>
              <w:t>Drones</w:t>
            </w:r>
            <w:r>
              <w:rPr>
                <w:rFonts w:ascii="Calibri" w:eastAsia="Calibri" w:hAnsi="Calibri" w:cs="Times New Roman"/>
                <w:b/>
                <w:bCs/>
                <w:noProof/>
                <w:color w:val="FFFFFF"/>
                <w:sz w:val="20"/>
                <w:szCs w:val="20"/>
              </w:rPr>
              <w:t>)</w:t>
            </w:r>
          </w:p>
        </w:tc>
        <w:tc>
          <w:tcPr>
            <w:tcW w:w="4191" w:type="dxa"/>
            <w:tcBorders>
              <w:top w:val="single" w:sz="18" w:space="0" w:color="auto"/>
            </w:tcBorders>
            <w:shd w:val="clear" w:color="auto" w:fill="FFFFFF" w:themeFill="background1"/>
            <w:tcMar>
              <w:top w:w="0" w:type="dxa"/>
              <w:left w:w="108" w:type="dxa"/>
              <w:bottom w:w="0" w:type="dxa"/>
              <w:right w:w="108" w:type="dxa"/>
            </w:tcMar>
            <w:hideMark/>
          </w:tcPr>
          <w:p w14:paraId="29686D7A" w14:textId="77777777" w:rsidR="00222F1A" w:rsidRPr="007220D5" w:rsidRDefault="00222F1A" w:rsidP="007220D5">
            <w:pPr>
              <w:spacing w:line="276" w:lineRule="auto"/>
              <w:jc w:val="left"/>
              <w:rPr>
                <w:rFonts w:ascii="Calibri" w:eastAsia="Calibri" w:hAnsi="Calibri" w:cs="Times New Roman"/>
                <w:noProof/>
                <w:color w:val="1F497D" w:themeColor="text2"/>
                <w:sz w:val="20"/>
                <w:szCs w:val="20"/>
              </w:rPr>
            </w:pPr>
            <w:r>
              <w:rPr>
                <w:rFonts w:ascii="Calibri" w:eastAsia="Calibri" w:hAnsi="Calibri" w:cs="Times New Roman"/>
                <w:noProof/>
                <w:color w:val="1F497D" w:themeColor="text2"/>
                <w:sz w:val="20"/>
                <w:szCs w:val="20"/>
              </w:rPr>
              <w:t>Registration of UAS operators and certified UAS</w:t>
            </w:r>
          </w:p>
        </w:tc>
        <w:tc>
          <w:tcPr>
            <w:tcW w:w="3415" w:type="dxa"/>
            <w:tcBorders>
              <w:top w:val="single" w:sz="18" w:space="0" w:color="auto"/>
              <w:right w:val="single" w:sz="18" w:space="0" w:color="auto"/>
            </w:tcBorders>
            <w:shd w:val="clear" w:color="auto" w:fill="D8D8D8"/>
            <w:tcMar>
              <w:top w:w="0" w:type="dxa"/>
              <w:left w:w="108" w:type="dxa"/>
              <w:bottom w:w="0" w:type="dxa"/>
              <w:right w:w="108" w:type="dxa"/>
            </w:tcMar>
          </w:tcPr>
          <w:p w14:paraId="263C9C37" w14:textId="77777777" w:rsidR="00222F1A" w:rsidRPr="007220D5" w:rsidRDefault="00222F1A" w:rsidP="007220D5">
            <w:pPr>
              <w:spacing w:line="276" w:lineRule="auto"/>
              <w:jc w:val="left"/>
              <w:rPr>
                <w:rFonts w:ascii="Calibri" w:eastAsia="Calibri" w:hAnsi="Calibri" w:cs="Times New Roman"/>
                <w:noProof/>
                <w:color w:val="1F497D" w:themeColor="text2"/>
                <w:sz w:val="20"/>
                <w:szCs w:val="20"/>
              </w:rPr>
            </w:pPr>
            <w:r>
              <w:rPr>
                <w:rFonts w:ascii="Calibri" w:eastAsia="Calibri" w:hAnsi="Calibri" w:cs="Times New Roman"/>
                <w:noProof/>
                <w:color w:val="1F497D" w:themeColor="text2"/>
                <w:sz w:val="20"/>
                <w:szCs w:val="20"/>
              </w:rPr>
              <w:t>Design verification of UAS operated in the ‘specific’ category</w:t>
            </w:r>
          </w:p>
        </w:tc>
      </w:tr>
      <w:tr w:rsidR="00222F1A" w:rsidRPr="007220D5" w14:paraId="2EEB659A" w14:textId="77777777" w:rsidTr="00222F1A">
        <w:trPr>
          <w:trHeight w:val="448"/>
        </w:trPr>
        <w:tc>
          <w:tcPr>
            <w:tcW w:w="2245" w:type="dxa"/>
            <w:vMerge w:val="restart"/>
            <w:tcBorders>
              <w:left w:val="single" w:sz="18" w:space="0" w:color="auto"/>
            </w:tcBorders>
            <w:shd w:val="clear" w:color="auto" w:fill="4F81BD"/>
            <w:vAlign w:val="center"/>
            <w:hideMark/>
          </w:tcPr>
          <w:p w14:paraId="3AAEF039" w14:textId="77777777" w:rsidR="00222F1A" w:rsidRPr="007220D5" w:rsidRDefault="00222F1A" w:rsidP="007220D5">
            <w:pPr>
              <w:spacing w:before="0" w:after="0"/>
              <w:jc w:val="left"/>
              <w:rPr>
                <w:rFonts w:ascii="Calibri" w:eastAsia="Calibri" w:hAnsi="Calibri" w:cs="Times New Roman"/>
                <w:b/>
                <w:bCs/>
                <w:noProof/>
                <w:color w:val="FFFFFF"/>
                <w:sz w:val="20"/>
                <w:szCs w:val="20"/>
              </w:rPr>
            </w:pPr>
          </w:p>
        </w:tc>
        <w:tc>
          <w:tcPr>
            <w:tcW w:w="4191" w:type="dxa"/>
            <w:shd w:val="clear" w:color="auto" w:fill="D8D8D8"/>
            <w:tcMar>
              <w:top w:w="0" w:type="dxa"/>
              <w:left w:w="108" w:type="dxa"/>
              <w:bottom w:w="0" w:type="dxa"/>
              <w:right w:w="108" w:type="dxa"/>
            </w:tcMar>
            <w:hideMark/>
          </w:tcPr>
          <w:p w14:paraId="644287A8" w14:textId="77777777" w:rsidR="00222F1A" w:rsidRPr="007220D5" w:rsidRDefault="00222F1A" w:rsidP="007220D5">
            <w:pPr>
              <w:spacing w:line="276" w:lineRule="auto"/>
              <w:jc w:val="left"/>
              <w:rPr>
                <w:rFonts w:ascii="Calibri" w:eastAsia="Calibri" w:hAnsi="Calibri" w:cs="Times New Roman"/>
                <w:noProof/>
                <w:sz w:val="20"/>
                <w:szCs w:val="20"/>
              </w:rPr>
            </w:pPr>
            <w:r>
              <w:rPr>
                <w:rFonts w:ascii="Calibri" w:eastAsia="Calibri" w:hAnsi="Calibri" w:cs="Times New Roman"/>
                <w:noProof/>
                <w:color w:val="1F497D" w:themeColor="text2"/>
                <w:sz w:val="20"/>
                <w:szCs w:val="20"/>
              </w:rPr>
              <w:t xml:space="preserve">Operational authorisations for UAS operated in the ‘specific’ category </w:t>
            </w:r>
          </w:p>
        </w:tc>
        <w:tc>
          <w:tcPr>
            <w:tcW w:w="3415" w:type="dxa"/>
            <w:tcBorders>
              <w:right w:val="single" w:sz="18" w:space="0" w:color="auto"/>
            </w:tcBorders>
            <w:shd w:val="clear" w:color="auto" w:fill="FFFFFF" w:themeFill="background1"/>
            <w:vAlign w:val="center"/>
            <w:hideMark/>
          </w:tcPr>
          <w:p w14:paraId="675B26C6" w14:textId="77777777" w:rsidR="00222F1A" w:rsidRPr="007220D5" w:rsidRDefault="00222F1A" w:rsidP="00FB18C9">
            <w:pPr>
              <w:spacing w:line="276" w:lineRule="auto"/>
              <w:ind w:firstLine="79"/>
              <w:jc w:val="left"/>
              <w:rPr>
                <w:rFonts w:ascii="Calibri" w:eastAsia="Calibri" w:hAnsi="Calibri" w:cs="Times New Roman"/>
                <w:noProof/>
                <w:sz w:val="22"/>
              </w:rPr>
            </w:pPr>
            <w:r>
              <w:rPr>
                <w:rFonts w:ascii="Calibri" w:eastAsia="Calibri" w:hAnsi="Calibri" w:cs="Times New Roman"/>
                <w:noProof/>
                <w:color w:val="1F497D" w:themeColor="text2"/>
                <w:sz w:val="20"/>
                <w:szCs w:val="20"/>
              </w:rPr>
              <w:t>n/a</w:t>
            </w:r>
          </w:p>
        </w:tc>
      </w:tr>
      <w:tr w:rsidR="00222F1A" w:rsidRPr="007220D5" w14:paraId="19D02F5A" w14:textId="77777777" w:rsidTr="00222F1A">
        <w:trPr>
          <w:trHeight w:val="371"/>
        </w:trPr>
        <w:tc>
          <w:tcPr>
            <w:tcW w:w="2245" w:type="dxa"/>
            <w:vMerge/>
            <w:tcBorders>
              <w:left w:val="single" w:sz="18" w:space="0" w:color="auto"/>
            </w:tcBorders>
            <w:shd w:val="clear" w:color="auto" w:fill="4F81BD"/>
            <w:tcMar>
              <w:top w:w="0" w:type="dxa"/>
              <w:left w:w="108" w:type="dxa"/>
              <w:bottom w:w="0" w:type="dxa"/>
              <w:right w:w="108" w:type="dxa"/>
            </w:tcMar>
            <w:hideMark/>
          </w:tcPr>
          <w:p w14:paraId="17A59F76" w14:textId="5655D056" w:rsidR="00222F1A" w:rsidRPr="00FB18C9" w:rsidRDefault="00222F1A" w:rsidP="00FB18C9">
            <w:pPr>
              <w:spacing w:line="276" w:lineRule="auto"/>
              <w:jc w:val="left"/>
              <w:rPr>
                <w:rFonts w:ascii="Calibri" w:eastAsia="Calibri" w:hAnsi="Calibri" w:cs="Times New Roman"/>
                <w:b/>
                <w:bCs/>
                <w:noProof/>
                <w:color w:val="FFFFFF"/>
                <w:sz w:val="20"/>
                <w:szCs w:val="20"/>
              </w:rPr>
            </w:pPr>
          </w:p>
        </w:tc>
        <w:tc>
          <w:tcPr>
            <w:tcW w:w="4191" w:type="dxa"/>
            <w:shd w:val="clear" w:color="auto" w:fill="FFFFFF" w:themeFill="background1"/>
            <w:tcMar>
              <w:top w:w="0" w:type="dxa"/>
              <w:left w:w="108" w:type="dxa"/>
              <w:bottom w:w="0" w:type="dxa"/>
              <w:right w:w="108" w:type="dxa"/>
            </w:tcMar>
            <w:hideMark/>
          </w:tcPr>
          <w:p w14:paraId="47E33587" w14:textId="77777777" w:rsidR="00222F1A" w:rsidRPr="007220D5" w:rsidRDefault="00222F1A" w:rsidP="008651BD">
            <w:pPr>
              <w:spacing w:line="276" w:lineRule="auto"/>
              <w:jc w:val="left"/>
              <w:rPr>
                <w:rFonts w:ascii="Calibri" w:eastAsia="Calibri" w:hAnsi="Calibri" w:cs="Times New Roman"/>
                <w:noProof/>
                <w:color w:val="1F497D" w:themeColor="text2"/>
                <w:sz w:val="20"/>
                <w:szCs w:val="20"/>
              </w:rPr>
            </w:pPr>
            <w:r>
              <w:rPr>
                <w:rFonts w:ascii="Calibri" w:eastAsia="Calibri" w:hAnsi="Calibri" w:cs="Times New Roman"/>
                <w:noProof/>
                <w:color w:val="1F497D" w:themeColor="text2"/>
                <w:sz w:val="20"/>
                <w:szCs w:val="20"/>
              </w:rPr>
              <w:t>Initial issuance and continuing oversight of Light UAS operator certificates (LUC)</w:t>
            </w:r>
          </w:p>
        </w:tc>
        <w:tc>
          <w:tcPr>
            <w:tcW w:w="3415" w:type="dxa"/>
            <w:tcBorders>
              <w:right w:val="single" w:sz="18" w:space="0" w:color="auto"/>
            </w:tcBorders>
            <w:shd w:val="clear" w:color="auto" w:fill="D8D8D8"/>
            <w:tcMar>
              <w:top w:w="0" w:type="dxa"/>
              <w:left w:w="108" w:type="dxa"/>
              <w:bottom w:w="0" w:type="dxa"/>
              <w:right w:w="108" w:type="dxa"/>
            </w:tcMar>
            <w:vAlign w:val="center"/>
            <w:hideMark/>
          </w:tcPr>
          <w:p w14:paraId="728956B4" w14:textId="77777777" w:rsidR="00222F1A" w:rsidRPr="007220D5" w:rsidRDefault="00222F1A" w:rsidP="008651BD">
            <w:pPr>
              <w:spacing w:line="276" w:lineRule="auto"/>
              <w:jc w:val="left"/>
              <w:rPr>
                <w:rFonts w:ascii="Calibri" w:eastAsia="Calibri" w:hAnsi="Calibri" w:cs="Times New Roman"/>
                <w:noProof/>
                <w:color w:val="1F497D" w:themeColor="text2"/>
                <w:sz w:val="20"/>
                <w:szCs w:val="20"/>
              </w:rPr>
            </w:pPr>
            <w:r>
              <w:rPr>
                <w:rFonts w:ascii="Calibri" w:eastAsia="Calibri" w:hAnsi="Calibri" w:cs="Times New Roman"/>
                <w:noProof/>
                <w:color w:val="1F497D" w:themeColor="text2"/>
                <w:sz w:val="20"/>
                <w:szCs w:val="20"/>
              </w:rPr>
              <w:t>n/a</w:t>
            </w:r>
          </w:p>
        </w:tc>
      </w:tr>
      <w:tr w:rsidR="00222F1A" w:rsidRPr="007220D5" w14:paraId="22DF9F68" w14:textId="77777777" w:rsidTr="00222F1A">
        <w:trPr>
          <w:trHeight w:val="371"/>
        </w:trPr>
        <w:tc>
          <w:tcPr>
            <w:tcW w:w="2245" w:type="dxa"/>
            <w:vMerge/>
            <w:tcBorders>
              <w:left w:val="single" w:sz="18" w:space="0" w:color="auto"/>
              <w:bottom w:val="single" w:sz="18" w:space="0" w:color="auto"/>
            </w:tcBorders>
            <w:shd w:val="clear" w:color="auto" w:fill="4F81BD"/>
            <w:vAlign w:val="center"/>
            <w:hideMark/>
          </w:tcPr>
          <w:p w14:paraId="62B56231" w14:textId="77777777" w:rsidR="00222F1A" w:rsidRPr="007220D5" w:rsidRDefault="00222F1A" w:rsidP="008651BD">
            <w:pPr>
              <w:spacing w:before="0" w:after="0"/>
              <w:jc w:val="left"/>
              <w:rPr>
                <w:rFonts w:ascii="Calibri" w:eastAsia="Calibri" w:hAnsi="Calibri" w:cs="Times New Roman"/>
                <w:b/>
                <w:bCs/>
                <w:noProof/>
                <w:color w:val="FFFFFF"/>
                <w:sz w:val="20"/>
                <w:szCs w:val="20"/>
              </w:rPr>
            </w:pPr>
          </w:p>
        </w:tc>
        <w:tc>
          <w:tcPr>
            <w:tcW w:w="4191" w:type="dxa"/>
            <w:tcBorders>
              <w:bottom w:val="single" w:sz="18" w:space="0" w:color="auto"/>
            </w:tcBorders>
            <w:shd w:val="clear" w:color="auto" w:fill="D8D8D8"/>
            <w:vAlign w:val="center"/>
            <w:hideMark/>
          </w:tcPr>
          <w:p w14:paraId="6384CB1D" w14:textId="77777777" w:rsidR="00222F1A" w:rsidRPr="007220D5" w:rsidRDefault="00222F1A" w:rsidP="00FB18C9">
            <w:pPr>
              <w:spacing w:line="276" w:lineRule="auto"/>
              <w:ind w:left="113"/>
              <w:jc w:val="left"/>
              <w:rPr>
                <w:rFonts w:ascii="Calibri" w:eastAsia="Calibri" w:hAnsi="Calibri" w:cs="Times New Roman"/>
                <w:noProof/>
                <w:color w:val="1F497D" w:themeColor="text2"/>
                <w:sz w:val="20"/>
                <w:szCs w:val="20"/>
              </w:rPr>
            </w:pPr>
            <w:r w:rsidRPr="00632F9B">
              <w:rPr>
                <w:rFonts w:ascii="Calibri" w:eastAsia="Calibri" w:hAnsi="Calibri" w:cs="Times New Roman"/>
                <w:noProof/>
                <w:color w:val="1F497D" w:themeColor="text2"/>
                <w:sz w:val="20"/>
                <w:szCs w:val="20"/>
              </w:rPr>
              <w:t xml:space="preserve">Licencing and medical certification of </w:t>
            </w:r>
            <w:r>
              <w:rPr>
                <w:rFonts w:ascii="Calibri" w:eastAsia="Calibri" w:hAnsi="Calibri" w:cs="Times New Roman"/>
                <w:noProof/>
                <w:color w:val="1F497D" w:themeColor="text2"/>
                <w:sz w:val="20"/>
                <w:szCs w:val="20"/>
              </w:rPr>
              <w:t xml:space="preserve">remote </w:t>
            </w:r>
            <w:r w:rsidRPr="00632F9B">
              <w:rPr>
                <w:rFonts w:ascii="Calibri" w:eastAsia="Calibri" w:hAnsi="Calibri" w:cs="Times New Roman"/>
                <w:noProof/>
                <w:color w:val="1F497D" w:themeColor="text2"/>
                <w:sz w:val="20"/>
                <w:szCs w:val="20"/>
              </w:rPr>
              <w:t>pilots </w:t>
            </w:r>
            <w:r>
              <w:rPr>
                <w:rFonts w:ascii="Calibri" w:eastAsia="Calibri" w:hAnsi="Calibri" w:cs="Times New Roman"/>
                <w:noProof/>
                <w:color w:val="1F497D" w:themeColor="text2"/>
                <w:sz w:val="20"/>
                <w:szCs w:val="20"/>
              </w:rPr>
              <w:t>operating UAS</w:t>
            </w:r>
          </w:p>
        </w:tc>
        <w:tc>
          <w:tcPr>
            <w:tcW w:w="3415" w:type="dxa"/>
            <w:tcBorders>
              <w:bottom w:val="single" w:sz="18" w:space="0" w:color="auto"/>
              <w:right w:val="single" w:sz="18" w:space="0" w:color="auto"/>
            </w:tcBorders>
            <w:shd w:val="clear" w:color="auto" w:fill="FFFFFF" w:themeFill="background1"/>
            <w:tcMar>
              <w:top w:w="0" w:type="dxa"/>
              <w:left w:w="108" w:type="dxa"/>
              <w:bottom w:w="0" w:type="dxa"/>
              <w:right w:w="108" w:type="dxa"/>
            </w:tcMar>
            <w:vAlign w:val="center"/>
            <w:hideMark/>
          </w:tcPr>
          <w:p w14:paraId="78710527" w14:textId="77777777" w:rsidR="00222F1A" w:rsidRPr="007220D5" w:rsidRDefault="00222F1A" w:rsidP="008651BD">
            <w:pPr>
              <w:spacing w:line="276" w:lineRule="auto"/>
              <w:jc w:val="left"/>
              <w:rPr>
                <w:rFonts w:ascii="Calibri" w:eastAsia="Calibri" w:hAnsi="Calibri" w:cs="Times New Roman"/>
                <w:noProof/>
                <w:color w:val="1F497D" w:themeColor="text2"/>
                <w:sz w:val="20"/>
                <w:szCs w:val="20"/>
              </w:rPr>
            </w:pPr>
            <w:r>
              <w:rPr>
                <w:rFonts w:ascii="Calibri" w:eastAsia="Calibri" w:hAnsi="Calibri" w:cs="Times New Roman"/>
                <w:noProof/>
                <w:color w:val="1F497D" w:themeColor="text2"/>
                <w:sz w:val="20"/>
                <w:szCs w:val="20"/>
              </w:rPr>
              <w:t>n/a</w:t>
            </w:r>
          </w:p>
        </w:tc>
      </w:tr>
      <w:tr w:rsidR="00222F1A" w:rsidRPr="007220D5" w14:paraId="6E814A53" w14:textId="77777777" w:rsidTr="00222F1A">
        <w:trPr>
          <w:trHeight w:val="371"/>
        </w:trPr>
        <w:tc>
          <w:tcPr>
            <w:tcW w:w="2245" w:type="dxa"/>
            <w:tcBorders>
              <w:top w:val="single" w:sz="18" w:space="0" w:color="auto"/>
              <w:left w:val="single" w:sz="18" w:space="0" w:color="auto"/>
            </w:tcBorders>
            <w:shd w:val="clear" w:color="auto" w:fill="4F81BD"/>
            <w:hideMark/>
          </w:tcPr>
          <w:p w14:paraId="77F32488" w14:textId="0694B2BD" w:rsidR="00222F1A" w:rsidRPr="007220D5" w:rsidRDefault="00222F1A" w:rsidP="008651BD">
            <w:pPr>
              <w:spacing w:before="0" w:after="0"/>
              <w:jc w:val="left"/>
              <w:rPr>
                <w:rFonts w:ascii="Calibri" w:eastAsia="Calibri" w:hAnsi="Calibri" w:cs="Times New Roman"/>
                <w:b/>
                <w:bCs/>
                <w:noProof/>
                <w:color w:val="FFFFFF"/>
                <w:sz w:val="20"/>
                <w:szCs w:val="20"/>
              </w:rPr>
            </w:pPr>
            <w:r>
              <w:rPr>
                <w:rFonts w:ascii="Calibri" w:eastAsia="Calibri" w:hAnsi="Calibri" w:cs="Times New Roman"/>
                <w:b/>
                <w:bCs/>
                <w:noProof/>
                <w:color w:val="FFFFFF"/>
                <w:sz w:val="20"/>
                <w:szCs w:val="20"/>
              </w:rPr>
              <w:t>U-space</w:t>
            </w:r>
          </w:p>
        </w:tc>
        <w:tc>
          <w:tcPr>
            <w:tcW w:w="4191" w:type="dxa"/>
            <w:tcBorders>
              <w:top w:val="single" w:sz="18" w:space="0" w:color="auto"/>
            </w:tcBorders>
            <w:shd w:val="clear" w:color="auto" w:fill="D8D8D8"/>
          </w:tcPr>
          <w:p w14:paraId="45CD67BF" w14:textId="77777777" w:rsidR="00222F1A" w:rsidRPr="007220D5" w:rsidRDefault="00222F1A" w:rsidP="00FB18C9">
            <w:pPr>
              <w:spacing w:line="276" w:lineRule="auto"/>
              <w:ind w:left="113"/>
              <w:jc w:val="left"/>
              <w:rPr>
                <w:rFonts w:ascii="Calibri" w:eastAsia="Calibri" w:hAnsi="Calibri" w:cs="Times New Roman"/>
                <w:noProof/>
                <w:color w:val="1F497D" w:themeColor="text2"/>
                <w:sz w:val="20"/>
                <w:szCs w:val="20"/>
              </w:rPr>
            </w:pPr>
            <w:r>
              <w:rPr>
                <w:rFonts w:ascii="Calibri" w:eastAsia="Calibri" w:hAnsi="Calibri" w:cs="Times New Roman"/>
                <w:noProof/>
                <w:color w:val="1F497D" w:themeColor="text2"/>
                <w:sz w:val="20"/>
                <w:szCs w:val="20"/>
              </w:rPr>
              <w:t>Airspace risk assessment, d</w:t>
            </w:r>
            <w:r w:rsidRPr="00FB18C9">
              <w:rPr>
                <w:rFonts w:ascii="Calibri" w:eastAsia="Calibri" w:hAnsi="Calibri" w:cs="Times New Roman"/>
                <w:noProof/>
                <w:color w:val="1F497D" w:themeColor="text2"/>
                <w:sz w:val="20"/>
                <w:szCs w:val="20"/>
              </w:rPr>
              <w:t>esignation of U-space airspace, dynamic airspace reconfiguration and related responsibilities</w:t>
            </w:r>
          </w:p>
        </w:tc>
        <w:tc>
          <w:tcPr>
            <w:tcW w:w="3415" w:type="dxa"/>
            <w:tcBorders>
              <w:top w:val="single" w:sz="18" w:space="0" w:color="auto"/>
              <w:right w:val="single" w:sz="18" w:space="0" w:color="auto"/>
            </w:tcBorders>
            <w:shd w:val="clear" w:color="auto" w:fill="FFFFFF" w:themeFill="background1"/>
            <w:tcMar>
              <w:top w:w="0" w:type="dxa"/>
              <w:left w:w="108" w:type="dxa"/>
              <w:bottom w:w="0" w:type="dxa"/>
              <w:right w:w="108" w:type="dxa"/>
            </w:tcMar>
            <w:hideMark/>
          </w:tcPr>
          <w:p w14:paraId="7411EB6A" w14:textId="77777777" w:rsidR="00222F1A" w:rsidRPr="007220D5" w:rsidRDefault="00222F1A" w:rsidP="008651BD">
            <w:pPr>
              <w:spacing w:line="276" w:lineRule="auto"/>
              <w:jc w:val="left"/>
              <w:rPr>
                <w:rFonts w:ascii="Calibri" w:eastAsia="Calibri" w:hAnsi="Calibri" w:cs="Times New Roman"/>
                <w:noProof/>
                <w:color w:val="1F497D" w:themeColor="text2"/>
                <w:sz w:val="20"/>
                <w:szCs w:val="20"/>
              </w:rPr>
            </w:pPr>
            <w:r>
              <w:rPr>
                <w:rFonts w:ascii="Calibri" w:eastAsia="Calibri" w:hAnsi="Calibri" w:cs="Times New Roman"/>
                <w:noProof/>
                <w:color w:val="1F497D" w:themeColor="text2"/>
                <w:sz w:val="20"/>
                <w:szCs w:val="20"/>
              </w:rPr>
              <w:t>n/a</w:t>
            </w:r>
          </w:p>
        </w:tc>
      </w:tr>
      <w:tr w:rsidR="00222F1A" w:rsidRPr="007220D5" w14:paraId="6A2DD7E2" w14:textId="77777777" w:rsidTr="00222F1A">
        <w:trPr>
          <w:trHeight w:val="371"/>
        </w:trPr>
        <w:tc>
          <w:tcPr>
            <w:tcW w:w="2245" w:type="dxa"/>
            <w:tcBorders>
              <w:left w:val="single" w:sz="18" w:space="0" w:color="auto"/>
            </w:tcBorders>
            <w:shd w:val="clear" w:color="auto" w:fill="4F81BD"/>
            <w:vAlign w:val="center"/>
            <w:hideMark/>
          </w:tcPr>
          <w:p w14:paraId="710D4610" w14:textId="77777777" w:rsidR="00222F1A" w:rsidRPr="007220D5" w:rsidRDefault="00222F1A" w:rsidP="008651BD">
            <w:pPr>
              <w:spacing w:before="0" w:after="0"/>
              <w:jc w:val="left"/>
              <w:rPr>
                <w:rFonts w:ascii="Calibri" w:eastAsia="Calibri" w:hAnsi="Calibri" w:cs="Times New Roman"/>
                <w:b/>
                <w:bCs/>
                <w:noProof/>
                <w:color w:val="FFFFFF"/>
                <w:sz w:val="20"/>
                <w:szCs w:val="20"/>
              </w:rPr>
            </w:pPr>
          </w:p>
        </w:tc>
        <w:tc>
          <w:tcPr>
            <w:tcW w:w="4191" w:type="dxa"/>
            <w:shd w:val="clear" w:color="auto" w:fill="FFFFFF" w:themeFill="background1"/>
            <w:hideMark/>
          </w:tcPr>
          <w:p w14:paraId="2545D404" w14:textId="77777777" w:rsidR="00222F1A" w:rsidRPr="007220D5" w:rsidRDefault="00222F1A" w:rsidP="00FB18C9">
            <w:pPr>
              <w:spacing w:line="276" w:lineRule="auto"/>
              <w:ind w:left="113"/>
              <w:jc w:val="left"/>
              <w:rPr>
                <w:rFonts w:ascii="Calibri" w:eastAsia="Calibri" w:hAnsi="Calibri" w:cs="Times New Roman"/>
                <w:noProof/>
                <w:color w:val="1F497D" w:themeColor="text2"/>
                <w:sz w:val="20"/>
                <w:szCs w:val="20"/>
              </w:rPr>
            </w:pPr>
            <w:r w:rsidRPr="00FB18C9">
              <w:rPr>
                <w:rFonts w:ascii="Calibri" w:eastAsia="Calibri" w:hAnsi="Calibri" w:cs="Times New Roman"/>
                <w:noProof/>
                <w:color w:val="1F497D" w:themeColor="text2"/>
                <w:sz w:val="20"/>
                <w:szCs w:val="20"/>
              </w:rPr>
              <w:t>Designation and certification of the single common information service provider</w:t>
            </w:r>
          </w:p>
        </w:tc>
        <w:tc>
          <w:tcPr>
            <w:tcW w:w="3415" w:type="dxa"/>
            <w:tcBorders>
              <w:right w:val="single" w:sz="18" w:space="0" w:color="auto"/>
            </w:tcBorders>
            <w:shd w:val="clear" w:color="auto" w:fill="D9D9D9" w:themeFill="background1" w:themeFillShade="D9"/>
            <w:tcMar>
              <w:top w:w="0" w:type="dxa"/>
              <w:left w:w="108" w:type="dxa"/>
              <w:bottom w:w="0" w:type="dxa"/>
              <w:right w:w="108" w:type="dxa"/>
            </w:tcMar>
            <w:vAlign w:val="center"/>
            <w:hideMark/>
          </w:tcPr>
          <w:p w14:paraId="02E36F34" w14:textId="77777777" w:rsidR="00222F1A" w:rsidRPr="007220D5" w:rsidRDefault="00222F1A" w:rsidP="008651BD">
            <w:pPr>
              <w:spacing w:line="276" w:lineRule="auto"/>
              <w:jc w:val="left"/>
              <w:rPr>
                <w:rFonts w:ascii="Calibri" w:eastAsia="Calibri" w:hAnsi="Calibri" w:cs="Times New Roman"/>
                <w:noProof/>
                <w:color w:val="1F497D" w:themeColor="text2"/>
                <w:sz w:val="20"/>
                <w:szCs w:val="20"/>
              </w:rPr>
            </w:pPr>
            <w:r>
              <w:rPr>
                <w:rFonts w:ascii="Calibri" w:eastAsia="Calibri" w:hAnsi="Calibri" w:cs="Times New Roman"/>
                <w:noProof/>
                <w:color w:val="1F497D" w:themeColor="text2"/>
                <w:sz w:val="20"/>
                <w:szCs w:val="20"/>
              </w:rPr>
              <w:t>n/a</w:t>
            </w:r>
          </w:p>
        </w:tc>
      </w:tr>
      <w:tr w:rsidR="00764498" w:rsidRPr="007220D5" w14:paraId="68D61BD8" w14:textId="77777777" w:rsidTr="00222F1A">
        <w:trPr>
          <w:trHeight w:val="700"/>
        </w:trPr>
        <w:tc>
          <w:tcPr>
            <w:tcW w:w="2245" w:type="dxa"/>
            <w:tcBorders>
              <w:left w:val="single" w:sz="18" w:space="0" w:color="auto"/>
              <w:bottom w:val="single" w:sz="18" w:space="0" w:color="auto"/>
            </w:tcBorders>
            <w:shd w:val="clear" w:color="auto" w:fill="4F81BD"/>
            <w:tcMar>
              <w:top w:w="0" w:type="dxa"/>
              <w:left w:w="108" w:type="dxa"/>
              <w:bottom w:w="0" w:type="dxa"/>
              <w:right w:w="108" w:type="dxa"/>
            </w:tcMar>
          </w:tcPr>
          <w:p w14:paraId="7BBFE991" w14:textId="547E266B" w:rsidR="00764498" w:rsidRPr="007220D5" w:rsidRDefault="00764498">
            <w:pPr>
              <w:spacing w:line="276" w:lineRule="auto"/>
              <w:jc w:val="left"/>
              <w:rPr>
                <w:rFonts w:ascii="Calibri" w:eastAsia="Calibri" w:hAnsi="Calibri" w:cs="Times New Roman"/>
                <w:b/>
                <w:bCs/>
                <w:noProof/>
                <w:color w:val="FFFFFF"/>
                <w:sz w:val="20"/>
                <w:szCs w:val="20"/>
              </w:rPr>
            </w:pPr>
          </w:p>
        </w:tc>
        <w:tc>
          <w:tcPr>
            <w:tcW w:w="4191" w:type="dxa"/>
            <w:tcBorders>
              <w:bottom w:val="single" w:sz="18" w:space="0" w:color="auto"/>
            </w:tcBorders>
            <w:shd w:val="clear" w:color="auto" w:fill="D9D9D9" w:themeFill="background1" w:themeFillShade="D9"/>
            <w:tcMar>
              <w:top w:w="0" w:type="dxa"/>
              <w:left w:w="108" w:type="dxa"/>
              <w:bottom w:w="0" w:type="dxa"/>
              <w:right w:w="108" w:type="dxa"/>
            </w:tcMar>
            <w:hideMark/>
          </w:tcPr>
          <w:p w14:paraId="0C70692C" w14:textId="77777777" w:rsidR="00764498" w:rsidRPr="007220D5" w:rsidRDefault="00764498" w:rsidP="00651FC5">
            <w:pPr>
              <w:spacing w:line="276" w:lineRule="auto"/>
              <w:jc w:val="left"/>
              <w:rPr>
                <w:rFonts w:ascii="Calibri" w:eastAsia="Calibri" w:hAnsi="Calibri" w:cs="Times New Roman"/>
                <w:noProof/>
                <w:color w:val="1F497D" w:themeColor="text2"/>
                <w:sz w:val="20"/>
                <w:szCs w:val="20"/>
              </w:rPr>
            </w:pPr>
            <w:r w:rsidRPr="00FB18C9">
              <w:rPr>
                <w:rFonts w:ascii="Calibri" w:eastAsia="Calibri" w:hAnsi="Calibri" w:cs="Times New Roman"/>
                <w:noProof/>
                <w:color w:val="1F497D" w:themeColor="text2"/>
                <w:sz w:val="20"/>
                <w:szCs w:val="20"/>
              </w:rPr>
              <w:t xml:space="preserve">Certification of other U-space service providers (USSP) </w:t>
            </w:r>
          </w:p>
        </w:tc>
        <w:tc>
          <w:tcPr>
            <w:tcW w:w="3415" w:type="dxa"/>
            <w:tcBorders>
              <w:bottom w:val="single" w:sz="18" w:space="0" w:color="auto"/>
              <w:right w:val="single" w:sz="18" w:space="0" w:color="auto"/>
            </w:tcBorders>
            <w:shd w:val="clear" w:color="auto" w:fill="FFFFFF" w:themeFill="background1"/>
            <w:tcMar>
              <w:top w:w="0" w:type="dxa"/>
              <w:left w:w="108" w:type="dxa"/>
              <w:bottom w:w="0" w:type="dxa"/>
              <w:right w:w="108" w:type="dxa"/>
            </w:tcMar>
            <w:vAlign w:val="center"/>
            <w:hideMark/>
          </w:tcPr>
          <w:p w14:paraId="4F7F7C73" w14:textId="77777777" w:rsidR="00764498" w:rsidRPr="007220D5" w:rsidRDefault="00764498" w:rsidP="00651FC5">
            <w:pPr>
              <w:spacing w:line="276" w:lineRule="auto"/>
              <w:jc w:val="left"/>
              <w:rPr>
                <w:rFonts w:ascii="Calibri" w:eastAsia="Calibri" w:hAnsi="Calibri" w:cs="Times New Roman"/>
                <w:noProof/>
                <w:color w:val="1F497D" w:themeColor="text2"/>
                <w:sz w:val="20"/>
                <w:szCs w:val="20"/>
              </w:rPr>
            </w:pPr>
            <w:r w:rsidRPr="00FB18C9">
              <w:rPr>
                <w:rFonts w:ascii="Calibri" w:eastAsia="Calibri" w:hAnsi="Calibri" w:cs="Times New Roman"/>
                <w:noProof/>
                <w:color w:val="1F497D" w:themeColor="text2"/>
                <w:sz w:val="20"/>
                <w:szCs w:val="20"/>
              </w:rPr>
              <w:t>Certification of pan-European USSPs and third-country USSPs</w:t>
            </w:r>
          </w:p>
        </w:tc>
      </w:tr>
    </w:tbl>
    <w:p w14:paraId="78F72606" w14:textId="77777777" w:rsidR="008651BD" w:rsidRDefault="008651BD" w:rsidP="007220D5">
      <w:pPr>
        <w:pStyle w:val="Text1"/>
        <w:ind w:left="0"/>
        <w:rPr>
          <w:noProof/>
        </w:rPr>
      </w:pPr>
    </w:p>
    <w:p w14:paraId="3C7ABE59" w14:textId="77777777" w:rsidR="003F7251" w:rsidRPr="00FB18C9" w:rsidRDefault="003F7251" w:rsidP="007220D5">
      <w:pPr>
        <w:pStyle w:val="Text1"/>
        <w:ind w:left="0"/>
        <w:rPr>
          <w:rFonts w:ascii="Times New Roman" w:hAnsi="Times New Roman"/>
          <w:noProof/>
        </w:rPr>
      </w:pPr>
      <w:r w:rsidRPr="00FB18C9">
        <w:rPr>
          <w:rFonts w:ascii="Times New Roman" w:hAnsi="Times New Roman"/>
          <w:noProof/>
        </w:rPr>
        <w:t xml:space="preserve">Note: </w:t>
      </w:r>
    </w:p>
    <w:p w14:paraId="4BE53413" w14:textId="77777777" w:rsidR="008651BD" w:rsidRDefault="003F7251" w:rsidP="007220D5">
      <w:pPr>
        <w:pStyle w:val="Text1"/>
        <w:ind w:left="0"/>
        <w:rPr>
          <w:rFonts w:ascii="Times New Roman" w:hAnsi="Times New Roman"/>
          <w:noProof/>
        </w:rPr>
      </w:pPr>
      <w:r w:rsidRPr="00FB18C9">
        <w:rPr>
          <w:rFonts w:ascii="Times New Roman" w:hAnsi="Times New Roman"/>
          <w:noProof/>
        </w:rPr>
        <w:t xml:space="preserve">Approval/certification responsibilities in the various </w:t>
      </w:r>
      <w:r>
        <w:rPr>
          <w:rFonts w:ascii="Times New Roman" w:hAnsi="Times New Roman"/>
          <w:noProof/>
        </w:rPr>
        <w:t xml:space="preserve">areas of competence </w:t>
      </w:r>
      <w:r w:rsidRPr="00FB18C9">
        <w:rPr>
          <w:rFonts w:ascii="Times New Roman" w:hAnsi="Times New Roman"/>
          <w:noProof/>
        </w:rPr>
        <w:t xml:space="preserve">also encompass safety management and information security management, </w:t>
      </w:r>
      <w:r>
        <w:rPr>
          <w:rFonts w:ascii="Times New Roman" w:hAnsi="Times New Roman"/>
          <w:noProof/>
        </w:rPr>
        <w:t xml:space="preserve">where </w:t>
      </w:r>
      <w:r w:rsidRPr="00FB18C9">
        <w:rPr>
          <w:rFonts w:ascii="Times New Roman" w:hAnsi="Times New Roman"/>
          <w:noProof/>
        </w:rPr>
        <w:t>applicable. Compliance with the applicable requirements is verified as part of the initial certification/approval and continuing oversight processes</w:t>
      </w:r>
      <w:r>
        <w:rPr>
          <w:rFonts w:ascii="Times New Roman" w:hAnsi="Times New Roman"/>
          <w:noProof/>
        </w:rPr>
        <w:t xml:space="preserve"> and </w:t>
      </w:r>
      <w:r w:rsidR="00EF730F">
        <w:rPr>
          <w:rFonts w:ascii="Times New Roman" w:hAnsi="Times New Roman"/>
          <w:noProof/>
        </w:rPr>
        <w:t xml:space="preserve">is not subject to </w:t>
      </w:r>
      <w:r w:rsidRPr="00FB18C9">
        <w:rPr>
          <w:rFonts w:ascii="Times New Roman" w:hAnsi="Times New Roman"/>
          <w:noProof/>
        </w:rPr>
        <w:t>a</w:t>
      </w:r>
      <w:r>
        <w:rPr>
          <w:rFonts w:ascii="Times New Roman" w:hAnsi="Times New Roman"/>
          <w:noProof/>
        </w:rPr>
        <w:t xml:space="preserve">ny </w:t>
      </w:r>
      <w:r w:rsidRPr="00FB18C9">
        <w:rPr>
          <w:rFonts w:ascii="Times New Roman" w:hAnsi="Times New Roman"/>
          <w:noProof/>
        </w:rPr>
        <w:t xml:space="preserve">separate </w:t>
      </w:r>
      <w:r w:rsidR="00EF730F">
        <w:rPr>
          <w:rFonts w:ascii="Times New Roman" w:hAnsi="Times New Roman"/>
          <w:noProof/>
        </w:rPr>
        <w:t>approval/</w:t>
      </w:r>
      <w:r w:rsidRPr="00FB18C9">
        <w:rPr>
          <w:rFonts w:ascii="Times New Roman" w:hAnsi="Times New Roman"/>
          <w:noProof/>
        </w:rPr>
        <w:t xml:space="preserve">organisation certificate. </w:t>
      </w:r>
      <w:r w:rsidR="00EF730F">
        <w:rPr>
          <w:rFonts w:ascii="Times New Roman" w:hAnsi="Times New Roman"/>
          <w:noProof/>
        </w:rPr>
        <w:t xml:space="preserve">Accordingly, the </w:t>
      </w:r>
      <w:r>
        <w:rPr>
          <w:rFonts w:ascii="Times New Roman" w:hAnsi="Times New Roman"/>
          <w:noProof/>
        </w:rPr>
        <w:t>a</w:t>
      </w:r>
      <w:r w:rsidRPr="00FB18C9">
        <w:rPr>
          <w:rFonts w:ascii="Times New Roman" w:hAnsi="Times New Roman"/>
          <w:noProof/>
        </w:rPr>
        <w:t xml:space="preserve">llocation of responsibilities for those domains </w:t>
      </w:r>
      <w:r w:rsidR="00EF730F">
        <w:rPr>
          <w:rFonts w:ascii="Times New Roman" w:hAnsi="Times New Roman"/>
          <w:noProof/>
        </w:rPr>
        <w:t xml:space="preserve">follows </w:t>
      </w:r>
      <w:r>
        <w:rPr>
          <w:rFonts w:ascii="Times New Roman" w:hAnsi="Times New Roman"/>
          <w:noProof/>
        </w:rPr>
        <w:t>th</w:t>
      </w:r>
      <w:r w:rsidR="00EF730F">
        <w:rPr>
          <w:rFonts w:ascii="Times New Roman" w:hAnsi="Times New Roman"/>
          <w:noProof/>
        </w:rPr>
        <w:t xml:space="preserve">at defined in </w:t>
      </w:r>
      <w:r w:rsidR="009E0C72">
        <w:rPr>
          <w:rFonts w:ascii="Times New Roman" w:hAnsi="Times New Roman"/>
          <w:noProof/>
        </w:rPr>
        <w:t xml:space="preserve">Table </w:t>
      </w:r>
      <w:r w:rsidR="00EF730F" w:rsidRPr="00FB18C9">
        <w:rPr>
          <w:rFonts w:ascii="Times New Roman" w:hAnsi="Times New Roman"/>
          <w:noProof/>
        </w:rPr>
        <w:t xml:space="preserve"> 2</w:t>
      </w:r>
      <w:r w:rsidRPr="00FB18C9">
        <w:rPr>
          <w:rFonts w:ascii="Times New Roman" w:hAnsi="Times New Roman"/>
          <w:noProof/>
        </w:rPr>
        <w:t xml:space="preserve">. </w:t>
      </w:r>
    </w:p>
    <w:p w14:paraId="330B8B47" w14:textId="77777777" w:rsidR="00F13835" w:rsidRPr="00FB18C9" w:rsidRDefault="00F13835" w:rsidP="007220D5">
      <w:pPr>
        <w:pStyle w:val="Text1"/>
        <w:ind w:left="0"/>
        <w:rPr>
          <w:rFonts w:ascii="Times New Roman" w:hAnsi="Times New Roman"/>
          <w:noProof/>
        </w:rPr>
      </w:pPr>
    </w:p>
    <w:p w14:paraId="5CEAFC7B" w14:textId="19A9385E" w:rsidR="007564A3" w:rsidRPr="00346951" w:rsidRDefault="007564A3" w:rsidP="007564A3">
      <w:pPr>
        <w:pStyle w:val="TabFig"/>
        <w:rPr>
          <w:noProof/>
        </w:rPr>
      </w:pPr>
      <w:bookmarkStart w:id="86" w:name="_Toc94875651"/>
      <w:bookmarkStart w:id="87" w:name="_Toc94875903"/>
      <w:r>
        <w:rPr>
          <w:noProof/>
        </w:rPr>
        <w:t>Figure 1</w:t>
      </w:r>
      <w:r w:rsidRPr="003E19AF">
        <w:rPr>
          <w:noProof/>
        </w:rPr>
        <w:t>. Interrelationship between the stakeholders in the European safety system</w:t>
      </w:r>
      <w:bookmarkEnd w:id="86"/>
      <w:bookmarkEnd w:id="87"/>
    </w:p>
    <w:p w14:paraId="0199DF67" w14:textId="1DAE5D5C" w:rsidR="00C86564" w:rsidRDefault="00C86564" w:rsidP="00A058FF">
      <w:pPr>
        <w:spacing w:before="0" w:after="200" w:line="276" w:lineRule="auto"/>
        <w:ind w:hanging="567"/>
        <w:jc w:val="left"/>
        <w:rPr>
          <w:rFonts w:eastAsiaTheme="majorEastAsia" w:cstheme="majorBidi"/>
          <w:bCs/>
          <w:iCs/>
          <w:noProof/>
        </w:rPr>
      </w:pPr>
      <w:r>
        <w:rPr>
          <w:rFonts w:eastAsiaTheme="majorEastAsia" w:cstheme="majorBidi"/>
          <w:bCs/>
          <w:iCs/>
          <w:noProof/>
          <w:lang w:eastAsia="en-GB"/>
        </w:rPr>
        <w:drawing>
          <wp:inline distT="0" distB="0" distL="0" distR="0" wp14:anchorId="4318E8F8" wp14:editId="1EE6AF1D">
            <wp:extent cx="6667079" cy="419575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681502" cy="4204830"/>
                    </a:xfrm>
                    <a:prstGeom prst="rect">
                      <a:avLst/>
                    </a:prstGeom>
                    <a:noFill/>
                  </pic:spPr>
                </pic:pic>
              </a:graphicData>
            </a:graphic>
          </wp:inline>
        </w:drawing>
      </w:r>
    </w:p>
    <w:p w14:paraId="07101A5D" w14:textId="77777777" w:rsidR="00D21322" w:rsidRDefault="00D21322">
      <w:pPr>
        <w:pStyle w:val="Heading4"/>
        <w:spacing w:before="100" w:after="240"/>
        <w:rPr>
          <w:noProof/>
        </w:rPr>
      </w:pPr>
    </w:p>
    <w:p w14:paraId="0FD00E39" w14:textId="77777777" w:rsidR="000238AE" w:rsidRDefault="000238AE" w:rsidP="001A0D14">
      <w:pPr>
        <w:pStyle w:val="Heading4"/>
        <w:keepLines w:val="0"/>
        <w:numPr>
          <w:ilvl w:val="3"/>
          <w:numId w:val="11"/>
        </w:numPr>
        <w:spacing w:before="240" w:after="240"/>
        <w:rPr>
          <w:noProof/>
        </w:rPr>
      </w:pPr>
      <w:r>
        <w:rPr>
          <w:noProof/>
        </w:rPr>
        <w:t xml:space="preserve">The Member </w:t>
      </w:r>
      <w:r w:rsidR="00A46B04">
        <w:rPr>
          <w:noProof/>
        </w:rPr>
        <w:t>State</w:t>
      </w:r>
      <w:r>
        <w:rPr>
          <w:noProof/>
        </w:rPr>
        <w:t>s</w:t>
      </w:r>
    </w:p>
    <w:p w14:paraId="3BBE492B" w14:textId="77777777" w:rsidR="00502AAE" w:rsidRDefault="002D5A77" w:rsidP="009E5638">
      <w:pPr>
        <w:rPr>
          <w:noProof/>
        </w:rPr>
      </w:pPr>
      <w:r>
        <w:rPr>
          <w:noProof/>
        </w:rPr>
        <w:t>U</w:t>
      </w:r>
      <w:r w:rsidR="009E5638" w:rsidRPr="009E5638">
        <w:rPr>
          <w:noProof/>
        </w:rPr>
        <w:t xml:space="preserve">nder the ordinary legislative procedure, the Council composed of Member </w:t>
      </w:r>
      <w:r w:rsidR="00A46B04">
        <w:rPr>
          <w:noProof/>
        </w:rPr>
        <w:t>State</w:t>
      </w:r>
      <w:r w:rsidR="009E5638" w:rsidRPr="009E5638">
        <w:rPr>
          <w:noProof/>
        </w:rPr>
        <w:t>s representatives is co-legislator n</w:t>
      </w:r>
      <w:r w:rsidR="009E5638">
        <w:rPr>
          <w:noProof/>
        </w:rPr>
        <w:t xml:space="preserve">ext to the European Parliament </w:t>
      </w:r>
      <w:r w:rsidR="00393ABB">
        <w:rPr>
          <w:noProof/>
        </w:rPr>
        <w:t xml:space="preserve">(see </w:t>
      </w:r>
      <w:hyperlink w:anchor="_Decision_making_process" w:history="1">
        <w:r w:rsidR="00592FEE" w:rsidRPr="00510011">
          <w:rPr>
            <w:rStyle w:val="Hyperlink"/>
            <w:noProof/>
          </w:rPr>
          <w:t xml:space="preserve">section </w:t>
        </w:r>
        <w:r w:rsidR="00393ABB" w:rsidRPr="00510011">
          <w:rPr>
            <w:rStyle w:val="Hyperlink"/>
            <w:noProof/>
          </w:rPr>
          <w:t>1.3.1</w:t>
        </w:r>
      </w:hyperlink>
      <w:r w:rsidR="009E5638">
        <w:rPr>
          <w:noProof/>
        </w:rPr>
        <w:t>)</w:t>
      </w:r>
      <w:r w:rsidR="00502AAE">
        <w:rPr>
          <w:noProof/>
        </w:rPr>
        <w:t xml:space="preserve">. </w:t>
      </w:r>
      <w:r w:rsidR="009E5638" w:rsidRPr="009E5638">
        <w:rPr>
          <w:noProof/>
        </w:rPr>
        <w:t xml:space="preserve">Member </w:t>
      </w:r>
      <w:r w:rsidR="00A46B04">
        <w:rPr>
          <w:noProof/>
        </w:rPr>
        <w:t>State</w:t>
      </w:r>
      <w:r w:rsidR="009E5638" w:rsidRPr="009E5638">
        <w:rPr>
          <w:noProof/>
        </w:rPr>
        <w:t xml:space="preserve">s (but not the Council as such) </w:t>
      </w:r>
      <w:r w:rsidR="009E5638">
        <w:rPr>
          <w:noProof/>
        </w:rPr>
        <w:t xml:space="preserve">are also </w:t>
      </w:r>
      <w:r w:rsidR="00502AAE">
        <w:rPr>
          <w:noProof/>
        </w:rPr>
        <w:t xml:space="preserve">part of the </w:t>
      </w:r>
      <w:r w:rsidR="0085128C">
        <w:rPr>
          <w:noProof/>
        </w:rPr>
        <w:t>decision-making</w:t>
      </w:r>
      <w:r w:rsidR="00502AAE">
        <w:rPr>
          <w:noProof/>
        </w:rPr>
        <w:t xml:space="preserve"> process </w:t>
      </w:r>
      <w:r w:rsidR="005E0CEE">
        <w:rPr>
          <w:noProof/>
        </w:rPr>
        <w:t xml:space="preserve">in </w:t>
      </w:r>
      <w:r w:rsidR="009E5638">
        <w:rPr>
          <w:noProof/>
        </w:rPr>
        <w:t>the case</w:t>
      </w:r>
      <w:r w:rsidR="00502AAE">
        <w:rPr>
          <w:noProof/>
        </w:rPr>
        <w:t xml:space="preserve"> of implementing </w:t>
      </w:r>
      <w:r w:rsidR="009E5638">
        <w:rPr>
          <w:noProof/>
        </w:rPr>
        <w:t xml:space="preserve">acts </w:t>
      </w:r>
      <w:r>
        <w:rPr>
          <w:noProof/>
        </w:rPr>
        <w:t xml:space="preserve">through the established comitology arrangements </w:t>
      </w:r>
      <w:r w:rsidR="00502AAE">
        <w:rPr>
          <w:noProof/>
        </w:rPr>
        <w:t xml:space="preserve">(see </w:t>
      </w:r>
      <w:hyperlink w:anchor="_Decision_making_process" w:history="1">
        <w:r w:rsidR="00502AAE" w:rsidRPr="00510011">
          <w:rPr>
            <w:rStyle w:val="Hyperlink"/>
            <w:noProof/>
          </w:rPr>
          <w:t>section 1.</w:t>
        </w:r>
        <w:r w:rsidR="0021292F">
          <w:rPr>
            <w:rStyle w:val="Hyperlink"/>
            <w:noProof/>
          </w:rPr>
          <w:t>4</w:t>
        </w:r>
        <w:r w:rsidR="00502AAE" w:rsidRPr="00510011">
          <w:rPr>
            <w:rStyle w:val="Hyperlink"/>
            <w:noProof/>
          </w:rPr>
          <w:t>.1</w:t>
        </w:r>
      </w:hyperlink>
      <w:r w:rsidR="00502AAE">
        <w:rPr>
          <w:noProof/>
        </w:rPr>
        <w:t>)</w:t>
      </w:r>
      <w:r w:rsidR="003771FE">
        <w:rPr>
          <w:noProof/>
        </w:rPr>
        <w:t>.</w:t>
      </w:r>
      <w:r w:rsidR="00502AAE">
        <w:rPr>
          <w:noProof/>
        </w:rPr>
        <w:t xml:space="preserve"> </w:t>
      </w:r>
    </w:p>
    <w:p w14:paraId="0E09D3C3" w14:textId="77777777" w:rsidR="003771FE" w:rsidRPr="003574B9" w:rsidRDefault="00BC2A22" w:rsidP="003771FE">
      <w:pPr>
        <w:autoSpaceDE w:val="0"/>
        <w:autoSpaceDN w:val="0"/>
        <w:adjustRightInd w:val="0"/>
        <w:rPr>
          <w:noProof/>
        </w:rPr>
      </w:pPr>
      <w:bookmarkStart w:id="88" w:name="_Hlk112664535"/>
      <w:r w:rsidRPr="00BC2A22">
        <w:rPr>
          <w:noProof/>
        </w:rPr>
        <w:t xml:space="preserve">As Union law stands, the </w:t>
      </w:r>
      <w:r w:rsidR="003771FE" w:rsidRPr="003574B9">
        <w:rPr>
          <w:noProof/>
        </w:rPr>
        <w:t xml:space="preserve">Member </w:t>
      </w:r>
      <w:r w:rsidR="00A46B04">
        <w:rPr>
          <w:noProof/>
        </w:rPr>
        <w:t>State</w:t>
      </w:r>
      <w:r w:rsidR="003771FE" w:rsidRPr="003574B9">
        <w:rPr>
          <w:noProof/>
        </w:rPr>
        <w:t>s remain responsible for the regulation of:</w:t>
      </w:r>
    </w:p>
    <w:p w14:paraId="2A0D8ADA" w14:textId="77777777" w:rsidR="003771FE" w:rsidRPr="003574B9" w:rsidRDefault="003771FE" w:rsidP="003771FE">
      <w:pPr>
        <w:ind w:left="960" w:hanging="600"/>
        <w:rPr>
          <w:noProof/>
        </w:rPr>
      </w:pPr>
      <w:r w:rsidRPr="003574B9">
        <w:rPr>
          <w:noProof/>
        </w:rPr>
        <w:t xml:space="preserve">(a) </w:t>
      </w:r>
      <w:r w:rsidRPr="003574B9">
        <w:rPr>
          <w:noProof/>
        </w:rPr>
        <w:tab/>
        <w:t xml:space="preserve">The airworthiness of aircraft listed under Annex I </w:t>
      </w:r>
      <w:r w:rsidR="009E0C72">
        <w:rPr>
          <w:noProof/>
        </w:rPr>
        <w:t xml:space="preserve">to </w:t>
      </w:r>
      <w:r w:rsidRPr="003574B9">
        <w:rPr>
          <w:noProof/>
        </w:rPr>
        <w:t xml:space="preserve">Regulation </w:t>
      </w:r>
      <w:r w:rsidR="00884C49">
        <w:rPr>
          <w:noProof/>
        </w:rPr>
        <w:t xml:space="preserve">(EU) </w:t>
      </w:r>
      <w:r w:rsidR="006831DF">
        <w:rPr>
          <w:noProof/>
        </w:rPr>
        <w:t>2018/1139</w:t>
      </w:r>
      <w:r w:rsidRPr="003574B9">
        <w:rPr>
          <w:noProof/>
        </w:rPr>
        <w:t xml:space="preserve"> (e.g. certain historic aircraft, experimental aircraft, light aircraft, etc);</w:t>
      </w:r>
    </w:p>
    <w:p w14:paraId="64948AB6" w14:textId="77777777" w:rsidR="003771FE" w:rsidRPr="003574B9" w:rsidRDefault="003771FE" w:rsidP="003771FE">
      <w:pPr>
        <w:ind w:left="960" w:hanging="600"/>
        <w:rPr>
          <w:noProof/>
        </w:rPr>
      </w:pPr>
      <w:r w:rsidRPr="003574B9">
        <w:rPr>
          <w:noProof/>
        </w:rPr>
        <w:t xml:space="preserve">(b) </w:t>
      </w:r>
      <w:r w:rsidRPr="003574B9">
        <w:rPr>
          <w:noProof/>
        </w:rPr>
        <w:tab/>
        <w:t>Operations of aircraft while carrying out military, customs, police, search and rescue, firefighting, coastguard or similar activities or services</w:t>
      </w:r>
      <w:r w:rsidR="00672537">
        <w:rPr>
          <w:noProof/>
        </w:rPr>
        <w:t>, provided that they have not decided to apply the EU requirements as foreseen in Article 2(6) of Regulation (EU) 2018/1139</w:t>
      </w:r>
      <w:r w:rsidRPr="003574B9">
        <w:rPr>
          <w:noProof/>
        </w:rPr>
        <w:t xml:space="preserve">; </w:t>
      </w:r>
    </w:p>
    <w:p w14:paraId="319A46D4" w14:textId="23CB3778" w:rsidR="003771FE" w:rsidRPr="003574B9" w:rsidRDefault="003771FE" w:rsidP="003771FE">
      <w:pPr>
        <w:ind w:left="960" w:hanging="600"/>
        <w:rPr>
          <w:noProof/>
        </w:rPr>
      </w:pPr>
      <w:r w:rsidRPr="003574B9">
        <w:rPr>
          <w:noProof/>
        </w:rPr>
        <w:t xml:space="preserve">(c) </w:t>
      </w:r>
      <w:r w:rsidRPr="003574B9">
        <w:rPr>
          <w:noProof/>
        </w:rPr>
        <w:tab/>
        <w:t>ATM/ANS, including systems and constituents, that are provided or made available by the military</w:t>
      </w:r>
      <w:r w:rsidR="004E44F7">
        <w:rPr>
          <w:noProof/>
        </w:rPr>
        <w:t xml:space="preserve">, </w:t>
      </w:r>
      <w:r w:rsidR="004E44F7" w:rsidRPr="004E44F7">
        <w:rPr>
          <w:noProof/>
        </w:rPr>
        <w:t xml:space="preserve">provided that </w:t>
      </w:r>
      <w:r w:rsidR="00954C12">
        <w:rPr>
          <w:noProof/>
        </w:rPr>
        <w:t>a Member State</w:t>
      </w:r>
      <w:r w:rsidR="00954C12" w:rsidRPr="004E44F7">
        <w:rPr>
          <w:noProof/>
        </w:rPr>
        <w:t xml:space="preserve"> </w:t>
      </w:r>
      <w:r w:rsidR="00954C12">
        <w:rPr>
          <w:noProof/>
        </w:rPr>
        <w:t>has</w:t>
      </w:r>
      <w:r w:rsidR="00954C12" w:rsidRPr="004E44F7">
        <w:rPr>
          <w:noProof/>
        </w:rPr>
        <w:t xml:space="preserve"> </w:t>
      </w:r>
      <w:r w:rsidR="004E44F7" w:rsidRPr="004E44F7">
        <w:rPr>
          <w:noProof/>
        </w:rPr>
        <w:t xml:space="preserve">not decided to apply the EU requirements as </w:t>
      </w:r>
      <w:r w:rsidR="00954C12">
        <w:rPr>
          <w:noProof/>
        </w:rPr>
        <w:t xml:space="preserve">provided </w:t>
      </w:r>
      <w:r w:rsidR="004E44F7" w:rsidRPr="004E44F7">
        <w:rPr>
          <w:noProof/>
        </w:rPr>
        <w:t>in Article 2(6) of Regulation (EU) 2018/1139</w:t>
      </w:r>
      <w:r w:rsidRPr="003574B9">
        <w:rPr>
          <w:noProof/>
        </w:rPr>
        <w:t>;</w:t>
      </w:r>
      <w:r w:rsidR="00FD15A5">
        <w:rPr>
          <w:noProof/>
        </w:rPr>
        <w:t xml:space="preserve"> </w:t>
      </w:r>
    </w:p>
    <w:p w14:paraId="069BFD46" w14:textId="0EDBB2B6" w:rsidR="003771FE" w:rsidRDefault="003771FE" w:rsidP="003771FE">
      <w:pPr>
        <w:ind w:left="960" w:hanging="600"/>
        <w:rPr>
          <w:noProof/>
        </w:rPr>
      </w:pPr>
      <w:r w:rsidRPr="003574B9">
        <w:rPr>
          <w:noProof/>
        </w:rPr>
        <w:t xml:space="preserve">(d) </w:t>
      </w:r>
      <w:r w:rsidRPr="003574B9">
        <w:rPr>
          <w:noProof/>
        </w:rPr>
        <w:tab/>
        <w:t>Aerodromes that are controlled and operated by the military</w:t>
      </w:r>
      <w:r w:rsidR="004E44F7">
        <w:rPr>
          <w:noProof/>
        </w:rPr>
        <w:t xml:space="preserve">, provided that </w:t>
      </w:r>
      <w:r w:rsidR="00954C12">
        <w:rPr>
          <w:noProof/>
        </w:rPr>
        <w:t>a Member State has</w:t>
      </w:r>
      <w:r w:rsidR="004E44F7">
        <w:rPr>
          <w:noProof/>
        </w:rPr>
        <w:t xml:space="preserve"> not decided to apply the EU requirements as </w:t>
      </w:r>
      <w:r w:rsidR="00954C12">
        <w:rPr>
          <w:noProof/>
        </w:rPr>
        <w:t xml:space="preserve">provided </w:t>
      </w:r>
      <w:r w:rsidR="004E44F7">
        <w:rPr>
          <w:noProof/>
        </w:rPr>
        <w:t>in Article 2(6) of Regulation (EU) 2018/1139</w:t>
      </w:r>
      <w:r w:rsidRPr="003574B9">
        <w:rPr>
          <w:noProof/>
        </w:rPr>
        <w:t>;</w:t>
      </w:r>
      <w:r w:rsidR="004E44F7">
        <w:rPr>
          <w:noProof/>
        </w:rPr>
        <w:t xml:space="preserve"> </w:t>
      </w:r>
    </w:p>
    <w:p w14:paraId="29501A22" w14:textId="77777777" w:rsidR="00FD15A5" w:rsidRPr="003574B9" w:rsidRDefault="00FD15A5" w:rsidP="003771FE">
      <w:pPr>
        <w:ind w:left="960" w:hanging="600"/>
        <w:rPr>
          <w:noProof/>
        </w:rPr>
      </w:pPr>
      <w:r>
        <w:rPr>
          <w:noProof/>
        </w:rPr>
        <w:t>N</w:t>
      </w:r>
      <w:r w:rsidR="00F94326">
        <w:rPr>
          <w:noProof/>
        </w:rPr>
        <w:t>ote</w:t>
      </w:r>
      <w:r>
        <w:rPr>
          <w:noProof/>
        </w:rPr>
        <w:t>: Without prejudice to national security and defence requirements, Member States shall ensure that ATM/ANS services referred to in point (c) provided to civil air traffic as well facilities referred to in point (d) open to public use, offer a level of safety and interoperability with civil systems that is as effective as that resulting from the application of the essential requirements of Regulation (EU) 2018/1139.</w:t>
      </w:r>
    </w:p>
    <w:p w14:paraId="01074A92" w14:textId="77777777" w:rsidR="003771FE" w:rsidRPr="003574B9" w:rsidRDefault="003771FE" w:rsidP="003771FE">
      <w:pPr>
        <w:ind w:left="960" w:hanging="600"/>
        <w:rPr>
          <w:noProof/>
        </w:rPr>
      </w:pPr>
      <w:r w:rsidRPr="003574B9">
        <w:rPr>
          <w:noProof/>
        </w:rPr>
        <w:t xml:space="preserve">(e) </w:t>
      </w:r>
      <w:r w:rsidRPr="003574B9">
        <w:rPr>
          <w:noProof/>
        </w:rPr>
        <w:tab/>
        <w:t xml:space="preserve">Aerodromes that do not meet </w:t>
      </w:r>
      <w:r w:rsidR="00D91728">
        <w:rPr>
          <w:noProof/>
        </w:rPr>
        <w:t xml:space="preserve">at least one </w:t>
      </w:r>
      <w:r w:rsidR="003C5D2C">
        <w:rPr>
          <w:noProof/>
        </w:rPr>
        <w:t xml:space="preserve">of </w:t>
      </w:r>
      <w:r w:rsidRPr="003574B9">
        <w:rPr>
          <w:noProof/>
        </w:rPr>
        <w:t xml:space="preserve">the following criteria:  </w:t>
      </w:r>
    </w:p>
    <w:p w14:paraId="0FC469B5" w14:textId="77777777" w:rsidR="003771FE" w:rsidRPr="003574B9" w:rsidRDefault="003771FE" w:rsidP="003771FE">
      <w:pPr>
        <w:ind w:left="1440" w:hanging="480"/>
        <w:rPr>
          <w:noProof/>
        </w:rPr>
      </w:pPr>
      <w:r w:rsidRPr="003574B9">
        <w:rPr>
          <w:noProof/>
        </w:rPr>
        <w:t xml:space="preserve">(i) </w:t>
      </w:r>
      <w:r w:rsidRPr="003574B9">
        <w:rPr>
          <w:noProof/>
        </w:rPr>
        <w:tab/>
        <w:t xml:space="preserve">are open to public use; </w:t>
      </w:r>
    </w:p>
    <w:p w14:paraId="7D17EDBD" w14:textId="77777777" w:rsidR="003771FE" w:rsidRPr="00FB18C9" w:rsidRDefault="003771FE" w:rsidP="003771FE">
      <w:pPr>
        <w:ind w:left="1440" w:hanging="480"/>
        <w:rPr>
          <w:noProof/>
          <w:lang w:val="fr-FR"/>
        </w:rPr>
      </w:pPr>
      <w:r w:rsidRPr="00FB18C9">
        <w:rPr>
          <w:noProof/>
          <w:lang w:val="fr-FR"/>
        </w:rPr>
        <w:t xml:space="preserve">(ii) </w:t>
      </w:r>
      <w:r w:rsidRPr="00FB18C9">
        <w:rPr>
          <w:noProof/>
          <w:lang w:val="fr-FR"/>
        </w:rPr>
        <w:tab/>
        <w:t>serve Commercial Air Transport</w:t>
      </w:r>
      <w:r w:rsidR="0085128C" w:rsidRPr="00FB18C9">
        <w:rPr>
          <w:noProof/>
          <w:lang w:val="fr-FR"/>
        </w:rPr>
        <w:t>;</w:t>
      </w:r>
      <w:r w:rsidRPr="00FB18C9">
        <w:rPr>
          <w:noProof/>
          <w:lang w:val="fr-FR"/>
        </w:rPr>
        <w:t xml:space="preserve"> </w:t>
      </w:r>
    </w:p>
    <w:p w14:paraId="1A085EB7" w14:textId="77777777" w:rsidR="003771FE" w:rsidRPr="003574B9" w:rsidRDefault="003771FE" w:rsidP="003771FE">
      <w:pPr>
        <w:ind w:left="1440" w:hanging="480"/>
        <w:rPr>
          <w:noProof/>
        </w:rPr>
      </w:pPr>
      <w:r w:rsidRPr="003574B9">
        <w:rPr>
          <w:noProof/>
        </w:rPr>
        <w:t xml:space="preserve">(iii) </w:t>
      </w:r>
      <w:r w:rsidRPr="003574B9">
        <w:rPr>
          <w:noProof/>
        </w:rPr>
        <w:tab/>
        <w:t>operations using instrument approach or departure procedures are provided and</w:t>
      </w:r>
    </w:p>
    <w:p w14:paraId="4E2655B1" w14:textId="77777777" w:rsidR="003771FE" w:rsidRPr="003574B9" w:rsidRDefault="003771FE" w:rsidP="003771FE">
      <w:pPr>
        <w:ind w:left="1920" w:hanging="480"/>
        <w:rPr>
          <w:noProof/>
        </w:rPr>
      </w:pPr>
      <w:r w:rsidRPr="003574B9">
        <w:rPr>
          <w:noProof/>
        </w:rPr>
        <w:t xml:space="preserve">a. </w:t>
      </w:r>
      <w:r w:rsidRPr="003574B9">
        <w:rPr>
          <w:noProof/>
        </w:rPr>
        <w:tab/>
        <w:t>have a paved runway of 800 meters or above; or</w:t>
      </w:r>
    </w:p>
    <w:p w14:paraId="2FB23E85" w14:textId="77777777" w:rsidR="00D91728" w:rsidRDefault="003771FE" w:rsidP="003771FE">
      <w:pPr>
        <w:ind w:left="1920" w:hanging="480"/>
        <w:rPr>
          <w:noProof/>
        </w:rPr>
      </w:pPr>
      <w:r w:rsidRPr="003574B9">
        <w:rPr>
          <w:noProof/>
        </w:rPr>
        <w:t xml:space="preserve">b. </w:t>
      </w:r>
      <w:r w:rsidRPr="003574B9">
        <w:rPr>
          <w:noProof/>
        </w:rPr>
        <w:tab/>
        <w:t>exclusively serve helicopters</w:t>
      </w:r>
      <w:r w:rsidR="00D91728">
        <w:rPr>
          <w:noProof/>
        </w:rPr>
        <w:t>;</w:t>
      </w:r>
    </w:p>
    <w:p w14:paraId="6E379D4A" w14:textId="087649CD" w:rsidR="003922CB" w:rsidRDefault="00D91728" w:rsidP="003922CB">
      <w:pPr>
        <w:ind w:left="960" w:hanging="600"/>
        <w:rPr>
          <w:noProof/>
          <w:sz w:val="22"/>
        </w:rPr>
      </w:pPr>
      <w:r>
        <w:rPr>
          <w:noProof/>
        </w:rPr>
        <w:t>(f)</w:t>
      </w:r>
      <w:r>
        <w:rPr>
          <w:noProof/>
        </w:rPr>
        <w:tab/>
        <w:t>Upon</w:t>
      </w:r>
      <w:r w:rsidRPr="00D91728">
        <w:rPr>
          <w:noProof/>
        </w:rPr>
        <w:t xml:space="preserve"> Member </w:t>
      </w:r>
      <w:r w:rsidR="00A46B04">
        <w:rPr>
          <w:noProof/>
        </w:rPr>
        <w:t>State</w:t>
      </w:r>
      <w:r>
        <w:rPr>
          <w:noProof/>
        </w:rPr>
        <w:t xml:space="preserve"> decision</w:t>
      </w:r>
      <w:r w:rsidRPr="00D91728">
        <w:rPr>
          <w:noProof/>
        </w:rPr>
        <w:t xml:space="preserve">, aerodromes that meet all the criteria </w:t>
      </w:r>
      <w:r>
        <w:rPr>
          <w:noProof/>
        </w:rPr>
        <w:t xml:space="preserve">detailed </w:t>
      </w:r>
      <w:r w:rsidR="000160E7">
        <w:rPr>
          <w:noProof/>
        </w:rPr>
        <w:t xml:space="preserve">in points </w:t>
      </w:r>
      <w:r>
        <w:rPr>
          <w:noProof/>
        </w:rPr>
        <w:t xml:space="preserve">(e) </w:t>
      </w:r>
      <w:r w:rsidR="000160E7">
        <w:rPr>
          <w:noProof/>
        </w:rPr>
        <w:t>(i) to (iii)</w:t>
      </w:r>
      <w:r w:rsidR="003922CB">
        <w:rPr>
          <w:noProof/>
        </w:rPr>
        <w:t>,</w:t>
      </w:r>
      <w:r w:rsidR="00101615">
        <w:rPr>
          <w:noProof/>
        </w:rPr>
        <w:t xml:space="preserve"> </w:t>
      </w:r>
      <w:r w:rsidRPr="00D91728">
        <w:rPr>
          <w:noProof/>
        </w:rPr>
        <w:t xml:space="preserve">but </w:t>
      </w:r>
      <w:r w:rsidR="003922CB" w:rsidRPr="003922CB">
        <w:rPr>
          <w:noProof/>
        </w:rPr>
        <w:t>handle no more than 10,000 commercial air transport passengers or have no more than 850 movements related to cargo operations</w:t>
      </w:r>
      <w:r w:rsidR="003922CB">
        <w:rPr>
          <w:noProof/>
        </w:rPr>
        <w:t xml:space="preserve"> per year</w:t>
      </w:r>
      <w:r w:rsidR="003922CB" w:rsidRPr="003922CB">
        <w:rPr>
          <w:noProof/>
        </w:rPr>
        <w:t>.</w:t>
      </w:r>
    </w:p>
    <w:p w14:paraId="1D1CCBF8" w14:textId="4D450FB8" w:rsidR="002D5A77" w:rsidRDefault="002D5A77" w:rsidP="00D91728">
      <w:pPr>
        <w:ind w:left="960" w:hanging="600"/>
        <w:rPr>
          <w:noProof/>
        </w:rPr>
      </w:pPr>
      <w:r w:rsidRPr="002D5A77">
        <w:rPr>
          <w:noProof/>
        </w:rPr>
        <w:t>(</w:t>
      </w:r>
      <w:r>
        <w:rPr>
          <w:noProof/>
        </w:rPr>
        <w:t>g</w:t>
      </w:r>
      <w:r w:rsidRPr="002D5A77">
        <w:rPr>
          <w:noProof/>
        </w:rPr>
        <w:t>)</w:t>
      </w:r>
      <w:r w:rsidRPr="002D5A77">
        <w:rPr>
          <w:noProof/>
        </w:rPr>
        <w:tab/>
      </w:r>
      <w:r>
        <w:rPr>
          <w:noProof/>
        </w:rPr>
        <w:t xml:space="preserve">Flight time limitation measures </w:t>
      </w:r>
      <w:r w:rsidRPr="002D5A77">
        <w:rPr>
          <w:noProof/>
        </w:rPr>
        <w:t xml:space="preserve">for </w:t>
      </w:r>
      <w:r>
        <w:rPr>
          <w:noProof/>
        </w:rPr>
        <w:t xml:space="preserve">those </w:t>
      </w:r>
      <w:r w:rsidRPr="002D5A77">
        <w:rPr>
          <w:noProof/>
        </w:rPr>
        <w:t xml:space="preserve">areas not covered </w:t>
      </w:r>
      <w:r>
        <w:rPr>
          <w:noProof/>
        </w:rPr>
        <w:t>under</w:t>
      </w:r>
      <w:r w:rsidRPr="002D5A77">
        <w:rPr>
          <w:noProof/>
        </w:rPr>
        <w:t xml:space="preserve"> EU </w:t>
      </w:r>
      <w:r w:rsidR="00791C6E">
        <w:rPr>
          <w:noProof/>
        </w:rPr>
        <w:t>L</w:t>
      </w:r>
      <w:r w:rsidRPr="002D5A77">
        <w:rPr>
          <w:noProof/>
        </w:rPr>
        <w:t>aw (cf. R</w:t>
      </w:r>
      <w:r>
        <w:rPr>
          <w:noProof/>
        </w:rPr>
        <w:t>egulation (EU)</w:t>
      </w:r>
      <w:r w:rsidR="00D759D9">
        <w:rPr>
          <w:noProof/>
        </w:rPr>
        <w:t xml:space="preserve"> No</w:t>
      </w:r>
      <w:r>
        <w:rPr>
          <w:noProof/>
        </w:rPr>
        <w:t xml:space="preserve"> </w:t>
      </w:r>
      <w:r w:rsidRPr="002D5A77">
        <w:rPr>
          <w:noProof/>
        </w:rPr>
        <w:t>965/2012 Article 8).</w:t>
      </w:r>
    </w:p>
    <w:p w14:paraId="74C9AA34" w14:textId="77777777" w:rsidR="000306E4" w:rsidRDefault="000306E4" w:rsidP="003771FE">
      <w:pPr>
        <w:rPr>
          <w:noProof/>
        </w:rPr>
      </w:pPr>
    </w:p>
    <w:bookmarkEnd w:id="88"/>
    <w:p w14:paraId="7793872C" w14:textId="3ACE90F3" w:rsidR="000306E4" w:rsidRDefault="000306E4" w:rsidP="003771FE">
      <w:pPr>
        <w:rPr>
          <w:noProof/>
          <w:lang w:val="en-US"/>
        </w:rPr>
      </w:pPr>
      <w:r>
        <w:rPr>
          <w:noProof/>
          <w:lang w:val="en-US"/>
        </w:rPr>
        <w:t xml:space="preserve">According to Article 2(6) of </w:t>
      </w:r>
      <w:r w:rsidRPr="003574B9">
        <w:rPr>
          <w:noProof/>
        </w:rPr>
        <w:t xml:space="preserve">Regulation </w:t>
      </w:r>
      <w:r>
        <w:rPr>
          <w:noProof/>
        </w:rPr>
        <w:t>(EU) 2018/1139</w:t>
      </w:r>
      <w:r w:rsidR="001E5A19">
        <w:rPr>
          <w:noProof/>
        </w:rPr>
        <w:t>,</w:t>
      </w:r>
      <w:r w:rsidRPr="003574B9">
        <w:rPr>
          <w:noProof/>
        </w:rPr>
        <w:t xml:space="preserve"> </w:t>
      </w:r>
      <w:r>
        <w:rPr>
          <w:noProof/>
          <w:lang w:val="en-US"/>
        </w:rPr>
        <w:t xml:space="preserve">a Member State may decide to apply any, or any combination, of Section 1, 2, 3, or 7 of Chapter III, to some or all the activities referred to in Article 2(3) (a) of the Regulation and to the personnel and organisations involved in those activities, where it considers that, in light of the characteristics of the activities, personnel and organisations in question and the purpose and content of the provisions concerned, those provisions can be effectively applied. </w:t>
      </w:r>
      <w:r w:rsidRPr="000306E4">
        <w:rPr>
          <w:noProof/>
          <w:lang w:val="en-US"/>
        </w:rPr>
        <w:t xml:space="preserve">This so-called ‘opt-in’ possibility provides flexibility to Member States in deciding where the application of Union law may </w:t>
      </w:r>
      <w:r>
        <w:rPr>
          <w:noProof/>
          <w:lang w:val="en-US"/>
        </w:rPr>
        <w:t>be more efficient in view of achieving safety, interoperability or efficiency gains</w:t>
      </w:r>
      <w:r w:rsidRPr="000306E4">
        <w:rPr>
          <w:noProof/>
          <w:lang w:val="en-US"/>
        </w:rPr>
        <w:t>.</w:t>
      </w:r>
      <w:r>
        <w:rPr>
          <w:noProof/>
          <w:lang w:val="en-US"/>
        </w:rPr>
        <w:t xml:space="preserve"> </w:t>
      </w:r>
    </w:p>
    <w:p w14:paraId="71B58D9B" w14:textId="77777777" w:rsidR="00502AAE" w:rsidRDefault="00502AAE" w:rsidP="003771FE">
      <w:pPr>
        <w:rPr>
          <w:noProof/>
        </w:rPr>
      </w:pPr>
      <w:r>
        <w:rPr>
          <w:noProof/>
        </w:rPr>
        <w:t xml:space="preserve">While the largest part of aviation safety legislation is adopted at European </w:t>
      </w:r>
      <w:r w:rsidR="00242FEC">
        <w:rPr>
          <w:noProof/>
        </w:rPr>
        <w:t xml:space="preserve">Union </w:t>
      </w:r>
      <w:r>
        <w:rPr>
          <w:noProof/>
        </w:rPr>
        <w:t xml:space="preserve">level, the </w:t>
      </w:r>
      <w:r w:rsidRPr="001A35E7">
        <w:rPr>
          <w:noProof/>
        </w:rPr>
        <w:t xml:space="preserve">Member </w:t>
      </w:r>
      <w:r w:rsidR="00A46B04">
        <w:rPr>
          <w:noProof/>
        </w:rPr>
        <w:t>State</w:t>
      </w:r>
      <w:r w:rsidRPr="001A35E7">
        <w:rPr>
          <w:noProof/>
        </w:rPr>
        <w:t xml:space="preserve">s </w:t>
      </w:r>
      <w:r>
        <w:rPr>
          <w:noProof/>
        </w:rPr>
        <w:t xml:space="preserve">remain </w:t>
      </w:r>
      <w:r w:rsidRPr="001A35E7">
        <w:rPr>
          <w:noProof/>
        </w:rPr>
        <w:t xml:space="preserve">responsible for </w:t>
      </w:r>
      <w:r>
        <w:rPr>
          <w:noProof/>
        </w:rPr>
        <w:t xml:space="preserve">ensuring </w:t>
      </w:r>
      <w:r w:rsidRPr="001A35E7">
        <w:rPr>
          <w:noProof/>
        </w:rPr>
        <w:t xml:space="preserve">aviation safety in their </w:t>
      </w:r>
      <w:r>
        <w:rPr>
          <w:noProof/>
        </w:rPr>
        <w:t>territory and airspace</w:t>
      </w:r>
      <w:r w:rsidRPr="001A35E7">
        <w:rPr>
          <w:noProof/>
        </w:rPr>
        <w:t>.</w:t>
      </w:r>
      <w:r>
        <w:rPr>
          <w:noProof/>
        </w:rPr>
        <w:t xml:space="preserve"> </w:t>
      </w:r>
      <w:r w:rsidRPr="001A35E7">
        <w:rPr>
          <w:noProof/>
        </w:rPr>
        <w:t xml:space="preserve">Most of the certification tasks required by Regulation </w:t>
      </w:r>
      <w:r w:rsidR="00884C49">
        <w:rPr>
          <w:noProof/>
        </w:rPr>
        <w:t xml:space="preserve">(EU) </w:t>
      </w:r>
      <w:r w:rsidR="006831DF">
        <w:rPr>
          <w:noProof/>
        </w:rPr>
        <w:t>2018/1139</w:t>
      </w:r>
      <w:r>
        <w:rPr>
          <w:noProof/>
        </w:rPr>
        <w:t xml:space="preserve"> </w:t>
      </w:r>
      <w:r w:rsidRPr="001A35E7">
        <w:rPr>
          <w:noProof/>
        </w:rPr>
        <w:t xml:space="preserve">and its </w:t>
      </w:r>
      <w:r>
        <w:rPr>
          <w:noProof/>
        </w:rPr>
        <w:t>i</w:t>
      </w:r>
      <w:r w:rsidRPr="001A35E7">
        <w:rPr>
          <w:noProof/>
        </w:rPr>
        <w:t xml:space="preserve">mplementing </w:t>
      </w:r>
      <w:r>
        <w:rPr>
          <w:noProof/>
        </w:rPr>
        <w:t>r</w:t>
      </w:r>
      <w:r w:rsidRPr="001A35E7">
        <w:rPr>
          <w:noProof/>
        </w:rPr>
        <w:t xml:space="preserve">ules are executed at national level, such as approvals of national organisations and licensing of personnel. The Member </w:t>
      </w:r>
      <w:r w:rsidR="00A46B04">
        <w:rPr>
          <w:noProof/>
        </w:rPr>
        <w:t>State</w:t>
      </w:r>
      <w:r w:rsidRPr="001A35E7">
        <w:rPr>
          <w:noProof/>
        </w:rPr>
        <w:t>s oversee these personnel and organisations, conduct audits, assessments and inspections</w:t>
      </w:r>
      <w:r>
        <w:rPr>
          <w:noProof/>
        </w:rPr>
        <w:t>,</w:t>
      </w:r>
      <w:r w:rsidRPr="001A35E7">
        <w:rPr>
          <w:noProof/>
        </w:rPr>
        <w:t xml:space="preserve"> and take measures to prevent </w:t>
      </w:r>
      <w:r>
        <w:rPr>
          <w:noProof/>
        </w:rPr>
        <w:t>non-compliance</w:t>
      </w:r>
      <w:r w:rsidRPr="001A35E7">
        <w:rPr>
          <w:noProof/>
        </w:rPr>
        <w:t>.</w:t>
      </w:r>
    </w:p>
    <w:p w14:paraId="5D065F6E" w14:textId="24B8649C" w:rsidR="00502AAE" w:rsidRDefault="00502AAE" w:rsidP="0006001F">
      <w:pPr>
        <w:rPr>
          <w:noProof/>
        </w:rPr>
      </w:pPr>
      <w:r w:rsidRPr="003574B9">
        <w:rPr>
          <w:noProof/>
        </w:rPr>
        <w:t xml:space="preserve">However, in certain areas </w:t>
      </w:r>
      <w:r w:rsidR="003771FE">
        <w:rPr>
          <w:noProof/>
        </w:rPr>
        <w:t xml:space="preserve">certificates </w:t>
      </w:r>
      <w:r w:rsidR="00394317">
        <w:rPr>
          <w:noProof/>
        </w:rPr>
        <w:t xml:space="preserve">are issued at </w:t>
      </w:r>
      <w:r w:rsidRPr="003574B9">
        <w:rPr>
          <w:noProof/>
        </w:rPr>
        <w:t xml:space="preserve">the European </w:t>
      </w:r>
      <w:r w:rsidR="00242FEC">
        <w:rPr>
          <w:noProof/>
        </w:rPr>
        <w:t xml:space="preserve">Union </w:t>
      </w:r>
      <w:r w:rsidRPr="003574B9">
        <w:rPr>
          <w:noProof/>
        </w:rPr>
        <w:t>level</w:t>
      </w:r>
      <w:r w:rsidR="00394317">
        <w:rPr>
          <w:noProof/>
        </w:rPr>
        <w:t>. Indeed</w:t>
      </w:r>
      <w:r w:rsidR="001E78BA">
        <w:rPr>
          <w:noProof/>
        </w:rPr>
        <w:t>,</w:t>
      </w:r>
      <w:r w:rsidR="00394317">
        <w:rPr>
          <w:noProof/>
        </w:rPr>
        <w:t xml:space="preserve"> in those areas</w:t>
      </w:r>
      <w:r w:rsidR="001E78BA">
        <w:rPr>
          <w:noProof/>
        </w:rPr>
        <w:t>,</w:t>
      </w:r>
      <w:r w:rsidR="00394317">
        <w:rPr>
          <w:noProof/>
        </w:rPr>
        <w:t xml:space="preserve"> the M</w:t>
      </w:r>
      <w:r w:rsidR="001E78BA">
        <w:rPr>
          <w:noProof/>
        </w:rPr>
        <w:t xml:space="preserve">ember </w:t>
      </w:r>
      <w:r w:rsidR="00A46B04">
        <w:rPr>
          <w:noProof/>
        </w:rPr>
        <w:t>State</w:t>
      </w:r>
      <w:r w:rsidR="001E78BA">
        <w:rPr>
          <w:noProof/>
        </w:rPr>
        <w:t xml:space="preserve">s </w:t>
      </w:r>
      <w:r w:rsidR="00394317">
        <w:rPr>
          <w:noProof/>
        </w:rPr>
        <w:t xml:space="preserve">have </w:t>
      </w:r>
      <w:r w:rsidR="00FD0307">
        <w:rPr>
          <w:noProof/>
        </w:rPr>
        <w:t xml:space="preserve">delegated </w:t>
      </w:r>
      <w:r w:rsidR="001E78BA">
        <w:rPr>
          <w:noProof/>
        </w:rPr>
        <w:t>responsibilities</w:t>
      </w:r>
      <w:r w:rsidR="00394317">
        <w:rPr>
          <w:noProof/>
        </w:rPr>
        <w:t xml:space="preserve"> incumbent upon </w:t>
      </w:r>
      <w:r w:rsidR="00163532">
        <w:rPr>
          <w:noProof/>
        </w:rPr>
        <w:t xml:space="preserve">them </w:t>
      </w:r>
      <w:r w:rsidR="00394317">
        <w:rPr>
          <w:noProof/>
        </w:rPr>
        <w:t xml:space="preserve">under the </w:t>
      </w:r>
      <w:r w:rsidR="001E78BA">
        <w:rPr>
          <w:noProof/>
        </w:rPr>
        <w:t>Chicago</w:t>
      </w:r>
      <w:r w:rsidR="00394317">
        <w:rPr>
          <w:noProof/>
        </w:rPr>
        <w:t xml:space="preserve"> </w:t>
      </w:r>
      <w:r w:rsidR="001E78BA">
        <w:rPr>
          <w:noProof/>
        </w:rPr>
        <w:t>C</w:t>
      </w:r>
      <w:r w:rsidR="00394317">
        <w:rPr>
          <w:noProof/>
        </w:rPr>
        <w:t xml:space="preserve">onvention to the EU </w:t>
      </w:r>
      <w:r w:rsidR="003771FE">
        <w:rPr>
          <w:noProof/>
        </w:rPr>
        <w:t xml:space="preserve">(see </w:t>
      </w:r>
      <w:r w:rsidR="003C5D2C">
        <w:rPr>
          <w:noProof/>
        </w:rPr>
        <w:t>diagram</w:t>
      </w:r>
      <w:r w:rsidR="003771FE">
        <w:rPr>
          <w:noProof/>
        </w:rPr>
        <w:t xml:space="preserve"> 2 above for the detail).</w:t>
      </w:r>
      <w:r w:rsidR="00394317" w:rsidRPr="00394317">
        <w:rPr>
          <w:noProof/>
        </w:rPr>
        <w:t xml:space="preserve"> </w:t>
      </w:r>
    </w:p>
    <w:p w14:paraId="0B135974" w14:textId="4F66DFD8" w:rsidR="00FD0307" w:rsidRPr="003574B9" w:rsidRDefault="00FD0307" w:rsidP="00FD0307">
      <w:pPr>
        <w:rPr>
          <w:noProof/>
        </w:rPr>
      </w:pPr>
      <w:r>
        <w:rPr>
          <w:noProof/>
        </w:rPr>
        <w:t xml:space="preserve">Pursuant to Article 64(7) of </w:t>
      </w:r>
      <w:r w:rsidRPr="00FD0307">
        <w:rPr>
          <w:noProof/>
        </w:rPr>
        <w:t>Regulation (EU) 2018/1139</w:t>
      </w:r>
      <w:r>
        <w:rPr>
          <w:noProof/>
        </w:rPr>
        <w:t xml:space="preserve">, the reallocations of responsibility </w:t>
      </w:r>
      <w:r w:rsidR="00AD13B6">
        <w:rPr>
          <w:noProof/>
        </w:rPr>
        <w:t>un</w:t>
      </w:r>
      <w:r>
        <w:rPr>
          <w:noProof/>
        </w:rPr>
        <w:t>der this Article shall be without prejudice to the rights and obligations on the Member States under the Chicago Convention</w:t>
      </w:r>
      <w:r w:rsidR="00AD13B6">
        <w:rPr>
          <w:noProof/>
        </w:rPr>
        <w:t>.</w:t>
      </w:r>
      <w:r>
        <w:rPr>
          <w:noProof/>
        </w:rPr>
        <w:t xml:space="preserve"> When a Member State reallocates, </w:t>
      </w:r>
      <w:r w:rsidR="00AD13B6">
        <w:rPr>
          <w:noProof/>
        </w:rPr>
        <w:t>i</w:t>
      </w:r>
      <w:r>
        <w:rPr>
          <w:noProof/>
        </w:rPr>
        <w:t>n accordance with this Article, the responsibility for the tasks which are attributed to it by the Chicago Convention, it shall notify ICAO about the fact that the Agency or another Member State carries out on its behalf the functions and duties ascribed to it under the Chicago Convention.</w:t>
      </w:r>
      <w:r w:rsidR="00AD13B6">
        <w:rPr>
          <w:noProof/>
        </w:rPr>
        <w:t xml:space="preserve"> </w:t>
      </w:r>
    </w:p>
    <w:p w14:paraId="5887DCFF" w14:textId="50F87748" w:rsidR="00AE26D3" w:rsidRPr="001A35E7" w:rsidRDefault="00502AAE" w:rsidP="0006001F">
      <w:pPr>
        <w:rPr>
          <w:noProof/>
        </w:rPr>
      </w:pPr>
      <w:r>
        <w:rPr>
          <w:noProof/>
        </w:rPr>
        <w:t xml:space="preserve">The </w:t>
      </w:r>
      <w:r w:rsidRPr="003574B9">
        <w:rPr>
          <w:noProof/>
        </w:rPr>
        <w:t xml:space="preserve">Member </w:t>
      </w:r>
      <w:r w:rsidR="00A46B04">
        <w:rPr>
          <w:noProof/>
        </w:rPr>
        <w:t>State</w:t>
      </w:r>
      <w:r w:rsidRPr="003574B9">
        <w:rPr>
          <w:noProof/>
        </w:rPr>
        <w:t>s are also responsible, in accordance with ICAO Standards</w:t>
      </w:r>
      <w:r w:rsidR="00887CAF">
        <w:rPr>
          <w:noProof/>
        </w:rPr>
        <w:t xml:space="preserve"> and following Chapter II of </w:t>
      </w:r>
      <w:r w:rsidR="00887CAF" w:rsidRPr="00887CAF">
        <w:rPr>
          <w:noProof/>
        </w:rPr>
        <w:t>Regulation (EU) 2018/1139</w:t>
      </w:r>
      <w:r w:rsidRPr="003574B9">
        <w:rPr>
          <w:noProof/>
        </w:rPr>
        <w:t xml:space="preserve">, for developing a </w:t>
      </w:r>
      <w:r w:rsidR="00A46B04">
        <w:rPr>
          <w:noProof/>
        </w:rPr>
        <w:t>State</w:t>
      </w:r>
      <w:r w:rsidRPr="003574B9">
        <w:rPr>
          <w:noProof/>
        </w:rPr>
        <w:t xml:space="preserve"> Safety Programme, which </w:t>
      </w:r>
      <w:r w:rsidR="001F3E2D">
        <w:rPr>
          <w:noProof/>
        </w:rPr>
        <w:t>has to be</w:t>
      </w:r>
      <w:r w:rsidRPr="003574B9">
        <w:rPr>
          <w:noProof/>
        </w:rPr>
        <w:t xml:space="preserve"> aligned with the European Aviation Safety Programme and which supports the achievement of the European Aviation Safety </w:t>
      </w:r>
      <w:r w:rsidR="00954C12">
        <w:rPr>
          <w:noProof/>
        </w:rPr>
        <w:t>System</w:t>
      </w:r>
      <w:r w:rsidRPr="003574B9">
        <w:rPr>
          <w:noProof/>
        </w:rPr>
        <w:t>.</w:t>
      </w:r>
    </w:p>
    <w:p w14:paraId="6F35FAE6" w14:textId="77777777" w:rsidR="00087497" w:rsidRPr="001A35E7" w:rsidRDefault="00087497" w:rsidP="001A0D14">
      <w:pPr>
        <w:pStyle w:val="Heading4"/>
        <w:keepLines w:val="0"/>
        <w:numPr>
          <w:ilvl w:val="3"/>
          <w:numId w:val="11"/>
        </w:numPr>
        <w:spacing w:before="240" w:after="240"/>
        <w:rPr>
          <w:noProof/>
        </w:rPr>
      </w:pPr>
      <w:r w:rsidRPr="001A35E7">
        <w:rPr>
          <w:noProof/>
        </w:rPr>
        <w:t>The European</w:t>
      </w:r>
      <w:r w:rsidR="006A209E">
        <w:rPr>
          <w:noProof/>
        </w:rPr>
        <w:t xml:space="preserve"> Union</w:t>
      </w:r>
      <w:r w:rsidRPr="001A35E7">
        <w:rPr>
          <w:noProof/>
        </w:rPr>
        <w:t xml:space="preserve"> Aviation Safety Agency (EASA)</w:t>
      </w:r>
    </w:p>
    <w:p w14:paraId="04E748B6" w14:textId="590D9B33" w:rsidR="00502AAE" w:rsidRPr="003574B9" w:rsidRDefault="00502AAE" w:rsidP="0006001F">
      <w:pPr>
        <w:autoSpaceDE w:val="0"/>
        <w:autoSpaceDN w:val="0"/>
        <w:adjustRightInd w:val="0"/>
        <w:rPr>
          <w:noProof/>
        </w:rPr>
      </w:pPr>
      <w:r w:rsidRPr="003574B9">
        <w:rPr>
          <w:noProof/>
        </w:rPr>
        <w:t xml:space="preserve">The European Aviation Safety Agency was established in 2002 in order to provide for better arrangements in all the fields covered by Regulation </w:t>
      </w:r>
      <w:r w:rsidR="00884C49">
        <w:rPr>
          <w:noProof/>
        </w:rPr>
        <w:t xml:space="preserve">(EU) </w:t>
      </w:r>
      <w:r w:rsidR="006831DF">
        <w:rPr>
          <w:noProof/>
        </w:rPr>
        <w:t>2018/1139</w:t>
      </w:r>
      <w:r>
        <w:rPr>
          <w:noProof/>
        </w:rPr>
        <w:t xml:space="preserve"> </w:t>
      </w:r>
      <w:r w:rsidRPr="003574B9">
        <w:rPr>
          <w:noProof/>
        </w:rPr>
        <w:t xml:space="preserve">so that certain tasks performed at EU level are carried out by a single specialised expert body. EASA staff is composed of more than </w:t>
      </w:r>
      <w:r w:rsidR="00EE49FE">
        <w:rPr>
          <w:noProof/>
        </w:rPr>
        <w:t>8</w:t>
      </w:r>
      <w:r w:rsidR="00EE49FE" w:rsidRPr="003574B9">
        <w:rPr>
          <w:noProof/>
        </w:rPr>
        <w:t xml:space="preserve">00 </w:t>
      </w:r>
      <w:r w:rsidRPr="003574B9">
        <w:rPr>
          <w:noProof/>
        </w:rPr>
        <w:t xml:space="preserve">aviation experts and administrators from all Member </w:t>
      </w:r>
      <w:r w:rsidR="00A46B04">
        <w:rPr>
          <w:noProof/>
        </w:rPr>
        <w:t>State</w:t>
      </w:r>
      <w:r w:rsidRPr="003574B9">
        <w:rPr>
          <w:noProof/>
        </w:rPr>
        <w:t xml:space="preserve">s. The headquarters </w:t>
      </w:r>
      <w:r w:rsidR="00BC2A22">
        <w:rPr>
          <w:noProof/>
        </w:rPr>
        <w:t>are</w:t>
      </w:r>
      <w:r w:rsidR="00BC2A22" w:rsidRPr="003574B9">
        <w:rPr>
          <w:noProof/>
        </w:rPr>
        <w:t xml:space="preserve"> </w:t>
      </w:r>
      <w:r w:rsidRPr="003574B9">
        <w:rPr>
          <w:noProof/>
        </w:rPr>
        <w:t xml:space="preserve">in Cologne (Germany) with an office in Brussels and </w:t>
      </w:r>
      <w:r w:rsidR="00491810">
        <w:rPr>
          <w:noProof/>
        </w:rPr>
        <w:t>five</w:t>
      </w:r>
      <w:r w:rsidR="00EE49FE">
        <w:rPr>
          <w:noProof/>
        </w:rPr>
        <w:t xml:space="preserve"> </w:t>
      </w:r>
      <w:r w:rsidR="00BC2A22">
        <w:rPr>
          <w:noProof/>
        </w:rPr>
        <w:t xml:space="preserve">other offices </w:t>
      </w:r>
      <w:r w:rsidRPr="003574B9">
        <w:rPr>
          <w:noProof/>
        </w:rPr>
        <w:t>in Washington (USA), Montreal (Canada)</w:t>
      </w:r>
      <w:r w:rsidR="008E3578">
        <w:rPr>
          <w:noProof/>
        </w:rPr>
        <w:t>,</w:t>
      </w:r>
      <w:r w:rsidRPr="003574B9">
        <w:rPr>
          <w:noProof/>
        </w:rPr>
        <w:t xml:space="preserve"> Beijing (China)</w:t>
      </w:r>
      <w:r w:rsidR="00491810">
        <w:rPr>
          <w:noProof/>
        </w:rPr>
        <w:t>, Panama City (Panama)</w:t>
      </w:r>
      <w:r w:rsidR="008E3578" w:rsidRPr="008E3578">
        <w:rPr>
          <w:noProof/>
        </w:rPr>
        <w:t xml:space="preserve"> </w:t>
      </w:r>
      <w:r w:rsidR="00AE7CD7">
        <w:rPr>
          <w:noProof/>
        </w:rPr>
        <w:t>a</w:t>
      </w:r>
      <w:r w:rsidR="008E3578" w:rsidRPr="003574B9">
        <w:rPr>
          <w:noProof/>
        </w:rPr>
        <w:t>nd</w:t>
      </w:r>
      <w:r w:rsidR="008E3578">
        <w:rPr>
          <w:noProof/>
        </w:rPr>
        <w:t xml:space="preserve"> Singapore.</w:t>
      </w:r>
    </w:p>
    <w:p w14:paraId="37DD2B09" w14:textId="77777777" w:rsidR="00502AAE" w:rsidRPr="003574B9" w:rsidRDefault="00502AAE" w:rsidP="0006001F">
      <w:pPr>
        <w:autoSpaceDE w:val="0"/>
        <w:autoSpaceDN w:val="0"/>
        <w:adjustRightInd w:val="0"/>
        <w:rPr>
          <w:noProof/>
        </w:rPr>
      </w:pPr>
      <w:r w:rsidRPr="003574B9">
        <w:rPr>
          <w:noProof/>
        </w:rPr>
        <w:t xml:space="preserve">EASA is independent in relation to technical matters and has legal, administrative and financial autonomy. It has legal personality and exercises </w:t>
      </w:r>
      <w:r w:rsidR="00BC2A22">
        <w:rPr>
          <w:noProof/>
        </w:rPr>
        <w:t>the tasks and responsibilities</w:t>
      </w:r>
      <w:r w:rsidRPr="003574B9">
        <w:rPr>
          <w:noProof/>
        </w:rPr>
        <w:t xml:space="preserve"> conferred on it by Regulation </w:t>
      </w:r>
      <w:r w:rsidR="00884C49">
        <w:rPr>
          <w:noProof/>
        </w:rPr>
        <w:t xml:space="preserve">(EU) </w:t>
      </w:r>
      <w:r w:rsidR="006831DF">
        <w:rPr>
          <w:noProof/>
        </w:rPr>
        <w:t>2018/1139</w:t>
      </w:r>
      <w:r w:rsidRPr="003574B9">
        <w:rPr>
          <w:noProof/>
        </w:rPr>
        <w:t>.</w:t>
      </w:r>
    </w:p>
    <w:p w14:paraId="3AC8C599" w14:textId="44BE121F" w:rsidR="00502AAE" w:rsidRPr="003574B9" w:rsidRDefault="00502AAE" w:rsidP="0006001F">
      <w:pPr>
        <w:autoSpaceDE w:val="0"/>
        <w:autoSpaceDN w:val="0"/>
        <w:adjustRightInd w:val="0"/>
        <w:rPr>
          <w:noProof/>
        </w:rPr>
      </w:pPr>
      <w:r w:rsidRPr="003574B9">
        <w:rPr>
          <w:noProof/>
        </w:rPr>
        <w:t xml:space="preserve">The EASA Management Board, that brings together representatives of the </w:t>
      </w:r>
      <w:r w:rsidR="003D476F">
        <w:rPr>
          <w:noProof/>
        </w:rPr>
        <w:t xml:space="preserve">27 </w:t>
      </w:r>
      <w:r w:rsidR="00EE49FE">
        <w:rPr>
          <w:noProof/>
        </w:rPr>
        <w:t xml:space="preserve">EU </w:t>
      </w:r>
      <w:r w:rsidRPr="003574B9">
        <w:rPr>
          <w:noProof/>
        </w:rPr>
        <w:t xml:space="preserve">Member </w:t>
      </w:r>
      <w:r w:rsidR="00A46B04">
        <w:rPr>
          <w:noProof/>
        </w:rPr>
        <w:t>State</w:t>
      </w:r>
      <w:r w:rsidRPr="003574B9">
        <w:rPr>
          <w:noProof/>
        </w:rPr>
        <w:t>s</w:t>
      </w:r>
      <w:r w:rsidR="00EE49FE">
        <w:rPr>
          <w:noProof/>
        </w:rPr>
        <w:t>, Iceland, Li</w:t>
      </w:r>
      <w:r w:rsidR="00480E07">
        <w:rPr>
          <w:noProof/>
        </w:rPr>
        <w:t>e</w:t>
      </w:r>
      <w:r w:rsidR="00EE49FE">
        <w:rPr>
          <w:noProof/>
        </w:rPr>
        <w:t>chtenstein, Norway, Switzerland</w:t>
      </w:r>
      <w:r w:rsidRPr="003574B9">
        <w:rPr>
          <w:noProof/>
        </w:rPr>
        <w:t xml:space="preserve"> and the Commission, defines EASA’s </w:t>
      </w:r>
      <w:r w:rsidR="00BC2A22">
        <w:rPr>
          <w:noProof/>
        </w:rPr>
        <w:t>work programme</w:t>
      </w:r>
      <w:r w:rsidRPr="003574B9">
        <w:rPr>
          <w:noProof/>
        </w:rPr>
        <w:t>, establishes its budget and monitors the Agency’s operation.</w:t>
      </w:r>
      <w:r w:rsidR="00EE49FE">
        <w:rPr>
          <w:noProof/>
        </w:rPr>
        <w:t xml:space="preserve"> The Management Board also invites observers to its deliberations, gathering EU neighbouring </w:t>
      </w:r>
      <w:r w:rsidR="00A46B04">
        <w:rPr>
          <w:noProof/>
        </w:rPr>
        <w:t>State</w:t>
      </w:r>
      <w:r w:rsidR="00EE49FE">
        <w:rPr>
          <w:noProof/>
        </w:rPr>
        <w:t>s having signed a comprehensive aviation agreement with the EU and the industry represented through the EASA Advisory Board.</w:t>
      </w:r>
    </w:p>
    <w:p w14:paraId="43514371" w14:textId="77777777" w:rsidR="00502AAE" w:rsidRPr="003574B9" w:rsidRDefault="00502AAE" w:rsidP="0006001F">
      <w:pPr>
        <w:autoSpaceDE w:val="0"/>
        <w:autoSpaceDN w:val="0"/>
        <w:adjustRightInd w:val="0"/>
        <w:rPr>
          <w:noProof/>
        </w:rPr>
      </w:pPr>
      <w:r w:rsidRPr="003574B9">
        <w:rPr>
          <w:noProof/>
        </w:rPr>
        <w:t xml:space="preserve">EASA acts as </w:t>
      </w:r>
      <w:r>
        <w:rPr>
          <w:noProof/>
        </w:rPr>
        <w:t xml:space="preserve">the </w:t>
      </w:r>
      <w:r w:rsidRPr="003574B9">
        <w:rPr>
          <w:noProof/>
        </w:rPr>
        <w:t xml:space="preserve">competent authority </w:t>
      </w:r>
      <w:r>
        <w:rPr>
          <w:noProof/>
        </w:rPr>
        <w:t>in</w:t>
      </w:r>
      <w:r w:rsidRPr="003574B9">
        <w:rPr>
          <w:noProof/>
        </w:rPr>
        <w:t xml:space="preserve"> the aviation areas detailed under </w:t>
      </w:r>
      <w:r w:rsidR="003C5D2C">
        <w:rPr>
          <w:noProof/>
        </w:rPr>
        <w:t>diagram 2</w:t>
      </w:r>
      <w:r w:rsidRPr="003574B9">
        <w:rPr>
          <w:noProof/>
        </w:rPr>
        <w:t xml:space="preserve"> above. In this context, since 2003, EASA is responsible for the type certification of aircraft in the EU. The certificate issued by EASA testifies that the type of aircraft meets the safety requirements set by </w:t>
      </w:r>
      <w:r w:rsidR="003D476F">
        <w:rPr>
          <w:noProof/>
        </w:rPr>
        <w:t>EU</w:t>
      </w:r>
      <w:r w:rsidRPr="003574B9">
        <w:rPr>
          <w:noProof/>
        </w:rPr>
        <w:t xml:space="preserve"> legislation. EASA monitors the performance of aircraft types in operation during the entire life cycle of aircraft produced on the basis of the type design. </w:t>
      </w:r>
      <w:r w:rsidR="0085128C">
        <w:rPr>
          <w:noProof/>
        </w:rPr>
        <w:t>Therefore,</w:t>
      </w:r>
      <w:r w:rsidRPr="003574B9">
        <w:rPr>
          <w:noProof/>
        </w:rPr>
        <w:t xml:space="preserve"> it may mandate actions where it has identified an unsafe condition. To that end it </w:t>
      </w:r>
      <w:r w:rsidR="00CD3CF1" w:rsidRPr="003574B9">
        <w:rPr>
          <w:noProof/>
        </w:rPr>
        <w:t>i</w:t>
      </w:r>
      <w:r w:rsidR="00CD3CF1">
        <w:rPr>
          <w:noProof/>
        </w:rPr>
        <w:t>s</w:t>
      </w:r>
      <w:r w:rsidR="00CD3CF1" w:rsidRPr="003574B9">
        <w:rPr>
          <w:noProof/>
        </w:rPr>
        <w:t>sues</w:t>
      </w:r>
      <w:r w:rsidRPr="003574B9">
        <w:rPr>
          <w:noProof/>
        </w:rPr>
        <w:t xml:space="preserve"> "airworthiness </w:t>
      </w:r>
      <w:r w:rsidR="00CD3CF1" w:rsidRPr="003574B9">
        <w:rPr>
          <w:noProof/>
        </w:rPr>
        <w:t>dire</w:t>
      </w:r>
      <w:r w:rsidR="00CD3CF1">
        <w:rPr>
          <w:noProof/>
        </w:rPr>
        <w:t>c</w:t>
      </w:r>
      <w:r w:rsidR="00CD3CF1" w:rsidRPr="003574B9">
        <w:rPr>
          <w:noProof/>
        </w:rPr>
        <w:t>tives</w:t>
      </w:r>
      <w:r w:rsidRPr="003574B9">
        <w:rPr>
          <w:noProof/>
        </w:rPr>
        <w:t xml:space="preserve">" which are addressed to the holder of the type certificate and which have to be followed by operators in the context of maintenance of their individual aircraft. </w:t>
      </w:r>
    </w:p>
    <w:p w14:paraId="1F951D1F" w14:textId="77777777" w:rsidR="00502AAE" w:rsidRPr="003574B9" w:rsidRDefault="00502AAE" w:rsidP="0006001F">
      <w:pPr>
        <w:rPr>
          <w:noProof/>
        </w:rPr>
      </w:pPr>
      <w:r w:rsidRPr="003574B9">
        <w:rPr>
          <w:noProof/>
        </w:rPr>
        <w:t xml:space="preserve">EASA also undertakes the various tasks and responsibilities described in </w:t>
      </w:r>
      <w:r w:rsidR="003C5D2C">
        <w:rPr>
          <w:noProof/>
        </w:rPr>
        <w:t>diagram 3</w:t>
      </w:r>
      <w:r w:rsidRPr="003574B9">
        <w:rPr>
          <w:noProof/>
        </w:rPr>
        <w:t xml:space="preserve"> above. This includes notably the preparation and adoption of opinions supporting the Commission in </w:t>
      </w:r>
      <w:r w:rsidR="00BC2A22">
        <w:rPr>
          <w:noProof/>
        </w:rPr>
        <w:t>the preparation of</w:t>
      </w:r>
      <w:r w:rsidRPr="003574B9">
        <w:rPr>
          <w:noProof/>
        </w:rPr>
        <w:t xml:space="preserve"> the technical parts of </w:t>
      </w:r>
      <w:r w:rsidR="005B25E2">
        <w:rPr>
          <w:noProof/>
        </w:rPr>
        <w:t xml:space="preserve">delegated and </w:t>
      </w:r>
      <w:r w:rsidR="003C5D2C">
        <w:rPr>
          <w:noProof/>
        </w:rPr>
        <w:t xml:space="preserve">implementing </w:t>
      </w:r>
      <w:r w:rsidRPr="003574B9">
        <w:rPr>
          <w:noProof/>
        </w:rPr>
        <w:t>Regulations.</w:t>
      </w:r>
    </w:p>
    <w:p w14:paraId="368AE449" w14:textId="77777777" w:rsidR="00502AAE" w:rsidRPr="003574B9" w:rsidRDefault="00502AAE" w:rsidP="0006001F">
      <w:pPr>
        <w:rPr>
          <w:noProof/>
        </w:rPr>
      </w:pPr>
      <w:r w:rsidRPr="003574B9">
        <w:rPr>
          <w:noProof/>
        </w:rPr>
        <w:t xml:space="preserve">The drafting of such EASA opinions is assisted by consultative bodies that </w:t>
      </w:r>
      <w:r w:rsidR="00707CAC">
        <w:rPr>
          <w:noProof/>
        </w:rPr>
        <w:t xml:space="preserve">also </w:t>
      </w:r>
      <w:r w:rsidRPr="003574B9">
        <w:rPr>
          <w:noProof/>
        </w:rPr>
        <w:t>provide advice on the content, priorities and execution of the rulemaking programme of EASA</w:t>
      </w:r>
      <w:r w:rsidR="00707CAC">
        <w:rPr>
          <w:noProof/>
        </w:rPr>
        <w:t xml:space="preserve"> in the context of the EPAS</w:t>
      </w:r>
      <w:r w:rsidRPr="003574B9">
        <w:rPr>
          <w:noProof/>
        </w:rPr>
        <w:t>. The Agency also prepares and adopts the measures (</w:t>
      </w:r>
      <w:r w:rsidR="00C0157D">
        <w:rPr>
          <w:noProof/>
        </w:rPr>
        <w:t>certification specifications and other detailed specifications</w:t>
      </w:r>
      <w:r w:rsidRPr="003574B9">
        <w:rPr>
          <w:noProof/>
        </w:rPr>
        <w:t xml:space="preserve">, </w:t>
      </w:r>
      <w:r w:rsidR="00C0157D">
        <w:rPr>
          <w:noProof/>
        </w:rPr>
        <w:t xml:space="preserve">acceptable means </w:t>
      </w:r>
      <w:r w:rsidR="00707CAC">
        <w:rPr>
          <w:noProof/>
        </w:rPr>
        <w:t xml:space="preserve">of </w:t>
      </w:r>
      <w:r w:rsidR="00C0157D">
        <w:rPr>
          <w:noProof/>
        </w:rPr>
        <w:t>compliance</w:t>
      </w:r>
      <w:r w:rsidR="00C0157D" w:rsidRPr="003574B9">
        <w:rPr>
          <w:noProof/>
        </w:rPr>
        <w:t xml:space="preserve"> </w:t>
      </w:r>
      <w:r w:rsidRPr="003574B9">
        <w:rPr>
          <w:noProof/>
        </w:rPr>
        <w:t xml:space="preserve">and </w:t>
      </w:r>
      <w:r w:rsidR="00C0157D">
        <w:rPr>
          <w:noProof/>
        </w:rPr>
        <w:t>guidance material</w:t>
      </w:r>
      <w:r w:rsidRPr="003574B9">
        <w:rPr>
          <w:noProof/>
        </w:rPr>
        <w:t xml:space="preserve">) supporting the implementation of these common technical rules.  </w:t>
      </w:r>
    </w:p>
    <w:p w14:paraId="09649CF0" w14:textId="0E1E0268" w:rsidR="001A3A50" w:rsidRDefault="00502AAE" w:rsidP="0006001F">
      <w:pPr>
        <w:rPr>
          <w:noProof/>
        </w:rPr>
      </w:pPr>
      <w:r w:rsidRPr="003574B9">
        <w:rPr>
          <w:noProof/>
        </w:rPr>
        <w:t xml:space="preserve">In addition, EASA conducts standardisation inspections of the Member </w:t>
      </w:r>
      <w:r w:rsidR="00A46B04">
        <w:rPr>
          <w:noProof/>
        </w:rPr>
        <w:t>State</w:t>
      </w:r>
      <w:r w:rsidRPr="003574B9">
        <w:rPr>
          <w:noProof/>
        </w:rPr>
        <w:t xml:space="preserve">s in order to </w:t>
      </w:r>
      <w:r w:rsidR="003C5D2C">
        <w:rPr>
          <w:noProof/>
        </w:rPr>
        <w:t>monitor</w:t>
      </w:r>
      <w:r w:rsidRPr="003574B9">
        <w:rPr>
          <w:noProof/>
        </w:rPr>
        <w:t xml:space="preserve"> the application by the Member </w:t>
      </w:r>
      <w:r w:rsidR="00A46B04">
        <w:rPr>
          <w:noProof/>
        </w:rPr>
        <w:t>State</w:t>
      </w:r>
      <w:r w:rsidRPr="003574B9">
        <w:rPr>
          <w:noProof/>
        </w:rPr>
        <w:t xml:space="preserve">s of the provisions of Regulation </w:t>
      </w:r>
      <w:r w:rsidR="00884C49">
        <w:rPr>
          <w:noProof/>
        </w:rPr>
        <w:t xml:space="preserve">(EU) </w:t>
      </w:r>
      <w:r w:rsidR="006831DF">
        <w:rPr>
          <w:noProof/>
        </w:rPr>
        <w:t>2018/1139</w:t>
      </w:r>
      <w:r>
        <w:rPr>
          <w:noProof/>
        </w:rPr>
        <w:t xml:space="preserve"> </w:t>
      </w:r>
      <w:r w:rsidRPr="003574B9">
        <w:rPr>
          <w:noProof/>
        </w:rPr>
        <w:t xml:space="preserve">as well as its implementing rules (see also </w:t>
      </w:r>
      <w:hyperlink w:anchor="_Monitoring_the_application" w:history="1">
        <w:r w:rsidRPr="00510011">
          <w:rPr>
            <w:rStyle w:val="Hyperlink"/>
            <w:noProof/>
          </w:rPr>
          <w:t>section 3.1</w:t>
        </w:r>
        <w:r w:rsidR="00510011" w:rsidRPr="00510011">
          <w:rPr>
            <w:rStyle w:val="Hyperlink"/>
            <w:noProof/>
          </w:rPr>
          <w:t>.1</w:t>
        </w:r>
      </w:hyperlink>
      <w:r w:rsidRPr="003574B9">
        <w:rPr>
          <w:noProof/>
        </w:rPr>
        <w:t>).</w:t>
      </w:r>
      <w:r w:rsidRPr="00B9005E">
        <w:rPr>
          <w:noProof/>
        </w:rPr>
        <w:t xml:space="preserve"> </w:t>
      </w:r>
      <w:r w:rsidR="003C5D2C">
        <w:rPr>
          <w:noProof/>
        </w:rPr>
        <w:t xml:space="preserve">It reports to the </w:t>
      </w:r>
      <w:r w:rsidR="00D31E4F">
        <w:rPr>
          <w:noProof/>
        </w:rPr>
        <w:t>Commission that</w:t>
      </w:r>
      <w:r w:rsidR="009F55B6">
        <w:rPr>
          <w:noProof/>
        </w:rPr>
        <w:t xml:space="preserve"> </w:t>
      </w:r>
      <w:r w:rsidR="0045754B">
        <w:rPr>
          <w:noProof/>
        </w:rPr>
        <w:t xml:space="preserve">ultimately </w:t>
      </w:r>
      <w:r w:rsidR="009F55B6">
        <w:rPr>
          <w:noProof/>
        </w:rPr>
        <w:t xml:space="preserve">decides </w:t>
      </w:r>
      <w:r w:rsidR="00D31E4F">
        <w:rPr>
          <w:noProof/>
        </w:rPr>
        <w:t xml:space="preserve">about the </w:t>
      </w:r>
      <w:r w:rsidR="009F55B6">
        <w:rPr>
          <w:noProof/>
        </w:rPr>
        <w:t xml:space="preserve">launching </w:t>
      </w:r>
      <w:r w:rsidR="00D31E4F">
        <w:rPr>
          <w:noProof/>
        </w:rPr>
        <w:t xml:space="preserve">of </w:t>
      </w:r>
      <w:r w:rsidR="009F55B6">
        <w:rPr>
          <w:noProof/>
        </w:rPr>
        <w:t>enforcement measures for lack of compliance on the basis of technical and legal consultations with the Agency</w:t>
      </w:r>
      <w:r w:rsidR="003C5D2C">
        <w:rPr>
          <w:noProof/>
        </w:rPr>
        <w:t xml:space="preserve">. </w:t>
      </w:r>
    </w:p>
    <w:p w14:paraId="73E5638C" w14:textId="451DA173" w:rsidR="005D3526" w:rsidRDefault="0076137C" w:rsidP="00E3059A">
      <w:pPr>
        <w:autoSpaceDE w:val="0"/>
        <w:autoSpaceDN w:val="0"/>
        <w:adjustRightInd w:val="0"/>
        <w:spacing w:after="0"/>
        <w:rPr>
          <w:noProof/>
        </w:rPr>
      </w:pPr>
      <w:r>
        <w:rPr>
          <w:noProof/>
        </w:rPr>
        <w:t xml:space="preserve">In the area of </w:t>
      </w:r>
      <w:r w:rsidR="000D4A94">
        <w:rPr>
          <w:noProof/>
        </w:rPr>
        <w:t>ATM/ANS,</w:t>
      </w:r>
      <w:r>
        <w:rPr>
          <w:noProof/>
        </w:rPr>
        <w:t xml:space="preserve"> EASA </w:t>
      </w:r>
      <w:r w:rsidR="002426BE">
        <w:rPr>
          <w:noProof/>
        </w:rPr>
        <w:t>provides technical assistance to the Commission in the implementation of SES</w:t>
      </w:r>
      <w:r w:rsidR="00E3059A">
        <w:rPr>
          <w:noProof/>
        </w:rPr>
        <w:t xml:space="preserve">, </w:t>
      </w:r>
      <w:r w:rsidR="00E3059A" w:rsidRPr="00B21001">
        <w:rPr>
          <w:rFonts w:cstheme="minorHAnsi"/>
          <w:bCs/>
          <w:iCs/>
          <w:noProof/>
        </w:rPr>
        <w:t>by conducting technical inspections, investigations and studies, as well as by contributing to the implementation of the ATM M</w:t>
      </w:r>
      <w:r w:rsidR="00E3059A">
        <w:rPr>
          <w:rFonts w:cstheme="minorHAnsi"/>
          <w:bCs/>
          <w:iCs/>
          <w:noProof/>
        </w:rPr>
        <w:t xml:space="preserve">aster </w:t>
      </w:r>
      <w:r w:rsidR="00E3059A" w:rsidRPr="00B21001">
        <w:rPr>
          <w:rFonts w:cstheme="minorHAnsi"/>
          <w:bCs/>
          <w:iCs/>
          <w:noProof/>
        </w:rPr>
        <w:t>P</w:t>
      </w:r>
      <w:r w:rsidR="00E3059A">
        <w:rPr>
          <w:rFonts w:cstheme="minorHAnsi"/>
          <w:bCs/>
          <w:iCs/>
          <w:noProof/>
        </w:rPr>
        <w:t>lan (MP)</w:t>
      </w:r>
      <w:r w:rsidR="00E3059A" w:rsidRPr="00B21001">
        <w:rPr>
          <w:rFonts w:cstheme="minorHAnsi"/>
          <w:bCs/>
          <w:iCs/>
          <w:noProof/>
        </w:rPr>
        <w:t xml:space="preserve">, including </w:t>
      </w:r>
      <w:r w:rsidR="000D4A94">
        <w:rPr>
          <w:rFonts w:cstheme="minorHAnsi"/>
          <w:bCs/>
          <w:iCs/>
          <w:noProof/>
        </w:rPr>
        <w:t xml:space="preserve">support to </w:t>
      </w:r>
      <w:r w:rsidR="00E3059A" w:rsidRPr="00B21001">
        <w:rPr>
          <w:rFonts w:cstheme="minorHAnsi"/>
          <w:bCs/>
          <w:iCs/>
          <w:noProof/>
        </w:rPr>
        <w:t xml:space="preserve">the development and deployment of the </w:t>
      </w:r>
      <w:r w:rsidR="005D3526" w:rsidRPr="0095750C">
        <w:rPr>
          <w:noProof/>
        </w:rPr>
        <w:t xml:space="preserve">SESAR </w:t>
      </w:r>
      <w:r w:rsidR="00E3059A" w:rsidRPr="00B21001">
        <w:rPr>
          <w:rFonts w:cstheme="minorHAnsi"/>
          <w:bCs/>
          <w:iCs/>
          <w:noProof/>
        </w:rPr>
        <w:t>programme</w:t>
      </w:r>
      <w:r w:rsidR="005D3526">
        <w:rPr>
          <w:rFonts w:cstheme="minorHAnsi"/>
          <w:bCs/>
          <w:iCs/>
          <w:noProof/>
        </w:rPr>
        <w:t xml:space="preserve">. </w:t>
      </w:r>
      <w:r>
        <w:rPr>
          <w:rFonts w:cstheme="minorHAnsi"/>
          <w:bCs/>
          <w:iCs/>
          <w:noProof/>
        </w:rPr>
        <w:t xml:space="preserve">In particular, </w:t>
      </w:r>
      <w:r w:rsidR="005D3526">
        <w:rPr>
          <w:rFonts w:cstheme="minorHAnsi"/>
          <w:bCs/>
          <w:iCs/>
          <w:noProof/>
        </w:rPr>
        <w:t xml:space="preserve">EASA </w:t>
      </w:r>
      <w:r w:rsidR="005D3526" w:rsidRPr="005D3526">
        <w:rPr>
          <w:rFonts w:cstheme="minorHAnsi"/>
          <w:bCs/>
          <w:iCs/>
          <w:noProof/>
        </w:rPr>
        <w:t>cater</w:t>
      </w:r>
      <w:r w:rsidR="005D3526">
        <w:rPr>
          <w:rFonts w:cstheme="minorHAnsi"/>
          <w:bCs/>
          <w:iCs/>
          <w:noProof/>
        </w:rPr>
        <w:t>s</w:t>
      </w:r>
      <w:r w:rsidR="005D3526" w:rsidRPr="005D3526">
        <w:rPr>
          <w:rFonts w:cstheme="minorHAnsi"/>
          <w:bCs/>
          <w:iCs/>
          <w:noProof/>
        </w:rPr>
        <w:t xml:space="preserve"> for the regulatory and implementation needs of the SESAR essential operational changes and other technological advancements</w:t>
      </w:r>
      <w:r w:rsidR="005D3526">
        <w:rPr>
          <w:rFonts w:cstheme="minorHAnsi"/>
          <w:bCs/>
          <w:iCs/>
          <w:noProof/>
        </w:rPr>
        <w:t xml:space="preserve">, </w:t>
      </w:r>
      <w:r w:rsidR="005D3526" w:rsidRPr="005D3526">
        <w:rPr>
          <w:rFonts w:cstheme="minorHAnsi"/>
          <w:bCs/>
          <w:iCs/>
          <w:noProof/>
        </w:rPr>
        <w:t>such as, but not limited to, U-space technological solutions, virtualisation, cloud-based architecture and remote tower operations</w:t>
      </w:r>
      <w:r w:rsidR="005D3526">
        <w:rPr>
          <w:rFonts w:cstheme="minorHAnsi"/>
          <w:bCs/>
          <w:iCs/>
          <w:noProof/>
        </w:rPr>
        <w:t xml:space="preserve">, </w:t>
      </w:r>
      <w:r w:rsidR="005D3526" w:rsidRPr="005D3526">
        <w:rPr>
          <w:rFonts w:cstheme="minorHAnsi"/>
          <w:bCs/>
          <w:iCs/>
          <w:noProof/>
        </w:rPr>
        <w:t>by enabling the use of new working methods, operational improvements and technologies developed by SESAR.</w:t>
      </w:r>
      <w:r>
        <w:rPr>
          <w:rFonts w:cstheme="minorHAnsi"/>
          <w:bCs/>
          <w:iCs/>
          <w:noProof/>
        </w:rPr>
        <w:t xml:space="preserve"> </w:t>
      </w:r>
      <w:r w:rsidR="00E3059A" w:rsidRPr="00FB18C9">
        <w:rPr>
          <w:noProof/>
        </w:rPr>
        <w:t xml:space="preserve">EASA </w:t>
      </w:r>
      <w:r>
        <w:rPr>
          <w:noProof/>
        </w:rPr>
        <w:t xml:space="preserve">also </w:t>
      </w:r>
      <w:r w:rsidR="00E3059A" w:rsidRPr="00FB18C9">
        <w:rPr>
          <w:noProof/>
        </w:rPr>
        <w:t>support</w:t>
      </w:r>
      <w:r>
        <w:rPr>
          <w:noProof/>
        </w:rPr>
        <w:t xml:space="preserve">s the entire SESAR </w:t>
      </w:r>
      <w:r w:rsidR="00E3059A" w:rsidRPr="00FB18C9">
        <w:rPr>
          <w:noProof/>
        </w:rPr>
        <w:t>innovation cycle by assessing proposed systems and</w:t>
      </w:r>
      <w:r w:rsidR="00E3059A">
        <w:rPr>
          <w:noProof/>
        </w:rPr>
        <w:t xml:space="preserve"> </w:t>
      </w:r>
      <w:r w:rsidR="00D31E4F">
        <w:rPr>
          <w:noProof/>
        </w:rPr>
        <w:t xml:space="preserve">by </w:t>
      </w:r>
      <w:r w:rsidR="00E3059A" w:rsidRPr="00FB18C9">
        <w:rPr>
          <w:noProof/>
        </w:rPr>
        <w:t>overseeing deployed solutions. These form the building blocks of Europe’s future airspace architecture in</w:t>
      </w:r>
      <w:r w:rsidR="00E3059A">
        <w:rPr>
          <w:noProof/>
        </w:rPr>
        <w:t xml:space="preserve"> </w:t>
      </w:r>
      <w:r w:rsidR="00E3059A" w:rsidRPr="00FB18C9">
        <w:rPr>
          <w:noProof/>
        </w:rPr>
        <w:t>support of safety, efficiency and environmental performance.</w:t>
      </w:r>
      <w:r w:rsidR="00E3059A">
        <w:rPr>
          <w:noProof/>
        </w:rPr>
        <w:t xml:space="preserve"> </w:t>
      </w:r>
      <w:r>
        <w:rPr>
          <w:noProof/>
        </w:rPr>
        <w:t>F</w:t>
      </w:r>
      <w:r w:rsidR="00556475">
        <w:rPr>
          <w:noProof/>
        </w:rPr>
        <w:t>urthermore</w:t>
      </w:r>
      <w:r>
        <w:rPr>
          <w:noProof/>
        </w:rPr>
        <w:t xml:space="preserve">, EASA </w:t>
      </w:r>
      <w:r w:rsidRPr="003574B9">
        <w:rPr>
          <w:noProof/>
        </w:rPr>
        <w:t>ensures, on behalf of the Commission, the oversight of the Network Manager for the ATM network functions of SES</w:t>
      </w:r>
      <w:r w:rsidR="004736B6">
        <w:rPr>
          <w:noProof/>
        </w:rPr>
        <w:t>.</w:t>
      </w:r>
    </w:p>
    <w:p w14:paraId="4228F330" w14:textId="77777777" w:rsidR="00502AAE" w:rsidRPr="003574B9" w:rsidRDefault="005E0CEE" w:rsidP="00FB18C9">
      <w:pPr>
        <w:autoSpaceDE w:val="0"/>
        <w:autoSpaceDN w:val="0"/>
        <w:adjustRightInd w:val="0"/>
        <w:spacing w:after="0"/>
        <w:rPr>
          <w:noProof/>
        </w:rPr>
      </w:pPr>
      <w:r>
        <w:rPr>
          <w:noProof/>
        </w:rPr>
        <w:t>In addition</w:t>
      </w:r>
      <w:r w:rsidR="00490908">
        <w:rPr>
          <w:noProof/>
        </w:rPr>
        <w:t xml:space="preserve">, </w:t>
      </w:r>
      <w:r w:rsidR="00E3059A">
        <w:rPr>
          <w:noProof/>
        </w:rPr>
        <w:t xml:space="preserve">EASA </w:t>
      </w:r>
      <w:r w:rsidR="002426BE">
        <w:rPr>
          <w:noProof/>
        </w:rPr>
        <w:t>contribut</w:t>
      </w:r>
      <w:r w:rsidR="00E3059A">
        <w:rPr>
          <w:noProof/>
        </w:rPr>
        <w:t>es</w:t>
      </w:r>
      <w:r w:rsidR="002426BE">
        <w:rPr>
          <w:noProof/>
        </w:rPr>
        <w:t xml:space="preserve"> to the implementation of the performance scheme for air navigation services and network functions, </w:t>
      </w:r>
      <w:r w:rsidR="005D3526">
        <w:rPr>
          <w:noProof/>
        </w:rPr>
        <w:t xml:space="preserve">in particular by providing guidance material for the safety related elements of the </w:t>
      </w:r>
      <w:r w:rsidR="0076137C">
        <w:rPr>
          <w:noProof/>
        </w:rPr>
        <w:t xml:space="preserve">SES </w:t>
      </w:r>
      <w:r w:rsidR="005D3526">
        <w:rPr>
          <w:noProof/>
        </w:rPr>
        <w:t>ATM Performance Scheme</w:t>
      </w:r>
      <w:r w:rsidR="00556475">
        <w:rPr>
          <w:noProof/>
        </w:rPr>
        <w:t xml:space="preserve"> (refer to 2.3.1)</w:t>
      </w:r>
      <w:r w:rsidR="005D3526">
        <w:rPr>
          <w:noProof/>
        </w:rPr>
        <w:t xml:space="preserve">. </w:t>
      </w:r>
      <w:r w:rsidR="00E3059A">
        <w:rPr>
          <w:noProof/>
        </w:rPr>
        <w:t xml:space="preserve"> </w:t>
      </w:r>
    </w:p>
    <w:p w14:paraId="38063FB2" w14:textId="088733A8" w:rsidR="00502AAE" w:rsidRPr="003574B9" w:rsidRDefault="00502AAE" w:rsidP="0006001F">
      <w:pPr>
        <w:rPr>
          <w:noProof/>
        </w:rPr>
      </w:pPr>
      <w:r w:rsidRPr="003574B9">
        <w:rPr>
          <w:noProof/>
        </w:rPr>
        <w:t xml:space="preserve">EASA </w:t>
      </w:r>
      <w:r w:rsidR="00BC2A22" w:rsidRPr="00BC2A22">
        <w:rPr>
          <w:noProof/>
        </w:rPr>
        <w:t xml:space="preserve">is </w:t>
      </w:r>
      <w:r w:rsidR="001A3A50" w:rsidRPr="003574B9">
        <w:rPr>
          <w:noProof/>
        </w:rPr>
        <w:t xml:space="preserve">also </w:t>
      </w:r>
      <w:r w:rsidR="00BC2A22" w:rsidRPr="00BC2A22">
        <w:rPr>
          <w:noProof/>
        </w:rPr>
        <w:t>empowered</w:t>
      </w:r>
      <w:r w:rsidR="00BC2A22" w:rsidRPr="003574B9">
        <w:rPr>
          <w:noProof/>
        </w:rPr>
        <w:t xml:space="preserve"> </w:t>
      </w:r>
      <w:r w:rsidRPr="003574B9">
        <w:rPr>
          <w:noProof/>
        </w:rPr>
        <w:t>to authorise third country commercial air carriers flying into</w:t>
      </w:r>
      <w:r w:rsidR="008F6586">
        <w:rPr>
          <w:noProof/>
        </w:rPr>
        <w:t>,</w:t>
      </w:r>
      <w:r w:rsidRPr="003574B9">
        <w:rPr>
          <w:noProof/>
        </w:rPr>
        <w:t xml:space="preserve"> within or out of the </w:t>
      </w:r>
      <w:r w:rsidR="008A5816">
        <w:rPr>
          <w:noProof/>
        </w:rPr>
        <w:t>31</w:t>
      </w:r>
      <w:r w:rsidR="008A5816" w:rsidRPr="003574B9">
        <w:rPr>
          <w:noProof/>
        </w:rPr>
        <w:t xml:space="preserve"> </w:t>
      </w:r>
      <w:r w:rsidR="008A5816">
        <w:rPr>
          <w:noProof/>
        </w:rPr>
        <w:t>EASA</w:t>
      </w:r>
      <w:r w:rsidRPr="003574B9">
        <w:rPr>
          <w:noProof/>
        </w:rPr>
        <w:t xml:space="preserve"> </w:t>
      </w:r>
      <w:r w:rsidR="00A46B04">
        <w:rPr>
          <w:noProof/>
        </w:rPr>
        <w:t>State</w:t>
      </w:r>
      <w:r w:rsidRPr="003574B9">
        <w:rPr>
          <w:noProof/>
        </w:rPr>
        <w:t>s. EASA only takes over the safety-related part of foreign operator assessment. Operating permits continue to be issued by the national authorities.</w:t>
      </w:r>
      <w:r>
        <w:rPr>
          <w:noProof/>
        </w:rPr>
        <w:t xml:space="preserve"> </w:t>
      </w:r>
      <w:r w:rsidRPr="003574B9">
        <w:rPr>
          <w:noProof/>
        </w:rPr>
        <w:t xml:space="preserve">Furthermore, EASA coordinates the European </w:t>
      </w:r>
      <w:r w:rsidR="00FE57C4">
        <w:rPr>
          <w:noProof/>
        </w:rPr>
        <w:t>R</w:t>
      </w:r>
      <w:r w:rsidR="001A3A50">
        <w:rPr>
          <w:noProof/>
        </w:rPr>
        <w:t xml:space="preserve">amp </w:t>
      </w:r>
      <w:r w:rsidR="00FE57C4">
        <w:rPr>
          <w:noProof/>
        </w:rPr>
        <w:t>Inspection P</w:t>
      </w:r>
      <w:r w:rsidRPr="003574B9">
        <w:rPr>
          <w:noProof/>
        </w:rPr>
        <w:t xml:space="preserve">rogramme </w:t>
      </w:r>
      <w:r w:rsidR="00FE57C4">
        <w:rPr>
          <w:noProof/>
        </w:rPr>
        <w:t>‘</w:t>
      </w:r>
      <w:r w:rsidRPr="003574B9">
        <w:rPr>
          <w:noProof/>
        </w:rPr>
        <w:t>SAFA</w:t>
      </w:r>
      <w:r w:rsidR="00FE57C4">
        <w:rPr>
          <w:noProof/>
        </w:rPr>
        <w:t>’</w:t>
      </w:r>
      <w:r w:rsidRPr="003574B9">
        <w:rPr>
          <w:noProof/>
        </w:rPr>
        <w:t xml:space="preserve"> (Safety Assessment of Foreign Aircraft) regarding the safety of foreign aircraft using </w:t>
      </w:r>
      <w:r>
        <w:rPr>
          <w:noProof/>
        </w:rPr>
        <w:t>Union</w:t>
      </w:r>
      <w:r w:rsidR="00592FEE">
        <w:rPr>
          <w:noProof/>
        </w:rPr>
        <w:t xml:space="preserve"> airports.</w:t>
      </w:r>
    </w:p>
    <w:p w14:paraId="62C65F89" w14:textId="43ABEEA0" w:rsidR="00502AAE" w:rsidRPr="003574B9" w:rsidRDefault="00502AAE" w:rsidP="0006001F">
      <w:pPr>
        <w:rPr>
          <w:noProof/>
        </w:rPr>
      </w:pPr>
      <w:r w:rsidRPr="003574B9">
        <w:rPr>
          <w:noProof/>
        </w:rPr>
        <w:t xml:space="preserve">More generally, EASA provides technical advice to the Commission and to the Member </w:t>
      </w:r>
      <w:r w:rsidR="00A46B04">
        <w:rPr>
          <w:noProof/>
        </w:rPr>
        <w:t>State</w:t>
      </w:r>
      <w:r w:rsidRPr="003574B9">
        <w:rPr>
          <w:noProof/>
        </w:rPr>
        <w:t>s, when appropriate.</w:t>
      </w:r>
      <w:r w:rsidR="00E329A4">
        <w:rPr>
          <w:noProof/>
        </w:rPr>
        <w:t xml:space="preserve"> </w:t>
      </w:r>
      <w:r w:rsidR="005E0CEE">
        <w:rPr>
          <w:noProof/>
        </w:rPr>
        <w:t>T</w:t>
      </w:r>
      <w:r w:rsidR="00E329A4">
        <w:rPr>
          <w:noProof/>
        </w:rPr>
        <w:t xml:space="preserve">he Agency is </w:t>
      </w:r>
      <w:r w:rsidR="005E0CEE">
        <w:rPr>
          <w:noProof/>
        </w:rPr>
        <w:t xml:space="preserve">also </w:t>
      </w:r>
      <w:r w:rsidR="00E329A4">
        <w:rPr>
          <w:noProof/>
        </w:rPr>
        <w:t xml:space="preserve">the implementing body of technical assistance in the aviation </w:t>
      </w:r>
      <w:r w:rsidR="00C20A46">
        <w:rPr>
          <w:noProof/>
        </w:rPr>
        <w:t xml:space="preserve">safety </w:t>
      </w:r>
      <w:r w:rsidR="00E329A4">
        <w:rPr>
          <w:noProof/>
        </w:rPr>
        <w:t xml:space="preserve">and </w:t>
      </w:r>
      <w:r w:rsidR="00E329A4" w:rsidRPr="006D02A2">
        <w:rPr>
          <w:noProof/>
        </w:rPr>
        <w:t>ATM</w:t>
      </w:r>
      <w:r w:rsidR="00F263FB" w:rsidRPr="006D02A2">
        <w:rPr>
          <w:noProof/>
        </w:rPr>
        <w:t xml:space="preserve"> </w:t>
      </w:r>
      <w:r w:rsidR="00E329A4" w:rsidRPr="006D02A2">
        <w:rPr>
          <w:noProof/>
        </w:rPr>
        <w:t>areas</w:t>
      </w:r>
      <w:r w:rsidR="00E329A4">
        <w:rPr>
          <w:noProof/>
        </w:rPr>
        <w:t xml:space="preserve"> to third countries and regions with which the EU has signed aviation agreements and to which the EU committed to provide such support. Assistance is also provided to EU Member </w:t>
      </w:r>
      <w:r w:rsidR="00A46B04">
        <w:rPr>
          <w:noProof/>
        </w:rPr>
        <w:t>State</w:t>
      </w:r>
      <w:r w:rsidR="00E329A4">
        <w:rPr>
          <w:noProof/>
        </w:rPr>
        <w:t>s aviation authorities on an ad-hoc basis.</w:t>
      </w:r>
    </w:p>
    <w:p w14:paraId="6F4BFCBC" w14:textId="77777777" w:rsidR="004805C0" w:rsidRDefault="004805C0" w:rsidP="004805C0">
      <w:pPr>
        <w:rPr>
          <w:noProof/>
        </w:rPr>
      </w:pPr>
      <w:r>
        <w:rPr>
          <w:noProof/>
        </w:rPr>
        <w:t xml:space="preserve">Moreover, EASA </w:t>
      </w:r>
      <w:r w:rsidR="00502AAE" w:rsidRPr="003574B9">
        <w:rPr>
          <w:noProof/>
        </w:rPr>
        <w:t xml:space="preserve">undertakes tasks in the area of data collection, analysis and research to improve aviation safety. In this context, it is supported by the Network of </w:t>
      </w:r>
      <w:r w:rsidR="00502AAE">
        <w:rPr>
          <w:noProof/>
        </w:rPr>
        <w:t>a</w:t>
      </w:r>
      <w:r w:rsidR="00502AAE" w:rsidRPr="003574B9">
        <w:rPr>
          <w:noProof/>
        </w:rPr>
        <w:t xml:space="preserve">viation </w:t>
      </w:r>
      <w:r w:rsidR="00502AAE">
        <w:rPr>
          <w:noProof/>
        </w:rPr>
        <w:t>s</w:t>
      </w:r>
      <w:r w:rsidR="00502AAE" w:rsidRPr="003574B9">
        <w:rPr>
          <w:noProof/>
        </w:rPr>
        <w:t xml:space="preserve">afety </w:t>
      </w:r>
      <w:r w:rsidR="00502AAE">
        <w:rPr>
          <w:noProof/>
        </w:rPr>
        <w:t>a</w:t>
      </w:r>
      <w:r w:rsidR="00502AAE" w:rsidRPr="003574B9">
        <w:rPr>
          <w:noProof/>
        </w:rPr>
        <w:t>nalysts (</w:t>
      </w:r>
      <w:r w:rsidR="00553523">
        <w:rPr>
          <w:noProof/>
        </w:rPr>
        <w:t>NoAs</w:t>
      </w:r>
      <w:r w:rsidR="00502AAE" w:rsidRPr="003574B9">
        <w:rPr>
          <w:noProof/>
        </w:rPr>
        <w:t xml:space="preserve">). </w:t>
      </w:r>
      <w:r w:rsidR="00C95ABF">
        <w:rPr>
          <w:noProof/>
        </w:rPr>
        <w:t>The Agency coordinates</w:t>
      </w:r>
      <w:r>
        <w:rPr>
          <w:noProof/>
        </w:rPr>
        <w:t xml:space="preserve"> the </w:t>
      </w:r>
      <w:r w:rsidRPr="00751ECE">
        <w:rPr>
          <w:iCs/>
          <w:noProof/>
        </w:rPr>
        <w:t>Data4Safety</w:t>
      </w:r>
      <w:r>
        <w:rPr>
          <w:noProof/>
        </w:rPr>
        <w:t xml:space="preserve"> </w:t>
      </w:r>
      <w:r w:rsidR="00C95ABF">
        <w:rPr>
          <w:noProof/>
        </w:rPr>
        <w:t>programme,</w:t>
      </w:r>
      <w:r>
        <w:rPr>
          <w:noProof/>
        </w:rPr>
        <w:t xml:space="preserve"> a core objective of which is to establish robust risk</w:t>
      </w:r>
      <w:r w:rsidR="00C95ABF">
        <w:rPr>
          <w:noProof/>
        </w:rPr>
        <w:t>-</w:t>
      </w:r>
      <w:r>
        <w:rPr>
          <w:noProof/>
        </w:rPr>
        <w:t xml:space="preserve">management capabilities for the European aviation sector to </w:t>
      </w:r>
      <w:r w:rsidR="00C95ABF">
        <w:rPr>
          <w:noProof/>
        </w:rPr>
        <w:t>enhance</w:t>
      </w:r>
      <w:r>
        <w:rPr>
          <w:noProof/>
        </w:rPr>
        <w:t xml:space="preserve"> its abilities to make informed and data-driven decisions in the </w:t>
      </w:r>
      <w:r w:rsidR="00C95ABF">
        <w:rPr>
          <w:noProof/>
        </w:rPr>
        <w:t>different domains</w:t>
      </w:r>
      <w:r>
        <w:rPr>
          <w:noProof/>
        </w:rPr>
        <w:t xml:space="preserve"> of aviation safety. </w:t>
      </w:r>
      <w:r w:rsidR="00C95ABF">
        <w:rPr>
          <w:noProof/>
        </w:rPr>
        <w:t>The objective of the programme is to exploit the unprecedented type and volume of knowledge and data to address most of the important issues and challenges faced and to be faced by the European transport sector.</w:t>
      </w:r>
    </w:p>
    <w:p w14:paraId="512B9CB3" w14:textId="77777777" w:rsidR="00502AAE" w:rsidRPr="003574B9" w:rsidRDefault="00502AAE" w:rsidP="0006001F">
      <w:pPr>
        <w:rPr>
          <w:noProof/>
        </w:rPr>
      </w:pPr>
      <w:r w:rsidRPr="003574B9">
        <w:rPr>
          <w:noProof/>
        </w:rPr>
        <w:t>EASA is a member of the European Aviation Crisis Coordination Cell responsible to coordinate the management of response to network crisis in the aviation area.</w:t>
      </w:r>
      <w:r w:rsidR="00F9418C">
        <w:rPr>
          <w:noProof/>
        </w:rPr>
        <w:t xml:space="preserve"> It shall, </w:t>
      </w:r>
      <w:r w:rsidR="00F9418C" w:rsidRPr="00F9418C">
        <w:rPr>
          <w:noProof/>
        </w:rPr>
        <w:t>within its field of competence, contribute to a timely response to and mitigation of aviation crises, in coordination, with other appropriate stakeholders.</w:t>
      </w:r>
    </w:p>
    <w:p w14:paraId="11276828" w14:textId="456D159A" w:rsidR="00D55475" w:rsidRDefault="00502AAE" w:rsidP="0006001F">
      <w:pPr>
        <w:rPr>
          <w:noProof/>
        </w:rPr>
      </w:pPr>
      <w:r w:rsidRPr="003574B9">
        <w:rPr>
          <w:noProof/>
        </w:rPr>
        <w:t xml:space="preserve">Finally, EASA is responsible for the preparation and adoption of the </w:t>
      </w:r>
      <w:r w:rsidR="00F26E98">
        <w:rPr>
          <w:noProof/>
        </w:rPr>
        <w:t xml:space="preserve">European </w:t>
      </w:r>
      <w:r w:rsidR="00234464">
        <w:rPr>
          <w:noProof/>
        </w:rPr>
        <w:t xml:space="preserve">Plan for Aviation </w:t>
      </w:r>
      <w:r w:rsidR="00F26E98">
        <w:rPr>
          <w:noProof/>
        </w:rPr>
        <w:t>Safety</w:t>
      </w:r>
      <w:r w:rsidR="00F26E98" w:rsidRPr="003574B9">
        <w:rPr>
          <w:noProof/>
        </w:rPr>
        <w:t xml:space="preserve"> </w:t>
      </w:r>
      <w:r w:rsidRPr="003574B9">
        <w:rPr>
          <w:noProof/>
        </w:rPr>
        <w:t>(</w:t>
      </w:r>
      <w:r w:rsidR="00F26E98">
        <w:rPr>
          <w:noProof/>
        </w:rPr>
        <w:t>EPAS</w:t>
      </w:r>
      <w:r w:rsidRPr="003574B9">
        <w:rPr>
          <w:noProof/>
        </w:rPr>
        <w:t>)</w:t>
      </w:r>
      <w:r w:rsidR="008F6586">
        <w:rPr>
          <w:noProof/>
        </w:rPr>
        <w:t>.</w:t>
      </w:r>
      <w:r w:rsidR="007C1A2D" w:rsidRPr="00FB18C9">
        <w:rPr>
          <w:noProof/>
          <w:vertAlign w:val="superscript"/>
        </w:rPr>
        <w:footnoteReference w:id="27"/>
      </w:r>
    </w:p>
    <w:p w14:paraId="2FD373F0" w14:textId="198ABF9F" w:rsidR="0018001F" w:rsidRPr="006D02A2" w:rsidRDefault="0018001F" w:rsidP="0018001F">
      <w:pPr>
        <w:shd w:val="clear" w:color="auto" w:fill="FFFFFF"/>
        <w:rPr>
          <w:rFonts w:cs="Times New Roman"/>
          <w:noProof/>
          <w:color w:val="000000"/>
          <w:szCs w:val="24"/>
        </w:rPr>
      </w:pPr>
      <w:r w:rsidRPr="006D02A2">
        <w:rPr>
          <w:rFonts w:cs="Times New Roman"/>
          <w:noProof/>
          <w:color w:val="000000"/>
          <w:szCs w:val="24"/>
        </w:rPr>
        <w:t xml:space="preserve">Application of sound safety management principles is essential for continuous improvement of civil aviation safety in the Union, anticipating emerging safety risks, and making best use of limited technical resources. </w:t>
      </w:r>
      <w:r w:rsidRPr="006D02A2">
        <w:rPr>
          <w:rFonts w:cs="Times New Roman"/>
          <w:noProof/>
          <w:szCs w:val="24"/>
          <w:lang w:val="en"/>
        </w:rPr>
        <w:t xml:space="preserve">While the EPAS </w:t>
      </w:r>
      <w:r w:rsidR="00D86997" w:rsidRPr="006D02A2">
        <w:rPr>
          <w:rFonts w:cs="Times New Roman"/>
          <w:noProof/>
          <w:szCs w:val="24"/>
          <w:lang w:val="en"/>
        </w:rPr>
        <w:t>was</w:t>
      </w:r>
      <w:r w:rsidRPr="006D02A2">
        <w:rPr>
          <w:rFonts w:cs="Times New Roman"/>
          <w:noProof/>
          <w:szCs w:val="24"/>
          <w:lang w:val="en"/>
        </w:rPr>
        <w:t xml:space="preserve"> already a well-established tool for safety planning at EU level, it was only with Regulation (EU) 2018/1139 that this document </w:t>
      </w:r>
      <w:r w:rsidR="00D86997" w:rsidRPr="006D02A2">
        <w:rPr>
          <w:rFonts w:cs="Times New Roman"/>
          <w:noProof/>
          <w:szCs w:val="24"/>
          <w:lang w:val="en"/>
        </w:rPr>
        <w:t xml:space="preserve">was provided with </w:t>
      </w:r>
      <w:r w:rsidRPr="006D02A2">
        <w:rPr>
          <w:rFonts w:cs="Times New Roman"/>
          <w:noProof/>
          <w:szCs w:val="24"/>
          <w:lang w:val="en"/>
        </w:rPr>
        <w:t>a formal legal recognition</w:t>
      </w:r>
      <w:r w:rsidR="00D86997" w:rsidRPr="006D02A2">
        <w:rPr>
          <w:rFonts w:cs="Times New Roman"/>
          <w:noProof/>
          <w:szCs w:val="24"/>
          <w:lang w:val="en"/>
        </w:rPr>
        <w:t xml:space="preserve">. It </w:t>
      </w:r>
      <w:r w:rsidRPr="006D02A2">
        <w:rPr>
          <w:rFonts w:cs="Times New Roman"/>
          <w:noProof/>
          <w:szCs w:val="24"/>
          <w:lang w:val="en"/>
        </w:rPr>
        <w:t>addresses the safety issues in an exhaustive and complete manner.</w:t>
      </w:r>
      <w:r w:rsidRPr="006D02A2">
        <w:rPr>
          <w:rFonts w:cs="Times New Roman"/>
          <w:noProof/>
          <w:color w:val="000000"/>
          <w:szCs w:val="24"/>
        </w:rPr>
        <w:t xml:space="preserve"> </w:t>
      </w:r>
    </w:p>
    <w:p w14:paraId="5E139ADF" w14:textId="4A41FD04" w:rsidR="0018001F" w:rsidRPr="006D02A2" w:rsidRDefault="0018001F" w:rsidP="0018001F">
      <w:pPr>
        <w:shd w:val="clear" w:color="auto" w:fill="FFFFFF"/>
        <w:rPr>
          <w:rFonts w:cs="Times New Roman"/>
          <w:noProof/>
          <w:szCs w:val="24"/>
        </w:rPr>
      </w:pPr>
      <w:r w:rsidRPr="006D02A2">
        <w:rPr>
          <w:rFonts w:cs="Times New Roman"/>
          <w:noProof/>
          <w:color w:val="000000"/>
          <w:szCs w:val="24"/>
        </w:rPr>
        <w:t xml:space="preserve">Chapter II </w:t>
      </w:r>
      <w:r w:rsidR="00284AAB">
        <w:rPr>
          <w:rFonts w:cs="Times New Roman"/>
          <w:noProof/>
          <w:color w:val="000000"/>
          <w:szCs w:val="24"/>
        </w:rPr>
        <w:t xml:space="preserve">of </w:t>
      </w:r>
      <w:r w:rsidR="00284AAB" w:rsidRPr="00284AAB">
        <w:rPr>
          <w:rFonts w:cs="Times New Roman"/>
          <w:noProof/>
          <w:color w:val="000000"/>
          <w:szCs w:val="24"/>
          <w:lang w:val="en"/>
        </w:rPr>
        <w:t xml:space="preserve">Regulation (EU) 2018/1139 </w:t>
      </w:r>
      <w:r w:rsidRPr="006D02A2">
        <w:rPr>
          <w:rFonts w:cs="Times New Roman"/>
          <w:noProof/>
          <w:color w:val="000000"/>
          <w:szCs w:val="24"/>
        </w:rPr>
        <w:t xml:space="preserve">dealing with safety management requires </w:t>
      </w:r>
      <w:r w:rsidR="000F4E73" w:rsidRPr="006D02A2">
        <w:rPr>
          <w:rFonts w:cs="Times New Roman"/>
          <w:noProof/>
          <w:color w:val="000000"/>
          <w:szCs w:val="24"/>
        </w:rPr>
        <w:t xml:space="preserve">the </w:t>
      </w:r>
      <w:r w:rsidRPr="006D02A2">
        <w:rPr>
          <w:rFonts w:cs="Times New Roman"/>
          <w:noProof/>
          <w:color w:val="000000"/>
          <w:szCs w:val="24"/>
        </w:rPr>
        <w:t xml:space="preserve">adoption of the European Aviation Safety Programme and </w:t>
      </w:r>
      <w:r w:rsidR="00284AAB">
        <w:rPr>
          <w:rFonts w:cs="Times New Roman"/>
          <w:noProof/>
          <w:color w:val="000000"/>
          <w:szCs w:val="24"/>
        </w:rPr>
        <w:t xml:space="preserve">of </w:t>
      </w:r>
      <w:r w:rsidRPr="006D02A2">
        <w:rPr>
          <w:rFonts w:cs="Times New Roman"/>
          <w:noProof/>
          <w:color w:val="000000"/>
          <w:szCs w:val="24"/>
        </w:rPr>
        <w:t>the European Plan for Aviation Safety</w:t>
      </w:r>
      <w:r w:rsidR="00DF6F5B">
        <w:rPr>
          <w:rFonts w:cs="Times New Roman"/>
          <w:noProof/>
          <w:color w:val="000000"/>
          <w:szCs w:val="24"/>
        </w:rPr>
        <w:t xml:space="preserve">. Through these provisions, </w:t>
      </w:r>
      <w:r w:rsidR="000F4E73" w:rsidRPr="006D02A2">
        <w:rPr>
          <w:rFonts w:cs="Times New Roman"/>
          <w:noProof/>
          <w:color w:val="000000"/>
          <w:szCs w:val="24"/>
        </w:rPr>
        <w:t xml:space="preserve">ICAO Annex 19 standards and recommended practices related to </w:t>
      </w:r>
      <w:r w:rsidR="00A46B04">
        <w:rPr>
          <w:rFonts w:cs="Times New Roman"/>
          <w:noProof/>
          <w:color w:val="000000"/>
          <w:szCs w:val="24"/>
        </w:rPr>
        <w:t>State</w:t>
      </w:r>
      <w:r w:rsidR="000F4E73" w:rsidRPr="006D02A2">
        <w:rPr>
          <w:rFonts w:cs="Times New Roman"/>
          <w:noProof/>
          <w:color w:val="000000"/>
          <w:szCs w:val="24"/>
        </w:rPr>
        <w:t xml:space="preserve"> Safety Programmes </w:t>
      </w:r>
      <w:r w:rsidR="00DF6F5B">
        <w:rPr>
          <w:rFonts w:cs="Times New Roman"/>
          <w:noProof/>
          <w:color w:val="000000"/>
          <w:szCs w:val="24"/>
        </w:rPr>
        <w:t xml:space="preserve">are also transposed </w:t>
      </w:r>
      <w:r w:rsidRPr="006D02A2">
        <w:rPr>
          <w:rFonts w:cs="Times New Roman"/>
          <w:noProof/>
          <w:color w:val="000000"/>
          <w:szCs w:val="24"/>
        </w:rPr>
        <w:t xml:space="preserve">into EU law. </w:t>
      </w:r>
      <w:r w:rsidRPr="006D02A2">
        <w:rPr>
          <w:rFonts w:cs="Times New Roman"/>
          <w:noProof/>
          <w:szCs w:val="24"/>
          <w:lang w:val="en"/>
        </w:rPr>
        <w:t> </w:t>
      </w:r>
    </w:p>
    <w:p w14:paraId="3129514D" w14:textId="77777777" w:rsidR="0018001F" w:rsidRPr="00271129" w:rsidRDefault="0018001F" w:rsidP="0018001F">
      <w:pPr>
        <w:rPr>
          <w:rFonts w:cs="Times New Roman"/>
          <w:noProof/>
          <w:color w:val="000000"/>
          <w:szCs w:val="24"/>
        </w:rPr>
      </w:pPr>
      <w:r w:rsidRPr="006D02A2">
        <w:rPr>
          <w:rFonts w:cs="Times New Roman"/>
          <w:noProof/>
          <w:color w:val="000000"/>
          <w:szCs w:val="24"/>
        </w:rPr>
        <w:t xml:space="preserve">In addition, </w:t>
      </w:r>
      <w:r w:rsidR="00791C6E" w:rsidRPr="006D02A2">
        <w:rPr>
          <w:rFonts w:cs="Times New Roman"/>
          <w:noProof/>
          <w:color w:val="000000"/>
          <w:szCs w:val="24"/>
          <w:lang w:val="en"/>
        </w:rPr>
        <w:t xml:space="preserve">Regulation (EU) 2018/1139 </w:t>
      </w:r>
      <w:r w:rsidRPr="006D02A2">
        <w:rPr>
          <w:rFonts w:cs="Times New Roman"/>
          <w:noProof/>
          <w:color w:val="000000"/>
          <w:szCs w:val="24"/>
        </w:rPr>
        <w:t xml:space="preserve">contains a number of principles which should guide EASA, </w:t>
      </w:r>
      <w:r w:rsidR="00C66E09" w:rsidRPr="006D02A2">
        <w:rPr>
          <w:rFonts w:cs="Times New Roman"/>
          <w:noProof/>
          <w:color w:val="000000"/>
          <w:szCs w:val="24"/>
        </w:rPr>
        <w:t xml:space="preserve">the </w:t>
      </w:r>
      <w:r w:rsidRPr="006D02A2">
        <w:rPr>
          <w:rFonts w:cs="Times New Roman"/>
          <w:noProof/>
          <w:color w:val="000000"/>
          <w:szCs w:val="24"/>
        </w:rPr>
        <w:t xml:space="preserve">Commission and the Member </w:t>
      </w:r>
      <w:r w:rsidR="00A46B04">
        <w:rPr>
          <w:rFonts w:cs="Times New Roman"/>
          <w:noProof/>
          <w:color w:val="000000"/>
          <w:szCs w:val="24"/>
        </w:rPr>
        <w:t>State</w:t>
      </w:r>
      <w:r w:rsidRPr="006D02A2">
        <w:rPr>
          <w:rFonts w:cs="Times New Roman"/>
          <w:noProof/>
          <w:color w:val="000000"/>
          <w:szCs w:val="24"/>
        </w:rPr>
        <w:t xml:space="preserve">s when regulating civil aviation safety and when taking measures to improve aviation safety. These principles require in particular that safety measures and rules correspond </w:t>
      </w:r>
      <w:r w:rsidR="00D86997" w:rsidRPr="006D02A2">
        <w:rPr>
          <w:rFonts w:cs="Times New Roman"/>
          <w:noProof/>
          <w:color w:val="000000"/>
          <w:szCs w:val="24"/>
        </w:rPr>
        <w:t xml:space="preserve">to </w:t>
      </w:r>
      <w:r w:rsidRPr="006D02A2">
        <w:rPr>
          <w:rFonts w:cs="Times New Roman"/>
          <w:noProof/>
          <w:color w:val="000000"/>
          <w:szCs w:val="24"/>
        </w:rPr>
        <w:t xml:space="preserve">and are proportionate to the nature and risks associated with the different types of aircraft, operations and activities they address. Such measures should also, in as far as possible, be formulated in a manner which focuses on objectives to be achieved, while allowing different means of achieving those objectives, and should also foster a systemic approach to civil aviation, taking into account interdependencies between safety and other technical domains, including cyber security. This should contribute to a more cost-efficient achievement of required safety levels and to the stimulation of innovation. </w:t>
      </w:r>
    </w:p>
    <w:p w14:paraId="1920CD38" w14:textId="77777777" w:rsidR="00227838" w:rsidRPr="001A35E7" w:rsidRDefault="00227838" w:rsidP="001A0D14">
      <w:pPr>
        <w:pStyle w:val="Heading4"/>
        <w:keepLines w:val="0"/>
        <w:numPr>
          <w:ilvl w:val="3"/>
          <w:numId w:val="11"/>
        </w:numPr>
        <w:spacing w:before="240" w:after="240"/>
        <w:rPr>
          <w:noProof/>
        </w:rPr>
      </w:pPr>
      <w:r>
        <w:rPr>
          <w:noProof/>
        </w:rPr>
        <w:t xml:space="preserve">The European Commission </w:t>
      </w:r>
    </w:p>
    <w:p w14:paraId="1A6D9372" w14:textId="35EE3D4D" w:rsidR="00502AAE" w:rsidRPr="003574B9" w:rsidRDefault="00502AAE" w:rsidP="0006001F">
      <w:pPr>
        <w:rPr>
          <w:noProof/>
        </w:rPr>
      </w:pPr>
      <w:r w:rsidRPr="003574B9">
        <w:rPr>
          <w:noProof/>
        </w:rPr>
        <w:t xml:space="preserve">The Commission is responsible for the preparation of European legislative proposals under the </w:t>
      </w:r>
      <w:r w:rsidR="00BC2A22">
        <w:rPr>
          <w:noProof/>
        </w:rPr>
        <w:t>ordinary</w:t>
      </w:r>
      <w:r w:rsidR="00BC2A22" w:rsidRPr="003574B9">
        <w:rPr>
          <w:noProof/>
        </w:rPr>
        <w:t xml:space="preserve"> </w:t>
      </w:r>
      <w:r w:rsidRPr="003574B9">
        <w:rPr>
          <w:noProof/>
        </w:rPr>
        <w:t xml:space="preserve">legislative procedure (see also </w:t>
      </w:r>
      <w:hyperlink w:anchor="_Decision_making_process" w:history="1">
        <w:r w:rsidRPr="00510011">
          <w:rPr>
            <w:rStyle w:val="Hyperlink"/>
            <w:noProof/>
          </w:rPr>
          <w:t>section 1.3.1</w:t>
        </w:r>
      </w:hyperlink>
      <w:r w:rsidRPr="003574B9">
        <w:rPr>
          <w:noProof/>
        </w:rPr>
        <w:t xml:space="preserve">) and for the preparation and adoption of </w:t>
      </w:r>
      <w:r>
        <w:rPr>
          <w:noProof/>
        </w:rPr>
        <w:t>i</w:t>
      </w:r>
      <w:r w:rsidRPr="003574B9">
        <w:rPr>
          <w:noProof/>
        </w:rPr>
        <w:t>mplementing</w:t>
      </w:r>
      <w:r w:rsidR="00BC2A22" w:rsidRPr="00BC2A22">
        <w:rPr>
          <w:noProof/>
        </w:rPr>
        <w:t xml:space="preserve"> and delegated acts </w:t>
      </w:r>
      <w:r w:rsidRPr="003574B9">
        <w:rPr>
          <w:noProof/>
        </w:rPr>
        <w:t xml:space="preserve">when foreseen under the basic legal act. </w:t>
      </w:r>
    </w:p>
    <w:p w14:paraId="78BE356E" w14:textId="77777777" w:rsidR="00502AAE" w:rsidRPr="003574B9" w:rsidRDefault="00725F43" w:rsidP="0006001F">
      <w:pPr>
        <w:rPr>
          <w:noProof/>
        </w:rPr>
      </w:pPr>
      <w:r w:rsidRPr="00725F43">
        <w:rPr>
          <w:noProof/>
        </w:rPr>
        <w:t xml:space="preserve">Once EU legislation has been adopted, the Member </w:t>
      </w:r>
      <w:r w:rsidR="00A46B04">
        <w:rPr>
          <w:noProof/>
        </w:rPr>
        <w:t>State</w:t>
      </w:r>
      <w:r w:rsidRPr="00725F43">
        <w:rPr>
          <w:noProof/>
        </w:rPr>
        <w:t xml:space="preserve">s have the primary responsibility for </w:t>
      </w:r>
      <w:r w:rsidR="00BC2A22">
        <w:rPr>
          <w:noProof/>
        </w:rPr>
        <w:t>its</w:t>
      </w:r>
      <w:r w:rsidR="00BC2A22" w:rsidRPr="00725F43">
        <w:rPr>
          <w:noProof/>
        </w:rPr>
        <w:t xml:space="preserve"> </w:t>
      </w:r>
      <w:r w:rsidRPr="00725F43">
        <w:rPr>
          <w:noProof/>
        </w:rPr>
        <w:t>correct and timely application. The Commission monitors the proper a</w:t>
      </w:r>
      <w:r>
        <w:rPr>
          <w:noProof/>
        </w:rPr>
        <w:t xml:space="preserve">pplication by the Member </w:t>
      </w:r>
      <w:r w:rsidR="00A46B04">
        <w:rPr>
          <w:noProof/>
        </w:rPr>
        <w:t>State</w:t>
      </w:r>
      <w:r>
        <w:rPr>
          <w:noProof/>
        </w:rPr>
        <w:t>s</w:t>
      </w:r>
      <w:r w:rsidR="00502AAE">
        <w:rPr>
          <w:noProof/>
        </w:rPr>
        <w:t xml:space="preserve"> (see also </w:t>
      </w:r>
      <w:hyperlink w:anchor="_Monitoring_the_application" w:history="1">
        <w:r w:rsidR="00502AAE" w:rsidRPr="00510011">
          <w:rPr>
            <w:rStyle w:val="Hyperlink"/>
            <w:noProof/>
          </w:rPr>
          <w:t>section 3.1.1</w:t>
        </w:r>
      </w:hyperlink>
      <w:r w:rsidR="00502AAE">
        <w:rPr>
          <w:noProof/>
        </w:rPr>
        <w:t>)</w:t>
      </w:r>
      <w:r w:rsidR="00852352">
        <w:rPr>
          <w:noProof/>
        </w:rPr>
        <w:t xml:space="preserve"> with the assistance of the Agency through the standardisation inspections process</w:t>
      </w:r>
      <w:r w:rsidR="00502AAE" w:rsidRPr="003574B9">
        <w:rPr>
          <w:noProof/>
        </w:rPr>
        <w:t xml:space="preserve">. </w:t>
      </w:r>
    </w:p>
    <w:p w14:paraId="3414C5EE" w14:textId="77777777" w:rsidR="00502AAE" w:rsidRPr="003574B9" w:rsidRDefault="00502AAE" w:rsidP="0006001F">
      <w:pPr>
        <w:rPr>
          <w:noProof/>
        </w:rPr>
      </w:pPr>
      <w:r w:rsidRPr="003574B9">
        <w:rPr>
          <w:noProof/>
        </w:rPr>
        <w:t xml:space="preserve">In this context, the Commission may take action if a Member </w:t>
      </w:r>
      <w:r w:rsidR="00A46B04">
        <w:rPr>
          <w:noProof/>
        </w:rPr>
        <w:t>State</w:t>
      </w:r>
      <w:r w:rsidRPr="003574B9">
        <w:rPr>
          <w:noProof/>
        </w:rPr>
        <w:t xml:space="preserve"> is suspected of breaching Union law. If no solution can be found at an early stage, the Commission</w:t>
      </w:r>
      <w:r w:rsidR="00852352">
        <w:rPr>
          <w:noProof/>
        </w:rPr>
        <w:t xml:space="preserve">, typically after consultations with EASA, </w:t>
      </w:r>
      <w:r w:rsidRPr="003574B9">
        <w:rPr>
          <w:noProof/>
        </w:rPr>
        <w:t xml:space="preserve">can open </w:t>
      </w:r>
      <w:r>
        <w:rPr>
          <w:noProof/>
        </w:rPr>
        <w:t xml:space="preserve">a </w:t>
      </w:r>
      <w:r w:rsidRPr="003574B9">
        <w:rPr>
          <w:noProof/>
        </w:rPr>
        <w:t xml:space="preserve">formal infringement proceeding and eventually refer the Member </w:t>
      </w:r>
      <w:r w:rsidR="00A46B04">
        <w:rPr>
          <w:noProof/>
        </w:rPr>
        <w:t>State</w:t>
      </w:r>
      <w:r w:rsidRPr="003574B9">
        <w:rPr>
          <w:noProof/>
        </w:rPr>
        <w:t xml:space="preserve"> to the European Court of Justice</w:t>
      </w:r>
      <w:r w:rsidR="00852352">
        <w:rPr>
          <w:noProof/>
        </w:rPr>
        <w:t xml:space="preserve"> (see section 1.</w:t>
      </w:r>
      <w:r w:rsidR="00DE1F1C">
        <w:rPr>
          <w:noProof/>
        </w:rPr>
        <w:t>6</w:t>
      </w:r>
      <w:r w:rsidR="00852352">
        <w:rPr>
          <w:noProof/>
        </w:rPr>
        <w:t>)</w:t>
      </w:r>
      <w:r w:rsidRPr="003574B9">
        <w:rPr>
          <w:noProof/>
        </w:rPr>
        <w:t>.</w:t>
      </w:r>
      <w:r w:rsidRPr="003574B9" w:rsidDel="00292EEB">
        <w:rPr>
          <w:noProof/>
        </w:rPr>
        <w:t xml:space="preserve"> </w:t>
      </w:r>
    </w:p>
    <w:p w14:paraId="1BFA16CD" w14:textId="77777777" w:rsidR="00447F97" w:rsidRDefault="00447F97" w:rsidP="0006001F">
      <w:pPr>
        <w:rPr>
          <w:noProof/>
        </w:rPr>
      </w:pPr>
      <w:r w:rsidRPr="00447F97">
        <w:rPr>
          <w:noProof/>
        </w:rPr>
        <w:t xml:space="preserve">The European Parliament and the Council decide on the annual </w:t>
      </w:r>
      <w:r>
        <w:rPr>
          <w:noProof/>
        </w:rPr>
        <w:t xml:space="preserve">EU </w:t>
      </w:r>
      <w:r w:rsidRPr="00447F97">
        <w:rPr>
          <w:noProof/>
        </w:rPr>
        <w:t>budget and the Commission is responsible for its implementation. In th</w:t>
      </w:r>
      <w:r w:rsidR="00725F43">
        <w:rPr>
          <w:noProof/>
        </w:rPr>
        <w:t>is</w:t>
      </w:r>
      <w:r w:rsidRPr="00447F97">
        <w:rPr>
          <w:noProof/>
        </w:rPr>
        <w:t xml:space="preserve"> context</w:t>
      </w:r>
      <w:r w:rsidR="00725F43">
        <w:rPr>
          <w:noProof/>
        </w:rPr>
        <w:t>,</w:t>
      </w:r>
      <w:r w:rsidRPr="00447F97">
        <w:rPr>
          <w:noProof/>
        </w:rPr>
        <w:t xml:space="preserve"> the Commission ensures the allocation of adequate funds for those activities conducted by EASA which are dependent upon EU funding.</w:t>
      </w:r>
    </w:p>
    <w:p w14:paraId="64497A0E" w14:textId="61202773" w:rsidR="00D55475" w:rsidRDefault="00502AAE" w:rsidP="0006001F">
      <w:pPr>
        <w:rPr>
          <w:noProof/>
        </w:rPr>
      </w:pPr>
      <w:r w:rsidRPr="003574B9">
        <w:rPr>
          <w:noProof/>
        </w:rPr>
        <w:t>Finally, the Commission is responsible for the preparation, update and adoption of the European Aviation Safety Programme.</w:t>
      </w:r>
      <w:r>
        <w:rPr>
          <w:noProof/>
        </w:rPr>
        <w:t xml:space="preserve"> </w:t>
      </w:r>
      <w:r w:rsidR="002D4EA4">
        <w:rPr>
          <w:noProof/>
        </w:rPr>
        <w:t>T</w:t>
      </w:r>
      <w:r>
        <w:rPr>
          <w:noProof/>
        </w:rPr>
        <w:t xml:space="preserve">he Commission, </w:t>
      </w:r>
      <w:r w:rsidR="002D4EA4">
        <w:rPr>
          <w:noProof/>
        </w:rPr>
        <w:t>in line with Article 5(1) of Regulation (EU) 2018/1139, will update as required</w:t>
      </w:r>
      <w:r>
        <w:rPr>
          <w:noProof/>
        </w:rPr>
        <w:t xml:space="preserve"> </w:t>
      </w:r>
      <w:r w:rsidR="003312D5">
        <w:rPr>
          <w:noProof/>
        </w:rPr>
        <w:t xml:space="preserve">the </w:t>
      </w:r>
      <w:r w:rsidRPr="00BF4914">
        <w:rPr>
          <w:noProof/>
        </w:rPr>
        <w:t xml:space="preserve">European Aviation Safety Programme </w:t>
      </w:r>
      <w:r>
        <w:rPr>
          <w:noProof/>
        </w:rPr>
        <w:t xml:space="preserve">to reflect the changes introduced in </w:t>
      </w:r>
      <w:r w:rsidR="002D4EA4">
        <w:rPr>
          <w:noProof/>
        </w:rPr>
        <w:t>it</w:t>
      </w:r>
      <w:r w:rsidR="00725F43">
        <w:rPr>
          <w:noProof/>
        </w:rPr>
        <w:t xml:space="preserve">. It </w:t>
      </w:r>
      <w:r w:rsidR="002D4EA4">
        <w:rPr>
          <w:noProof/>
        </w:rPr>
        <w:t xml:space="preserve">will </w:t>
      </w:r>
      <w:r w:rsidR="00725F43">
        <w:rPr>
          <w:noProof/>
        </w:rPr>
        <w:t>consult</w:t>
      </w:r>
      <w:r w:rsidR="002D4EA4">
        <w:rPr>
          <w:noProof/>
        </w:rPr>
        <w:t xml:space="preserve"> the Agency and</w:t>
      </w:r>
      <w:r w:rsidR="00725F43">
        <w:rPr>
          <w:noProof/>
        </w:rPr>
        <w:t xml:space="preserve"> the Member </w:t>
      </w:r>
      <w:r w:rsidR="00A46B04">
        <w:rPr>
          <w:noProof/>
        </w:rPr>
        <w:t>State</w:t>
      </w:r>
      <w:r>
        <w:rPr>
          <w:noProof/>
        </w:rPr>
        <w:t xml:space="preserve">s </w:t>
      </w:r>
      <w:r w:rsidR="002D4EA4">
        <w:rPr>
          <w:noProof/>
        </w:rPr>
        <w:t>for the purpose</w:t>
      </w:r>
      <w:r>
        <w:rPr>
          <w:noProof/>
        </w:rPr>
        <w:t xml:space="preserve">. </w:t>
      </w:r>
    </w:p>
    <w:p w14:paraId="71DC6524" w14:textId="3E6AF87E" w:rsidR="00087497" w:rsidRPr="001A35E7" w:rsidRDefault="00143A8D" w:rsidP="001A0D14">
      <w:pPr>
        <w:pStyle w:val="Heading2"/>
        <w:keepLines w:val="0"/>
        <w:numPr>
          <w:ilvl w:val="1"/>
          <w:numId w:val="11"/>
        </w:numPr>
        <w:rPr>
          <w:noProof/>
        </w:rPr>
      </w:pPr>
      <w:bookmarkStart w:id="89" w:name="_Toc419993107"/>
      <w:bookmarkStart w:id="90" w:name="_Toc419993263"/>
      <w:bookmarkStart w:id="91" w:name="_Toc419995285"/>
      <w:bookmarkStart w:id="92" w:name="_Toc420049154"/>
      <w:bookmarkStart w:id="93" w:name="_Accident_and_incident"/>
      <w:bookmarkStart w:id="94" w:name="_Toc94875652"/>
      <w:bookmarkStart w:id="95" w:name="_Toc102569208"/>
      <w:bookmarkEnd w:id="89"/>
      <w:bookmarkEnd w:id="90"/>
      <w:bookmarkEnd w:id="91"/>
      <w:bookmarkEnd w:id="92"/>
      <w:bookmarkEnd w:id="93"/>
      <w:r w:rsidRPr="00A80426">
        <w:rPr>
          <w:noProof/>
        </w:rPr>
        <w:t>Accident and incident i</w:t>
      </w:r>
      <w:r w:rsidR="00087497" w:rsidRPr="00A80426">
        <w:rPr>
          <w:noProof/>
        </w:rPr>
        <w:t>nvestigation</w:t>
      </w:r>
      <w:bookmarkEnd w:id="94"/>
      <w:bookmarkEnd w:id="95"/>
    </w:p>
    <w:p w14:paraId="2F211229" w14:textId="292E831B" w:rsidR="00B80EF4" w:rsidRDefault="00B80EF4" w:rsidP="001A0D14">
      <w:pPr>
        <w:pStyle w:val="Heading3"/>
        <w:keepLines w:val="0"/>
        <w:numPr>
          <w:ilvl w:val="2"/>
          <w:numId w:val="11"/>
        </w:numPr>
        <w:spacing w:before="240" w:after="240"/>
        <w:rPr>
          <w:noProof/>
        </w:rPr>
      </w:pPr>
      <w:bookmarkStart w:id="96" w:name="_Toc94875653"/>
      <w:bookmarkStart w:id="97" w:name="_Toc102569209"/>
      <w:r>
        <w:rPr>
          <w:noProof/>
        </w:rPr>
        <w:t>The applicable rules</w:t>
      </w:r>
      <w:bookmarkEnd w:id="96"/>
      <w:bookmarkEnd w:id="97"/>
    </w:p>
    <w:p w14:paraId="22C280F1" w14:textId="77777777" w:rsidR="00502AAE" w:rsidRPr="003574B9" w:rsidRDefault="00502AAE" w:rsidP="0006001F">
      <w:pPr>
        <w:rPr>
          <w:rStyle w:val="welcomebodytext"/>
          <w:noProof/>
        </w:rPr>
      </w:pPr>
      <w:r w:rsidRPr="003574B9">
        <w:rPr>
          <w:noProof/>
        </w:rPr>
        <w:t>The responsibility to investigate accidents and incidents</w:t>
      </w:r>
      <w:r>
        <w:rPr>
          <w:noProof/>
        </w:rPr>
        <w:t>,</w:t>
      </w:r>
      <w:r w:rsidRPr="003574B9">
        <w:rPr>
          <w:noProof/>
        </w:rPr>
        <w:t xml:space="preserve"> in order </w:t>
      </w:r>
      <w:r w:rsidRPr="003574B9">
        <w:rPr>
          <w:rStyle w:val="welcomebodytext"/>
          <w:noProof/>
        </w:rPr>
        <w:t>to improve aviation safety by determining their causes and make safety recommendations intended to prevent recurrence</w:t>
      </w:r>
      <w:r>
        <w:rPr>
          <w:rStyle w:val="welcomebodytext"/>
          <w:noProof/>
        </w:rPr>
        <w:t>,</w:t>
      </w:r>
      <w:r w:rsidRPr="003574B9">
        <w:rPr>
          <w:rStyle w:val="welcomebodytext"/>
          <w:noProof/>
        </w:rPr>
        <w:t xml:space="preserve"> remains with the Member </w:t>
      </w:r>
      <w:r w:rsidR="00A46B04">
        <w:rPr>
          <w:rStyle w:val="welcomebodytext"/>
          <w:noProof/>
        </w:rPr>
        <w:t>State</w:t>
      </w:r>
      <w:r w:rsidRPr="003574B9">
        <w:rPr>
          <w:rStyle w:val="welcomebodytext"/>
          <w:noProof/>
        </w:rPr>
        <w:t xml:space="preserve">s. </w:t>
      </w:r>
    </w:p>
    <w:p w14:paraId="1AD9736C" w14:textId="67B70D14" w:rsidR="00543BC7" w:rsidRDefault="00502AAE" w:rsidP="0006001F">
      <w:pPr>
        <w:rPr>
          <w:rStyle w:val="welcomebodytext"/>
          <w:iCs/>
          <w:noProof/>
        </w:rPr>
      </w:pPr>
      <w:r w:rsidRPr="003574B9">
        <w:rPr>
          <w:noProof/>
        </w:rPr>
        <w:t xml:space="preserve">Regulation </w:t>
      </w:r>
      <w:r w:rsidR="00EF1B56">
        <w:rPr>
          <w:noProof/>
        </w:rPr>
        <w:t xml:space="preserve">(EU) </w:t>
      </w:r>
      <w:r w:rsidR="002656F3">
        <w:rPr>
          <w:noProof/>
        </w:rPr>
        <w:t>No</w:t>
      </w:r>
      <w:r w:rsidR="00094D8A" w:rsidRPr="003574B9">
        <w:rPr>
          <w:noProof/>
        </w:rPr>
        <w:t xml:space="preserve"> </w:t>
      </w:r>
      <w:r w:rsidRPr="003574B9">
        <w:rPr>
          <w:noProof/>
        </w:rPr>
        <w:t xml:space="preserve">996/2010 provides the legal basis at EU level for the investigation and prevention of accidents and incidents. It </w:t>
      </w:r>
      <w:r w:rsidRPr="003574B9">
        <w:rPr>
          <w:noProof/>
          <w:color w:val="000000"/>
        </w:rPr>
        <w:t xml:space="preserve">ensures a high level of efficiency, </w:t>
      </w:r>
      <w:r w:rsidR="00E04D74" w:rsidRPr="003574B9">
        <w:rPr>
          <w:noProof/>
          <w:color w:val="000000"/>
        </w:rPr>
        <w:t>expedi</w:t>
      </w:r>
      <w:r w:rsidR="00E04D74">
        <w:rPr>
          <w:noProof/>
          <w:color w:val="000000"/>
        </w:rPr>
        <w:t>ti</w:t>
      </w:r>
      <w:r w:rsidR="00E04D74" w:rsidRPr="00E04D74">
        <w:rPr>
          <w:noProof/>
          <w:color w:val="000000"/>
        </w:rPr>
        <w:t>ousness</w:t>
      </w:r>
      <w:r w:rsidRPr="003574B9">
        <w:rPr>
          <w:noProof/>
          <w:color w:val="000000"/>
        </w:rPr>
        <w:t xml:space="preserve">, and quality of European civil aviation safety investigations, the sole objective being the prevention of future accidents and incidents without apportioning blame or liability. </w:t>
      </w:r>
      <w:r w:rsidRPr="003574B9">
        <w:rPr>
          <w:noProof/>
        </w:rPr>
        <w:t xml:space="preserve">These rules notably ensure that </w:t>
      </w:r>
      <w:r w:rsidRPr="003574B9">
        <w:rPr>
          <w:rStyle w:val="welcomebodytext"/>
          <w:noProof/>
        </w:rPr>
        <w:t>the authority in charge of investigating accidents and incidents</w:t>
      </w:r>
      <w:r w:rsidRPr="00572855">
        <w:rPr>
          <w:noProof/>
        </w:rPr>
        <w:t xml:space="preserve"> </w:t>
      </w:r>
      <w:r>
        <w:rPr>
          <w:noProof/>
        </w:rPr>
        <w:t>(</w:t>
      </w:r>
      <w:r w:rsidRPr="003574B9">
        <w:rPr>
          <w:rStyle w:val="welcomebodytext"/>
          <w:noProof/>
        </w:rPr>
        <w:t xml:space="preserve">Safety Investigation Authority - SIA) is independent from other </w:t>
      </w:r>
      <w:r w:rsidR="00A46B04">
        <w:rPr>
          <w:rStyle w:val="welcomebodytext"/>
          <w:noProof/>
        </w:rPr>
        <w:t>State</w:t>
      </w:r>
      <w:r w:rsidRPr="003574B9">
        <w:rPr>
          <w:rStyle w:val="welcomebodytext"/>
          <w:noProof/>
        </w:rPr>
        <w:t xml:space="preserve"> aviation organisations and from </w:t>
      </w:r>
      <w:r w:rsidRPr="003574B9">
        <w:rPr>
          <w:noProof/>
          <w:color w:val="000000"/>
        </w:rPr>
        <w:t>any other party or entity whose activities could come into conflict with the task entrusted to the safety investigation authority, or influence its objectivity</w:t>
      </w:r>
      <w:r w:rsidRPr="003574B9">
        <w:rPr>
          <w:rStyle w:val="welcomebodytext"/>
          <w:noProof/>
        </w:rPr>
        <w:t xml:space="preserve">. The rules foresee that </w:t>
      </w:r>
      <w:r w:rsidRPr="003574B9">
        <w:rPr>
          <w:noProof/>
          <w:color w:val="000000"/>
        </w:rPr>
        <w:t>SIA's activities may be extended to the gathering and analysis of aviation safety related information, in particular for accident prevention purposes.</w:t>
      </w:r>
      <w:r w:rsidRPr="003574B9">
        <w:rPr>
          <w:rStyle w:val="welcomebodytext"/>
          <w:noProof/>
        </w:rPr>
        <w:t xml:space="preserve"> These activities, studies or analysis of a series of investigations can also lead to safety recommendations that are to be considered by the relevant addressee and, as appropriate, acted upon to ensure adequate prevention of accidents and incidents in civil aviation.</w:t>
      </w:r>
    </w:p>
    <w:p w14:paraId="232DAFDB" w14:textId="09FA1DE0" w:rsidR="00B80EF4" w:rsidRPr="00B80EF4" w:rsidRDefault="00B80EF4" w:rsidP="001A0D14">
      <w:pPr>
        <w:pStyle w:val="Heading3"/>
        <w:keepLines w:val="0"/>
        <w:numPr>
          <w:ilvl w:val="2"/>
          <w:numId w:val="11"/>
        </w:numPr>
        <w:spacing w:before="240" w:after="240"/>
        <w:rPr>
          <w:noProof/>
        </w:rPr>
      </w:pPr>
      <w:bookmarkStart w:id="98" w:name="_Toc94875654"/>
      <w:bookmarkStart w:id="99" w:name="_Toc102569210"/>
      <w:r w:rsidRPr="00B80EF4">
        <w:rPr>
          <w:noProof/>
        </w:rPr>
        <w:t>Safety recommendations</w:t>
      </w:r>
      <w:bookmarkEnd w:id="98"/>
      <w:bookmarkEnd w:id="99"/>
    </w:p>
    <w:p w14:paraId="2AC03230" w14:textId="1FD4BB81" w:rsidR="00502AAE" w:rsidRPr="003574B9" w:rsidRDefault="00506C71" w:rsidP="004538C5">
      <w:pPr>
        <w:rPr>
          <w:rStyle w:val="welcomebodytext"/>
          <w:rFonts w:eastAsiaTheme="majorEastAsia" w:cstheme="majorBidi"/>
          <w:bCs/>
          <w:i/>
          <w:noProof/>
        </w:rPr>
      </w:pPr>
      <w:r w:rsidRPr="00506C71">
        <w:rPr>
          <w:rStyle w:val="welcomebodytext"/>
          <w:noProof/>
        </w:rPr>
        <w:t xml:space="preserve">Regulation </w:t>
      </w:r>
      <w:r w:rsidR="00B63FF9">
        <w:rPr>
          <w:rStyle w:val="welcomebodytext"/>
          <w:noProof/>
        </w:rPr>
        <w:t xml:space="preserve">(EU) </w:t>
      </w:r>
      <w:r w:rsidR="002656F3">
        <w:rPr>
          <w:rStyle w:val="welcomebodytext"/>
          <w:noProof/>
        </w:rPr>
        <w:t xml:space="preserve">No </w:t>
      </w:r>
      <w:r w:rsidRPr="00506C71">
        <w:rPr>
          <w:rStyle w:val="welcomebodytext"/>
          <w:noProof/>
        </w:rPr>
        <w:t xml:space="preserve">996/2010 </w:t>
      </w:r>
      <w:r w:rsidR="00502AAE" w:rsidRPr="003574B9">
        <w:rPr>
          <w:rStyle w:val="welcomebodytext"/>
          <w:noProof/>
        </w:rPr>
        <w:t>requires the addressee of a safety recommendation to inform the SIA which issued the recommendation within 90 days of the receipt of that letter, of the actions taken or under consideration, and where appropriate, of the time necessary for their completion and</w:t>
      </w:r>
      <w:r w:rsidR="00725F43">
        <w:rPr>
          <w:rStyle w:val="welcomebodytext"/>
          <w:noProof/>
        </w:rPr>
        <w:t>,</w:t>
      </w:r>
      <w:r w:rsidR="00502AAE" w:rsidRPr="003574B9">
        <w:rPr>
          <w:rStyle w:val="welcomebodytext"/>
          <w:noProof/>
        </w:rPr>
        <w:t xml:space="preserve"> where no action is taken, the reasons therefor</w:t>
      </w:r>
      <w:r w:rsidR="00162D19">
        <w:rPr>
          <w:rStyle w:val="welcomebodytext"/>
          <w:noProof/>
        </w:rPr>
        <w:t>e</w:t>
      </w:r>
      <w:r w:rsidR="00502AAE" w:rsidRPr="003574B9">
        <w:rPr>
          <w:rStyle w:val="welcomebodytext"/>
          <w:noProof/>
        </w:rPr>
        <w:t>. Within 60 days of the receipt of the reply, the SIA informs the addressee whether or not it considers the reply adequate and give</w:t>
      </w:r>
      <w:r w:rsidR="00725F43">
        <w:rPr>
          <w:rStyle w:val="welcomebodytext"/>
          <w:noProof/>
        </w:rPr>
        <w:t>s</w:t>
      </w:r>
      <w:r w:rsidR="00502AAE" w:rsidRPr="003574B9">
        <w:rPr>
          <w:rStyle w:val="welcomebodytext"/>
          <w:noProof/>
        </w:rPr>
        <w:t xml:space="preserve"> justification when it disagrees with the decision to take no action.</w:t>
      </w:r>
    </w:p>
    <w:p w14:paraId="2A5215CF" w14:textId="77777777" w:rsidR="00502AAE" w:rsidRPr="003574B9" w:rsidRDefault="00502AAE" w:rsidP="0006001F">
      <w:pPr>
        <w:rPr>
          <w:rStyle w:val="welcomebodytext"/>
          <w:noProof/>
        </w:rPr>
      </w:pPr>
      <w:r w:rsidRPr="003574B9">
        <w:rPr>
          <w:rStyle w:val="welcomebodytext"/>
          <w:noProof/>
        </w:rPr>
        <w:t xml:space="preserve">SIAs </w:t>
      </w:r>
      <w:r w:rsidR="00A7469E">
        <w:rPr>
          <w:rStyle w:val="welcomebodytext"/>
          <w:noProof/>
        </w:rPr>
        <w:t>shall</w:t>
      </w:r>
      <w:r w:rsidR="00A7469E" w:rsidRPr="003574B9">
        <w:rPr>
          <w:rStyle w:val="welcomebodytext"/>
          <w:noProof/>
        </w:rPr>
        <w:t xml:space="preserve"> </w:t>
      </w:r>
      <w:r w:rsidRPr="003574B9">
        <w:rPr>
          <w:rStyle w:val="welcomebodytext"/>
          <w:noProof/>
        </w:rPr>
        <w:t>implement procedures to record the responses to the safety recommendations it issued</w:t>
      </w:r>
      <w:r w:rsidR="00A7469E">
        <w:rPr>
          <w:rStyle w:val="welcomebodytext"/>
          <w:noProof/>
        </w:rPr>
        <w:t>,</w:t>
      </w:r>
      <w:r w:rsidRPr="003574B9">
        <w:rPr>
          <w:rStyle w:val="welcomebodytext"/>
          <w:noProof/>
        </w:rPr>
        <w:t xml:space="preserve"> and entities receiving a safety recommendation </w:t>
      </w:r>
      <w:r w:rsidR="00A7469E">
        <w:rPr>
          <w:rStyle w:val="welcomebodytext"/>
          <w:noProof/>
        </w:rPr>
        <w:t>shall</w:t>
      </w:r>
      <w:r w:rsidR="00A7469E" w:rsidRPr="003574B9">
        <w:rPr>
          <w:rStyle w:val="welcomebodytext"/>
          <w:noProof/>
        </w:rPr>
        <w:t xml:space="preserve"> </w:t>
      </w:r>
      <w:r w:rsidRPr="003574B9">
        <w:rPr>
          <w:rStyle w:val="welcomebodytext"/>
          <w:noProof/>
        </w:rPr>
        <w:t>implement procedures to monitor the progress of the action taken in response to the safety recommendations received. EASA process</w:t>
      </w:r>
      <w:r w:rsidR="003C3CB1">
        <w:rPr>
          <w:rStyle w:val="welcomebodytext"/>
          <w:noProof/>
        </w:rPr>
        <w:t>es</w:t>
      </w:r>
      <w:r w:rsidRPr="003574B9">
        <w:rPr>
          <w:rStyle w:val="welcomebodytext"/>
          <w:noProof/>
        </w:rPr>
        <w:t xml:space="preserve"> safety recommendations addressed to the Agency and provide</w:t>
      </w:r>
      <w:r w:rsidR="002B3D06">
        <w:rPr>
          <w:rStyle w:val="welcomebodytext"/>
          <w:noProof/>
        </w:rPr>
        <w:t>s</w:t>
      </w:r>
      <w:r w:rsidRPr="003574B9">
        <w:rPr>
          <w:rStyle w:val="welcomebodytext"/>
          <w:noProof/>
        </w:rPr>
        <w:t xml:space="preserve"> progress reports and statistics on the safety recommendations processing.</w:t>
      </w:r>
    </w:p>
    <w:p w14:paraId="2A1B6CC9" w14:textId="70C3E2AB" w:rsidR="00A7469E" w:rsidRPr="00A7469E" w:rsidRDefault="00A7469E" w:rsidP="00A7469E">
      <w:pPr>
        <w:rPr>
          <w:noProof/>
          <w:color w:val="000000"/>
        </w:rPr>
      </w:pPr>
      <w:r w:rsidRPr="00A7469E">
        <w:rPr>
          <w:noProof/>
          <w:color w:val="000000"/>
        </w:rPr>
        <w:t>The legislation also introduces requirements to record safety recommendations as well as the associated responses in a European central database called European Central Repository (ECR), managed by the Commission. S</w:t>
      </w:r>
      <w:r w:rsidR="002B3D06">
        <w:rPr>
          <w:noProof/>
          <w:color w:val="000000"/>
        </w:rPr>
        <w:t>IAs</w:t>
      </w:r>
      <w:r w:rsidRPr="00A7469E">
        <w:rPr>
          <w:noProof/>
          <w:color w:val="000000"/>
        </w:rPr>
        <w:t xml:space="preserve"> shall equally record all safety recommendations received from third countries in the ECR. </w:t>
      </w:r>
    </w:p>
    <w:p w14:paraId="7929128A" w14:textId="598C4C9D" w:rsidR="00EF730F" w:rsidRDefault="00A7469E" w:rsidP="002B3D06">
      <w:pPr>
        <w:rPr>
          <w:noProof/>
          <w:color w:val="000000"/>
        </w:rPr>
      </w:pPr>
      <w:r w:rsidRPr="00A7469E">
        <w:rPr>
          <w:noProof/>
          <w:color w:val="000000"/>
        </w:rPr>
        <w:t xml:space="preserve">There is a legitimate need to give public access to safety recommendations (and their responses) because the overarching purpose of Regulation </w:t>
      </w:r>
      <w:r w:rsidR="00B63FF9">
        <w:rPr>
          <w:noProof/>
          <w:color w:val="000000"/>
        </w:rPr>
        <w:t xml:space="preserve">(EU) </w:t>
      </w:r>
      <w:r w:rsidR="005A7E2E">
        <w:rPr>
          <w:noProof/>
          <w:color w:val="000000"/>
        </w:rPr>
        <w:t xml:space="preserve">No </w:t>
      </w:r>
      <w:r w:rsidRPr="00A7469E">
        <w:rPr>
          <w:noProof/>
          <w:color w:val="000000"/>
        </w:rPr>
        <w:t>996/2010 is to reduce the number of accidents and to promote a dissemination of findings of safety related incidents. Since for security reasons there should not be any direct access to the ECR, all safety recommendations and their responses contained in the ECR are made available to the general public through a separate public website. This is contained in the ECCAIRS 2 Central Hub (</w:t>
      </w:r>
      <w:hyperlink r:id="rId59" w:history="1">
        <w:r w:rsidRPr="00A7469E">
          <w:rPr>
            <w:rStyle w:val="Hyperlink"/>
            <w:noProof/>
          </w:rPr>
          <w:t>www.aviationreporting.eu</w:t>
        </w:r>
      </w:hyperlink>
      <w:r w:rsidRPr="00A7469E">
        <w:rPr>
          <w:noProof/>
          <w:color w:val="000000"/>
        </w:rPr>
        <w:t>).</w:t>
      </w:r>
      <w:r w:rsidR="002B3D06">
        <w:rPr>
          <w:noProof/>
          <w:color w:val="000000"/>
        </w:rPr>
        <w:t xml:space="preserve"> </w:t>
      </w:r>
      <w:r w:rsidR="00EF730F" w:rsidRPr="00EF730F">
        <w:rPr>
          <w:noProof/>
          <w:color w:val="000000"/>
        </w:rPr>
        <w:t>The mission of the European Co-ordination Center</w:t>
      </w:r>
      <w:r w:rsidR="00F13835">
        <w:rPr>
          <w:noProof/>
          <w:color w:val="000000"/>
        </w:rPr>
        <w:t xml:space="preserve"> </w:t>
      </w:r>
      <w:r w:rsidR="00EF730F" w:rsidRPr="00EF730F">
        <w:rPr>
          <w:noProof/>
          <w:color w:val="000000"/>
        </w:rPr>
        <w:t xml:space="preserve">for Accident and Incident Reporting Systems (ECCAIRS) is to provide a digital platform enabling the implementation of the provisions defined in Regulation (EU) </w:t>
      </w:r>
      <w:r w:rsidR="005A7E2E">
        <w:rPr>
          <w:noProof/>
          <w:color w:val="000000"/>
        </w:rPr>
        <w:t xml:space="preserve">No </w:t>
      </w:r>
      <w:r w:rsidR="00EF730F" w:rsidRPr="00EF730F">
        <w:rPr>
          <w:noProof/>
          <w:color w:val="000000"/>
        </w:rPr>
        <w:t xml:space="preserve">376/2014. ECCAIRS is supporting aviation authorities in collecting, sharing and analysing their safety information with as an ultimate goal to improve aviation safety. </w:t>
      </w:r>
      <w:r w:rsidR="00D26664" w:rsidRPr="00D26664">
        <w:rPr>
          <w:noProof/>
          <w:color w:val="000000"/>
        </w:rPr>
        <w:t>EASA provides support to the Commission in ECR management</w:t>
      </w:r>
      <w:r w:rsidR="00EF730F" w:rsidRPr="00EF730F">
        <w:rPr>
          <w:noProof/>
          <w:color w:val="000000"/>
        </w:rPr>
        <w:t>.</w:t>
      </w:r>
    </w:p>
    <w:p w14:paraId="37B928D3" w14:textId="1B82CB89" w:rsidR="00B80EF4" w:rsidRPr="00B80EF4" w:rsidRDefault="00B80EF4" w:rsidP="001A0D14">
      <w:pPr>
        <w:pStyle w:val="Heading3"/>
        <w:keepLines w:val="0"/>
        <w:numPr>
          <w:ilvl w:val="2"/>
          <w:numId w:val="11"/>
        </w:numPr>
        <w:spacing w:before="240" w:after="240"/>
        <w:rPr>
          <w:noProof/>
        </w:rPr>
      </w:pPr>
      <w:bookmarkStart w:id="100" w:name="_Toc94875655"/>
      <w:bookmarkStart w:id="101" w:name="_Toc102569211"/>
      <w:r w:rsidRPr="00B80EF4">
        <w:rPr>
          <w:noProof/>
        </w:rPr>
        <w:t>Cooperation with other entities</w:t>
      </w:r>
      <w:bookmarkEnd w:id="100"/>
      <w:bookmarkEnd w:id="101"/>
    </w:p>
    <w:p w14:paraId="556007AF" w14:textId="1AC53B8D" w:rsidR="00502AAE" w:rsidRPr="003574B9" w:rsidRDefault="00B63FF9" w:rsidP="0006001F">
      <w:pPr>
        <w:rPr>
          <w:noProof/>
        </w:rPr>
      </w:pPr>
      <w:r>
        <w:rPr>
          <w:noProof/>
          <w:color w:val="000000"/>
        </w:rPr>
        <w:t xml:space="preserve">Regulation (EU) </w:t>
      </w:r>
      <w:r w:rsidR="005A7E2E">
        <w:rPr>
          <w:noProof/>
          <w:color w:val="000000"/>
        </w:rPr>
        <w:t xml:space="preserve">No </w:t>
      </w:r>
      <w:r>
        <w:rPr>
          <w:noProof/>
          <w:color w:val="000000"/>
        </w:rPr>
        <w:t xml:space="preserve">996/2010 </w:t>
      </w:r>
      <w:r w:rsidR="00502AAE" w:rsidRPr="003574B9">
        <w:rPr>
          <w:noProof/>
          <w:color w:val="000000"/>
        </w:rPr>
        <w:t xml:space="preserve">further reinforces cooperation among SIAs by establishing the European Network of Civil Aviation Safety Investigation Authorities (ENCASIA), </w:t>
      </w:r>
      <w:r w:rsidR="00502AAE" w:rsidRPr="003574B9">
        <w:rPr>
          <w:noProof/>
        </w:rPr>
        <w:t xml:space="preserve">composed of the heads of the safety investigation authorities in each of the Member </w:t>
      </w:r>
      <w:r w:rsidR="00A46B04">
        <w:rPr>
          <w:noProof/>
        </w:rPr>
        <w:t>State</w:t>
      </w:r>
      <w:r w:rsidR="00502AAE" w:rsidRPr="003574B9">
        <w:rPr>
          <w:noProof/>
        </w:rPr>
        <w:t xml:space="preserve">s and/or, in the case of a multimodal authority, the head of its aviation branch, or their representatives. ENCASIA seeks to further improve the quality of investigations conducted by safety investigation authorities and to strengthen their independence by encouraging high standards in investigation methods and investigator training. ENCASIA notably advises EU institutions on all aspects relating to safety investigations, promotes the sharing of information </w:t>
      </w:r>
      <w:r w:rsidR="00D83F2A">
        <w:rPr>
          <w:noProof/>
        </w:rPr>
        <w:t xml:space="preserve">which is </w:t>
      </w:r>
      <w:r w:rsidR="00502AAE" w:rsidRPr="003574B9">
        <w:rPr>
          <w:noProof/>
        </w:rPr>
        <w:t>useful for the improvement of aviation safety, coordinates and organises ‘peer reviews’ and training activities and promotes best safety investigation practices. Finally</w:t>
      </w:r>
      <w:r w:rsidR="00D83F2A">
        <w:rPr>
          <w:noProof/>
        </w:rPr>
        <w:t>,</w:t>
      </w:r>
      <w:r w:rsidR="00502AAE" w:rsidRPr="003574B9">
        <w:rPr>
          <w:noProof/>
        </w:rPr>
        <w:t xml:space="preserve"> ENCASIA is tasked with the analysis </w:t>
      </w:r>
      <w:r w:rsidR="00725F43">
        <w:rPr>
          <w:noProof/>
        </w:rPr>
        <w:t xml:space="preserve">of </w:t>
      </w:r>
      <w:r w:rsidR="00502AAE" w:rsidRPr="003574B9">
        <w:rPr>
          <w:noProof/>
        </w:rPr>
        <w:t xml:space="preserve">the safety recommendations issued or received by the EU Member </w:t>
      </w:r>
      <w:r w:rsidR="00A46B04">
        <w:rPr>
          <w:noProof/>
        </w:rPr>
        <w:t>State</w:t>
      </w:r>
      <w:r w:rsidR="00502AAE" w:rsidRPr="003574B9">
        <w:rPr>
          <w:noProof/>
        </w:rPr>
        <w:t xml:space="preserve">s with a view to identifying important safety recommendations of Union-wide relevance. </w:t>
      </w:r>
    </w:p>
    <w:p w14:paraId="6013A707" w14:textId="02275494" w:rsidR="00502AAE" w:rsidRPr="003574B9" w:rsidRDefault="00B63FF9" w:rsidP="0006001F">
      <w:pPr>
        <w:rPr>
          <w:noProof/>
        </w:rPr>
      </w:pPr>
      <w:r>
        <w:rPr>
          <w:noProof/>
        </w:rPr>
        <w:t xml:space="preserve">Regulation (EU) </w:t>
      </w:r>
      <w:r w:rsidR="005A7E2E">
        <w:rPr>
          <w:noProof/>
        </w:rPr>
        <w:t xml:space="preserve">No </w:t>
      </w:r>
      <w:r>
        <w:rPr>
          <w:noProof/>
        </w:rPr>
        <w:t xml:space="preserve">996/2010 </w:t>
      </w:r>
      <w:r w:rsidR="00502AAE" w:rsidRPr="003574B9">
        <w:rPr>
          <w:noProof/>
        </w:rPr>
        <w:t xml:space="preserve">places on safety investigation authorities in the EU the obligation, in accordance with Annex 13 to the Chicago Convention, to invite EASA, and the national civil aviation authorities of the Member </w:t>
      </w:r>
      <w:r w:rsidR="00A46B04">
        <w:rPr>
          <w:noProof/>
        </w:rPr>
        <w:t>State</w:t>
      </w:r>
      <w:r w:rsidR="0049080A">
        <w:rPr>
          <w:noProof/>
        </w:rPr>
        <w:t>(s)</w:t>
      </w:r>
      <w:r w:rsidR="00502AAE" w:rsidRPr="003574B9">
        <w:rPr>
          <w:noProof/>
        </w:rPr>
        <w:t xml:space="preserve"> concerned, to participate in safety investigations</w:t>
      </w:r>
      <w:r w:rsidR="00D83F2A">
        <w:rPr>
          <w:noProof/>
        </w:rPr>
        <w:t>.</w:t>
      </w:r>
      <w:r w:rsidR="00502AAE" w:rsidRPr="003574B9">
        <w:rPr>
          <w:noProof/>
        </w:rPr>
        <w:t xml:space="preserve"> EASA's role is to act as advisor so that it can support the Investigator in Charge or the Accredited Representative of the safety investigation authority conducting or participating in the investigation but without affecting the independent status of the investigation. Likewise, national civil aviation authorities of the EU </w:t>
      </w:r>
      <w:r w:rsidR="0049080A">
        <w:rPr>
          <w:noProof/>
        </w:rPr>
        <w:t xml:space="preserve">Member </w:t>
      </w:r>
      <w:r w:rsidR="00A46B04">
        <w:rPr>
          <w:noProof/>
        </w:rPr>
        <w:t>State</w:t>
      </w:r>
      <w:r w:rsidR="0049080A">
        <w:rPr>
          <w:noProof/>
        </w:rPr>
        <w:t xml:space="preserve">s </w:t>
      </w:r>
      <w:r w:rsidR="00502AAE" w:rsidRPr="003574B9">
        <w:rPr>
          <w:noProof/>
        </w:rPr>
        <w:t>can also participate in safety investigations as advisors. EASA and the national civil aviation authorities also support the investigation in which they participate by supplying the requested information, advisors and equipment to the SIA in charge.</w:t>
      </w:r>
    </w:p>
    <w:p w14:paraId="6CFBAB4E" w14:textId="77777777" w:rsidR="00D10BDA" w:rsidRPr="001A35E7" w:rsidRDefault="00502AAE" w:rsidP="0006001F">
      <w:pPr>
        <w:rPr>
          <w:noProof/>
        </w:rPr>
      </w:pPr>
      <w:r w:rsidRPr="003574B9">
        <w:rPr>
          <w:noProof/>
          <w:color w:val="000000"/>
        </w:rPr>
        <w:t>The Regulation also aims at enhancing the coordination of investigations between the SIAs, and other authorities likely to be involved in the activities related to the safety investigation, such as the judicial, civil aviation</w:t>
      </w:r>
      <w:r w:rsidR="0049080A">
        <w:rPr>
          <w:noProof/>
          <w:color w:val="000000"/>
        </w:rPr>
        <w:t xml:space="preserve"> and</w:t>
      </w:r>
      <w:r w:rsidRPr="003574B9">
        <w:rPr>
          <w:noProof/>
          <w:color w:val="000000"/>
        </w:rPr>
        <w:t xml:space="preserve"> search and rescue authorities.</w:t>
      </w:r>
      <w:r w:rsidR="00D10BDA" w:rsidRPr="001A35E7">
        <w:rPr>
          <w:noProof/>
          <w:color w:val="000000"/>
        </w:rPr>
        <w:t xml:space="preserve"> </w:t>
      </w:r>
    </w:p>
    <w:p w14:paraId="0DE7C188" w14:textId="2E004B6E" w:rsidR="00087497" w:rsidRPr="008622E9" w:rsidRDefault="00087497" w:rsidP="001A0D14">
      <w:pPr>
        <w:pStyle w:val="Heading2"/>
        <w:keepLines w:val="0"/>
        <w:numPr>
          <w:ilvl w:val="1"/>
          <w:numId w:val="11"/>
        </w:numPr>
        <w:rPr>
          <w:noProof/>
        </w:rPr>
      </w:pPr>
      <w:bookmarkStart w:id="102" w:name="_Toc419995287"/>
      <w:bookmarkStart w:id="103" w:name="_Toc420049159"/>
      <w:bookmarkStart w:id="104" w:name="_Toc94875656"/>
      <w:bookmarkStart w:id="105" w:name="_Toc102569212"/>
      <w:bookmarkEnd w:id="102"/>
      <w:bookmarkEnd w:id="103"/>
      <w:r w:rsidRPr="008622E9">
        <w:rPr>
          <w:noProof/>
        </w:rPr>
        <w:t>Enforcement</w:t>
      </w:r>
      <w:bookmarkEnd w:id="104"/>
      <w:bookmarkEnd w:id="105"/>
    </w:p>
    <w:p w14:paraId="0EF82AFE" w14:textId="047E87DB" w:rsidR="009C16D7" w:rsidRDefault="009C16D7" w:rsidP="001A0D14">
      <w:pPr>
        <w:pStyle w:val="Heading3"/>
        <w:keepLines w:val="0"/>
        <w:numPr>
          <w:ilvl w:val="2"/>
          <w:numId w:val="11"/>
        </w:numPr>
        <w:spacing w:before="240" w:after="240"/>
        <w:rPr>
          <w:noProof/>
        </w:rPr>
      </w:pPr>
      <w:bookmarkStart w:id="106" w:name="_Enforcement_towards_the"/>
      <w:bookmarkStart w:id="107" w:name="_Toc94875657"/>
      <w:bookmarkStart w:id="108" w:name="_Toc102569213"/>
      <w:bookmarkEnd w:id="106"/>
      <w:r>
        <w:rPr>
          <w:noProof/>
        </w:rPr>
        <w:t xml:space="preserve">Enforcement towards the Member </w:t>
      </w:r>
      <w:r w:rsidR="00A46B04">
        <w:rPr>
          <w:noProof/>
        </w:rPr>
        <w:t>State</w:t>
      </w:r>
      <w:r>
        <w:rPr>
          <w:noProof/>
        </w:rPr>
        <w:t>s</w:t>
      </w:r>
      <w:bookmarkEnd w:id="107"/>
      <w:bookmarkEnd w:id="108"/>
    </w:p>
    <w:p w14:paraId="619608AB" w14:textId="57E4E4F8" w:rsidR="00414C0F" w:rsidRDefault="00CF782E" w:rsidP="0006001F">
      <w:pPr>
        <w:shd w:val="clear" w:color="auto" w:fill="FFFFFF"/>
        <w:rPr>
          <w:noProof/>
        </w:rPr>
      </w:pPr>
      <w:r>
        <w:rPr>
          <w:noProof/>
        </w:rPr>
        <w:t xml:space="preserve">Article 17(1) of the Treaty on European Union lays out that the Commission shall </w:t>
      </w:r>
      <w:r w:rsidR="00A3411A">
        <w:rPr>
          <w:noProof/>
        </w:rPr>
        <w:t>ensure</w:t>
      </w:r>
      <w:r>
        <w:rPr>
          <w:noProof/>
        </w:rPr>
        <w:t xml:space="preserve"> the application of the Treaties, and of the measures adopted by the EU institutions pursuant to them, and that it shall oversee the application of Union law under the control of the Court of Justice of the European Union. </w:t>
      </w:r>
      <w:r w:rsidR="00A3411A">
        <w:rPr>
          <w:noProof/>
        </w:rPr>
        <w:t xml:space="preserve">Article 258 of the TFEU established the EU general enforcement procedure, attributing to the Commission the power to bring </w:t>
      </w:r>
      <w:r w:rsidR="00BC60F7">
        <w:rPr>
          <w:noProof/>
        </w:rPr>
        <w:t xml:space="preserve">infringement </w:t>
      </w:r>
      <w:r w:rsidR="00A3411A">
        <w:rPr>
          <w:noProof/>
        </w:rPr>
        <w:t xml:space="preserve">proceedings against Member </w:t>
      </w:r>
      <w:r w:rsidR="00A46B04">
        <w:rPr>
          <w:noProof/>
        </w:rPr>
        <w:t>State</w:t>
      </w:r>
      <w:r w:rsidR="00A3411A">
        <w:rPr>
          <w:noProof/>
        </w:rPr>
        <w:t xml:space="preserve">s which it considers to be in breach of their obligations. </w:t>
      </w:r>
      <w:r w:rsidR="00502AAE" w:rsidRPr="003574B9">
        <w:rPr>
          <w:noProof/>
        </w:rPr>
        <w:t xml:space="preserve">Potential infringements can be identified in a variety of ways, </w:t>
      </w:r>
      <w:r>
        <w:rPr>
          <w:noProof/>
        </w:rPr>
        <w:t>typically by means of</w:t>
      </w:r>
      <w:r w:rsidR="00502AAE" w:rsidRPr="003574B9">
        <w:rPr>
          <w:noProof/>
        </w:rPr>
        <w:t xml:space="preserve"> the results of the standardisation inspections conducted by EASA that assists the Commission in monitoring aviation safety law implementation. </w:t>
      </w:r>
      <w:r w:rsidR="00822C83">
        <w:rPr>
          <w:noProof/>
        </w:rPr>
        <w:t>Other ways include complaints brought to the attention of the Commission gained through a variety of sources</w:t>
      </w:r>
      <w:r w:rsidR="00414C0F">
        <w:rPr>
          <w:noProof/>
        </w:rPr>
        <w:t>, from individual or institutional complainants</w:t>
      </w:r>
      <w:r w:rsidR="00822C83">
        <w:rPr>
          <w:noProof/>
        </w:rPr>
        <w:t xml:space="preserve">. </w:t>
      </w:r>
    </w:p>
    <w:p w14:paraId="53D78361" w14:textId="3FF3B6F8" w:rsidR="00CB661B" w:rsidRDefault="00414C0F" w:rsidP="00414C0F">
      <w:pPr>
        <w:shd w:val="clear" w:color="auto" w:fill="FFFFFF"/>
        <w:rPr>
          <w:noProof/>
        </w:rPr>
      </w:pPr>
      <w:r>
        <w:rPr>
          <w:noProof/>
        </w:rPr>
        <w:t xml:space="preserve">The monitoring of compliance with EU aviation </w:t>
      </w:r>
      <w:r w:rsidR="00D57695">
        <w:rPr>
          <w:noProof/>
        </w:rPr>
        <w:t xml:space="preserve">safety </w:t>
      </w:r>
      <w:r w:rsidR="007A65B6">
        <w:rPr>
          <w:noProof/>
        </w:rPr>
        <w:t>l</w:t>
      </w:r>
      <w:r>
        <w:rPr>
          <w:noProof/>
        </w:rPr>
        <w:t>aw and most of the regulatory framework in the ATM/ANS domain is performed by the Agency that</w:t>
      </w:r>
      <w:r w:rsidR="007E5AFD">
        <w:rPr>
          <w:noProof/>
        </w:rPr>
        <w:t>,</w:t>
      </w:r>
      <w:r>
        <w:rPr>
          <w:noProof/>
        </w:rPr>
        <w:t xml:space="preserve"> by virtue of Article 85 of Regulation (EU) 2018/1139</w:t>
      </w:r>
      <w:r w:rsidR="007E5AFD">
        <w:rPr>
          <w:noProof/>
        </w:rPr>
        <w:t>,</w:t>
      </w:r>
      <w:r>
        <w:rPr>
          <w:noProof/>
        </w:rPr>
        <w:t xml:space="preserve"> is entrusted to assist the Commission in monitoring the application by the Member </w:t>
      </w:r>
      <w:r w:rsidR="00A46B04">
        <w:rPr>
          <w:noProof/>
        </w:rPr>
        <w:t>State</w:t>
      </w:r>
      <w:r>
        <w:rPr>
          <w:noProof/>
        </w:rPr>
        <w:t>s of the Regulation and its delegated and implementing acts. The Commission also entrusted EASA to do the same for Regulation (E</w:t>
      </w:r>
      <w:r w:rsidR="00B226A8">
        <w:rPr>
          <w:noProof/>
        </w:rPr>
        <w:t>U</w:t>
      </w:r>
      <w:r>
        <w:rPr>
          <w:noProof/>
        </w:rPr>
        <w:t xml:space="preserve">) </w:t>
      </w:r>
      <w:r w:rsidR="005A7E2E">
        <w:rPr>
          <w:noProof/>
        </w:rPr>
        <w:t xml:space="preserve">No </w:t>
      </w:r>
      <w:r>
        <w:rPr>
          <w:noProof/>
        </w:rPr>
        <w:t xml:space="preserve">376/2014 and its implementing </w:t>
      </w:r>
      <w:r w:rsidR="00BC60F7">
        <w:rPr>
          <w:noProof/>
        </w:rPr>
        <w:t>Regulation</w:t>
      </w:r>
      <w:r>
        <w:rPr>
          <w:noProof/>
        </w:rPr>
        <w:t xml:space="preserve">. </w:t>
      </w:r>
    </w:p>
    <w:p w14:paraId="0DD7F25D" w14:textId="43FF2EF8" w:rsidR="00414C0F" w:rsidRDefault="00414C0F" w:rsidP="00414C0F">
      <w:pPr>
        <w:shd w:val="clear" w:color="auto" w:fill="FFFFFF"/>
        <w:rPr>
          <w:noProof/>
        </w:rPr>
      </w:pPr>
      <w:r>
        <w:rPr>
          <w:noProof/>
        </w:rPr>
        <w:t xml:space="preserve">Through the provisions </w:t>
      </w:r>
      <w:r w:rsidR="00081654">
        <w:rPr>
          <w:noProof/>
        </w:rPr>
        <w:t>and procedures established by</w:t>
      </w:r>
      <w:r>
        <w:rPr>
          <w:noProof/>
        </w:rPr>
        <w:t xml:space="preserve"> the specific implementing Regulation (EU) </w:t>
      </w:r>
      <w:r w:rsidR="005A7E2E">
        <w:rPr>
          <w:noProof/>
        </w:rPr>
        <w:t xml:space="preserve">No </w:t>
      </w:r>
      <w:r>
        <w:rPr>
          <w:noProof/>
        </w:rPr>
        <w:t>628/2013</w:t>
      </w:r>
      <w:r w:rsidR="00081654">
        <w:rPr>
          <w:noProof/>
        </w:rPr>
        <w:t>,</w:t>
      </w:r>
      <w:r>
        <w:rPr>
          <w:noProof/>
        </w:rPr>
        <w:t xml:space="preserve"> EASA </w:t>
      </w:r>
      <w:r w:rsidRPr="00414C0F">
        <w:rPr>
          <w:noProof/>
        </w:rPr>
        <w:t>monito</w:t>
      </w:r>
      <w:r>
        <w:rPr>
          <w:noProof/>
        </w:rPr>
        <w:t>rs</w:t>
      </w:r>
      <w:r w:rsidRPr="00414C0F">
        <w:rPr>
          <w:noProof/>
        </w:rPr>
        <w:t xml:space="preserve"> the application by competent authorities of the Member </w:t>
      </w:r>
      <w:r w:rsidR="00A46B04">
        <w:rPr>
          <w:noProof/>
        </w:rPr>
        <w:t>State</w:t>
      </w:r>
      <w:r w:rsidRPr="00414C0F">
        <w:rPr>
          <w:noProof/>
        </w:rPr>
        <w:t xml:space="preserve">s of </w:t>
      </w:r>
      <w:r w:rsidR="00712FA0">
        <w:rPr>
          <w:noProof/>
        </w:rPr>
        <w:t xml:space="preserve">the aforesaid Regulations, </w:t>
      </w:r>
      <w:r w:rsidR="00081654">
        <w:rPr>
          <w:noProof/>
        </w:rPr>
        <w:t>delegated and implementing acts, and conducts standardisation inspections.</w:t>
      </w:r>
      <w:r w:rsidR="00CB661B">
        <w:rPr>
          <w:noProof/>
        </w:rPr>
        <w:t xml:space="preserve"> Besides, from 2022 onwards </w:t>
      </w:r>
      <w:r w:rsidR="001F395F">
        <w:rPr>
          <w:noProof/>
        </w:rPr>
        <w:t>s</w:t>
      </w:r>
      <w:r w:rsidR="00CB661B">
        <w:rPr>
          <w:noProof/>
        </w:rPr>
        <w:t xml:space="preserve">tandardisation inspections </w:t>
      </w:r>
      <w:r w:rsidR="000058DD">
        <w:rPr>
          <w:noProof/>
        </w:rPr>
        <w:t>are also used to</w:t>
      </w:r>
      <w:r w:rsidR="000F257C">
        <w:rPr>
          <w:noProof/>
        </w:rPr>
        <w:t xml:space="preserve"> </w:t>
      </w:r>
      <w:r w:rsidR="00CB661B">
        <w:rPr>
          <w:noProof/>
        </w:rPr>
        <w:t xml:space="preserve">assess </w:t>
      </w:r>
      <w:r w:rsidR="000F257C">
        <w:rPr>
          <w:noProof/>
        </w:rPr>
        <w:t xml:space="preserve">Member </w:t>
      </w:r>
      <w:r w:rsidR="00A46B04">
        <w:rPr>
          <w:noProof/>
        </w:rPr>
        <w:t>State</w:t>
      </w:r>
      <w:r w:rsidR="000F257C">
        <w:rPr>
          <w:noProof/>
        </w:rPr>
        <w:t xml:space="preserve">s’ </w:t>
      </w:r>
      <w:r w:rsidR="00A46B04">
        <w:rPr>
          <w:noProof/>
        </w:rPr>
        <w:t>State</w:t>
      </w:r>
      <w:r w:rsidR="00CB661B">
        <w:rPr>
          <w:noProof/>
        </w:rPr>
        <w:t xml:space="preserve"> Safety Programmes</w:t>
      </w:r>
      <w:r w:rsidR="000F257C">
        <w:rPr>
          <w:noProof/>
        </w:rPr>
        <w:t xml:space="preserve"> (SSP) that </w:t>
      </w:r>
      <w:r w:rsidR="00CB661B">
        <w:rPr>
          <w:noProof/>
        </w:rPr>
        <w:t>shall be consistent with the E</w:t>
      </w:r>
      <w:r w:rsidR="005022EA">
        <w:rPr>
          <w:noProof/>
        </w:rPr>
        <w:t>PAS</w:t>
      </w:r>
      <w:r w:rsidR="00CB661B">
        <w:rPr>
          <w:noProof/>
        </w:rPr>
        <w:t xml:space="preserve"> and include the elements described in ICAO Annex 19</w:t>
      </w:r>
      <w:r w:rsidR="005022EA">
        <w:rPr>
          <w:noProof/>
        </w:rPr>
        <w:t xml:space="preserve">. Such </w:t>
      </w:r>
      <w:r w:rsidR="00CB661B">
        <w:rPr>
          <w:noProof/>
        </w:rPr>
        <w:t>SSP</w:t>
      </w:r>
      <w:r w:rsidR="000F257C">
        <w:rPr>
          <w:noProof/>
        </w:rPr>
        <w:t>s</w:t>
      </w:r>
      <w:r w:rsidR="00CB661B">
        <w:rPr>
          <w:noProof/>
        </w:rPr>
        <w:t xml:space="preserve"> shall </w:t>
      </w:r>
      <w:r w:rsidR="000F257C">
        <w:rPr>
          <w:noProof/>
        </w:rPr>
        <w:t xml:space="preserve">also </w:t>
      </w:r>
      <w:r w:rsidR="00CB661B">
        <w:rPr>
          <w:noProof/>
        </w:rPr>
        <w:t xml:space="preserve">include, or be accompanied by, </w:t>
      </w:r>
      <w:r w:rsidR="00A46B04">
        <w:rPr>
          <w:noProof/>
        </w:rPr>
        <w:t>State</w:t>
      </w:r>
      <w:r w:rsidR="00CB661B">
        <w:rPr>
          <w:noProof/>
        </w:rPr>
        <w:t xml:space="preserve"> Plan</w:t>
      </w:r>
      <w:r w:rsidR="000F257C">
        <w:rPr>
          <w:noProof/>
        </w:rPr>
        <w:t>s</w:t>
      </w:r>
      <w:r w:rsidR="00CB661B">
        <w:rPr>
          <w:noProof/>
        </w:rPr>
        <w:t xml:space="preserve"> for Aviation Safety (SPAS) identifying the main safety risks and setting out actions to mitigate them, including the risks and actions identified in the EPAS that are relevant for the </w:t>
      </w:r>
      <w:r w:rsidR="00A46B04">
        <w:rPr>
          <w:noProof/>
        </w:rPr>
        <w:t>State</w:t>
      </w:r>
      <w:r w:rsidR="00CB661B">
        <w:rPr>
          <w:noProof/>
        </w:rPr>
        <w:t xml:space="preserve"> concerned. </w:t>
      </w:r>
    </w:p>
    <w:p w14:paraId="30799042" w14:textId="77777777" w:rsidR="00502AAE" w:rsidRPr="003574B9" w:rsidRDefault="00502AAE" w:rsidP="0006001F">
      <w:pPr>
        <w:shd w:val="clear" w:color="auto" w:fill="FFFFFF"/>
        <w:rPr>
          <w:noProof/>
        </w:rPr>
      </w:pPr>
      <w:r w:rsidRPr="003574B9">
        <w:rPr>
          <w:noProof/>
        </w:rPr>
        <w:t xml:space="preserve">For each standardisation inspection EASA establishes an inspection report where it addresses findings identified during the inspection and which will be sent to the Member </w:t>
      </w:r>
      <w:r w:rsidR="00A46B04">
        <w:rPr>
          <w:noProof/>
        </w:rPr>
        <w:t>State</w:t>
      </w:r>
      <w:r w:rsidRPr="003574B9">
        <w:rPr>
          <w:noProof/>
        </w:rPr>
        <w:t xml:space="preserve"> concerned and to the Commission. In cases the identified non-compliance findings are not properly addressed, the matter is </w:t>
      </w:r>
      <w:r w:rsidR="00723F5D" w:rsidRPr="00723F5D">
        <w:rPr>
          <w:noProof/>
        </w:rPr>
        <w:t xml:space="preserve">reported </w:t>
      </w:r>
      <w:r w:rsidRPr="003574B9">
        <w:rPr>
          <w:noProof/>
        </w:rPr>
        <w:t>to the Commission that may initiate an infringement procedure</w:t>
      </w:r>
      <w:r w:rsidR="00302E23">
        <w:rPr>
          <w:noProof/>
        </w:rPr>
        <w:t xml:space="preserve"> on the basis of Article 258 of the TFUE</w:t>
      </w:r>
      <w:r w:rsidRPr="003574B9">
        <w:rPr>
          <w:noProof/>
        </w:rPr>
        <w:t>.</w:t>
      </w:r>
    </w:p>
    <w:p w14:paraId="42A00FD7" w14:textId="78174312" w:rsidR="003312D5" w:rsidRPr="003312D5" w:rsidRDefault="003312D5" w:rsidP="003312D5">
      <w:pPr>
        <w:shd w:val="clear" w:color="auto" w:fill="FFFFFF"/>
        <w:rPr>
          <w:noProof/>
        </w:rPr>
      </w:pPr>
      <w:r w:rsidRPr="000D681A">
        <w:rPr>
          <w:rFonts w:eastAsia="Times New Roman" w:cs="Times New Roman"/>
          <w:noProof/>
          <w:szCs w:val="24"/>
          <w:lang w:eastAsia="en-GB"/>
        </w:rPr>
        <w:t>In addition to the standardisation process,</w:t>
      </w:r>
      <w:r>
        <w:rPr>
          <w:rFonts w:ascii="Arial" w:eastAsia="Times New Roman" w:hAnsi="Arial" w:cs="Arial"/>
          <w:noProof/>
          <w:color w:val="555555"/>
          <w:sz w:val="22"/>
          <w:lang w:eastAsia="en-GB"/>
        </w:rPr>
        <w:t xml:space="preserve"> </w:t>
      </w:r>
      <w:r>
        <w:rPr>
          <w:noProof/>
        </w:rPr>
        <w:t>c</w:t>
      </w:r>
      <w:r w:rsidRPr="003312D5">
        <w:rPr>
          <w:noProof/>
        </w:rPr>
        <w:t>ertificates issued by the Agency or the national competent authorities, and declarations made by natural and legal persons in accordance with Regulation (EU) 2018/1139</w:t>
      </w:r>
      <w:r>
        <w:rPr>
          <w:noProof/>
        </w:rPr>
        <w:t xml:space="preserve"> </w:t>
      </w:r>
      <w:r w:rsidRPr="003312D5">
        <w:rPr>
          <w:noProof/>
        </w:rPr>
        <w:t xml:space="preserve">and with the delegated and implementing acts adopted on the basis thereof </w:t>
      </w:r>
      <w:r>
        <w:rPr>
          <w:noProof/>
        </w:rPr>
        <w:t>are</w:t>
      </w:r>
      <w:r w:rsidRPr="003312D5">
        <w:rPr>
          <w:noProof/>
        </w:rPr>
        <w:t xml:space="preserve"> subject </w:t>
      </w:r>
      <w:r>
        <w:rPr>
          <w:noProof/>
        </w:rPr>
        <w:t>to monitoring by the Commission and EASA</w:t>
      </w:r>
      <w:r w:rsidRPr="003312D5">
        <w:rPr>
          <w:noProof/>
        </w:rPr>
        <w:t xml:space="preserve">. If the Commission considers that a legal or a natural person to which a certificate has been issued or which has made a declaration no longer complies with the applicable requirements of this Regulation or of the delegated and implementing acts adopted on the basis thereof, the Commission shall, based on a recommendation from the Agency, require the Member </w:t>
      </w:r>
      <w:r w:rsidR="00A46B04">
        <w:rPr>
          <w:noProof/>
        </w:rPr>
        <w:t>State</w:t>
      </w:r>
      <w:r w:rsidRPr="003312D5">
        <w:rPr>
          <w:noProof/>
        </w:rPr>
        <w:t xml:space="preserve"> responsible for the oversight of that person to take appropriate corrective action and safeguard measures, including</w:t>
      </w:r>
      <w:r w:rsidR="00D83F2A">
        <w:rPr>
          <w:noProof/>
        </w:rPr>
        <w:t xml:space="preserve"> the</w:t>
      </w:r>
      <w:r w:rsidRPr="003312D5">
        <w:rPr>
          <w:noProof/>
        </w:rPr>
        <w:t xml:space="preserve"> limitation or suspension of the certificate</w:t>
      </w:r>
      <w:r w:rsidR="00443A13">
        <w:rPr>
          <w:noProof/>
        </w:rPr>
        <w:t xml:space="preserve"> (see section 1.6.2.2 below)</w:t>
      </w:r>
      <w:r w:rsidRPr="003312D5">
        <w:rPr>
          <w:noProof/>
        </w:rPr>
        <w:t>.</w:t>
      </w:r>
    </w:p>
    <w:p w14:paraId="118C791C" w14:textId="3A488B53" w:rsidR="00631004" w:rsidRDefault="00631004" w:rsidP="001A0D14">
      <w:pPr>
        <w:pStyle w:val="Heading3"/>
        <w:keepLines w:val="0"/>
        <w:numPr>
          <w:ilvl w:val="2"/>
          <w:numId w:val="11"/>
        </w:numPr>
        <w:spacing w:before="240" w:after="240"/>
        <w:rPr>
          <w:noProof/>
        </w:rPr>
      </w:pPr>
      <w:bookmarkStart w:id="109" w:name="_Toc94875658"/>
      <w:bookmarkStart w:id="110" w:name="_Toc102569214"/>
      <w:r>
        <w:rPr>
          <w:noProof/>
        </w:rPr>
        <w:t xml:space="preserve">Enforcement towards </w:t>
      </w:r>
      <w:r w:rsidR="009C3764">
        <w:rPr>
          <w:noProof/>
        </w:rPr>
        <w:t xml:space="preserve">regulated </w:t>
      </w:r>
      <w:r>
        <w:rPr>
          <w:noProof/>
        </w:rPr>
        <w:t>industry organisations</w:t>
      </w:r>
      <w:bookmarkEnd w:id="109"/>
      <w:bookmarkEnd w:id="110"/>
    </w:p>
    <w:p w14:paraId="550EDE05" w14:textId="77777777" w:rsidR="00EE4782" w:rsidRDefault="00406ADA" w:rsidP="001A0D14">
      <w:pPr>
        <w:pStyle w:val="Heading4"/>
        <w:keepLines w:val="0"/>
        <w:numPr>
          <w:ilvl w:val="3"/>
          <w:numId w:val="11"/>
        </w:numPr>
        <w:spacing w:before="240" w:after="240"/>
        <w:rPr>
          <w:noProof/>
        </w:rPr>
      </w:pPr>
      <w:r>
        <w:rPr>
          <w:noProof/>
        </w:rPr>
        <w:t>Fines and p</w:t>
      </w:r>
      <w:r w:rsidR="00EE4782">
        <w:rPr>
          <w:noProof/>
        </w:rPr>
        <w:t>enalties</w:t>
      </w:r>
    </w:p>
    <w:p w14:paraId="36683E28" w14:textId="77777777" w:rsidR="00502AAE" w:rsidRPr="003574B9" w:rsidRDefault="00502AAE" w:rsidP="0006001F">
      <w:pPr>
        <w:shd w:val="clear" w:color="auto" w:fill="FFFFFF"/>
        <w:rPr>
          <w:noProof/>
        </w:rPr>
      </w:pPr>
      <w:r w:rsidRPr="003574B9">
        <w:rPr>
          <w:noProof/>
        </w:rPr>
        <w:t xml:space="preserve">The applicable aviation safety </w:t>
      </w:r>
      <w:r w:rsidR="00095505">
        <w:rPr>
          <w:noProof/>
        </w:rPr>
        <w:t>regulations</w:t>
      </w:r>
      <w:r w:rsidRPr="003574B9">
        <w:rPr>
          <w:noProof/>
        </w:rPr>
        <w:t xml:space="preserve"> require the Member </w:t>
      </w:r>
      <w:r w:rsidR="00A46B04">
        <w:rPr>
          <w:noProof/>
        </w:rPr>
        <w:t>State</w:t>
      </w:r>
      <w:r w:rsidRPr="003574B9">
        <w:rPr>
          <w:noProof/>
        </w:rPr>
        <w:t xml:space="preserve">s to lay down </w:t>
      </w:r>
      <w:r w:rsidR="00406ADA">
        <w:rPr>
          <w:noProof/>
        </w:rPr>
        <w:t xml:space="preserve">fines and </w:t>
      </w:r>
      <w:r w:rsidRPr="003574B9">
        <w:rPr>
          <w:noProof/>
        </w:rPr>
        <w:t xml:space="preserve">penalties for infringement of these Regulations and their implementing rules, if any. Those </w:t>
      </w:r>
      <w:r w:rsidR="00406ADA">
        <w:rPr>
          <w:noProof/>
        </w:rPr>
        <w:t xml:space="preserve">fines and </w:t>
      </w:r>
      <w:r w:rsidRPr="003574B9">
        <w:rPr>
          <w:noProof/>
        </w:rPr>
        <w:t>penalties are to be effective, proportionate and dissuasive.</w:t>
      </w:r>
    </w:p>
    <w:p w14:paraId="5825644A" w14:textId="77777777" w:rsidR="00EE4782" w:rsidRDefault="00502AAE" w:rsidP="0006001F">
      <w:pPr>
        <w:shd w:val="clear" w:color="auto" w:fill="FFFFFF"/>
        <w:rPr>
          <w:noProof/>
        </w:rPr>
      </w:pPr>
      <w:r w:rsidRPr="0064434D">
        <w:rPr>
          <w:noProof/>
        </w:rPr>
        <w:t xml:space="preserve">Furthermore, in cases of infringements to Regulation </w:t>
      </w:r>
      <w:r w:rsidR="00E361E9" w:rsidRPr="0064434D">
        <w:rPr>
          <w:noProof/>
        </w:rPr>
        <w:t xml:space="preserve">(EU) </w:t>
      </w:r>
      <w:r w:rsidR="006831DF" w:rsidRPr="0064434D">
        <w:rPr>
          <w:noProof/>
        </w:rPr>
        <w:t>2018/1139</w:t>
      </w:r>
      <w:r w:rsidRPr="0064434D">
        <w:rPr>
          <w:noProof/>
        </w:rPr>
        <w:t xml:space="preserve"> and its implementing rules and where the Agency is the competent authority and oversees an organisation, the Commission may, at EASA's request, impose fines or periodic penalty payments on the persons and the undertakings to which EASA has issued a certificate. It is required that these fines and periodic penalty payments are dissuasive and proportionate to both the gravity of the case and the economic capacity of the certificate holder concerned, taking into particular account the extent to which safety has been compromised.</w:t>
      </w:r>
      <w:r w:rsidR="006E7899" w:rsidRPr="0064434D">
        <w:rPr>
          <w:noProof/>
        </w:rPr>
        <w:t xml:space="preserve"> The Commission is preparing a delegated act in this field, in accordance with Article 84(4) of Regulation (EU) 2018/1139, which will lay down detailed criteria and a detailed methodology for establishing the amounts of and the procedures for the collection </w:t>
      </w:r>
      <w:r w:rsidR="002C41D4" w:rsidRPr="0064434D">
        <w:rPr>
          <w:noProof/>
        </w:rPr>
        <w:t xml:space="preserve">of </w:t>
      </w:r>
      <w:r w:rsidR="006E7899" w:rsidRPr="0064434D">
        <w:rPr>
          <w:noProof/>
        </w:rPr>
        <w:t>the fines and periodic penalty payments, including rules for enquiries, reporting and rights of defence.</w:t>
      </w:r>
    </w:p>
    <w:p w14:paraId="2D8549F8" w14:textId="77777777" w:rsidR="00EE4782" w:rsidRPr="009C16D7" w:rsidRDefault="00EE4782" w:rsidP="001A0D14">
      <w:pPr>
        <w:pStyle w:val="Heading4"/>
        <w:keepLines w:val="0"/>
        <w:numPr>
          <w:ilvl w:val="3"/>
          <w:numId w:val="11"/>
        </w:numPr>
        <w:spacing w:before="240" w:after="240"/>
        <w:rPr>
          <w:noProof/>
        </w:rPr>
      </w:pPr>
      <w:r>
        <w:rPr>
          <w:noProof/>
        </w:rPr>
        <w:t xml:space="preserve">Actions on </w:t>
      </w:r>
      <w:r w:rsidR="00016C90" w:rsidRPr="00016C90">
        <w:rPr>
          <w:noProof/>
        </w:rPr>
        <w:t>certificates</w:t>
      </w:r>
      <w:r w:rsidRPr="009C16D7">
        <w:rPr>
          <w:noProof/>
        </w:rPr>
        <w:t xml:space="preserve"> </w:t>
      </w:r>
      <w:r>
        <w:rPr>
          <w:noProof/>
        </w:rPr>
        <w:t>and other measures</w:t>
      </w:r>
    </w:p>
    <w:p w14:paraId="6D7375D3" w14:textId="77777777" w:rsidR="00502AAE" w:rsidRPr="003574B9" w:rsidRDefault="00502AAE" w:rsidP="0006001F">
      <w:pPr>
        <w:autoSpaceDE w:val="0"/>
        <w:autoSpaceDN w:val="0"/>
        <w:adjustRightInd w:val="0"/>
        <w:rPr>
          <w:noProof/>
        </w:rPr>
      </w:pPr>
      <w:r w:rsidRPr="003574B9">
        <w:rPr>
          <w:noProof/>
        </w:rPr>
        <w:t xml:space="preserve">Regulation </w:t>
      </w:r>
      <w:r w:rsidR="009A3AB7">
        <w:rPr>
          <w:noProof/>
        </w:rPr>
        <w:t xml:space="preserve">(EU) </w:t>
      </w:r>
      <w:r w:rsidR="006831DF">
        <w:rPr>
          <w:noProof/>
        </w:rPr>
        <w:t>2018/1139</w:t>
      </w:r>
      <w:r w:rsidRPr="003574B9">
        <w:rPr>
          <w:noProof/>
        </w:rPr>
        <w:t xml:space="preserve"> requires the Member </w:t>
      </w:r>
      <w:r w:rsidR="00A46B04">
        <w:rPr>
          <w:noProof/>
        </w:rPr>
        <w:t>State</w:t>
      </w:r>
      <w:r w:rsidRPr="003574B9">
        <w:rPr>
          <w:noProof/>
        </w:rPr>
        <w:t xml:space="preserve">s, the Commission and EASA to cooperate with a view to ensuring compliance with the Regulation and its implementing rules. Member </w:t>
      </w:r>
      <w:r w:rsidR="00A46B04">
        <w:rPr>
          <w:noProof/>
        </w:rPr>
        <w:t>State</w:t>
      </w:r>
      <w:r w:rsidRPr="003574B9">
        <w:rPr>
          <w:noProof/>
        </w:rPr>
        <w:t>s are required, in addition to the oversight of certificates that they have issued</w:t>
      </w:r>
      <w:r w:rsidR="00C46E92">
        <w:rPr>
          <w:noProof/>
        </w:rPr>
        <w:t xml:space="preserve"> </w:t>
      </w:r>
      <w:r w:rsidR="00C46E92" w:rsidRPr="000D681A">
        <w:rPr>
          <w:noProof/>
        </w:rPr>
        <w:t>or declarations received</w:t>
      </w:r>
      <w:r w:rsidRPr="000D681A">
        <w:rPr>
          <w:noProof/>
        </w:rPr>
        <w:t>, to conduct investigations, including ramp inspections, and take a</w:t>
      </w:r>
      <w:r w:rsidRPr="003574B9">
        <w:rPr>
          <w:noProof/>
        </w:rPr>
        <w:t>ny measure</w:t>
      </w:r>
      <w:r w:rsidR="00F57FE0">
        <w:rPr>
          <w:noProof/>
        </w:rPr>
        <w:t xml:space="preserve"> deemed necessary</w:t>
      </w:r>
      <w:r w:rsidRPr="003574B9">
        <w:rPr>
          <w:noProof/>
        </w:rPr>
        <w:t xml:space="preserve">, including the grounding of aircraft. Where a non-compliance of certificate holders has been identified by the competent authority (national authority or EASA), or where the competent authority was informed about it, it may or has to amend (limit), suspend or revoke the certificate in accordance with the applicable provision in Regulation </w:t>
      </w:r>
      <w:r w:rsidR="00BB0521">
        <w:rPr>
          <w:noProof/>
        </w:rPr>
        <w:t xml:space="preserve">(EU) </w:t>
      </w:r>
      <w:r w:rsidR="006831DF">
        <w:rPr>
          <w:noProof/>
        </w:rPr>
        <w:t>2018/1139</w:t>
      </w:r>
      <w:r w:rsidRPr="003574B9">
        <w:rPr>
          <w:noProof/>
        </w:rPr>
        <w:t xml:space="preserve"> and its implementing rules.</w:t>
      </w:r>
    </w:p>
    <w:p w14:paraId="017C0B7A" w14:textId="77777777" w:rsidR="00C46E92" w:rsidRPr="000D681A" w:rsidRDefault="00C46E92" w:rsidP="00C46E92">
      <w:pPr>
        <w:shd w:val="clear" w:color="auto" w:fill="FFFFFF"/>
        <w:rPr>
          <w:noProof/>
        </w:rPr>
      </w:pPr>
      <w:r w:rsidRPr="000D681A">
        <w:rPr>
          <w:noProof/>
        </w:rPr>
        <w:t xml:space="preserve">Additionally, if the Commission considers that a natural or a legal person to which a certificate has been issued or which has made a declaration no longer complies with the applicable requirements, the Commission shall, based on a recommendation from the Agency, require the Member </w:t>
      </w:r>
      <w:r w:rsidR="00A46B04">
        <w:rPr>
          <w:noProof/>
        </w:rPr>
        <w:t>State</w:t>
      </w:r>
      <w:r w:rsidRPr="000D681A">
        <w:rPr>
          <w:noProof/>
        </w:rPr>
        <w:t xml:space="preserve">r responsible for the oversight to take appropriate corrective action and safeguard measures, including limitation or suspension of the certificate. Once the Commission adopts the implementing act containing such a decision, it takes effect and the certificate or declaration obligation of mutual recognition of certificates ceases to apply to the other Member </w:t>
      </w:r>
      <w:r w:rsidR="00A46B04">
        <w:rPr>
          <w:noProof/>
        </w:rPr>
        <w:t>State</w:t>
      </w:r>
      <w:r w:rsidRPr="000D681A">
        <w:rPr>
          <w:noProof/>
        </w:rPr>
        <w:t>s. Once the Commission has sufficient evidence that appropriate corrective action has been taken, it will decide that mutual recognition shall be restored.</w:t>
      </w:r>
    </w:p>
    <w:p w14:paraId="0ED1097C" w14:textId="77777777" w:rsidR="00C46E92" w:rsidRPr="000D681A" w:rsidRDefault="00C46E92" w:rsidP="00C46E92">
      <w:pPr>
        <w:shd w:val="clear" w:color="auto" w:fill="FFFFFF"/>
        <w:rPr>
          <w:noProof/>
        </w:rPr>
      </w:pPr>
      <w:r w:rsidRPr="000D681A">
        <w:rPr>
          <w:noProof/>
        </w:rPr>
        <w:t xml:space="preserve">EASA has also a mandate to react without undue delay to an urgent safety problem falling within the scope of Regulation </w:t>
      </w:r>
      <w:r w:rsidR="008A4B5A" w:rsidRPr="000D681A">
        <w:rPr>
          <w:noProof/>
        </w:rPr>
        <w:t xml:space="preserve">(EU) 2018/1139 </w:t>
      </w:r>
      <w:r w:rsidRPr="000D681A">
        <w:rPr>
          <w:noProof/>
        </w:rPr>
        <w:t>by determining corrective action to be taken by natural and legal persons in which it acts as the competent authority and by disseminating related information to those persons, including directives (safety directives) or recommendations.</w:t>
      </w:r>
    </w:p>
    <w:p w14:paraId="04659C70" w14:textId="1CD98F2A" w:rsidR="00C46E92" w:rsidRPr="000D681A" w:rsidRDefault="00C46E92" w:rsidP="00C46E92">
      <w:pPr>
        <w:shd w:val="clear" w:color="auto" w:fill="FFFFFF"/>
        <w:rPr>
          <w:noProof/>
        </w:rPr>
      </w:pPr>
      <w:r w:rsidRPr="000D681A">
        <w:rPr>
          <w:noProof/>
        </w:rPr>
        <w:t xml:space="preserve">For the tasks for which the Member </w:t>
      </w:r>
      <w:r w:rsidR="00A46B04">
        <w:rPr>
          <w:noProof/>
        </w:rPr>
        <w:t>State</w:t>
      </w:r>
      <w:r w:rsidRPr="000D681A">
        <w:rPr>
          <w:noProof/>
        </w:rPr>
        <w:t xml:space="preserve"> is responsible for certification and oversight, in case an urgent safety problem has been identified, EASA shall determine safety objectives to be achieved and recommend corrective action to be taken by national competent authorities. In this case the national competent authorities shall inform EASA without undue delay about the measures taken to achieve the safety objectives determined by EASA. </w:t>
      </w:r>
    </w:p>
    <w:p w14:paraId="492F311E" w14:textId="77777777" w:rsidR="00C02721" w:rsidRDefault="00502AAE" w:rsidP="00C02721">
      <w:pPr>
        <w:shd w:val="clear" w:color="auto" w:fill="FFFFFF"/>
        <w:rPr>
          <w:iCs/>
          <w:noProof/>
        </w:rPr>
      </w:pPr>
      <w:r w:rsidRPr="003574B9">
        <w:rPr>
          <w:noProof/>
        </w:rPr>
        <w:t xml:space="preserve">In addition to these measures, the Member </w:t>
      </w:r>
      <w:r w:rsidR="00A46B04">
        <w:rPr>
          <w:noProof/>
        </w:rPr>
        <w:t>State</w:t>
      </w:r>
      <w:r w:rsidRPr="003574B9">
        <w:rPr>
          <w:noProof/>
        </w:rPr>
        <w:t>s have put in place national enforcement policies to ensure the proper application of legislation at national level.</w:t>
      </w:r>
      <w:r w:rsidR="004E374A">
        <w:rPr>
          <w:noProof/>
        </w:rPr>
        <w:t xml:space="preserve"> In the specific context of </w:t>
      </w:r>
      <w:r w:rsidR="004E374A" w:rsidRPr="004E374A">
        <w:rPr>
          <w:noProof/>
        </w:rPr>
        <w:t>A</w:t>
      </w:r>
      <w:r w:rsidR="004E374A">
        <w:rPr>
          <w:noProof/>
        </w:rPr>
        <w:t xml:space="preserve">nnex </w:t>
      </w:r>
      <w:r w:rsidR="004E374A" w:rsidRPr="004E374A">
        <w:rPr>
          <w:noProof/>
        </w:rPr>
        <w:t xml:space="preserve">19 </w:t>
      </w:r>
      <w:r w:rsidR="004E374A">
        <w:rPr>
          <w:noProof/>
        </w:rPr>
        <w:t xml:space="preserve">of the Chicago Convention, </w:t>
      </w:r>
      <w:r w:rsidR="004E374A" w:rsidRPr="004E374A">
        <w:rPr>
          <w:noProof/>
        </w:rPr>
        <w:t xml:space="preserve">recommendation 3.2.1.2 </w:t>
      </w:r>
      <w:r w:rsidR="004E374A" w:rsidRPr="00FC630B">
        <w:rPr>
          <w:iCs/>
          <w:noProof/>
        </w:rPr>
        <w:t xml:space="preserve">explicitly lays out that </w:t>
      </w:r>
      <w:r w:rsidR="00A46B04">
        <w:rPr>
          <w:iCs/>
          <w:noProof/>
        </w:rPr>
        <w:t>State</w:t>
      </w:r>
      <w:r w:rsidR="004E374A" w:rsidRPr="00FC630B">
        <w:rPr>
          <w:iCs/>
          <w:noProof/>
        </w:rPr>
        <w:t xml:space="preserve">s should establish an enforcement policy that specifies the conditions and circumstances under which service providers with an SMS are allowed to deal with, and resolve, events involving certain safety issues, internally, within the context of their SMS and to the satisfaction of the appropriate </w:t>
      </w:r>
      <w:r w:rsidR="00A46B04">
        <w:rPr>
          <w:iCs/>
          <w:noProof/>
        </w:rPr>
        <w:t>State</w:t>
      </w:r>
      <w:r w:rsidR="004E374A" w:rsidRPr="00FC630B">
        <w:rPr>
          <w:iCs/>
          <w:noProof/>
        </w:rPr>
        <w:t xml:space="preserve"> authority.</w:t>
      </w:r>
    </w:p>
    <w:p w14:paraId="327C257A" w14:textId="77777777" w:rsidR="001B0050" w:rsidRDefault="001B0050" w:rsidP="00FB18C9">
      <w:pPr>
        <w:spacing w:line="276" w:lineRule="auto"/>
        <w:rPr>
          <w:noProof/>
        </w:rPr>
      </w:pPr>
      <w:bookmarkStart w:id="111" w:name="_Toc94875659"/>
      <w:bookmarkStart w:id="112" w:name="_Toc94875702"/>
      <w:bookmarkEnd w:id="111"/>
      <w:bookmarkEnd w:id="112"/>
      <w:r>
        <w:rPr>
          <w:noProof/>
        </w:rPr>
        <w:br w:type="page"/>
      </w:r>
    </w:p>
    <w:p w14:paraId="5FB685BF" w14:textId="77777777" w:rsidR="00AD31EE" w:rsidRPr="00AD31EE" w:rsidRDefault="00AD31EE" w:rsidP="00772D20">
      <w:pPr>
        <w:pStyle w:val="Heading1"/>
        <w:rPr>
          <w:noProof/>
        </w:rPr>
      </w:pPr>
      <w:bookmarkStart w:id="113" w:name="_EUROPEAN_SAFETY_RISK"/>
      <w:bookmarkStart w:id="114" w:name="_Toc94875661"/>
      <w:bookmarkStart w:id="115" w:name="_Toc102569215"/>
      <w:bookmarkStart w:id="116" w:name="_Toc277253702"/>
      <w:bookmarkEnd w:id="113"/>
      <w:r w:rsidRPr="00AD31EE">
        <w:rPr>
          <w:noProof/>
        </w:rPr>
        <w:t>EUROPEAN SAFETY RISK MANAGEMENT</w:t>
      </w:r>
      <w:bookmarkEnd w:id="114"/>
      <w:bookmarkEnd w:id="115"/>
    </w:p>
    <w:p w14:paraId="7835D4B6" w14:textId="1D7C54E0" w:rsidR="00D4120D" w:rsidRDefault="00D4120D" w:rsidP="0006001F">
      <w:pPr>
        <w:shd w:val="clear" w:color="auto" w:fill="FFFFFF"/>
        <w:rPr>
          <w:noProof/>
        </w:rPr>
      </w:pPr>
      <w:r>
        <w:rPr>
          <w:noProof/>
        </w:rPr>
        <w:t>Regulation (EU) 2018/113</w:t>
      </w:r>
      <w:r w:rsidR="008365EB">
        <w:rPr>
          <w:noProof/>
        </w:rPr>
        <w:t>9</w:t>
      </w:r>
      <w:r>
        <w:rPr>
          <w:noProof/>
        </w:rPr>
        <w:t xml:space="preserve"> establishes that </w:t>
      </w:r>
      <w:r w:rsidR="00D25EAB">
        <w:rPr>
          <w:noProof/>
        </w:rPr>
        <w:t xml:space="preserve">the </w:t>
      </w:r>
      <w:r>
        <w:rPr>
          <w:noProof/>
        </w:rPr>
        <w:t xml:space="preserve">application of </w:t>
      </w:r>
      <w:r w:rsidRPr="00D4120D">
        <w:rPr>
          <w:noProof/>
        </w:rPr>
        <w:t xml:space="preserve">sound safety management principles is essential for </w:t>
      </w:r>
      <w:r w:rsidR="00D25EAB">
        <w:rPr>
          <w:noProof/>
        </w:rPr>
        <w:t xml:space="preserve">the </w:t>
      </w:r>
      <w:r w:rsidRPr="00D4120D">
        <w:rPr>
          <w:noProof/>
        </w:rPr>
        <w:t xml:space="preserve">continuous improvement of civil aviation safety in the Union, anticipating emerging safety risks, and making best use of limited technical resources. </w:t>
      </w:r>
      <w:r>
        <w:rPr>
          <w:noProof/>
        </w:rPr>
        <w:t>The Regulation conclude</w:t>
      </w:r>
      <w:r w:rsidR="00857C02">
        <w:rPr>
          <w:noProof/>
        </w:rPr>
        <w:t>s</w:t>
      </w:r>
      <w:r>
        <w:rPr>
          <w:noProof/>
        </w:rPr>
        <w:t xml:space="preserve"> that</w:t>
      </w:r>
      <w:r w:rsidRPr="00D4120D">
        <w:rPr>
          <w:noProof/>
        </w:rPr>
        <w:t xml:space="preserve"> </w:t>
      </w:r>
      <w:r>
        <w:rPr>
          <w:noProof/>
        </w:rPr>
        <w:t xml:space="preserve">it is </w:t>
      </w:r>
      <w:r w:rsidRPr="00D4120D">
        <w:rPr>
          <w:noProof/>
        </w:rPr>
        <w:t xml:space="preserve">therefore necessary to establish a common framework for planning and implementing safety improvement actions. To that end, a European Plan for Aviation Safety and a European Aviation Safety Programme should be drawn up at Union level. Each Member </w:t>
      </w:r>
      <w:r w:rsidR="00A46B04">
        <w:rPr>
          <w:noProof/>
        </w:rPr>
        <w:t>State</w:t>
      </w:r>
      <w:r w:rsidRPr="00D4120D">
        <w:rPr>
          <w:noProof/>
        </w:rPr>
        <w:t xml:space="preserve"> should also draw up a </w:t>
      </w:r>
      <w:r w:rsidR="00A46B04">
        <w:rPr>
          <w:noProof/>
        </w:rPr>
        <w:t>State</w:t>
      </w:r>
      <w:r w:rsidRPr="00D4120D">
        <w:rPr>
          <w:noProof/>
        </w:rPr>
        <w:t xml:space="preserve"> Safety Programme in accordance with the requirements contained in Annex 19 to the Chicago Convention. That Programme should be accompanied by a plan describing the actions to be taken by the Member </w:t>
      </w:r>
      <w:r w:rsidR="00A46B04">
        <w:rPr>
          <w:noProof/>
        </w:rPr>
        <w:t>State</w:t>
      </w:r>
      <w:r w:rsidRPr="00D4120D">
        <w:rPr>
          <w:noProof/>
        </w:rPr>
        <w:t xml:space="preserve"> to mitigate the identified safety risks.</w:t>
      </w:r>
    </w:p>
    <w:p w14:paraId="442E52A3" w14:textId="77777777" w:rsidR="00D4120D" w:rsidRDefault="00D4120D" w:rsidP="0006001F">
      <w:pPr>
        <w:shd w:val="clear" w:color="auto" w:fill="FFFFFF"/>
        <w:rPr>
          <w:noProof/>
        </w:rPr>
      </w:pPr>
      <w:r>
        <w:rPr>
          <w:noProof/>
        </w:rPr>
        <w:t xml:space="preserve">Having this in mind, </w:t>
      </w:r>
      <w:r w:rsidRPr="00D4120D">
        <w:rPr>
          <w:noProof/>
        </w:rPr>
        <w:t>Regulation (EU) 2018/113</w:t>
      </w:r>
      <w:r w:rsidR="008365EB">
        <w:rPr>
          <w:noProof/>
        </w:rPr>
        <w:t>9</w:t>
      </w:r>
      <w:r>
        <w:rPr>
          <w:noProof/>
        </w:rPr>
        <w:t xml:space="preserve"> introduces a new binding regulatory framework with its Chapter II on Aviation Safety Management. Article 5 of the said Regulation lays out that t</w:t>
      </w:r>
      <w:r w:rsidRPr="00D4120D">
        <w:rPr>
          <w:noProof/>
        </w:rPr>
        <w:t xml:space="preserve">he Commission shall, after consulting the Agency and the Member </w:t>
      </w:r>
      <w:r w:rsidR="00A46B04">
        <w:rPr>
          <w:noProof/>
        </w:rPr>
        <w:t>State</w:t>
      </w:r>
      <w:r w:rsidRPr="00D4120D">
        <w:rPr>
          <w:noProof/>
        </w:rPr>
        <w:t>s, adopt, publish and update as required a document describing the functioning of the European aviation safety system, containing the rules, activities and processes which are used to manage the safety of civil aviation in the Union in accordance with this Regulation (the ‘European Aviation Safety Programme’).</w:t>
      </w:r>
      <w:r w:rsidR="00314959">
        <w:rPr>
          <w:noProof/>
        </w:rPr>
        <w:t xml:space="preserve"> </w:t>
      </w:r>
      <w:r w:rsidRPr="00D4120D">
        <w:rPr>
          <w:noProof/>
        </w:rPr>
        <w:t xml:space="preserve">The Programme shall include at least the elements related to </w:t>
      </w:r>
      <w:r w:rsidR="00A46B04">
        <w:rPr>
          <w:noProof/>
        </w:rPr>
        <w:t>State</w:t>
      </w:r>
      <w:r w:rsidRPr="00D4120D">
        <w:rPr>
          <w:noProof/>
        </w:rPr>
        <w:t xml:space="preserve"> safety management responsibilities described in the international standards and recommended practices. </w:t>
      </w:r>
      <w:r>
        <w:rPr>
          <w:noProof/>
        </w:rPr>
        <w:t>It</w:t>
      </w:r>
      <w:r w:rsidRPr="00D4120D">
        <w:rPr>
          <w:noProof/>
        </w:rPr>
        <w:t xml:space="preserve"> shall also describe the process for the development, adoption, update and implementation of the European Plan for Aviation Safety referred to in Article 6</w:t>
      </w:r>
      <w:r>
        <w:rPr>
          <w:noProof/>
        </w:rPr>
        <w:t xml:space="preserve"> of the Regulation</w:t>
      </w:r>
      <w:r w:rsidRPr="00D4120D">
        <w:rPr>
          <w:noProof/>
        </w:rPr>
        <w:t xml:space="preserve">, which shall closely involve the Member </w:t>
      </w:r>
      <w:r w:rsidR="00A46B04">
        <w:rPr>
          <w:noProof/>
        </w:rPr>
        <w:t>State</w:t>
      </w:r>
      <w:r w:rsidRPr="00D4120D">
        <w:rPr>
          <w:noProof/>
        </w:rPr>
        <w:t>s and relevant stakeholders</w:t>
      </w:r>
      <w:r>
        <w:rPr>
          <w:noProof/>
        </w:rPr>
        <w:t>.</w:t>
      </w:r>
    </w:p>
    <w:p w14:paraId="40250F42" w14:textId="77777777" w:rsidR="00DC229A" w:rsidRDefault="008365EB" w:rsidP="0006001F">
      <w:pPr>
        <w:shd w:val="clear" w:color="auto" w:fill="FFFFFF"/>
        <w:rPr>
          <w:noProof/>
        </w:rPr>
      </w:pPr>
      <w:r>
        <w:rPr>
          <w:noProof/>
        </w:rPr>
        <w:t xml:space="preserve">Article 6 of </w:t>
      </w:r>
      <w:r w:rsidRPr="008365EB">
        <w:rPr>
          <w:noProof/>
        </w:rPr>
        <w:t>Regulation (EU) 2018/113</w:t>
      </w:r>
      <w:r>
        <w:rPr>
          <w:noProof/>
        </w:rPr>
        <w:t>9 established that t</w:t>
      </w:r>
      <w:r w:rsidRPr="008365EB">
        <w:rPr>
          <w:noProof/>
        </w:rPr>
        <w:t xml:space="preserve">he Agency, in close collaboration with Member </w:t>
      </w:r>
      <w:r w:rsidR="00A46B04">
        <w:rPr>
          <w:noProof/>
        </w:rPr>
        <w:t>State</w:t>
      </w:r>
      <w:r w:rsidRPr="008365EB">
        <w:rPr>
          <w:noProof/>
        </w:rPr>
        <w:t xml:space="preserve">s and relevant stakeholders, shall develop, adopt, publish, and subsequently update at least on a yearly basis a European Plan for Aviation Safety. Based on the assessment of relevant safety information, </w:t>
      </w:r>
      <w:r w:rsidR="009674DC">
        <w:rPr>
          <w:noProof/>
        </w:rPr>
        <w:t xml:space="preserve">and on the data-driven outputs of the </w:t>
      </w:r>
      <w:r w:rsidR="00B0274D">
        <w:rPr>
          <w:noProof/>
        </w:rPr>
        <w:t>Data4Safety</w:t>
      </w:r>
      <w:r w:rsidR="009674DC">
        <w:rPr>
          <w:noProof/>
        </w:rPr>
        <w:t xml:space="preserve"> programme</w:t>
      </w:r>
      <w:r w:rsidR="009674DC" w:rsidRPr="008365EB">
        <w:rPr>
          <w:noProof/>
        </w:rPr>
        <w:t xml:space="preserve">, </w:t>
      </w:r>
      <w:r w:rsidRPr="008365EB">
        <w:rPr>
          <w:noProof/>
        </w:rPr>
        <w:t>the European Plan for Aviation Safety shall identify the main safety risks affecting the European aviation safety system and set out the necessary actions to mitigate those risks.</w:t>
      </w:r>
      <w:r>
        <w:rPr>
          <w:noProof/>
        </w:rPr>
        <w:t xml:space="preserve"> This Article also provides that t</w:t>
      </w:r>
      <w:r w:rsidRPr="008365EB">
        <w:rPr>
          <w:noProof/>
        </w:rPr>
        <w:t xml:space="preserve">he Agency, </w:t>
      </w:r>
      <w:r>
        <w:rPr>
          <w:noProof/>
        </w:rPr>
        <w:t xml:space="preserve">again </w:t>
      </w:r>
      <w:r w:rsidRPr="008365EB">
        <w:rPr>
          <w:noProof/>
        </w:rPr>
        <w:t xml:space="preserve">in close collaboration with Member </w:t>
      </w:r>
      <w:r w:rsidR="00A46B04">
        <w:rPr>
          <w:noProof/>
        </w:rPr>
        <w:t>State</w:t>
      </w:r>
      <w:r w:rsidRPr="008365EB">
        <w:rPr>
          <w:noProof/>
        </w:rPr>
        <w:t xml:space="preserve">s and relevant stakeholders, shall document in a dedicated safety risk portfolio the safety risks referred to in </w:t>
      </w:r>
      <w:r>
        <w:rPr>
          <w:noProof/>
        </w:rPr>
        <w:t>the</w:t>
      </w:r>
      <w:r w:rsidRPr="008365EB">
        <w:rPr>
          <w:noProof/>
        </w:rPr>
        <w:t xml:space="preserve"> Article and monitor the implementation of related mitigation actions by the parties concerned, including, where appropriate, by setting safety performance indicators.</w:t>
      </w:r>
      <w:r>
        <w:rPr>
          <w:noProof/>
        </w:rPr>
        <w:t xml:space="preserve"> </w:t>
      </w:r>
    </w:p>
    <w:p w14:paraId="68C71ADC" w14:textId="0E4E6E1A" w:rsidR="00DC229A" w:rsidRDefault="008365EB" w:rsidP="0006001F">
      <w:pPr>
        <w:shd w:val="clear" w:color="auto" w:fill="FFFFFF"/>
        <w:rPr>
          <w:noProof/>
        </w:rPr>
      </w:pPr>
      <w:r w:rsidRPr="008365EB">
        <w:rPr>
          <w:noProof/>
        </w:rPr>
        <w:t>The European Plan for Aviation Safety shall specify, taking into account the objectives set out in Article 1</w:t>
      </w:r>
      <w:r>
        <w:rPr>
          <w:noProof/>
        </w:rPr>
        <w:t xml:space="preserve"> of </w:t>
      </w:r>
      <w:r w:rsidRPr="008365EB">
        <w:rPr>
          <w:noProof/>
        </w:rPr>
        <w:t>Regulation (EU) 2018/113</w:t>
      </w:r>
      <w:r>
        <w:rPr>
          <w:noProof/>
        </w:rPr>
        <w:t>9</w:t>
      </w:r>
      <w:r w:rsidRPr="008365EB">
        <w:rPr>
          <w:noProof/>
        </w:rPr>
        <w:t xml:space="preserve">, the level of safety performance in the Union. </w:t>
      </w:r>
      <w:r w:rsidR="00314959">
        <w:rPr>
          <w:noProof/>
        </w:rPr>
        <w:t>In practice, t</w:t>
      </w:r>
      <w:r w:rsidR="005022EA">
        <w:rPr>
          <w:noProof/>
        </w:rPr>
        <w:t>his is achieved through the setting of an aspirational safety goal</w:t>
      </w:r>
      <w:r w:rsidR="00DC229A">
        <w:rPr>
          <w:noProof/>
        </w:rPr>
        <w:t>,</w:t>
      </w:r>
      <w:r w:rsidR="005022EA">
        <w:rPr>
          <w:noProof/>
        </w:rPr>
        <w:t xml:space="preserve"> combined with outcome (operational) and process</w:t>
      </w:r>
      <w:r w:rsidR="009674DC">
        <w:rPr>
          <w:noProof/>
        </w:rPr>
        <w:t>-</w:t>
      </w:r>
      <w:r w:rsidR="005022EA">
        <w:rPr>
          <w:noProof/>
        </w:rPr>
        <w:t>based safety performance indicators (SPIs)</w:t>
      </w:r>
      <w:r w:rsidR="00DC229A">
        <w:rPr>
          <w:noProof/>
        </w:rPr>
        <w:t xml:space="preserve"> and supported by the SES ATM Performance Scheme</w:t>
      </w:r>
      <w:r w:rsidR="005022EA">
        <w:rPr>
          <w:noProof/>
        </w:rPr>
        <w:t xml:space="preserve">. The </w:t>
      </w:r>
      <w:r w:rsidR="00DC229A">
        <w:rPr>
          <w:noProof/>
        </w:rPr>
        <w:t xml:space="preserve">outcome based SPIs are </w:t>
      </w:r>
      <w:r w:rsidR="005022EA">
        <w:rPr>
          <w:noProof/>
        </w:rPr>
        <w:t>defined in the EASA</w:t>
      </w:r>
      <w:r w:rsidR="00DC229A">
        <w:rPr>
          <w:noProof/>
        </w:rPr>
        <w:t xml:space="preserve"> </w:t>
      </w:r>
      <w:r w:rsidR="005022EA">
        <w:rPr>
          <w:noProof/>
        </w:rPr>
        <w:t>A</w:t>
      </w:r>
      <w:r w:rsidR="00185B7F">
        <w:rPr>
          <w:noProof/>
        </w:rPr>
        <w:t xml:space="preserve">nnual </w:t>
      </w:r>
      <w:r w:rsidR="005022EA">
        <w:rPr>
          <w:noProof/>
        </w:rPr>
        <w:t>S</w:t>
      </w:r>
      <w:r w:rsidR="00185B7F">
        <w:rPr>
          <w:noProof/>
        </w:rPr>
        <w:t xml:space="preserve">afety </w:t>
      </w:r>
      <w:r w:rsidR="005022EA">
        <w:rPr>
          <w:noProof/>
        </w:rPr>
        <w:t>R</w:t>
      </w:r>
      <w:r w:rsidR="00185B7F">
        <w:rPr>
          <w:noProof/>
        </w:rPr>
        <w:t>eview</w:t>
      </w:r>
      <w:r w:rsidR="005022EA">
        <w:rPr>
          <w:noProof/>
        </w:rPr>
        <w:t xml:space="preserve"> </w:t>
      </w:r>
      <w:r w:rsidR="00185B7F">
        <w:rPr>
          <w:noProof/>
        </w:rPr>
        <w:t xml:space="preserve">(ASR) </w:t>
      </w:r>
      <w:r w:rsidR="00DC229A">
        <w:rPr>
          <w:noProof/>
        </w:rPr>
        <w:t>and monitored through the European SRM. The process-based indicators are defined in EPAS Chapter 4 and monitored through EASA</w:t>
      </w:r>
      <w:r w:rsidR="007B5365">
        <w:rPr>
          <w:noProof/>
        </w:rPr>
        <w:t>’s</w:t>
      </w:r>
      <w:r w:rsidR="00DC229A">
        <w:rPr>
          <w:noProof/>
        </w:rPr>
        <w:t xml:space="preserve"> </w:t>
      </w:r>
      <w:r w:rsidR="007B5365">
        <w:rPr>
          <w:noProof/>
        </w:rPr>
        <w:t>s</w:t>
      </w:r>
      <w:r w:rsidR="00DC229A">
        <w:rPr>
          <w:noProof/>
        </w:rPr>
        <w:t>tandardisation</w:t>
      </w:r>
      <w:r w:rsidR="007B5365">
        <w:rPr>
          <w:noProof/>
        </w:rPr>
        <w:t xml:space="preserve"> procedures</w:t>
      </w:r>
      <w:r w:rsidR="00DC229A">
        <w:rPr>
          <w:noProof/>
        </w:rPr>
        <w:t>.</w:t>
      </w:r>
      <w:r w:rsidR="005022EA">
        <w:rPr>
          <w:noProof/>
        </w:rPr>
        <w:t xml:space="preserve"> </w:t>
      </w:r>
      <w:r w:rsidR="00DC229A">
        <w:rPr>
          <w:noProof/>
        </w:rPr>
        <w:t xml:space="preserve">The </w:t>
      </w:r>
      <w:r w:rsidR="00DC229A" w:rsidRPr="00DC229A">
        <w:rPr>
          <w:noProof/>
        </w:rPr>
        <w:t xml:space="preserve">Safety Key Performance Area of the SES Performance Scheme aligns with the principles and technical direction of EASA’s performance monitoring framework. </w:t>
      </w:r>
      <w:r w:rsidR="00DC229A">
        <w:rPr>
          <w:noProof/>
        </w:rPr>
        <w:t>P</w:t>
      </w:r>
      <w:r w:rsidR="00DC229A" w:rsidRPr="00DC229A">
        <w:rPr>
          <w:noProof/>
        </w:rPr>
        <w:t xml:space="preserve">erformance indicators </w:t>
      </w:r>
      <w:r w:rsidR="00DC229A">
        <w:rPr>
          <w:noProof/>
        </w:rPr>
        <w:t xml:space="preserve">are </w:t>
      </w:r>
      <w:r w:rsidR="00DC229A" w:rsidRPr="00DC229A">
        <w:rPr>
          <w:noProof/>
        </w:rPr>
        <w:t xml:space="preserve">designed by an Agency-led working group and </w:t>
      </w:r>
      <w:r w:rsidR="00DC229A">
        <w:rPr>
          <w:noProof/>
        </w:rPr>
        <w:t xml:space="preserve">supported by </w:t>
      </w:r>
      <w:r w:rsidR="00DC229A" w:rsidRPr="00DC229A">
        <w:rPr>
          <w:noProof/>
        </w:rPr>
        <w:t>associated AMC and GM. These indicators measure the effectiveness of safety management at organisation level and then monitor safety outcomes, using the European Central Repository as data source.</w:t>
      </w:r>
    </w:p>
    <w:p w14:paraId="395E597E" w14:textId="77777777" w:rsidR="008365EB" w:rsidRDefault="008365EB" w:rsidP="0006001F">
      <w:pPr>
        <w:shd w:val="clear" w:color="auto" w:fill="FFFFFF"/>
        <w:rPr>
          <w:noProof/>
        </w:rPr>
      </w:pPr>
      <w:r w:rsidRPr="008365EB">
        <w:rPr>
          <w:noProof/>
        </w:rPr>
        <w:t xml:space="preserve">The Commission, the Agency and the Member </w:t>
      </w:r>
      <w:r w:rsidR="00A46B04">
        <w:rPr>
          <w:noProof/>
        </w:rPr>
        <w:t>State</w:t>
      </w:r>
      <w:r w:rsidRPr="008365EB">
        <w:rPr>
          <w:noProof/>
        </w:rPr>
        <w:t>s shall jointly aim to achieve that level of safety performance.</w:t>
      </w:r>
    </w:p>
    <w:p w14:paraId="739BFC01" w14:textId="71E2821B" w:rsidR="008365EB" w:rsidRDefault="008365EB" w:rsidP="0006001F">
      <w:pPr>
        <w:shd w:val="clear" w:color="auto" w:fill="FFFFFF"/>
        <w:rPr>
          <w:noProof/>
        </w:rPr>
      </w:pPr>
      <w:r>
        <w:rPr>
          <w:noProof/>
        </w:rPr>
        <w:t>Article 7</w:t>
      </w:r>
      <w:r w:rsidR="00314959">
        <w:rPr>
          <w:noProof/>
        </w:rPr>
        <w:t xml:space="preserve"> of </w:t>
      </w:r>
      <w:r w:rsidR="00314959" w:rsidRPr="008365EB">
        <w:rPr>
          <w:noProof/>
        </w:rPr>
        <w:t>Regulation (EU) 2018/113</w:t>
      </w:r>
      <w:r w:rsidR="00314959">
        <w:rPr>
          <w:noProof/>
        </w:rPr>
        <w:t>9</w:t>
      </w:r>
      <w:r>
        <w:rPr>
          <w:noProof/>
        </w:rPr>
        <w:t xml:space="preserve"> institutionalises the </w:t>
      </w:r>
      <w:r w:rsidR="00A46B04">
        <w:rPr>
          <w:noProof/>
        </w:rPr>
        <w:t>State</w:t>
      </w:r>
      <w:r>
        <w:rPr>
          <w:noProof/>
        </w:rPr>
        <w:t xml:space="preserve"> Safety Programme</w:t>
      </w:r>
      <w:r w:rsidR="00250548">
        <w:rPr>
          <w:noProof/>
        </w:rPr>
        <w:t xml:space="preserve"> (SSP)</w:t>
      </w:r>
      <w:r>
        <w:rPr>
          <w:noProof/>
        </w:rPr>
        <w:t xml:space="preserve"> at </w:t>
      </w:r>
      <w:r w:rsidR="0084617C">
        <w:rPr>
          <w:noProof/>
        </w:rPr>
        <w:t xml:space="preserve">Member State </w:t>
      </w:r>
      <w:r>
        <w:rPr>
          <w:noProof/>
        </w:rPr>
        <w:t xml:space="preserve">level. </w:t>
      </w:r>
      <w:r w:rsidR="00250548">
        <w:rPr>
          <w:noProof/>
        </w:rPr>
        <w:t xml:space="preserve">It </w:t>
      </w:r>
      <w:r w:rsidR="00A9601A">
        <w:rPr>
          <w:noProof/>
        </w:rPr>
        <w:t>lays out</w:t>
      </w:r>
      <w:r w:rsidR="00250548">
        <w:rPr>
          <w:noProof/>
        </w:rPr>
        <w:t xml:space="preserve"> that e</w:t>
      </w:r>
      <w:r w:rsidR="00250548" w:rsidRPr="00250548">
        <w:rPr>
          <w:noProof/>
        </w:rPr>
        <w:t xml:space="preserve">ach Member </w:t>
      </w:r>
      <w:r w:rsidR="00A46B04">
        <w:rPr>
          <w:noProof/>
        </w:rPr>
        <w:t>State</w:t>
      </w:r>
      <w:r w:rsidR="00250548" w:rsidRPr="00250548">
        <w:rPr>
          <w:noProof/>
        </w:rPr>
        <w:t xml:space="preserve"> shall, in consultation with relevant stakeholders, establish and maintain a </w:t>
      </w:r>
      <w:r w:rsidR="00A46B04">
        <w:rPr>
          <w:noProof/>
        </w:rPr>
        <w:t>State</w:t>
      </w:r>
      <w:r w:rsidR="00250548" w:rsidRPr="00250548">
        <w:rPr>
          <w:noProof/>
        </w:rPr>
        <w:t xml:space="preserve"> safety programme for the management of civil aviation safety in relation to the aviation activities under its responsibility (the ‘</w:t>
      </w:r>
      <w:r w:rsidR="00A46B04">
        <w:rPr>
          <w:noProof/>
        </w:rPr>
        <w:t>State</w:t>
      </w:r>
      <w:r w:rsidR="00250548" w:rsidRPr="00250548">
        <w:rPr>
          <w:noProof/>
        </w:rPr>
        <w:t xml:space="preserve"> Safety Programme’)</w:t>
      </w:r>
      <w:r w:rsidR="00250548">
        <w:rPr>
          <w:noProof/>
        </w:rPr>
        <w:t>, which</w:t>
      </w:r>
      <w:r w:rsidR="00250548" w:rsidRPr="00250548">
        <w:rPr>
          <w:noProof/>
        </w:rPr>
        <w:t xml:space="preserve"> shall be commensurate with the size and the complexity of those activities and shall be consistent with the European Aviation Safety Programme. The SSP shall include at least the elements related to </w:t>
      </w:r>
      <w:r w:rsidR="00A46B04">
        <w:rPr>
          <w:noProof/>
        </w:rPr>
        <w:t>State</w:t>
      </w:r>
      <w:r w:rsidR="00250548" w:rsidRPr="00250548">
        <w:rPr>
          <w:noProof/>
        </w:rPr>
        <w:t xml:space="preserve"> safety management responsibilities described in the international standards and recommended practices. </w:t>
      </w:r>
      <w:r w:rsidR="00250548">
        <w:rPr>
          <w:noProof/>
        </w:rPr>
        <w:t>Also</w:t>
      </w:r>
      <w:r w:rsidR="00F969E5">
        <w:rPr>
          <w:noProof/>
        </w:rPr>
        <w:t>,</w:t>
      </w:r>
      <w:r w:rsidR="00250548">
        <w:rPr>
          <w:noProof/>
        </w:rPr>
        <w:t xml:space="preserve"> t</w:t>
      </w:r>
      <w:r w:rsidR="00250548" w:rsidRPr="00250548">
        <w:rPr>
          <w:noProof/>
        </w:rPr>
        <w:t>he SSP shall specify</w:t>
      </w:r>
      <w:r w:rsidR="00250548">
        <w:rPr>
          <w:noProof/>
        </w:rPr>
        <w:t xml:space="preserve"> </w:t>
      </w:r>
      <w:r w:rsidR="00250548" w:rsidRPr="00250548">
        <w:rPr>
          <w:noProof/>
        </w:rPr>
        <w:t xml:space="preserve">the </w:t>
      </w:r>
      <w:r w:rsidR="00F969E5">
        <w:rPr>
          <w:noProof/>
        </w:rPr>
        <w:t xml:space="preserve">safety objectives </w:t>
      </w:r>
      <w:r w:rsidR="00250548" w:rsidRPr="00250548">
        <w:rPr>
          <w:noProof/>
        </w:rPr>
        <w:t xml:space="preserve">to be achieved at national level in respect of the aviation activities under the responsibility of the Member </w:t>
      </w:r>
      <w:r w:rsidR="00A46B04">
        <w:rPr>
          <w:noProof/>
        </w:rPr>
        <w:t>State</w:t>
      </w:r>
      <w:r w:rsidR="00250548" w:rsidRPr="00250548">
        <w:rPr>
          <w:noProof/>
        </w:rPr>
        <w:t xml:space="preserve"> concerned.</w:t>
      </w:r>
    </w:p>
    <w:p w14:paraId="421FAC46" w14:textId="77777777" w:rsidR="00857C02" w:rsidRDefault="00857C02" w:rsidP="0006001F">
      <w:pPr>
        <w:shd w:val="clear" w:color="auto" w:fill="FFFFFF"/>
        <w:rPr>
          <w:noProof/>
        </w:rPr>
      </w:pPr>
      <w:r>
        <w:rPr>
          <w:noProof/>
        </w:rPr>
        <w:t xml:space="preserve">Finally, Article 8 </w:t>
      </w:r>
      <w:r w:rsidR="0084617C">
        <w:rPr>
          <w:noProof/>
        </w:rPr>
        <w:t xml:space="preserve">of </w:t>
      </w:r>
      <w:r w:rsidR="0084617C" w:rsidRPr="008365EB">
        <w:rPr>
          <w:noProof/>
        </w:rPr>
        <w:t>Regulation (EU) 2018/113</w:t>
      </w:r>
      <w:r w:rsidR="0084617C">
        <w:rPr>
          <w:noProof/>
        </w:rPr>
        <w:t xml:space="preserve">9 </w:t>
      </w:r>
      <w:r w:rsidR="00CB4ED1">
        <w:rPr>
          <w:noProof/>
        </w:rPr>
        <w:t>lays out that t</w:t>
      </w:r>
      <w:r w:rsidR="00CB4ED1" w:rsidRPr="00CB4ED1">
        <w:rPr>
          <w:noProof/>
        </w:rPr>
        <w:t xml:space="preserve">he </w:t>
      </w:r>
      <w:r w:rsidR="00CB4ED1">
        <w:rPr>
          <w:noProof/>
        </w:rPr>
        <w:t>SSP</w:t>
      </w:r>
      <w:r w:rsidR="00CB4ED1" w:rsidRPr="00CB4ED1">
        <w:rPr>
          <w:noProof/>
        </w:rPr>
        <w:t xml:space="preserve"> shall include or be accompanied by a </w:t>
      </w:r>
      <w:r w:rsidR="00A46B04">
        <w:rPr>
          <w:noProof/>
        </w:rPr>
        <w:t>State</w:t>
      </w:r>
      <w:r w:rsidR="00CB4ED1" w:rsidRPr="00CB4ED1">
        <w:rPr>
          <w:noProof/>
        </w:rPr>
        <w:t xml:space="preserve"> Plan for Aviation Safety. Based on the assessment of relevant safety information, each Member </w:t>
      </w:r>
      <w:r w:rsidR="00A46B04">
        <w:rPr>
          <w:noProof/>
        </w:rPr>
        <w:t>State</w:t>
      </w:r>
      <w:r w:rsidR="00CB4ED1" w:rsidRPr="00CB4ED1">
        <w:rPr>
          <w:noProof/>
        </w:rPr>
        <w:t>, in consultation with relevant stakeholders, shall identify in that plan the main safety risks affecting its national civil aviation safety system and shall set out the necessary actions to mitigate those risks</w:t>
      </w:r>
      <w:r w:rsidR="00CB4ED1">
        <w:rPr>
          <w:noProof/>
        </w:rPr>
        <w:t>.</w:t>
      </w:r>
    </w:p>
    <w:p w14:paraId="5420C149" w14:textId="7FC182AA" w:rsidR="00635629" w:rsidRDefault="00635629" w:rsidP="0006001F">
      <w:pPr>
        <w:shd w:val="clear" w:color="auto" w:fill="FFFFFF"/>
        <w:rPr>
          <w:noProof/>
        </w:rPr>
      </w:pPr>
      <w:r>
        <w:rPr>
          <w:noProof/>
        </w:rPr>
        <w:t xml:space="preserve">Article 8 further specifies that the </w:t>
      </w:r>
      <w:r w:rsidR="00A46B04">
        <w:rPr>
          <w:noProof/>
        </w:rPr>
        <w:t>State</w:t>
      </w:r>
      <w:r>
        <w:rPr>
          <w:noProof/>
        </w:rPr>
        <w:t xml:space="preserve"> Plan for Aviation Safety </w:t>
      </w:r>
      <w:r w:rsidR="00685532">
        <w:rPr>
          <w:noProof/>
        </w:rPr>
        <w:t xml:space="preserve">(SPAS) </w:t>
      </w:r>
      <w:r>
        <w:rPr>
          <w:noProof/>
        </w:rPr>
        <w:t xml:space="preserve">shall include the risks and actions identified in the </w:t>
      </w:r>
      <w:r w:rsidR="00B24FF1">
        <w:rPr>
          <w:noProof/>
        </w:rPr>
        <w:t xml:space="preserve">EPAS </w:t>
      </w:r>
      <w:r>
        <w:rPr>
          <w:noProof/>
        </w:rPr>
        <w:t xml:space="preserve">that are relevant for the Member </w:t>
      </w:r>
      <w:r w:rsidR="00A46B04">
        <w:rPr>
          <w:noProof/>
        </w:rPr>
        <w:t>State</w:t>
      </w:r>
      <w:r>
        <w:rPr>
          <w:noProof/>
        </w:rPr>
        <w:t xml:space="preserve"> concerned</w:t>
      </w:r>
      <w:r w:rsidR="00B24FF1">
        <w:rPr>
          <w:noProof/>
        </w:rPr>
        <w:t xml:space="preserve"> and that </w:t>
      </w:r>
      <w:r>
        <w:rPr>
          <w:noProof/>
        </w:rPr>
        <w:t xml:space="preserve">Member </w:t>
      </w:r>
      <w:r w:rsidR="00A46B04">
        <w:rPr>
          <w:noProof/>
        </w:rPr>
        <w:t>State</w:t>
      </w:r>
      <w:r w:rsidR="00B24FF1">
        <w:rPr>
          <w:noProof/>
        </w:rPr>
        <w:t>s</w:t>
      </w:r>
      <w:r>
        <w:rPr>
          <w:noProof/>
        </w:rPr>
        <w:t xml:space="preserve"> shall inform the Agency of the risks and actions identified in the </w:t>
      </w:r>
      <w:r w:rsidR="00B24FF1">
        <w:rPr>
          <w:noProof/>
        </w:rPr>
        <w:t xml:space="preserve">EPAS </w:t>
      </w:r>
      <w:r>
        <w:rPr>
          <w:noProof/>
        </w:rPr>
        <w:t xml:space="preserve">that </w:t>
      </w:r>
      <w:r w:rsidR="00B24FF1">
        <w:rPr>
          <w:noProof/>
        </w:rPr>
        <w:t xml:space="preserve">they </w:t>
      </w:r>
      <w:r>
        <w:rPr>
          <w:noProof/>
        </w:rPr>
        <w:t xml:space="preserve">consider not to be relevant for </w:t>
      </w:r>
      <w:r w:rsidR="00B24FF1">
        <w:rPr>
          <w:noProof/>
        </w:rPr>
        <w:t xml:space="preserve">their </w:t>
      </w:r>
      <w:r>
        <w:rPr>
          <w:noProof/>
        </w:rPr>
        <w:t xml:space="preserve">national aviation safety system and the reasons thereof. This </w:t>
      </w:r>
      <w:r w:rsidR="00B24FF1">
        <w:rPr>
          <w:noProof/>
        </w:rPr>
        <w:t xml:space="preserve">information is </w:t>
      </w:r>
      <w:r>
        <w:rPr>
          <w:noProof/>
        </w:rPr>
        <w:t xml:space="preserve">normally </w:t>
      </w:r>
      <w:r w:rsidR="00B24FF1">
        <w:rPr>
          <w:noProof/>
        </w:rPr>
        <w:t xml:space="preserve">included in the </w:t>
      </w:r>
      <w:r>
        <w:rPr>
          <w:noProof/>
        </w:rPr>
        <w:t xml:space="preserve">SPAS itself. </w:t>
      </w:r>
      <w:r w:rsidR="00ED53A8">
        <w:rPr>
          <w:noProof/>
        </w:rPr>
        <w:t xml:space="preserve">EPAS actions that must be considered by Member </w:t>
      </w:r>
      <w:r w:rsidR="00A46B04">
        <w:rPr>
          <w:noProof/>
        </w:rPr>
        <w:t>State</w:t>
      </w:r>
      <w:r w:rsidR="00ED53A8">
        <w:rPr>
          <w:noProof/>
        </w:rPr>
        <w:t xml:space="preserve">s are identified as ‘Member </w:t>
      </w:r>
      <w:r w:rsidR="00A46B04">
        <w:rPr>
          <w:noProof/>
        </w:rPr>
        <w:t>State</w:t>
      </w:r>
      <w:r w:rsidR="00ED53A8">
        <w:rPr>
          <w:noProof/>
        </w:rPr>
        <w:t xml:space="preserve"> Tasks (MSTs)’.  </w:t>
      </w:r>
      <w:r w:rsidR="00ED53A8" w:rsidRPr="00ED53A8">
        <w:rPr>
          <w:noProof/>
        </w:rPr>
        <w:t xml:space="preserve">Furthermore, to assist Member </w:t>
      </w:r>
      <w:r w:rsidR="00A46B04">
        <w:rPr>
          <w:noProof/>
        </w:rPr>
        <w:t>State</w:t>
      </w:r>
      <w:r w:rsidR="00ED53A8" w:rsidRPr="00ED53A8">
        <w:rPr>
          <w:noProof/>
        </w:rPr>
        <w:t xml:space="preserve">s with the identification of EPAS items relevant for their </w:t>
      </w:r>
      <w:r w:rsidR="00ED53A8">
        <w:rPr>
          <w:noProof/>
        </w:rPr>
        <w:t>SPAS</w:t>
      </w:r>
      <w:r w:rsidR="00AA292C">
        <w:rPr>
          <w:noProof/>
        </w:rPr>
        <w:t>,</w:t>
      </w:r>
      <w:r w:rsidR="00ED53A8">
        <w:rPr>
          <w:noProof/>
        </w:rPr>
        <w:t xml:space="preserve"> a dedicated MST action lists the top </w:t>
      </w:r>
      <w:r w:rsidR="00ED53A8" w:rsidRPr="00ED53A8">
        <w:rPr>
          <w:noProof/>
        </w:rPr>
        <w:t>key risk</w:t>
      </w:r>
      <w:r w:rsidR="00ED53A8">
        <w:rPr>
          <w:noProof/>
        </w:rPr>
        <w:t xml:space="preserve"> areas </w:t>
      </w:r>
      <w:r w:rsidR="00AA292C">
        <w:rPr>
          <w:noProof/>
        </w:rPr>
        <w:t xml:space="preserve">to </w:t>
      </w:r>
      <w:r w:rsidR="00ED53A8" w:rsidRPr="00ED53A8">
        <w:rPr>
          <w:noProof/>
        </w:rPr>
        <w:t xml:space="preserve">be considered by </w:t>
      </w:r>
      <w:r w:rsidR="00A46B04">
        <w:rPr>
          <w:noProof/>
        </w:rPr>
        <w:t>State</w:t>
      </w:r>
      <w:r w:rsidR="00ED53A8" w:rsidRPr="00ED53A8">
        <w:rPr>
          <w:noProof/>
        </w:rPr>
        <w:t xml:space="preserve">s. </w:t>
      </w:r>
      <w:r w:rsidR="00ED53A8">
        <w:rPr>
          <w:noProof/>
        </w:rPr>
        <w:t>In addition to considering those key risk areas</w:t>
      </w:r>
      <w:r w:rsidR="00685532">
        <w:rPr>
          <w:noProof/>
        </w:rPr>
        <w:t>,</w:t>
      </w:r>
      <w:r w:rsidR="00ED53A8">
        <w:rPr>
          <w:noProof/>
        </w:rPr>
        <w:t xml:space="preserve"> </w:t>
      </w:r>
      <w:r w:rsidR="00A46B04">
        <w:rPr>
          <w:noProof/>
        </w:rPr>
        <w:t>State</w:t>
      </w:r>
      <w:r w:rsidR="00ED53A8">
        <w:rPr>
          <w:noProof/>
        </w:rPr>
        <w:t>s are encouraged to review the</w:t>
      </w:r>
      <w:r w:rsidR="00ED53A8" w:rsidRPr="00ED53A8">
        <w:rPr>
          <w:noProof/>
        </w:rPr>
        <w:t xml:space="preserve"> domain safety risk portfolios </w:t>
      </w:r>
      <w:r w:rsidR="00ED53A8">
        <w:rPr>
          <w:noProof/>
        </w:rPr>
        <w:t xml:space="preserve">that provide </w:t>
      </w:r>
      <w:r w:rsidR="00ED53A8" w:rsidRPr="00ED53A8">
        <w:rPr>
          <w:noProof/>
        </w:rPr>
        <w:t xml:space="preserve">a comprehensive list of </w:t>
      </w:r>
      <w:r w:rsidR="00ED53A8">
        <w:rPr>
          <w:noProof/>
        </w:rPr>
        <w:t xml:space="preserve">prioritises </w:t>
      </w:r>
      <w:r w:rsidR="00ED53A8" w:rsidRPr="00ED53A8">
        <w:rPr>
          <w:noProof/>
        </w:rPr>
        <w:t xml:space="preserve">safety issues </w:t>
      </w:r>
      <w:r w:rsidR="00ED53A8">
        <w:rPr>
          <w:noProof/>
        </w:rPr>
        <w:t>for the various domains, as included with EPAS Volume III.</w:t>
      </w:r>
    </w:p>
    <w:p w14:paraId="07A3EEC8" w14:textId="6FDE11F5" w:rsidR="00502AAE" w:rsidRDefault="00E61582" w:rsidP="0006001F">
      <w:pPr>
        <w:shd w:val="clear" w:color="auto" w:fill="FFFFFF"/>
        <w:rPr>
          <w:noProof/>
        </w:rPr>
      </w:pPr>
      <w:r>
        <w:rPr>
          <w:noProof/>
        </w:rPr>
        <w:t xml:space="preserve">With this new Chapter II, </w:t>
      </w:r>
      <w:r w:rsidR="0084617C" w:rsidRPr="008365EB">
        <w:rPr>
          <w:noProof/>
        </w:rPr>
        <w:t>Regulation (EU) 2018/113</w:t>
      </w:r>
      <w:r w:rsidR="0084617C">
        <w:rPr>
          <w:noProof/>
        </w:rPr>
        <w:t xml:space="preserve">9implements </w:t>
      </w:r>
      <w:r>
        <w:rPr>
          <w:noProof/>
        </w:rPr>
        <w:t>the</w:t>
      </w:r>
      <w:r w:rsidR="0084617C">
        <w:rPr>
          <w:noProof/>
        </w:rPr>
        <w:t xml:space="preserve"> international</w:t>
      </w:r>
      <w:r>
        <w:rPr>
          <w:noProof/>
        </w:rPr>
        <w:t xml:space="preserve"> requirements established by</w:t>
      </w:r>
      <w:r w:rsidR="00502AAE" w:rsidRPr="003574B9">
        <w:rPr>
          <w:noProof/>
        </w:rPr>
        <w:t xml:space="preserve"> Annex 19</w:t>
      </w:r>
      <w:r>
        <w:rPr>
          <w:noProof/>
        </w:rPr>
        <w:t xml:space="preserve"> to the Chicago Convention</w:t>
      </w:r>
      <w:r w:rsidR="00502AAE" w:rsidRPr="003574B9">
        <w:rPr>
          <w:noProof/>
        </w:rPr>
        <w:t xml:space="preserve">, </w:t>
      </w:r>
      <w:r>
        <w:rPr>
          <w:noProof/>
        </w:rPr>
        <w:t xml:space="preserve">that </w:t>
      </w:r>
      <w:r w:rsidR="00502AAE" w:rsidRPr="003574B9">
        <w:rPr>
          <w:noProof/>
        </w:rPr>
        <w:t>lay</w:t>
      </w:r>
      <w:r>
        <w:rPr>
          <w:noProof/>
        </w:rPr>
        <w:t>s</w:t>
      </w:r>
      <w:r w:rsidR="00502AAE" w:rsidRPr="003574B9">
        <w:rPr>
          <w:noProof/>
        </w:rPr>
        <w:t xml:space="preserve"> down the requirement for </w:t>
      </w:r>
      <w:r w:rsidR="00E93C00" w:rsidRPr="00E93C00">
        <w:rPr>
          <w:noProof/>
        </w:rPr>
        <w:t>Safety Management Systems for service providers and requires that all Safety Management Systems</w:t>
      </w:r>
      <w:r w:rsidR="00502AAE" w:rsidRPr="003574B9">
        <w:rPr>
          <w:noProof/>
        </w:rPr>
        <w:t xml:space="preserve"> should be acceptable to the </w:t>
      </w:r>
      <w:r w:rsidR="00A46B04">
        <w:rPr>
          <w:noProof/>
        </w:rPr>
        <w:t>State</w:t>
      </w:r>
      <w:r w:rsidR="00502AAE" w:rsidRPr="003574B9">
        <w:rPr>
          <w:noProof/>
        </w:rPr>
        <w:t xml:space="preserve"> responsible for the relevant certification.</w:t>
      </w:r>
      <w:r w:rsidR="00502AAE">
        <w:rPr>
          <w:noProof/>
        </w:rPr>
        <w:t xml:space="preserve"> </w:t>
      </w:r>
      <w:r w:rsidR="00502AAE" w:rsidRPr="003574B9">
        <w:rPr>
          <w:noProof/>
        </w:rPr>
        <w:t xml:space="preserve">Furthermore, </w:t>
      </w:r>
      <w:r w:rsidR="00502AAE">
        <w:rPr>
          <w:noProof/>
        </w:rPr>
        <w:t xml:space="preserve">ICAO </w:t>
      </w:r>
      <w:r w:rsidR="00502AAE" w:rsidRPr="003574B9">
        <w:rPr>
          <w:noProof/>
        </w:rPr>
        <w:t xml:space="preserve">Annex 19 requires </w:t>
      </w:r>
      <w:r w:rsidR="00A46B04">
        <w:rPr>
          <w:noProof/>
        </w:rPr>
        <w:t>State</w:t>
      </w:r>
      <w:r w:rsidR="00502AAE" w:rsidRPr="003574B9">
        <w:rPr>
          <w:noProof/>
        </w:rPr>
        <w:t>s to develop a programme to manage safety, the SSP</w:t>
      </w:r>
      <w:r>
        <w:rPr>
          <w:noProof/>
        </w:rPr>
        <w:t xml:space="preserve"> to be more precise</w:t>
      </w:r>
      <w:r w:rsidR="00502AAE" w:rsidRPr="003574B9">
        <w:rPr>
          <w:noProof/>
        </w:rPr>
        <w:t xml:space="preserve">, which requires </w:t>
      </w:r>
      <w:r w:rsidR="00F969E5">
        <w:rPr>
          <w:noProof/>
        </w:rPr>
        <w:t>among other elements</w:t>
      </w:r>
      <w:r w:rsidR="003A55A0">
        <w:rPr>
          <w:noProof/>
        </w:rPr>
        <w:t xml:space="preserve">, to establish primary aviation legislation, </w:t>
      </w:r>
      <w:r w:rsidR="00502AAE" w:rsidRPr="003574B9">
        <w:rPr>
          <w:noProof/>
        </w:rPr>
        <w:t>clear policies</w:t>
      </w:r>
      <w:r w:rsidR="00F969E5">
        <w:rPr>
          <w:noProof/>
        </w:rPr>
        <w:t xml:space="preserve">, </w:t>
      </w:r>
      <w:r w:rsidR="00502AAE" w:rsidRPr="003574B9">
        <w:rPr>
          <w:noProof/>
        </w:rPr>
        <w:t>objectives</w:t>
      </w:r>
      <w:r w:rsidR="00F969E5">
        <w:rPr>
          <w:noProof/>
        </w:rPr>
        <w:t xml:space="preserve"> and resources</w:t>
      </w:r>
      <w:r w:rsidR="00502AAE" w:rsidRPr="003574B9">
        <w:rPr>
          <w:noProof/>
        </w:rPr>
        <w:t xml:space="preserve">, </w:t>
      </w:r>
      <w:r w:rsidR="00F87153">
        <w:rPr>
          <w:noProof/>
        </w:rPr>
        <w:t>State system and functions</w:t>
      </w:r>
      <w:r w:rsidR="00502AAE" w:rsidRPr="003574B9">
        <w:rPr>
          <w:noProof/>
        </w:rPr>
        <w:t xml:space="preserve"> to manage safety risks and to assure safety, and safety promotion activities.</w:t>
      </w:r>
    </w:p>
    <w:p w14:paraId="78831961" w14:textId="50E0DBB7" w:rsidR="00E76428" w:rsidRPr="00E76428" w:rsidRDefault="00E76428" w:rsidP="00E76428">
      <w:pPr>
        <w:rPr>
          <w:noProof/>
        </w:rPr>
      </w:pPr>
      <w:r w:rsidRPr="00E76428">
        <w:rPr>
          <w:noProof/>
        </w:rPr>
        <w:t xml:space="preserve">Hence by virtue of Regulation (EU) 2018/1139 the EU does mandate the Member States to </w:t>
      </w:r>
      <w:r w:rsidR="00913306">
        <w:rPr>
          <w:noProof/>
        </w:rPr>
        <w:t xml:space="preserve">establish and maintain </w:t>
      </w:r>
      <w:r w:rsidRPr="00E76428">
        <w:rPr>
          <w:noProof/>
        </w:rPr>
        <w:t>an SSP. In addition, the EU has traditionally reflected the spirit of the relevant ICAO Standards in several European Regulations, in particular in the implementing rules to Regulation (EU) 2018/1139.</w:t>
      </w:r>
    </w:p>
    <w:p w14:paraId="3563CF74" w14:textId="77777777" w:rsidR="00E76428" w:rsidRPr="003574B9" w:rsidRDefault="00E76428" w:rsidP="0006001F">
      <w:pPr>
        <w:shd w:val="clear" w:color="auto" w:fill="FFFFFF"/>
        <w:rPr>
          <w:noProof/>
        </w:rPr>
      </w:pPr>
    </w:p>
    <w:p w14:paraId="66331348" w14:textId="77777777" w:rsidR="002B7451" w:rsidRPr="00DD3F1E" w:rsidRDefault="002B7451" w:rsidP="00D36DA4">
      <w:pPr>
        <w:pStyle w:val="Heading2"/>
        <w:ind w:hanging="720"/>
        <w:rPr>
          <w:noProof/>
        </w:rPr>
      </w:pPr>
      <w:bookmarkStart w:id="117" w:name="_Toc94875662"/>
      <w:bookmarkStart w:id="118" w:name="_Toc102569216"/>
      <w:r w:rsidRPr="00DD3F1E">
        <w:rPr>
          <w:noProof/>
        </w:rPr>
        <w:t>Safety Data collection, Analysis and Exchange</w:t>
      </w:r>
      <w:bookmarkEnd w:id="117"/>
      <w:bookmarkEnd w:id="118"/>
    </w:p>
    <w:p w14:paraId="5077A478" w14:textId="0A4D34CC" w:rsidR="002B7451" w:rsidRPr="00DD3F1E" w:rsidRDefault="002B7451" w:rsidP="002B7451">
      <w:pPr>
        <w:shd w:val="clear" w:color="auto" w:fill="FFFFFF"/>
        <w:rPr>
          <w:noProof/>
        </w:rPr>
      </w:pPr>
      <w:bookmarkStart w:id="119" w:name="_Hlk92709232"/>
      <w:r w:rsidRPr="003574B9">
        <w:rPr>
          <w:noProof/>
        </w:rPr>
        <w:t xml:space="preserve">Safety information is an important resource for the detection of </w:t>
      </w:r>
      <w:r>
        <w:rPr>
          <w:noProof/>
        </w:rPr>
        <w:t>safety</w:t>
      </w:r>
      <w:r w:rsidRPr="003574B9">
        <w:rPr>
          <w:noProof/>
        </w:rPr>
        <w:t xml:space="preserve"> hazards. Several EU </w:t>
      </w:r>
      <w:r>
        <w:rPr>
          <w:noProof/>
        </w:rPr>
        <w:t>Regulations</w:t>
      </w:r>
      <w:r w:rsidRPr="003574B9">
        <w:rPr>
          <w:noProof/>
        </w:rPr>
        <w:t xml:space="preserve"> ensure that relevant data and information are collected, analysed and exchanged</w:t>
      </w:r>
      <w:r w:rsidR="00B40D90">
        <w:rPr>
          <w:noProof/>
        </w:rPr>
        <w:t>,</w:t>
      </w:r>
      <w:r w:rsidRPr="003574B9">
        <w:rPr>
          <w:noProof/>
        </w:rPr>
        <w:t xml:space="preserve"> where appropriate. </w:t>
      </w:r>
      <w:r w:rsidRPr="00DD3F1E">
        <w:rPr>
          <w:noProof/>
        </w:rPr>
        <w:t xml:space="preserve">This includes in particular information on civil aviation </w:t>
      </w:r>
      <w:r w:rsidRPr="00490908">
        <w:rPr>
          <w:noProof/>
        </w:rPr>
        <w:t>occurrences (</w:t>
      </w:r>
      <w:r w:rsidR="00EF730F" w:rsidRPr="00490908">
        <w:rPr>
          <w:noProof/>
        </w:rPr>
        <w:t xml:space="preserve">by the end of </w:t>
      </w:r>
      <w:r w:rsidRPr="00490908">
        <w:rPr>
          <w:noProof/>
        </w:rPr>
        <w:t>2021 the European Central Repository contain</w:t>
      </w:r>
      <w:r w:rsidR="00EF730F" w:rsidRPr="00490908">
        <w:rPr>
          <w:noProof/>
        </w:rPr>
        <w:t>ed</w:t>
      </w:r>
      <w:r w:rsidRPr="00490908">
        <w:rPr>
          <w:noProof/>
        </w:rPr>
        <w:t xml:space="preserve"> over </w:t>
      </w:r>
      <w:r w:rsidR="00E74729" w:rsidRPr="00490908">
        <w:rPr>
          <w:noProof/>
        </w:rPr>
        <w:t>2.4</w:t>
      </w:r>
      <w:r w:rsidRPr="00FB18C9">
        <w:rPr>
          <w:noProof/>
        </w:rPr>
        <w:t xml:space="preserve">00.000 </w:t>
      </w:r>
      <w:r w:rsidR="00E74729" w:rsidRPr="00FB18C9">
        <w:rPr>
          <w:noProof/>
        </w:rPr>
        <w:t>entries</w:t>
      </w:r>
      <w:r w:rsidRPr="00490908">
        <w:rPr>
          <w:noProof/>
        </w:rPr>
        <w:t xml:space="preserve">), on </w:t>
      </w:r>
      <w:r w:rsidR="00FB2275" w:rsidRPr="00FB18C9">
        <w:rPr>
          <w:noProof/>
          <w:color w:val="000000"/>
        </w:rPr>
        <w:t xml:space="preserve">EU and </w:t>
      </w:r>
      <w:r w:rsidR="0084617C">
        <w:rPr>
          <w:noProof/>
          <w:color w:val="000000"/>
        </w:rPr>
        <w:t>t</w:t>
      </w:r>
      <w:r w:rsidR="00FB2275" w:rsidRPr="00FB18C9">
        <w:rPr>
          <w:noProof/>
          <w:color w:val="000000"/>
        </w:rPr>
        <w:t>hird-</w:t>
      </w:r>
      <w:r w:rsidR="00F87153">
        <w:rPr>
          <w:noProof/>
          <w:color w:val="000000"/>
        </w:rPr>
        <w:t>c</w:t>
      </w:r>
      <w:r w:rsidR="00F87153" w:rsidRPr="00FB18C9">
        <w:rPr>
          <w:noProof/>
          <w:color w:val="000000"/>
        </w:rPr>
        <w:t xml:space="preserve">ountry </w:t>
      </w:r>
      <w:r w:rsidR="00FB2275" w:rsidRPr="00FB18C9">
        <w:rPr>
          <w:noProof/>
          <w:color w:val="000000"/>
        </w:rPr>
        <w:t xml:space="preserve">air carriers </w:t>
      </w:r>
      <w:r w:rsidRPr="00490908">
        <w:rPr>
          <w:noProof/>
        </w:rPr>
        <w:t xml:space="preserve">in the context of the </w:t>
      </w:r>
      <w:r w:rsidR="00D42213" w:rsidRPr="00490908">
        <w:rPr>
          <w:noProof/>
        </w:rPr>
        <w:t>E</w:t>
      </w:r>
      <w:r w:rsidR="00D42213" w:rsidRPr="00FB18C9">
        <w:rPr>
          <w:noProof/>
          <w:color w:val="000000"/>
        </w:rPr>
        <w:t xml:space="preserve">U Ramp Inspection Programme </w:t>
      </w:r>
      <w:r w:rsidRPr="00490908">
        <w:rPr>
          <w:noProof/>
        </w:rPr>
        <w:t>(</w:t>
      </w:r>
      <w:r w:rsidR="00D42213" w:rsidRPr="00490908">
        <w:rPr>
          <w:noProof/>
        </w:rPr>
        <w:t xml:space="preserve">by the end of </w:t>
      </w:r>
      <w:r w:rsidRPr="00490908">
        <w:rPr>
          <w:noProof/>
        </w:rPr>
        <w:t xml:space="preserve">2021 the SAFA database contains over </w:t>
      </w:r>
      <w:r w:rsidR="00D42213" w:rsidRPr="00490908">
        <w:rPr>
          <w:noProof/>
        </w:rPr>
        <w:t>16</w:t>
      </w:r>
      <w:r w:rsidR="00FE57C4" w:rsidRPr="00490908">
        <w:rPr>
          <w:noProof/>
        </w:rPr>
        <w:t>0</w:t>
      </w:r>
      <w:r w:rsidR="00E74729" w:rsidRPr="00FB18C9">
        <w:rPr>
          <w:noProof/>
        </w:rPr>
        <w:t>.</w:t>
      </w:r>
      <w:r w:rsidRPr="00FB18C9">
        <w:rPr>
          <w:noProof/>
        </w:rPr>
        <w:t>000</w:t>
      </w:r>
      <w:r w:rsidRPr="00490908">
        <w:rPr>
          <w:noProof/>
        </w:rPr>
        <w:t xml:space="preserve"> reports</w:t>
      </w:r>
      <w:r w:rsidR="00D42213" w:rsidRPr="00490908">
        <w:rPr>
          <w:noProof/>
        </w:rPr>
        <w:t>, counting from when the SAFA system became the EU Ramp Inspection Programme</w:t>
      </w:r>
      <w:r w:rsidRPr="00490908">
        <w:rPr>
          <w:noProof/>
        </w:rPr>
        <w:t xml:space="preserve">), on safety recommendations under the </w:t>
      </w:r>
      <w:r w:rsidR="006E2EC4" w:rsidRPr="00490908">
        <w:rPr>
          <w:noProof/>
        </w:rPr>
        <w:t>S</w:t>
      </w:r>
      <w:r w:rsidRPr="00490908">
        <w:rPr>
          <w:noProof/>
        </w:rPr>
        <w:t xml:space="preserve">afety </w:t>
      </w:r>
      <w:r w:rsidR="006E2EC4" w:rsidRPr="00490908">
        <w:rPr>
          <w:noProof/>
        </w:rPr>
        <w:t>R</w:t>
      </w:r>
      <w:r w:rsidRPr="00490908">
        <w:rPr>
          <w:noProof/>
        </w:rPr>
        <w:t>ecommendation</w:t>
      </w:r>
      <w:r w:rsidR="00AB1296" w:rsidRPr="00490908">
        <w:rPr>
          <w:noProof/>
        </w:rPr>
        <w:t>s</w:t>
      </w:r>
      <w:r w:rsidRPr="00490908">
        <w:rPr>
          <w:noProof/>
        </w:rPr>
        <w:t xml:space="preserve"> </w:t>
      </w:r>
      <w:r w:rsidR="006E2EC4" w:rsidRPr="00490908">
        <w:rPr>
          <w:noProof/>
        </w:rPr>
        <w:t>I</w:t>
      </w:r>
      <w:r w:rsidRPr="00490908">
        <w:rPr>
          <w:noProof/>
        </w:rPr>
        <w:t xml:space="preserve">nformation </w:t>
      </w:r>
      <w:r w:rsidR="006E2EC4" w:rsidRPr="00490908">
        <w:rPr>
          <w:noProof/>
        </w:rPr>
        <w:t>S</w:t>
      </w:r>
      <w:r w:rsidRPr="00490908">
        <w:rPr>
          <w:noProof/>
        </w:rPr>
        <w:t xml:space="preserve">ystem </w:t>
      </w:r>
      <w:r w:rsidR="006E2EC4" w:rsidRPr="00490908">
        <w:rPr>
          <w:noProof/>
        </w:rPr>
        <w:t>(SRIS</w:t>
      </w:r>
      <w:r w:rsidR="00514236" w:rsidRPr="00490908">
        <w:rPr>
          <w:noProof/>
        </w:rPr>
        <w:t xml:space="preserve"> </w:t>
      </w:r>
      <w:r w:rsidR="006E2EC4" w:rsidRPr="00490908">
        <w:rPr>
          <w:noProof/>
        </w:rPr>
        <w:t xml:space="preserve">- </w:t>
      </w:r>
      <w:r w:rsidR="0071098F" w:rsidRPr="00490908">
        <w:rPr>
          <w:noProof/>
        </w:rPr>
        <w:t>by the end of 2021</w:t>
      </w:r>
      <w:r w:rsidRPr="00490908">
        <w:rPr>
          <w:noProof/>
        </w:rPr>
        <w:t xml:space="preserve"> the SRIS database</w:t>
      </w:r>
      <w:r w:rsidRPr="00DD3F1E">
        <w:rPr>
          <w:noProof/>
        </w:rPr>
        <w:t xml:space="preserve"> </w:t>
      </w:r>
      <w:r>
        <w:rPr>
          <w:noProof/>
        </w:rPr>
        <w:t>contains</w:t>
      </w:r>
      <w:r w:rsidRPr="00DD3F1E">
        <w:rPr>
          <w:noProof/>
        </w:rPr>
        <w:t xml:space="preserve"> over </w:t>
      </w:r>
      <w:r w:rsidR="0071098F" w:rsidRPr="00FB18C9">
        <w:rPr>
          <w:noProof/>
        </w:rPr>
        <w:t>4.100</w:t>
      </w:r>
      <w:r w:rsidRPr="00490908">
        <w:rPr>
          <w:noProof/>
        </w:rPr>
        <w:t xml:space="preserve"> safety</w:t>
      </w:r>
      <w:r w:rsidRPr="00DD3F1E">
        <w:rPr>
          <w:noProof/>
        </w:rPr>
        <w:t xml:space="preserve"> recommendations) and information collected, analysed and exchanged in the context of TCO authorisations and of the European safety list of banned aircraft.</w:t>
      </w:r>
    </w:p>
    <w:bookmarkEnd w:id="119"/>
    <w:p w14:paraId="18ED7E57" w14:textId="73F77297" w:rsidR="002B7451" w:rsidRPr="00C23672" w:rsidRDefault="002B7451" w:rsidP="002B7451">
      <w:pPr>
        <w:shd w:val="clear" w:color="auto" w:fill="FFFFFF"/>
        <w:rPr>
          <w:rFonts w:cs="Times New Roman"/>
          <w:noProof/>
          <w:szCs w:val="24"/>
        </w:rPr>
      </w:pPr>
      <w:r w:rsidRPr="003574B9">
        <w:rPr>
          <w:noProof/>
        </w:rPr>
        <w:t xml:space="preserve">In </w:t>
      </w:r>
      <w:r>
        <w:rPr>
          <w:noProof/>
        </w:rPr>
        <w:t>the EU</w:t>
      </w:r>
      <w:r w:rsidRPr="003574B9">
        <w:rPr>
          <w:noProof/>
        </w:rPr>
        <w:t xml:space="preserve"> the collection, analysis and exchange of occurrences </w:t>
      </w:r>
      <w:r w:rsidR="00266A5E">
        <w:rPr>
          <w:noProof/>
        </w:rPr>
        <w:t xml:space="preserve">is </w:t>
      </w:r>
      <w:r>
        <w:rPr>
          <w:noProof/>
        </w:rPr>
        <w:t>governed by</w:t>
      </w:r>
      <w:r w:rsidRPr="003574B9">
        <w:rPr>
          <w:noProof/>
        </w:rPr>
        <w:t xml:space="preserve"> Regulation </w:t>
      </w:r>
      <w:r w:rsidR="00B40D90">
        <w:rPr>
          <w:noProof/>
        </w:rPr>
        <w:t xml:space="preserve">(EU) </w:t>
      </w:r>
      <w:r w:rsidR="005A7E2E">
        <w:rPr>
          <w:noProof/>
        </w:rPr>
        <w:t xml:space="preserve">No </w:t>
      </w:r>
      <w:r w:rsidRPr="003574B9">
        <w:rPr>
          <w:noProof/>
        </w:rPr>
        <w:t xml:space="preserve">376/2014. This legislation requires </w:t>
      </w:r>
      <w:r w:rsidR="00C61A47">
        <w:rPr>
          <w:noProof/>
        </w:rPr>
        <w:t xml:space="preserve">that </w:t>
      </w:r>
      <w:r w:rsidRPr="003574B9">
        <w:rPr>
          <w:noProof/>
        </w:rPr>
        <w:t>organisation</w:t>
      </w:r>
      <w:r w:rsidR="00266A5E">
        <w:rPr>
          <w:noProof/>
        </w:rPr>
        <w:t>s</w:t>
      </w:r>
      <w:r w:rsidRPr="003574B9">
        <w:rPr>
          <w:noProof/>
        </w:rPr>
        <w:t xml:space="preserve">, Member </w:t>
      </w:r>
      <w:r w:rsidR="00A46B04">
        <w:rPr>
          <w:noProof/>
        </w:rPr>
        <w:t>State</w:t>
      </w:r>
      <w:r w:rsidR="00266A5E">
        <w:rPr>
          <w:noProof/>
        </w:rPr>
        <w:t>s</w:t>
      </w:r>
      <w:r w:rsidRPr="003574B9">
        <w:rPr>
          <w:noProof/>
        </w:rPr>
        <w:t xml:space="preserve"> and EASA establish a system allowing the collection and storage of relevant occurrences. Occurrences </w:t>
      </w:r>
      <w:r>
        <w:rPr>
          <w:noProof/>
        </w:rPr>
        <w:t xml:space="preserve">that are </w:t>
      </w:r>
      <w:r w:rsidRPr="003574B9">
        <w:rPr>
          <w:noProof/>
        </w:rPr>
        <w:t xml:space="preserve">collected are analysed and mitigation actions are implemented where relevant. All collected occurrences, as well as relevant information on their analysis and follow-up, are transferred to </w:t>
      </w:r>
      <w:r w:rsidRPr="00C23672">
        <w:rPr>
          <w:rFonts w:cs="Times New Roman"/>
          <w:noProof/>
          <w:szCs w:val="24"/>
        </w:rPr>
        <w:t>the European Central Repository</w:t>
      </w:r>
      <w:r w:rsidR="00266A5E" w:rsidRPr="00C23672">
        <w:rPr>
          <w:rFonts w:cs="Times New Roman"/>
          <w:noProof/>
          <w:szCs w:val="24"/>
        </w:rPr>
        <w:t xml:space="preserve"> (ECR)</w:t>
      </w:r>
      <w:r w:rsidRPr="00C23672">
        <w:rPr>
          <w:rFonts w:cs="Times New Roman"/>
          <w:noProof/>
          <w:szCs w:val="24"/>
        </w:rPr>
        <w:t>.</w:t>
      </w:r>
    </w:p>
    <w:p w14:paraId="6A1494E9" w14:textId="182EB0EA" w:rsidR="002B7451" w:rsidRPr="00C23672" w:rsidRDefault="002B7451" w:rsidP="002B7451">
      <w:pPr>
        <w:shd w:val="clear" w:color="auto" w:fill="FFFFFF"/>
        <w:rPr>
          <w:rFonts w:cs="Times New Roman"/>
          <w:noProof/>
          <w:szCs w:val="24"/>
        </w:rPr>
      </w:pPr>
      <w:r w:rsidRPr="00C23672">
        <w:rPr>
          <w:rFonts w:cs="Times New Roman"/>
          <w:noProof/>
          <w:szCs w:val="24"/>
        </w:rPr>
        <w:t xml:space="preserve">Information on occurrences submitted to the </w:t>
      </w:r>
      <w:r w:rsidR="00266A5E" w:rsidRPr="00C23672">
        <w:rPr>
          <w:rFonts w:cs="Times New Roman"/>
          <w:noProof/>
          <w:szCs w:val="24"/>
        </w:rPr>
        <w:t>ECR</w:t>
      </w:r>
      <w:r w:rsidRPr="00C23672">
        <w:rPr>
          <w:rFonts w:cs="Times New Roman"/>
          <w:noProof/>
          <w:szCs w:val="24"/>
        </w:rPr>
        <w:t xml:space="preserve"> is made available to the Member </w:t>
      </w:r>
      <w:r w:rsidR="00A46B04" w:rsidRPr="00C23672">
        <w:rPr>
          <w:rFonts w:cs="Times New Roman"/>
          <w:noProof/>
          <w:szCs w:val="24"/>
        </w:rPr>
        <w:t>State</w:t>
      </w:r>
      <w:r w:rsidRPr="00C23672">
        <w:rPr>
          <w:rFonts w:cs="Times New Roman"/>
          <w:noProof/>
          <w:szCs w:val="24"/>
        </w:rPr>
        <w:t>s (national aviation authorit</w:t>
      </w:r>
      <w:r w:rsidR="00266A5E" w:rsidRPr="00C23672">
        <w:rPr>
          <w:rFonts w:cs="Times New Roman"/>
          <w:noProof/>
          <w:szCs w:val="24"/>
        </w:rPr>
        <w:t>ies</w:t>
      </w:r>
      <w:r w:rsidRPr="00C23672">
        <w:rPr>
          <w:rFonts w:cs="Times New Roman"/>
          <w:noProof/>
          <w:szCs w:val="24"/>
        </w:rPr>
        <w:t xml:space="preserve"> and safety investigation authorit</w:t>
      </w:r>
      <w:r w:rsidR="00266A5E" w:rsidRPr="00C23672">
        <w:rPr>
          <w:rFonts w:cs="Times New Roman"/>
          <w:noProof/>
          <w:szCs w:val="24"/>
        </w:rPr>
        <w:t>ies</w:t>
      </w:r>
      <w:r w:rsidRPr="00C23672">
        <w:rPr>
          <w:rFonts w:cs="Times New Roman"/>
          <w:noProof/>
          <w:szCs w:val="24"/>
        </w:rPr>
        <w:t xml:space="preserve">), EASA and the Commission. The </w:t>
      </w:r>
      <w:r w:rsidR="00553523" w:rsidRPr="00C23672">
        <w:rPr>
          <w:rFonts w:cs="Times New Roman"/>
          <w:noProof/>
          <w:szCs w:val="24"/>
        </w:rPr>
        <w:t>NoAs</w:t>
      </w:r>
      <w:r w:rsidRPr="00C23672">
        <w:rPr>
          <w:rFonts w:cs="Times New Roman"/>
          <w:noProof/>
          <w:szCs w:val="24"/>
        </w:rPr>
        <w:t xml:space="preserve"> established under Regulation </w:t>
      </w:r>
      <w:r w:rsidR="00B40D90">
        <w:rPr>
          <w:rFonts w:cs="Times New Roman"/>
          <w:noProof/>
          <w:szCs w:val="24"/>
        </w:rPr>
        <w:t>(EU)</w:t>
      </w:r>
      <w:r w:rsidR="00B40D90" w:rsidRPr="00C23672">
        <w:rPr>
          <w:rFonts w:cs="Times New Roman"/>
          <w:noProof/>
          <w:szCs w:val="24"/>
        </w:rPr>
        <w:t xml:space="preserve"> </w:t>
      </w:r>
      <w:r w:rsidR="005A7E2E">
        <w:rPr>
          <w:rFonts w:cs="Times New Roman"/>
          <w:noProof/>
          <w:szCs w:val="24"/>
        </w:rPr>
        <w:t xml:space="preserve">No </w:t>
      </w:r>
      <w:r w:rsidRPr="00C23672">
        <w:rPr>
          <w:rFonts w:cs="Times New Roman"/>
          <w:noProof/>
          <w:szCs w:val="24"/>
        </w:rPr>
        <w:t xml:space="preserve">376/2014 is required to analyse the </w:t>
      </w:r>
      <w:r w:rsidR="00266A5E" w:rsidRPr="00C23672">
        <w:rPr>
          <w:rFonts w:cs="Times New Roman"/>
          <w:noProof/>
          <w:szCs w:val="24"/>
        </w:rPr>
        <w:t>ECR</w:t>
      </w:r>
      <w:r w:rsidRPr="00C23672">
        <w:rPr>
          <w:rFonts w:cs="Times New Roman"/>
          <w:noProof/>
          <w:szCs w:val="24"/>
        </w:rPr>
        <w:t xml:space="preserve"> in support of </w:t>
      </w:r>
      <w:r w:rsidR="00036C62" w:rsidRPr="00C23672">
        <w:rPr>
          <w:rFonts w:cs="Times New Roman"/>
          <w:noProof/>
          <w:szCs w:val="24"/>
        </w:rPr>
        <w:t>E</w:t>
      </w:r>
      <w:r w:rsidR="00762828" w:rsidRPr="00C23672">
        <w:rPr>
          <w:rFonts w:cs="Times New Roman"/>
          <w:noProof/>
          <w:szCs w:val="24"/>
        </w:rPr>
        <w:t xml:space="preserve">uropean </w:t>
      </w:r>
      <w:r w:rsidR="00036C62" w:rsidRPr="00C23672">
        <w:rPr>
          <w:rFonts w:cs="Times New Roman"/>
          <w:noProof/>
          <w:szCs w:val="24"/>
        </w:rPr>
        <w:t>Safety Risk Management and therefore feeding the EPAS</w:t>
      </w:r>
      <w:r w:rsidRPr="00C23672">
        <w:rPr>
          <w:rFonts w:cs="Times New Roman"/>
          <w:noProof/>
          <w:szCs w:val="24"/>
        </w:rPr>
        <w:t>.</w:t>
      </w:r>
    </w:p>
    <w:p w14:paraId="52A00DE9" w14:textId="09A6E589" w:rsidR="002E7767" w:rsidRPr="007E0756" w:rsidRDefault="002E7767" w:rsidP="002E7767">
      <w:pPr>
        <w:shd w:val="clear" w:color="auto" w:fill="FFFFFF"/>
        <w:rPr>
          <w:rFonts w:cs="Times New Roman"/>
          <w:noProof/>
          <w:color w:val="000000"/>
          <w:szCs w:val="24"/>
        </w:rPr>
      </w:pPr>
      <w:r w:rsidRPr="007E0756">
        <w:rPr>
          <w:rFonts w:cs="Times New Roman"/>
          <w:noProof/>
          <w:color w:val="000000"/>
          <w:szCs w:val="24"/>
        </w:rPr>
        <w:t xml:space="preserve">Regulation </w:t>
      </w:r>
      <w:r w:rsidR="00B40D90" w:rsidRPr="007E0756">
        <w:rPr>
          <w:rFonts w:cs="Times New Roman"/>
          <w:noProof/>
          <w:color w:val="000000"/>
          <w:szCs w:val="24"/>
        </w:rPr>
        <w:t xml:space="preserve">(EU) </w:t>
      </w:r>
      <w:r w:rsidR="005A7E2E">
        <w:rPr>
          <w:rFonts w:cs="Times New Roman"/>
          <w:noProof/>
          <w:color w:val="000000"/>
          <w:szCs w:val="24"/>
        </w:rPr>
        <w:t xml:space="preserve">No </w:t>
      </w:r>
      <w:r w:rsidRPr="007E0756">
        <w:rPr>
          <w:rFonts w:cs="Times New Roman"/>
          <w:noProof/>
          <w:color w:val="000000"/>
          <w:szCs w:val="24"/>
        </w:rPr>
        <w:t>376/2014 also imposes on authorities and EASA the use of a common European Risk Classification Scheme (ERCS)</w:t>
      </w:r>
      <w:r w:rsidRPr="007E0756">
        <w:rPr>
          <w:rFonts w:cs="Times New Roman"/>
          <w:noProof/>
          <w:color w:val="000000"/>
          <w:szCs w:val="24"/>
          <w:vertAlign w:val="superscript"/>
        </w:rPr>
        <w:footnoteReference w:id="28"/>
      </w:r>
      <w:r w:rsidRPr="007E0756">
        <w:rPr>
          <w:rFonts w:cs="Times New Roman"/>
          <w:noProof/>
          <w:color w:val="000000"/>
          <w:szCs w:val="24"/>
        </w:rPr>
        <w:t xml:space="preserve">. The ERCS measures the safety risk of reported occurrences using a 2-dimensional matrix: </w:t>
      </w:r>
    </w:p>
    <w:p w14:paraId="6142850D" w14:textId="77777777" w:rsidR="002E7767" w:rsidRPr="007E0756" w:rsidRDefault="002E7767" w:rsidP="002E7767">
      <w:pPr>
        <w:pStyle w:val="ListParagraph"/>
        <w:numPr>
          <w:ilvl w:val="0"/>
          <w:numId w:val="81"/>
        </w:numPr>
        <w:shd w:val="clear" w:color="auto" w:fill="FFFFFF"/>
        <w:rPr>
          <w:rFonts w:cs="Times New Roman"/>
          <w:noProof/>
          <w:color w:val="000000"/>
          <w:szCs w:val="24"/>
        </w:rPr>
      </w:pPr>
      <w:r w:rsidRPr="007E0756">
        <w:rPr>
          <w:rFonts w:cs="Times New Roman"/>
          <w:noProof/>
          <w:color w:val="000000"/>
          <w:szCs w:val="24"/>
        </w:rPr>
        <w:t xml:space="preserve">Firstly, the matrix’s rows address the severity by identifying the worst likely accident outcome that would have resulted if the occurrence being scored had escalated into an accident. This is done by considering both the most likely type of accident and the potential loss of life category based on aircraft size and proximity to populated or high-risk areas. </w:t>
      </w:r>
    </w:p>
    <w:p w14:paraId="4FF722A8" w14:textId="77777777" w:rsidR="002E7767" w:rsidRPr="007E0756" w:rsidRDefault="002E7767" w:rsidP="002E7767">
      <w:pPr>
        <w:pStyle w:val="ListParagraph"/>
        <w:numPr>
          <w:ilvl w:val="0"/>
          <w:numId w:val="81"/>
        </w:numPr>
        <w:shd w:val="clear" w:color="auto" w:fill="FFFFFF"/>
        <w:rPr>
          <w:rFonts w:cs="Times New Roman"/>
          <w:noProof/>
          <w:color w:val="000000"/>
          <w:szCs w:val="24"/>
        </w:rPr>
      </w:pPr>
      <w:r w:rsidRPr="007E0756">
        <w:rPr>
          <w:rFonts w:cs="Times New Roman"/>
          <w:noProof/>
          <w:color w:val="000000"/>
          <w:szCs w:val="24"/>
        </w:rPr>
        <w:t xml:space="preserve">Secondly, the columns measure the probability/likelihood, by looking at how close the occurrence was to that accident outcome. The determination of probability/likelihood considers the effectiveness of existing safety barriers.  </w:t>
      </w:r>
    </w:p>
    <w:p w14:paraId="501C2AD0" w14:textId="174CF170" w:rsidR="00C23672" w:rsidRPr="00C23672" w:rsidRDefault="00C23672" w:rsidP="00C23672">
      <w:pPr>
        <w:shd w:val="clear" w:color="auto" w:fill="FFFFFF"/>
        <w:rPr>
          <w:rFonts w:cs="Times New Roman"/>
          <w:noProof/>
          <w:szCs w:val="24"/>
        </w:rPr>
      </w:pPr>
      <w:r w:rsidRPr="007E0756">
        <w:rPr>
          <w:rFonts w:cs="Times New Roman"/>
          <w:noProof/>
          <w:color w:val="000000"/>
          <w:szCs w:val="24"/>
        </w:rPr>
        <w:t>Through the application of the ERCS</w:t>
      </w:r>
      <w:r w:rsidR="004916F6">
        <w:rPr>
          <w:rFonts w:cs="Times New Roman"/>
          <w:noProof/>
          <w:color w:val="000000"/>
          <w:szCs w:val="24"/>
        </w:rPr>
        <w:t>, safety management at EU and national level</w:t>
      </w:r>
      <w:r w:rsidR="003C528B" w:rsidRPr="007E0756">
        <w:rPr>
          <w:rFonts w:cs="Times New Roman"/>
          <w:noProof/>
          <w:color w:val="000000"/>
          <w:szCs w:val="24"/>
        </w:rPr>
        <w:t>,</w:t>
      </w:r>
      <w:r w:rsidRPr="007E0756">
        <w:rPr>
          <w:rFonts w:cs="Times New Roman"/>
          <w:noProof/>
          <w:color w:val="000000"/>
          <w:szCs w:val="24"/>
        </w:rPr>
        <w:t xml:space="preserve"> including the safety-data-driven targeting of oversight (</w:t>
      </w:r>
      <w:r w:rsidR="004916F6">
        <w:rPr>
          <w:rFonts w:cs="Times New Roman"/>
          <w:noProof/>
          <w:color w:val="000000"/>
          <w:szCs w:val="24"/>
        </w:rPr>
        <w:t>refer to section</w:t>
      </w:r>
      <w:r w:rsidR="003C528B" w:rsidRPr="007E0756">
        <w:rPr>
          <w:rFonts w:cs="Times New Roman"/>
          <w:noProof/>
          <w:color w:val="000000"/>
          <w:szCs w:val="24"/>
        </w:rPr>
        <w:t xml:space="preserve"> </w:t>
      </w:r>
      <w:r w:rsidRPr="007E0756">
        <w:rPr>
          <w:rFonts w:cs="Times New Roman"/>
          <w:noProof/>
          <w:color w:val="000000"/>
          <w:szCs w:val="24"/>
        </w:rPr>
        <w:t xml:space="preserve">3.2.2), </w:t>
      </w:r>
      <w:r w:rsidR="004916F6">
        <w:rPr>
          <w:rFonts w:cs="Times New Roman"/>
          <w:noProof/>
          <w:color w:val="000000"/>
          <w:szCs w:val="24"/>
        </w:rPr>
        <w:t xml:space="preserve">will be </w:t>
      </w:r>
      <w:r w:rsidRPr="007E0756">
        <w:rPr>
          <w:rFonts w:cs="Times New Roman"/>
          <w:noProof/>
          <w:color w:val="000000"/>
          <w:szCs w:val="24"/>
        </w:rPr>
        <w:t>further enhanced.</w:t>
      </w:r>
    </w:p>
    <w:p w14:paraId="32A1AF86" w14:textId="529C0E7D" w:rsidR="002B7451" w:rsidRPr="00C23672" w:rsidRDefault="002B7451" w:rsidP="002B7451">
      <w:pPr>
        <w:shd w:val="clear" w:color="auto" w:fill="FFFFFF"/>
        <w:rPr>
          <w:rFonts w:cs="Times New Roman"/>
          <w:noProof/>
          <w:szCs w:val="24"/>
        </w:rPr>
      </w:pPr>
      <w:r w:rsidRPr="00C23672">
        <w:rPr>
          <w:rFonts w:cs="Times New Roman"/>
          <w:noProof/>
          <w:szCs w:val="24"/>
        </w:rPr>
        <w:t xml:space="preserve">An essential part of the system established under Regulation </w:t>
      </w:r>
      <w:r w:rsidR="00B40D90">
        <w:rPr>
          <w:rFonts w:cs="Times New Roman"/>
          <w:noProof/>
          <w:szCs w:val="24"/>
        </w:rPr>
        <w:t>(EU)</w:t>
      </w:r>
      <w:r w:rsidR="00B40D90" w:rsidRPr="00C23672">
        <w:rPr>
          <w:rFonts w:cs="Times New Roman"/>
          <w:noProof/>
          <w:szCs w:val="24"/>
        </w:rPr>
        <w:t xml:space="preserve"> </w:t>
      </w:r>
      <w:r w:rsidR="005A7E2E">
        <w:rPr>
          <w:rFonts w:cs="Times New Roman"/>
          <w:noProof/>
          <w:szCs w:val="24"/>
        </w:rPr>
        <w:t xml:space="preserve">No </w:t>
      </w:r>
      <w:r w:rsidRPr="00C23672">
        <w:rPr>
          <w:rFonts w:cs="Times New Roman"/>
          <w:noProof/>
          <w:szCs w:val="24"/>
        </w:rPr>
        <w:t>376/2014 is the definition</w:t>
      </w:r>
      <w:r w:rsidR="006A3B91" w:rsidRPr="00C23672">
        <w:rPr>
          <w:rFonts w:cs="Times New Roman"/>
          <w:noProof/>
          <w:szCs w:val="24"/>
        </w:rPr>
        <w:t xml:space="preserve"> </w:t>
      </w:r>
      <w:r w:rsidRPr="00C23672">
        <w:rPr>
          <w:rFonts w:cs="Times New Roman"/>
          <w:noProof/>
          <w:szCs w:val="24"/>
        </w:rPr>
        <w:t xml:space="preserve">of a 'Just </w:t>
      </w:r>
      <w:r w:rsidR="006A3B91" w:rsidRPr="00C23672">
        <w:rPr>
          <w:rFonts w:cs="Times New Roman"/>
          <w:noProof/>
          <w:szCs w:val="24"/>
        </w:rPr>
        <w:t>Culture</w:t>
      </w:r>
      <w:r w:rsidRPr="00C23672">
        <w:rPr>
          <w:rFonts w:cs="Times New Roman"/>
          <w:noProof/>
          <w:szCs w:val="24"/>
        </w:rPr>
        <w:t xml:space="preserve">', </w:t>
      </w:r>
      <w:r w:rsidR="009F6DE6" w:rsidRPr="00C23672">
        <w:rPr>
          <w:rFonts w:cs="Times New Roman"/>
          <w:noProof/>
          <w:szCs w:val="24"/>
        </w:rPr>
        <w:t>its</w:t>
      </w:r>
      <w:r w:rsidRPr="00C23672">
        <w:rPr>
          <w:rFonts w:cs="Times New Roman"/>
          <w:noProof/>
          <w:szCs w:val="24"/>
        </w:rPr>
        <w:t xml:space="preserve"> objective </w:t>
      </w:r>
      <w:r w:rsidR="009F6DE6" w:rsidRPr="00C23672">
        <w:rPr>
          <w:rFonts w:cs="Times New Roman"/>
          <w:noProof/>
          <w:szCs w:val="24"/>
        </w:rPr>
        <w:t>being</w:t>
      </w:r>
      <w:r w:rsidRPr="00C23672">
        <w:rPr>
          <w:rFonts w:cs="Times New Roman"/>
          <w:noProof/>
          <w:szCs w:val="24"/>
        </w:rPr>
        <w:t xml:space="preserve"> to ensure the continued availability of safety information by creating a trustful environment in which people feel confident to report occurrences. This ‘Just Culture’ environment is set up through key principles defined in Regulation</w:t>
      </w:r>
      <w:r w:rsidR="009F6DE6" w:rsidRPr="00C23672">
        <w:rPr>
          <w:rFonts w:cs="Times New Roman"/>
          <w:noProof/>
          <w:szCs w:val="24"/>
        </w:rPr>
        <w:t xml:space="preserve"> </w:t>
      </w:r>
      <w:r w:rsidR="00AB6F10">
        <w:rPr>
          <w:rFonts w:cs="Times New Roman"/>
          <w:noProof/>
          <w:szCs w:val="24"/>
        </w:rPr>
        <w:t>(EU)</w:t>
      </w:r>
      <w:r w:rsidR="00AB6F10" w:rsidRPr="00C23672">
        <w:rPr>
          <w:rFonts w:cs="Times New Roman"/>
          <w:noProof/>
          <w:szCs w:val="24"/>
        </w:rPr>
        <w:t xml:space="preserve"> </w:t>
      </w:r>
      <w:r w:rsidR="005A7E2E">
        <w:rPr>
          <w:rFonts w:cs="Times New Roman"/>
          <w:noProof/>
          <w:szCs w:val="24"/>
        </w:rPr>
        <w:t xml:space="preserve">No </w:t>
      </w:r>
      <w:r w:rsidR="009F6DE6" w:rsidRPr="00C23672">
        <w:rPr>
          <w:rFonts w:cs="Times New Roman"/>
          <w:noProof/>
          <w:szCs w:val="24"/>
        </w:rPr>
        <w:t>376/2014</w:t>
      </w:r>
      <w:r w:rsidRPr="00C23672">
        <w:rPr>
          <w:rFonts w:cs="Times New Roman"/>
          <w:noProof/>
          <w:szCs w:val="24"/>
        </w:rPr>
        <w:t xml:space="preserve">, including the protection from blame and punishment (except in cases of wilful misconduct or unacceptable behaviour). </w:t>
      </w:r>
    </w:p>
    <w:p w14:paraId="267B7225" w14:textId="76D069B3" w:rsidR="00C23672" w:rsidRPr="00C23672" w:rsidRDefault="00C23672" w:rsidP="00C23672">
      <w:pPr>
        <w:shd w:val="clear" w:color="auto" w:fill="FFFFFF"/>
        <w:rPr>
          <w:rFonts w:cs="Times New Roman"/>
          <w:noProof/>
          <w:szCs w:val="24"/>
        </w:rPr>
      </w:pPr>
      <w:r w:rsidRPr="00C23672">
        <w:rPr>
          <w:rFonts w:cs="Times New Roman"/>
          <w:noProof/>
          <w:color w:val="000000"/>
          <w:szCs w:val="24"/>
        </w:rPr>
        <w:t xml:space="preserve">This system is completed by the Data4Safety programme that </w:t>
      </w:r>
      <w:r w:rsidRPr="007E0756">
        <w:rPr>
          <w:rFonts w:cs="Times New Roman"/>
          <w:noProof/>
          <w:color w:val="000000"/>
          <w:szCs w:val="24"/>
        </w:rPr>
        <w:t>gathers</w:t>
      </w:r>
      <w:r w:rsidRPr="00C23672">
        <w:rPr>
          <w:rFonts w:cs="Times New Roman"/>
          <w:noProof/>
          <w:color w:val="000000"/>
          <w:szCs w:val="24"/>
        </w:rPr>
        <w:t>, on a voluntary basis, complementary data such as flight, traffic and weather data</w:t>
      </w:r>
      <w:r w:rsidR="003C528B">
        <w:rPr>
          <w:rFonts w:cs="Times New Roman"/>
          <w:noProof/>
          <w:color w:val="000000"/>
          <w:szCs w:val="24"/>
        </w:rPr>
        <w:t xml:space="preserve">. It </w:t>
      </w:r>
      <w:r w:rsidRPr="00C23672">
        <w:rPr>
          <w:rFonts w:cs="Times New Roman"/>
          <w:noProof/>
          <w:color w:val="000000"/>
          <w:szCs w:val="24"/>
        </w:rPr>
        <w:t xml:space="preserve">also </w:t>
      </w:r>
      <w:r w:rsidRPr="007E0756">
        <w:rPr>
          <w:rFonts w:cs="Times New Roman"/>
          <w:noProof/>
          <w:color w:val="000000"/>
          <w:szCs w:val="24"/>
        </w:rPr>
        <w:t>provides</w:t>
      </w:r>
      <w:r w:rsidRPr="00C23672">
        <w:rPr>
          <w:rFonts w:cs="Times New Roman"/>
          <w:noProof/>
          <w:color w:val="000000"/>
          <w:szCs w:val="24"/>
        </w:rPr>
        <w:t xml:space="preserve"> enhanced analytical capacities</w:t>
      </w:r>
      <w:r w:rsidR="003C528B">
        <w:rPr>
          <w:rFonts w:cs="Times New Roman"/>
          <w:noProof/>
          <w:color w:val="000000"/>
          <w:szCs w:val="24"/>
        </w:rPr>
        <w:t>. Data4Safety</w:t>
      </w:r>
      <w:r w:rsidRPr="00C23672">
        <w:rPr>
          <w:rFonts w:cs="Times New Roman"/>
          <w:noProof/>
          <w:color w:val="000000"/>
          <w:szCs w:val="24"/>
        </w:rPr>
        <w:t xml:space="preserve"> </w:t>
      </w:r>
      <w:r w:rsidRPr="007E0756">
        <w:rPr>
          <w:rFonts w:cs="Times New Roman"/>
          <w:noProof/>
          <w:color w:val="000000"/>
          <w:szCs w:val="24"/>
        </w:rPr>
        <w:t>support</w:t>
      </w:r>
      <w:r w:rsidR="003C528B" w:rsidRPr="007E0756">
        <w:rPr>
          <w:rFonts w:cs="Times New Roman"/>
          <w:noProof/>
          <w:color w:val="000000"/>
          <w:szCs w:val="24"/>
        </w:rPr>
        <w:t>s</w:t>
      </w:r>
      <w:r w:rsidRPr="007E0756">
        <w:rPr>
          <w:rFonts w:cs="Times New Roman"/>
          <w:noProof/>
          <w:color w:val="000000"/>
          <w:szCs w:val="24"/>
        </w:rPr>
        <w:t xml:space="preserve"> the prediction of future risks.</w:t>
      </w:r>
    </w:p>
    <w:p w14:paraId="063DC346" w14:textId="4E8E1BC6" w:rsidR="009674DC" w:rsidRDefault="009674DC" w:rsidP="002B7451">
      <w:pPr>
        <w:shd w:val="clear" w:color="auto" w:fill="FFFFFF"/>
        <w:rPr>
          <w:noProof/>
        </w:rPr>
      </w:pPr>
      <w:r>
        <w:rPr>
          <w:noProof/>
        </w:rPr>
        <w:t xml:space="preserve"> </w:t>
      </w:r>
    </w:p>
    <w:p w14:paraId="0A78FFD1" w14:textId="77777777" w:rsidR="008D58F9" w:rsidRPr="008D58F9" w:rsidRDefault="008D58F9" w:rsidP="001A0D14">
      <w:pPr>
        <w:pStyle w:val="Heading2"/>
        <w:ind w:hanging="720"/>
        <w:rPr>
          <w:noProof/>
        </w:rPr>
      </w:pPr>
      <w:bookmarkStart w:id="120" w:name="_Safety_Risk_Management"/>
      <w:bookmarkStart w:id="121" w:name="_Toc94875663"/>
      <w:bookmarkStart w:id="122" w:name="_Toc102569217"/>
      <w:bookmarkEnd w:id="120"/>
      <w:r w:rsidRPr="008D58F9">
        <w:rPr>
          <w:noProof/>
        </w:rPr>
        <w:t xml:space="preserve">Safety Risk Management at EU level: the process to develop and update the </w:t>
      </w:r>
      <w:r w:rsidR="00F26E98" w:rsidRPr="003469C7">
        <w:rPr>
          <w:rFonts w:hint="eastAsia"/>
          <w:noProof/>
        </w:rPr>
        <w:t xml:space="preserve">European </w:t>
      </w:r>
      <w:r w:rsidR="004633CA" w:rsidRPr="003469C7">
        <w:rPr>
          <w:rFonts w:hint="eastAsia"/>
          <w:noProof/>
        </w:rPr>
        <w:t>Plan for Aviation</w:t>
      </w:r>
      <w:r w:rsidR="00F26E98" w:rsidRPr="003469C7">
        <w:rPr>
          <w:rFonts w:hint="eastAsia"/>
          <w:noProof/>
        </w:rPr>
        <w:t xml:space="preserve"> Safety</w:t>
      </w:r>
      <w:bookmarkEnd w:id="121"/>
      <w:bookmarkEnd w:id="122"/>
      <w:r w:rsidR="00FC1402">
        <w:rPr>
          <w:noProof/>
        </w:rPr>
        <w:t xml:space="preserve"> </w:t>
      </w:r>
    </w:p>
    <w:bookmarkEnd w:id="116"/>
    <w:p w14:paraId="5EFAAEEB" w14:textId="23B42F91" w:rsidR="004940CC" w:rsidRDefault="00357E46">
      <w:pPr>
        <w:shd w:val="clear" w:color="auto" w:fill="FFFFFF"/>
        <w:rPr>
          <w:noProof/>
        </w:rPr>
      </w:pPr>
      <w:r>
        <w:rPr>
          <w:noProof/>
        </w:rPr>
        <w:t>Up to its 11</w:t>
      </w:r>
      <w:r w:rsidRPr="00FB18C9">
        <w:rPr>
          <w:noProof/>
          <w:vertAlign w:val="superscript"/>
        </w:rPr>
        <w:t>th</w:t>
      </w:r>
      <w:r>
        <w:rPr>
          <w:noProof/>
        </w:rPr>
        <w:t xml:space="preserve"> edition (EPAS 2022-2026)</w:t>
      </w:r>
      <w:r w:rsidR="00664237">
        <w:rPr>
          <w:noProof/>
        </w:rPr>
        <w:t>,</w:t>
      </w:r>
      <w:r>
        <w:rPr>
          <w:noProof/>
        </w:rPr>
        <w:t xml:space="preserve"> t</w:t>
      </w:r>
      <w:r w:rsidR="00775CA1">
        <w:rPr>
          <w:noProof/>
        </w:rPr>
        <w:t>he EPAS cover</w:t>
      </w:r>
      <w:r>
        <w:rPr>
          <w:noProof/>
        </w:rPr>
        <w:t>ed</w:t>
      </w:r>
      <w:r w:rsidR="00300D96">
        <w:rPr>
          <w:noProof/>
        </w:rPr>
        <w:t xml:space="preserve"> </w:t>
      </w:r>
      <w:r w:rsidR="00775CA1">
        <w:rPr>
          <w:noProof/>
        </w:rPr>
        <w:t xml:space="preserve">a </w:t>
      </w:r>
      <w:r w:rsidR="00CB652B">
        <w:rPr>
          <w:noProof/>
        </w:rPr>
        <w:t>five</w:t>
      </w:r>
      <w:r w:rsidR="00775CA1">
        <w:rPr>
          <w:noProof/>
        </w:rPr>
        <w:t>-year time frame</w:t>
      </w:r>
      <w:r w:rsidR="004940CC">
        <w:rPr>
          <w:noProof/>
        </w:rPr>
        <w:t xml:space="preserve"> and </w:t>
      </w:r>
      <w:r>
        <w:rPr>
          <w:noProof/>
        </w:rPr>
        <w:t xml:space="preserve">was </w:t>
      </w:r>
      <w:r w:rsidR="004940CC">
        <w:rPr>
          <w:noProof/>
        </w:rPr>
        <w:t>issued as a rolling plan with annual updates</w:t>
      </w:r>
      <w:r w:rsidR="00775CA1">
        <w:rPr>
          <w:noProof/>
        </w:rPr>
        <w:t xml:space="preserve">. </w:t>
      </w:r>
      <w:r>
        <w:rPr>
          <w:noProof/>
        </w:rPr>
        <w:t>Starting with the 12</w:t>
      </w:r>
      <w:r w:rsidRPr="00FB18C9">
        <w:rPr>
          <w:noProof/>
          <w:vertAlign w:val="superscript"/>
        </w:rPr>
        <w:t>th</w:t>
      </w:r>
      <w:r>
        <w:rPr>
          <w:noProof/>
        </w:rPr>
        <w:t xml:space="preserve"> edition this </w:t>
      </w:r>
      <w:r w:rsidR="004940CC">
        <w:rPr>
          <w:noProof/>
        </w:rPr>
        <w:t xml:space="preserve">time frame </w:t>
      </w:r>
      <w:r>
        <w:rPr>
          <w:noProof/>
        </w:rPr>
        <w:t xml:space="preserve">is reduced to </w:t>
      </w:r>
      <w:r w:rsidR="004940CC">
        <w:rPr>
          <w:noProof/>
        </w:rPr>
        <w:t>three years</w:t>
      </w:r>
      <w:r>
        <w:rPr>
          <w:noProof/>
        </w:rPr>
        <w:t xml:space="preserve">, </w:t>
      </w:r>
      <w:r w:rsidR="004940CC">
        <w:rPr>
          <w:noProof/>
        </w:rPr>
        <w:t xml:space="preserve">to align with the </w:t>
      </w:r>
      <w:r>
        <w:rPr>
          <w:noProof/>
        </w:rPr>
        <w:t xml:space="preserve">reference period of the </w:t>
      </w:r>
      <w:r w:rsidR="004940CC">
        <w:rPr>
          <w:noProof/>
        </w:rPr>
        <w:t xml:space="preserve">Global Aviation Safety Plan. Strategic priorities </w:t>
      </w:r>
      <w:r>
        <w:rPr>
          <w:noProof/>
        </w:rPr>
        <w:t xml:space="preserve">in </w:t>
      </w:r>
      <w:r w:rsidR="00695A4C">
        <w:rPr>
          <w:noProof/>
        </w:rPr>
        <w:t xml:space="preserve">Volume </w:t>
      </w:r>
      <w:r>
        <w:rPr>
          <w:noProof/>
        </w:rPr>
        <w:t>I</w:t>
      </w:r>
      <w:r w:rsidR="00695A4C">
        <w:rPr>
          <w:noProof/>
        </w:rPr>
        <w:t xml:space="preserve"> </w:t>
      </w:r>
      <w:r w:rsidR="004940CC">
        <w:rPr>
          <w:noProof/>
        </w:rPr>
        <w:t xml:space="preserve">will be set for </w:t>
      </w:r>
      <w:r>
        <w:rPr>
          <w:noProof/>
        </w:rPr>
        <w:t xml:space="preserve">the </w:t>
      </w:r>
      <w:r w:rsidR="004940CC">
        <w:rPr>
          <w:noProof/>
        </w:rPr>
        <w:t>three</w:t>
      </w:r>
      <w:r>
        <w:rPr>
          <w:noProof/>
        </w:rPr>
        <w:t>-</w:t>
      </w:r>
      <w:r w:rsidR="004940CC">
        <w:rPr>
          <w:noProof/>
        </w:rPr>
        <w:t>year</w:t>
      </w:r>
      <w:r>
        <w:rPr>
          <w:noProof/>
        </w:rPr>
        <w:t xml:space="preserve"> reference period</w:t>
      </w:r>
      <w:r w:rsidR="004940CC">
        <w:rPr>
          <w:noProof/>
        </w:rPr>
        <w:t xml:space="preserve">, with a mid-term review to ensure they remain relevant. </w:t>
      </w:r>
      <w:r w:rsidR="00775CA1">
        <w:rPr>
          <w:noProof/>
        </w:rPr>
        <w:t>In line with Article 6(1) of Regulation</w:t>
      </w:r>
      <w:r w:rsidR="00CB652B">
        <w:rPr>
          <w:noProof/>
        </w:rPr>
        <w:t xml:space="preserve"> </w:t>
      </w:r>
      <w:r w:rsidR="00CB652B" w:rsidRPr="00CB652B">
        <w:rPr>
          <w:noProof/>
        </w:rPr>
        <w:t>(EU) 2018/1139</w:t>
      </w:r>
      <w:r w:rsidR="00775CA1">
        <w:rPr>
          <w:noProof/>
        </w:rPr>
        <w:t xml:space="preserve">, </w:t>
      </w:r>
      <w:r>
        <w:rPr>
          <w:noProof/>
        </w:rPr>
        <w:t xml:space="preserve">EPAS Volume II describing the EPAS actions as well as Volume III with the domain safety risk portfolios </w:t>
      </w:r>
      <w:r w:rsidR="004940CC">
        <w:rPr>
          <w:noProof/>
        </w:rPr>
        <w:t xml:space="preserve">will continue to be reviewed and </w:t>
      </w:r>
      <w:r w:rsidR="00775CA1">
        <w:rPr>
          <w:noProof/>
        </w:rPr>
        <w:t xml:space="preserve">updated on a yearly basis. </w:t>
      </w:r>
    </w:p>
    <w:p w14:paraId="52155DD6" w14:textId="77777777" w:rsidR="00775CA1" w:rsidRDefault="00775CA1">
      <w:pPr>
        <w:shd w:val="clear" w:color="auto" w:fill="FFFFFF"/>
        <w:rPr>
          <w:noProof/>
        </w:rPr>
      </w:pPr>
      <w:r>
        <w:rPr>
          <w:noProof/>
        </w:rPr>
        <w:t xml:space="preserve">The development of the </w:t>
      </w:r>
      <w:r w:rsidR="00CB652B">
        <w:rPr>
          <w:noProof/>
        </w:rPr>
        <w:t>Plan</w:t>
      </w:r>
      <w:r w:rsidR="004940CC">
        <w:rPr>
          <w:noProof/>
        </w:rPr>
        <w:t xml:space="preserve">, both in terms of strategic priorities and actions, </w:t>
      </w:r>
      <w:r>
        <w:rPr>
          <w:noProof/>
        </w:rPr>
        <w:t xml:space="preserve">relies on dedicated stakeholder groups, in particular: </w:t>
      </w:r>
    </w:p>
    <w:p w14:paraId="18BDCD3C" w14:textId="77777777" w:rsidR="00775CA1" w:rsidRDefault="00775CA1" w:rsidP="006522E0">
      <w:pPr>
        <w:pStyle w:val="ListParagraph"/>
        <w:numPr>
          <w:ilvl w:val="0"/>
          <w:numId w:val="58"/>
        </w:numPr>
        <w:shd w:val="clear" w:color="auto" w:fill="FFFFFF"/>
        <w:ind w:left="714" w:hanging="357"/>
        <w:contextualSpacing w:val="0"/>
        <w:rPr>
          <w:noProof/>
        </w:rPr>
      </w:pPr>
      <w:r>
        <w:rPr>
          <w:noProof/>
        </w:rPr>
        <w:t xml:space="preserve">the Member </w:t>
      </w:r>
      <w:r w:rsidR="00A46B04">
        <w:rPr>
          <w:noProof/>
        </w:rPr>
        <w:t>State</w:t>
      </w:r>
      <w:r>
        <w:rPr>
          <w:noProof/>
        </w:rPr>
        <w:t xml:space="preserve">s Advisory Body (MAB) </w:t>
      </w:r>
      <w:r w:rsidR="00BE53CA">
        <w:rPr>
          <w:noProof/>
        </w:rPr>
        <w:t xml:space="preserve">and the Stakeholders Advisory Body (SAB) </w:t>
      </w:r>
      <w:r>
        <w:rPr>
          <w:noProof/>
        </w:rPr>
        <w:t xml:space="preserve">provide advice on strategic priorities; </w:t>
      </w:r>
    </w:p>
    <w:p w14:paraId="44773F41" w14:textId="77777777" w:rsidR="00775CA1" w:rsidRDefault="00775CA1" w:rsidP="000A4E3A">
      <w:pPr>
        <w:pStyle w:val="ListParagraph"/>
        <w:numPr>
          <w:ilvl w:val="0"/>
          <w:numId w:val="58"/>
        </w:numPr>
        <w:shd w:val="clear" w:color="auto" w:fill="FFFFFF"/>
        <w:ind w:left="714" w:hanging="357"/>
        <w:contextualSpacing w:val="0"/>
        <w:rPr>
          <w:noProof/>
        </w:rPr>
      </w:pPr>
      <w:r>
        <w:rPr>
          <w:noProof/>
        </w:rPr>
        <w:t xml:space="preserve">the Technical/Sectorial Bodies (TeB, TeC, Sectorial Committees representing Member </w:t>
      </w:r>
      <w:r w:rsidR="00A46B04">
        <w:rPr>
          <w:noProof/>
        </w:rPr>
        <w:t>State</w:t>
      </w:r>
      <w:r>
        <w:rPr>
          <w:noProof/>
        </w:rPr>
        <w:t>s and industry respectively) provide technical and operational advice as well as feedback on implementation</w:t>
      </w:r>
      <w:r w:rsidR="00CB652B">
        <w:rPr>
          <w:noProof/>
        </w:rPr>
        <w:t>; and</w:t>
      </w:r>
    </w:p>
    <w:p w14:paraId="2DC26CE4" w14:textId="77777777" w:rsidR="009674DC" w:rsidRPr="009674DC" w:rsidRDefault="009674DC" w:rsidP="009674DC">
      <w:pPr>
        <w:pStyle w:val="ListParagraph"/>
        <w:numPr>
          <w:ilvl w:val="0"/>
          <w:numId w:val="58"/>
        </w:numPr>
        <w:rPr>
          <w:noProof/>
        </w:rPr>
      </w:pPr>
      <w:r>
        <w:rPr>
          <w:noProof/>
        </w:rPr>
        <w:t>t</w:t>
      </w:r>
      <w:r w:rsidRPr="009674DC">
        <w:rPr>
          <w:noProof/>
        </w:rPr>
        <w:t xml:space="preserve">he collaborative work performed by EASA with its safety partners (in particular via the </w:t>
      </w:r>
      <w:r w:rsidRPr="00751ECE">
        <w:rPr>
          <w:iCs/>
          <w:noProof/>
        </w:rPr>
        <w:t>Data4Safety</w:t>
      </w:r>
      <w:r w:rsidRPr="002D623D">
        <w:rPr>
          <w:noProof/>
        </w:rPr>
        <w:t xml:space="preserve"> </w:t>
      </w:r>
      <w:r w:rsidRPr="009674DC">
        <w:rPr>
          <w:noProof/>
        </w:rPr>
        <w:t>programme) that supports the development of the Safety Risk Portfolios.</w:t>
      </w:r>
    </w:p>
    <w:p w14:paraId="16D83D39" w14:textId="77777777" w:rsidR="00775CA1" w:rsidRDefault="00775CA1" w:rsidP="00775CA1">
      <w:pPr>
        <w:shd w:val="clear" w:color="auto" w:fill="FFFFFF"/>
        <w:rPr>
          <w:noProof/>
        </w:rPr>
      </w:pPr>
      <w:r>
        <w:rPr>
          <w:noProof/>
        </w:rPr>
        <w:t xml:space="preserve">The standard EPAS programming cycle foresees two distinct phases, each with a dedicated stakeholder consultation. </w:t>
      </w:r>
    </w:p>
    <w:p w14:paraId="00B177BF" w14:textId="77777777" w:rsidR="00695A4C" w:rsidRDefault="00695A4C" w:rsidP="00775CA1">
      <w:pPr>
        <w:shd w:val="clear" w:color="auto" w:fill="FFFFFF"/>
        <w:rPr>
          <w:noProof/>
        </w:rPr>
      </w:pPr>
      <w:r>
        <w:rPr>
          <w:noProof/>
        </w:rPr>
        <w:t xml:space="preserve">Phase I: </w:t>
      </w:r>
    </w:p>
    <w:p w14:paraId="334B8B2B" w14:textId="37421587" w:rsidR="00775CA1" w:rsidRDefault="00775CA1" w:rsidP="000A4E3A">
      <w:pPr>
        <w:pStyle w:val="ListParagraph"/>
        <w:numPr>
          <w:ilvl w:val="0"/>
          <w:numId w:val="58"/>
        </w:numPr>
        <w:shd w:val="clear" w:color="auto" w:fill="FFFFFF"/>
        <w:ind w:left="714" w:hanging="357"/>
        <w:contextualSpacing w:val="0"/>
        <w:rPr>
          <w:noProof/>
        </w:rPr>
      </w:pPr>
      <w:r>
        <w:rPr>
          <w:noProof/>
        </w:rPr>
        <w:tab/>
        <w:t xml:space="preserve">During the first phase, the </w:t>
      </w:r>
      <w:r w:rsidR="004940CC">
        <w:rPr>
          <w:noProof/>
        </w:rPr>
        <w:t xml:space="preserve">strategic </w:t>
      </w:r>
      <w:r>
        <w:rPr>
          <w:noProof/>
        </w:rPr>
        <w:t>priorities derived from the EU Aviation Strategy and safety priorities determined through the European SRM process are discussed and confirmed with the EASA A</w:t>
      </w:r>
      <w:r w:rsidR="00DC73D0">
        <w:rPr>
          <w:noProof/>
        </w:rPr>
        <w:t xml:space="preserve">dvisory </w:t>
      </w:r>
      <w:r>
        <w:rPr>
          <w:noProof/>
        </w:rPr>
        <w:t>B</w:t>
      </w:r>
      <w:r w:rsidR="00DC73D0">
        <w:rPr>
          <w:noProof/>
        </w:rPr>
        <w:t>odie</w:t>
      </w:r>
      <w:r>
        <w:rPr>
          <w:noProof/>
        </w:rPr>
        <w:t>s</w:t>
      </w:r>
      <w:r w:rsidR="00DC73D0">
        <w:rPr>
          <w:noProof/>
        </w:rPr>
        <w:t xml:space="preserve"> (ABs)</w:t>
      </w:r>
      <w:r>
        <w:rPr>
          <w:noProof/>
        </w:rPr>
        <w:t xml:space="preserve">. MAB and SAB take the lead in consolidating inputs from their domain sub-committees and provide EASA with the Member </w:t>
      </w:r>
      <w:r w:rsidR="00A46B04">
        <w:rPr>
          <w:noProof/>
        </w:rPr>
        <w:t>State</w:t>
      </w:r>
      <w:r>
        <w:rPr>
          <w:noProof/>
        </w:rPr>
        <w:t xml:space="preserve">/industry views on the priorities. </w:t>
      </w:r>
      <w:r w:rsidR="00357E46">
        <w:rPr>
          <w:noProof/>
        </w:rPr>
        <w:t xml:space="preserve">This Phase is initiated once every three years </w:t>
      </w:r>
      <w:r w:rsidR="004A713B">
        <w:rPr>
          <w:noProof/>
        </w:rPr>
        <w:t xml:space="preserve">at the beginning of </w:t>
      </w:r>
      <w:r w:rsidR="00664237">
        <w:rPr>
          <w:noProof/>
        </w:rPr>
        <w:t xml:space="preserve">the </w:t>
      </w:r>
      <w:r w:rsidR="00357E46">
        <w:rPr>
          <w:noProof/>
        </w:rPr>
        <w:t xml:space="preserve">year </w:t>
      </w:r>
      <w:r w:rsidR="004A713B">
        <w:rPr>
          <w:noProof/>
        </w:rPr>
        <w:t xml:space="preserve">preceding the </w:t>
      </w:r>
      <w:r w:rsidR="00357E46">
        <w:rPr>
          <w:noProof/>
        </w:rPr>
        <w:t xml:space="preserve">first year of </w:t>
      </w:r>
      <w:r w:rsidR="004A713B">
        <w:rPr>
          <w:noProof/>
        </w:rPr>
        <w:t>the n</w:t>
      </w:r>
      <w:r w:rsidR="00357E46">
        <w:rPr>
          <w:noProof/>
        </w:rPr>
        <w:t>ew reference period).</w:t>
      </w:r>
    </w:p>
    <w:p w14:paraId="7426AD9C" w14:textId="77777777" w:rsidR="00695A4C" w:rsidRDefault="00695A4C" w:rsidP="00FB18C9">
      <w:pPr>
        <w:shd w:val="clear" w:color="auto" w:fill="FFFFFF"/>
        <w:rPr>
          <w:noProof/>
        </w:rPr>
      </w:pPr>
      <w:r>
        <w:rPr>
          <w:noProof/>
        </w:rPr>
        <w:t xml:space="preserve">Phase II: </w:t>
      </w:r>
    </w:p>
    <w:p w14:paraId="0ADF3FD6" w14:textId="77777777" w:rsidR="00695A4C" w:rsidRDefault="00775CA1" w:rsidP="000A4E3A">
      <w:pPr>
        <w:pStyle w:val="ListParagraph"/>
        <w:numPr>
          <w:ilvl w:val="0"/>
          <w:numId w:val="58"/>
        </w:numPr>
        <w:shd w:val="clear" w:color="auto" w:fill="FFFFFF"/>
        <w:ind w:left="714" w:hanging="357"/>
        <w:contextualSpacing w:val="0"/>
        <w:rPr>
          <w:noProof/>
        </w:rPr>
      </w:pPr>
      <w:r>
        <w:rPr>
          <w:noProof/>
        </w:rPr>
        <w:tab/>
        <w:t>Based on the</w:t>
      </w:r>
      <w:r w:rsidR="004940CC">
        <w:rPr>
          <w:noProof/>
        </w:rPr>
        <w:t xml:space="preserve"> agreed </w:t>
      </w:r>
      <w:r w:rsidR="00695A4C">
        <w:rPr>
          <w:noProof/>
        </w:rPr>
        <w:t xml:space="preserve">safety </w:t>
      </w:r>
      <w:r>
        <w:rPr>
          <w:noProof/>
        </w:rPr>
        <w:t>priorities the planning milestones for individual EPAS actions are defined or updated in line with the EASA Single Programming process. A draft EPAS is then developed and provided to all ABs for detailed comments. Following the AB consultation and analysis of comments, the final draft EPAS is consolidated and Volume III in</w:t>
      </w:r>
      <w:r w:rsidR="00695A4C">
        <w:rPr>
          <w:noProof/>
        </w:rPr>
        <w:t>tegrated</w:t>
      </w:r>
      <w:r>
        <w:rPr>
          <w:noProof/>
        </w:rPr>
        <w:t>. This Volume</w:t>
      </w:r>
      <w:r w:rsidR="00300D96">
        <w:rPr>
          <w:noProof/>
        </w:rPr>
        <w:t>,</w:t>
      </w:r>
      <w:r>
        <w:rPr>
          <w:noProof/>
        </w:rPr>
        <w:t xml:space="preserve"> </w:t>
      </w:r>
      <w:r w:rsidR="00BE53CA">
        <w:rPr>
          <w:noProof/>
        </w:rPr>
        <w:t>provid</w:t>
      </w:r>
      <w:r w:rsidR="00300D96">
        <w:rPr>
          <w:noProof/>
        </w:rPr>
        <w:t xml:space="preserve">ing </w:t>
      </w:r>
      <w:r w:rsidR="00BE53CA">
        <w:rPr>
          <w:noProof/>
        </w:rPr>
        <w:t>the full set of domain safety risk portfolios, including a description of each safety issue identified and prioritised</w:t>
      </w:r>
      <w:r w:rsidR="00300D96">
        <w:rPr>
          <w:noProof/>
        </w:rPr>
        <w:t xml:space="preserve">, </w:t>
      </w:r>
      <w:r>
        <w:rPr>
          <w:noProof/>
        </w:rPr>
        <w:t xml:space="preserve">is developed through the European </w:t>
      </w:r>
      <w:r w:rsidR="00695A4C">
        <w:rPr>
          <w:noProof/>
        </w:rPr>
        <w:t xml:space="preserve">Safety Risk Management </w:t>
      </w:r>
      <w:r>
        <w:rPr>
          <w:noProof/>
        </w:rPr>
        <w:t xml:space="preserve">process. </w:t>
      </w:r>
    </w:p>
    <w:p w14:paraId="31A09DE1" w14:textId="77777777" w:rsidR="00775CA1" w:rsidRDefault="00775CA1" w:rsidP="00FB18C9">
      <w:pPr>
        <w:shd w:val="clear" w:color="auto" w:fill="FFFFFF"/>
        <w:rPr>
          <w:noProof/>
        </w:rPr>
      </w:pPr>
      <w:r>
        <w:rPr>
          <w:noProof/>
        </w:rPr>
        <w:t xml:space="preserve">The final draft EPAS composed of all three Volumes is then presented for approval to the EASA Management Board (MB). Following its formal approval by the MB it </w:t>
      </w:r>
      <w:r w:rsidR="00DC73D0">
        <w:rPr>
          <w:noProof/>
        </w:rPr>
        <w:t xml:space="preserve">is </w:t>
      </w:r>
      <w:r>
        <w:rPr>
          <w:noProof/>
        </w:rPr>
        <w:t xml:space="preserve">published on the EASA website. </w:t>
      </w:r>
    </w:p>
    <w:p w14:paraId="79D58FDC" w14:textId="77777777" w:rsidR="00775CA1" w:rsidRDefault="00775CA1" w:rsidP="00775CA1">
      <w:pPr>
        <w:shd w:val="clear" w:color="auto" w:fill="FFFFFF"/>
        <w:rPr>
          <w:noProof/>
        </w:rPr>
      </w:pPr>
      <w:r>
        <w:rPr>
          <w:noProof/>
        </w:rPr>
        <w:t xml:space="preserve">More information on the EPAS development, including the application of the </w:t>
      </w:r>
      <w:r w:rsidR="00DC73D0">
        <w:rPr>
          <w:noProof/>
        </w:rPr>
        <w:t>Commission’s</w:t>
      </w:r>
      <w:r>
        <w:rPr>
          <w:noProof/>
        </w:rPr>
        <w:t xml:space="preserve"> Better Regulation principles and information on the various groups having a role in the EPAS development</w:t>
      </w:r>
      <w:r w:rsidR="00DC73D0">
        <w:rPr>
          <w:noProof/>
        </w:rPr>
        <w:t>,</w:t>
      </w:r>
      <w:r>
        <w:rPr>
          <w:noProof/>
        </w:rPr>
        <w:t xml:space="preserve"> can be found here: </w:t>
      </w:r>
    </w:p>
    <w:p w14:paraId="10FCE3EF" w14:textId="77777777" w:rsidR="002848CD" w:rsidRPr="00C86564" w:rsidRDefault="00E001AA" w:rsidP="00354684">
      <w:pPr>
        <w:pStyle w:val="ListParagraph"/>
        <w:numPr>
          <w:ilvl w:val="0"/>
          <w:numId w:val="80"/>
        </w:numPr>
        <w:rPr>
          <w:rFonts w:cs="Times New Roman"/>
          <w:noProof/>
          <w:color w:val="222F64"/>
          <w:sz w:val="22"/>
        </w:rPr>
      </w:pPr>
      <w:hyperlink r:id="rId60" w:tgtFrame="_blank" w:tooltip="how_epas_is_developed_-_epas_2022-2026.pdf" w:history="1">
        <w:r w:rsidR="002848CD" w:rsidRPr="00C86564">
          <w:rPr>
            <w:rStyle w:val="Hyperlink"/>
            <w:rFonts w:cs="Times New Roman"/>
            <w:noProof/>
            <w:color w:val="007FC2"/>
            <w:sz w:val="22"/>
          </w:rPr>
          <w:t>How EPAS is developed</w:t>
        </w:r>
      </w:hyperlink>
    </w:p>
    <w:p w14:paraId="50C108C9" w14:textId="77777777" w:rsidR="002848CD" w:rsidRPr="00C86564" w:rsidRDefault="00E001AA" w:rsidP="00354684">
      <w:pPr>
        <w:pStyle w:val="ListParagraph"/>
        <w:numPr>
          <w:ilvl w:val="0"/>
          <w:numId w:val="80"/>
        </w:numPr>
        <w:rPr>
          <w:rFonts w:cs="Times New Roman"/>
          <w:noProof/>
          <w:color w:val="222F64"/>
          <w:sz w:val="22"/>
        </w:rPr>
      </w:pPr>
      <w:hyperlink r:id="rId61" w:tgtFrame="_blank" w:tooltip="working_groups_and_bodies_having_a_role_in_epas_-_epas_2022-2026.pdf" w:history="1">
        <w:r w:rsidR="002848CD" w:rsidRPr="00C86564">
          <w:rPr>
            <w:rStyle w:val="Hyperlink"/>
            <w:rFonts w:cs="Times New Roman"/>
            <w:noProof/>
            <w:color w:val="007FC2"/>
            <w:sz w:val="22"/>
          </w:rPr>
          <w:t>Working groups and Bodies having a role in EPAS</w:t>
        </w:r>
      </w:hyperlink>
    </w:p>
    <w:p w14:paraId="187AF35E" w14:textId="77777777" w:rsidR="00176903" w:rsidRDefault="00502AAE" w:rsidP="0006001F">
      <w:pPr>
        <w:shd w:val="clear" w:color="auto" w:fill="FFFFFF"/>
        <w:rPr>
          <w:noProof/>
        </w:rPr>
      </w:pPr>
      <w:r w:rsidRPr="003574B9">
        <w:rPr>
          <w:noProof/>
        </w:rPr>
        <w:t xml:space="preserve">The </w:t>
      </w:r>
      <w:r w:rsidR="00775CA1">
        <w:rPr>
          <w:noProof/>
        </w:rPr>
        <w:t xml:space="preserve">safety </w:t>
      </w:r>
      <w:r w:rsidR="00695A4C">
        <w:rPr>
          <w:noProof/>
        </w:rPr>
        <w:t xml:space="preserve">priorities and related </w:t>
      </w:r>
      <w:r w:rsidR="00775CA1">
        <w:rPr>
          <w:noProof/>
        </w:rPr>
        <w:t xml:space="preserve">actions in the EPAS are determined through the European </w:t>
      </w:r>
      <w:r w:rsidR="00B53735" w:rsidRPr="00B53735">
        <w:rPr>
          <w:bCs/>
          <w:iCs/>
          <w:noProof/>
        </w:rPr>
        <w:t>Safety Risk Management</w:t>
      </w:r>
      <w:r w:rsidR="00B53735" w:rsidRPr="00B53735">
        <w:rPr>
          <w:b/>
          <w:bCs/>
          <w:iCs/>
          <w:noProof/>
        </w:rPr>
        <w:t xml:space="preserve"> </w:t>
      </w:r>
      <w:r w:rsidRPr="003574B9">
        <w:rPr>
          <w:noProof/>
        </w:rPr>
        <w:t>process</w:t>
      </w:r>
      <w:r w:rsidR="00775CA1">
        <w:rPr>
          <w:noProof/>
        </w:rPr>
        <w:t xml:space="preserve">, which </w:t>
      </w:r>
      <w:r w:rsidR="00E93C00">
        <w:rPr>
          <w:noProof/>
        </w:rPr>
        <w:t xml:space="preserve">involves </w:t>
      </w:r>
      <w:r>
        <w:rPr>
          <w:noProof/>
        </w:rPr>
        <w:t xml:space="preserve">the Member </w:t>
      </w:r>
      <w:r w:rsidR="00A46B04">
        <w:rPr>
          <w:noProof/>
        </w:rPr>
        <w:t>State</w:t>
      </w:r>
      <w:r w:rsidRPr="003574B9">
        <w:rPr>
          <w:noProof/>
        </w:rPr>
        <w:t xml:space="preserve">s, </w:t>
      </w:r>
      <w:r>
        <w:rPr>
          <w:noProof/>
        </w:rPr>
        <w:t>the i</w:t>
      </w:r>
      <w:r w:rsidRPr="003574B9">
        <w:rPr>
          <w:noProof/>
        </w:rPr>
        <w:t>ndustry</w:t>
      </w:r>
      <w:r w:rsidR="00775CA1">
        <w:rPr>
          <w:noProof/>
        </w:rPr>
        <w:t xml:space="preserve">, the </w:t>
      </w:r>
      <w:r w:rsidR="00854183">
        <w:rPr>
          <w:noProof/>
        </w:rPr>
        <w:t>Commission</w:t>
      </w:r>
      <w:r w:rsidR="00775CA1">
        <w:rPr>
          <w:noProof/>
        </w:rPr>
        <w:t xml:space="preserve"> and </w:t>
      </w:r>
      <w:r w:rsidRPr="003574B9">
        <w:rPr>
          <w:noProof/>
        </w:rPr>
        <w:t>EASA.</w:t>
      </w:r>
    </w:p>
    <w:p w14:paraId="3FD729A7" w14:textId="77777777" w:rsidR="00695A4C" w:rsidRDefault="00695A4C" w:rsidP="00FB18C9">
      <w:pPr>
        <w:shd w:val="clear" w:color="auto" w:fill="FFFFFF"/>
        <w:rPr>
          <w:rFonts w:eastAsia="Times New Roman" w:cs="Times New Roman"/>
          <w:b/>
          <w:bCs/>
          <w:iCs/>
          <w:noProof/>
          <w:szCs w:val="28"/>
          <w:lang w:eastAsia="en-GB"/>
        </w:rPr>
      </w:pPr>
      <w:bookmarkStart w:id="123" w:name="_Toc86182361"/>
    </w:p>
    <w:p w14:paraId="3C65B09A" w14:textId="77777777" w:rsidR="00775CA1" w:rsidRPr="00354684" w:rsidRDefault="00775CA1" w:rsidP="003469C7">
      <w:pPr>
        <w:shd w:val="clear" w:color="auto" w:fill="FFFFFF"/>
        <w:spacing w:after="240"/>
        <w:rPr>
          <w:rFonts w:eastAsia="Times New Roman" w:cs="Times New Roman"/>
          <w:bCs/>
          <w:i/>
          <w:iCs/>
          <w:noProof/>
          <w:szCs w:val="28"/>
          <w:lang w:eastAsia="en-GB"/>
        </w:rPr>
      </w:pPr>
      <w:r w:rsidRPr="00354684">
        <w:rPr>
          <w:rFonts w:eastAsia="Times New Roman" w:cs="Times New Roman"/>
          <w:bCs/>
          <w:i/>
          <w:iCs/>
          <w:noProof/>
          <w:szCs w:val="28"/>
          <w:lang w:eastAsia="en-GB"/>
        </w:rPr>
        <w:t>The European Safety Risk Management (SRM) process</w:t>
      </w:r>
      <w:bookmarkEnd w:id="123"/>
    </w:p>
    <w:p w14:paraId="2434E1FB" w14:textId="77777777" w:rsidR="00775CA1" w:rsidRPr="00A87ED7" w:rsidRDefault="00775CA1" w:rsidP="00A87ED7">
      <w:pPr>
        <w:shd w:val="clear" w:color="auto" w:fill="FFFFFF"/>
        <w:rPr>
          <w:noProof/>
        </w:rPr>
      </w:pPr>
      <w:r w:rsidRPr="00A87ED7">
        <w:rPr>
          <w:noProof/>
        </w:rPr>
        <w:t>The main safety risks and corresponding mitigating actions feeding the EPAS are developed through the European SRM process. This comprises a set of processes that aim at identifying the safety issues and their mitigations</w:t>
      </w:r>
      <w:r w:rsidR="00651506">
        <w:rPr>
          <w:noProof/>
        </w:rPr>
        <w:t>, as well as monitoring implementation</w:t>
      </w:r>
      <w:r w:rsidRPr="00A87ED7">
        <w:rPr>
          <w:noProof/>
        </w:rPr>
        <w:t xml:space="preserve">. It involves analysis of data from different sources and collaboration with safety partners from national aviation authorities and the industry (through the </w:t>
      </w:r>
      <w:bookmarkStart w:id="124" w:name="_Hlk88724392"/>
      <w:r w:rsidR="009674DC" w:rsidRPr="00751ECE">
        <w:rPr>
          <w:iCs/>
          <w:noProof/>
        </w:rPr>
        <w:t>Data4Safety</w:t>
      </w:r>
      <w:r w:rsidR="009674DC">
        <w:rPr>
          <w:noProof/>
        </w:rPr>
        <w:t xml:space="preserve"> programme</w:t>
      </w:r>
      <w:r w:rsidR="009674DC" w:rsidRPr="00A87ED7">
        <w:rPr>
          <w:noProof/>
        </w:rPr>
        <w:t xml:space="preserve">) </w:t>
      </w:r>
      <w:bookmarkEnd w:id="124"/>
      <w:r w:rsidRPr="00A87ED7">
        <w:rPr>
          <w:noProof/>
        </w:rPr>
        <w:t xml:space="preserve">and the </w:t>
      </w:r>
      <w:r w:rsidR="00553523">
        <w:rPr>
          <w:noProof/>
        </w:rPr>
        <w:t>NoAs</w:t>
      </w:r>
      <w:r w:rsidRPr="00A87ED7">
        <w:rPr>
          <w:noProof/>
        </w:rPr>
        <w:t xml:space="preserve">. </w:t>
      </w:r>
    </w:p>
    <w:p w14:paraId="1BCE3274" w14:textId="77777777" w:rsidR="00775CA1" w:rsidRPr="00A87ED7" w:rsidRDefault="00775CA1" w:rsidP="00A87ED7">
      <w:pPr>
        <w:shd w:val="clear" w:color="auto" w:fill="FFFFFF"/>
        <w:rPr>
          <w:noProof/>
        </w:rPr>
      </w:pPr>
      <w:r w:rsidRPr="00A87ED7">
        <w:rPr>
          <w:noProof/>
        </w:rPr>
        <w:t>The SRM process follows five specific steps:</w:t>
      </w:r>
    </w:p>
    <w:p w14:paraId="50723E91" w14:textId="77777777" w:rsidR="00775CA1" w:rsidRDefault="00775CA1" w:rsidP="00FB18C9">
      <w:pPr>
        <w:jc w:val="center"/>
        <w:rPr>
          <w:rFonts w:cstheme="minorHAnsi"/>
          <w:noProof/>
        </w:rPr>
      </w:pPr>
    </w:p>
    <w:p w14:paraId="49D723E1" w14:textId="77777777" w:rsidR="007564A3" w:rsidRDefault="007564A3" w:rsidP="00FB18C9">
      <w:pPr>
        <w:pStyle w:val="TabFig"/>
        <w:jc w:val="center"/>
        <w:rPr>
          <w:noProof/>
        </w:rPr>
      </w:pPr>
      <w:bookmarkStart w:id="125" w:name="_Toc94875664"/>
      <w:bookmarkStart w:id="126" w:name="_Toc94875904"/>
      <w:r w:rsidRPr="00605F78">
        <w:rPr>
          <w:noProof/>
        </w:rPr>
        <w:t>Figure 2</w:t>
      </w:r>
      <w:r w:rsidR="00605F78" w:rsidRPr="00605F78">
        <w:rPr>
          <w:noProof/>
        </w:rPr>
        <w:t>.</w:t>
      </w:r>
      <w:r w:rsidRPr="00D4575F">
        <w:rPr>
          <w:noProof/>
        </w:rPr>
        <w:t xml:space="preserve"> The European SRM process</w:t>
      </w:r>
      <w:bookmarkEnd w:id="125"/>
      <w:bookmarkEnd w:id="126"/>
    </w:p>
    <w:p w14:paraId="5D885B75" w14:textId="77777777" w:rsidR="00632950" w:rsidRPr="006B5263" w:rsidRDefault="00632950" w:rsidP="00FB18C9">
      <w:pPr>
        <w:pStyle w:val="TabFig"/>
        <w:jc w:val="center"/>
        <w:rPr>
          <w:rFonts w:cstheme="minorHAnsi"/>
          <w:noProof/>
        </w:rPr>
      </w:pPr>
      <w:r w:rsidRPr="00C777D2">
        <w:rPr>
          <w:noProof/>
          <w:lang w:eastAsia="en-GB"/>
        </w:rPr>
        <w:drawing>
          <wp:inline distT="0" distB="0" distL="0" distR="0" wp14:anchorId="2168AEF7" wp14:editId="480CEF61">
            <wp:extent cx="4852035" cy="2770360"/>
            <wp:effectExtent l="0" t="0" r="5715" b="0"/>
            <wp:docPr id="3" name="Picture 3" descr="Figure 1. The European Safety Risk Manage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The European Safety Risk Management Process"/>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881567" cy="2787222"/>
                    </a:xfrm>
                    <a:prstGeom prst="rect">
                      <a:avLst/>
                    </a:prstGeom>
                    <a:noFill/>
                    <a:ln>
                      <a:noFill/>
                    </a:ln>
                  </pic:spPr>
                </pic:pic>
              </a:graphicData>
            </a:graphic>
          </wp:inline>
        </w:drawing>
      </w:r>
    </w:p>
    <w:p w14:paraId="532986D9" w14:textId="176591E0" w:rsidR="00775CA1" w:rsidRPr="001D3732" w:rsidRDefault="00775CA1" w:rsidP="00775CA1">
      <w:pPr>
        <w:rPr>
          <w:rFonts w:cstheme="minorHAnsi"/>
          <w:noProof/>
        </w:rPr>
      </w:pPr>
      <w:r w:rsidRPr="00923341">
        <w:rPr>
          <w:rFonts w:cstheme="minorHAnsi"/>
          <w:b/>
          <w:bCs/>
          <w:noProof/>
        </w:rPr>
        <w:t>Identification of safety issues:</w:t>
      </w:r>
      <w:r w:rsidRPr="00BC5C21">
        <w:rPr>
          <w:rFonts w:cstheme="minorHAnsi"/>
          <w:noProof/>
        </w:rPr>
        <w:t xml:space="preserve"> </w:t>
      </w:r>
      <w:r w:rsidR="000813BE">
        <w:rPr>
          <w:rFonts w:cstheme="minorHAnsi"/>
          <w:noProof/>
        </w:rPr>
        <w:t>This</w:t>
      </w:r>
      <w:r w:rsidRPr="001D3732">
        <w:rPr>
          <w:rFonts w:cstheme="minorHAnsi"/>
          <w:noProof/>
        </w:rPr>
        <w:t xml:space="preserve"> is the first</w:t>
      </w:r>
      <w:r>
        <w:rPr>
          <w:rFonts w:cstheme="minorHAnsi"/>
          <w:noProof/>
        </w:rPr>
        <w:t xml:space="preserve"> </w:t>
      </w:r>
      <w:r w:rsidRPr="001D3732">
        <w:rPr>
          <w:rFonts w:cstheme="minorHAnsi"/>
          <w:noProof/>
        </w:rPr>
        <w:t>step in the SRM process, and it is performed through the analysis of occurrence</w:t>
      </w:r>
      <w:r>
        <w:rPr>
          <w:rFonts w:cstheme="minorHAnsi"/>
          <w:noProof/>
        </w:rPr>
        <w:t xml:space="preserve"> </w:t>
      </w:r>
      <w:r w:rsidRPr="001D3732">
        <w:rPr>
          <w:rFonts w:cstheme="minorHAnsi"/>
          <w:noProof/>
        </w:rPr>
        <w:t xml:space="preserve">data and other safety-related information and supporting information by </w:t>
      </w:r>
      <w:r w:rsidR="009674DC">
        <w:rPr>
          <w:rFonts w:cstheme="minorHAnsi"/>
          <w:noProof/>
        </w:rPr>
        <w:t xml:space="preserve">the collaborative work with the safety partners in particular via the </w:t>
      </w:r>
      <w:r w:rsidR="009674DC" w:rsidRPr="00D818E1">
        <w:rPr>
          <w:rFonts w:cstheme="minorHAnsi"/>
          <w:iCs/>
          <w:noProof/>
        </w:rPr>
        <w:t>Data4Safety</w:t>
      </w:r>
      <w:r w:rsidR="009674DC" w:rsidRPr="00286CAD">
        <w:rPr>
          <w:rFonts w:cstheme="minorHAnsi"/>
          <w:i/>
          <w:iCs/>
          <w:noProof/>
        </w:rPr>
        <w:t xml:space="preserve"> </w:t>
      </w:r>
      <w:r w:rsidR="009674DC">
        <w:rPr>
          <w:rFonts w:cstheme="minorHAnsi"/>
          <w:noProof/>
        </w:rPr>
        <w:t>programme</w:t>
      </w:r>
      <w:r w:rsidRPr="001D3732">
        <w:rPr>
          <w:rFonts w:cstheme="minorHAnsi"/>
          <w:noProof/>
        </w:rPr>
        <w:t>. These candidate safety issues are formally captured by the Agency and</w:t>
      </w:r>
      <w:r>
        <w:rPr>
          <w:rFonts w:cstheme="minorHAnsi"/>
          <w:noProof/>
        </w:rPr>
        <w:t xml:space="preserve"> </w:t>
      </w:r>
      <w:r w:rsidRPr="001D3732">
        <w:rPr>
          <w:rFonts w:cstheme="minorHAnsi"/>
          <w:noProof/>
        </w:rPr>
        <w:t>are then subject to a preliminary safety assessment. This assessment then</w:t>
      </w:r>
      <w:r>
        <w:rPr>
          <w:rFonts w:cstheme="minorHAnsi"/>
          <w:noProof/>
        </w:rPr>
        <w:t xml:space="preserve"> </w:t>
      </w:r>
      <w:r w:rsidRPr="001D3732">
        <w:rPr>
          <w:rFonts w:cstheme="minorHAnsi"/>
          <w:noProof/>
        </w:rPr>
        <w:t>informs the decision on whether a candidate safety issue should be formally</w:t>
      </w:r>
      <w:r>
        <w:rPr>
          <w:rFonts w:cstheme="minorHAnsi"/>
          <w:noProof/>
        </w:rPr>
        <w:t xml:space="preserve"> </w:t>
      </w:r>
      <w:r w:rsidRPr="001D3732">
        <w:rPr>
          <w:rFonts w:cstheme="minorHAnsi"/>
          <w:noProof/>
        </w:rPr>
        <w:t>included within the relevant safety risk portfolio or be subject to other actions.</w:t>
      </w:r>
      <w:r>
        <w:rPr>
          <w:rFonts w:cstheme="minorHAnsi"/>
          <w:noProof/>
        </w:rPr>
        <w:t xml:space="preserve"> </w:t>
      </w:r>
      <w:r w:rsidRPr="001D3732">
        <w:rPr>
          <w:rFonts w:cstheme="minorHAnsi"/>
          <w:noProof/>
        </w:rPr>
        <w:t xml:space="preserve">Advice is taken from </w:t>
      </w:r>
      <w:r w:rsidR="009674DC" w:rsidRPr="00286CAD">
        <w:rPr>
          <w:rFonts w:cstheme="minorHAnsi"/>
          <w:iCs/>
          <w:noProof/>
        </w:rPr>
        <w:t>Data4Safety</w:t>
      </w:r>
      <w:r w:rsidR="009674DC" w:rsidRPr="00D818E1">
        <w:rPr>
          <w:rFonts w:cstheme="minorHAnsi"/>
          <w:noProof/>
        </w:rPr>
        <w:t xml:space="preserve"> </w:t>
      </w:r>
      <w:r w:rsidR="009674DC">
        <w:rPr>
          <w:rFonts w:cstheme="minorHAnsi"/>
          <w:noProof/>
        </w:rPr>
        <w:t xml:space="preserve">and </w:t>
      </w:r>
      <w:r w:rsidRPr="001D3732">
        <w:rPr>
          <w:rFonts w:cstheme="minorHAnsi"/>
          <w:noProof/>
        </w:rPr>
        <w:t xml:space="preserve">the </w:t>
      </w:r>
      <w:r w:rsidR="00553523">
        <w:rPr>
          <w:rFonts w:cstheme="minorHAnsi"/>
          <w:noProof/>
        </w:rPr>
        <w:t>NoAs</w:t>
      </w:r>
      <w:r w:rsidRPr="001D3732">
        <w:rPr>
          <w:rFonts w:cstheme="minorHAnsi"/>
          <w:noProof/>
        </w:rPr>
        <w:t xml:space="preserve"> s. The output</w:t>
      </w:r>
      <w:r>
        <w:rPr>
          <w:rFonts w:cstheme="minorHAnsi"/>
          <w:noProof/>
        </w:rPr>
        <w:t xml:space="preserve"> </w:t>
      </w:r>
      <w:r w:rsidRPr="001D3732">
        <w:rPr>
          <w:rFonts w:cstheme="minorHAnsi"/>
          <w:noProof/>
        </w:rPr>
        <w:t>of this step in the process are the domain safety risk portfolios. Within the</w:t>
      </w:r>
      <w:r>
        <w:rPr>
          <w:rFonts w:cstheme="minorHAnsi"/>
          <w:noProof/>
        </w:rPr>
        <w:t xml:space="preserve"> </w:t>
      </w:r>
      <w:r w:rsidRPr="001D3732">
        <w:rPr>
          <w:rFonts w:cstheme="minorHAnsi"/>
          <w:noProof/>
        </w:rPr>
        <w:t>portfolios, both the key risk areas and safety issues are prioritised.</w:t>
      </w:r>
      <w:r w:rsidR="00550636">
        <w:rPr>
          <w:rFonts w:cstheme="minorHAnsi"/>
          <w:noProof/>
        </w:rPr>
        <w:t xml:space="preserve"> The </w:t>
      </w:r>
      <w:r w:rsidR="00550636" w:rsidRPr="001D3732">
        <w:rPr>
          <w:rFonts w:cstheme="minorHAnsi"/>
          <w:noProof/>
        </w:rPr>
        <w:t>domain safety risk portfolios</w:t>
      </w:r>
      <w:r w:rsidR="00550636">
        <w:rPr>
          <w:rFonts w:cstheme="minorHAnsi"/>
          <w:noProof/>
        </w:rPr>
        <w:t xml:space="preserve"> are published with EPAS Volume III.</w:t>
      </w:r>
    </w:p>
    <w:p w14:paraId="7B270985" w14:textId="77777777" w:rsidR="00775CA1" w:rsidRPr="00923341" w:rsidRDefault="00775CA1" w:rsidP="00775CA1">
      <w:pPr>
        <w:rPr>
          <w:rFonts w:cstheme="minorHAnsi"/>
          <w:b/>
          <w:bCs/>
          <w:noProof/>
          <w:u w:val="single"/>
        </w:rPr>
      </w:pPr>
      <w:r w:rsidRPr="00923341">
        <w:rPr>
          <w:rFonts w:cstheme="minorHAnsi"/>
          <w:b/>
          <w:bCs/>
          <w:noProof/>
        </w:rPr>
        <w:t>Assessment of safety issues:</w:t>
      </w:r>
      <w:r w:rsidRPr="00BC5C21">
        <w:rPr>
          <w:rFonts w:cstheme="minorHAnsi"/>
          <w:noProof/>
        </w:rPr>
        <w:t xml:space="preserve"> </w:t>
      </w:r>
      <w:r w:rsidRPr="001D3732">
        <w:rPr>
          <w:rFonts w:cstheme="minorHAnsi"/>
          <w:noProof/>
        </w:rPr>
        <w:t>Once a safety issue is identified and captured</w:t>
      </w:r>
      <w:r>
        <w:rPr>
          <w:rFonts w:cstheme="minorHAnsi"/>
          <w:noProof/>
        </w:rPr>
        <w:t xml:space="preserve"> </w:t>
      </w:r>
      <w:r w:rsidRPr="001D3732">
        <w:rPr>
          <w:rFonts w:cstheme="minorHAnsi"/>
          <w:noProof/>
        </w:rPr>
        <w:t xml:space="preserve">within the safety risk portfolio, it is subject to a </w:t>
      </w:r>
      <w:r>
        <w:rPr>
          <w:rFonts w:cstheme="minorHAnsi"/>
          <w:noProof/>
        </w:rPr>
        <w:t>technical</w:t>
      </w:r>
      <w:r w:rsidRPr="001D3732">
        <w:rPr>
          <w:rFonts w:cstheme="minorHAnsi"/>
          <w:noProof/>
        </w:rPr>
        <w:t xml:space="preserve"> safety assessment.</w:t>
      </w:r>
      <w:r>
        <w:rPr>
          <w:rFonts w:cstheme="minorHAnsi"/>
          <w:noProof/>
        </w:rPr>
        <w:t xml:space="preserve"> </w:t>
      </w:r>
      <w:r w:rsidRPr="001D3732">
        <w:rPr>
          <w:rFonts w:cstheme="minorHAnsi"/>
          <w:noProof/>
        </w:rPr>
        <w:t>These assessments are prioritised within the portfolio. The assessment process</w:t>
      </w:r>
      <w:r>
        <w:rPr>
          <w:rFonts w:cstheme="minorHAnsi"/>
          <w:noProof/>
        </w:rPr>
        <w:t xml:space="preserve"> </w:t>
      </w:r>
      <w:r w:rsidRPr="001D3732">
        <w:rPr>
          <w:rFonts w:cstheme="minorHAnsi"/>
          <w:noProof/>
        </w:rPr>
        <w:t xml:space="preserve">is </w:t>
      </w:r>
      <w:r w:rsidR="00E427FB">
        <w:rPr>
          <w:rFonts w:cstheme="minorHAnsi"/>
          <w:noProof/>
        </w:rPr>
        <w:t xml:space="preserve">coordinated </w:t>
      </w:r>
      <w:r w:rsidRPr="001D3732">
        <w:rPr>
          <w:rFonts w:cstheme="minorHAnsi"/>
          <w:noProof/>
        </w:rPr>
        <w:t xml:space="preserve">by EASA and is supported by </w:t>
      </w:r>
      <w:r w:rsidR="009674DC" w:rsidRPr="00286CAD">
        <w:rPr>
          <w:rFonts w:cstheme="minorHAnsi"/>
          <w:iCs/>
          <w:noProof/>
        </w:rPr>
        <w:t>Data4Safety</w:t>
      </w:r>
      <w:r w:rsidR="009674DC" w:rsidRPr="009A4E17">
        <w:rPr>
          <w:rFonts w:cstheme="minorHAnsi"/>
          <w:i/>
          <w:iCs/>
          <w:noProof/>
        </w:rPr>
        <w:t xml:space="preserve"> </w:t>
      </w:r>
      <w:r w:rsidR="009674DC" w:rsidRPr="00286CAD">
        <w:rPr>
          <w:rFonts w:cstheme="minorHAnsi"/>
          <w:noProof/>
        </w:rPr>
        <w:t>and</w:t>
      </w:r>
      <w:r w:rsidR="009674DC">
        <w:rPr>
          <w:rFonts w:cstheme="minorHAnsi"/>
          <w:i/>
          <w:iCs/>
          <w:noProof/>
        </w:rPr>
        <w:t xml:space="preserve"> </w:t>
      </w:r>
      <w:r w:rsidRPr="001D3732">
        <w:rPr>
          <w:rFonts w:cstheme="minorHAnsi"/>
          <w:noProof/>
        </w:rPr>
        <w:t xml:space="preserve">the </w:t>
      </w:r>
      <w:r w:rsidR="00553523">
        <w:rPr>
          <w:rFonts w:cstheme="minorHAnsi"/>
          <w:noProof/>
        </w:rPr>
        <w:t>NoAs</w:t>
      </w:r>
      <w:r w:rsidRPr="001D3732">
        <w:rPr>
          <w:rFonts w:cstheme="minorHAnsi"/>
          <w:noProof/>
        </w:rPr>
        <w:t>. In addition, group</w:t>
      </w:r>
      <w:r>
        <w:rPr>
          <w:rFonts w:cstheme="minorHAnsi"/>
          <w:noProof/>
        </w:rPr>
        <w:t xml:space="preserve"> </w:t>
      </w:r>
      <w:r w:rsidRPr="001D3732">
        <w:rPr>
          <w:rFonts w:cstheme="minorHAnsi"/>
          <w:noProof/>
        </w:rPr>
        <w:t xml:space="preserve">members are encouraged to participate in the assessment itself. This </w:t>
      </w:r>
      <w:r>
        <w:rPr>
          <w:rFonts w:cstheme="minorHAnsi"/>
          <w:noProof/>
        </w:rPr>
        <w:t>collaborative approach with the Agency’s safety partners</w:t>
      </w:r>
      <w:r w:rsidRPr="001D3732">
        <w:rPr>
          <w:rFonts w:cstheme="minorHAnsi"/>
          <w:noProof/>
        </w:rPr>
        <w:t xml:space="preserve"> is </w:t>
      </w:r>
      <w:r>
        <w:rPr>
          <w:rFonts w:cstheme="minorHAnsi"/>
          <w:noProof/>
        </w:rPr>
        <w:t>critical</w:t>
      </w:r>
      <w:r w:rsidRPr="001D3732">
        <w:rPr>
          <w:rFonts w:cstheme="minorHAnsi"/>
          <w:noProof/>
        </w:rPr>
        <w:t xml:space="preserve"> to achieving the best possible results. Together</w:t>
      </w:r>
      <w:r w:rsidRPr="004B7BA2">
        <w:rPr>
          <w:rFonts w:cstheme="minorHAnsi"/>
          <w:noProof/>
        </w:rPr>
        <w:t>, this forms the Safety Issue Assessment, which provides potential mitigating actions for the EPAS.</w:t>
      </w:r>
      <w:r w:rsidRPr="004B7BA2">
        <w:rPr>
          <w:rFonts w:cstheme="minorHAnsi"/>
          <w:b/>
          <w:bCs/>
          <w:noProof/>
        </w:rPr>
        <w:t xml:space="preserve"> </w:t>
      </w:r>
    </w:p>
    <w:p w14:paraId="23A53997" w14:textId="77777777" w:rsidR="00780B7D" w:rsidRDefault="00775CA1" w:rsidP="00775CA1">
      <w:pPr>
        <w:rPr>
          <w:rFonts w:cstheme="minorHAnsi"/>
          <w:noProof/>
        </w:rPr>
      </w:pPr>
      <w:r w:rsidRPr="004B7BA2">
        <w:rPr>
          <w:rFonts w:cstheme="minorHAnsi"/>
          <w:b/>
          <w:bCs/>
          <w:noProof/>
        </w:rPr>
        <w:t>Definition and programming of safety actions:</w:t>
      </w:r>
      <w:r w:rsidRPr="00BC5C21">
        <w:rPr>
          <w:rFonts w:cstheme="minorHAnsi"/>
          <w:noProof/>
        </w:rPr>
        <w:t xml:space="preserve"> </w:t>
      </w:r>
      <w:r w:rsidRPr="001D3732">
        <w:rPr>
          <w:rFonts w:cstheme="minorHAnsi"/>
          <w:noProof/>
        </w:rPr>
        <w:t xml:space="preserve">This </w:t>
      </w:r>
      <w:r>
        <w:rPr>
          <w:rFonts w:cstheme="minorHAnsi"/>
          <w:noProof/>
        </w:rPr>
        <w:t>includes</w:t>
      </w:r>
      <w:r w:rsidRPr="001D3732">
        <w:rPr>
          <w:rFonts w:cstheme="minorHAnsi"/>
          <w:noProof/>
        </w:rPr>
        <w:t xml:space="preserve"> an impact assessment </w:t>
      </w:r>
      <w:r w:rsidR="00651506">
        <w:rPr>
          <w:rFonts w:cstheme="minorHAnsi"/>
          <w:noProof/>
        </w:rPr>
        <w:t xml:space="preserve">that will be captured in a </w:t>
      </w:r>
      <w:r w:rsidRPr="001D3732">
        <w:rPr>
          <w:rFonts w:cstheme="minorHAnsi"/>
          <w:noProof/>
        </w:rPr>
        <w:t>best intervention strategy</w:t>
      </w:r>
      <w:r>
        <w:rPr>
          <w:rFonts w:cstheme="minorHAnsi"/>
          <w:noProof/>
        </w:rPr>
        <w:t xml:space="preserve"> </w:t>
      </w:r>
      <w:r w:rsidRPr="001D3732">
        <w:rPr>
          <w:rFonts w:cstheme="minorHAnsi"/>
          <w:noProof/>
        </w:rPr>
        <w:t>(BIS) document, defining possible mitigation actions, assessing the implications</w:t>
      </w:r>
      <w:r>
        <w:rPr>
          <w:rFonts w:cstheme="minorHAnsi"/>
          <w:noProof/>
        </w:rPr>
        <w:t xml:space="preserve"> </w:t>
      </w:r>
      <w:r w:rsidRPr="001D3732">
        <w:rPr>
          <w:rFonts w:cstheme="minorHAnsi"/>
          <w:noProof/>
        </w:rPr>
        <w:t>and benefits of each possible action, and making recommendations on the</w:t>
      </w:r>
      <w:r>
        <w:rPr>
          <w:rFonts w:cstheme="minorHAnsi"/>
          <w:noProof/>
        </w:rPr>
        <w:t xml:space="preserve"> </w:t>
      </w:r>
      <w:r w:rsidRPr="001D3732">
        <w:rPr>
          <w:rFonts w:cstheme="minorHAnsi"/>
          <w:noProof/>
        </w:rPr>
        <w:t>best mitigation action(s) to be implemented in the EPAS.</w:t>
      </w:r>
      <w:r>
        <w:rPr>
          <w:rFonts w:cstheme="minorHAnsi"/>
          <w:noProof/>
        </w:rPr>
        <w:t xml:space="preserve"> </w:t>
      </w:r>
      <w:r w:rsidRPr="001D3732">
        <w:rPr>
          <w:rFonts w:cstheme="minorHAnsi"/>
          <w:noProof/>
        </w:rPr>
        <w:t>Using the combined S</w:t>
      </w:r>
      <w:r w:rsidR="00AC7A42">
        <w:rPr>
          <w:rFonts w:cstheme="minorHAnsi"/>
          <w:noProof/>
        </w:rPr>
        <w:t xml:space="preserve">afety Issue </w:t>
      </w:r>
      <w:r w:rsidRPr="001D3732">
        <w:rPr>
          <w:rFonts w:cstheme="minorHAnsi"/>
          <w:noProof/>
        </w:rPr>
        <w:t>A</w:t>
      </w:r>
      <w:r w:rsidR="00AC7A42">
        <w:rPr>
          <w:rFonts w:cstheme="minorHAnsi"/>
          <w:noProof/>
        </w:rPr>
        <w:t>ssessment</w:t>
      </w:r>
      <w:r w:rsidRPr="001D3732">
        <w:rPr>
          <w:rFonts w:cstheme="minorHAnsi"/>
          <w:noProof/>
        </w:rPr>
        <w:t>/BIS,</w:t>
      </w:r>
      <w:r>
        <w:rPr>
          <w:rFonts w:cstheme="minorHAnsi"/>
          <w:noProof/>
        </w:rPr>
        <w:t xml:space="preserve"> </w:t>
      </w:r>
      <w:r w:rsidRPr="001D3732">
        <w:rPr>
          <w:rFonts w:cstheme="minorHAnsi"/>
          <w:noProof/>
        </w:rPr>
        <w:t xml:space="preserve">formal EPAS action proposals are then submitted to the </w:t>
      </w:r>
      <w:r>
        <w:rPr>
          <w:rFonts w:cstheme="minorHAnsi"/>
          <w:noProof/>
        </w:rPr>
        <w:t>ABs</w:t>
      </w:r>
      <w:r w:rsidR="00780B7D">
        <w:rPr>
          <w:rFonts w:cstheme="minorHAnsi"/>
          <w:noProof/>
        </w:rPr>
        <w:t xml:space="preserve"> as part of the BIS </w:t>
      </w:r>
      <w:r w:rsidR="00651506">
        <w:rPr>
          <w:rFonts w:cstheme="minorHAnsi"/>
          <w:noProof/>
        </w:rPr>
        <w:t>and/</w:t>
      </w:r>
      <w:r w:rsidR="00780B7D">
        <w:rPr>
          <w:rFonts w:cstheme="minorHAnsi"/>
          <w:noProof/>
        </w:rPr>
        <w:t>or EPAS consultation</w:t>
      </w:r>
      <w:r w:rsidRPr="001D3732">
        <w:rPr>
          <w:rFonts w:cstheme="minorHAnsi"/>
          <w:noProof/>
        </w:rPr>
        <w:t>.</w:t>
      </w:r>
      <w:r>
        <w:rPr>
          <w:rFonts w:cstheme="minorHAnsi"/>
          <w:noProof/>
        </w:rPr>
        <w:t xml:space="preserve"> </w:t>
      </w:r>
    </w:p>
    <w:p w14:paraId="149F1C84" w14:textId="77777777" w:rsidR="005D6030" w:rsidRDefault="00300D96" w:rsidP="00775CA1">
      <w:pPr>
        <w:rPr>
          <w:rFonts w:cstheme="minorHAnsi"/>
          <w:noProof/>
        </w:rPr>
      </w:pPr>
      <w:r w:rsidRPr="002848CD">
        <w:rPr>
          <w:rFonts w:cstheme="minorHAnsi"/>
          <w:noProof/>
        </w:rPr>
        <w:t>There are different types of EPAS action, such as Rulemaking tasks</w:t>
      </w:r>
      <w:r w:rsidR="002848CD">
        <w:rPr>
          <w:rFonts w:cstheme="minorHAnsi"/>
          <w:noProof/>
        </w:rPr>
        <w:t xml:space="preserve"> (RMTs)</w:t>
      </w:r>
      <w:r>
        <w:rPr>
          <w:rFonts w:cstheme="minorHAnsi"/>
          <w:noProof/>
        </w:rPr>
        <w:t xml:space="preserve">, Safety promotion tasks </w:t>
      </w:r>
      <w:r w:rsidR="002848CD">
        <w:rPr>
          <w:rFonts w:cstheme="minorHAnsi"/>
          <w:noProof/>
        </w:rPr>
        <w:t xml:space="preserve">(SPTs) </w:t>
      </w:r>
      <w:r>
        <w:rPr>
          <w:rFonts w:cstheme="minorHAnsi"/>
          <w:noProof/>
        </w:rPr>
        <w:t>or Member State tasks</w:t>
      </w:r>
      <w:r w:rsidR="002848CD">
        <w:rPr>
          <w:rFonts w:cstheme="minorHAnsi"/>
          <w:noProof/>
        </w:rPr>
        <w:t xml:space="preserve"> (MSTs)</w:t>
      </w:r>
      <w:r>
        <w:rPr>
          <w:rFonts w:cstheme="minorHAnsi"/>
          <w:noProof/>
        </w:rPr>
        <w:t>.</w:t>
      </w:r>
      <w:r w:rsidR="002848CD">
        <w:rPr>
          <w:rFonts w:cstheme="minorHAnsi"/>
          <w:noProof/>
        </w:rPr>
        <w:t xml:space="preserve"> </w:t>
      </w:r>
      <w:r>
        <w:rPr>
          <w:rFonts w:cstheme="minorHAnsi"/>
          <w:noProof/>
        </w:rPr>
        <w:t>A detailed description of the types of EPAS actions and related templates is available on the EPAS page of the EASA website</w:t>
      </w:r>
      <w:r w:rsidR="005D6030">
        <w:rPr>
          <w:rFonts w:cstheme="minorHAnsi"/>
          <w:noProof/>
        </w:rPr>
        <w:t>:</w:t>
      </w:r>
    </w:p>
    <w:p w14:paraId="3715B272" w14:textId="77777777" w:rsidR="002848CD" w:rsidRPr="00C86564" w:rsidRDefault="00E001AA" w:rsidP="00354684">
      <w:pPr>
        <w:pStyle w:val="ListParagraph"/>
        <w:numPr>
          <w:ilvl w:val="0"/>
          <w:numId w:val="79"/>
        </w:numPr>
        <w:rPr>
          <w:rFonts w:cs="Times New Roman"/>
          <w:noProof/>
          <w:color w:val="222F64"/>
          <w:sz w:val="22"/>
        </w:rPr>
      </w:pPr>
      <w:hyperlink r:id="rId63" w:tgtFrame="_blank" w:tooltip="EPAS action types and templates - EPAS 2022-2026v2.pdf" w:history="1">
        <w:r w:rsidR="002848CD" w:rsidRPr="00C86564">
          <w:rPr>
            <w:rStyle w:val="Hyperlink"/>
            <w:rFonts w:cs="Times New Roman"/>
            <w:noProof/>
            <w:color w:val="007FC2"/>
            <w:sz w:val="22"/>
          </w:rPr>
          <w:t>EPAS action types and templates</w:t>
        </w:r>
      </w:hyperlink>
    </w:p>
    <w:p w14:paraId="566B859F" w14:textId="77777777" w:rsidR="00775CA1" w:rsidRPr="001D3732" w:rsidRDefault="00775CA1" w:rsidP="00775CA1">
      <w:pPr>
        <w:rPr>
          <w:rFonts w:cstheme="minorHAnsi"/>
          <w:noProof/>
        </w:rPr>
      </w:pPr>
      <w:r w:rsidRPr="001D3732">
        <w:rPr>
          <w:rFonts w:cstheme="minorHAnsi"/>
          <w:noProof/>
        </w:rPr>
        <w:t>Once discussed</w:t>
      </w:r>
      <w:r>
        <w:rPr>
          <w:rFonts w:cstheme="minorHAnsi"/>
          <w:noProof/>
        </w:rPr>
        <w:t xml:space="preserve"> and </w:t>
      </w:r>
      <w:r w:rsidRPr="001D3732">
        <w:rPr>
          <w:rFonts w:cstheme="minorHAnsi"/>
          <w:noProof/>
        </w:rPr>
        <w:t>agreed upon</w:t>
      </w:r>
      <w:r>
        <w:rPr>
          <w:rFonts w:cstheme="minorHAnsi"/>
          <w:noProof/>
        </w:rPr>
        <w:t>,</w:t>
      </w:r>
      <w:r w:rsidRPr="001D3732">
        <w:rPr>
          <w:rFonts w:cstheme="minorHAnsi"/>
          <w:noProof/>
        </w:rPr>
        <w:t xml:space="preserve"> the actions</w:t>
      </w:r>
      <w:r>
        <w:rPr>
          <w:rFonts w:cstheme="minorHAnsi"/>
          <w:noProof/>
        </w:rPr>
        <w:t xml:space="preserve"> </w:t>
      </w:r>
      <w:r w:rsidRPr="001D3732">
        <w:rPr>
          <w:rFonts w:cstheme="minorHAnsi"/>
          <w:noProof/>
        </w:rPr>
        <w:t xml:space="preserve">are then included in the next </w:t>
      </w:r>
      <w:r w:rsidR="00AE6BC1">
        <w:rPr>
          <w:rFonts w:cstheme="minorHAnsi"/>
          <w:noProof/>
        </w:rPr>
        <w:t xml:space="preserve">edition </w:t>
      </w:r>
      <w:r w:rsidRPr="001D3732">
        <w:rPr>
          <w:rFonts w:cstheme="minorHAnsi"/>
          <w:noProof/>
        </w:rPr>
        <w:t xml:space="preserve">of the EPAS. Actions that are </w:t>
      </w:r>
      <w:r>
        <w:rPr>
          <w:rFonts w:cstheme="minorHAnsi"/>
          <w:noProof/>
        </w:rPr>
        <w:t xml:space="preserve">of </w:t>
      </w:r>
      <w:r w:rsidRPr="001D3732">
        <w:rPr>
          <w:rFonts w:cstheme="minorHAnsi"/>
          <w:noProof/>
        </w:rPr>
        <w:t>low cost</w:t>
      </w:r>
      <w:r>
        <w:rPr>
          <w:rFonts w:cstheme="minorHAnsi"/>
          <w:noProof/>
        </w:rPr>
        <w:t xml:space="preserve"> </w:t>
      </w:r>
      <w:r w:rsidRPr="001D3732">
        <w:rPr>
          <w:rFonts w:cstheme="minorHAnsi"/>
          <w:noProof/>
        </w:rPr>
        <w:t>or require more rapid intervention are often fast-tracked and appear in the</w:t>
      </w:r>
      <w:r>
        <w:rPr>
          <w:rFonts w:cstheme="minorHAnsi"/>
          <w:noProof/>
        </w:rPr>
        <w:t xml:space="preserve"> </w:t>
      </w:r>
      <w:r w:rsidRPr="001D3732">
        <w:rPr>
          <w:rFonts w:cstheme="minorHAnsi"/>
          <w:noProof/>
        </w:rPr>
        <w:t>next available update of the EPAS</w:t>
      </w:r>
      <w:r w:rsidR="005D6030">
        <w:rPr>
          <w:rFonts w:cstheme="minorHAnsi"/>
          <w:noProof/>
        </w:rPr>
        <w:t>, without need for a BIS</w:t>
      </w:r>
      <w:r w:rsidRPr="001D3732">
        <w:rPr>
          <w:rFonts w:cstheme="minorHAnsi"/>
          <w:noProof/>
        </w:rPr>
        <w:t>. In some cases, more immediate safety</w:t>
      </w:r>
      <w:r>
        <w:rPr>
          <w:rFonts w:cstheme="minorHAnsi"/>
          <w:noProof/>
        </w:rPr>
        <w:t xml:space="preserve"> </w:t>
      </w:r>
      <w:r w:rsidRPr="001D3732">
        <w:rPr>
          <w:rFonts w:cstheme="minorHAnsi"/>
          <w:noProof/>
        </w:rPr>
        <w:t>actions are needed that may be completed before the next EPAS would be</w:t>
      </w:r>
      <w:r>
        <w:rPr>
          <w:rFonts w:cstheme="minorHAnsi"/>
          <w:noProof/>
        </w:rPr>
        <w:t xml:space="preserve"> </w:t>
      </w:r>
      <w:r w:rsidRPr="001D3732">
        <w:rPr>
          <w:rFonts w:cstheme="minorHAnsi"/>
          <w:noProof/>
        </w:rPr>
        <w:t xml:space="preserve">published. Naturally, these are not included within </w:t>
      </w:r>
      <w:r>
        <w:rPr>
          <w:rFonts w:cstheme="minorHAnsi"/>
          <w:noProof/>
        </w:rPr>
        <w:t xml:space="preserve">the </w:t>
      </w:r>
      <w:r w:rsidRPr="001D3732">
        <w:rPr>
          <w:rFonts w:cstheme="minorHAnsi"/>
          <w:noProof/>
        </w:rPr>
        <w:t>EPAS. Such actions could</w:t>
      </w:r>
      <w:r>
        <w:rPr>
          <w:rFonts w:cstheme="minorHAnsi"/>
          <w:noProof/>
        </w:rPr>
        <w:t xml:space="preserve"> </w:t>
      </w:r>
      <w:r w:rsidRPr="001D3732">
        <w:rPr>
          <w:rFonts w:cstheme="minorHAnsi"/>
          <w:noProof/>
        </w:rPr>
        <w:t xml:space="preserve">include the publication of a </w:t>
      </w:r>
      <w:r>
        <w:rPr>
          <w:rFonts w:cstheme="minorHAnsi"/>
          <w:noProof/>
        </w:rPr>
        <w:t>s</w:t>
      </w:r>
      <w:r w:rsidRPr="001D3732">
        <w:rPr>
          <w:rFonts w:cstheme="minorHAnsi"/>
          <w:noProof/>
        </w:rPr>
        <w:t xml:space="preserve">afety </w:t>
      </w:r>
      <w:r>
        <w:rPr>
          <w:rFonts w:cstheme="minorHAnsi"/>
          <w:noProof/>
        </w:rPr>
        <w:t>i</w:t>
      </w:r>
      <w:r w:rsidRPr="001D3732">
        <w:rPr>
          <w:rFonts w:cstheme="minorHAnsi"/>
          <w:noProof/>
        </w:rPr>
        <w:t xml:space="preserve">nformation </w:t>
      </w:r>
      <w:r>
        <w:rPr>
          <w:rFonts w:cstheme="minorHAnsi"/>
          <w:noProof/>
        </w:rPr>
        <w:t>b</w:t>
      </w:r>
      <w:r w:rsidRPr="001D3732">
        <w:rPr>
          <w:rFonts w:cstheme="minorHAnsi"/>
          <w:noProof/>
        </w:rPr>
        <w:t>ulletin (SIB) or take the form</w:t>
      </w:r>
      <w:r>
        <w:rPr>
          <w:rFonts w:cstheme="minorHAnsi"/>
          <w:noProof/>
        </w:rPr>
        <w:t xml:space="preserve"> </w:t>
      </w:r>
      <w:r w:rsidRPr="001D3732">
        <w:rPr>
          <w:rFonts w:cstheme="minorHAnsi"/>
          <w:noProof/>
        </w:rPr>
        <w:t xml:space="preserve">of immediate </w:t>
      </w:r>
      <w:r>
        <w:rPr>
          <w:rFonts w:cstheme="minorHAnsi"/>
          <w:noProof/>
        </w:rPr>
        <w:t>s</w:t>
      </w:r>
      <w:r w:rsidRPr="001D3732">
        <w:rPr>
          <w:rFonts w:cstheme="minorHAnsi"/>
          <w:noProof/>
        </w:rPr>
        <w:t xml:space="preserve">afety </w:t>
      </w:r>
      <w:r>
        <w:rPr>
          <w:rFonts w:cstheme="minorHAnsi"/>
          <w:noProof/>
        </w:rPr>
        <w:t>p</w:t>
      </w:r>
      <w:r w:rsidRPr="001D3732">
        <w:rPr>
          <w:rFonts w:cstheme="minorHAnsi"/>
          <w:noProof/>
        </w:rPr>
        <w:t>romotion activities.</w:t>
      </w:r>
    </w:p>
    <w:p w14:paraId="75F2062A" w14:textId="77777777" w:rsidR="00651506" w:rsidRDefault="00775CA1" w:rsidP="00775CA1">
      <w:pPr>
        <w:rPr>
          <w:rFonts w:cstheme="minorHAnsi"/>
          <w:noProof/>
        </w:rPr>
      </w:pPr>
      <w:r w:rsidRPr="00923341">
        <w:rPr>
          <w:rFonts w:cstheme="minorHAnsi"/>
          <w:b/>
          <w:bCs/>
          <w:noProof/>
        </w:rPr>
        <w:t>Implementation and follow-up:</w:t>
      </w:r>
      <w:r w:rsidRPr="00BC5C21">
        <w:rPr>
          <w:rFonts w:cstheme="minorHAnsi"/>
          <w:noProof/>
        </w:rPr>
        <w:t xml:space="preserve"> </w:t>
      </w:r>
      <w:r w:rsidRPr="001D3732">
        <w:rPr>
          <w:rFonts w:cstheme="minorHAnsi"/>
          <w:noProof/>
        </w:rPr>
        <w:t>The next step in the process involves the</w:t>
      </w:r>
      <w:r>
        <w:rPr>
          <w:rFonts w:cstheme="minorHAnsi"/>
          <w:noProof/>
        </w:rPr>
        <w:t xml:space="preserve"> </w:t>
      </w:r>
      <w:r w:rsidRPr="001D3732">
        <w:rPr>
          <w:rFonts w:cstheme="minorHAnsi"/>
          <w:noProof/>
        </w:rPr>
        <w:t>implementation and follow-up of the actions that have been included within</w:t>
      </w:r>
      <w:r>
        <w:rPr>
          <w:rFonts w:cstheme="minorHAnsi"/>
          <w:noProof/>
        </w:rPr>
        <w:t xml:space="preserve"> </w:t>
      </w:r>
      <w:r w:rsidRPr="001D3732">
        <w:rPr>
          <w:rFonts w:cstheme="minorHAnsi"/>
          <w:noProof/>
        </w:rPr>
        <w:t>the EPAS.</w:t>
      </w:r>
    </w:p>
    <w:p w14:paraId="60E37E8E" w14:textId="77777777" w:rsidR="00651506" w:rsidRDefault="00651506" w:rsidP="00651506">
      <w:pPr>
        <w:rPr>
          <w:rFonts w:cstheme="minorHAnsi"/>
          <w:noProof/>
        </w:rPr>
      </w:pPr>
      <w:r>
        <w:rPr>
          <w:rFonts w:cstheme="minorHAnsi"/>
          <w:noProof/>
        </w:rPr>
        <w:t>EASA monitors the timely implementation of actions on the basis of the KPIs defined in t</w:t>
      </w:r>
      <w:r w:rsidR="0047202C">
        <w:rPr>
          <w:rFonts w:cstheme="minorHAnsi"/>
          <w:noProof/>
        </w:rPr>
        <w:t>h</w:t>
      </w:r>
      <w:r>
        <w:rPr>
          <w:rFonts w:cstheme="minorHAnsi"/>
          <w:noProof/>
        </w:rPr>
        <w:t xml:space="preserve">e context of the Single Programming </w:t>
      </w:r>
      <w:r w:rsidR="0047202C">
        <w:rPr>
          <w:rFonts w:cstheme="minorHAnsi"/>
          <w:noProof/>
        </w:rPr>
        <w:t>process</w:t>
      </w:r>
      <w:r>
        <w:rPr>
          <w:rFonts w:cstheme="minorHAnsi"/>
          <w:noProof/>
        </w:rPr>
        <w:t xml:space="preserve">. </w:t>
      </w:r>
      <w:r w:rsidR="0047202C">
        <w:rPr>
          <w:rFonts w:cstheme="minorHAnsi"/>
          <w:noProof/>
        </w:rPr>
        <w:t>Feedback on progress is regularly provided during AB meetings.</w:t>
      </w:r>
    </w:p>
    <w:p w14:paraId="127AECD3" w14:textId="0F82F4A9" w:rsidR="0047202C" w:rsidRDefault="00651506" w:rsidP="00651506">
      <w:pPr>
        <w:rPr>
          <w:rFonts w:cstheme="minorHAnsi"/>
          <w:noProof/>
        </w:rPr>
      </w:pPr>
      <w:r>
        <w:rPr>
          <w:rFonts w:cstheme="minorHAnsi"/>
          <w:noProof/>
        </w:rPr>
        <w:t xml:space="preserve">Article 8 </w:t>
      </w:r>
      <w:r w:rsidR="00E639F7">
        <w:rPr>
          <w:rFonts w:cstheme="minorHAnsi"/>
          <w:noProof/>
        </w:rPr>
        <w:t xml:space="preserve">of </w:t>
      </w:r>
      <w:r w:rsidR="00E639F7" w:rsidRPr="00E639F7">
        <w:rPr>
          <w:rFonts w:cstheme="minorHAnsi"/>
          <w:noProof/>
        </w:rPr>
        <w:t>Regulation (EU) 2018/1139</w:t>
      </w:r>
      <w:r w:rsidR="00E639F7">
        <w:rPr>
          <w:rFonts w:cstheme="minorHAnsi"/>
          <w:noProof/>
        </w:rPr>
        <w:t xml:space="preserve"> </w:t>
      </w:r>
      <w:r>
        <w:rPr>
          <w:rFonts w:cstheme="minorHAnsi"/>
          <w:noProof/>
        </w:rPr>
        <w:t xml:space="preserve">requires Member States to consider </w:t>
      </w:r>
      <w:r w:rsidR="0047202C">
        <w:rPr>
          <w:rFonts w:cstheme="minorHAnsi"/>
          <w:noProof/>
        </w:rPr>
        <w:t xml:space="preserve">relevant </w:t>
      </w:r>
      <w:r>
        <w:rPr>
          <w:rFonts w:cstheme="minorHAnsi"/>
          <w:noProof/>
        </w:rPr>
        <w:t xml:space="preserve">EPAS </w:t>
      </w:r>
      <w:r w:rsidRPr="00651506">
        <w:rPr>
          <w:rFonts w:cstheme="minorHAnsi"/>
          <w:noProof/>
        </w:rPr>
        <w:t xml:space="preserve">actions </w:t>
      </w:r>
      <w:r>
        <w:rPr>
          <w:rFonts w:cstheme="minorHAnsi"/>
          <w:noProof/>
        </w:rPr>
        <w:t xml:space="preserve">and risks within their own State Plan for Aviation Safety (SPAS) and to </w:t>
      </w:r>
      <w:r w:rsidRPr="00651506">
        <w:rPr>
          <w:rFonts w:cstheme="minorHAnsi"/>
          <w:noProof/>
        </w:rPr>
        <w:t>provid</w:t>
      </w:r>
      <w:r>
        <w:rPr>
          <w:rFonts w:cstheme="minorHAnsi"/>
          <w:noProof/>
        </w:rPr>
        <w:t>e</w:t>
      </w:r>
      <w:r w:rsidRPr="00651506">
        <w:rPr>
          <w:rFonts w:cstheme="minorHAnsi"/>
          <w:noProof/>
        </w:rPr>
        <w:t xml:space="preserve"> justifications when such actions are not </w:t>
      </w:r>
      <w:r w:rsidR="0047202C">
        <w:rPr>
          <w:rFonts w:cstheme="minorHAnsi"/>
          <w:noProof/>
        </w:rPr>
        <w:t xml:space="preserve">considered </w:t>
      </w:r>
      <w:r w:rsidRPr="00651506">
        <w:rPr>
          <w:rFonts w:cstheme="minorHAnsi"/>
          <w:noProof/>
        </w:rPr>
        <w:t>relevant to them.</w:t>
      </w:r>
      <w:r>
        <w:rPr>
          <w:rFonts w:cstheme="minorHAnsi"/>
          <w:noProof/>
        </w:rPr>
        <w:t xml:space="preserve"> </w:t>
      </w:r>
      <w:r w:rsidRPr="00651506">
        <w:rPr>
          <w:rFonts w:cstheme="minorHAnsi"/>
          <w:noProof/>
        </w:rPr>
        <w:t xml:space="preserve">Accordingly, </w:t>
      </w:r>
      <w:r>
        <w:rPr>
          <w:rFonts w:cstheme="minorHAnsi"/>
          <w:noProof/>
        </w:rPr>
        <w:t xml:space="preserve">the </w:t>
      </w:r>
      <w:r w:rsidRPr="00651506">
        <w:rPr>
          <w:rFonts w:cstheme="minorHAnsi"/>
          <w:noProof/>
        </w:rPr>
        <w:t xml:space="preserve">SPAS remains </w:t>
      </w:r>
      <w:r w:rsidR="0047202C">
        <w:rPr>
          <w:rFonts w:cstheme="minorHAnsi"/>
          <w:noProof/>
        </w:rPr>
        <w:t xml:space="preserve">an important </w:t>
      </w:r>
      <w:r w:rsidRPr="00651506">
        <w:rPr>
          <w:rFonts w:cstheme="minorHAnsi"/>
          <w:noProof/>
        </w:rPr>
        <w:t xml:space="preserve">tool for Member States to report on action implementation. States are expected to review their SPAS at least annually and where their SPAS is not updated annually, to maintain records on the implementation of relevant EPAS actions, including justification where such actions are not considered relevant. </w:t>
      </w:r>
    </w:p>
    <w:p w14:paraId="10DC08F6" w14:textId="3F62A61F" w:rsidR="0047202C" w:rsidRDefault="0047202C" w:rsidP="00651506">
      <w:pPr>
        <w:rPr>
          <w:rFonts w:cstheme="minorHAnsi"/>
          <w:noProof/>
        </w:rPr>
      </w:pPr>
      <w:r>
        <w:rPr>
          <w:rFonts w:cstheme="minorHAnsi"/>
          <w:noProof/>
        </w:rPr>
        <w:t xml:space="preserve">EASA regularly assesses </w:t>
      </w:r>
      <w:r w:rsidR="00651506" w:rsidRPr="00651506">
        <w:rPr>
          <w:rFonts w:cstheme="minorHAnsi"/>
          <w:noProof/>
        </w:rPr>
        <w:t>SSP implementation</w:t>
      </w:r>
      <w:r>
        <w:rPr>
          <w:rFonts w:cstheme="minorHAnsi"/>
          <w:noProof/>
        </w:rPr>
        <w:t xml:space="preserve"> at the level of individual States</w:t>
      </w:r>
      <w:r w:rsidR="00651506" w:rsidRPr="00651506">
        <w:rPr>
          <w:rFonts w:cstheme="minorHAnsi"/>
          <w:noProof/>
        </w:rPr>
        <w:t xml:space="preserve"> as part of the EASA </w:t>
      </w:r>
      <w:r>
        <w:rPr>
          <w:rFonts w:cstheme="minorHAnsi"/>
          <w:noProof/>
        </w:rPr>
        <w:t xml:space="preserve">SYS </w:t>
      </w:r>
      <w:r w:rsidR="00F87153">
        <w:rPr>
          <w:rFonts w:cstheme="minorHAnsi"/>
          <w:noProof/>
        </w:rPr>
        <w:t>s</w:t>
      </w:r>
      <w:r w:rsidR="00651506" w:rsidRPr="00651506">
        <w:rPr>
          <w:rFonts w:cstheme="minorHAnsi"/>
          <w:noProof/>
        </w:rPr>
        <w:t>tandardisation activities.</w:t>
      </w:r>
      <w:r>
        <w:rPr>
          <w:rFonts w:cstheme="minorHAnsi"/>
          <w:noProof/>
        </w:rPr>
        <w:t xml:space="preserve"> </w:t>
      </w:r>
      <w:r w:rsidR="00543FB9" w:rsidRPr="00543FB9">
        <w:rPr>
          <w:rFonts w:cs="Calibri"/>
          <w:noProof/>
        </w:rPr>
        <w:t xml:space="preserve"> </w:t>
      </w:r>
      <w:r w:rsidR="00543FB9" w:rsidRPr="00543FB9">
        <w:rPr>
          <w:rFonts w:cstheme="minorHAnsi"/>
          <w:noProof/>
        </w:rPr>
        <w:t xml:space="preserve">The assessment is intended to identify strengths and areas for improvement, contributing to the further maturation of SSP implementation in Europe, to meet the GASP and EPAS goals for effective SSP implementation by 2025. </w:t>
      </w:r>
      <w:r w:rsidR="00543FB9">
        <w:rPr>
          <w:rFonts w:cstheme="minorHAnsi"/>
          <w:noProof/>
        </w:rPr>
        <w:t xml:space="preserve"> T</w:t>
      </w:r>
      <w:r>
        <w:rPr>
          <w:rFonts w:cstheme="minorHAnsi"/>
          <w:noProof/>
        </w:rPr>
        <w:t xml:space="preserve">his </w:t>
      </w:r>
      <w:r w:rsidR="0012497B">
        <w:rPr>
          <w:rFonts w:cstheme="minorHAnsi"/>
          <w:noProof/>
        </w:rPr>
        <w:t xml:space="preserve">entails </w:t>
      </w:r>
      <w:r>
        <w:rPr>
          <w:rFonts w:cstheme="minorHAnsi"/>
          <w:noProof/>
        </w:rPr>
        <w:t xml:space="preserve">an assessment of the </w:t>
      </w:r>
      <w:r w:rsidRPr="00651506">
        <w:rPr>
          <w:rFonts w:cstheme="minorHAnsi"/>
          <w:noProof/>
        </w:rPr>
        <w:t>processes and outcomes of safety action planning at State level</w:t>
      </w:r>
      <w:r>
        <w:rPr>
          <w:rFonts w:cstheme="minorHAnsi"/>
          <w:noProof/>
        </w:rPr>
        <w:t xml:space="preserve">. Moreover, those EPAS actions also included in the EUR RASP will be subject to annual implementation surveys managed by the ICAO EUR Regional Office. Results of such monitoring will be discussed at AB meetings and the EUR Regional Expert Safety Group (RESG) respectively. </w:t>
      </w:r>
    </w:p>
    <w:p w14:paraId="64508295" w14:textId="77777777" w:rsidR="00775CA1" w:rsidRDefault="00775CA1" w:rsidP="00775CA1">
      <w:pPr>
        <w:rPr>
          <w:rFonts w:cstheme="minorHAnsi"/>
          <w:noProof/>
        </w:rPr>
      </w:pPr>
      <w:r w:rsidRPr="00923341">
        <w:rPr>
          <w:rFonts w:cstheme="minorHAnsi"/>
          <w:b/>
          <w:bCs/>
          <w:noProof/>
        </w:rPr>
        <w:t>Safety performance measurement:</w:t>
      </w:r>
      <w:r w:rsidRPr="00BC5C21">
        <w:rPr>
          <w:rFonts w:cstheme="minorHAnsi"/>
          <w:noProof/>
        </w:rPr>
        <w:t xml:space="preserve"> </w:t>
      </w:r>
      <w:r w:rsidRPr="001D3732">
        <w:rPr>
          <w:rFonts w:cstheme="minorHAnsi"/>
          <w:noProof/>
        </w:rPr>
        <w:t xml:space="preserve">The final stage in the </w:t>
      </w:r>
      <w:r w:rsidR="0047202C">
        <w:rPr>
          <w:rFonts w:cstheme="minorHAnsi"/>
          <w:noProof/>
        </w:rPr>
        <w:t xml:space="preserve">SRM </w:t>
      </w:r>
      <w:r w:rsidRPr="001D3732">
        <w:rPr>
          <w:rFonts w:cstheme="minorHAnsi"/>
          <w:noProof/>
        </w:rPr>
        <w:t>process is the measurement of safety performance. This serves to</w:t>
      </w:r>
      <w:r>
        <w:rPr>
          <w:rFonts w:cstheme="minorHAnsi"/>
          <w:noProof/>
        </w:rPr>
        <w:t xml:space="preserve"> </w:t>
      </w:r>
      <w:r w:rsidRPr="001D3732">
        <w:rPr>
          <w:rFonts w:cstheme="minorHAnsi"/>
          <w:noProof/>
        </w:rPr>
        <w:t>monitor</w:t>
      </w:r>
      <w:r>
        <w:rPr>
          <w:rFonts w:cstheme="minorHAnsi"/>
          <w:noProof/>
        </w:rPr>
        <w:t>:</w:t>
      </w:r>
      <w:r w:rsidRPr="001D3732">
        <w:rPr>
          <w:rFonts w:cstheme="minorHAnsi"/>
          <w:noProof/>
        </w:rPr>
        <w:t xml:space="preserve"> </w:t>
      </w:r>
    </w:p>
    <w:p w14:paraId="7FAE7753" w14:textId="77777777" w:rsidR="00775CA1" w:rsidRDefault="00775CA1" w:rsidP="00775CA1">
      <w:pPr>
        <w:ind w:left="567" w:hanging="567"/>
        <w:rPr>
          <w:rFonts w:cstheme="minorHAnsi"/>
          <w:noProof/>
        </w:rPr>
      </w:pPr>
      <w:r>
        <w:rPr>
          <w:rFonts w:cstheme="minorHAnsi"/>
          <w:noProof/>
        </w:rPr>
        <w:t xml:space="preserve">(1) </w:t>
      </w:r>
      <w:r>
        <w:rPr>
          <w:rFonts w:cstheme="minorHAnsi"/>
          <w:noProof/>
        </w:rPr>
        <w:tab/>
        <w:t xml:space="preserve">specific </w:t>
      </w:r>
      <w:r w:rsidRPr="001D3732">
        <w:rPr>
          <w:rFonts w:cstheme="minorHAnsi"/>
          <w:noProof/>
        </w:rPr>
        <w:t>changes that have resulted from the implementation of safety</w:t>
      </w:r>
      <w:r>
        <w:rPr>
          <w:rFonts w:cstheme="minorHAnsi"/>
          <w:noProof/>
        </w:rPr>
        <w:t xml:space="preserve"> </w:t>
      </w:r>
      <w:r w:rsidRPr="001D3732">
        <w:rPr>
          <w:rFonts w:cstheme="minorHAnsi"/>
          <w:noProof/>
        </w:rPr>
        <w:t>actions</w:t>
      </w:r>
      <w:r>
        <w:rPr>
          <w:rFonts w:cstheme="minorHAnsi"/>
          <w:noProof/>
        </w:rPr>
        <w:t xml:space="preserve">; and  </w:t>
      </w:r>
    </w:p>
    <w:p w14:paraId="6324AC41" w14:textId="77777777" w:rsidR="00775CA1" w:rsidRDefault="00775CA1" w:rsidP="00775CA1">
      <w:pPr>
        <w:ind w:left="567" w:hanging="567"/>
        <w:rPr>
          <w:rFonts w:cstheme="minorHAnsi"/>
          <w:noProof/>
        </w:rPr>
      </w:pPr>
      <w:r>
        <w:rPr>
          <w:rFonts w:cstheme="minorHAnsi"/>
          <w:noProof/>
        </w:rPr>
        <w:t xml:space="preserve">(2) </w:t>
      </w:r>
      <w:r>
        <w:rPr>
          <w:rFonts w:cstheme="minorHAnsi"/>
          <w:noProof/>
        </w:rPr>
        <w:tab/>
      </w:r>
      <w:r w:rsidRPr="001D3732">
        <w:rPr>
          <w:rFonts w:cstheme="minorHAnsi"/>
          <w:noProof/>
        </w:rPr>
        <w:t xml:space="preserve">the </w:t>
      </w:r>
      <w:r>
        <w:rPr>
          <w:rFonts w:cstheme="minorHAnsi"/>
          <w:noProof/>
        </w:rPr>
        <w:t>systemic changes that may have occurred in the aviation system and may require additional actions.</w:t>
      </w:r>
    </w:p>
    <w:p w14:paraId="10F11242" w14:textId="77777777" w:rsidR="00775CA1" w:rsidRDefault="00775CA1" w:rsidP="00775CA1">
      <w:pPr>
        <w:rPr>
          <w:rFonts w:cstheme="minorHAnsi"/>
          <w:noProof/>
        </w:rPr>
      </w:pPr>
      <w:r>
        <w:rPr>
          <w:rFonts w:cstheme="minorHAnsi"/>
          <w:noProof/>
        </w:rPr>
        <w:t>The measurement of the performance is done via a safety performance framework that</w:t>
      </w:r>
      <w:r w:rsidRPr="003A1799">
        <w:rPr>
          <w:rFonts w:cstheme="minorHAnsi"/>
          <w:noProof/>
        </w:rPr>
        <w:t xml:space="preserve"> </w:t>
      </w:r>
      <w:r>
        <w:rPr>
          <w:rFonts w:cstheme="minorHAnsi"/>
          <w:noProof/>
        </w:rPr>
        <w:t xml:space="preserve">monitors: </w:t>
      </w:r>
    </w:p>
    <w:p w14:paraId="0B561CE3" w14:textId="77777777" w:rsidR="00775CA1" w:rsidRDefault="00775CA1" w:rsidP="00775CA1">
      <w:pPr>
        <w:ind w:left="567" w:hanging="567"/>
        <w:rPr>
          <w:rFonts w:cstheme="minorHAnsi"/>
          <w:noProof/>
        </w:rPr>
      </w:pPr>
      <w:r>
        <w:rPr>
          <w:rFonts w:cstheme="minorHAnsi"/>
          <w:noProof/>
        </w:rPr>
        <w:t xml:space="preserve">(1) </w:t>
      </w:r>
      <w:r>
        <w:rPr>
          <w:rFonts w:cstheme="minorHAnsi"/>
          <w:noProof/>
        </w:rPr>
        <w:tab/>
        <w:t xml:space="preserve">transversally the various domains while looking at the </w:t>
      </w:r>
      <w:r w:rsidRPr="001D3732">
        <w:rPr>
          <w:rFonts w:cstheme="minorHAnsi"/>
          <w:noProof/>
        </w:rPr>
        <w:t>key risk areas at domain</w:t>
      </w:r>
      <w:r>
        <w:rPr>
          <w:rFonts w:cstheme="minorHAnsi"/>
          <w:noProof/>
        </w:rPr>
        <w:t xml:space="preserve"> </w:t>
      </w:r>
      <w:r w:rsidRPr="001D3732">
        <w:rPr>
          <w:rFonts w:cstheme="minorHAnsi"/>
          <w:noProof/>
        </w:rPr>
        <w:t>level</w:t>
      </w:r>
      <w:r>
        <w:rPr>
          <w:rFonts w:cstheme="minorHAnsi"/>
          <w:noProof/>
        </w:rPr>
        <w:t xml:space="preserve">; and </w:t>
      </w:r>
    </w:p>
    <w:p w14:paraId="019ED8B5" w14:textId="77777777" w:rsidR="00775CA1" w:rsidRDefault="00775CA1" w:rsidP="00775CA1">
      <w:pPr>
        <w:ind w:left="567" w:hanging="567"/>
        <w:rPr>
          <w:rFonts w:cstheme="minorHAnsi"/>
          <w:noProof/>
        </w:rPr>
      </w:pPr>
      <w:r>
        <w:rPr>
          <w:rFonts w:cstheme="minorHAnsi"/>
          <w:noProof/>
        </w:rPr>
        <w:t xml:space="preserve">(2) </w:t>
      </w:r>
      <w:r>
        <w:rPr>
          <w:rFonts w:cstheme="minorHAnsi"/>
          <w:noProof/>
        </w:rPr>
        <w:tab/>
        <w:t>the specific safety issues.</w:t>
      </w:r>
      <w:r w:rsidRPr="001D3732">
        <w:rPr>
          <w:rFonts w:cstheme="minorHAnsi"/>
          <w:noProof/>
        </w:rPr>
        <w:t xml:space="preserve"> </w:t>
      </w:r>
    </w:p>
    <w:p w14:paraId="45EC399F" w14:textId="77777777" w:rsidR="009007A5" w:rsidRPr="00AD31EE" w:rsidRDefault="00775CA1" w:rsidP="00FB18C9">
      <w:pPr>
        <w:rPr>
          <w:noProof/>
        </w:rPr>
      </w:pPr>
      <w:r w:rsidRPr="001D3732">
        <w:rPr>
          <w:rFonts w:cstheme="minorHAnsi"/>
          <w:noProof/>
        </w:rPr>
        <w:t xml:space="preserve">The </w:t>
      </w:r>
      <w:r w:rsidR="00116E38">
        <w:rPr>
          <w:rFonts w:cstheme="minorHAnsi"/>
          <w:noProof/>
        </w:rPr>
        <w:t xml:space="preserve">EASA </w:t>
      </w:r>
      <w:r w:rsidRPr="001D3732">
        <w:rPr>
          <w:rFonts w:cstheme="minorHAnsi"/>
          <w:noProof/>
        </w:rPr>
        <w:t>Annual Safety Review</w:t>
      </w:r>
      <w:r>
        <w:rPr>
          <w:rFonts w:cstheme="minorHAnsi"/>
          <w:noProof/>
        </w:rPr>
        <w:t xml:space="preserve"> (ASR)</w:t>
      </w:r>
      <w:r w:rsidRPr="001D3732">
        <w:rPr>
          <w:rFonts w:cstheme="minorHAnsi"/>
          <w:noProof/>
        </w:rPr>
        <w:t xml:space="preserve"> is</w:t>
      </w:r>
      <w:r>
        <w:rPr>
          <w:rFonts w:cstheme="minorHAnsi"/>
          <w:noProof/>
        </w:rPr>
        <w:t xml:space="preserve"> </w:t>
      </w:r>
      <w:r w:rsidRPr="001D3732">
        <w:rPr>
          <w:rFonts w:cstheme="minorHAnsi"/>
          <w:noProof/>
        </w:rPr>
        <w:t>the annual review of the safety performance framework. It identifies safety</w:t>
      </w:r>
      <w:r>
        <w:rPr>
          <w:rFonts w:cstheme="minorHAnsi"/>
          <w:noProof/>
        </w:rPr>
        <w:t xml:space="preserve"> </w:t>
      </w:r>
      <w:r w:rsidRPr="001D3732">
        <w:rPr>
          <w:rFonts w:cstheme="minorHAnsi"/>
          <w:noProof/>
        </w:rPr>
        <w:t>trends, highlights priority domains, key risk areas and safety issues. From this</w:t>
      </w:r>
      <w:r>
        <w:rPr>
          <w:rFonts w:cstheme="minorHAnsi"/>
          <w:noProof/>
        </w:rPr>
        <w:t xml:space="preserve"> </w:t>
      </w:r>
      <w:r w:rsidRPr="001D3732">
        <w:rPr>
          <w:rFonts w:cstheme="minorHAnsi"/>
          <w:noProof/>
        </w:rPr>
        <w:t>step, the SRM process begins again.</w:t>
      </w:r>
      <w:r w:rsidR="00B0748D">
        <w:rPr>
          <w:rFonts w:cstheme="minorHAnsi"/>
          <w:noProof/>
        </w:rPr>
        <w:t xml:space="preserve"> </w:t>
      </w:r>
      <w:bookmarkStart w:id="127" w:name="_Definition_and_Programming"/>
      <w:bookmarkEnd w:id="127"/>
      <w:r w:rsidR="009E4DC5">
        <w:rPr>
          <w:rFonts w:cstheme="minorHAnsi"/>
          <w:noProof/>
        </w:rPr>
        <w:t xml:space="preserve">Concerning the ASR, see </w:t>
      </w:r>
      <w:r w:rsidR="00116E38">
        <w:rPr>
          <w:rFonts w:cstheme="minorHAnsi"/>
          <w:noProof/>
        </w:rPr>
        <w:t>§ 2.3.3 for further details on the EASA ASR.</w:t>
      </w:r>
    </w:p>
    <w:p w14:paraId="126B6680" w14:textId="023EC5FD" w:rsidR="00ED53A8" w:rsidRPr="00271129" w:rsidRDefault="00973B9E" w:rsidP="00271129">
      <w:pPr>
        <w:pStyle w:val="Heading3"/>
        <w:numPr>
          <w:ilvl w:val="0"/>
          <w:numId w:val="35"/>
        </w:numPr>
        <w:spacing w:before="240" w:after="240"/>
        <w:ind w:hanging="720"/>
        <w:rPr>
          <w:noProof/>
        </w:rPr>
      </w:pPr>
      <w:bookmarkStart w:id="128" w:name="_Toc94875665"/>
      <w:bookmarkStart w:id="129" w:name="_Toc102569218"/>
      <w:r>
        <w:rPr>
          <w:noProof/>
        </w:rPr>
        <w:t xml:space="preserve">The </w:t>
      </w:r>
      <w:r w:rsidR="009007A5" w:rsidRPr="009007A5">
        <w:rPr>
          <w:noProof/>
        </w:rPr>
        <w:t>European Plan for Aviation Safety</w:t>
      </w:r>
      <w:r w:rsidR="009007A5">
        <w:rPr>
          <w:noProof/>
        </w:rPr>
        <w:t>: international dimension</w:t>
      </w:r>
      <w:bookmarkEnd w:id="128"/>
      <w:bookmarkEnd w:id="129"/>
    </w:p>
    <w:p w14:paraId="3D48045B" w14:textId="77777777" w:rsidR="00D327AF" w:rsidRDefault="00334599" w:rsidP="00CD277F">
      <w:pPr>
        <w:rPr>
          <w:rFonts w:cstheme="minorHAnsi"/>
          <w:bCs/>
          <w:noProof/>
        </w:rPr>
      </w:pPr>
      <w:r w:rsidRPr="00CD277F">
        <w:rPr>
          <w:rFonts w:cstheme="minorHAnsi"/>
          <w:bCs/>
          <w:noProof/>
        </w:rPr>
        <w:t xml:space="preserve">The EPAS supports the objectives and priorities of the GASP. The purpose of the GASP is to continually reduce fatalities and the risk of fatalities by guiding the development of a harmonised aviation safety strategy and the development and implementation of regional and national aviation safety plans. A safe aviation system contributes to the economic development of </w:t>
      </w:r>
      <w:r w:rsidR="00A46B04">
        <w:rPr>
          <w:rFonts w:cstheme="minorHAnsi"/>
          <w:bCs/>
          <w:noProof/>
        </w:rPr>
        <w:t>State</w:t>
      </w:r>
      <w:r w:rsidRPr="00CD277F">
        <w:rPr>
          <w:rFonts w:cstheme="minorHAnsi"/>
          <w:bCs/>
          <w:noProof/>
        </w:rPr>
        <w:t xml:space="preserve">s and their industries. The GASP promotes the implementation of a </w:t>
      </w:r>
      <w:r w:rsidR="00A46B04">
        <w:rPr>
          <w:rFonts w:cstheme="minorHAnsi"/>
          <w:bCs/>
          <w:noProof/>
        </w:rPr>
        <w:t>State</w:t>
      </w:r>
      <w:r w:rsidRPr="00CD277F">
        <w:rPr>
          <w:rFonts w:cstheme="minorHAnsi"/>
          <w:bCs/>
          <w:noProof/>
        </w:rPr>
        <w:t>’s safety oversight system by promoting</w:t>
      </w:r>
      <w:r w:rsidRPr="00CD277F" w:rsidDel="00E57010">
        <w:rPr>
          <w:rFonts w:cstheme="minorHAnsi"/>
          <w:bCs/>
          <w:noProof/>
        </w:rPr>
        <w:t xml:space="preserve"> </w:t>
      </w:r>
      <w:r w:rsidRPr="00CD277F">
        <w:rPr>
          <w:rFonts w:cstheme="minorHAnsi"/>
          <w:bCs/>
          <w:noProof/>
        </w:rPr>
        <w:t xml:space="preserve">a risk-based approach to managing safety as well as a coordinated approach to collaboration between </w:t>
      </w:r>
      <w:r w:rsidR="00A46B04">
        <w:rPr>
          <w:rFonts w:cstheme="minorHAnsi"/>
          <w:bCs/>
          <w:noProof/>
        </w:rPr>
        <w:t>State</w:t>
      </w:r>
      <w:r w:rsidRPr="00CD277F">
        <w:rPr>
          <w:rFonts w:cstheme="minorHAnsi"/>
          <w:bCs/>
          <w:noProof/>
        </w:rPr>
        <w:t xml:space="preserve">s, regions and industry. In addition to addressing systemic safety, the GASP addresses </w:t>
      </w:r>
      <w:r w:rsidR="00D327AF">
        <w:rPr>
          <w:rFonts w:cstheme="minorHAnsi"/>
          <w:bCs/>
          <w:noProof/>
        </w:rPr>
        <w:t xml:space="preserve">global </w:t>
      </w:r>
      <w:r w:rsidRPr="00CD277F">
        <w:rPr>
          <w:rFonts w:cstheme="minorHAnsi"/>
          <w:bCs/>
          <w:noProof/>
        </w:rPr>
        <w:t>high-risk categories of occurrences (</w:t>
      </w:r>
      <w:r w:rsidR="00D327AF">
        <w:rPr>
          <w:rFonts w:cstheme="minorHAnsi"/>
          <w:bCs/>
          <w:noProof/>
        </w:rPr>
        <w:t>G-</w:t>
      </w:r>
      <w:r w:rsidRPr="00CD277F">
        <w:rPr>
          <w:rFonts w:cstheme="minorHAnsi"/>
          <w:bCs/>
          <w:noProof/>
        </w:rPr>
        <w:t>HRCs), which are deemed global safety priorities. These categories were determined based on actual fatalities from past accidents, high fatality risk per accident or the number of accidents and incidents. The key risk areas identified through the European S</w:t>
      </w:r>
      <w:r w:rsidR="00794A76">
        <w:rPr>
          <w:rFonts w:cstheme="minorHAnsi"/>
          <w:bCs/>
          <w:noProof/>
        </w:rPr>
        <w:t xml:space="preserve">afety </w:t>
      </w:r>
      <w:r w:rsidRPr="00CD277F">
        <w:rPr>
          <w:rFonts w:cstheme="minorHAnsi"/>
          <w:bCs/>
          <w:noProof/>
        </w:rPr>
        <w:t>R</w:t>
      </w:r>
      <w:r w:rsidR="00794A76">
        <w:rPr>
          <w:rFonts w:cstheme="minorHAnsi"/>
          <w:bCs/>
          <w:noProof/>
        </w:rPr>
        <w:t xml:space="preserve">isk </w:t>
      </w:r>
      <w:r w:rsidRPr="00CD277F">
        <w:rPr>
          <w:rFonts w:cstheme="minorHAnsi"/>
          <w:bCs/>
          <w:noProof/>
        </w:rPr>
        <w:t>M</w:t>
      </w:r>
      <w:r w:rsidR="00794A76">
        <w:rPr>
          <w:rFonts w:cstheme="minorHAnsi"/>
          <w:bCs/>
          <w:noProof/>
        </w:rPr>
        <w:t>anagement</w:t>
      </w:r>
      <w:r w:rsidRPr="00CD277F">
        <w:rPr>
          <w:rFonts w:cstheme="minorHAnsi"/>
          <w:bCs/>
          <w:noProof/>
        </w:rPr>
        <w:t xml:space="preserve"> process</w:t>
      </w:r>
      <w:r w:rsidR="00D327AF">
        <w:rPr>
          <w:rFonts w:cstheme="minorHAnsi"/>
          <w:bCs/>
          <w:noProof/>
        </w:rPr>
        <w:t xml:space="preserve"> include the </w:t>
      </w:r>
      <w:r w:rsidR="009E4DC5">
        <w:rPr>
          <w:rFonts w:cstheme="minorHAnsi"/>
          <w:bCs/>
          <w:noProof/>
        </w:rPr>
        <w:t>five</w:t>
      </w:r>
      <w:r w:rsidR="00D327AF">
        <w:rPr>
          <w:rFonts w:cstheme="minorHAnsi"/>
          <w:bCs/>
          <w:noProof/>
        </w:rPr>
        <w:t xml:space="preserve"> G-HRCs, which are </w:t>
      </w:r>
    </w:p>
    <w:p w14:paraId="0EDBF852" w14:textId="77777777" w:rsidR="00D327AF" w:rsidRDefault="00D327AF" w:rsidP="00D327AF">
      <w:pPr>
        <w:pStyle w:val="ListParagraph"/>
        <w:numPr>
          <w:ilvl w:val="0"/>
          <w:numId w:val="58"/>
        </w:numPr>
        <w:rPr>
          <w:rFonts w:cstheme="minorHAnsi"/>
          <w:bCs/>
          <w:noProof/>
        </w:rPr>
      </w:pPr>
      <w:r w:rsidRPr="006522E0">
        <w:rPr>
          <w:rFonts w:cstheme="minorHAnsi"/>
          <w:bCs/>
          <w:noProof/>
        </w:rPr>
        <w:t xml:space="preserve">controlled flight into terrain; </w:t>
      </w:r>
    </w:p>
    <w:p w14:paraId="27D20C6D" w14:textId="77777777" w:rsidR="00D327AF" w:rsidRDefault="00D327AF" w:rsidP="00D327AF">
      <w:pPr>
        <w:pStyle w:val="ListParagraph"/>
        <w:numPr>
          <w:ilvl w:val="0"/>
          <w:numId w:val="58"/>
        </w:numPr>
        <w:rPr>
          <w:rFonts w:cstheme="minorHAnsi"/>
          <w:bCs/>
          <w:noProof/>
        </w:rPr>
      </w:pPr>
      <w:r w:rsidRPr="006522E0">
        <w:rPr>
          <w:rFonts w:cstheme="minorHAnsi"/>
          <w:bCs/>
          <w:noProof/>
        </w:rPr>
        <w:t xml:space="preserve">loss of control in-flight; </w:t>
      </w:r>
    </w:p>
    <w:p w14:paraId="403372A3" w14:textId="77777777" w:rsidR="00D327AF" w:rsidRDefault="00D327AF" w:rsidP="00D327AF">
      <w:pPr>
        <w:pStyle w:val="ListParagraph"/>
        <w:numPr>
          <w:ilvl w:val="0"/>
          <w:numId w:val="58"/>
        </w:numPr>
        <w:rPr>
          <w:rFonts w:cstheme="minorHAnsi"/>
          <w:bCs/>
          <w:noProof/>
        </w:rPr>
      </w:pPr>
      <w:r w:rsidRPr="006522E0">
        <w:rPr>
          <w:rFonts w:cstheme="minorHAnsi"/>
          <w:bCs/>
          <w:noProof/>
        </w:rPr>
        <w:t xml:space="preserve">mid-air collision; </w:t>
      </w:r>
    </w:p>
    <w:p w14:paraId="10C1A42B" w14:textId="77777777" w:rsidR="00D327AF" w:rsidRDefault="00D327AF" w:rsidP="00D327AF">
      <w:pPr>
        <w:pStyle w:val="ListParagraph"/>
        <w:numPr>
          <w:ilvl w:val="0"/>
          <w:numId w:val="58"/>
        </w:numPr>
        <w:rPr>
          <w:rFonts w:cstheme="minorHAnsi"/>
          <w:bCs/>
          <w:noProof/>
        </w:rPr>
      </w:pPr>
      <w:r w:rsidRPr="006522E0">
        <w:rPr>
          <w:rFonts w:cstheme="minorHAnsi"/>
          <w:bCs/>
          <w:noProof/>
        </w:rPr>
        <w:t xml:space="preserve">runway excursion; and </w:t>
      </w:r>
    </w:p>
    <w:p w14:paraId="6FC3CE00" w14:textId="77777777" w:rsidR="00D327AF" w:rsidRDefault="00D327AF" w:rsidP="00D327AF">
      <w:pPr>
        <w:pStyle w:val="ListParagraph"/>
        <w:numPr>
          <w:ilvl w:val="0"/>
          <w:numId w:val="58"/>
        </w:numPr>
        <w:rPr>
          <w:rFonts w:cstheme="minorHAnsi"/>
          <w:bCs/>
          <w:noProof/>
        </w:rPr>
      </w:pPr>
      <w:r w:rsidRPr="006522E0">
        <w:rPr>
          <w:rFonts w:cstheme="minorHAnsi"/>
          <w:bCs/>
          <w:noProof/>
        </w:rPr>
        <w:t>runway incursion</w:t>
      </w:r>
      <w:r>
        <w:rPr>
          <w:rFonts w:cstheme="minorHAnsi"/>
          <w:bCs/>
          <w:noProof/>
        </w:rPr>
        <w:t>.</w:t>
      </w:r>
    </w:p>
    <w:p w14:paraId="45C2C1AC" w14:textId="77777777" w:rsidR="00F75E9B" w:rsidRPr="008608F8" w:rsidRDefault="00D327AF" w:rsidP="000F192D">
      <w:pPr>
        <w:rPr>
          <w:rFonts w:cstheme="minorHAnsi"/>
          <w:bCs/>
          <w:noProof/>
        </w:rPr>
      </w:pPr>
      <w:r w:rsidRPr="000F192D">
        <w:rPr>
          <w:rFonts w:cstheme="minorHAnsi"/>
          <w:bCs/>
          <w:noProof/>
        </w:rPr>
        <w:t>Additional key risk areas are identified within the scope of the EPAS (refer to EPAS Volume III Chapter 17)</w:t>
      </w:r>
      <w:r w:rsidR="000F192D" w:rsidRPr="000F192D">
        <w:rPr>
          <w:rFonts w:cstheme="minorHAnsi"/>
          <w:bCs/>
          <w:noProof/>
        </w:rPr>
        <w:t>, such as fire, smoke and pressurisation, g</w:t>
      </w:r>
      <w:r w:rsidR="000F192D" w:rsidRPr="008608F8">
        <w:rPr>
          <w:rFonts w:cstheme="minorHAnsi"/>
          <w:bCs/>
          <w:noProof/>
        </w:rPr>
        <w:t xml:space="preserve">round damage, </w:t>
      </w:r>
      <w:r w:rsidR="000F192D">
        <w:rPr>
          <w:rFonts w:cstheme="minorHAnsi"/>
          <w:bCs/>
          <w:noProof/>
        </w:rPr>
        <w:t>o</w:t>
      </w:r>
      <w:r w:rsidR="000F192D" w:rsidRPr="000F192D">
        <w:rPr>
          <w:rFonts w:cstheme="minorHAnsi"/>
          <w:bCs/>
          <w:noProof/>
        </w:rPr>
        <w:t>bstacle collision in flight,</w:t>
      </w:r>
      <w:r w:rsidR="000F192D" w:rsidRPr="008608F8">
        <w:rPr>
          <w:rFonts w:cstheme="minorHAnsi"/>
          <w:bCs/>
          <w:noProof/>
        </w:rPr>
        <w:t xml:space="preserve"> other injuries, and </w:t>
      </w:r>
      <w:r w:rsidR="000F192D">
        <w:rPr>
          <w:rFonts w:cstheme="minorHAnsi"/>
          <w:bCs/>
          <w:noProof/>
        </w:rPr>
        <w:t>s</w:t>
      </w:r>
      <w:r w:rsidR="000F192D" w:rsidRPr="000F192D">
        <w:rPr>
          <w:rFonts w:cstheme="minorHAnsi"/>
          <w:bCs/>
          <w:noProof/>
        </w:rPr>
        <w:t>ecurity</w:t>
      </w:r>
      <w:r w:rsidR="00334599" w:rsidRPr="008608F8">
        <w:rPr>
          <w:rFonts w:cstheme="minorHAnsi"/>
          <w:bCs/>
          <w:noProof/>
        </w:rPr>
        <w:t xml:space="preserve">. </w:t>
      </w:r>
    </w:p>
    <w:p w14:paraId="5B8CBE12" w14:textId="77777777" w:rsidR="00F75E9B" w:rsidRDefault="00D327AF" w:rsidP="00CD277F">
      <w:pPr>
        <w:rPr>
          <w:rFonts w:cs="Times New Roman"/>
          <w:noProof/>
          <w:szCs w:val="24"/>
        </w:rPr>
      </w:pPr>
      <w:bookmarkStart w:id="130" w:name="_Hlk88819673"/>
      <w:r>
        <w:rPr>
          <w:rFonts w:cstheme="minorHAnsi"/>
          <w:bCs/>
          <w:noProof/>
        </w:rPr>
        <w:t>Since 2017</w:t>
      </w:r>
      <w:r w:rsidR="00A90E7D" w:rsidRPr="00CD277F">
        <w:rPr>
          <w:rFonts w:cstheme="minorHAnsi"/>
          <w:bCs/>
          <w:noProof/>
        </w:rPr>
        <w:t xml:space="preserve"> </w:t>
      </w:r>
      <w:r w:rsidR="00F75E9B" w:rsidRPr="00923341">
        <w:rPr>
          <w:rFonts w:cs="Times New Roman"/>
          <w:noProof/>
          <w:szCs w:val="24"/>
        </w:rPr>
        <w:t xml:space="preserve">the ICAO Regional Office for the EUR/NAT region and EASA have been working together to develop a </w:t>
      </w:r>
      <w:r w:rsidR="00F84013">
        <w:rPr>
          <w:rFonts w:cs="Times New Roman"/>
          <w:noProof/>
          <w:szCs w:val="24"/>
        </w:rPr>
        <w:t>Regional Aviation Safety Plan (</w:t>
      </w:r>
      <w:r w:rsidR="00F75E9B" w:rsidRPr="00923341">
        <w:rPr>
          <w:rFonts w:cs="Times New Roman"/>
          <w:noProof/>
          <w:szCs w:val="24"/>
        </w:rPr>
        <w:t>RASP</w:t>
      </w:r>
      <w:r w:rsidR="00F84013">
        <w:rPr>
          <w:rFonts w:cs="Times New Roman"/>
          <w:noProof/>
          <w:szCs w:val="24"/>
        </w:rPr>
        <w:t>)</w:t>
      </w:r>
      <w:r w:rsidR="00F75E9B" w:rsidRPr="00923341">
        <w:rPr>
          <w:rFonts w:cs="Times New Roman"/>
          <w:noProof/>
          <w:szCs w:val="24"/>
        </w:rPr>
        <w:t xml:space="preserve"> based on the EPAS. </w:t>
      </w:r>
      <w:r w:rsidR="00A90E7D" w:rsidRPr="00FA767C">
        <w:rPr>
          <w:rFonts w:cs="Times New Roman"/>
          <w:noProof/>
          <w:szCs w:val="24"/>
        </w:rPr>
        <w:t xml:space="preserve">The first EUR RASP was issued in January 2019. </w:t>
      </w:r>
      <w:r w:rsidR="008D3473">
        <w:rPr>
          <w:rFonts w:cs="Times New Roman"/>
          <w:noProof/>
          <w:szCs w:val="24"/>
        </w:rPr>
        <w:t xml:space="preserve">The EUR Regional Experts Safety Group (EUR RESG) is responsible for maintaining and monitoring the EUR RASP. EUR RESG is co-chaired by EASA and </w:t>
      </w:r>
      <w:r w:rsidR="00F84013">
        <w:rPr>
          <w:rFonts w:cs="Times New Roman"/>
          <w:noProof/>
          <w:szCs w:val="24"/>
        </w:rPr>
        <w:t>i</w:t>
      </w:r>
      <w:r w:rsidR="008D3473">
        <w:rPr>
          <w:rFonts w:cs="Times New Roman"/>
          <w:noProof/>
          <w:szCs w:val="24"/>
        </w:rPr>
        <w:t xml:space="preserve">ndustry </w:t>
      </w:r>
      <w:r w:rsidR="00F84013">
        <w:rPr>
          <w:rFonts w:cs="Times New Roman"/>
          <w:noProof/>
          <w:szCs w:val="24"/>
        </w:rPr>
        <w:t xml:space="preserve">stakeholders </w:t>
      </w:r>
      <w:r w:rsidR="008D3473">
        <w:rPr>
          <w:rFonts w:cs="Times New Roman"/>
          <w:noProof/>
          <w:szCs w:val="24"/>
        </w:rPr>
        <w:t>(</w:t>
      </w:r>
      <w:r w:rsidR="0012046C">
        <w:rPr>
          <w:rFonts w:cs="Times New Roman"/>
          <w:noProof/>
          <w:szCs w:val="24"/>
        </w:rPr>
        <w:t xml:space="preserve">currently </w:t>
      </w:r>
      <w:r w:rsidR="008D3473">
        <w:rPr>
          <w:rFonts w:cs="Times New Roman"/>
          <w:noProof/>
          <w:szCs w:val="24"/>
        </w:rPr>
        <w:t xml:space="preserve">IATA). The EUR RESG reports to the </w:t>
      </w:r>
      <w:r w:rsidR="00F84013">
        <w:rPr>
          <w:rFonts w:cs="Times New Roman"/>
          <w:noProof/>
          <w:szCs w:val="24"/>
        </w:rPr>
        <w:t>European Aviation System Planning Group (</w:t>
      </w:r>
      <w:r w:rsidR="00775CA1">
        <w:rPr>
          <w:rFonts w:cs="Times New Roman"/>
          <w:noProof/>
          <w:szCs w:val="24"/>
        </w:rPr>
        <w:t>EASPG</w:t>
      </w:r>
      <w:r w:rsidR="00F84013">
        <w:rPr>
          <w:rFonts w:cs="Times New Roman"/>
          <w:noProof/>
          <w:szCs w:val="24"/>
        </w:rPr>
        <w:t>)</w:t>
      </w:r>
      <w:r w:rsidR="00F75E9B" w:rsidRPr="00923341">
        <w:rPr>
          <w:rFonts w:cs="Times New Roman"/>
          <w:noProof/>
          <w:szCs w:val="24"/>
        </w:rPr>
        <w:t xml:space="preserve">. </w:t>
      </w:r>
      <w:r w:rsidR="00A90E7D">
        <w:rPr>
          <w:rFonts w:cs="Times New Roman"/>
          <w:noProof/>
          <w:szCs w:val="24"/>
        </w:rPr>
        <w:t xml:space="preserve">Whereas EPAS </w:t>
      </w:r>
      <w:r w:rsidR="009D1A96">
        <w:rPr>
          <w:rFonts w:cs="Times New Roman"/>
          <w:noProof/>
          <w:szCs w:val="24"/>
        </w:rPr>
        <w:t>safety performance indicators</w:t>
      </w:r>
      <w:r w:rsidR="00A90E7D">
        <w:rPr>
          <w:rFonts w:cs="Times New Roman"/>
          <w:noProof/>
          <w:szCs w:val="24"/>
        </w:rPr>
        <w:t xml:space="preserve"> are determined as part of European Safety Risk Management</w:t>
      </w:r>
      <w:r w:rsidR="009D1A96">
        <w:rPr>
          <w:rFonts w:cs="Times New Roman"/>
          <w:noProof/>
          <w:szCs w:val="24"/>
        </w:rPr>
        <w:t>,</w:t>
      </w:r>
      <w:r w:rsidR="00A90E7D">
        <w:rPr>
          <w:rFonts w:cs="Times New Roman"/>
          <w:noProof/>
          <w:szCs w:val="24"/>
        </w:rPr>
        <w:t xml:space="preserve"> the </w:t>
      </w:r>
      <w:r w:rsidR="00F75E9B" w:rsidRPr="00923341">
        <w:rPr>
          <w:rFonts w:cs="Times New Roman"/>
          <w:noProof/>
          <w:szCs w:val="24"/>
        </w:rPr>
        <w:t>EUR RASP provides a set of EUR Safety Performance Indicators and targets derived from the GASP goals and targets</w:t>
      </w:r>
      <w:r w:rsidR="0012046C">
        <w:rPr>
          <w:rFonts w:cs="Times New Roman"/>
          <w:noProof/>
          <w:szCs w:val="24"/>
        </w:rPr>
        <w:t>, for which data is collected by ICAO</w:t>
      </w:r>
      <w:r w:rsidR="00F75E9B" w:rsidRPr="00923341">
        <w:rPr>
          <w:rFonts w:cs="Times New Roman"/>
          <w:noProof/>
          <w:szCs w:val="24"/>
        </w:rPr>
        <w:t>.</w:t>
      </w:r>
    </w:p>
    <w:p w14:paraId="4164A988" w14:textId="77777777" w:rsidR="00376E8D" w:rsidRDefault="00376E8D" w:rsidP="00376E8D">
      <w:pPr>
        <w:rPr>
          <w:rFonts w:cs="Times New Roman"/>
          <w:b/>
          <w:bCs/>
          <w:i/>
          <w:noProof/>
          <w:szCs w:val="24"/>
          <w:lang w:val="en-US"/>
        </w:rPr>
      </w:pPr>
    </w:p>
    <w:p w14:paraId="4DC89CF3" w14:textId="77777777" w:rsidR="00376E8D" w:rsidRDefault="00376E8D" w:rsidP="00376E8D">
      <w:pPr>
        <w:rPr>
          <w:rFonts w:cs="Times New Roman"/>
          <w:b/>
          <w:bCs/>
          <w:i/>
          <w:noProof/>
          <w:szCs w:val="24"/>
          <w:lang w:val="en-US"/>
        </w:rPr>
      </w:pPr>
    </w:p>
    <w:p w14:paraId="2439E840" w14:textId="77777777" w:rsidR="00376E8D" w:rsidRPr="00376E8D" w:rsidRDefault="00376E8D" w:rsidP="00376E8D">
      <w:pPr>
        <w:rPr>
          <w:rFonts w:cs="Times New Roman"/>
          <w:b/>
          <w:bCs/>
          <w:i/>
          <w:noProof/>
          <w:szCs w:val="24"/>
          <w:lang w:val="en-US"/>
        </w:rPr>
      </w:pPr>
      <w:r w:rsidRPr="00376E8D">
        <w:rPr>
          <w:rFonts w:cs="Times New Roman"/>
          <w:b/>
          <w:bCs/>
          <w:i/>
          <w:noProof/>
          <w:szCs w:val="24"/>
          <w:lang w:val="en-US"/>
        </w:rPr>
        <w:t>Figure 3. Relationship between the EASP, EPAS and other programmes and plans</w:t>
      </w:r>
    </w:p>
    <w:p w14:paraId="5C8FAE26" w14:textId="77777777" w:rsidR="00376E8D" w:rsidRPr="00FB18C9" w:rsidRDefault="00376E8D" w:rsidP="00CD277F">
      <w:pPr>
        <w:rPr>
          <w:rFonts w:cs="Times New Roman"/>
          <w:noProof/>
          <w:szCs w:val="24"/>
          <w:lang w:val="en-US"/>
        </w:rPr>
      </w:pPr>
    </w:p>
    <w:p w14:paraId="0F18CBEA" w14:textId="7F7ED255" w:rsidR="00376E8D" w:rsidRPr="00923341" w:rsidRDefault="00CE500B" w:rsidP="00CD277F">
      <w:pPr>
        <w:rPr>
          <w:rFonts w:cs="Times New Roman"/>
          <w:noProof/>
          <w:szCs w:val="24"/>
        </w:rPr>
      </w:pPr>
      <w:r>
        <w:rPr>
          <w:rFonts w:cs="Times New Roman"/>
          <w:noProof/>
          <w:szCs w:val="24"/>
          <w:lang w:eastAsia="en-GB"/>
        </w:rPr>
        <w:drawing>
          <wp:inline distT="0" distB="0" distL="0" distR="0" wp14:anchorId="3F57F9BF" wp14:editId="6806C0F8">
            <wp:extent cx="5761355" cy="28663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ASP Figure 3.PNG"/>
                    <pic:cNvPicPr/>
                  </pic:nvPicPr>
                  <pic:blipFill>
                    <a:blip r:embed="rId64">
                      <a:extLst>
                        <a:ext uri="{28A0092B-C50C-407E-A947-70E740481C1C}">
                          <a14:useLocalDpi xmlns:a14="http://schemas.microsoft.com/office/drawing/2010/main" val="0"/>
                        </a:ext>
                      </a:extLst>
                    </a:blip>
                    <a:stretch>
                      <a:fillRect/>
                    </a:stretch>
                  </pic:blipFill>
                  <pic:spPr>
                    <a:xfrm>
                      <a:off x="0" y="0"/>
                      <a:ext cx="5761355" cy="2866390"/>
                    </a:xfrm>
                    <a:prstGeom prst="rect">
                      <a:avLst/>
                    </a:prstGeom>
                  </pic:spPr>
                </pic:pic>
              </a:graphicData>
            </a:graphic>
          </wp:inline>
        </w:drawing>
      </w:r>
    </w:p>
    <w:bookmarkEnd w:id="130"/>
    <w:p w14:paraId="455376E5" w14:textId="4AC9F138" w:rsidR="00087497" w:rsidRDefault="00ED53A8" w:rsidP="008608F8">
      <w:pPr>
        <w:pStyle w:val="Heading2"/>
        <w:ind w:hanging="720"/>
        <w:rPr>
          <w:noProof/>
        </w:rPr>
      </w:pPr>
      <w:r>
        <w:rPr>
          <w:noProof/>
          <w:highlight w:val="yellow"/>
        </w:rPr>
        <w:br w:type="page"/>
      </w:r>
      <w:bookmarkStart w:id="131" w:name="_Toc102569219"/>
      <w:r w:rsidR="008608F8">
        <w:rPr>
          <w:noProof/>
        </w:rPr>
        <w:t>S</w:t>
      </w:r>
      <w:r w:rsidR="002501D0" w:rsidRPr="008608F8">
        <w:rPr>
          <w:noProof/>
        </w:rPr>
        <w:t>afety performance</w:t>
      </w:r>
      <w:r w:rsidR="00CD3CF1" w:rsidRPr="008608F8">
        <w:rPr>
          <w:noProof/>
        </w:rPr>
        <w:t xml:space="preserve"> monitoring</w:t>
      </w:r>
      <w:bookmarkEnd w:id="131"/>
    </w:p>
    <w:p w14:paraId="2E051372" w14:textId="77777777" w:rsidR="00216CD8" w:rsidRDefault="00216CD8" w:rsidP="00216CD8">
      <w:pPr>
        <w:rPr>
          <w:noProof/>
        </w:rPr>
      </w:pPr>
      <w:r>
        <w:rPr>
          <w:noProof/>
        </w:rPr>
        <w:t xml:space="preserve">Safety performance is considered to be the </w:t>
      </w:r>
      <w:r w:rsidR="003E5471">
        <w:rPr>
          <w:noProof/>
        </w:rPr>
        <w:t>Region’s</w:t>
      </w:r>
      <w:r w:rsidR="00CB1992">
        <w:rPr>
          <w:noProof/>
        </w:rPr>
        <w:t>,</w:t>
      </w:r>
      <w:r w:rsidR="003E5471">
        <w:rPr>
          <w:noProof/>
        </w:rPr>
        <w:t xml:space="preserve"> </w:t>
      </w:r>
      <w:r w:rsidR="00A46B04">
        <w:rPr>
          <w:noProof/>
        </w:rPr>
        <w:t>State</w:t>
      </w:r>
      <w:r>
        <w:rPr>
          <w:noProof/>
        </w:rPr>
        <w:t>’s or organisation’s safety achievement assessed through quantitative and/or qualitative means.</w:t>
      </w:r>
    </w:p>
    <w:p w14:paraId="13C7D79B" w14:textId="2D704318" w:rsidR="003E5471" w:rsidRDefault="00216CD8" w:rsidP="00216CD8">
      <w:pPr>
        <w:rPr>
          <w:noProof/>
        </w:rPr>
      </w:pPr>
      <w:r>
        <w:rPr>
          <w:noProof/>
        </w:rPr>
        <w:t>The</w:t>
      </w:r>
      <w:r w:rsidRPr="00E00EA5">
        <w:rPr>
          <w:noProof/>
        </w:rPr>
        <w:t xml:space="preserve"> level of safety performance </w:t>
      </w:r>
      <w:r w:rsidR="003E5471">
        <w:rPr>
          <w:noProof/>
        </w:rPr>
        <w:t xml:space="preserve">to be achieved </w:t>
      </w:r>
      <w:r w:rsidRPr="00E00EA5">
        <w:rPr>
          <w:noProof/>
        </w:rPr>
        <w:t xml:space="preserve">should not have a binding character but should rather express the ambition of the Union and of </w:t>
      </w:r>
      <w:r w:rsidR="00AB506A">
        <w:rPr>
          <w:noProof/>
        </w:rPr>
        <w:t>its</w:t>
      </w:r>
      <w:r w:rsidRPr="00E00EA5">
        <w:rPr>
          <w:noProof/>
        </w:rPr>
        <w:t xml:space="preserve"> Member </w:t>
      </w:r>
      <w:r w:rsidR="00A46B04">
        <w:rPr>
          <w:noProof/>
        </w:rPr>
        <w:t>State</w:t>
      </w:r>
      <w:r w:rsidRPr="00E00EA5">
        <w:rPr>
          <w:noProof/>
        </w:rPr>
        <w:t xml:space="preserve">s regarding civil aviation safety, as expressed in </w:t>
      </w:r>
      <w:r w:rsidR="00AB506A" w:rsidRPr="00E00EA5">
        <w:rPr>
          <w:noProof/>
        </w:rPr>
        <w:t>Article 6</w:t>
      </w:r>
      <w:r w:rsidR="00AB506A">
        <w:rPr>
          <w:noProof/>
        </w:rPr>
        <w:t xml:space="preserve"> of </w:t>
      </w:r>
      <w:hyperlink r:id="rId65" w:anchor="regulations-basic-regulation" w:history="1">
        <w:r w:rsidRPr="00E00EA5">
          <w:rPr>
            <w:noProof/>
          </w:rPr>
          <w:t>Regulation (EU) 2018</w:t>
        </w:r>
      </w:hyperlink>
      <w:r w:rsidR="00F80804">
        <w:rPr>
          <w:noProof/>
        </w:rPr>
        <w:t>/1139</w:t>
      </w:r>
      <w:r w:rsidRPr="00E00EA5">
        <w:rPr>
          <w:noProof/>
        </w:rPr>
        <w:t>.</w:t>
      </w:r>
      <w:r>
        <w:rPr>
          <w:noProof/>
        </w:rPr>
        <w:t xml:space="preserve"> </w:t>
      </w:r>
    </w:p>
    <w:p w14:paraId="74A70AF4" w14:textId="77777777" w:rsidR="00762828" w:rsidRPr="00853F53" w:rsidRDefault="00762828" w:rsidP="00216CD8">
      <w:pPr>
        <w:rPr>
          <w:bCs/>
          <w:noProof/>
        </w:rPr>
      </w:pPr>
      <w:r w:rsidRPr="00853F53">
        <w:rPr>
          <w:bCs/>
          <w:noProof/>
        </w:rPr>
        <w:t xml:space="preserve">Note: </w:t>
      </w:r>
    </w:p>
    <w:p w14:paraId="475C34F1" w14:textId="77777777" w:rsidR="00762828" w:rsidRPr="00853F53" w:rsidRDefault="00762828" w:rsidP="00216CD8">
      <w:pPr>
        <w:rPr>
          <w:noProof/>
        </w:rPr>
      </w:pPr>
      <w:r w:rsidRPr="00853F53">
        <w:rPr>
          <w:noProof/>
        </w:rPr>
        <w:t xml:space="preserve">The concept of Acceptable Level of Safety Performance (ALoSP) as defined in ICAO Annex 19 </w:t>
      </w:r>
      <w:r w:rsidR="00E9428A" w:rsidRPr="00853F53">
        <w:rPr>
          <w:noProof/>
        </w:rPr>
        <w:t xml:space="preserve">second edition </w:t>
      </w:r>
      <w:r w:rsidRPr="00853F53">
        <w:rPr>
          <w:noProof/>
        </w:rPr>
        <w:t xml:space="preserve">Standard 3.4.2.1 is proposed to be removed for the next edition, in line with recommendations from States and industry stakeholders. Instead, the need for active monitoring </w:t>
      </w:r>
      <w:r w:rsidR="00116E38" w:rsidRPr="00853F53">
        <w:rPr>
          <w:noProof/>
        </w:rPr>
        <w:t xml:space="preserve">and management </w:t>
      </w:r>
      <w:r w:rsidRPr="00853F53">
        <w:rPr>
          <w:noProof/>
        </w:rPr>
        <w:t xml:space="preserve">of safety performance </w:t>
      </w:r>
      <w:r w:rsidR="00116E38" w:rsidRPr="00853F53">
        <w:rPr>
          <w:noProof/>
        </w:rPr>
        <w:t xml:space="preserve">based on </w:t>
      </w:r>
      <w:r w:rsidRPr="00853F53">
        <w:rPr>
          <w:noProof/>
        </w:rPr>
        <w:t xml:space="preserve">indicators reflecting the safety objectives will be </w:t>
      </w:r>
      <w:r w:rsidR="00116E38" w:rsidRPr="00853F53">
        <w:rPr>
          <w:noProof/>
        </w:rPr>
        <w:t>highlighted.</w:t>
      </w:r>
    </w:p>
    <w:p w14:paraId="3767D698" w14:textId="77777777" w:rsidR="002848CD" w:rsidRDefault="00216CD8" w:rsidP="00216CD8">
      <w:pPr>
        <w:rPr>
          <w:noProof/>
        </w:rPr>
      </w:pPr>
      <w:r>
        <w:rPr>
          <w:noProof/>
        </w:rPr>
        <w:t xml:space="preserve">Further guidance </w:t>
      </w:r>
      <w:r w:rsidR="00CB1992">
        <w:rPr>
          <w:noProof/>
        </w:rPr>
        <w:t>on safety performance management</w:t>
      </w:r>
      <w:r w:rsidR="002848CD">
        <w:rPr>
          <w:noProof/>
        </w:rPr>
        <w:t xml:space="preserve">, </w:t>
      </w:r>
      <w:r>
        <w:rPr>
          <w:noProof/>
        </w:rPr>
        <w:t xml:space="preserve">provided </w:t>
      </w:r>
      <w:r w:rsidR="002848CD">
        <w:rPr>
          <w:noProof/>
        </w:rPr>
        <w:t>by EASA, is available here:</w:t>
      </w:r>
    </w:p>
    <w:p w14:paraId="25A06547" w14:textId="77777777" w:rsidR="00216CD8" w:rsidRPr="00286CAD" w:rsidRDefault="00E001AA" w:rsidP="00FB18C9">
      <w:pPr>
        <w:pStyle w:val="ListParagraph"/>
        <w:numPr>
          <w:ilvl w:val="0"/>
          <w:numId w:val="78"/>
        </w:numPr>
        <w:rPr>
          <w:rFonts w:cs="Times New Roman"/>
          <w:noProof/>
          <w:szCs w:val="24"/>
        </w:rPr>
      </w:pPr>
      <w:hyperlink r:id="rId66" w:history="1">
        <w:r w:rsidR="002848CD" w:rsidRPr="00286CAD">
          <w:rPr>
            <w:rStyle w:val="Hyperlink"/>
            <w:rFonts w:cs="Times New Roman"/>
            <w:noProof/>
            <w:color w:val="007FC2"/>
            <w:szCs w:val="24"/>
            <w:shd w:val="clear" w:color="auto" w:fill="FEFEFE"/>
          </w:rPr>
          <w:t>Guidance on the Acceptable Level of Safety Performance (ALoSP), Safety Performance Management and Safety Assurance</w:t>
        </w:r>
      </w:hyperlink>
      <w:r w:rsidR="002848CD" w:rsidRPr="00286CAD">
        <w:rPr>
          <w:rFonts w:cs="Times New Roman"/>
          <w:noProof/>
          <w:color w:val="555555"/>
          <w:szCs w:val="24"/>
          <w:shd w:val="clear" w:color="auto" w:fill="FEFEFE"/>
        </w:rPr>
        <w:t>.</w:t>
      </w:r>
      <w:r w:rsidR="00216CD8" w:rsidRPr="00286CAD">
        <w:rPr>
          <w:rFonts w:cs="Times New Roman"/>
          <w:noProof/>
          <w:szCs w:val="24"/>
        </w:rPr>
        <w:t xml:space="preserve"> </w:t>
      </w:r>
    </w:p>
    <w:p w14:paraId="155A2964" w14:textId="77777777" w:rsidR="000B538A" w:rsidRDefault="002501D0" w:rsidP="002C53D0">
      <w:pPr>
        <w:pStyle w:val="Heading3"/>
        <w:numPr>
          <w:ilvl w:val="0"/>
          <w:numId w:val="38"/>
        </w:numPr>
        <w:spacing w:before="240" w:after="240"/>
        <w:ind w:hanging="720"/>
        <w:rPr>
          <w:noProof/>
        </w:rPr>
      </w:pPr>
      <w:bookmarkStart w:id="132" w:name="_Toc94875667"/>
      <w:bookmarkStart w:id="133" w:name="_Toc102569220"/>
      <w:bookmarkStart w:id="134" w:name="_Hlk94622656"/>
      <w:r>
        <w:rPr>
          <w:noProof/>
        </w:rPr>
        <w:t>Agreement on sa</w:t>
      </w:r>
      <w:r w:rsidRPr="002501D0">
        <w:rPr>
          <w:noProof/>
        </w:rPr>
        <w:t>fety performance of orga</w:t>
      </w:r>
      <w:r>
        <w:rPr>
          <w:noProof/>
        </w:rPr>
        <w:t>ni</w:t>
      </w:r>
      <w:r w:rsidRPr="002501D0">
        <w:rPr>
          <w:noProof/>
        </w:rPr>
        <w:t>sations</w:t>
      </w:r>
      <w:bookmarkEnd w:id="132"/>
      <w:bookmarkEnd w:id="133"/>
    </w:p>
    <w:bookmarkEnd w:id="134"/>
    <w:p w14:paraId="3EF29794" w14:textId="77777777" w:rsidR="00664B46" w:rsidRDefault="00664B46" w:rsidP="00664B46">
      <w:pPr>
        <w:shd w:val="clear" w:color="auto" w:fill="FFFFFF"/>
        <w:rPr>
          <w:noProof/>
        </w:rPr>
      </w:pPr>
      <w:r>
        <w:rPr>
          <w:noProof/>
        </w:rPr>
        <w:t>The EU M</w:t>
      </w:r>
      <w:r w:rsidR="00CB1992">
        <w:rPr>
          <w:noProof/>
        </w:rPr>
        <w:t xml:space="preserve">ember States </w:t>
      </w:r>
      <w:r w:rsidR="003E5471">
        <w:rPr>
          <w:noProof/>
        </w:rPr>
        <w:t xml:space="preserve">are responsible </w:t>
      </w:r>
      <w:r>
        <w:rPr>
          <w:noProof/>
        </w:rPr>
        <w:t xml:space="preserve">to periodically assess the </w:t>
      </w:r>
      <w:r w:rsidR="00CB1992">
        <w:rPr>
          <w:noProof/>
        </w:rPr>
        <w:t>m</w:t>
      </w:r>
      <w:r>
        <w:rPr>
          <w:noProof/>
        </w:rPr>
        <w:t xml:space="preserve">anagement </w:t>
      </w:r>
      <w:r w:rsidR="00CB1992">
        <w:rPr>
          <w:noProof/>
        </w:rPr>
        <w:t>s</w:t>
      </w:r>
      <w:r>
        <w:rPr>
          <w:noProof/>
        </w:rPr>
        <w:t xml:space="preserve">ystem of the organisations, which includes the monitoring of the safety performance </w:t>
      </w:r>
      <w:r w:rsidR="00CB1992">
        <w:rPr>
          <w:noProof/>
        </w:rPr>
        <w:t>by</w:t>
      </w:r>
      <w:r>
        <w:rPr>
          <w:noProof/>
        </w:rPr>
        <w:t xml:space="preserve"> the organisations under their jurisdiction, </w:t>
      </w:r>
      <w:r w:rsidR="003E5471">
        <w:rPr>
          <w:noProof/>
        </w:rPr>
        <w:t xml:space="preserve">where such </w:t>
      </w:r>
      <w:r w:rsidR="00CB1992">
        <w:rPr>
          <w:noProof/>
        </w:rPr>
        <w:t>m</w:t>
      </w:r>
      <w:r>
        <w:rPr>
          <w:noProof/>
        </w:rPr>
        <w:t xml:space="preserve">anagement </w:t>
      </w:r>
      <w:r w:rsidR="00CB1992">
        <w:rPr>
          <w:noProof/>
        </w:rPr>
        <w:t>s</w:t>
      </w:r>
      <w:r>
        <w:rPr>
          <w:noProof/>
        </w:rPr>
        <w:t xml:space="preserve">ystem is required. The level of safety performance to achieve should be </w:t>
      </w:r>
      <w:r w:rsidR="00CB1992">
        <w:rPr>
          <w:noProof/>
        </w:rPr>
        <w:t xml:space="preserve">assessed against the safety objectives and consider the </w:t>
      </w:r>
      <w:r w:rsidRPr="00E00EA5">
        <w:rPr>
          <w:noProof/>
        </w:rPr>
        <w:t xml:space="preserve">effectiveness of </w:t>
      </w:r>
      <w:r w:rsidR="00CB1992">
        <w:rPr>
          <w:noProof/>
        </w:rPr>
        <w:t xml:space="preserve">risk </w:t>
      </w:r>
      <w:r w:rsidRPr="00E00EA5">
        <w:rPr>
          <w:noProof/>
        </w:rPr>
        <w:t xml:space="preserve">mitigation actions </w:t>
      </w:r>
      <w:r>
        <w:rPr>
          <w:noProof/>
        </w:rPr>
        <w:t xml:space="preserve">and </w:t>
      </w:r>
      <w:r w:rsidR="00CB1992">
        <w:rPr>
          <w:noProof/>
        </w:rPr>
        <w:t xml:space="preserve">monitoring </w:t>
      </w:r>
      <w:r w:rsidR="003E5471">
        <w:rPr>
          <w:noProof/>
        </w:rPr>
        <w:t xml:space="preserve">should </w:t>
      </w:r>
      <w:r w:rsidR="00CB1992">
        <w:rPr>
          <w:noProof/>
        </w:rPr>
        <w:t xml:space="preserve">consider </w:t>
      </w:r>
      <w:r w:rsidR="003E5471">
        <w:rPr>
          <w:noProof/>
        </w:rPr>
        <w:t xml:space="preserve">a combination of process-based and </w:t>
      </w:r>
      <w:r w:rsidR="0012046C">
        <w:rPr>
          <w:noProof/>
        </w:rPr>
        <w:t>outcome-based</w:t>
      </w:r>
      <w:r w:rsidR="003E5471">
        <w:rPr>
          <w:noProof/>
        </w:rPr>
        <w:t xml:space="preserve"> indicators, which are derived from the </w:t>
      </w:r>
      <w:r>
        <w:rPr>
          <w:noProof/>
        </w:rPr>
        <w:t>safety objectives</w:t>
      </w:r>
      <w:r w:rsidR="00306C0C">
        <w:rPr>
          <w:noProof/>
        </w:rPr>
        <w:t>.</w:t>
      </w:r>
    </w:p>
    <w:p w14:paraId="7BADCFB8" w14:textId="54655234" w:rsidR="00664B46" w:rsidRDefault="00AE7E88" w:rsidP="00664B46">
      <w:pPr>
        <w:shd w:val="clear" w:color="auto" w:fill="FFFFFF"/>
        <w:rPr>
          <w:rFonts w:cs="Calibri"/>
          <w:noProof/>
        </w:rPr>
      </w:pPr>
      <w:r>
        <w:rPr>
          <w:rFonts w:cs="Calibri"/>
          <w:noProof/>
        </w:rPr>
        <w:t>C</w:t>
      </w:r>
      <w:r w:rsidR="00664B46">
        <w:rPr>
          <w:rFonts w:cs="Calibri"/>
          <w:noProof/>
        </w:rPr>
        <w:t xml:space="preserve">oherence in safety </w:t>
      </w:r>
      <w:r w:rsidR="00664B46" w:rsidRPr="00574A18">
        <w:rPr>
          <w:rFonts w:cs="Calibri"/>
          <w:noProof/>
        </w:rPr>
        <w:t xml:space="preserve">objectives </w:t>
      </w:r>
      <w:r>
        <w:rPr>
          <w:rFonts w:cs="Calibri"/>
          <w:noProof/>
        </w:rPr>
        <w:t xml:space="preserve">must be ensured </w:t>
      </w:r>
      <w:r w:rsidR="00664B46" w:rsidRPr="00574A18">
        <w:rPr>
          <w:rFonts w:cs="Calibri"/>
          <w:noProof/>
        </w:rPr>
        <w:t xml:space="preserve">between the </w:t>
      </w:r>
      <w:r w:rsidR="00A46B04">
        <w:rPr>
          <w:rFonts w:cs="Calibri"/>
          <w:noProof/>
        </w:rPr>
        <w:t>State</w:t>
      </w:r>
      <w:r w:rsidR="00664B46">
        <w:rPr>
          <w:rFonts w:cs="Calibri"/>
          <w:noProof/>
        </w:rPr>
        <w:t xml:space="preserve"> (i.e. SSP/SPAS according to </w:t>
      </w:r>
      <w:r>
        <w:rPr>
          <w:rFonts w:cs="Calibri"/>
          <w:noProof/>
        </w:rPr>
        <w:t>A</w:t>
      </w:r>
      <w:r w:rsidR="00664B46">
        <w:rPr>
          <w:rFonts w:cs="Calibri"/>
          <w:noProof/>
        </w:rPr>
        <w:t xml:space="preserve">rticles 7 and 8 of Regulation </w:t>
      </w:r>
      <w:r w:rsidR="00DE5565">
        <w:rPr>
          <w:rFonts w:cs="Calibri"/>
          <w:noProof/>
        </w:rPr>
        <w:t>(</w:t>
      </w:r>
      <w:r w:rsidR="00664B46">
        <w:rPr>
          <w:rFonts w:cs="Calibri"/>
          <w:noProof/>
        </w:rPr>
        <w:t>EU</w:t>
      </w:r>
      <w:r w:rsidR="00DE5565">
        <w:rPr>
          <w:rFonts w:cs="Calibri"/>
          <w:noProof/>
        </w:rPr>
        <w:t>)</w:t>
      </w:r>
      <w:r w:rsidR="00664B46">
        <w:rPr>
          <w:rFonts w:cs="Calibri"/>
          <w:noProof/>
        </w:rPr>
        <w:t xml:space="preserve"> 2018</w:t>
      </w:r>
      <w:r w:rsidR="00F80804">
        <w:rPr>
          <w:rFonts w:cs="Calibri"/>
          <w:noProof/>
        </w:rPr>
        <w:t>/1139</w:t>
      </w:r>
      <w:r w:rsidR="00664B46">
        <w:rPr>
          <w:rFonts w:cs="Calibri"/>
          <w:noProof/>
        </w:rPr>
        <w:t>)</w:t>
      </w:r>
      <w:r w:rsidR="00664B46" w:rsidRPr="00574A18">
        <w:rPr>
          <w:rFonts w:cs="Calibri"/>
          <w:noProof/>
        </w:rPr>
        <w:t xml:space="preserve"> and the </w:t>
      </w:r>
      <w:r w:rsidR="00543FB9">
        <w:rPr>
          <w:rFonts w:cs="Calibri"/>
          <w:noProof/>
        </w:rPr>
        <w:t xml:space="preserve">regulated entities </w:t>
      </w:r>
      <w:r w:rsidR="00664B46" w:rsidRPr="00574A18">
        <w:rPr>
          <w:rFonts w:cs="Calibri"/>
          <w:noProof/>
        </w:rPr>
        <w:t>as well as</w:t>
      </w:r>
      <w:r>
        <w:rPr>
          <w:rFonts w:cs="Calibri"/>
          <w:noProof/>
        </w:rPr>
        <w:t xml:space="preserve"> concerning</w:t>
      </w:r>
      <w:r w:rsidR="00664B46" w:rsidRPr="00574A18">
        <w:rPr>
          <w:rFonts w:cs="Calibri"/>
          <w:noProof/>
        </w:rPr>
        <w:t xml:space="preserve"> </w:t>
      </w:r>
      <w:r w:rsidR="00664B46">
        <w:rPr>
          <w:rFonts w:cs="Calibri"/>
          <w:noProof/>
        </w:rPr>
        <w:t xml:space="preserve">the </w:t>
      </w:r>
      <w:r w:rsidR="00664B46" w:rsidRPr="00574A18">
        <w:rPr>
          <w:rFonts w:cs="Calibri"/>
          <w:noProof/>
        </w:rPr>
        <w:t>monitoring of these objectives</w:t>
      </w:r>
      <w:r>
        <w:rPr>
          <w:rFonts w:cs="Calibri"/>
          <w:noProof/>
        </w:rPr>
        <w:t>.</w:t>
      </w:r>
      <w:r w:rsidR="00664B46" w:rsidRPr="00574A18">
        <w:rPr>
          <w:rFonts w:cs="Calibri"/>
          <w:noProof/>
        </w:rPr>
        <w:t xml:space="preserve"> </w:t>
      </w:r>
      <w:r>
        <w:rPr>
          <w:rFonts w:cs="Calibri"/>
          <w:noProof/>
        </w:rPr>
        <w:t xml:space="preserve">Monitoring is made </w:t>
      </w:r>
      <w:r w:rsidR="00664B46" w:rsidRPr="00574A18">
        <w:rPr>
          <w:rFonts w:cs="Calibri"/>
          <w:noProof/>
        </w:rPr>
        <w:t xml:space="preserve">through the Safety </w:t>
      </w:r>
      <w:r w:rsidR="00F67B1D">
        <w:rPr>
          <w:rFonts w:cs="Calibri"/>
          <w:noProof/>
        </w:rPr>
        <w:t>p</w:t>
      </w:r>
      <w:r w:rsidR="00664B46" w:rsidRPr="00574A18">
        <w:rPr>
          <w:rFonts w:cs="Calibri"/>
          <w:noProof/>
        </w:rPr>
        <w:t xml:space="preserve">erformance </w:t>
      </w:r>
      <w:r w:rsidR="00F67B1D">
        <w:rPr>
          <w:rFonts w:cs="Calibri"/>
          <w:noProof/>
        </w:rPr>
        <w:t>m</w:t>
      </w:r>
      <w:r w:rsidR="00664B46" w:rsidRPr="00574A18">
        <w:rPr>
          <w:rFonts w:cs="Calibri"/>
          <w:noProof/>
        </w:rPr>
        <w:t>anagement</w:t>
      </w:r>
      <w:r w:rsidR="00664B46">
        <w:rPr>
          <w:rFonts w:cs="Calibri"/>
          <w:noProof/>
        </w:rPr>
        <w:t xml:space="preserve"> </w:t>
      </w:r>
      <w:r w:rsidR="00F67B1D">
        <w:rPr>
          <w:rFonts w:cs="Calibri"/>
          <w:noProof/>
        </w:rPr>
        <w:t xml:space="preserve">processes of </w:t>
      </w:r>
      <w:r w:rsidR="00A46B04">
        <w:rPr>
          <w:rFonts w:cs="Calibri"/>
          <w:noProof/>
        </w:rPr>
        <w:t>State</w:t>
      </w:r>
      <w:r w:rsidR="00664B46">
        <w:rPr>
          <w:rFonts w:cs="Calibri"/>
          <w:noProof/>
        </w:rPr>
        <w:t xml:space="preserve"> and organisations as well as </w:t>
      </w:r>
      <w:r>
        <w:rPr>
          <w:rFonts w:cs="Calibri"/>
          <w:noProof/>
        </w:rPr>
        <w:t xml:space="preserve">through </w:t>
      </w:r>
      <w:r w:rsidR="00664B46">
        <w:rPr>
          <w:rFonts w:cs="Calibri"/>
          <w:noProof/>
        </w:rPr>
        <w:t xml:space="preserve">risk-based/performance-based </w:t>
      </w:r>
      <w:r w:rsidR="00F67B1D">
        <w:rPr>
          <w:rFonts w:cs="Calibri"/>
          <w:noProof/>
        </w:rPr>
        <w:t>oversight</w:t>
      </w:r>
      <w:r>
        <w:rPr>
          <w:rFonts w:cs="Calibri"/>
          <w:noProof/>
        </w:rPr>
        <w:t>.</w:t>
      </w:r>
      <w:r w:rsidR="00664B46" w:rsidRPr="00574A18">
        <w:rPr>
          <w:rFonts w:cs="Calibri"/>
          <w:noProof/>
        </w:rPr>
        <w:t xml:space="preserve"> </w:t>
      </w:r>
      <w:r>
        <w:rPr>
          <w:rFonts w:cs="Calibri"/>
          <w:noProof/>
        </w:rPr>
        <w:t>This methodology</w:t>
      </w:r>
      <w:r w:rsidR="00664B46" w:rsidRPr="00574A18">
        <w:rPr>
          <w:rFonts w:cs="Calibri"/>
          <w:noProof/>
        </w:rPr>
        <w:t xml:space="preserve"> </w:t>
      </w:r>
      <w:r w:rsidR="00664B46">
        <w:rPr>
          <w:rFonts w:cs="Calibri"/>
          <w:noProof/>
        </w:rPr>
        <w:t>facilitate</w:t>
      </w:r>
      <w:r>
        <w:rPr>
          <w:rFonts w:cs="Calibri"/>
          <w:noProof/>
        </w:rPr>
        <w:t>s</w:t>
      </w:r>
      <w:r w:rsidR="00664B46">
        <w:rPr>
          <w:rFonts w:cs="Calibri"/>
          <w:noProof/>
        </w:rPr>
        <w:t xml:space="preserve"> continuous improvement o</w:t>
      </w:r>
      <w:r w:rsidR="00F67B1D">
        <w:rPr>
          <w:rFonts w:cs="Calibri"/>
          <w:noProof/>
        </w:rPr>
        <w:t>f</w:t>
      </w:r>
      <w:r w:rsidR="00664B46">
        <w:rPr>
          <w:rFonts w:cs="Calibri"/>
          <w:noProof/>
        </w:rPr>
        <w:t xml:space="preserve"> </w:t>
      </w:r>
      <w:r w:rsidR="00664B46" w:rsidRPr="00574A18">
        <w:rPr>
          <w:rFonts w:cs="Calibri"/>
          <w:noProof/>
        </w:rPr>
        <w:t xml:space="preserve">the </w:t>
      </w:r>
      <w:r w:rsidR="00664B46">
        <w:rPr>
          <w:rFonts w:cs="Calibri"/>
          <w:noProof/>
        </w:rPr>
        <w:t xml:space="preserve">level of safety performance achieved. When the safety performance is not met, both the </w:t>
      </w:r>
      <w:r w:rsidR="00A46B04">
        <w:rPr>
          <w:rFonts w:cs="Calibri"/>
          <w:noProof/>
        </w:rPr>
        <w:t>State</w:t>
      </w:r>
      <w:r w:rsidR="00664B46">
        <w:rPr>
          <w:rFonts w:cs="Calibri"/>
          <w:noProof/>
        </w:rPr>
        <w:t xml:space="preserve"> and the organisation should collaboratively take actions to improve the situation.</w:t>
      </w:r>
    </w:p>
    <w:p w14:paraId="5606C692" w14:textId="77777777" w:rsidR="00F67B1D" w:rsidRDefault="00664B46" w:rsidP="0006001F">
      <w:pPr>
        <w:shd w:val="clear" w:color="auto" w:fill="FFFFFF"/>
        <w:rPr>
          <w:rFonts w:cs="Calibri"/>
          <w:noProof/>
        </w:rPr>
      </w:pPr>
      <w:bookmarkStart w:id="135" w:name="_Hlk94622683"/>
      <w:r w:rsidRPr="00A17E6A">
        <w:rPr>
          <w:rFonts w:cs="Calibri"/>
          <w:noProof/>
        </w:rPr>
        <w:t xml:space="preserve">Maturity </w:t>
      </w:r>
      <w:r w:rsidR="00F67B1D">
        <w:rPr>
          <w:rFonts w:cs="Calibri"/>
          <w:noProof/>
        </w:rPr>
        <w:t xml:space="preserve">in </w:t>
      </w:r>
      <w:r>
        <w:rPr>
          <w:rFonts w:cs="Calibri"/>
          <w:noProof/>
        </w:rPr>
        <w:t>safety performance</w:t>
      </w:r>
      <w:r w:rsidRPr="00A17E6A">
        <w:rPr>
          <w:rFonts w:cs="Calibri"/>
          <w:noProof/>
        </w:rPr>
        <w:t xml:space="preserve"> </w:t>
      </w:r>
      <w:r>
        <w:rPr>
          <w:rFonts w:cs="Calibri"/>
          <w:noProof/>
        </w:rPr>
        <w:t>monitoring</w:t>
      </w:r>
      <w:r w:rsidRPr="00A17E6A">
        <w:rPr>
          <w:rFonts w:cs="Calibri"/>
          <w:noProof/>
        </w:rPr>
        <w:t xml:space="preserve"> </w:t>
      </w:r>
      <w:r w:rsidRPr="001F29AE">
        <w:rPr>
          <w:rFonts w:cs="Calibri"/>
          <w:noProof/>
        </w:rPr>
        <w:t xml:space="preserve">will </w:t>
      </w:r>
      <w:r w:rsidR="00250E05">
        <w:rPr>
          <w:rFonts w:cs="Calibri"/>
          <w:noProof/>
        </w:rPr>
        <w:t>increase</w:t>
      </w:r>
      <w:r w:rsidRPr="001F29AE">
        <w:rPr>
          <w:rFonts w:cs="Calibri"/>
          <w:noProof/>
        </w:rPr>
        <w:t xml:space="preserve"> over time insofar as implementation matures and a regular exchange of meaningful </w:t>
      </w:r>
      <w:r w:rsidRPr="00574A18">
        <w:rPr>
          <w:rFonts w:cs="Calibri"/>
          <w:noProof/>
        </w:rPr>
        <w:t xml:space="preserve">information takes place between the </w:t>
      </w:r>
      <w:r w:rsidR="00A46B04">
        <w:rPr>
          <w:rFonts w:cs="Calibri"/>
          <w:noProof/>
        </w:rPr>
        <w:t>State</w:t>
      </w:r>
      <w:r>
        <w:rPr>
          <w:rFonts w:cs="Calibri"/>
          <w:noProof/>
        </w:rPr>
        <w:t xml:space="preserve"> and organisation</w:t>
      </w:r>
      <w:r w:rsidR="00250E05">
        <w:rPr>
          <w:rFonts w:cs="Calibri"/>
          <w:noProof/>
        </w:rPr>
        <w:t>s overseen</w:t>
      </w:r>
      <w:r>
        <w:rPr>
          <w:rFonts w:cs="Calibri"/>
          <w:noProof/>
        </w:rPr>
        <w:t>.</w:t>
      </w:r>
      <w:r w:rsidR="008070C9">
        <w:rPr>
          <w:rFonts w:cs="Calibri"/>
          <w:noProof/>
        </w:rPr>
        <w:t xml:space="preserve"> </w:t>
      </w:r>
    </w:p>
    <w:p w14:paraId="5CFCAB46" w14:textId="77777777" w:rsidR="00664B46" w:rsidRDefault="00F67B1D" w:rsidP="0006001F">
      <w:pPr>
        <w:shd w:val="clear" w:color="auto" w:fill="FFFFFF"/>
        <w:rPr>
          <w:rFonts w:eastAsia="Times New Roman" w:cs="Times New Roman"/>
          <w:noProof/>
          <w:szCs w:val="24"/>
        </w:rPr>
      </w:pPr>
      <w:r>
        <w:rPr>
          <w:rFonts w:eastAsia="Times New Roman" w:cs="Times New Roman"/>
          <w:noProof/>
          <w:szCs w:val="24"/>
        </w:rPr>
        <w:t>Within the EU safety management framework t</w:t>
      </w:r>
      <w:r w:rsidR="00664B46">
        <w:rPr>
          <w:rFonts w:eastAsia="Times New Roman" w:cs="Times New Roman"/>
          <w:noProof/>
          <w:szCs w:val="24"/>
        </w:rPr>
        <w:t xml:space="preserve">here is </w:t>
      </w:r>
      <w:r>
        <w:rPr>
          <w:rFonts w:eastAsia="Times New Roman" w:cs="Times New Roman"/>
          <w:noProof/>
          <w:szCs w:val="24"/>
        </w:rPr>
        <w:t xml:space="preserve">currently </w:t>
      </w:r>
      <w:r w:rsidR="00664B46">
        <w:rPr>
          <w:rFonts w:eastAsia="Times New Roman" w:cs="Times New Roman"/>
          <w:noProof/>
          <w:szCs w:val="24"/>
        </w:rPr>
        <w:t>one domain for which</w:t>
      </w:r>
      <w:r w:rsidR="00664B46" w:rsidRPr="000B538A">
        <w:rPr>
          <w:rFonts w:eastAsia="Times New Roman" w:cs="Times New Roman"/>
          <w:noProof/>
          <w:szCs w:val="24"/>
        </w:rPr>
        <w:t xml:space="preserve"> </w:t>
      </w:r>
      <w:r>
        <w:rPr>
          <w:rFonts w:eastAsia="Times New Roman" w:cs="Times New Roman"/>
          <w:noProof/>
          <w:szCs w:val="24"/>
        </w:rPr>
        <w:t xml:space="preserve">explicit </w:t>
      </w:r>
      <w:r w:rsidR="00664B46" w:rsidRPr="000B538A">
        <w:rPr>
          <w:rFonts w:eastAsia="Times New Roman" w:cs="Times New Roman"/>
          <w:noProof/>
          <w:szCs w:val="24"/>
        </w:rPr>
        <w:t xml:space="preserve">safety performance targets </w:t>
      </w:r>
      <w:r>
        <w:rPr>
          <w:rFonts w:eastAsia="Times New Roman" w:cs="Times New Roman"/>
          <w:noProof/>
          <w:szCs w:val="24"/>
        </w:rPr>
        <w:t>are defined</w:t>
      </w:r>
      <w:r w:rsidR="00664B46">
        <w:rPr>
          <w:rFonts w:eastAsia="Times New Roman" w:cs="Times New Roman"/>
          <w:noProof/>
          <w:szCs w:val="24"/>
        </w:rPr>
        <w:t>:</w:t>
      </w:r>
      <w:r w:rsidR="00664B46" w:rsidRPr="000B538A">
        <w:rPr>
          <w:rFonts w:eastAsia="Times New Roman" w:cs="Times New Roman"/>
          <w:noProof/>
          <w:szCs w:val="24"/>
        </w:rPr>
        <w:t xml:space="preserve"> </w:t>
      </w:r>
      <w:r w:rsidR="0050535A">
        <w:rPr>
          <w:rFonts w:eastAsia="Times New Roman" w:cs="Times New Roman"/>
          <w:noProof/>
          <w:szCs w:val="24"/>
        </w:rPr>
        <w:t>t</w:t>
      </w:r>
      <w:r>
        <w:rPr>
          <w:rFonts w:eastAsia="Times New Roman" w:cs="Times New Roman"/>
          <w:noProof/>
          <w:szCs w:val="24"/>
        </w:rPr>
        <w:t xml:space="preserve">he </w:t>
      </w:r>
      <w:r>
        <w:rPr>
          <w:rFonts w:eastAsia="Times New Roman" w:cs="Times New Roman"/>
          <w:noProof/>
          <w:color w:val="000000"/>
          <w:szCs w:val="24"/>
        </w:rPr>
        <w:t>SES</w:t>
      </w:r>
      <w:r>
        <w:rPr>
          <w:rFonts w:eastAsia="Times New Roman" w:cs="Times New Roman"/>
          <w:noProof/>
          <w:szCs w:val="24"/>
        </w:rPr>
        <w:t xml:space="preserve"> ATM </w:t>
      </w:r>
      <w:r w:rsidR="00664B46" w:rsidRPr="000B538A">
        <w:rPr>
          <w:rFonts w:eastAsia="Times New Roman" w:cs="Times New Roman"/>
          <w:noProof/>
          <w:szCs w:val="24"/>
        </w:rPr>
        <w:t>performance scheme</w:t>
      </w:r>
      <w:r w:rsidR="007C1A2D" w:rsidRPr="00FB18C9">
        <w:rPr>
          <w:rFonts w:eastAsia="Times New Roman" w:cs="Times New Roman"/>
          <w:noProof/>
          <w:szCs w:val="24"/>
          <w:vertAlign w:val="superscript"/>
        </w:rPr>
        <w:footnoteReference w:id="29"/>
      </w:r>
      <w:r w:rsidR="00664B46" w:rsidRPr="000B538A">
        <w:rPr>
          <w:rFonts w:eastAsia="Times New Roman" w:cs="Times New Roman"/>
          <w:noProof/>
          <w:szCs w:val="24"/>
        </w:rPr>
        <w:t xml:space="preserve"> has been established at EU level </w:t>
      </w:r>
      <w:r w:rsidR="00664B46" w:rsidRPr="000B538A">
        <w:rPr>
          <w:rFonts w:eastAsia="Times New Roman" w:cs="Times New Roman"/>
          <w:noProof/>
          <w:color w:val="000000"/>
          <w:szCs w:val="24"/>
        </w:rPr>
        <w:t xml:space="preserve">to </w:t>
      </w:r>
      <w:r w:rsidR="00664B46" w:rsidRPr="000B538A">
        <w:rPr>
          <w:rFonts w:eastAsia="Times New Roman" w:cs="Times New Roman"/>
          <w:noProof/>
          <w:szCs w:val="24"/>
        </w:rPr>
        <w:t>contribute</w:t>
      </w:r>
      <w:r w:rsidR="00664B46" w:rsidRPr="000B538A">
        <w:rPr>
          <w:rFonts w:eastAsia="Times New Roman" w:cs="Times New Roman"/>
          <w:noProof/>
          <w:color w:val="000000"/>
          <w:szCs w:val="24"/>
        </w:rPr>
        <w:t xml:space="preserve"> to the sustainable development of the air transport system by improving overall efficiency of the air navigation services across the four key performance areas of safety, environment, capacity (delay) and cost-efficiency.</w:t>
      </w:r>
      <w:r w:rsidR="00C25A76">
        <w:rPr>
          <w:rFonts w:eastAsia="Times New Roman" w:cs="Times New Roman"/>
          <w:noProof/>
          <w:color w:val="000000"/>
          <w:szCs w:val="24"/>
        </w:rPr>
        <w:t xml:space="preserve"> </w:t>
      </w:r>
      <w:r>
        <w:rPr>
          <w:rFonts w:eastAsia="Times New Roman" w:cs="Times New Roman"/>
          <w:noProof/>
          <w:color w:val="000000"/>
          <w:szCs w:val="24"/>
        </w:rPr>
        <w:t xml:space="preserve">The scheme </w:t>
      </w:r>
      <w:r w:rsidR="00664B46" w:rsidRPr="000B538A">
        <w:rPr>
          <w:rFonts w:eastAsia="Times New Roman" w:cs="Times New Roman"/>
          <w:noProof/>
          <w:color w:val="000000"/>
          <w:szCs w:val="24"/>
        </w:rPr>
        <w:t xml:space="preserve">foresees the setting of Union-wide performance targets for fixed reference periods of 3-5 years in the four key performance areas. Members </w:t>
      </w:r>
      <w:r w:rsidR="00A46B04">
        <w:rPr>
          <w:rFonts w:eastAsia="Times New Roman" w:cs="Times New Roman"/>
          <w:noProof/>
          <w:color w:val="000000"/>
          <w:szCs w:val="24"/>
        </w:rPr>
        <w:t>State</w:t>
      </w:r>
      <w:r w:rsidR="00664B46" w:rsidRPr="000B538A">
        <w:rPr>
          <w:rFonts w:eastAsia="Times New Roman" w:cs="Times New Roman"/>
          <w:noProof/>
          <w:color w:val="000000"/>
          <w:szCs w:val="24"/>
        </w:rPr>
        <w:t xml:space="preserve">s </w:t>
      </w:r>
      <w:r>
        <w:rPr>
          <w:rFonts w:eastAsia="Times New Roman" w:cs="Times New Roman"/>
          <w:noProof/>
          <w:color w:val="000000"/>
          <w:szCs w:val="24"/>
        </w:rPr>
        <w:t xml:space="preserve">are required </w:t>
      </w:r>
      <w:r w:rsidR="00664B46" w:rsidRPr="000B538A">
        <w:rPr>
          <w:rFonts w:eastAsia="Times New Roman" w:cs="Times New Roman"/>
          <w:noProof/>
          <w:color w:val="000000"/>
          <w:szCs w:val="24"/>
        </w:rPr>
        <w:t>to develop performance plans including binding targets at national or F</w:t>
      </w:r>
      <w:r>
        <w:rPr>
          <w:rFonts w:eastAsia="Times New Roman" w:cs="Times New Roman"/>
          <w:noProof/>
          <w:color w:val="000000"/>
          <w:szCs w:val="24"/>
        </w:rPr>
        <w:t>unctional Airspace Block (FAB)</w:t>
      </w:r>
      <w:r w:rsidR="00664B46" w:rsidRPr="000B538A">
        <w:rPr>
          <w:rFonts w:eastAsia="Times New Roman" w:cs="Times New Roman"/>
          <w:noProof/>
          <w:color w:val="000000"/>
          <w:szCs w:val="24"/>
        </w:rPr>
        <w:t xml:space="preserve"> level that are consistent with the Union-wide performance targets.</w:t>
      </w:r>
    </w:p>
    <w:p w14:paraId="64438D45" w14:textId="77777777" w:rsidR="000B538A" w:rsidRDefault="000B538A" w:rsidP="0006001F">
      <w:pPr>
        <w:shd w:val="clear" w:color="auto" w:fill="FFFFFF"/>
        <w:rPr>
          <w:rFonts w:eastAsia="Times New Roman" w:cs="Times New Roman"/>
          <w:noProof/>
          <w:color w:val="000000"/>
          <w:szCs w:val="24"/>
        </w:rPr>
      </w:pPr>
      <w:r w:rsidRPr="000B538A">
        <w:rPr>
          <w:rFonts w:eastAsia="Times New Roman" w:cs="Times New Roman"/>
          <w:noProof/>
          <w:color w:val="000000"/>
          <w:szCs w:val="24"/>
        </w:rPr>
        <w:t xml:space="preserve">For the implementation of the </w:t>
      </w:r>
      <w:r w:rsidR="00F67B1D">
        <w:rPr>
          <w:rFonts w:eastAsia="Times New Roman" w:cs="Times New Roman"/>
          <w:noProof/>
          <w:color w:val="000000"/>
          <w:szCs w:val="24"/>
        </w:rPr>
        <w:t>S</w:t>
      </w:r>
      <w:r w:rsidR="00FA0C56">
        <w:rPr>
          <w:rFonts w:eastAsia="Times New Roman" w:cs="Times New Roman"/>
          <w:noProof/>
          <w:color w:val="000000"/>
          <w:szCs w:val="24"/>
        </w:rPr>
        <w:t xml:space="preserve">ingle </w:t>
      </w:r>
      <w:r w:rsidR="00F67B1D">
        <w:rPr>
          <w:rFonts w:eastAsia="Times New Roman" w:cs="Times New Roman"/>
          <w:noProof/>
          <w:color w:val="000000"/>
          <w:szCs w:val="24"/>
        </w:rPr>
        <w:t>E</w:t>
      </w:r>
      <w:r w:rsidR="00FA0C56">
        <w:rPr>
          <w:rFonts w:eastAsia="Times New Roman" w:cs="Times New Roman"/>
          <w:noProof/>
          <w:color w:val="000000"/>
          <w:szCs w:val="24"/>
        </w:rPr>
        <w:t xml:space="preserve">uropean </w:t>
      </w:r>
      <w:r w:rsidR="00F67B1D">
        <w:rPr>
          <w:rFonts w:eastAsia="Times New Roman" w:cs="Times New Roman"/>
          <w:noProof/>
          <w:color w:val="000000"/>
          <w:szCs w:val="24"/>
        </w:rPr>
        <w:t>S</w:t>
      </w:r>
      <w:r w:rsidR="00FA0C56">
        <w:rPr>
          <w:rFonts w:eastAsia="Times New Roman" w:cs="Times New Roman"/>
          <w:noProof/>
          <w:color w:val="000000"/>
          <w:szCs w:val="24"/>
        </w:rPr>
        <w:t xml:space="preserve">ky </w:t>
      </w:r>
      <w:r w:rsidR="00F67B1D">
        <w:rPr>
          <w:rFonts w:eastAsia="Times New Roman" w:cs="Times New Roman"/>
          <w:noProof/>
          <w:color w:val="000000"/>
          <w:szCs w:val="24"/>
        </w:rPr>
        <w:t xml:space="preserve">ATM </w:t>
      </w:r>
      <w:r w:rsidRPr="000B538A">
        <w:rPr>
          <w:rFonts w:eastAsia="Times New Roman" w:cs="Times New Roman"/>
          <w:noProof/>
          <w:color w:val="000000"/>
          <w:szCs w:val="24"/>
        </w:rPr>
        <w:t xml:space="preserve">performance schemes, the Commission is assisted by </w:t>
      </w:r>
      <w:r w:rsidR="00F67B1D">
        <w:rPr>
          <w:rFonts w:eastAsia="Times New Roman" w:cs="Times New Roman"/>
          <w:noProof/>
          <w:color w:val="000000"/>
          <w:szCs w:val="24"/>
        </w:rPr>
        <w:t xml:space="preserve">an </w:t>
      </w:r>
      <w:r w:rsidRPr="000B538A">
        <w:rPr>
          <w:rFonts w:eastAsia="Times New Roman" w:cs="Times New Roman"/>
          <w:noProof/>
          <w:color w:val="000000"/>
          <w:szCs w:val="24"/>
        </w:rPr>
        <w:t>indep</w:t>
      </w:r>
      <w:r w:rsidR="001B5786">
        <w:rPr>
          <w:rFonts w:eastAsia="Times New Roman" w:cs="Times New Roman"/>
          <w:noProof/>
          <w:color w:val="000000"/>
          <w:szCs w:val="24"/>
        </w:rPr>
        <w:t xml:space="preserve">endent Performance Review Body </w:t>
      </w:r>
      <w:r w:rsidRPr="000B538A">
        <w:rPr>
          <w:rFonts w:eastAsia="Times New Roman" w:cs="Times New Roman"/>
          <w:noProof/>
          <w:color w:val="000000"/>
          <w:szCs w:val="24"/>
        </w:rPr>
        <w:t>as designated by Commission Implementing Decision 2014/672/EU</w:t>
      </w:r>
      <w:r w:rsidR="007C1A2D" w:rsidRPr="00FB18C9">
        <w:rPr>
          <w:rFonts w:eastAsia="Times New Roman" w:cs="Times New Roman"/>
          <w:noProof/>
          <w:color w:val="000000"/>
          <w:szCs w:val="24"/>
          <w:vertAlign w:val="superscript"/>
        </w:rPr>
        <w:footnoteReference w:id="30"/>
      </w:r>
      <w:r>
        <w:rPr>
          <w:rFonts w:eastAsia="Times New Roman" w:cs="Times New Roman"/>
          <w:noProof/>
          <w:color w:val="000000"/>
          <w:szCs w:val="24"/>
        </w:rPr>
        <w:t>.</w:t>
      </w:r>
    </w:p>
    <w:p w14:paraId="0E8F7F0A" w14:textId="0DBC5466" w:rsidR="005703EA" w:rsidRDefault="005703EA" w:rsidP="002C53D0">
      <w:pPr>
        <w:pStyle w:val="Heading3"/>
        <w:numPr>
          <w:ilvl w:val="0"/>
          <w:numId w:val="38"/>
        </w:numPr>
        <w:spacing w:before="240" w:after="240"/>
        <w:ind w:hanging="720"/>
        <w:rPr>
          <w:noProof/>
        </w:rPr>
      </w:pPr>
      <w:bookmarkStart w:id="136" w:name="_Toc102569221"/>
      <w:bookmarkStart w:id="137" w:name="_Toc94875668"/>
      <w:bookmarkEnd w:id="135"/>
      <w:r w:rsidRPr="005703EA">
        <w:rPr>
          <w:noProof/>
        </w:rPr>
        <w:t xml:space="preserve">Member </w:t>
      </w:r>
      <w:r w:rsidR="00A46B04">
        <w:rPr>
          <w:noProof/>
        </w:rPr>
        <w:t>State</w:t>
      </w:r>
      <w:r w:rsidRPr="005703EA">
        <w:rPr>
          <w:noProof/>
        </w:rPr>
        <w:t>s' safety performance</w:t>
      </w:r>
      <w:bookmarkEnd w:id="136"/>
      <w:r w:rsidRPr="005703EA">
        <w:rPr>
          <w:noProof/>
        </w:rPr>
        <w:t xml:space="preserve"> </w:t>
      </w:r>
      <w:bookmarkEnd w:id="137"/>
    </w:p>
    <w:p w14:paraId="3209567C" w14:textId="1A376C75" w:rsidR="00664B46" w:rsidRDefault="00664B46" w:rsidP="00664B46">
      <w:pPr>
        <w:shd w:val="clear" w:color="auto" w:fill="FFFFFF"/>
        <w:rPr>
          <w:rFonts w:cs="Calibri"/>
          <w:noProof/>
        </w:rPr>
      </w:pPr>
      <w:r>
        <w:rPr>
          <w:noProof/>
        </w:rPr>
        <w:t xml:space="preserve">The same principles </w:t>
      </w:r>
      <w:r w:rsidR="00F67B1D">
        <w:rPr>
          <w:noProof/>
        </w:rPr>
        <w:t xml:space="preserve">as those </w:t>
      </w:r>
      <w:r>
        <w:rPr>
          <w:noProof/>
        </w:rPr>
        <w:t xml:space="preserve">described in </w:t>
      </w:r>
      <w:r w:rsidRPr="00C84617">
        <w:rPr>
          <w:noProof/>
        </w:rPr>
        <w:t>2.</w:t>
      </w:r>
      <w:r w:rsidR="00CD277F" w:rsidRPr="00C84617">
        <w:rPr>
          <w:noProof/>
        </w:rPr>
        <w:t>3</w:t>
      </w:r>
      <w:r w:rsidRPr="00C84617">
        <w:rPr>
          <w:noProof/>
        </w:rPr>
        <w:t>.1</w:t>
      </w:r>
      <w:r>
        <w:rPr>
          <w:noProof/>
        </w:rPr>
        <w:t xml:space="preserve"> appl</w:t>
      </w:r>
      <w:r w:rsidR="00DB3072">
        <w:rPr>
          <w:noProof/>
        </w:rPr>
        <w:t>y</w:t>
      </w:r>
      <w:r>
        <w:rPr>
          <w:noProof/>
        </w:rPr>
        <w:t xml:space="preserve"> to the EU Member </w:t>
      </w:r>
      <w:r w:rsidR="00A46B04">
        <w:rPr>
          <w:noProof/>
        </w:rPr>
        <w:t>State</w:t>
      </w:r>
      <w:r>
        <w:rPr>
          <w:noProof/>
        </w:rPr>
        <w:t xml:space="preserve">s: the level of safety performance to </w:t>
      </w:r>
      <w:r w:rsidR="00F67B1D">
        <w:rPr>
          <w:noProof/>
        </w:rPr>
        <w:t xml:space="preserve">be </w:t>
      </w:r>
      <w:r>
        <w:rPr>
          <w:noProof/>
        </w:rPr>
        <w:t>achieve</w:t>
      </w:r>
      <w:r w:rsidR="00F67B1D">
        <w:rPr>
          <w:noProof/>
        </w:rPr>
        <w:t>d</w:t>
      </w:r>
      <w:r>
        <w:rPr>
          <w:noProof/>
        </w:rPr>
        <w:t xml:space="preserve"> should be </w:t>
      </w:r>
      <w:r w:rsidR="00F67B1D">
        <w:rPr>
          <w:noProof/>
        </w:rPr>
        <w:t>assessed against the safety objectives and consider</w:t>
      </w:r>
      <w:r>
        <w:rPr>
          <w:noProof/>
        </w:rPr>
        <w:t xml:space="preserve"> the </w:t>
      </w:r>
      <w:r w:rsidRPr="00E00EA5">
        <w:rPr>
          <w:noProof/>
        </w:rPr>
        <w:t xml:space="preserve">effectiveness of mitigation actions resulting from </w:t>
      </w:r>
      <w:r w:rsidR="00FA7C94">
        <w:rPr>
          <w:noProof/>
        </w:rPr>
        <w:t xml:space="preserve">State safety risk management within the </w:t>
      </w:r>
      <w:r>
        <w:rPr>
          <w:rFonts w:cs="Calibri"/>
          <w:noProof/>
        </w:rPr>
        <w:t xml:space="preserve">SSP and </w:t>
      </w:r>
      <w:r w:rsidR="00FA7C94">
        <w:rPr>
          <w:rFonts w:cs="Calibri"/>
          <w:noProof/>
        </w:rPr>
        <w:t xml:space="preserve">defined in the </w:t>
      </w:r>
      <w:r>
        <w:rPr>
          <w:rFonts w:cs="Calibri"/>
          <w:noProof/>
        </w:rPr>
        <w:t>SPAS</w:t>
      </w:r>
      <w:r w:rsidRPr="00D022C2">
        <w:rPr>
          <w:noProof/>
        </w:rPr>
        <w:t xml:space="preserve"> </w:t>
      </w:r>
      <w:r>
        <w:rPr>
          <w:noProof/>
        </w:rPr>
        <w:t xml:space="preserve">(i.e. </w:t>
      </w:r>
      <w:r w:rsidR="00DB3072">
        <w:rPr>
          <w:noProof/>
        </w:rPr>
        <w:t>A</w:t>
      </w:r>
      <w:r>
        <w:rPr>
          <w:noProof/>
        </w:rPr>
        <w:t xml:space="preserve">rticles 7 and 8 of </w:t>
      </w:r>
      <w:r w:rsidR="00C57090">
        <w:rPr>
          <w:rFonts w:cs="Calibri"/>
          <w:noProof/>
        </w:rPr>
        <w:t>Regulation (EU) 2018</w:t>
      </w:r>
      <w:r w:rsidR="00F80804">
        <w:rPr>
          <w:rFonts w:cs="Calibri"/>
          <w:noProof/>
        </w:rPr>
        <w:t>/1139</w:t>
      </w:r>
      <w:r>
        <w:rPr>
          <w:rFonts w:cs="Calibri"/>
          <w:noProof/>
        </w:rPr>
        <w:t xml:space="preserve">), taking </w:t>
      </w:r>
      <w:r w:rsidR="00FA7C94">
        <w:rPr>
          <w:rFonts w:cs="Calibri"/>
          <w:noProof/>
        </w:rPr>
        <w:t xml:space="preserve">due account of the risks and actions defined in the EPAS as relevant to the State </w:t>
      </w:r>
      <w:r>
        <w:rPr>
          <w:rFonts w:cs="Calibri"/>
          <w:noProof/>
        </w:rPr>
        <w:t xml:space="preserve">(see </w:t>
      </w:r>
      <w:r w:rsidR="00DB3072">
        <w:rPr>
          <w:noProof/>
        </w:rPr>
        <w:t>A</w:t>
      </w:r>
      <w:r>
        <w:rPr>
          <w:noProof/>
        </w:rPr>
        <w:t xml:space="preserve">rticles 6 and 8.2 of </w:t>
      </w:r>
      <w:r w:rsidR="00C57090">
        <w:rPr>
          <w:rFonts w:cs="Calibri"/>
          <w:noProof/>
        </w:rPr>
        <w:t>Regulation (EU) 2018</w:t>
      </w:r>
      <w:r w:rsidR="00F80804">
        <w:rPr>
          <w:rFonts w:cs="Calibri"/>
          <w:noProof/>
        </w:rPr>
        <w:t>/1139</w:t>
      </w:r>
      <w:r>
        <w:rPr>
          <w:rFonts w:cs="Calibri"/>
          <w:noProof/>
        </w:rPr>
        <w:t>).</w:t>
      </w:r>
    </w:p>
    <w:p w14:paraId="2B47A133" w14:textId="77777777" w:rsidR="00FA7C94" w:rsidRPr="003574B9" w:rsidRDefault="00664B46" w:rsidP="00FA7C94">
      <w:pPr>
        <w:shd w:val="clear" w:color="auto" w:fill="FFFFFF"/>
        <w:rPr>
          <w:noProof/>
        </w:rPr>
      </w:pPr>
      <w:r>
        <w:rPr>
          <w:rFonts w:cs="Calibri"/>
          <w:noProof/>
        </w:rPr>
        <w:t xml:space="preserve">There is no agreement on the Member </w:t>
      </w:r>
      <w:r w:rsidR="00A46B04">
        <w:rPr>
          <w:rFonts w:cs="Calibri"/>
          <w:noProof/>
        </w:rPr>
        <w:t>State</w:t>
      </w:r>
      <w:r>
        <w:rPr>
          <w:rFonts w:cs="Calibri"/>
          <w:noProof/>
        </w:rPr>
        <w:t>’s safety performance at EU level</w:t>
      </w:r>
      <w:r w:rsidR="00FA7C94" w:rsidRPr="00FA7C94">
        <w:rPr>
          <w:noProof/>
        </w:rPr>
        <w:t xml:space="preserve"> </w:t>
      </w:r>
      <w:r w:rsidR="00FA7C94">
        <w:rPr>
          <w:noProof/>
        </w:rPr>
        <w:t>and currently</w:t>
      </w:r>
      <w:r w:rsidR="00FA7C94" w:rsidRPr="003574B9">
        <w:rPr>
          <w:noProof/>
        </w:rPr>
        <w:t xml:space="preserve"> there </w:t>
      </w:r>
      <w:r w:rsidR="00FA7C94">
        <w:rPr>
          <w:noProof/>
        </w:rPr>
        <w:t>are</w:t>
      </w:r>
      <w:r w:rsidR="00FA7C94" w:rsidRPr="003574B9">
        <w:rPr>
          <w:noProof/>
        </w:rPr>
        <w:t xml:space="preserve"> no specific safety performance targets imposed on Member </w:t>
      </w:r>
      <w:r w:rsidR="00FA7C94">
        <w:rPr>
          <w:noProof/>
        </w:rPr>
        <w:t>State</w:t>
      </w:r>
      <w:r w:rsidR="00FA7C94" w:rsidRPr="003574B9">
        <w:rPr>
          <w:noProof/>
        </w:rPr>
        <w:t>s by EU</w:t>
      </w:r>
      <w:r w:rsidR="00FA7C94">
        <w:rPr>
          <w:noProof/>
        </w:rPr>
        <w:t xml:space="preserve"> law</w:t>
      </w:r>
      <w:r w:rsidR="00FA7C94" w:rsidRPr="003574B9">
        <w:rPr>
          <w:noProof/>
        </w:rPr>
        <w:t>.</w:t>
      </w:r>
    </w:p>
    <w:p w14:paraId="75FFE64F" w14:textId="0693B866" w:rsidR="00664B46" w:rsidRDefault="00664B46" w:rsidP="00664B46">
      <w:pPr>
        <w:shd w:val="clear" w:color="auto" w:fill="FFFFFF"/>
        <w:rPr>
          <w:rFonts w:cs="Calibri"/>
          <w:noProof/>
        </w:rPr>
      </w:pPr>
    </w:p>
    <w:p w14:paraId="75335B28" w14:textId="725249B6" w:rsidR="00E6077C" w:rsidRPr="00341179" w:rsidRDefault="00E6077C" w:rsidP="00E6077C">
      <w:pPr>
        <w:pStyle w:val="Heading3"/>
        <w:numPr>
          <w:ilvl w:val="0"/>
          <w:numId w:val="38"/>
        </w:numPr>
        <w:spacing w:before="240" w:after="240"/>
        <w:ind w:hanging="720"/>
        <w:rPr>
          <w:noProof/>
        </w:rPr>
      </w:pPr>
      <w:bookmarkStart w:id="138" w:name="_The_EASA_Annual"/>
      <w:bookmarkStart w:id="139" w:name="_Toc94875669"/>
      <w:bookmarkStart w:id="140" w:name="_Toc102569222"/>
      <w:bookmarkEnd w:id="138"/>
      <w:r w:rsidRPr="00341179">
        <w:rPr>
          <w:noProof/>
        </w:rPr>
        <w:t>The EASA Annual Safety Review</w:t>
      </w:r>
      <w:bookmarkEnd w:id="139"/>
      <w:bookmarkEnd w:id="140"/>
    </w:p>
    <w:p w14:paraId="4E3D147A" w14:textId="4E9AE53F" w:rsidR="00E6077C" w:rsidRPr="00341179" w:rsidRDefault="00E6077C" w:rsidP="00973B9E">
      <w:pPr>
        <w:shd w:val="clear" w:color="auto" w:fill="FFFFFF"/>
        <w:rPr>
          <w:rFonts w:eastAsia="Times New Roman" w:cs="Times New Roman"/>
          <w:noProof/>
          <w:color w:val="000000"/>
          <w:szCs w:val="24"/>
        </w:rPr>
      </w:pPr>
      <w:r w:rsidRPr="00341179">
        <w:rPr>
          <w:rFonts w:eastAsia="Times New Roman" w:cs="Times New Roman"/>
          <w:noProof/>
          <w:color w:val="000000"/>
          <w:szCs w:val="24"/>
        </w:rPr>
        <w:t>Article 72(7)</w:t>
      </w:r>
      <w:r w:rsidR="002B7451">
        <w:rPr>
          <w:rFonts w:eastAsia="Times New Roman" w:cs="Times New Roman"/>
          <w:noProof/>
          <w:color w:val="000000"/>
          <w:szCs w:val="24"/>
        </w:rPr>
        <w:t xml:space="preserve"> </w:t>
      </w:r>
      <w:r w:rsidRPr="00341179">
        <w:rPr>
          <w:rFonts w:eastAsia="Times New Roman" w:cs="Times New Roman"/>
          <w:noProof/>
          <w:color w:val="000000"/>
          <w:szCs w:val="24"/>
        </w:rPr>
        <w:t xml:space="preserve">of Regulation (EU) 2018/1139 indicates that </w:t>
      </w:r>
      <w:r w:rsidR="002B7451" w:rsidRPr="00341179">
        <w:rPr>
          <w:rFonts w:eastAsia="Times New Roman" w:cs="Times New Roman"/>
          <w:noProof/>
          <w:color w:val="000000"/>
          <w:szCs w:val="24"/>
        </w:rPr>
        <w:t>in</w:t>
      </w:r>
      <w:r w:rsidRPr="00341179">
        <w:rPr>
          <w:rFonts w:eastAsia="Times New Roman" w:cs="Times New Roman"/>
          <w:noProof/>
          <w:color w:val="000000"/>
          <w:szCs w:val="24"/>
        </w:rPr>
        <w:t xml:space="preserve"> order to inform the general public</w:t>
      </w:r>
      <w:r>
        <w:rPr>
          <w:rFonts w:eastAsia="Times New Roman" w:cs="Times New Roman"/>
          <w:noProof/>
          <w:color w:val="000000"/>
          <w:szCs w:val="24"/>
        </w:rPr>
        <w:t xml:space="preserve"> </w:t>
      </w:r>
      <w:r w:rsidRPr="00341179">
        <w:rPr>
          <w:rFonts w:eastAsia="Times New Roman" w:cs="Times New Roman"/>
          <w:noProof/>
          <w:color w:val="000000"/>
          <w:szCs w:val="24"/>
        </w:rPr>
        <w:t>of the overall level of civil aviation safety in the Union, the Agency shall annually, and when special circumstances apply, publish a safety review. That review shall contain an analysis of the general safety situation in wording that is simple and easy to understand, and it shall indicate whether there are increased safety risks.</w:t>
      </w:r>
    </w:p>
    <w:p w14:paraId="18476B68" w14:textId="133AE798" w:rsidR="00E6077C" w:rsidRDefault="00E6077C" w:rsidP="00CD277F">
      <w:pPr>
        <w:shd w:val="clear" w:color="auto" w:fill="FFFFFF"/>
        <w:rPr>
          <w:noProof/>
        </w:rPr>
      </w:pPr>
      <w:r>
        <w:rPr>
          <w:noProof/>
        </w:rPr>
        <w:t>In addition, Article 14(4)</w:t>
      </w:r>
      <w:r w:rsidR="000F005A">
        <w:rPr>
          <w:noProof/>
        </w:rPr>
        <w:t xml:space="preserve"> </w:t>
      </w:r>
      <w:r>
        <w:rPr>
          <w:noProof/>
        </w:rPr>
        <w:t xml:space="preserve">of Regulation (EU) </w:t>
      </w:r>
      <w:r w:rsidR="005A7E2E">
        <w:rPr>
          <w:noProof/>
        </w:rPr>
        <w:t xml:space="preserve">No </w:t>
      </w:r>
      <w:r>
        <w:rPr>
          <w:noProof/>
        </w:rPr>
        <w:t>376/2014 indicates that the Agency shall include information about the result of information analysis referred to in paragraph 1</w:t>
      </w:r>
      <w:r w:rsidR="000F005A">
        <w:rPr>
          <w:noProof/>
        </w:rPr>
        <w:t xml:space="preserve"> </w:t>
      </w:r>
      <w:r w:rsidR="00F915F3">
        <w:rPr>
          <w:noProof/>
        </w:rPr>
        <w:t xml:space="preserve">of that </w:t>
      </w:r>
      <w:r w:rsidR="00600162">
        <w:rPr>
          <w:noProof/>
        </w:rPr>
        <w:t>A</w:t>
      </w:r>
      <w:r w:rsidR="00F915F3">
        <w:rPr>
          <w:noProof/>
        </w:rPr>
        <w:t xml:space="preserve">rticle </w:t>
      </w:r>
      <w:r>
        <w:rPr>
          <w:noProof/>
        </w:rPr>
        <w:t xml:space="preserve">in the annual safety review referred to in Article </w:t>
      </w:r>
      <w:r w:rsidR="000F005A">
        <w:rPr>
          <w:noProof/>
        </w:rPr>
        <w:t>72(7)</w:t>
      </w:r>
      <w:r>
        <w:rPr>
          <w:noProof/>
        </w:rPr>
        <w:t xml:space="preserve"> </w:t>
      </w:r>
      <w:r w:rsidR="002B7451">
        <w:rPr>
          <w:noProof/>
        </w:rPr>
        <w:t xml:space="preserve">of </w:t>
      </w:r>
      <w:r w:rsidR="00782521" w:rsidRPr="00782521">
        <w:rPr>
          <w:noProof/>
        </w:rPr>
        <w:t xml:space="preserve">Regulation (EU) 2018/1139 </w:t>
      </w:r>
      <w:r w:rsidR="000F005A">
        <w:rPr>
          <w:noProof/>
        </w:rPr>
        <w:t xml:space="preserve"> </w:t>
      </w:r>
      <w:r w:rsidR="00F915F3">
        <w:rPr>
          <w:noProof/>
        </w:rPr>
        <w:t>as follows:</w:t>
      </w:r>
      <w:r w:rsidR="000F005A" w:rsidRPr="000F005A">
        <w:rPr>
          <w:noProof/>
        </w:rPr>
        <w:t xml:space="preserve"> "</w:t>
      </w:r>
      <w:r w:rsidR="000F005A" w:rsidRPr="001443F6">
        <w:rPr>
          <w:i/>
          <w:noProof/>
        </w:rPr>
        <w:t xml:space="preserve">The Commission, the Agency and the competent authorities of the Member </w:t>
      </w:r>
      <w:r w:rsidR="00A46B04">
        <w:rPr>
          <w:i/>
          <w:noProof/>
        </w:rPr>
        <w:t>State</w:t>
      </w:r>
      <w:r w:rsidR="000F005A" w:rsidRPr="001443F6">
        <w:rPr>
          <w:i/>
          <w:noProof/>
        </w:rPr>
        <w:t>s shall, in collaboration, participate regularly in the exchange and analysis of information contained in the European Central Repository</w:t>
      </w:r>
      <w:r w:rsidR="000F005A" w:rsidRPr="000F005A">
        <w:rPr>
          <w:noProof/>
        </w:rPr>
        <w:t>.</w:t>
      </w:r>
      <w:r w:rsidR="00F915F3">
        <w:rPr>
          <w:noProof/>
        </w:rPr>
        <w:t>”</w:t>
      </w:r>
    </w:p>
    <w:p w14:paraId="06F03B84" w14:textId="77777777" w:rsidR="000F005A" w:rsidRDefault="000F005A" w:rsidP="00CD277F">
      <w:pPr>
        <w:shd w:val="clear" w:color="auto" w:fill="FFFFFF"/>
        <w:rPr>
          <w:noProof/>
        </w:rPr>
      </w:pPr>
      <w:r>
        <w:rPr>
          <w:noProof/>
        </w:rPr>
        <w:t xml:space="preserve">In compliance with these requirements, EASA has </w:t>
      </w:r>
      <w:r w:rsidR="000D2FAE">
        <w:rPr>
          <w:noProof/>
        </w:rPr>
        <w:t xml:space="preserve">been </w:t>
      </w:r>
      <w:r>
        <w:rPr>
          <w:noProof/>
        </w:rPr>
        <w:t>publish</w:t>
      </w:r>
      <w:r w:rsidR="000D2FAE">
        <w:rPr>
          <w:noProof/>
        </w:rPr>
        <w:t>ing</w:t>
      </w:r>
      <w:r>
        <w:rPr>
          <w:noProof/>
        </w:rPr>
        <w:t xml:space="preserve"> an Annual Safety Review </w:t>
      </w:r>
      <w:r w:rsidR="00163541">
        <w:rPr>
          <w:noProof/>
        </w:rPr>
        <w:t xml:space="preserve">(ASR) </w:t>
      </w:r>
      <w:r>
        <w:rPr>
          <w:noProof/>
        </w:rPr>
        <w:t>since 2005. The analysis presented in this review provides the data-driven input that supports the decision-making required for the EPAS.</w:t>
      </w:r>
      <w:r w:rsidR="00CD277F">
        <w:rPr>
          <w:noProof/>
        </w:rPr>
        <w:t xml:space="preserve"> </w:t>
      </w:r>
      <w:r>
        <w:rPr>
          <w:noProof/>
        </w:rPr>
        <w:t xml:space="preserve">The </w:t>
      </w:r>
      <w:r w:rsidR="000D2FAE">
        <w:rPr>
          <w:noProof/>
        </w:rPr>
        <w:t>ASR</w:t>
      </w:r>
      <w:r>
        <w:rPr>
          <w:noProof/>
        </w:rPr>
        <w:t xml:space="preserve"> provides both a statistical summary of aviation safety in the EASA Member </w:t>
      </w:r>
      <w:r w:rsidR="00A46B04">
        <w:rPr>
          <w:noProof/>
        </w:rPr>
        <w:t>State</w:t>
      </w:r>
      <w:r>
        <w:rPr>
          <w:noProof/>
        </w:rPr>
        <w:t xml:space="preserve">s and identifies the most important safety challenges faced by European aviation today. </w:t>
      </w:r>
    </w:p>
    <w:p w14:paraId="4927FC69" w14:textId="77777777" w:rsidR="000F005A" w:rsidRDefault="000F005A" w:rsidP="00CD277F">
      <w:pPr>
        <w:shd w:val="clear" w:color="auto" w:fill="FFFFFF"/>
        <w:rPr>
          <w:noProof/>
        </w:rPr>
      </w:pPr>
      <w:r>
        <w:rPr>
          <w:noProof/>
        </w:rPr>
        <w:t>Data portfolios are provided for each of the aviation domains and buil</w:t>
      </w:r>
      <w:r w:rsidR="00A01892">
        <w:rPr>
          <w:noProof/>
        </w:rPr>
        <w:t>d</w:t>
      </w:r>
      <w:r>
        <w:rPr>
          <w:noProof/>
        </w:rPr>
        <w:t xml:space="preserve"> upon the work of previous years. They show the </w:t>
      </w:r>
      <w:r w:rsidR="00550636">
        <w:rPr>
          <w:noProof/>
        </w:rPr>
        <w:t xml:space="preserve">causal and contributing factors </w:t>
      </w:r>
      <w:r>
        <w:rPr>
          <w:noProof/>
        </w:rPr>
        <w:t xml:space="preserve">that have been identified in occurrence data, cross referenced with the key risk areas (or main accident outcomes) to which they contribute. </w:t>
      </w:r>
    </w:p>
    <w:p w14:paraId="1E0B3099" w14:textId="77777777" w:rsidR="008C3EEA" w:rsidRDefault="000F005A" w:rsidP="008C3EEA">
      <w:pPr>
        <w:shd w:val="clear" w:color="auto" w:fill="FFFFFF"/>
        <w:rPr>
          <w:noProof/>
        </w:rPr>
      </w:pPr>
      <w:r>
        <w:rPr>
          <w:noProof/>
        </w:rPr>
        <w:t xml:space="preserve">The ASR analysis focuses on aviation safety risks based on occurrence data. This work is a part of the ongoing European </w:t>
      </w:r>
      <w:r w:rsidR="00550636">
        <w:rPr>
          <w:noProof/>
        </w:rPr>
        <w:t>SRM</w:t>
      </w:r>
      <w:r>
        <w:rPr>
          <w:noProof/>
        </w:rPr>
        <w:t xml:space="preserve"> Process.</w:t>
      </w:r>
      <w:r w:rsidR="00550636">
        <w:rPr>
          <w:noProof/>
        </w:rPr>
        <w:t xml:space="preserve"> It </w:t>
      </w:r>
      <w:r w:rsidR="008C3EEA">
        <w:rPr>
          <w:noProof/>
        </w:rPr>
        <w:t xml:space="preserve">supports the development of domain safety risk portfolios and </w:t>
      </w:r>
      <w:r w:rsidR="00550636">
        <w:rPr>
          <w:noProof/>
        </w:rPr>
        <w:t xml:space="preserve">provides a list of </w:t>
      </w:r>
      <w:r w:rsidR="008C3EEA">
        <w:rPr>
          <w:noProof/>
        </w:rPr>
        <w:t>key risk</w:t>
      </w:r>
      <w:r w:rsidR="00550636">
        <w:rPr>
          <w:noProof/>
        </w:rPr>
        <w:t xml:space="preserve"> areas </w:t>
      </w:r>
      <w:r w:rsidR="008C3EEA">
        <w:rPr>
          <w:noProof/>
        </w:rPr>
        <w:t xml:space="preserve">based on which to prioritise actions for the EPAS. </w:t>
      </w:r>
    </w:p>
    <w:p w14:paraId="2E541900" w14:textId="4C69EB25" w:rsidR="002B7451" w:rsidRDefault="002B7451" w:rsidP="00CD277F">
      <w:pPr>
        <w:shd w:val="clear" w:color="auto" w:fill="FFFFFF"/>
        <w:rPr>
          <w:noProof/>
        </w:rPr>
      </w:pPr>
      <w:r>
        <w:rPr>
          <w:noProof/>
        </w:rPr>
        <w:t>Similar</w:t>
      </w:r>
      <w:r w:rsidR="000F005A">
        <w:rPr>
          <w:noProof/>
        </w:rPr>
        <w:t xml:space="preserve"> to </w:t>
      </w:r>
      <w:r w:rsidR="00EC167C">
        <w:rPr>
          <w:noProof/>
        </w:rPr>
        <w:t xml:space="preserve">EASA’s </w:t>
      </w:r>
      <w:r w:rsidR="000F005A">
        <w:rPr>
          <w:noProof/>
        </w:rPr>
        <w:t xml:space="preserve">obligation, </w:t>
      </w:r>
      <w:r w:rsidR="000F005A" w:rsidRPr="000F005A">
        <w:rPr>
          <w:noProof/>
        </w:rPr>
        <w:t xml:space="preserve">Member </w:t>
      </w:r>
      <w:r w:rsidR="00A46B04">
        <w:rPr>
          <w:noProof/>
        </w:rPr>
        <w:t>State</w:t>
      </w:r>
      <w:r w:rsidR="000F005A" w:rsidRPr="000F005A">
        <w:rPr>
          <w:noProof/>
        </w:rPr>
        <w:t>s</w:t>
      </w:r>
      <w:r w:rsidR="000F005A">
        <w:rPr>
          <w:noProof/>
        </w:rPr>
        <w:t xml:space="preserve"> </w:t>
      </w:r>
      <w:r>
        <w:rPr>
          <w:noProof/>
        </w:rPr>
        <w:t xml:space="preserve">are also required to publish an </w:t>
      </w:r>
      <w:r w:rsidR="00EC167C">
        <w:rPr>
          <w:noProof/>
        </w:rPr>
        <w:t>a</w:t>
      </w:r>
      <w:r>
        <w:rPr>
          <w:noProof/>
        </w:rPr>
        <w:t xml:space="preserve">nnual </w:t>
      </w:r>
      <w:r w:rsidR="00EC167C">
        <w:rPr>
          <w:noProof/>
        </w:rPr>
        <w:t>s</w:t>
      </w:r>
      <w:r>
        <w:rPr>
          <w:noProof/>
        </w:rPr>
        <w:t xml:space="preserve">afety review. Indeed, </w:t>
      </w:r>
      <w:r w:rsidR="008E2CD0">
        <w:rPr>
          <w:noProof/>
        </w:rPr>
        <w:t xml:space="preserve">Regulation (EU) </w:t>
      </w:r>
      <w:r w:rsidR="005A7E2E">
        <w:rPr>
          <w:noProof/>
        </w:rPr>
        <w:t xml:space="preserve">No </w:t>
      </w:r>
      <w:r w:rsidR="008E2CD0">
        <w:rPr>
          <w:noProof/>
        </w:rPr>
        <w:t xml:space="preserve">376/2014 </w:t>
      </w:r>
      <w:r w:rsidR="00973B9E">
        <w:rPr>
          <w:noProof/>
        </w:rPr>
        <w:t>A</w:t>
      </w:r>
      <w:r w:rsidR="000F005A">
        <w:rPr>
          <w:noProof/>
        </w:rPr>
        <w:t xml:space="preserve">rticle 13 </w:t>
      </w:r>
      <w:r w:rsidR="008E2CD0">
        <w:rPr>
          <w:noProof/>
        </w:rPr>
        <w:t xml:space="preserve">on </w:t>
      </w:r>
      <w:r w:rsidR="00A01892">
        <w:rPr>
          <w:noProof/>
        </w:rPr>
        <w:t>Occurrence Analysis and Follow-Up at National Level</w:t>
      </w:r>
      <w:r w:rsidR="000F005A">
        <w:rPr>
          <w:noProof/>
        </w:rPr>
        <w:t xml:space="preserve"> indicates that in order to inform the public of the level of safety in civil aviation, each Member </w:t>
      </w:r>
      <w:r w:rsidR="00A46B04">
        <w:rPr>
          <w:noProof/>
        </w:rPr>
        <w:t>State</w:t>
      </w:r>
      <w:r w:rsidR="000F005A">
        <w:rPr>
          <w:noProof/>
        </w:rPr>
        <w:t xml:space="preserve"> shall publish a safety review at least once a year. The safety review shall:</w:t>
      </w:r>
      <w:r>
        <w:rPr>
          <w:noProof/>
        </w:rPr>
        <w:t xml:space="preserve"> </w:t>
      </w:r>
    </w:p>
    <w:p w14:paraId="6B4FF069" w14:textId="77777777" w:rsidR="000F005A" w:rsidRDefault="000F005A" w:rsidP="00CD277F">
      <w:pPr>
        <w:shd w:val="clear" w:color="auto" w:fill="FFFFFF"/>
        <w:rPr>
          <w:noProof/>
        </w:rPr>
      </w:pPr>
      <w:r>
        <w:rPr>
          <w:noProof/>
        </w:rPr>
        <w:t>(a) contain aggregated and anonymised information</w:t>
      </w:r>
      <w:r w:rsidR="00E02E59">
        <w:rPr>
          <w:noProof/>
        </w:rPr>
        <w:t xml:space="preserve"> </w:t>
      </w:r>
      <w:r>
        <w:rPr>
          <w:noProof/>
        </w:rPr>
        <w:t>on the type of occurrences</w:t>
      </w:r>
      <w:r w:rsidR="00E02E59">
        <w:rPr>
          <w:noProof/>
        </w:rPr>
        <w:t xml:space="preserve"> </w:t>
      </w:r>
      <w:r>
        <w:rPr>
          <w:noProof/>
        </w:rPr>
        <w:t>and safety-related information</w:t>
      </w:r>
      <w:r w:rsidR="00E02E59">
        <w:rPr>
          <w:noProof/>
        </w:rPr>
        <w:t xml:space="preserve"> </w:t>
      </w:r>
      <w:r>
        <w:rPr>
          <w:noProof/>
        </w:rPr>
        <w:t>reported through its national mandatory and voluntary reporting systems;</w:t>
      </w:r>
    </w:p>
    <w:p w14:paraId="74C6DD0F" w14:textId="77777777" w:rsidR="000F005A" w:rsidRDefault="000F005A" w:rsidP="00CD277F">
      <w:pPr>
        <w:shd w:val="clear" w:color="auto" w:fill="FFFFFF"/>
        <w:rPr>
          <w:noProof/>
        </w:rPr>
      </w:pPr>
      <w:r>
        <w:rPr>
          <w:noProof/>
        </w:rPr>
        <w:t>(b) identify trends;</w:t>
      </w:r>
    </w:p>
    <w:p w14:paraId="0C1B7E77" w14:textId="77777777" w:rsidR="000F005A" w:rsidRDefault="000F005A" w:rsidP="00CD277F">
      <w:pPr>
        <w:shd w:val="clear" w:color="auto" w:fill="FFFFFF"/>
        <w:rPr>
          <w:noProof/>
        </w:rPr>
      </w:pPr>
      <w:r>
        <w:rPr>
          <w:noProof/>
        </w:rPr>
        <w:t>(c) identify the action</w:t>
      </w:r>
      <w:r w:rsidR="002B7451">
        <w:rPr>
          <w:noProof/>
        </w:rPr>
        <w:t xml:space="preserve"> </w:t>
      </w:r>
      <w:r>
        <w:rPr>
          <w:noProof/>
        </w:rPr>
        <w:t>it has taken.</w:t>
      </w:r>
    </w:p>
    <w:p w14:paraId="15CF5202" w14:textId="3C280353" w:rsidR="00691D0D" w:rsidRDefault="00691D0D" w:rsidP="00691D0D">
      <w:pPr>
        <w:pStyle w:val="Heading2"/>
        <w:ind w:hanging="720"/>
        <w:rPr>
          <w:noProof/>
        </w:rPr>
      </w:pPr>
      <w:bookmarkStart w:id="141" w:name="_Toc102569223"/>
      <w:bookmarkStart w:id="142" w:name="_Toc94875670"/>
      <w:r w:rsidRPr="00AD31EE">
        <w:rPr>
          <w:noProof/>
        </w:rPr>
        <w:t xml:space="preserve">Safety </w:t>
      </w:r>
      <w:r w:rsidR="00550636">
        <w:rPr>
          <w:noProof/>
        </w:rPr>
        <w:t xml:space="preserve">Management </w:t>
      </w:r>
      <w:r w:rsidRPr="00AD31EE">
        <w:rPr>
          <w:noProof/>
        </w:rPr>
        <w:t xml:space="preserve">Requirements for </w:t>
      </w:r>
      <w:r w:rsidR="006A3B91">
        <w:rPr>
          <w:noProof/>
        </w:rPr>
        <w:t xml:space="preserve">Authorities and </w:t>
      </w:r>
      <w:r w:rsidRPr="00AD31EE">
        <w:rPr>
          <w:noProof/>
        </w:rPr>
        <w:t>Organisations</w:t>
      </w:r>
      <w:bookmarkEnd w:id="141"/>
      <w:r w:rsidRPr="00AD31EE">
        <w:rPr>
          <w:noProof/>
        </w:rPr>
        <w:t xml:space="preserve"> </w:t>
      </w:r>
      <w:bookmarkEnd w:id="142"/>
    </w:p>
    <w:p w14:paraId="4D89C1BC" w14:textId="77777777" w:rsidR="00691D0D" w:rsidRPr="003574B9" w:rsidRDefault="00691D0D" w:rsidP="00691D0D">
      <w:pPr>
        <w:shd w:val="clear" w:color="auto" w:fill="FFFFFF"/>
        <w:rPr>
          <w:noProof/>
        </w:rPr>
      </w:pPr>
      <w:r w:rsidRPr="003574B9">
        <w:rPr>
          <w:noProof/>
        </w:rPr>
        <w:t xml:space="preserve">The development of the implementing rules to Regulation </w:t>
      </w:r>
      <w:r>
        <w:rPr>
          <w:noProof/>
        </w:rPr>
        <w:t xml:space="preserve">(EU) 2018/1139 </w:t>
      </w:r>
      <w:r w:rsidRPr="003574B9">
        <w:rPr>
          <w:noProof/>
        </w:rPr>
        <w:t>has resulted in the adoption of two distinct sets of requirements for authorities and organisations respectively:</w:t>
      </w:r>
    </w:p>
    <w:p w14:paraId="38DA2D2D" w14:textId="7C5EFCAD" w:rsidR="00691D0D" w:rsidRPr="003574B9" w:rsidRDefault="00691D0D" w:rsidP="00D36DA4">
      <w:pPr>
        <w:numPr>
          <w:ilvl w:val="0"/>
          <w:numId w:val="46"/>
        </w:numPr>
        <w:shd w:val="clear" w:color="auto" w:fill="FFFFFF"/>
        <w:rPr>
          <w:noProof/>
        </w:rPr>
      </w:pPr>
      <w:r w:rsidRPr="003574B9">
        <w:rPr>
          <w:noProof/>
        </w:rPr>
        <w:t xml:space="preserve">Authority Requirements that take due account of the eight critical elements of a safety oversight system as defined by </w:t>
      </w:r>
      <w:r w:rsidR="00543FB9">
        <w:rPr>
          <w:noProof/>
        </w:rPr>
        <w:t>appendix 1 to Annex 19 to the Chicago Convention</w:t>
      </w:r>
      <w:r w:rsidRPr="003574B9">
        <w:rPr>
          <w:noProof/>
        </w:rPr>
        <w:t>, thus supporting the implementation of SSPs, while also serving the standardisation objective set out in</w:t>
      </w:r>
      <w:r w:rsidRPr="005F31E2">
        <w:rPr>
          <w:noProof/>
        </w:rPr>
        <w:t xml:space="preserve"> </w:t>
      </w:r>
      <w:r w:rsidRPr="003574B9">
        <w:rPr>
          <w:noProof/>
        </w:rPr>
        <w:t>Regulation</w:t>
      </w:r>
      <w:r w:rsidRPr="006A7686">
        <w:rPr>
          <w:noProof/>
        </w:rPr>
        <w:t xml:space="preserve"> </w:t>
      </w:r>
      <w:r>
        <w:rPr>
          <w:noProof/>
        </w:rPr>
        <w:t>(EU) 2018/1139</w:t>
      </w:r>
      <w:r w:rsidRPr="003574B9">
        <w:rPr>
          <w:noProof/>
        </w:rPr>
        <w:t xml:space="preserve">. They further include elements that are essential for establishing a comprehensive aviation safety management system at EU level, encompassing EU and Member </w:t>
      </w:r>
      <w:r w:rsidR="00A46B04">
        <w:rPr>
          <w:noProof/>
        </w:rPr>
        <w:t>State</w:t>
      </w:r>
      <w:r w:rsidRPr="003574B9">
        <w:rPr>
          <w:noProof/>
        </w:rPr>
        <w:t xml:space="preserve"> responsibilities for safety management.</w:t>
      </w:r>
    </w:p>
    <w:p w14:paraId="2503F60F" w14:textId="30BB0F14" w:rsidR="00691D0D" w:rsidRPr="003574B9" w:rsidRDefault="00691D0D" w:rsidP="00D36DA4">
      <w:pPr>
        <w:numPr>
          <w:ilvl w:val="0"/>
          <w:numId w:val="46"/>
        </w:numPr>
        <w:shd w:val="clear" w:color="auto" w:fill="FFFFFF"/>
        <w:rPr>
          <w:noProof/>
        </w:rPr>
      </w:pPr>
      <w:r w:rsidRPr="003574B9">
        <w:rPr>
          <w:noProof/>
        </w:rPr>
        <w:t>Organisation Requirements</w:t>
      </w:r>
      <w:r>
        <w:rPr>
          <w:noProof/>
        </w:rPr>
        <w:t>, in most aviation areas,</w:t>
      </w:r>
      <w:r w:rsidRPr="003574B9">
        <w:rPr>
          <w:noProof/>
        </w:rPr>
        <w:t xml:space="preserve"> that include consolidated general requirements for </w:t>
      </w:r>
      <w:r>
        <w:rPr>
          <w:noProof/>
        </w:rPr>
        <w:t xml:space="preserve">(safety) </w:t>
      </w:r>
      <w:r w:rsidRPr="003574B9">
        <w:rPr>
          <w:noProof/>
        </w:rPr>
        <w:t>management systems</w:t>
      </w:r>
      <w:r w:rsidRPr="00A535B4">
        <w:rPr>
          <w:noProof/>
        </w:rPr>
        <w:t xml:space="preserve">. </w:t>
      </w:r>
      <w:r w:rsidR="00182FC1">
        <w:rPr>
          <w:noProof/>
        </w:rPr>
        <w:t xml:space="preserve">With the adoption in 2021/2022 of rules </w:t>
      </w:r>
      <w:r w:rsidRPr="00A535B4">
        <w:rPr>
          <w:noProof/>
        </w:rPr>
        <w:t>requiring management systems in the area of initial and conti</w:t>
      </w:r>
      <w:r w:rsidRPr="00182FC1">
        <w:rPr>
          <w:noProof/>
        </w:rPr>
        <w:t>nu</w:t>
      </w:r>
      <w:r w:rsidR="003D4F38" w:rsidRPr="00A535B4">
        <w:rPr>
          <w:noProof/>
        </w:rPr>
        <w:t xml:space="preserve">ing </w:t>
      </w:r>
      <w:r w:rsidRPr="00A535B4">
        <w:rPr>
          <w:noProof/>
        </w:rPr>
        <w:t>airworthiness</w:t>
      </w:r>
      <w:r w:rsidR="00182FC1">
        <w:rPr>
          <w:rStyle w:val="FootnoteReference"/>
          <w:noProof/>
        </w:rPr>
        <w:footnoteReference w:id="31"/>
      </w:r>
      <w:r w:rsidR="00182FC1">
        <w:rPr>
          <w:noProof/>
        </w:rPr>
        <w:t xml:space="preserve"> the EU regulatory framework </w:t>
      </w:r>
      <w:r w:rsidR="00543FB9">
        <w:rPr>
          <w:noProof/>
        </w:rPr>
        <w:t>complies with chapter 4 of Annex 19 to the Chicago Convention</w:t>
      </w:r>
      <w:r w:rsidR="00C86564">
        <w:rPr>
          <w:noProof/>
        </w:rPr>
        <w:t xml:space="preserve"> </w:t>
      </w:r>
      <w:r w:rsidR="00543FB9">
        <w:rPr>
          <w:noProof/>
        </w:rPr>
        <w:t xml:space="preserve">defining the </w:t>
      </w:r>
      <w:r w:rsidR="00182FC1">
        <w:rPr>
          <w:noProof/>
        </w:rPr>
        <w:t xml:space="preserve">SMS </w:t>
      </w:r>
      <w:r w:rsidR="00543FB9">
        <w:rPr>
          <w:noProof/>
        </w:rPr>
        <w:t>requirements</w:t>
      </w:r>
      <w:r w:rsidR="00182FC1">
        <w:rPr>
          <w:noProof/>
        </w:rPr>
        <w:t>.</w:t>
      </w:r>
      <w:r>
        <w:rPr>
          <w:noProof/>
        </w:rPr>
        <w:t xml:space="preserve"> </w:t>
      </w:r>
      <w:r w:rsidRPr="00AD31EE">
        <w:rPr>
          <w:noProof/>
        </w:rPr>
        <w:t>The</w:t>
      </w:r>
      <w:r w:rsidR="00543FB9">
        <w:rPr>
          <w:noProof/>
        </w:rPr>
        <w:t>se</w:t>
      </w:r>
      <w:r>
        <w:rPr>
          <w:noProof/>
        </w:rPr>
        <w:t xml:space="preserve"> organisation requirements</w:t>
      </w:r>
      <w:r w:rsidRPr="003574B9">
        <w:rPr>
          <w:noProof/>
        </w:rPr>
        <w:t xml:space="preserve"> are designed to embed the ICAO </w:t>
      </w:r>
      <w:r w:rsidR="00550636">
        <w:rPr>
          <w:noProof/>
        </w:rPr>
        <w:t xml:space="preserve">Annex 19 SARPs </w:t>
      </w:r>
      <w:r w:rsidRPr="003574B9">
        <w:rPr>
          <w:noProof/>
        </w:rPr>
        <w:t xml:space="preserve">in a way that will ensure compatibility with existing management systems and to encourage integrated management. The management system requirements </w:t>
      </w:r>
      <w:r w:rsidR="003D4F38">
        <w:rPr>
          <w:noProof/>
        </w:rPr>
        <w:t xml:space="preserve">allow flexibility to adapt the system </w:t>
      </w:r>
      <w:r w:rsidRPr="003574B9">
        <w:rPr>
          <w:noProof/>
        </w:rPr>
        <w:t>to the size, nature or complexity of activities of aviation organisations and fit whatever business model they follow, thus catering for proportionate application.</w:t>
      </w:r>
    </w:p>
    <w:p w14:paraId="240367B5" w14:textId="77777777" w:rsidR="00691D0D" w:rsidRDefault="006A3B91" w:rsidP="00691D0D">
      <w:pPr>
        <w:shd w:val="clear" w:color="auto" w:fill="FFFFFF"/>
        <w:rPr>
          <w:noProof/>
        </w:rPr>
      </w:pPr>
      <w:r>
        <w:rPr>
          <w:noProof/>
        </w:rPr>
        <w:t>T</w:t>
      </w:r>
      <w:r w:rsidRPr="003574B9">
        <w:rPr>
          <w:noProof/>
        </w:rPr>
        <w:t xml:space="preserve">he </w:t>
      </w:r>
      <w:r>
        <w:rPr>
          <w:noProof/>
        </w:rPr>
        <w:t xml:space="preserve">general </w:t>
      </w:r>
      <w:r w:rsidRPr="003574B9">
        <w:rPr>
          <w:noProof/>
        </w:rPr>
        <w:t xml:space="preserve">management system requirements </w:t>
      </w:r>
      <w:r>
        <w:rPr>
          <w:noProof/>
        </w:rPr>
        <w:t xml:space="preserve">aim at promoting </w:t>
      </w:r>
      <w:r w:rsidRPr="003574B9">
        <w:rPr>
          <w:noProof/>
        </w:rPr>
        <w:t>a single safety management framework for all approved organisations within the scope of Regulation</w:t>
      </w:r>
      <w:r>
        <w:rPr>
          <w:noProof/>
        </w:rPr>
        <w:t xml:space="preserve"> (EU) 2018/1139</w:t>
      </w:r>
      <w:r w:rsidRPr="003574B9">
        <w:rPr>
          <w:noProof/>
        </w:rPr>
        <w:t>.</w:t>
      </w:r>
      <w:r>
        <w:rPr>
          <w:noProof/>
        </w:rPr>
        <w:t xml:space="preserve"> </w:t>
      </w:r>
      <w:r w:rsidR="00691D0D" w:rsidRPr="003574B9">
        <w:rPr>
          <w:noProof/>
        </w:rPr>
        <w:t>For the different technical areas these</w:t>
      </w:r>
      <w:r w:rsidR="00691D0D" w:rsidRPr="00AD31EE">
        <w:rPr>
          <w:noProof/>
        </w:rPr>
        <w:t xml:space="preserve"> general</w:t>
      </w:r>
      <w:r w:rsidR="00691D0D" w:rsidRPr="003574B9">
        <w:rPr>
          <w:noProof/>
        </w:rPr>
        <w:t xml:space="preserve"> Authority and Organisation Requirements are further complemented with more specific requirements (for example: flight data monitoring requirements for air operators).</w:t>
      </w:r>
    </w:p>
    <w:p w14:paraId="31AE3E75" w14:textId="77777777" w:rsidR="00550636" w:rsidRDefault="00550636" w:rsidP="00691D0D">
      <w:pPr>
        <w:shd w:val="clear" w:color="auto" w:fill="FFFFFF"/>
        <w:rPr>
          <w:noProof/>
        </w:rPr>
      </w:pPr>
      <w:r w:rsidRPr="00A535B4">
        <w:rPr>
          <w:noProof/>
        </w:rPr>
        <w:t xml:space="preserve">Furthermore, these Authority and Organisation Requirements </w:t>
      </w:r>
      <w:r w:rsidR="006F51FD" w:rsidRPr="00A535B4">
        <w:rPr>
          <w:noProof/>
        </w:rPr>
        <w:t xml:space="preserve">are being </w:t>
      </w:r>
      <w:r w:rsidR="006A3B91" w:rsidRPr="00A535B4">
        <w:rPr>
          <w:noProof/>
        </w:rPr>
        <w:t xml:space="preserve">amended </w:t>
      </w:r>
      <w:r w:rsidRPr="00A535B4">
        <w:rPr>
          <w:noProof/>
        </w:rPr>
        <w:t>with specific provisions on information security management</w:t>
      </w:r>
      <w:r w:rsidR="005432AF" w:rsidRPr="00FB18C9">
        <w:rPr>
          <w:noProof/>
        </w:rPr>
        <w:t>.</w:t>
      </w:r>
    </w:p>
    <w:p w14:paraId="049ECEB9" w14:textId="1AF969F4" w:rsidR="00A7469E" w:rsidRPr="00A7469E" w:rsidRDefault="003D4F38" w:rsidP="00A7469E">
      <w:pPr>
        <w:shd w:val="clear" w:color="auto" w:fill="FFFFFF"/>
        <w:rPr>
          <w:noProof/>
        </w:rPr>
      </w:pPr>
      <w:r>
        <w:rPr>
          <w:noProof/>
        </w:rPr>
        <w:t xml:space="preserve">Complementing </w:t>
      </w:r>
      <w:r w:rsidR="00691D0D" w:rsidRPr="003574B9">
        <w:rPr>
          <w:noProof/>
        </w:rPr>
        <w:t xml:space="preserve">these requirements, Regulation </w:t>
      </w:r>
      <w:r w:rsidR="00264415">
        <w:rPr>
          <w:noProof/>
        </w:rPr>
        <w:t>(EU)</w:t>
      </w:r>
      <w:r w:rsidR="00264415" w:rsidRPr="003574B9">
        <w:rPr>
          <w:noProof/>
        </w:rPr>
        <w:t xml:space="preserve"> </w:t>
      </w:r>
      <w:r w:rsidR="005A7E2E">
        <w:rPr>
          <w:noProof/>
        </w:rPr>
        <w:t xml:space="preserve">No </w:t>
      </w:r>
      <w:r w:rsidR="00691D0D" w:rsidRPr="003574B9">
        <w:rPr>
          <w:noProof/>
        </w:rPr>
        <w:t>376/2014 ensures that organisations and competent authorities identify hazards and manage safety risks through the collection, analysis and follow-up of occurrences in civil aviation.</w:t>
      </w:r>
      <w:r w:rsidR="00C23672">
        <w:rPr>
          <w:noProof/>
        </w:rPr>
        <w:t xml:space="preserve"> </w:t>
      </w:r>
      <w:r w:rsidR="00C23672" w:rsidRPr="007E0756">
        <w:rPr>
          <w:noProof/>
        </w:rPr>
        <w:t>As of January 2023</w:t>
      </w:r>
      <w:r w:rsidR="00264415" w:rsidRPr="007E0756">
        <w:rPr>
          <w:noProof/>
        </w:rPr>
        <w:t>,</w:t>
      </w:r>
      <w:r w:rsidR="00C23672" w:rsidRPr="007E0756">
        <w:rPr>
          <w:noProof/>
        </w:rPr>
        <w:t xml:space="preserve"> this Regulation</w:t>
      </w:r>
      <w:r w:rsidR="00A7469E" w:rsidRPr="007E0756">
        <w:rPr>
          <w:noProof/>
        </w:rPr>
        <w:t xml:space="preserve"> imposes </w:t>
      </w:r>
      <w:r w:rsidRPr="007E0756">
        <w:rPr>
          <w:noProof/>
        </w:rPr>
        <w:t xml:space="preserve">on </w:t>
      </w:r>
      <w:r w:rsidR="00A7469E" w:rsidRPr="007E0756">
        <w:rPr>
          <w:noProof/>
        </w:rPr>
        <w:t xml:space="preserve">authorities and EASA the use of </w:t>
      </w:r>
      <w:r w:rsidR="00C23672" w:rsidRPr="007E0756">
        <w:rPr>
          <w:noProof/>
        </w:rPr>
        <w:t>the ERCS (</w:t>
      </w:r>
      <w:r w:rsidR="00D04625" w:rsidRPr="007E0756">
        <w:rPr>
          <w:noProof/>
        </w:rPr>
        <w:t xml:space="preserve">see </w:t>
      </w:r>
      <w:r w:rsidR="00C23672" w:rsidRPr="007E0756">
        <w:rPr>
          <w:noProof/>
        </w:rPr>
        <w:t>section 2.1).</w:t>
      </w:r>
      <w:r w:rsidR="00A7469E" w:rsidRPr="00A7469E">
        <w:rPr>
          <w:noProof/>
        </w:rPr>
        <w:t xml:space="preserve"> </w:t>
      </w:r>
    </w:p>
    <w:p w14:paraId="5B6D35DE" w14:textId="75359319" w:rsidR="00176903" w:rsidRDefault="00A7469E" w:rsidP="00D36DA4">
      <w:pPr>
        <w:shd w:val="clear" w:color="auto" w:fill="FFFFFF"/>
        <w:rPr>
          <w:noProof/>
        </w:rPr>
      </w:pPr>
      <w:r w:rsidRPr="00A7469E">
        <w:rPr>
          <w:noProof/>
        </w:rPr>
        <w:t xml:space="preserve">In 2019, an evaluation of Regulation (EU) </w:t>
      </w:r>
      <w:r w:rsidR="005A7E2E">
        <w:rPr>
          <w:noProof/>
        </w:rPr>
        <w:t xml:space="preserve">No </w:t>
      </w:r>
      <w:r w:rsidRPr="00A7469E">
        <w:rPr>
          <w:noProof/>
        </w:rPr>
        <w:t xml:space="preserve">376/2014 took place. </w:t>
      </w:r>
      <w:r w:rsidR="00137AC1">
        <w:rPr>
          <w:noProof/>
        </w:rPr>
        <w:t>I</w:t>
      </w:r>
      <w:r w:rsidRPr="00A7469E">
        <w:rPr>
          <w:noProof/>
        </w:rPr>
        <w:t xml:space="preserve">t </w:t>
      </w:r>
      <w:r w:rsidR="00137AC1">
        <w:rPr>
          <w:noProof/>
        </w:rPr>
        <w:t>concluded</w:t>
      </w:r>
      <w:r w:rsidRPr="00A7469E">
        <w:rPr>
          <w:noProof/>
        </w:rPr>
        <w:t xml:space="preserve"> that the Regulation continues to be relevant even in the light of the recent developments in the aviation sector, such as the rapid increase in unmanned aircraft operations, as well as the increasing threats related to cybersecurity. Whereas the evaluation has determined that the Regulation offers enough flexibility to address such developments in an efficient manner, it is equally acknowledged that consideration should be given to updating Commission Implementing Regulation (EU) 2015/1018 by updating the list of mandatorily reported occurrences and the mandatory data fields to better enable the gathering of safety data stemming from those new aviation domains.</w:t>
      </w:r>
      <w:r w:rsidR="00F13AEB">
        <w:rPr>
          <w:noProof/>
        </w:rPr>
        <w:t xml:space="preserve"> </w:t>
      </w:r>
    </w:p>
    <w:p w14:paraId="07B87B5D" w14:textId="6F9D6A45" w:rsidR="00241E15" w:rsidRPr="00241E15" w:rsidRDefault="00241E15" w:rsidP="007F3903">
      <w:pPr>
        <w:pStyle w:val="Heading1"/>
        <w:rPr>
          <w:noProof/>
        </w:rPr>
      </w:pPr>
      <w:bookmarkStart w:id="143" w:name="_Toc94875671"/>
      <w:bookmarkStart w:id="144" w:name="_Toc102569224"/>
      <w:r w:rsidRPr="00241E15">
        <w:rPr>
          <w:noProof/>
        </w:rPr>
        <w:t>EUROPEAN SAFETY ASSURANCE</w:t>
      </w:r>
      <w:bookmarkEnd w:id="143"/>
      <w:bookmarkEnd w:id="144"/>
    </w:p>
    <w:p w14:paraId="4B615FF9" w14:textId="10C0EE6B" w:rsidR="00241E15" w:rsidRPr="003166C3" w:rsidRDefault="00241E15" w:rsidP="00171B22">
      <w:pPr>
        <w:pStyle w:val="Heading2"/>
        <w:keepLines w:val="0"/>
        <w:numPr>
          <w:ilvl w:val="1"/>
          <w:numId w:val="33"/>
        </w:numPr>
        <w:rPr>
          <w:noProof/>
        </w:rPr>
      </w:pPr>
      <w:bookmarkStart w:id="145" w:name="_Toc94875672"/>
      <w:bookmarkStart w:id="146" w:name="_Toc102569225"/>
      <w:r w:rsidRPr="003166C3">
        <w:rPr>
          <w:noProof/>
        </w:rPr>
        <w:t>Safety Oversight</w:t>
      </w:r>
      <w:r w:rsidR="007C1A2D" w:rsidRPr="00FB18C9">
        <w:rPr>
          <w:noProof/>
          <w:vertAlign w:val="superscript"/>
        </w:rPr>
        <w:footnoteReference w:id="32"/>
      </w:r>
      <w:bookmarkEnd w:id="145"/>
      <w:bookmarkEnd w:id="146"/>
    </w:p>
    <w:p w14:paraId="71ABAE58" w14:textId="77777777" w:rsidR="000B538A" w:rsidRPr="003574B9" w:rsidRDefault="000B538A" w:rsidP="0006001F">
      <w:pPr>
        <w:shd w:val="clear" w:color="auto" w:fill="FFFFFF"/>
        <w:rPr>
          <w:noProof/>
        </w:rPr>
      </w:pPr>
      <w:r w:rsidRPr="003574B9">
        <w:rPr>
          <w:noProof/>
        </w:rPr>
        <w:t xml:space="preserve">Safety oversight in the European Union includes oversight and surveillance activities on those organisations that have been approved by EASA as well as on those approved by the Member </w:t>
      </w:r>
      <w:r w:rsidR="00A46B04">
        <w:rPr>
          <w:noProof/>
        </w:rPr>
        <w:t>State</w:t>
      </w:r>
      <w:r w:rsidRPr="003574B9">
        <w:rPr>
          <w:noProof/>
        </w:rPr>
        <w:t xml:space="preserve">s. It also includes </w:t>
      </w:r>
      <w:r w:rsidR="00377307" w:rsidRPr="00377307">
        <w:rPr>
          <w:noProof/>
        </w:rPr>
        <w:t xml:space="preserve">monitoring </w:t>
      </w:r>
      <w:r w:rsidRPr="003574B9">
        <w:rPr>
          <w:noProof/>
        </w:rPr>
        <w:t>o</w:t>
      </w:r>
      <w:r w:rsidR="00377307">
        <w:rPr>
          <w:noProof/>
        </w:rPr>
        <w:t>f</w:t>
      </w:r>
      <w:r w:rsidRPr="003574B9">
        <w:rPr>
          <w:noProof/>
        </w:rPr>
        <w:t xml:space="preserve"> the Member </w:t>
      </w:r>
      <w:r w:rsidR="00A46B04">
        <w:rPr>
          <w:noProof/>
        </w:rPr>
        <w:t>State</w:t>
      </w:r>
      <w:r w:rsidRPr="003574B9">
        <w:rPr>
          <w:noProof/>
        </w:rPr>
        <w:t>s to ensure the proper implementation of European aviation safety legislatio</w:t>
      </w:r>
      <w:r w:rsidR="00013211">
        <w:rPr>
          <w:noProof/>
        </w:rPr>
        <w:t>n.</w:t>
      </w:r>
    </w:p>
    <w:p w14:paraId="624C4C78" w14:textId="153B385D" w:rsidR="00241E15" w:rsidRPr="003166C3" w:rsidRDefault="00241E15" w:rsidP="001A0D14">
      <w:pPr>
        <w:pStyle w:val="Heading3"/>
        <w:keepLines w:val="0"/>
        <w:numPr>
          <w:ilvl w:val="2"/>
          <w:numId w:val="33"/>
        </w:numPr>
        <w:spacing w:before="240" w:after="240"/>
        <w:rPr>
          <w:noProof/>
        </w:rPr>
      </w:pPr>
      <w:bookmarkStart w:id="147" w:name="_Monitoring_the_application"/>
      <w:bookmarkStart w:id="148" w:name="_Toc94875673"/>
      <w:bookmarkStart w:id="149" w:name="_Toc102569226"/>
      <w:bookmarkEnd w:id="147"/>
      <w:r w:rsidRPr="003166C3">
        <w:rPr>
          <w:noProof/>
        </w:rPr>
        <w:t xml:space="preserve">Monitoring the application of the rules in the Member </w:t>
      </w:r>
      <w:r w:rsidR="00A46B04">
        <w:rPr>
          <w:noProof/>
        </w:rPr>
        <w:t>State</w:t>
      </w:r>
      <w:r w:rsidRPr="003166C3">
        <w:rPr>
          <w:noProof/>
        </w:rPr>
        <w:t>s</w:t>
      </w:r>
      <w:bookmarkEnd w:id="148"/>
      <w:bookmarkEnd w:id="149"/>
    </w:p>
    <w:p w14:paraId="241E8404" w14:textId="2243055B" w:rsidR="00241E15" w:rsidRPr="009123E2" w:rsidRDefault="000B538A" w:rsidP="0006001F">
      <w:pPr>
        <w:shd w:val="clear" w:color="auto" w:fill="FFFFFF"/>
        <w:rPr>
          <w:noProof/>
        </w:rPr>
      </w:pPr>
      <w:r w:rsidRPr="003574B9">
        <w:rPr>
          <w:noProof/>
        </w:rPr>
        <w:t>Commission Implementing Regulation (EC)</w:t>
      </w:r>
      <w:r w:rsidR="005A7E2E">
        <w:rPr>
          <w:noProof/>
        </w:rPr>
        <w:t xml:space="preserve"> No</w:t>
      </w:r>
      <w:r w:rsidRPr="003574B9">
        <w:rPr>
          <w:noProof/>
        </w:rPr>
        <w:t xml:space="preserve"> 628/2013</w:t>
      </w:r>
      <w:r w:rsidR="007C1A2D" w:rsidRPr="00FB18C9">
        <w:rPr>
          <w:noProof/>
          <w:vertAlign w:val="superscript"/>
        </w:rPr>
        <w:footnoteReference w:id="33"/>
      </w:r>
      <w:r w:rsidRPr="003574B9">
        <w:rPr>
          <w:noProof/>
        </w:rPr>
        <w:t xml:space="preserve"> lays down the working methods for conducting standardisation inspections and for monitoring the application of the relevant safety legislation by the competent authorities of the Member </w:t>
      </w:r>
      <w:r w:rsidR="00A46B04">
        <w:rPr>
          <w:noProof/>
        </w:rPr>
        <w:t>State</w:t>
      </w:r>
      <w:r w:rsidRPr="003574B9">
        <w:rPr>
          <w:noProof/>
        </w:rPr>
        <w:t xml:space="preserve">s. </w:t>
      </w:r>
      <w:r w:rsidR="00BF79C1" w:rsidRPr="00BF79C1">
        <w:rPr>
          <w:noProof/>
        </w:rPr>
        <w:t xml:space="preserve">These standardisation inspections together with their follow-up are carried out by EASA </w:t>
      </w:r>
      <w:r>
        <w:rPr>
          <w:noProof/>
        </w:rPr>
        <w:t xml:space="preserve">(see also sections </w:t>
      </w:r>
      <w:hyperlink w:anchor="_Monitoring_the_application" w:history="1">
        <w:r w:rsidRPr="00510011">
          <w:rPr>
            <w:rStyle w:val="Hyperlink"/>
            <w:noProof/>
          </w:rPr>
          <w:t>3.</w:t>
        </w:r>
        <w:r w:rsidR="005054B9">
          <w:rPr>
            <w:rStyle w:val="Hyperlink"/>
            <w:noProof/>
          </w:rPr>
          <w:t>2</w:t>
        </w:r>
        <w:r w:rsidRPr="00510011">
          <w:rPr>
            <w:rStyle w:val="Hyperlink"/>
            <w:noProof/>
          </w:rPr>
          <w:t>.1</w:t>
        </w:r>
      </w:hyperlink>
      <w:r>
        <w:rPr>
          <w:noProof/>
        </w:rPr>
        <w:t xml:space="preserve"> and </w:t>
      </w:r>
      <w:hyperlink w:anchor="_Enforcement_towards_the" w:history="1">
        <w:r w:rsidRPr="00510011">
          <w:rPr>
            <w:rStyle w:val="Hyperlink"/>
            <w:noProof/>
          </w:rPr>
          <w:t>1.</w:t>
        </w:r>
        <w:r w:rsidR="005054B9">
          <w:rPr>
            <w:rStyle w:val="Hyperlink"/>
            <w:noProof/>
          </w:rPr>
          <w:t>6</w:t>
        </w:r>
        <w:r w:rsidRPr="00510011">
          <w:rPr>
            <w:rStyle w:val="Hyperlink"/>
            <w:noProof/>
          </w:rPr>
          <w:t>.1</w:t>
        </w:r>
      </w:hyperlink>
      <w:r>
        <w:rPr>
          <w:noProof/>
        </w:rPr>
        <w:t>).</w:t>
      </w:r>
    </w:p>
    <w:p w14:paraId="41BB60EC" w14:textId="477363EC" w:rsidR="00241E15" w:rsidRPr="001A5FC3" w:rsidRDefault="00241E15" w:rsidP="001A0D14">
      <w:pPr>
        <w:pStyle w:val="Heading3"/>
        <w:keepLines w:val="0"/>
        <w:numPr>
          <w:ilvl w:val="2"/>
          <w:numId w:val="33"/>
        </w:numPr>
        <w:spacing w:before="240" w:after="240"/>
        <w:rPr>
          <w:noProof/>
        </w:rPr>
      </w:pPr>
      <w:bookmarkStart w:id="150" w:name="_Toc94875674"/>
      <w:bookmarkStart w:id="151" w:name="_Toc102569227"/>
      <w:r w:rsidRPr="001A5FC3">
        <w:rPr>
          <w:noProof/>
        </w:rPr>
        <w:t>Oversight on certified organisations</w:t>
      </w:r>
      <w:bookmarkEnd w:id="150"/>
      <w:bookmarkEnd w:id="151"/>
    </w:p>
    <w:p w14:paraId="4C8224E9" w14:textId="2759841F" w:rsidR="000B538A" w:rsidRDefault="000B538A" w:rsidP="0006001F">
      <w:pPr>
        <w:shd w:val="clear" w:color="auto" w:fill="FFFFFF"/>
        <w:rPr>
          <w:noProof/>
        </w:rPr>
      </w:pPr>
      <w:bookmarkStart w:id="152" w:name="DQCErrorScope7F909C57172A409CB94FA7FCB57"/>
      <w:r w:rsidRPr="001A5FC3">
        <w:rPr>
          <w:noProof/>
        </w:rPr>
        <w:t xml:space="preserve">Safety oversight </w:t>
      </w:r>
      <w:r w:rsidR="00E4764A">
        <w:rPr>
          <w:noProof/>
        </w:rPr>
        <w:t>is a part</w:t>
      </w:r>
      <w:r w:rsidRPr="001A5FC3">
        <w:rPr>
          <w:noProof/>
        </w:rPr>
        <w:t xml:space="preserve"> </w:t>
      </w:r>
      <w:r w:rsidR="00E4764A">
        <w:rPr>
          <w:noProof/>
        </w:rPr>
        <w:t xml:space="preserve">of </w:t>
      </w:r>
      <w:r w:rsidRPr="001A5FC3">
        <w:rPr>
          <w:noProof/>
        </w:rPr>
        <w:t xml:space="preserve">the safety </w:t>
      </w:r>
      <w:r w:rsidR="003D4F38">
        <w:rPr>
          <w:noProof/>
        </w:rPr>
        <w:t xml:space="preserve">management </w:t>
      </w:r>
      <w:r w:rsidRPr="001A5FC3">
        <w:rPr>
          <w:noProof/>
        </w:rPr>
        <w:t xml:space="preserve">process that is dedicated to ensuring an effective </w:t>
      </w:r>
      <w:r>
        <w:rPr>
          <w:noProof/>
        </w:rPr>
        <w:t xml:space="preserve">compliance with </w:t>
      </w:r>
      <w:r w:rsidRPr="001A5FC3">
        <w:rPr>
          <w:noProof/>
        </w:rPr>
        <w:t xml:space="preserve">the safety requirements and associated procedures contained in </w:t>
      </w:r>
      <w:r w:rsidR="00E4764A">
        <w:rPr>
          <w:noProof/>
        </w:rPr>
        <w:t>Union</w:t>
      </w:r>
      <w:r w:rsidR="00E4764A" w:rsidRPr="001A5FC3">
        <w:rPr>
          <w:noProof/>
        </w:rPr>
        <w:t xml:space="preserve"> </w:t>
      </w:r>
      <w:r w:rsidRPr="001A5FC3">
        <w:rPr>
          <w:noProof/>
        </w:rPr>
        <w:t>legislation.</w:t>
      </w:r>
    </w:p>
    <w:p w14:paraId="37CEDD0E" w14:textId="285FEE02" w:rsidR="000B538A" w:rsidRPr="001A5FC3" w:rsidRDefault="000B538A" w:rsidP="0006001F">
      <w:pPr>
        <w:shd w:val="clear" w:color="auto" w:fill="FFFFFF"/>
        <w:rPr>
          <w:noProof/>
        </w:rPr>
      </w:pPr>
      <w:r w:rsidRPr="001A5FC3">
        <w:rPr>
          <w:noProof/>
        </w:rPr>
        <w:t xml:space="preserve">Safety oversight ensures that the </w:t>
      </w:r>
      <w:r>
        <w:rPr>
          <w:noProof/>
        </w:rPr>
        <w:t>European</w:t>
      </w:r>
      <w:r w:rsidRPr="001A5FC3">
        <w:rPr>
          <w:noProof/>
        </w:rPr>
        <w:t xml:space="preserve"> aviation industry provides a level </w:t>
      </w:r>
      <w:r>
        <w:rPr>
          <w:noProof/>
        </w:rPr>
        <w:t>of safety in line with</w:t>
      </w:r>
      <w:r w:rsidRPr="001A5FC3">
        <w:rPr>
          <w:noProof/>
        </w:rPr>
        <w:t xml:space="preserve"> that defined by the </w:t>
      </w:r>
      <w:r w:rsidR="00E4764A">
        <w:rPr>
          <w:noProof/>
        </w:rPr>
        <w:t>Union</w:t>
      </w:r>
      <w:r w:rsidR="00E4764A" w:rsidRPr="001A5FC3">
        <w:rPr>
          <w:noProof/>
        </w:rPr>
        <w:t xml:space="preserve"> </w:t>
      </w:r>
      <w:r w:rsidRPr="001A5FC3">
        <w:rPr>
          <w:noProof/>
        </w:rPr>
        <w:t>rules</w:t>
      </w:r>
      <w:r>
        <w:rPr>
          <w:noProof/>
        </w:rPr>
        <w:t>. T</w:t>
      </w:r>
      <w:r w:rsidRPr="001A5FC3">
        <w:rPr>
          <w:noProof/>
        </w:rPr>
        <w:t>he responsibilit</w:t>
      </w:r>
      <w:r w:rsidR="00543FB9">
        <w:rPr>
          <w:noProof/>
        </w:rPr>
        <w:t>ies</w:t>
      </w:r>
      <w:r w:rsidRPr="001A5FC3">
        <w:rPr>
          <w:noProof/>
        </w:rPr>
        <w:t xml:space="preserve"> of the individual Member </w:t>
      </w:r>
      <w:r w:rsidR="00A46B04">
        <w:rPr>
          <w:noProof/>
        </w:rPr>
        <w:t>State</w:t>
      </w:r>
      <w:r w:rsidRPr="001A5FC3">
        <w:rPr>
          <w:noProof/>
        </w:rPr>
        <w:t xml:space="preserve">s </w:t>
      </w:r>
      <w:r>
        <w:rPr>
          <w:noProof/>
        </w:rPr>
        <w:t xml:space="preserve">and of EASA </w:t>
      </w:r>
      <w:r w:rsidRPr="001A5FC3">
        <w:rPr>
          <w:noProof/>
        </w:rPr>
        <w:t xml:space="preserve">for safety oversight is </w:t>
      </w:r>
      <w:r>
        <w:rPr>
          <w:noProof/>
        </w:rPr>
        <w:t xml:space="preserve">therefore </w:t>
      </w:r>
      <w:r w:rsidRPr="001A5FC3">
        <w:rPr>
          <w:noProof/>
        </w:rPr>
        <w:t xml:space="preserve">the foundation upon which </w:t>
      </w:r>
      <w:r w:rsidR="003D4F38">
        <w:rPr>
          <w:noProof/>
        </w:rPr>
        <w:t xml:space="preserve">aviation safety is </w:t>
      </w:r>
      <w:r w:rsidRPr="001A5FC3">
        <w:rPr>
          <w:noProof/>
        </w:rPr>
        <w:t xml:space="preserve">built and </w:t>
      </w:r>
      <w:r w:rsidR="003D4F38">
        <w:rPr>
          <w:noProof/>
        </w:rPr>
        <w:t xml:space="preserve">for </w:t>
      </w:r>
      <w:r w:rsidRPr="001A5FC3">
        <w:rPr>
          <w:noProof/>
        </w:rPr>
        <w:t xml:space="preserve">mutual recognition of </w:t>
      </w:r>
      <w:r w:rsidRPr="00800F6F">
        <w:rPr>
          <w:noProof/>
        </w:rPr>
        <w:t xml:space="preserve">licenses and certificates </w:t>
      </w:r>
      <w:r w:rsidRPr="001A5FC3">
        <w:rPr>
          <w:noProof/>
        </w:rPr>
        <w:t>within the European Union.</w:t>
      </w:r>
    </w:p>
    <w:p w14:paraId="160336D5" w14:textId="77777777" w:rsidR="000B538A" w:rsidRDefault="000B538A" w:rsidP="0006001F">
      <w:pPr>
        <w:shd w:val="clear" w:color="auto" w:fill="FFFFFF"/>
        <w:rPr>
          <w:noProof/>
        </w:rPr>
      </w:pPr>
      <w:r w:rsidRPr="001A5FC3">
        <w:rPr>
          <w:noProof/>
        </w:rPr>
        <w:t xml:space="preserve">With the introduction of Authority Requirements, this oversight </w:t>
      </w:r>
      <w:r>
        <w:rPr>
          <w:noProof/>
        </w:rPr>
        <w:t>includes</w:t>
      </w:r>
      <w:r w:rsidRPr="001A5FC3">
        <w:rPr>
          <w:noProof/>
        </w:rPr>
        <w:t xml:space="preserve"> a continuous monitoring of the safety performance of organisations that considers specific risks resulting from their activities</w:t>
      </w:r>
      <w:r>
        <w:rPr>
          <w:noProof/>
        </w:rPr>
        <w:t xml:space="preserve"> (see also </w:t>
      </w:r>
      <w:hyperlink w:anchor="_Safety-data-driven_targeting_of" w:history="1">
        <w:r w:rsidRPr="00510011">
          <w:rPr>
            <w:rStyle w:val="Hyperlink"/>
            <w:noProof/>
          </w:rPr>
          <w:t>section 3.</w:t>
        </w:r>
        <w:r w:rsidR="004E0716">
          <w:rPr>
            <w:rStyle w:val="Hyperlink"/>
            <w:noProof/>
          </w:rPr>
          <w:t>2</w:t>
        </w:r>
        <w:r w:rsidRPr="00510011">
          <w:rPr>
            <w:rStyle w:val="Hyperlink"/>
            <w:noProof/>
          </w:rPr>
          <w:t>.2</w:t>
        </w:r>
      </w:hyperlink>
      <w:r>
        <w:rPr>
          <w:noProof/>
        </w:rPr>
        <w:t>).</w:t>
      </w:r>
    </w:p>
    <w:p w14:paraId="145B4D91" w14:textId="589FF111" w:rsidR="00241E15" w:rsidRDefault="00241E15" w:rsidP="001A0D14">
      <w:pPr>
        <w:pStyle w:val="Heading2"/>
        <w:keepLines w:val="0"/>
        <w:numPr>
          <w:ilvl w:val="1"/>
          <w:numId w:val="33"/>
        </w:numPr>
        <w:rPr>
          <w:noProof/>
        </w:rPr>
      </w:pPr>
      <w:bookmarkStart w:id="153" w:name="_Safety_Data_collection,"/>
      <w:bookmarkStart w:id="154" w:name="_Toc94875675"/>
      <w:bookmarkStart w:id="155" w:name="_Toc102569228"/>
      <w:bookmarkEnd w:id="152"/>
      <w:bookmarkEnd w:id="153"/>
      <w:r w:rsidRPr="00DD3F1E">
        <w:rPr>
          <w:noProof/>
        </w:rPr>
        <w:t>Safety-data-driven targeting of oversight of areas of greater concern or need</w:t>
      </w:r>
      <w:bookmarkEnd w:id="154"/>
      <w:bookmarkEnd w:id="155"/>
    </w:p>
    <w:p w14:paraId="0DBB7265" w14:textId="587D85DB" w:rsidR="000B538A" w:rsidRPr="003E19AF" w:rsidRDefault="000B538A" w:rsidP="002C53D0">
      <w:pPr>
        <w:pStyle w:val="Heading3"/>
        <w:keepLines w:val="0"/>
        <w:numPr>
          <w:ilvl w:val="0"/>
          <w:numId w:val="39"/>
        </w:numPr>
        <w:spacing w:before="240" w:after="240"/>
        <w:rPr>
          <w:noProof/>
        </w:rPr>
      </w:pPr>
      <w:bookmarkStart w:id="156" w:name="_Toc429657465"/>
      <w:bookmarkStart w:id="157" w:name="_Toc94875676"/>
      <w:bookmarkStart w:id="158" w:name="_Toc102569229"/>
      <w:r w:rsidRPr="000B538A">
        <w:rPr>
          <w:noProof/>
        </w:rPr>
        <w:t xml:space="preserve">Safety-data-driven targeting of </w:t>
      </w:r>
      <w:r w:rsidR="00142506">
        <w:rPr>
          <w:noProof/>
        </w:rPr>
        <w:t>monitoring</w:t>
      </w:r>
      <w:r w:rsidRPr="000B538A">
        <w:rPr>
          <w:noProof/>
        </w:rPr>
        <w:t xml:space="preserve"> of the Member </w:t>
      </w:r>
      <w:r w:rsidR="00A46B04">
        <w:rPr>
          <w:noProof/>
        </w:rPr>
        <w:t>State</w:t>
      </w:r>
      <w:r w:rsidRPr="000B538A">
        <w:rPr>
          <w:noProof/>
        </w:rPr>
        <w:t>s</w:t>
      </w:r>
      <w:bookmarkEnd w:id="156"/>
      <w:bookmarkEnd w:id="157"/>
      <w:bookmarkEnd w:id="158"/>
      <w:r w:rsidR="00752F7F">
        <w:rPr>
          <w:noProof/>
        </w:rPr>
        <w:t xml:space="preserve"> </w:t>
      </w:r>
    </w:p>
    <w:p w14:paraId="6B204170" w14:textId="77777777" w:rsidR="000B538A" w:rsidRPr="000B538A" w:rsidRDefault="000B538A" w:rsidP="0006001F">
      <w:pPr>
        <w:shd w:val="clear" w:color="auto" w:fill="FFFFFF"/>
        <w:rPr>
          <w:rFonts w:eastAsia="Times New Roman" w:cs="Times New Roman"/>
          <w:noProof/>
          <w:szCs w:val="24"/>
        </w:rPr>
      </w:pPr>
      <w:r w:rsidRPr="000B538A">
        <w:rPr>
          <w:rFonts w:eastAsia="Times New Roman" w:cs="Times New Roman"/>
          <w:noProof/>
          <w:szCs w:val="24"/>
        </w:rPr>
        <w:t xml:space="preserve">In the EU, standardisation inspections of the Member </w:t>
      </w:r>
      <w:r w:rsidR="00A46B04">
        <w:rPr>
          <w:rFonts w:eastAsia="Times New Roman" w:cs="Times New Roman"/>
          <w:noProof/>
          <w:szCs w:val="24"/>
        </w:rPr>
        <w:t>State</w:t>
      </w:r>
      <w:r w:rsidRPr="000B538A">
        <w:rPr>
          <w:rFonts w:eastAsia="Times New Roman" w:cs="Times New Roman"/>
          <w:noProof/>
          <w:szCs w:val="24"/>
        </w:rPr>
        <w:t>s by the Agency are following a risk-based approach</w:t>
      </w:r>
      <w:r w:rsidR="00FA2BDD">
        <w:rPr>
          <w:rFonts w:eastAsia="Times New Roman" w:cs="Times New Roman"/>
          <w:noProof/>
          <w:szCs w:val="24"/>
        </w:rPr>
        <w:t xml:space="preserve"> where</w:t>
      </w:r>
      <w:r w:rsidRPr="000B538A">
        <w:rPr>
          <w:rFonts w:eastAsia="Times New Roman" w:cs="Times New Roman"/>
          <w:noProof/>
          <w:szCs w:val="24"/>
        </w:rPr>
        <w:t xml:space="preserve"> </w:t>
      </w:r>
      <w:r w:rsidR="00A4342B">
        <w:rPr>
          <w:rFonts w:eastAsia="Times New Roman" w:cs="Times New Roman"/>
          <w:noProof/>
          <w:szCs w:val="24"/>
        </w:rPr>
        <w:t xml:space="preserve">the </w:t>
      </w:r>
      <w:r w:rsidRPr="000B538A">
        <w:rPr>
          <w:rFonts w:eastAsia="Times New Roman" w:cs="Times New Roman"/>
          <w:noProof/>
          <w:szCs w:val="24"/>
        </w:rPr>
        <w:t xml:space="preserve">inspections’ interval, </w:t>
      </w:r>
      <w:r w:rsidR="00A4342B">
        <w:rPr>
          <w:rFonts w:eastAsia="Times New Roman" w:cs="Times New Roman"/>
          <w:noProof/>
          <w:szCs w:val="24"/>
        </w:rPr>
        <w:t xml:space="preserve">the </w:t>
      </w:r>
      <w:r w:rsidRPr="000B538A">
        <w:rPr>
          <w:rFonts w:eastAsia="Times New Roman" w:cs="Times New Roman"/>
          <w:noProof/>
          <w:szCs w:val="24"/>
        </w:rPr>
        <w:t>scope and depth of investigation</w:t>
      </w:r>
      <w:r w:rsidR="00A4342B">
        <w:rPr>
          <w:rFonts w:eastAsia="Times New Roman" w:cs="Times New Roman"/>
          <w:noProof/>
          <w:szCs w:val="24"/>
        </w:rPr>
        <w:t>s</w:t>
      </w:r>
      <w:r w:rsidRPr="000B538A">
        <w:rPr>
          <w:rFonts w:eastAsia="Times New Roman" w:cs="Times New Roman"/>
          <w:noProof/>
          <w:szCs w:val="24"/>
        </w:rPr>
        <w:t xml:space="preserve">, as well as team size and composition, are tailored to the specific situation of each </w:t>
      </w:r>
      <w:r w:rsidR="00A46B04">
        <w:rPr>
          <w:rFonts w:eastAsia="Times New Roman" w:cs="Times New Roman"/>
          <w:noProof/>
          <w:szCs w:val="24"/>
        </w:rPr>
        <w:t>State</w:t>
      </w:r>
      <w:r w:rsidR="00F80994">
        <w:rPr>
          <w:rFonts w:eastAsia="Times New Roman" w:cs="Times New Roman"/>
          <w:noProof/>
          <w:szCs w:val="24"/>
        </w:rPr>
        <w:t xml:space="preserve"> an</w:t>
      </w:r>
      <w:r w:rsidR="00013211">
        <w:rPr>
          <w:rFonts w:eastAsia="Times New Roman" w:cs="Times New Roman"/>
          <w:noProof/>
          <w:szCs w:val="24"/>
        </w:rPr>
        <w:t>d</w:t>
      </w:r>
      <w:r w:rsidR="00F80994">
        <w:rPr>
          <w:rFonts w:eastAsia="Times New Roman" w:cs="Times New Roman"/>
          <w:noProof/>
          <w:szCs w:val="24"/>
        </w:rPr>
        <w:t xml:space="preserve"> sector</w:t>
      </w:r>
      <w:r w:rsidRPr="000B538A">
        <w:rPr>
          <w:rFonts w:eastAsia="Times New Roman" w:cs="Times New Roman"/>
          <w:noProof/>
          <w:szCs w:val="24"/>
        </w:rPr>
        <w:t>.</w:t>
      </w:r>
    </w:p>
    <w:p w14:paraId="4F7B6118" w14:textId="77777777" w:rsidR="000B538A" w:rsidRPr="000B538A" w:rsidRDefault="000B538A" w:rsidP="0006001F">
      <w:pPr>
        <w:shd w:val="clear" w:color="auto" w:fill="FFFFFF"/>
        <w:rPr>
          <w:rFonts w:eastAsia="Times New Roman" w:cs="Times New Roman"/>
          <w:noProof/>
          <w:szCs w:val="24"/>
        </w:rPr>
      </w:pPr>
      <w:r w:rsidRPr="000B538A">
        <w:rPr>
          <w:rFonts w:eastAsia="Times New Roman" w:cs="Times New Roman"/>
          <w:noProof/>
          <w:szCs w:val="24"/>
        </w:rPr>
        <w:t>This monitoring is carried out on a continuous basis, addresses the whole aviation system and is risk-based, taking into account all information available to EASA. To that end EASA assesses the competent authorities' ability to discharge their safety oversight responsibilities. This entails data collection and analysis, conducting inspections as necessary and following-up on the findings in order to ensure that appropriate corrections and corrective actions are implemented in a timely manner.</w:t>
      </w:r>
    </w:p>
    <w:p w14:paraId="4B48B5DA" w14:textId="77777777" w:rsidR="000B538A" w:rsidRPr="000B538A" w:rsidRDefault="000B538A" w:rsidP="0006001F">
      <w:pPr>
        <w:shd w:val="clear" w:color="auto" w:fill="FFFFFF"/>
        <w:rPr>
          <w:rFonts w:eastAsia="Times New Roman" w:cs="Times New Roman"/>
          <w:noProof/>
          <w:szCs w:val="24"/>
        </w:rPr>
      </w:pPr>
      <w:r w:rsidRPr="000B538A">
        <w:rPr>
          <w:rFonts w:eastAsia="Times New Roman" w:cs="Times New Roman"/>
          <w:noProof/>
          <w:szCs w:val="24"/>
        </w:rPr>
        <w:t>Standardisation is part of the safety data collection at EU level needed to identify hazards and allows for safety-data-driven targeting of oversight of areas of greater concern or need.</w:t>
      </w:r>
    </w:p>
    <w:p w14:paraId="3F7547C2" w14:textId="77777777" w:rsidR="000B538A" w:rsidRPr="000B538A" w:rsidRDefault="000B538A" w:rsidP="0006001F">
      <w:pPr>
        <w:shd w:val="clear" w:color="auto" w:fill="FFFFFF"/>
        <w:rPr>
          <w:rFonts w:eastAsia="Times New Roman" w:cs="Times New Roman"/>
          <w:noProof/>
          <w:szCs w:val="24"/>
        </w:rPr>
      </w:pPr>
      <w:r w:rsidRPr="000B538A">
        <w:rPr>
          <w:rFonts w:eastAsia="Times New Roman" w:cs="Times New Roman"/>
          <w:noProof/>
          <w:szCs w:val="24"/>
        </w:rPr>
        <w:t>The standardisation strategy is focused on the following key areas:</w:t>
      </w:r>
    </w:p>
    <w:p w14:paraId="114EB5F8" w14:textId="65E2B680" w:rsidR="000B538A" w:rsidRPr="000B538A" w:rsidRDefault="000B538A" w:rsidP="001A0D14">
      <w:pPr>
        <w:numPr>
          <w:ilvl w:val="0"/>
          <w:numId w:val="30"/>
        </w:numPr>
        <w:shd w:val="clear" w:color="auto" w:fill="FFFFFF"/>
        <w:rPr>
          <w:rFonts w:eastAsia="Times New Roman" w:cs="Times New Roman"/>
          <w:noProof/>
          <w:szCs w:val="24"/>
        </w:rPr>
      </w:pPr>
      <w:r w:rsidRPr="000B538A">
        <w:rPr>
          <w:rFonts w:eastAsia="Times New Roman" w:cs="Times New Roman"/>
          <w:b/>
          <w:noProof/>
          <w:szCs w:val="24"/>
        </w:rPr>
        <w:t>Implementation of a Continuous Monitoring Approach</w:t>
      </w:r>
      <w:r w:rsidRPr="000B538A">
        <w:rPr>
          <w:rFonts w:eastAsia="Times New Roman" w:cs="Times New Roman"/>
          <w:noProof/>
          <w:szCs w:val="24"/>
        </w:rPr>
        <w:t xml:space="preserve">: Regulation </w:t>
      </w:r>
      <w:r w:rsidR="005E74BE">
        <w:rPr>
          <w:rFonts w:eastAsia="Times New Roman" w:cs="Times New Roman"/>
          <w:noProof/>
          <w:szCs w:val="24"/>
        </w:rPr>
        <w:t>(EU)</w:t>
      </w:r>
      <w:r w:rsidR="005E74BE" w:rsidRPr="000B538A">
        <w:rPr>
          <w:rFonts w:eastAsia="Times New Roman" w:cs="Times New Roman"/>
          <w:noProof/>
          <w:szCs w:val="24"/>
        </w:rPr>
        <w:t xml:space="preserve"> </w:t>
      </w:r>
      <w:r w:rsidR="005A7E2E">
        <w:rPr>
          <w:rFonts w:eastAsia="Times New Roman" w:cs="Times New Roman"/>
          <w:noProof/>
          <w:szCs w:val="24"/>
        </w:rPr>
        <w:t xml:space="preserve">No </w:t>
      </w:r>
      <w:r w:rsidRPr="000B538A">
        <w:rPr>
          <w:rFonts w:eastAsia="Times New Roman" w:cs="Times New Roman"/>
          <w:noProof/>
          <w:szCs w:val="24"/>
        </w:rPr>
        <w:t>628/2013 introduces a system for monitoring the uniform application of European Aviation Safety Rules that should be extended to all aviation domains.</w:t>
      </w:r>
    </w:p>
    <w:p w14:paraId="13A7B26E" w14:textId="77777777" w:rsidR="000B538A" w:rsidRPr="000B538A" w:rsidRDefault="000B538A" w:rsidP="001A0D14">
      <w:pPr>
        <w:numPr>
          <w:ilvl w:val="0"/>
          <w:numId w:val="30"/>
        </w:numPr>
        <w:shd w:val="clear" w:color="auto" w:fill="FFFFFF"/>
        <w:rPr>
          <w:rFonts w:eastAsia="Times New Roman" w:cs="Times New Roman"/>
          <w:noProof/>
          <w:szCs w:val="24"/>
        </w:rPr>
      </w:pPr>
      <w:r w:rsidRPr="000B538A">
        <w:rPr>
          <w:rFonts w:eastAsia="Times New Roman" w:cs="Times New Roman"/>
          <w:b/>
          <w:noProof/>
          <w:szCs w:val="24"/>
        </w:rPr>
        <w:t>Risk based planning of standardisation inspections</w:t>
      </w:r>
      <w:r w:rsidRPr="000B538A">
        <w:rPr>
          <w:rFonts w:eastAsia="Times New Roman" w:cs="Times New Roman"/>
          <w:noProof/>
          <w:szCs w:val="24"/>
        </w:rPr>
        <w:t xml:space="preserve">: in the continuous monitoring approach, the inspections’ interval, scope and depth of investigation, as well as team size and composition, are tailored to the specific situation of each </w:t>
      </w:r>
      <w:r w:rsidR="00A46B04">
        <w:rPr>
          <w:rFonts w:eastAsia="Times New Roman" w:cs="Times New Roman"/>
          <w:noProof/>
          <w:szCs w:val="24"/>
        </w:rPr>
        <w:t>State</w:t>
      </w:r>
      <w:r w:rsidR="00A4342B">
        <w:rPr>
          <w:rFonts w:eastAsia="Times New Roman" w:cs="Times New Roman"/>
          <w:noProof/>
          <w:szCs w:val="24"/>
        </w:rPr>
        <w:t xml:space="preserve"> and sector</w:t>
      </w:r>
      <w:r w:rsidRPr="000B538A">
        <w:rPr>
          <w:rFonts w:eastAsia="Times New Roman" w:cs="Times New Roman"/>
          <w:noProof/>
          <w:szCs w:val="24"/>
        </w:rPr>
        <w:t xml:space="preserve">. This results in a more flexible and more efficient use of resources and in a reduced burden for those </w:t>
      </w:r>
      <w:r w:rsidR="00A46B04">
        <w:rPr>
          <w:rFonts w:eastAsia="Times New Roman" w:cs="Times New Roman"/>
          <w:noProof/>
          <w:szCs w:val="24"/>
        </w:rPr>
        <w:t>State</w:t>
      </w:r>
      <w:r w:rsidRPr="000B538A">
        <w:rPr>
          <w:rFonts w:eastAsia="Times New Roman" w:cs="Times New Roman"/>
          <w:noProof/>
          <w:szCs w:val="24"/>
        </w:rPr>
        <w:t xml:space="preserve">s which perform well and therefore can be inspected less often. Regulatory compliance verification is gradually blended in with the system/process performance monitoring, looking at the systemic effectiveness of Competent Authorities’ Management Systems and </w:t>
      </w:r>
      <w:r w:rsidR="00A46B04">
        <w:rPr>
          <w:rFonts w:eastAsia="Times New Roman" w:cs="Times New Roman"/>
          <w:noProof/>
          <w:szCs w:val="24"/>
        </w:rPr>
        <w:t>State</w:t>
      </w:r>
      <w:r w:rsidRPr="000B538A">
        <w:rPr>
          <w:rFonts w:eastAsia="Times New Roman" w:cs="Times New Roman"/>
          <w:noProof/>
          <w:szCs w:val="24"/>
        </w:rPr>
        <w:t>s’ Safety Programmes</w:t>
      </w:r>
      <w:r w:rsidR="00FA2BDD">
        <w:rPr>
          <w:rFonts w:eastAsia="Times New Roman" w:cs="Times New Roman"/>
          <w:noProof/>
          <w:szCs w:val="24"/>
        </w:rPr>
        <w:t>.</w:t>
      </w:r>
    </w:p>
    <w:p w14:paraId="2374D671" w14:textId="77777777" w:rsidR="000B538A" w:rsidRDefault="000B538A" w:rsidP="001A0D14">
      <w:pPr>
        <w:numPr>
          <w:ilvl w:val="0"/>
          <w:numId w:val="30"/>
        </w:numPr>
        <w:shd w:val="clear" w:color="auto" w:fill="FFFFFF"/>
        <w:rPr>
          <w:rFonts w:eastAsia="Times New Roman" w:cs="Times New Roman"/>
          <w:noProof/>
          <w:szCs w:val="24"/>
        </w:rPr>
      </w:pPr>
      <w:r w:rsidRPr="000B538A">
        <w:rPr>
          <w:rFonts w:eastAsia="Times New Roman" w:cs="Times New Roman"/>
          <w:b/>
          <w:noProof/>
          <w:szCs w:val="24"/>
        </w:rPr>
        <w:t>Integration of EASA standardisation activities and ICAO USOAP programme</w:t>
      </w:r>
      <w:r w:rsidRPr="000B538A">
        <w:rPr>
          <w:rFonts w:eastAsia="Times New Roman" w:cs="Times New Roman"/>
          <w:noProof/>
          <w:szCs w:val="24"/>
        </w:rPr>
        <w:t xml:space="preserve">: the existing working arrangement fosters increased cooperation and integration of activities between EASA and ICAO. Constant dialogue, exchange of information and data, participation in </w:t>
      </w:r>
      <w:r w:rsidR="00A4342B" w:rsidRPr="000B538A">
        <w:rPr>
          <w:rFonts w:eastAsia="Times New Roman" w:cs="Times New Roman"/>
          <w:noProof/>
          <w:szCs w:val="24"/>
        </w:rPr>
        <w:t>each other</w:t>
      </w:r>
      <w:r w:rsidR="00A4342B">
        <w:rPr>
          <w:rFonts w:eastAsia="Times New Roman" w:cs="Times New Roman"/>
          <w:noProof/>
          <w:szCs w:val="24"/>
        </w:rPr>
        <w:t>'s</w:t>
      </w:r>
      <w:r w:rsidRPr="000B538A">
        <w:rPr>
          <w:rFonts w:eastAsia="Times New Roman" w:cs="Times New Roman"/>
          <w:noProof/>
          <w:szCs w:val="24"/>
        </w:rPr>
        <w:t xml:space="preserve"> inspections and audits are the tools identified for this purpose with the objective that both EU and ICAO requirements and standards can be satisfied to the extent possible by only one integrated process.</w:t>
      </w:r>
    </w:p>
    <w:p w14:paraId="54537488" w14:textId="4FE2336E" w:rsidR="009F5504" w:rsidRPr="009F5504" w:rsidRDefault="009F5504" w:rsidP="001A0D14">
      <w:pPr>
        <w:numPr>
          <w:ilvl w:val="0"/>
          <w:numId w:val="30"/>
        </w:numPr>
        <w:shd w:val="clear" w:color="auto" w:fill="FFFFFF"/>
        <w:rPr>
          <w:rFonts w:eastAsia="Times New Roman" w:cs="Times New Roman"/>
          <w:noProof/>
          <w:szCs w:val="24"/>
        </w:rPr>
      </w:pPr>
      <w:r w:rsidRPr="000058DD">
        <w:rPr>
          <w:rFonts w:eastAsia="Times New Roman" w:cs="Times New Roman"/>
          <w:b/>
          <w:noProof/>
          <w:szCs w:val="24"/>
        </w:rPr>
        <w:t xml:space="preserve">Integration of </w:t>
      </w:r>
      <w:r w:rsidR="00A46B04">
        <w:rPr>
          <w:rFonts w:eastAsia="Times New Roman" w:cs="Times New Roman"/>
          <w:b/>
          <w:noProof/>
          <w:szCs w:val="24"/>
        </w:rPr>
        <w:t>State</w:t>
      </w:r>
      <w:r w:rsidR="00973B9E">
        <w:rPr>
          <w:rFonts w:eastAsia="Times New Roman" w:cs="Times New Roman"/>
          <w:b/>
          <w:noProof/>
          <w:szCs w:val="24"/>
        </w:rPr>
        <w:t xml:space="preserve"> </w:t>
      </w:r>
      <w:r w:rsidRPr="000058DD">
        <w:rPr>
          <w:rFonts w:eastAsia="Times New Roman" w:cs="Times New Roman"/>
          <w:b/>
          <w:noProof/>
          <w:szCs w:val="24"/>
        </w:rPr>
        <w:t>S</w:t>
      </w:r>
      <w:r w:rsidR="00973B9E">
        <w:rPr>
          <w:rFonts w:eastAsia="Times New Roman" w:cs="Times New Roman"/>
          <w:b/>
          <w:noProof/>
          <w:szCs w:val="24"/>
        </w:rPr>
        <w:t xml:space="preserve">afety </w:t>
      </w:r>
      <w:r w:rsidRPr="000058DD">
        <w:rPr>
          <w:rFonts w:eastAsia="Times New Roman" w:cs="Times New Roman"/>
          <w:b/>
          <w:noProof/>
          <w:szCs w:val="24"/>
        </w:rPr>
        <w:t>P</w:t>
      </w:r>
      <w:r w:rsidR="00A01892">
        <w:rPr>
          <w:rFonts w:eastAsia="Times New Roman" w:cs="Times New Roman"/>
          <w:b/>
          <w:noProof/>
          <w:szCs w:val="24"/>
        </w:rPr>
        <w:t xml:space="preserve">rogramme implementation </w:t>
      </w:r>
      <w:r w:rsidRPr="000058DD">
        <w:rPr>
          <w:rFonts w:eastAsia="Times New Roman" w:cs="Times New Roman"/>
          <w:b/>
          <w:noProof/>
          <w:szCs w:val="24"/>
        </w:rPr>
        <w:t>assessments within the scope of EASA standardisation</w:t>
      </w:r>
      <w:r w:rsidR="000058DD" w:rsidRPr="00C62EE5">
        <w:rPr>
          <w:rFonts w:eastAsia="Times New Roman" w:cs="Times New Roman"/>
          <w:bCs/>
          <w:noProof/>
          <w:szCs w:val="24"/>
        </w:rPr>
        <w:t xml:space="preserve">: </w:t>
      </w:r>
      <w:r w:rsidR="00543FB9">
        <w:rPr>
          <w:rFonts w:eastAsia="Times New Roman" w:cs="Times New Roman"/>
          <w:bCs/>
          <w:noProof/>
          <w:szCs w:val="24"/>
        </w:rPr>
        <w:t>since</w:t>
      </w:r>
      <w:r w:rsidR="00543FB9" w:rsidRPr="00C62EE5">
        <w:rPr>
          <w:rFonts w:eastAsia="Times New Roman" w:cs="Times New Roman"/>
          <w:bCs/>
          <w:noProof/>
          <w:szCs w:val="24"/>
        </w:rPr>
        <w:t xml:space="preserve"> </w:t>
      </w:r>
      <w:r w:rsidR="000058DD" w:rsidRPr="00C62EE5">
        <w:rPr>
          <w:rFonts w:eastAsia="Times New Roman" w:cs="Times New Roman"/>
          <w:bCs/>
          <w:noProof/>
          <w:szCs w:val="24"/>
        </w:rPr>
        <w:t xml:space="preserve">2022, </w:t>
      </w:r>
      <w:r w:rsidR="00561D8F" w:rsidRPr="00C62EE5">
        <w:rPr>
          <w:noProof/>
        </w:rPr>
        <w:t>s</w:t>
      </w:r>
      <w:r w:rsidR="000058DD" w:rsidRPr="00C62EE5">
        <w:rPr>
          <w:noProof/>
        </w:rPr>
        <w:t xml:space="preserve">tandardisation inspections are also used to assess the effective implementation </w:t>
      </w:r>
      <w:r w:rsidR="000058DD" w:rsidRPr="00C62EE5">
        <w:rPr>
          <w:rFonts w:eastAsia="Times New Roman" w:cs="Times New Roman"/>
          <w:bCs/>
          <w:noProof/>
          <w:szCs w:val="24"/>
        </w:rPr>
        <w:t xml:space="preserve">of Member </w:t>
      </w:r>
      <w:r w:rsidR="00A46B04">
        <w:rPr>
          <w:rFonts w:eastAsia="Times New Roman" w:cs="Times New Roman"/>
          <w:bCs/>
          <w:noProof/>
          <w:szCs w:val="24"/>
        </w:rPr>
        <w:t>State</w:t>
      </w:r>
      <w:r w:rsidR="000058DD" w:rsidRPr="00C62EE5">
        <w:rPr>
          <w:rFonts w:eastAsia="Times New Roman" w:cs="Times New Roman"/>
          <w:bCs/>
          <w:noProof/>
          <w:szCs w:val="24"/>
        </w:rPr>
        <w:t xml:space="preserve">s’ </w:t>
      </w:r>
      <w:r w:rsidR="00A46B04">
        <w:rPr>
          <w:rFonts w:eastAsia="Times New Roman" w:cs="Times New Roman"/>
          <w:bCs/>
          <w:noProof/>
          <w:szCs w:val="24"/>
        </w:rPr>
        <w:t>State</w:t>
      </w:r>
      <w:r w:rsidR="000058DD" w:rsidRPr="00C62EE5">
        <w:rPr>
          <w:rFonts w:eastAsia="Times New Roman" w:cs="Times New Roman"/>
          <w:bCs/>
          <w:noProof/>
          <w:szCs w:val="24"/>
        </w:rPr>
        <w:t xml:space="preserve"> Safety Programmes and </w:t>
      </w:r>
      <w:r w:rsidR="00A01892">
        <w:rPr>
          <w:rFonts w:eastAsia="Times New Roman" w:cs="Times New Roman"/>
          <w:bCs/>
          <w:noProof/>
          <w:szCs w:val="24"/>
        </w:rPr>
        <w:t xml:space="preserve">related </w:t>
      </w:r>
      <w:r w:rsidR="00A46B04">
        <w:rPr>
          <w:rFonts w:eastAsia="Times New Roman" w:cs="Times New Roman"/>
          <w:bCs/>
          <w:noProof/>
          <w:szCs w:val="24"/>
        </w:rPr>
        <w:t>State</w:t>
      </w:r>
      <w:r w:rsidR="000058DD" w:rsidRPr="00C62EE5">
        <w:rPr>
          <w:rFonts w:eastAsia="Times New Roman" w:cs="Times New Roman"/>
          <w:bCs/>
          <w:noProof/>
          <w:szCs w:val="24"/>
        </w:rPr>
        <w:t xml:space="preserve"> Plans for </w:t>
      </w:r>
      <w:r w:rsidR="00A01892">
        <w:rPr>
          <w:rFonts w:eastAsia="Times New Roman" w:cs="Times New Roman"/>
          <w:bCs/>
          <w:noProof/>
          <w:szCs w:val="24"/>
        </w:rPr>
        <w:t>A</w:t>
      </w:r>
      <w:r w:rsidR="000058DD" w:rsidRPr="00C62EE5">
        <w:rPr>
          <w:rFonts w:eastAsia="Times New Roman" w:cs="Times New Roman"/>
          <w:bCs/>
          <w:noProof/>
          <w:szCs w:val="24"/>
        </w:rPr>
        <w:t xml:space="preserve">viation </w:t>
      </w:r>
      <w:r w:rsidR="00A01892">
        <w:rPr>
          <w:rFonts w:eastAsia="Times New Roman" w:cs="Times New Roman"/>
          <w:bCs/>
          <w:noProof/>
          <w:szCs w:val="24"/>
        </w:rPr>
        <w:t>S</w:t>
      </w:r>
      <w:r w:rsidR="000058DD" w:rsidRPr="00C62EE5">
        <w:rPr>
          <w:rFonts w:eastAsia="Times New Roman" w:cs="Times New Roman"/>
          <w:bCs/>
          <w:noProof/>
          <w:szCs w:val="24"/>
        </w:rPr>
        <w:t xml:space="preserve">afety. In line with the performance-based approach adopted by ICAO, which fosters and supports the gradual implementation of SSP, EASA assesses the level of SSP implementation using the five </w:t>
      </w:r>
      <w:r w:rsidR="00A01892" w:rsidRPr="00C62EE5">
        <w:rPr>
          <w:rFonts w:eastAsia="Times New Roman" w:cs="Times New Roman"/>
          <w:bCs/>
          <w:noProof/>
          <w:szCs w:val="24"/>
        </w:rPr>
        <w:t>maturity levels</w:t>
      </w:r>
      <w:r w:rsidR="00A01892">
        <w:rPr>
          <w:rFonts w:eastAsia="Times New Roman" w:cs="Times New Roman"/>
          <w:bCs/>
          <w:noProof/>
          <w:szCs w:val="24"/>
        </w:rPr>
        <w:t xml:space="preserve"> defined in the ICAO </w:t>
      </w:r>
      <w:r w:rsidR="00A46B04">
        <w:rPr>
          <w:rFonts w:eastAsia="Times New Roman" w:cs="Times New Roman"/>
          <w:bCs/>
          <w:noProof/>
          <w:szCs w:val="24"/>
        </w:rPr>
        <w:t>State</w:t>
      </w:r>
      <w:r w:rsidR="00561D8F" w:rsidRPr="00C62EE5">
        <w:rPr>
          <w:rFonts w:eastAsia="Times New Roman" w:cs="Times New Roman"/>
          <w:bCs/>
          <w:noProof/>
          <w:szCs w:val="24"/>
        </w:rPr>
        <w:t xml:space="preserve"> Safety Programme Implementation Assessment (</w:t>
      </w:r>
      <w:r w:rsidR="000058DD" w:rsidRPr="00C62EE5">
        <w:rPr>
          <w:rFonts w:eastAsia="Times New Roman" w:cs="Times New Roman"/>
          <w:bCs/>
          <w:noProof/>
          <w:szCs w:val="24"/>
        </w:rPr>
        <w:t>SSPIA</w:t>
      </w:r>
      <w:r w:rsidR="00561D8F" w:rsidRPr="00C62EE5">
        <w:rPr>
          <w:rFonts w:eastAsia="Times New Roman" w:cs="Times New Roman"/>
          <w:bCs/>
          <w:noProof/>
          <w:szCs w:val="24"/>
        </w:rPr>
        <w:t>)</w:t>
      </w:r>
      <w:r w:rsidR="00D77584">
        <w:rPr>
          <w:rFonts w:eastAsia="Times New Roman" w:cs="Times New Roman"/>
          <w:bCs/>
          <w:noProof/>
          <w:szCs w:val="24"/>
        </w:rPr>
        <w:t xml:space="preserve"> </w:t>
      </w:r>
      <w:r w:rsidR="00A01892">
        <w:rPr>
          <w:rFonts w:eastAsia="Times New Roman" w:cs="Times New Roman"/>
          <w:bCs/>
          <w:noProof/>
          <w:szCs w:val="24"/>
        </w:rPr>
        <w:t>methodology</w:t>
      </w:r>
      <w:r w:rsidR="000058DD" w:rsidRPr="00C62EE5">
        <w:rPr>
          <w:rFonts w:eastAsia="Times New Roman" w:cs="Times New Roman"/>
          <w:bCs/>
          <w:noProof/>
          <w:szCs w:val="24"/>
        </w:rPr>
        <w:t>.</w:t>
      </w:r>
      <w:r w:rsidR="000058DD" w:rsidRPr="000058DD">
        <w:rPr>
          <w:rFonts w:eastAsia="Times New Roman" w:cs="Times New Roman"/>
          <w:bCs/>
          <w:noProof/>
          <w:szCs w:val="24"/>
          <w:u w:val="single"/>
        </w:rPr>
        <w:t xml:space="preserve"> </w:t>
      </w:r>
    </w:p>
    <w:p w14:paraId="20AA6A30" w14:textId="77777777" w:rsidR="000B538A" w:rsidRPr="000B538A" w:rsidRDefault="000B538A" w:rsidP="001A0D14">
      <w:pPr>
        <w:numPr>
          <w:ilvl w:val="0"/>
          <w:numId w:val="30"/>
        </w:numPr>
        <w:shd w:val="clear" w:color="auto" w:fill="FFFFFF"/>
        <w:rPr>
          <w:rFonts w:eastAsia="Times New Roman" w:cs="Times New Roman"/>
          <w:noProof/>
          <w:szCs w:val="24"/>
        </w:rPr>
      </w:pPr>
      <w:r w:rsidRPr="000B538A">
        <w:rPr>
          <w:rFonts w:eastAsia="Times New Roman" w:cs="Times New Roman"/>
          <w:b/>
          <w:noProof/>
          <w:szCs w:val="24"/>
        </w:rPr>
        <w:t>Involvement of Competent Authorities’ staff in standardisation activities</w:t>
      </w:r>
      <w:r w:rsidRPr="000B538A">
        <w:rPr>
          <w:rFonts w:eastAsia="Times New Roman" w:cs="Times New Roman"/>
          <w:noProof/>
          <w:szCs w:val="24"/>
        </w:rPr>
        <w:t xml:space="preserve">: to achieve proactive standardisation and to promote an adequate level of staff qualification across Europe. In </w:t>
      </w:r>
      <w:r w:rsidR="00A01892" w:rsidRPr="000B538A">
        <w:rPr>
          <w:rFonts w:eastAsia="Times New Roman" w:cs="Times New Roman"/>
          <w:noProof/>
          <w:szCs w:val="24"/>
        </w:rPr>
        <w:t>addition,</w:t>
      </w:r>
      <w:r w:rsidRPr="000B538A">
        <w:rPr>
          <w:rFonts w:eastAsia="Times New Roman" w:cs="Times New Roman"/>
          <w:noProof/>
          <w:szCs w:val="24"/>
        </w:rPr>
        <w:t xml:space="preserve"> standardisation meetings provide the fora for agreeing on common understanding of the requirements, providing interpretations and for sharing best practices, thus supporting the uniform implementation of the rules.</w:t>
      </w:r>
    </w:p>
    <w:p w14:paraId="44B872AD" w14:textId="77777777" w:rsidR="000B538A" w:rsidRPr="000B538A" w:rsidRDefault="000B538A" w:rsidP="001A0D14">
      <w:pPr>
        <w:numPr>
          <w:ilvl w:val="0"/>
          <w:numId w:val="30"/>
        </w:numPr>
        <w:shd w:val="clear" w:color="auto" w:fill="FFFFFF"/>
        <w:rPr>
          <w:rFonts w:eastAsia="Times New Roman" w:cs="Times New Roman"/>
          <w:noProof/>
          <w:szCs w:val="24"/>
        </w:rPr>
      </w:pPr>
      <w:r w:rsidRPr="000B538A">
        <w:rPr>
          <w:rFonts w:eastAsia="Times New Roman" w:cs="Times New Roman"/>
          <w:b/>
          <w:noProof/>
          <w:szCs w:val="24"/>
        </w:rPr>
        <w:t>Reinforced regulatory feedback mechanism</w:t>
      </w:r>
      <w:r w:rsidRPr="000B538A">
        <w:rPr>
          <w:rFonts w:eastAsia="Times New Roman" w:cs="Times New Roman"/>
          <w:noProof/>
          <w:szCs w:val="24"/>
        </w:rPr>
        <w:t>: the existing feedback mechanism is being streamlined and enhanced to systematically evaluate the effectiveness of the rules and feed the outcome of standardisation activities into safety management, rulemaking and safety promotion activities.</w:t>
      </w:r>
    </w:p>
    <w:p w14:paraId="73143C5F" w14:textId="54575289" w:rsidR="000B538A" w:rsidRPr="000B538A" w:rsidRDefault="000B538A" w:rsidP="002C53D0">
      <w:pPr>
        <w:pStyle w:val="Heading3"/>
        <w:keepLines w:val="0"/>
        <w:numPr>
          <w:ilvl w:val="0"/>
          <w:numId w:val="39"/>
        </w:numPr>
        <w:spacing w:before="240" w:after="240"/>
        <w:rPr>
          <w:noProof/>
        </w:rPr>
      </w:pPr>
      <w:bookmarkStart w:id="159" w:name="_Safety-data-driven_targeting_of"/>
      <w:bookmarkStart w:id="160" w:name="_Toc429657469"/>
      <w:bookmarkStart w:id="161" w:name="_Toc94875677"/>
      <w:bookmarkStart w:id="162" w:name="_Toc102569230"/>
      <w:bookmarkEnd w:id="159"/>
      <w:r w:rsidRPr="000B538A">
        <w:rPr>
          <w:noProof/>
        </w:rPr>
        <w:t>Safety-data-driven targeting of oversight of the industry</w:t>
      </w:r>
      <w:bookmarkEnd w:id="160"/>
      <w:bookmarkEnd w:id="161"/>
      <w:bookmarkEnd w:id="162"/>
    </w:p>
    <w:p w14:paraId="4707DD8B" w14:textId="5E8EF027" w:rsidR="00C23672" w:rsidRDefault="009726B7" w:rsidP="00C23672">
      <w:pPr>
        <w:shd w:val="clear" w:color="auto" w:fill="FFFFFF"/>
        <w:rPr>
          <w:noProof/>
          <w:sz w:val="22"/>
        </w:rPr>
      </w:pPr>
      <w:r>
        <w:rPr>
          <w:rFonts w:eastAsia="Times New Roman" w:cs="Times New Roman"/>
          <w:noProof/>
          <w:szCs w:val="24"/>
        </w:rPr>
        <w:t>The a</w:t>
      </w:r>
      <w:r w:rsidR="006522E0" w:rsidRPr="006522E0">
        <w:rPr>
          <w:rFonts w:eastAsia="Times New Roman" w:cs="Times New Roman"/>
          <w:noProof/>
          <w:szCs w:val="24"/>
        </w:rPr>
        <w:t xml:space="preserve">uthority requirements contained in </w:t>
      </w:r>
      <w:r>
        <w:rPr>
          <w:rFonts w:eastAsia="Times New Roman" w:cs="Times New Roman"/>
          <w:noProof/>
          <w:szCs w:val="24"/>
        </w:rPr>
        <w:t xml:space="preserve">the </w:t>
      </w:r>
      <w:r w:rsidR="006522E0" w:rsidRPr="006522E0">
        <w:rPr>
          <w:rFonts w:eastAsia="Times New Roman" w:cs="Times New Roman"/>
          <w:noProof/>
          <w:szCs w:val="24"/>
        </w:rPr>
        <w:t>EU law</w:t>
      </w:r>
      <w:r>
        <w:rPr>
          <w:rFonts w:eastAsia="Times New Roman" w:cs="Times New Roman"/>
          <w:noProof/>
          <w:szCs w:val="24"/>
        </w:rPr>
        <w:t xml:space="preserve"> </w:t>
      </w:r>
      <w:r w:rsidR="006A3B91">
        <w:rPr>
          <w:rFonts w:eastAsia="Times New Roman" w:cs="Times New Roman"/>
          <w:noProof/>
          <w:szCs w:val="24"/>
        </w:rPr>
        <w:t xml:space="preserve">mandate </w:t>
      </w:r>
      <w:r>
        <w:rPr>
          <w:rFonts w:eastAsia="Times New Roman" w:cs="Times New Roman"/>
          <w:noProof/>
          <w:szCs w:val="24"/>
        </w:rPr>
        <w:t xml:space="preserve">the development of an </w:t>
      </w:r>
      <w:r w:rsidRPr="009726B7">
        <w:rPr>
          <w:rFonts w:eastAsia="Times New Roman" w:cs="Times New Roman"/>
          <w:noProof/>
          <w:szCs w:val="24"/>
        </w:rPr>
        <w:t>oversight programme tak</w:t>
      </w:r>
      <w:r w:rsidR="00376BD0">
        <w:rPr>
          <w:rFonts w:eastAsia="Times New Roman" w:cs="Times New Roman"/>
          <w:noProof/>
          <w:szCs w:val="24"/>
        </w:rPr>
        <w:t>ing</w:t>
      </w:r>
      <w:r w:rsidRPr="009726B7">
        <w:rPr>
          <w:rFonts w:eastAsia="Times New Roman" w:cs="Times New Roman"/>
          <w:noProof/>
          <w:szCs w:val="24"/>
        </w:rPr>
        <w:t xml:space="preserve"> into account the specific nature of the organisation, the complexity of its</w:t>
      </w:r>
      <w:r>
        <w:rPr>
          <w:rFonts w:eastAsia="Times New Roman" w:cs="Times New Roman"/>
          <w:noProof/>
          <w:szCs w:val="24"/>
        </w:rPr>
        <w:t xml:space="preserve"> </w:t>
      </w:r>
      <w:r w:rsidRPr="009726B7">
        <w:rPr>
          <w:rFonts w:eastAsia="Times New Roman" w:cs="Times New Roman"/>
          <w:noProof/>
          <w:szCs w:val="24"/>
        </w:rPr>
        <w:t>activities, the results of past certification and/or oversight activities</w:t>
      </w:r>
      <w:r>
        <w:rPr>
          <w:rFonts w:eastAsia="Times New Roman" w:cs="Times New Roman"/>
          <w:noProof/>
          <w:szCs w:val="24"/>
        </w:rPr>
        <w:t xml:space="preserve">, </w:t>
      </w:r>
      <w:r w:rsidRPr="009726B7">
        <w:rPr>
          <w:rFonts w:eastAsia="Times New Roman" w:cs="Times New Roman"/>
          <w:noProof/>
          <w:szCs w:val="24"/>
        </w:rPr>
        <w:t>based on the assessment of associated risks</w:t>
      </w:r>
      <w:r w:rsidRPr="007E0756">
        <w:rPr>
          <w:rFonts w:eastAsia="Times New Roman" w:cs="Times New Roman"/>
          <w:noProof/>
          <w:szCs w:val="24"/>
        </w:rPr>
        <w:t xml:space="preserve">. </w:t>
      </w:r>
      <w:r w:rsidR="00C23672" w:rsidRPr="007E0756">
        <w:rPr>
          <w:noProof/>
          <w:color w:val="000000"/>
        </w:rPr>
        <w:t>As of 2023,</w:t>
      </w:r>
      <w:r w:rsidR="00D51EEF" w:rsidRPr="007E0756">
        <w:rPr>
          <w:noProof/>
          <w:color w:val="4F81BD" w:themeColor="accent1"/>
        </w:rPr>
        <w:t xml:space="preserve"> </w:t>
      </w:r>
      <w:r w:rsidR="00D51EEF" w:rsidRPr="007E0756">
        <w:rPr>
          <w:noProof/>
          <w:color w:val="000000"/>
        </w:rPr>
        <w:t>the application of the ERCS by the competent authority to occurrences reported by organisations will support the assessment of associated risks.</w:t>
      </w:r>
      <w:r w:rsidR="00C23672">
        <w:rPr>
          <w:noProof/>
          <w:color w:val="000000"/>
        </w:rPr>
        <w:t xml:space="preserve"> </w:t>
      </w:r>
    </w:p>
    <w:p w14:paraId="6A5D0D6F" w14:textId="186B7EAE" w:rsidR="000B538A" w:rsidRPr="000B538A" w:rsidRDefault="009726B7" w:rsidP="0006001F">
      <w:pPr>
        <w:shd w:val="clear" w:color="auto" w:fill="FFFFFF"/>
        <w:rPr>
          <w:rFonts w:eastAsia="Times New Roman" w:cs="Times New Roman"/>
          <w:noProof/>
          <w:szCs w:val="24"/>
        </w:rPr>
      </w:pPr>
      <w:r>
        <w:rPr>
          <w:rFonts w:eastAsia="Times New Roman" w:cs="Times New Roman"/>
          <w:noProof/>
          <w:szCs w:val="24"/>
        </w:rPr>
        <w:t xml:space="preserve">The authority shall reduce the </w:t>
      </w:r>
      <w:r w:rsidRPr="009726B7">
        <w:rPr>
          <w:rFonts w:eastAsia="Times New Roman" w:cs="Times New Roman"/>
          <w:noProof/>
          <w:szCs w:val="24"/>
        </w:rPr>
        <w:t xml:space="preserve">oversight planning cycle if there is evidence that safety performance </w:t>
      </w:r>
      <w:r w:rsidR="00376BD0">
        <w:rPr>
          <w:rFonts w:eastAsia="Times New Roman" w:cs="Times New Roman"/>
          <w:noProof/>
          <w:szCs w:val="24"/>
        </w:rPr>
        <w:t xml:space="preserve">and regulatory compliance </w:t>
      </w:r>
      <w:r w:rsidRPr="009726B7">
        <w:rPr>
          <w:rFonts w:eastAsia="Times New Roman" w:cs="Times New Roman"/>
          <w:noProof/>
          <w:szCs w:val="24"/>
        </w:rPr>
        <w:t>of the organisation has decreased.</w:t>
      </w:r>
      <w:r>
        <w:rPr>
          <w:rFonts w:eastAsia="Times New Roman" w:cs="Times New Roman"/>
          <w:noProof/>
          <w:szCs w:val="24"/>
        </w:rPr>
        <w:t xml:space="preserve"> Where the organisation demonstrates a high level of </w:t>
      </w:r>
      <w:r>
        <w:rPr>
          <w:noProof/>
        </w:rPr>
        <w:t>safety performance and regulatory compliance</w:t>
      </w:r>
      <w:r w:rsidR="00376BD0">
        <w:rPr>
          <w:noProof/>
        </w:rPr>
        <w:t xml:space="preserve"> the authority my extend the oversight planning cycle. </w:t>
      </w:r>
      <w:r w:rsidR="000B538A" w:rsidRPr="000B538A">
        <w:rPr>
          <w:rFonts w:eastAsia="Times New Roman" w:cs="Times New Roman"/>
          <w:noProof/>
          <w:szCs w:val="24"/>
        </w:rPr>
        <w:t xml:space="preserve">Such </w:t>
      </w:r>
      <w:r w:rsidR="00376BD0">
        <w:rPr>
          <w:rFonts w:eastAsia="Times New Roman" w:cs="Times New Roman"/>
          <w:noProof/>
          <w:szCs w:val="24"/>
        </w:rPr>
        <w:t xml:space="preserve">risk and performance-based </w:t>
      </w:r>
      <w:r w:rsidR="000B538A" w:rsidRPr="000B538A">
        <w:rPr>
          <w:rFonts w:eastAsia="Times New Roman" w:cs="Times New Roman"/>
          <w:noProof/>
          <w:szCs w:val="24"/>
        </w:rPr>
        <w:t xml:space="preserve">targeting of oversight </w:t>
      </w:r>
      <w:r w:rsidR="00635808">
        <w:rPr>
          <w:rFonts w:eastAsia="Times New Roman" w:cs="Times New Roman"/>
          <w:noProof/>
          <w:szCs w:val="24"/>
        </w:rPr>
        <w:t xml:space="preserve">ensures that the </w:t>
      </w:r>
      <w:r w:rsidR="000B538A" w:rsidRPr="000B538A">
        <w:rPr>
          <w:rFonts w:eastAsia="Times New Roman" w:cs="Times New Roman"/>
          <w:noProof/>
          <w:szCs w:val="24"/>
        </w:rPr>
        <w:t xml:space="preserve">available </w:t>
      </w:r>
      <w:r w:rsidR="00376BD0">
        <w:rPr>
          <w:rFonts w:eastAsia="Times New Roman" w:cs="Times New Roman"/>
          <w:noProof/>
          <w:szCs w:val="24"/>
        </w:rPr>
        <w:t xml:space="preserve">oversight </w:t>
      </w:r>
      <w:r w:rsidR="000B538A" w:rsidRPr="000B538A">
        <w:rPr>
          <w:rFonts w:eastAsia="Times New Roman" w:cs="Times New Roman"/>
          <w:noProof/>
          <w:szCs w:val="24"/>
        </w:rPr>
        <w:t xml:space="preserve">resources </w:t>
      </w:r>
      <w:r w:rsidR="00376BD0">
        <w:rPr>
          <w:rFonts w:eastAsia="Times New Roman" w:cs="Times New Roman"/>
          <w:noProof/>
          <w:szCs w:val="24"/>
        </w:rPr>
        <w:t xml:space="preserve">both </w:t>
      </w:r>
      <w:r w:rsidR="000B538A" w:rsidRPr="000B538A">
        <w:rPr>
          <w:rFonts w:eastAsia="Times New Roman" w:cs="Times New Roman"/>
          <w:noProof/>
          <w:szCs w:val="24"/>
        </w:rPr>
        <w:t xml:space="preserve">in Member </w:t>
      </w:r>
      <w:r w:rsidR="00A46B04">
        <w:rPr>
          <w:rFonts w:eastAsia="Times New Roman" w:cs="Times New Roman"/>
          <w:noProof/>
          <w:szCs w:val="24"/>
        </w:rPr>
        <w:t>State</w:t>
      </w:r>
      <w:r w:rsidR="000B538A" w:rsidRPr="000B538A">
        <w:rPr>
          <w:rFonts w:eastAsia="Times New Roman" w:cs="Times New Roman"/>
          <w:noProof/>
          <w:szCs w:val="24"/>
        </w:rPr>
        <w:t>s and EASA</w:t>
      </w:r>
      <w:r w:rsidR="00635808">
        <w:rPr>
          <w:rFonts w:eastAsia="Times New Roman" w:cs="Times New Roman"/>
          <w:noProof/>
          <w:szCs w:val="24"/>
        </w:rPr>
        <w:t xml:space="preserve"> are used in the most efficient way</w:t>
      </w:r>
      <w:r w:rsidR="000B538A" w:rsidRPr="000B538A">
        <w:rPr>
          <w:rFonts w:eastAsia="Times New Roman" w:cs="Times New Roman"/>
          <w:noProof/>
          <w:szCs w:val="24"/>
        </w:rPr>
        <w:t>.</w:t>
      </w:r>
    </w:p>
    <w:p w14:paraId="0ED93E28" w14:textId="77777777" w:rsidR="000B538A" w:rsidRDefault="00376BD0" w:rsidP="0006001F">
      <w:pPr>
        <w:shd w:val="clear" w:color="auto" w:fill="FFFFFF"/>
        <w:rPr>
          <w:rFonts w:eastAsia="Times New Roman" w:cs="Times New Roman"/>
          <w:noProof/>
          <w:szCs w:val="24"/>
        </w:rPr>
      </w:pPr>
      <w:r>
        <w:rPr>
          <w:rFonts w:eastAsia="Times New Roman" w:cs="Times New Roman"/>
          <w:noProof/>
          <w:szCs w:val="24"/>
        </w:rPr>
        <w:t>Moreover, r</w:t>
      </w:r>
      <w:r w:rsidR="00D4044E">
        <w:rPr>
          <w:rFonts w:eastAsia="Times New Roman" w:cs="Times New Roman"/>
          <w:noProof/>
          <w:szCs w:val="24"/>
        </w:rPr>
        <w:t>isk</w:t>
      </w:r>
      <w:r w:rsidR="00635808">
        <w:rPr>
          <w:rFonts w:eastAsia="Times New Roman" w:cs="Times New Roman"/>
          <w:noProof/>
          <w:szCs w:val="24"/>
        </w:rPr>
        <w:t xml:space="preserve"> and performance</w:t>
      </w:r>
      <w:r>
        <w:rPr>
          <w:rFonts w:eastAsia="Times New Roman" w:cs="Times New Roman"/>
          <w:noProof/>
          <w:szCs w:val="24"/>
        </w:rPr>
        <w:t>-</w:t>
      </w:r>
      <w:r w:rsidR="00635808">
        <w:rPr>
          <w:rFonts w:eastAsia="Times New Roman" w:cs="Times New Roman"/>
          <w:noProof/>
          <w:szCs w:val="24"/>
        </w:rPr>
        <w:t xml:space="preserve">based </w:t>
      </w:r>
      <w:r w:rsidR="000B538A" w:rsidRPr="000B538A">
        <w:rPr>
          <w:rFonts w:eastAsia="Times New Roman" w:cs="Times New Roman"/>
          <w:noProof/>
          <w:szCs w:val="24"/>
        </w:rPr>
        <w:t>oversight encourages safety management thinking</w:t>
      </w:r>
      <w:r w:rsidR="00635808">
        <w:rPr>
          <w:rFonts w:eastAsia="Times New Roman" w:cs="Times New Roman"/>
          <w:noProof/>
          <w:szCs w:val="24"/>
        </w:rPr>
        <w:t xml:space="preserve">, aims at </w:t>
      </w:r>
      <w:r w:rsidR="000B538A" w:rsidRPr="000B538A">
        <w:rPr>
          <w:rFonts w:eastAsia="Times New Roman" w:cs="Times New Roman"/>
          <w:noProof/>
          <w:szCs w:val="24"/>
        </w:rPr>
        <w:t>empower</w:t>
      </w:r>
      <w:r w:rsidR="00635808">
        <w:rPr>
          <w:rFonts w:eastAsia="Times New Roman" w:cs="Times New Roman"/>
          <w:noProof/>
          <w:szCs w:val="24"/>
        </w:rPr>
        <w:t xml:space="preserve">ing </w:t>
      </w:r>
      <w:r w:rsidR="000B538A" w:rsidRPr="000B538A">
        <w:rPr>
          <w:rFonts w:eastAsia="Times New Roman" w:cs="Times New Roman"/>
          <w:noProof/>
          <w:szCs w:val="24"/>
        </w:rPr>
        <w:t>organisations to manage risks that a</w:t>
      </w:r>
      <w:r w:rsidR="00A4342B">
        <w:rPr>
          <w:rFonts w:eastAsia="Times New Roman" w:cs="Times New Roman"/>
          <w:noProof/>
          <w:szCs w:val="24"/>
        </w:rPr>
        <w:t>re not addressed by regulations</w:t>
      </w:r>
      <w:r w:rsidR="000B538A" w:rsidRPr="000B538A">
        <w:rPr>
          <w:rFonts w:eastAsia="Times New Roman" w:cs="Times New Roman"/>
          <w:noProof/>
          <w:szCs w:val="24"/>
        </w:rPr>
        <w:t xml:space="preserve"> and creates incentives for </w:t>
      </w:r>
      <w:r>
        <w:rPr>
          <w:rFonts w:eastAsia="Times New Roman" w:cs="Times New Roman"/>
          <w:noProof/>
          <w:szCs w:val="24"/>
        </w:rPr>
        <w:t xml:space="preserve">effective </w:t>
      </w:r>
      <w:r w:rsidR="000B538A" w:rsidRPr="000B538A">
        <w:rPr>
          <w:rFonts w:eastAsia="Times New Roman" w:cs="Times New Roman"/>
          <w:noProof/>
          <w:szCs w:val="24"/>
        </w:rPr>
        <w:t xml:space="preserve">safety management implementation through a possible reduction in the oversight burden. It </w:t>
      </w:r>
      <w:r w:rsidR="00635808">
        <w:rPr>
          <w:rFonts w:eastAsia="Times New Roman" w:cs="Times New Roman"/>
          <w:noProof/>
          <w:szCs w:val="24"/>
        </w:rPr>
        <w:t xml:space="preserve">therefore </w:t>
      </w:r>
      <w:r w:rsidR="000B538A" w:rsidRPr="000B538A">
        <w:rPr>
          <w:rFonts w:eastAsia="Times New Roman" w:cs="Times New Roman"/>
          <w:noProof/>
          <w:szCs w:val="24"/>
        </w:rPr>
        <w:t>supports effective implementation of the management system provisions in the implementing rules for organisations.</w:t>
      </w:r>
    </w:p>
    <w:p w14:paraId="3F324E69" w14:textId="77777777" w:rsidR="00BB26CE" w:rsidRPr="000B538A" w:rsidRDefault="00BB26CE">
      <w:pPr>
        <w:shd w:val="clear" w:color="auto" w:fill="FFFFFF"/>
        <w:rPr>
          <w:rFonts w:eastAsia="Times New Roman" w:cs="Times New Roman"/>
          <w:noProof/>
          <w:szCs w:val="24"/>
        </w:rPr>
      </w:pPr>
      <w:r w:rsidRPr="00BB26CE">
        <w:rPr>
          <w:rFonts w:eastAsia="Times New Roman" w:cs="Times New Roman"/>
          <w:noProof/>
          <w:szCs w:val="24"/>
        </w:rPr>
        <w:t xml:space="preserve">EASA supports the </w:t>
      </w:r>
      <w:r w:rsidRPr="005432AF">
        <w:rPr>
          <w:rFonts w:eastAsia="Times New Roman" w:cs="Times New Roman"/>
          <w:noProof/>
          <w:szCs w:val="24"/>
        </w:rPr>
        <w:t>s</w:t>
      </w:r>
      <w:r w:rsidRPr="00FB18C9">
        <w:rPr>
          <w:rFonts w:eastAsia="Times New Roman" w:cs="Times New Roman"/>
          <w:bCs/>
          <w:noProof/>
          <w:szCs w:val="24"/>
        </w:rPr>
        <w:t>afety-data-driven targeting of oversight</w:t>
      </w:r>
      <w:r w:rsidRPr="00FB18C9">
        <w:rPr>
          <w:rFonts w:eastAsia="Times New Roman" w:cs="Times New Roman"/>
          <w:bCs/>
          <w:i/>
          <w:noProof/>
          <w:szCs w:val="24"/>
        </w:rPr>
        <w:t xml:space="preserve"> </w:t>
      </w:r>
      <w:r w:rsidR="006A3B91">
        <w:rPr>
          <w:rFonts w:eastAsia="Times New Roman" w:cs="Times New Roman"/>
          <w:noProof/>
          <w:szCs w:val="24"/>
        </w:rPr>
        <w:t xml:space="preserve">of the industry </w:t>
      </w:r>
      <w:r>
        <w:rPr>
          <w:rFonts w:eastAsia="Times New Roman" w:cs="Times New Roman"/>
          <w:noProof/>
          <w:szCs w:val="24"/>
        </w:rPr>
        <w:t>by listing and describing the key risks and safety issues applicable in each domain, as part of the EPAS. Practices for risk-based oversight were also made available</w:t>
      </w:r>
      <w:r w:rsidR="006A3B91">
        <w:rPr>
          <w:rFonts w:eastAsia="Times New Roman" w:cs="Times New Roman"/>
          <w:noProof/>
          <w:szCs w:val="24"/>
        </w:rPr>
        <w:t xml:space="preserve"> to Member States and are regularly discussed with the Safety Management TeB</w:t>
      </w:r>
      <w:r w:rsidRPr="00FB18C9">
        <w:rPr>
          <w:rFonts w:eastAsia="Times New Roman" w:cs="Times New Roman"/>
          <w:noProof/>
          <w:szCs w:val="24"/>
          <w:vertAlign w:val="superscript"/>
        </w:rPr>
        <w:footnoteReference w:id="34"/>
      </w:r>
      <w:r>
        <w:rPr>
          <w:rFonts w:eastAsia="Times New Roman" w:cs="Times New Roman"/>
          <w:noProof/>
          <w:szCs w:val="24"/>
        </w:rPr>
        <w:t xml:space="preserve">. </w:t>
      </w:r>
    </w:p>
    <w:p w14:paraId="07F6EFBC" w14:textId="77777777" w:rsidR="00FE1E1C" w:rsidRPr="00FE1E1C" w:rsidRDefault="00191EFF" w:rsidP="0006001F">
      <w:pPr>
        <w:shd w:val="clear" w:color="auto" w:fill="FFFFFF"/>
        <w:rPr>
          <w:noProof/>
        </w:rPr>
      </w:pPr>
      <w:r>
        <w:rPr>
          <w:noProof/>
          <w:highlight w:val="cyan"/>
        </w:rPr>
        <w:br w:type="page"/>
      </w:r>
    </w:p>
    <w:p w14:paraId="2757ADC1" w14:textId="127C5565" w:rsidR="00191EFF" w:rsidRPr="00191EFF" w:rsidRDefault="00191EFF" w:rsidP="00662BD5">
      <w:pPr>
        <w:pStyle w:val="Heading1"/>
        <w:rPr>
          <w:noProof/>
        </w:rPr>
      </w:pPr>
      <w:bookmarkStart w:id="163" w:name="_Toc94875678"/>
      <w:bookmarkStart w:id="164" w:name="_Toc102569231"/>
      <w:r w:rsidRPr="00191EFF">
        <w:rPr>
          <w:noProof/>
        </w:rPr>
        <w:t>EUROPEAN SAFETY PROMOTION</w:t>
      </w:r>
      <w:r w:rsidR="00A0618F" w:rsidRPr="00FB18C9">
        <w:rPr>
          <w:noProof/>
          <w:vertAlign w:val="superscript"/>
        </w:rPr>
        <w:footnoteReference w:id="35"/>
      </w:r>
      <w:bookmarkEnd w:id="163"/>
      <w:bookmarkEnd w:id="164"/>
      <w:r w:rsidR="00662BD5">
        <w:rPr>
          <w:noProof/>
        </w:rPr>
        <w:t xml:space="preserve"> </w:t>
      </w:r>
    </w:p>
    <w:p w14:paraId="69B19044" w14:textId="77777777" w:rsidR="000B538A" w:rsidRDefault="000B538A" w:rsidP="0006001F">
      <w:pPr>
        <w:shd w:val="clear" w:color="auto" w:fill="FFFFFF"/>
        <w:rPr>
          <w:noProof/>
        </w:rPr>
      </w:pPr>
      <w:bookmarkStart w:id="165" w:name="_Hlk92796776"/>
      <w:r w:rsidRPr="003574B9">
        <w:rPr>
          <w:noProof/>
        </w:rPr>
        <w:t xml:space="preserve">Safety </w:t>
      </w:r>
      <w:r>
        <w:rPr>
          <w:noProof/>
        </w:rPr>
        <w:t>p</w:t>
      </w:r>
      <w:r w:rsidRPr="00191EFF">
        <w:rPr>
          <w:noProof/>
        </w:rPr>
        <w:t>romotion</w:t>
      </w:r>
      <w:r w:rsidRPr="003574B9">
        <w:rPr>
          <w:noProof/>
        </w:rPr>
        <w:t xml:space="preserve"> is a key part of a </w:t>
      </w:r>
      <w:r>
        <w:rPr>
          <w:noProof/>
        </w:rPr>
        <w:t>s</w:t>
      </w:r>
      <w:r w:rsidRPr="003574B9">
        <w:rPr>
          <w:noProof/>
        </w:rPr>
        <w:t xml:space="preserve">afety </w:t>
      </w:r>
      <w:r>
        <w:rPr>
          <w:noProof/>
        </w:rPr>
        <w:t>p</w:t>
      </w:r>
      <w:r w:rsidRPr="003574B9">
        <w:rPr>
          <w:noProof/>
        </w:rPr>
        <w:t>rogramme and effective safety management. Safety risks can be mitigated by increasing awareness of safety lessons learned, conveying best practices and by explaining safety procedures and regulations. In the European aviation system this is part of the maintenance of a good safety culture.</w:t>
      </w:r>
    </w:p>
    <w:p w14:paraId="5BF861A9" w14:textId="40A85723" w:rsidR="00002A2C" w:rsidRPr="00CB6EE2" w:rsidRDefault="00002A2C" w:rsidP="00002A2C">
      <w:pPr>
        <w:shd w:val="clear" w:color="auto" w:fill="FFFFFF"/>
        <w:rPr>
          <w:rFonts w:cstheme="minorHAnsi"/>
          <w:noProof/>
        </w:rPr>
      </w:pPr>
      <w:r w:rsidRPr="00C62EE5">
        <w:rPr>
          <w:noProof/>
        </w:rPr>
        <w:t xml:space="preserve">When possible, safety promotion </w:t>
      </w:r>
      <w:r w:rsidR="00B026F0">
        <w:rPr>
          <w:noProof/>
        </w:rPr>
        <w:t>is</w:t>
      </w:r>
      <w:r w:rsidRPr="00C62EE5">
        <w:rPr>
          <w:noProof/>
        </w:rPr>
        <w:t xml:space="preserve"> used as a light and effective alternative to rulemaking and oversight. It support</w:t>
      </w:r>
      <w:r w:rsidR="00B026F0">
        <w:rPr>
          <w:noProof/>
        </w:rPr>
        <w:t>s</w:t>
      </w:r>
      <w:r w:rsidRPr="00C62EE5">
        <w:rPr>
          <w:noProof/>
        </w:rPr>
        <w:t xml:space="preserve"> a better understanding of EU civil aviation regulations and provide</w:t>
      </w:r>
      <w:r w:rsidR="00B026F0">
        <w:rPr>
          <w:noProof/>
        </w:rPr>
        <w:t>s</w:t>
      </w:r>
      <w:r w:rsidRPr="00C62EE5">
        <w:rPr>
          <w:noProof/>
        </w:rPr>
        <w:t xml:space="preserve"> more information on safety intelligence and analysis results. The strategy provides continual information on a wide range of safety topics at domain level, with technical content adjusted to its target audience (from advanced for specialised professionals to basic for the general public). A wide range of communication tools are used to spread safety messages, including social media.</w:t>
      </w:r>
    </w:p>
    <w:p w14:paraId="62C76BE1" w14:textId="77777777" w:rsidR="000B538A" w:rsidRPr="003574B9" w:rsidRDefault="000B538A" w:rsidP="0006001F">
      <w:pPr>
        <w:shd w:val="clear" w:color="auto" w:fill="FFFFFF"/>
        <w:rPr>
          <w:noProof/>
        </w:rPr>
      </w:pPr>
      <w:r w:rsidRPr="003574B9">
        <w:rPr>
          <w:noProof/>
        </w:rPr>
        <w:t xml:space="preserve">Safety </w:t>
      </w:r>
      <w:r>
        <w:rPr>
          <w:noProof/>
        </w:rPr>
        <w:t>p</w:t>
      </w:r>
      <w:r w:rsidRPr="00191EFF">
        <w:rPr>
          <w:noProof/>
        </w:rPr>
        <w:t>romotion</w:t>
      </w:r>
      <w:r w:rsidRPr="003574B9">
        <w:rPr>
          <w:noProof/>
        </w:rPr>
        <w:t xml:space="preserve"> involves general or targeted work that communicates and disseminates safety information to aviation stakeholders. The activity is driven by </w:t>
      </w:r>
      <w:r w:rsidR="0042544F">
        <w:rPr>
          <w:noProof/>
        </w:rPr>
        <w:t xml:space="preserve">the </w:t>
      </w:r>
      <w:r w:rsidR="00730028">
        <w:rPr>
          <w:noProof/>
        </w:rPr>
        <w:t xml:space="preserve">European </w:t>
      </w:r>
      <w:r w:rsidR="00002A2C">
        <w:rPr>
          <w:noProof/>
        </w:rPr>
        <w:t>S</w:t>
      </w:r>
      <w:r w:rsidR="00B026F0">
        <w:rPr>
          <w:noProof/>
        </w:rPr>
        <w:t xml:space="preserve">afety </w:t>
      </w:r>
      <w:r w:rsidR="00002A2C">
        <w:rPr>
          <w:noProof/>
        </w:rPr>
        <w:t>R</w:t>
      </w:r>
      <w:r w:rsidR="00B026F0">
        <w:rPr>
          <w:noProof/>
        </w:rPr>
        <w:t xml:space="preserve">isk </w:t>
      </w:r>
      <w:r w:rsidR="00002A2C">
        <w:rPr>
          <w:noProof/>
        </w:rPr>
        <w:t>M</w:t>
      </w:r>
      <w:r w:rsidR="00B026F0">
        <w:rPr>
          <w:noProof/>
        </w:rPr>
        <w:t>anagement</w:t>
      </w:r>
      <w:r w:rsidR="00002A2C">
        <w:rPr>
          <w:noProof/>
        </w:rPr>
        <w:t xml:space="preserve"> </w:t>
      </w:r>
      <w:r w:rsidRPr="003574B9">
        <w:rPr>
          <w:noProof/>
        </w:rPr>
        <w:t xml:space="preserve">process that </w:t>
      </w:r>
      <w:r w:rsidR="00B400B0" w:rsidRPr="003574B9">
        <w:rPr>
          <w:noProof/>
        </w:rPr>
        <w:t>analys</w:t>
      </w:r>
      <w:r w:rsidR="00B400B0">
        <w:rPr>
          <w:noProof/>
        </w:rPr>
        <w:t>e</w:t>
      </w:r>
      <w:r w:rsidR="00730028">
        <w:rPr>
          <w:noProof/>
        </w:rPr>
        <w:t>s</w:t>
      </w:r>
      <w:r w:rsidRPr="003574B9">
        <w:rPr>
          <w:noProof/>
        </w:rPr>
        <w:t xml:space="preserve"> data and generate</w:t>
      </w:r>
      <w:r w:rsidR="0042544F">
        <w:rPr>
          <w:noProof/>
        </w:rPr>
        <w:t>s</w:t>
      </w:r>
      <w:r w:rsidRPr="003574B9">
        <w:rPr>
          <w:noProof/>
        </w:rPr>
        <w:t xml:space="preserve"> safety risk mitigation actions, as described </w:t>
      </w:r>
      <w:r w:rsidR="00002A2C">
        <w:rPr>
          <w:noProof/>
        </w:rPr>
        <w:t xml:space="preserve">in </w:t>
      </w:r>
      <w:hyperlink w:anchor="_EUROPEAN_SAFETY_RISK" w:history="1">
        <w:r w:rsidR="00002A2C" w:rsidRPr="00002A2C">
          <w:rPr>
            <w:rStyle w:val="Hyperlink"/>
            <w:noProof/>
          </w:rPr>
          <w:t>chapter 2</w:t>
        </w:r>
      </w:hyperlink>
      <w:r w:rsidRPr="003574B9">
        <w:rPr>
          <w:noProof/>
        </w:rPr>
        <w:t>.</w:t>
      </w:r>
    </w:p>
    <w:p w14:paraId="17828EA0" w14:textId="13227D7D" w:rsidR="00002A2C" w:rsidRDefault="000B538A" w:rsidP="00002A2C">
      <w:pPr>
        <w:shd w:val="clear" w:color="auto" w:fill="FFFFFF"/>
        <w:rPr>
          <w:noProof/>
        </w:rPr>
      </w:pPr>
      <w:r>
        <w:rPr>
          <w:noProof/>
        </w:rPr>
        <w:t xml:space="preserve">A number of safety promotion activities are conducted by the Member </w:t>
      </w:r>
      <w:r w:rsidR="00A46B04">
        <w:rPr>
          <w:noProof/>
        </w:rPr>
        <w:t>State</w:t>
      </w:r>
      <w:r>
        <w:rPr>
          <w:noProof/>
        </w:rPr>
        <w:t xml:space="preserve">s at national level and are detailed in the Member </w:t>
      </w:r>
      <w:r w:rsidR="00A46B04">
        <w:rPr>
          <w:noProof/>
        </w:rPr>
        <w:t>State</w:t>
      </w:r>
      <w:r>
        <w:rPr>
          <w:noProof/>
        </w:rPr>
        <w:t xml:space="preserve">s </w:t>
      </w:r>
      <w:r w:rsidR="00A46B04">
        <w:rPr>
          <w:noProof/>
        </w:rPr>
        <w:t>State</w:t>
      </w:r>
      <w:r w:rsidR="00762757">
        <w:rPr>
          <w:noProof/>
        </w:rPr>
        <w:t xml:space="preserve"> Safety Programmes</w:t>
      </w:r>
      <w:r>
        <w:rPr>
          <w:noProof/>
        </w:rPr>
        <w:t>.</w:t>
      </w:r>
      <w:r w:rsidR="0042544F">
        <w:rPr>
          <w:noProof/>
        </w:rPr>
        <w:t xml:space="preserve"> This is coordinated by EASA through the Safety Promotion Network</w:t>
      </w:r>
      <w:r w:rsidR="00002A2C">
        <w:rPr>
          <w:noProof/>
        </w:rPr>
        <w:t xml:space="preserve">, established as a voluntary partnership between EASA, Member States and other aviation organisations. The objective of the </w:t>
      </w:r>
      <w:r w:rsidR="00B026F0">
        <w:rPr>
          <w:noProof/>
        </w:rPr>
        <w:t>Safety Promotion Network</w:t>
      </w:r>
      <w:r w:rsidR="00002A2C">
        <w:rPr>
          <w:noProof/>
        </w:rPr>
        <w:t xml:space="preserve"> is to enhance aviation safety in Europe by providing a framework for the collaboration of safety promotion activity throughout the Member States. </w:t>
      </w:r>
    </w:p>
    <w:p w14:paraId="06A65B95" w14:textId="60D1DF8C" w:rsidR="00002A2C" w:rsidRPr="00C62EE5" w:rsidRDefault="00002A2C" w:rsidP="00002A2C">
      <w:pPr>
        <w:shd w:val="clear" w:color="auto" w:fill="FFFFFF"/>
        <w:rPr>
          <w:noProof/>
        </w:rPr>
      </w:pPr>
      <w:r>
        <w:rPr>
          <w:noProof/>
        </w:rPr>
        <w:t xml:space="preserve">For mutual benefit and a common purpose, the members of the </w:t>
      </w:r>
      <w:r w:rsidR="00B026F0">
        <w:rPr>
          <w:noProof/>
        </w:rPr>
        <w:t>Safety Promotion Network</w:t>
      </w:r>
      <w:r>
        <w:rPr>
          <w:noProof/>
        </w:rPr>
        <w:t xml:space="preserve"> exchange information, coordinate activities, cooperate and share joint activities and collaborate to increase the capacity for activities, including for the design, development, publication, translation and dissemination of safety information. The </w:t>
      </w:r>
      <w:r w:rsidR="00B026F0">
        <w:rPr>
          <w:noProof/>
        </w:rPr>
        <w:t>Safety Promotion Network</w:t>
      </w:r>
      <w:r>
        <w:rPr>
          <w:noProof/>
        </w:rPr>
        <w:t xml:space="preserve"> also explores common tools and develops means to measure the effectiveness of safety promotion products that have been disseminated.</w:t>
      </w:r>
    </w:p>
    <w:p w14:paraId="3714133C" w14:textId="77777777" w:rsidR="00B513CB" w:rsidRPr="00C62EE5" w:rsidRDefault="000B538A" w:rsidP="00B513CB">
      <w:pPr>
        <w:shd w:val="clear" w:color="auto" w:fill="FFFFFF"/>
        <w:rPr>
          <w:noProof/>
        </w:rPr>
      </w:pPr>
      <w:r w:rsidRPr="003574B9">
        <w:rPr>
          <w:noProof/>
        </w:rPr>
        <w:t xml:space="preserve">At European level, most </w:t>
      </w:r>
      <w:r>
        <w:rPr>
          <w:noProof/>
        </w:rPr>
        <w:t>safety promotion</w:t>
      </w:r>
      <w:r w:rsidRPr="003574B9">
        <w:rPr>
          <w:noProof/>
        </w:rPr>
        <w:t xml:space="preserve"> activities are </w:t>
      </w:r>
      <w:r w:rsidR="0042544F">
        <w:rPr>
          <w:noProof/>
        </w:rPr>
        <w:t xml:space="preserve">led and </w:t>
      </w:r>
      <w:r w:rsidRPr="003574B9">
        <w:rPr>
          <w:noProof/>
        </w:rPr>
        <w:t xml:space="preserve">coordinated by EASA. In this context, EASA </w:t>
      </w:r>
      <w:r w:rsidR="0042544F">
        <w:rPr>
          <w:noProof/>
        </w:rPr>
        <w:t xml:space="preserve">has built </w:t>
      </w:r>
      <w:r w:rsidRPr="003574B9">
        <w:rPr>
          <w:noProof/>
        </w:rPr>
        <w:t xml:space="preserve">an integrated programming activity that ensures that </w:t>
      </w:r>
      <w:r>
        <w:rPr>
          <w:noProof/>
        </w:rPr>
        <w:t>safety promotion</w:t>
      </w:r>
      <w:r w:rsidRPr="003574B9">
        <w:rPr>
          <w:noProof/>
        </w:rPr>
        <w:t xml:space="preserve"> and regulatory activities address safety risks in the most efficient manner, complementing each</w:t>
      </w:r>
      <w:r w:rsidR="00A22979">
        <w:rPr>
          <w:noProof/>
        </w:rPr>
        <w:t xml:space="preserve"> other</w:t>
      </w:r>
      <w:r w:rsidRPr="003574B9">
        <w:rPr>
          <w:noProof/>
        </w:rPr>
        <w:t xml:space="preserve"> in certain areas. </w:t>
      </w:r>
      <w:r>
        <w:rPr>
          <w:noProof/>
        </w:rPr>
        <w:t>In this context,</w:t>
      </w:r>
      <w:r w:rsidRPr="003574B9">
        <w:rPr>
          <w:noProof/>
        </w:rPr>
        <w:t xml:space="preserve"> EASA </w:t>
      </w:r>
      <w:r w:rsidR="0042544F">
        <w:rPr>
          <w:noProof/>
        </w:rPr>
        <w:t>creates</w:t>
      </w:r>
      <w:r w:rsidRPr="003574B9">
        <w:rPr>
          <w:noProof/>
        </w:rPr>
        <w:t xml:space="preserve"> distinctive European safety promotion packages </w:t>
      </w:r>
      <w:r w:rsidR="0042544F">
        <w:rPr>
          <w:noProof/>
        </w:rPr>
        <w:t>depending on the operational domain and the safety topics being promoted with the goal of</w:t>
      </w:r>
      <w:r w:rsidRPr="003574B9">
        <w:rPr>
          <w:noProof/>
        </w:rPr>
        <w:t xml:space="preserve"> increas</w:t>
      </w:r>
      <w:r w:rsidR="0042544F">
        <w:rPr>
          <w:noProof/>
        </w:rPr>
        <w:t>ing</w:t>
      </w:r>
      <w:r w:rsidRPr="003574B9">
        <w:rPr>
          <w:noProof/>
        </w:rPr>
        <w:t xml:space="preserve"> the outreach of safety promotion products. </w:t>
      </w:r>
      <w:r w:rsidR="0042544F">
        <w:rPr>
          <w:noProof/>
        </w:rPr>
        <w:t>This is done using the brands of “Together4Safety” for professional, commercial aviation activities and “The Aviator’s Club” for general aviation with private pil</w:t>
      </w:r>
      <w:r w:rsidR="00E02E59">
        <w:rPr>
          <w:noProof/>
        </w:rPr>
        <w:t>o</w:t>
      </w:r>
      <w:r w:rsidR="0042544F">
        <w:rPr>
          <w:noProof/>
        </w:rPr>
        <w:t xml:space="preserve">ts. </w:t>
      </w:r>
      <w:r w:rsidRPr="003574B9">
        <w:rPr>
          <w:noProof/>
        </w:rPr>
        <w:t>In parallel, safety partner</w:t>
      </w:r>
      <w:r w:rsidR="00762757">
        <w:rPr>
          <w:noProof/>
        </w:rPr>
        <w:t>ship activities are reinforced</w:t>
      </w:r>
      <w:r w:rsidR="0042544F">
        <w:rPr>
          <w:noProof/>
        </w:rPr>
        <w:t xml:space="preserve"> with the full range of operational stakeholders at domain level covering Commercial Air Operations (including </w:t>
      </w:r>
      <w:r w:rsidR="004404FC">
        <w:rPr>
          <w:noProof/>
        </w:rPr>
        <w:t>a</w:t>
      </w:r>
      <w:r w:rsidR="0042544F">
        <w:rPr>
          <w:noProof/>
        </w:rPr>
        <w:t>erodrome</w:t>
      </w:r>
      <w:r w:rsidR="004404FC">
        <w:rPr>
          <w:noProof/>
        </w:rPr>
        <w:t>s</w:t>
      </w:r>
      <w:r w:rsidR="0042544F">
        <w:rPr>
          <w:noProof/>
        </w:rPr>
        <w:t xml:space="preserve"> and ATM), </w:t>
      </w:r>
      <w:r w:rsidR="004404FC">
        <w:rPr>
          <w:noProof/>
        </w:rPr>
        <w:t>r</w:t>
      </w:r>
      <w:r w:rsidR="0042544F">
        <w:rPr>
          <w:noProof/>
        </w:rPr>
        <w:t xml:space="preserve">otorcraft, General Aviation and </w:t>
      </w:r>
      <w:r w:rsidR="004404FC">
        <w:rPr>
          <w:noProof/>
        </w:rPr>
        <w:t>d</w:t>
      </w:r>
      <w:r w:rsidR="0042544F">
        <w:rPr>
          <w:noProof/>
        </w:rPr>
        <w:t>rones</w:t>
      </w:r>
      <w:r w:rsidR="00762757">
        <w:rPr>
          <w:noProof/>
        </w:rPr>
        <w:t>.</w:t>
      </w:r>
      <w:r w:rsidR="00056980" w:rsidRPr="00056980">
        <w:rPr>
          <w:noProof/>
        </w:rPr>
        <w:t xml:space="preserve"> </w:t>
      </w:r>
      <w:r w:rsidR="00056980" w:rsidRPr="00C62EE5">
        <w:rPr>
          <w:noProof/>
        </w:rPr>
        <w:t>Understanding that different aviation stakeholders have very different needs in terms of information and communication channels, the domain-based approach ensures that safety promotion can meet the specific needs of each part of the aviation community.</w:t>
      </w:r>
      <w:r w:rsidR="00B513CB" w:rsidRPr="00B513CB">
        <w:rPr>
          <w:noProof/>
        </w:rPr>
        <w:t xml:space="preserve"> </w:t>
      </w:r>
      <w:r w:rsidR="00B513CB" w:rsidRPr="00C62EE5">
        <w:rPr>
          <w:noProof/>
        </w:rPr>
        <w:t xml:space="preserve">Each domain has a dedicated area on the EASA website and for the first three their own community sites to strengthen the coordination with stakeholders.  </w:t>
      </w:r>
    </w:p>
    <w:p w14:paraId="1832AFCE" w14:textId="757FB38D" w:rsidR="00E02E59" w:rsidRDefault="00E02E59" w:rsidP="00C62EE5">
      <w:pPr>
        <w:shd w:val="clear" w:color="auto" w:fill="FFFFFF"/>
        <w:rPr>
          <w:noProof/>
        </w:rPr>
      </w:pPr>
      <w:r w:rsidRPr="00C62EE5">
        <w:rPr>
          <w:noProof/>
        </w:rPr>
        <w:t>Early 2019</w:t>
      </w:r>
      <w:r w:rsidR="009E1100">
        <w:rPr>
          <w:noProof/>
        </w:rPr>
        <w:t>,</w:t>
      </w:r>
      <w:r w:rsidRPr="00C62EE5">
        <w:rPr>
          <w:noProof/>
        </w:rPr>
        <w:t xml:space="preserve"> EASA launched a new Safety Promotion Strategy that take</w:t>
      </w:r>
      <w:r w:rsidR="0027663A">
        <w:rPr>
          <w:noProof/>
        </w:rPr>
        <w:t>s</w:t>
      </w:r>
      <w:r w:rsidRPr="00C62EE5">
        <w:rPr>
          <w:noProof/>
        </w:rPr>
        <w:t xml:space="preserve"> an increasingly proactive approach to the way EASA communicates with the European aviation community. </w:t>
      </w:r>
      <w:r w:rsidRPr="00963675">
        <w:rPr>
          <w:noProof/>
        </w:rPr>
        <w:t>Th</w:t>
      </w:r>
      <w:r>
        <w:rPr>
          <w:noProof/>
        </w:rPr>
        <w:t xml:space="preserve">rough the EASA Together4Safety and Aviator’s Club (for General Aviation) EASA strives to be a </w:t>
      </w:r>
      <w:r w:rsidRPr="00963675">
        <w:rPr>
          <w:noProof/>
        </w:rPr>
        <w:t>safety promotion leader in Europe and worldwide having a recognised brand that</w:t>
      </w:r>
      <w:r>
        <w:rPr>
          <w:noProof/>
        </w:rPr>
        <w:t xml:space="preserve"> creates interest, engagement and helps to improve safety.</w:t>
      </w:r>
      <w:r w:rsidRPr="00C62EE5">
        <w:rPr>
          <w:noProof/>
        </w:rPr>
        <w:t xml:space="preserve"> </w:t>
      </w:r>
    </w:p>
    <w:p w14:paraId="6B8F1E7E" w14:textId="3DEAFAA5" w:rsidR="00191EFF" w:rsidRPr="00191EFF" w:rsidRDefault="00191EFF" w:rsidP="002C53D0">
      <w:pPr>
        <w:pStyle w:val="Heading2"/>
        <w:keepLines w:val="0"/>
        <w:numPr>
          <w:ilvl w:val="1"/>
          <w:numId w:val="36"/>
        </w:numPr>
        <w:rPr>
          <w:noProof/>
        </w:rPr>
      </w:pPr>
      <w:bookmarkStart w:id="166" w:name="_Toc94875679"/>
      <w:bookmarkStart w:id="167" w:name="_Toc102569232"/>
      <w:bookmarkEnd w:id="165"/>
      <w:r w:rsidRPr="00191EFF">
        <w:rPr>
          <w:noProof/>
        </w:rPr>
        <w:t>Activities at EU Level</w:t>
      </w:r>
      <w:bookmarkEnd w:id="166"/>
      <w:bookmarkEnd w:id="167"/>
    </w:p>
    <w:p w14:paraId="6C91AB80" w14:textId="6664AE10" w:rsidR="00191EFF" w:rsidRPr="00191EFF" w:rsidRDefault="001A0FEE" w:rsidP="002C53D0">
      <w:pPr>
        <w:pStyle w:val="Heading3"/>
        <w:keepLines w:val="0"/>
        <w:numPr>
          <w:ilvl w:val="0"/>
          <w:numId w:val="40"/>
        </w:numPr>
        <w:spacing w:before="240" w:after="240"/>
        <w:rPr>
          <w:noProof/>
        </w:rPr>
      </w:pPr>
      <w:bookmarkStart w:id="168" w:name="_Toc94875680"/>
      <w:bookmarkStart w:id="169" w:name="_Toc102569233"/>
      <w:r>
        <w:rPr>
          <w:noProof/>
        </w:rPr>
        <w:t>Safety c</w:t>
      </w:r>
      <w:r w:rsidR="00191EFF" w:rsidRPr="00191EFF">
        <w:rPr>
          <w:noProof/>
        </w:rPr>
        <w:t>ommunication</w:t>
      </w:r>
      <w:bookmarkEnd w:id="168"/>
      <w:bookmarkEnd w:id="169"/>
    </w:p>
    <w:p w14:paraId="2B6D44B6" w14:textId="77777777" w:rsidR="000B538A" w:rsidRPr="003574B9" w:rsidRDefault="000B538A" w:rsidP="0006001F">
      <w:pPr>
        <w:shd w:val="clear" w:color="auto" w:fill="FFFFFF"/>
        <w:rPr>
          <w:noProof/>
        </w:rPr>
      </w:pPr>
      <w:r w:rsidRPr="003574B9">
        <w:rPr>
          <w:noProof/>
        </w:rPr>
        <w:t>Conveying safety information helps build a robust safety culture.</w:t>
      </w:r>
      <w:r>
        <w:rPr>
          <w:noProof/>
        </w:rPr>
        <w:t xml:space="preserve"> </w:t>
      </w:r>
      <w:r w:rsidRPr="003574B9">
        <w:rPr>
          <w:noProof/>
        </w:rPr>
        <w:t xml:space="preserve">Safety </w:t>
      </w:r>
      <w:r w:rsidR="000064B5">
        <w:rPr>
          <w:noProof/>
        </w:rPr>
        <w:t>c</w:t>
      </w:r>
      <w:r w:rsidRPr="003574B9">
        <w:rPr>
          <w:noProof/>
        </w:rPr>
        <w:t>ommunication products in the European Union include</w:t>
      </w:r>
      <w:r>
        <w:rPr>
          <w:noProof/>
        </w:rPr>
        <w:t xml:space="preserve"> s</w:t>
      </w:r>
      <w:r w:rsidRPr="003574B9">
        <w:rPr>
          <w:noProof/>
        </w:rPr>
        <w:t>afety analysis reports</w:t>
      </w:r>
      <w:r>
        <w:rPr>
          <w:noProof/>
        </w:rPr>
        <w:t>; b</w:t>
      </w:r>
      <w:r w:rsidRPr="003574B9">
        <w:rPr>
          <w:noProof/>
        </w:rPr>
        <w:t>ulletins,</w:t>
      </w:r>
      <w:r>
        <w:rPr>
          <w:noProof/>
        </w:rPr>
        <w:t xml:space="preserve"> l</w:t>
      </w:r>
      <w:r w:rsidRPr="003574B9">
        <w:rPr>
          <w:noProof/>
        </w:rPr>
        <w:t xml:space="preserve">eaflets and </w:t>
      </w:r>
      <w:r>
        <w:rPr>
          <w:noProof/>
        </w:rPr>
        <w:t>p</w:t>
      </w:r>
      <w:r w:rsidRPr="003574B9">
        <w:rPr>
          <w:noProof/>
        </w:rPr>
        <w:t>osters;</w:t>
      </w:r>
      <w:r>
        <w:rPr>
          <w:noProof/>
        </w:rPr>
        <w:t xml:space="preserve"> a</w:t>
      </w:r>
      <w:r w:rsidRPr="003574B9">
        <w:rPr>
          <w:noProof/>
        </w:rPr>
        <w:t xml:space="preserve">udio-visual material; </w:t>
      </w:r>
      <w:r>
        <w:rPr>
          <w:noProof/>
        </w:rPr>
        <w:t>t</w:t>
      </w:r>
      <w:r w:rsidRPr="003574B9">
        <w:rPr>
          <w:noProof/>
        </w:rPr>
        <w:t xml:space="preserve">oolkits, </w:t>
      </w:r>
      <w:r>
        <w:rPr>
          <w:noProof/>
        </w:rPr>
        <w:t>m</w:t>
      </w:r>
      <w:r w:rsidRPr="003574B9">
        <w:rPr>
          <w:noProof/>
        </w:rPr>
        <w:t xml:space="preserve">anuals and </w:t>
      </w:r>
      <w:r>
        <w:rPr>
          <w:noProof/>
        </w:rPr>
        <w:t>g</w:t>
      </w:r>
      <w:r w:rsidRPr="003574B9">
        <w:rPr>
          <w:noProof/>
        </w:rPr>
        <w:t xml:space="preserve">uides; </w:t>
      </w:r>
      <w:r>
        <w:rPr>
          <w:noProof/>
        </w:rPr>
        <w:t>p</w:t>
      </w:r>
      <w:r w:rsidRPr="003574B9">
        <w:rPr>
          <w:noProof/>
        </w:rPr>
        <w:t xml:space="preserve">lans and </w:t>
      </w:r>
      <w:r>
        <w:rPr>
          <w:noProof/>
        </w:rPr>
        <w:t>p</w:t>
      </w:r>
      <w:r w:rsidRPr="003574B9">
        <w:rPr>
          <w:noProof/>
        </w:rPr>
        <w:t xml:space="preserve">rogrammes; </w:t>
      </w:r>
      <w:r>
        <w:rPr>
          <w:noProof/>
        </w:rPr>
        <w:t>w</w:t>
      </w:r>
      <w:r w:rsidRPr="003574B9">
        <w:rPr>
          <w:noProof/>
        </w:rPr>
        <w:t>orkshops and other safety events.</w:t>
      </w:r>
      <w:r w:rsidR="0042544F">
        <w:rPr>
          <w:noProof/>
        </w:rPr>
        <w:t xml:space="preserve"> A funnel of safety promotion content is developed for each task that combines the most effective packages of deliverables for the safety topic under consideration. Deliverables are promoted through social media as well as EASA’s collaborative partners to maximise the reach of </w:t>
      </w:r>
      <w:r w:rsidR="00277DDD">
        <w:rPr>
          <w:noProof/>
        </w:rPr>
        <w:t xml:space="preserve">safety messages. </w:t>
      </w:r>
    </w:p>
    <w:p w14:paraId="19F1D3A9" w14:textId="77777777" w:rsidR="00191EFF" w:rsidRPr="00191EFF" w:rsidRDefault="00191EFF" w:rsidP="002C53D0">
      <w:pPr>
        <w:pStyle w:val="Heading4"/>
        <w:keepLines w:val="0"/>
        <w:numPr>
          <w:ilvl w:val="3"/>
          <w:numId w:val="36"/>
        </w:numPr>
        <w:spacing w:before="240" w:after="240"/>
        <w:rPr>
          <w:noProof/>
        </w:rPr>
      </w:pPr>
      <w:r w:rsidRPr="00191EFF">
        <w:rPr>
          <w:noProof/>
        </w:rPr>
        <w:t xml:space="preserve">Mandatory </w:t>
      </w:r>
      <w:r w:rsidR="00C44674" w:rsidRPr="00C44674">
        <w:rPr>
          <w:noProof/>
        </w:rPr>
        <w:t>safety communication</w:t>
      </w:r>
    </w:p>
    <w:p w14:paraId="6D51B031" w14:textId="77777777" w:rsidR="000B538A" w:rsidRPr="003574B9" w:rsidRDefault="000B538A" w:rsidP="0006001F">
      <w:pPr>
        <w:shd w:val="clear" w:color="auto" w:fill="FFFFFF"/>
        <w:rPr>
          <w:noProof/>
        </w:rPr>
      </w:pPr>
      <w:r w:rsidRPr="003574B9">
        <w:rPr>
          <w:noProof/>
        </w:rPr>
        <w:t xml:space="preserve">Regulation </w:t>
      </w:r>
      <w:r w:rsidR="00662BD5">
        <w:rPr>
          <w:noProof/>
        </w:rPr>
        <w:t xml:space="preserve">(EU) </w:t>
      </w:r>
      <w:r w:rsidR="006831DF">
        <w:rPr>
          <w:noProof/>
        </w:rPr>
        <w:t>2018/1139</w:t>
      </w:r>
      <w:r>
        <w:rPr>
          <w:noProof/>
        </w:rPr>
        <w:t xml:space="preserve"> </w:t>
      </w:r>
      <w:r w:rsidRPr="003574B9">
        <w:rPr>
          <w:noProof/>
        </w:rPr>
        <w:t xml:space="preserve">requires EASA to publish an </w:t>
      </w:r>
      <w:hyperlink r:id="rId67" w:history="1">
        <w:r w:rsidRPr="00276AD5">
          <w:rPr>
            <w:rStyle w:val="Hyperlink"/>
            <w:noProof/>
          </w:rPr>
          <w:t>Annual Safety Review</w:t>
        </w:r>
      </w:hyperlink>
      <w:r w:rsidR="007C1A2D" w:rsidRPr="00FB18C9">
        <w:rPr>
          <w:noProof/>
          <w:color w:val="0000FF"/>
          <w:u w:val="single"/>
          <w:vertAlign w:val="superscript"/>
        </w:rPr>
        <w:footnoteReference w:id="36"/>
      </w:r>
      <w:r w:rsidRPr="003574B9">
        <w:rPr>
          <w:noProof/>
        </w:rPr>
        <w:t xml:space="preserve"> to inform the public of the general safety level in the field of civil aviation. The </w:t>
      </w:r>
      <w:r w:rsidRPr="004F3688">
        <w:rPr>
          <w:noProof/>
        </w:rPr>
        <w:t>Annual Safety Review</w:t>
      </w:r>
      <w:r w:rsidRPr="003574B9">
        <w:rPr>
          <w:noProof/>
        </w:rPr>
        <w:t xml:space="preserve"> presents information on European and w</w:t>
      </w:r>
      <w:r w:rsidR="00762757">
        <w:rPr>
          <w:noProof/>
        </w:rPr>
        <w:t>orldwide civil aviation safety</w:t>
      </w:r>
      <w:r w:rsidR="00CF59BD">
        <w:rPr>
          <w:noProof/>
        </w:rPr>
        <w:t xml:space="preserve"> (r</w:t>
      </w:r>
      <w:r w:rsidR="00002A2C">
        <w:rPr>
          <w:noProof/>
        </w:rPr>
        <w:t xml:space="preserve">efer to </w:t>
      </w:r>
      <w:hyperlink w:anchor="_The_EASA_Annual" w:history="1">
        <w:r w:rsidR="00002A2C" w:rsidRPr="00002A2C">
          <w:rPr>
            <w:rStyle w:val="Hyperlink"/>
            <w:noProof/>
          </w:rPr>
          <w:t>section 2.3.3</w:t>
        </w:r>
      </w:hyperlink>
      <w:r w:rsidR="00CF59BD">
        <w:rPr>
          <w:noProof/>
        </w:rPr>
        <w:t>)</w:t>
      </w:r>
      <w:r w:rsidR="00002A2C">
        <w:rPr>
          <w:noProof/>
        </w:rPr>
        <w:t>.</w:t>
      </w:r>
    </w:p>
    <w:p w14:paraId="71E131AC" w14:textId="5C0C6E89" w:rsidR="000B538A" w:rsidRPr="003574B9" w:rsidRDefault="00B63FF9" w:rsidP="0006001F">
      <w:pPr>
        <w:shd w:val="clear" w:color="auto" w:fill="FFFFFF"/>
        <w:rPr>
          <w:noProof/>
        </w:rPr>
      </w:pPr>
      <w:r>
        <w:rPr>
          <w:noProof/>
        </w:rPr>
        <w:t>Regulation (EU)</w:t>
      </w:r>
      <w:r w:rsidR="005A7E2E">
        <w:rPr>
          <w:noProof/>
        </w:rPr>
        <w:t xml:space="preserve"> No</w:t>
      </w:r>
      <w:r>
        <w:rPr>
          <w:noProof/>
        </w:rPr>
        <w:t xml:space="preserve"> 996/2010 </w:t>
      </w:r>
      <w:r w:rsidR="000B538A" w:rsidRPr="003574B9">
        <w:rPr>
          <w:noProof/>
        </w:rPr>
        <w:t xml:space="preserve">requires the setting up of a database of safety recommendations. This database is publicly available </w:t>
      </w:r>
      <w:hyperlink r:id="rId68" w:history="1">
        <w:r w:rsidR="00002A2C" w:rsidRPr="004F3688">
          <w:rPr>
            <w:rStyle w:val="Hyperlink"/>
            <w:noProof/>
          </w:rPr>
          <w:t>online</w:t>
        </w:r>
      </w:hyperlink>
      <w:r w:rsidR="007C1A2D" w:rsidRPr="00FB18C9">
        <w:rPr>
          <w:noProof/>
          <w:color w:val="0000FF"/>
          <w:u w:val="single"/>
          <w:vertAlign w:val="superscript"/>
        </w:rPr>
        <w:footnoteReference w:id="37"/>
      </w:r>
      <w:r w:rsidR="000B538A" w:rsidRPr="003574B9">
        <w:rPr>
          <w:noProof/>
        </w:rPr>
        <w:t>.</w:t>
      </w:r>
    </w:p>
    <w:p w14:paraId="673B86A6" w14:textId="77777777" w:rsidR="00191EFF" w:rsidRPr="00191EFF" w:rsidRDefault="00191EFF" w:rsidP="002C53D0">
      <w:pPr>
        <w:pStyle w:val="Heading4"/>
        <w:keepLines w:val="0"/>
        <w:numPr>
          <w:ilvl w:val="3"/>
          <w:numId w:val="36"/>
        </w:numPr>
        <w:spacing w:before="240" w:after="240"/>
        <w:rPr>
          <w:noProof/>
        </w:rPr>
      </w:pPr>
      <w:r w:rsidRPr="00191EFF">
        <w:rPr>
          <w:noProof/>
        </w:rPr>
        <w:t>Non</w:t>
      </w:r>
      <w:r w:rsidR="000064B5">
        <w:rPr>
          <w:noProof/>
        </w:rPr>
        <w:t>-m</w:t>
      </w:r>
      <w:r w:rsidRPr="00191EFF">
        <w:rPr>
          <w:noProof/>
        </w:rPr>
        <w:t xml:space="preserve">andatory </w:t>
      </w:r>
      <w:r w:rsidR="00C44674" w:rsidRPr="00C44674">
        <w:rPr>
          <w:noProof/>
        </w:rPr>
        <w:t>safety communication</w:t>
      </w:r>
    </w:p>
    <w:p w14:paraId="71A96F2F" w14:textId="77777777" w:rsidR="000B538A" w:rsidRPr="003574B9" w:rsidRDefault="000B538A" w:rsidP="0006001F">
      <w:pPr>
        <w:shd w:val="clear" w:color="auto" w:fill="FFFFFF"/>
        <w:rPr>
          <w:noProof/>
        </w:rPr>
      </w:pPr>
      <w:r w:rsidRPr="003574B9">
        <w:rPr>
          <w:noProof/>
        </w:rPr>
        <w:t xml:space="preserve">EASA publishes </w:t>
      </w:r>
      <w:hyperlink r:id="rId69" w:history="1">
        <w:r w:rsidRPr="00276AD5">
          <w:rPr>
            <w:rStyle w:val="Hyperlink"/>
            <w:noProof/>
          </w:rPr>
          <w:t>Safety Information Bulletins (SIB</w:t>
        </w:r>
        <w:r w:rsidR="00730028">
          <w:rPr>
            <w:rStyle w:val="Hyperlink"/>
            <w:noProof/>
          </w:rPr>
          <w:t>s</w:t>
        </w:r>
        <w:r w:rsidRPr="00276AD5">
          <w:rPr>
            <w:rStyle w:val="Hyperlink"/>
            <w:noProof/>
          </w:rPr>
          <w:t>)</w:t>
        </w:r>
      </w:hyperlink>
      <w:r w:rsidR="007C1A2D" w:rsidRPr="00FB18C9">
        <w:rPr>
          <w:noProof/>
          <w:color w:val="0000FF"/>
          <w:u w:val="single"/>
          <w:vertAlign w:val="superscript"/>
        </w:rPr>
        <w:footnoteReference w:id="38"/>
      </w:r>
      <w:r w:rsidRPr="003574B9">
        <w:rPr>
          <w:noProof/>
        </w:rPr>
        <w:t xml:space="preserve"> to inform stakeholders. The SIBs are publicly available and regularly reviewed and refreshed. The Agency also publishes a review of progress on the follow-up of </w:t>
      </w:r>
      <w:hyperlink r:id="rId70" w:history="1">
        <w:r w:rsidRPr="00276AD5">
          <w:rPr>
            <w:rStyle w:val="Hyperlink"/>
            <w:noProof/>
          </w:rPr>
          <w:t>Safety Recommendations</w:t>
        </w:r>
      </w:hyperlink>
      <w:r w:rsidR="007C1A2D" w:rsidRPr="00FB18C9">
        <w:rPr>
          <w:noProof/>
          <w:color w:val="0000FF"/>
          <w:u w:val="single"/>
          <w:vertAlign w:val="superscript"/>
        </w:rPr>
        <w:footnoteReference w:id="39"/>
      </w:r>
      <w:r w:rsidR="00762757">
        <w:rPr>
          <w:noProof/>
        </w:rPr>
        <w:t>.</w:t>
      </w:r>
    </w:p>
    <w:p w14:paraId="0C1B58F6" w14:textId="77777777" w:rsidR="00191EFF" w:rsidRPr="001A0FEE" w:rsidRDefault="00191EFF" w:rsidP="002C53D0">
      <w:pPr>
        <w:pStyle w:val="Heading4"/>
        <w:keepLines w:val="0"/>
        <w:numPr>
          <w:ilvl w:val="3"/>
          <w:numId w:val="36"/>
        </w:numPr>
        <w:spacing w:before="240" w:after="240"/>
        <w:rPr>
          <w:noProof/>
        </w:rPr>
      </w:pPr>
      <w:r w:rsidRPr="001A0FEE">
        <w:rPr>
          <w:noProof/>
        </w:rPr>
        <w:t xml:space="preserve">Safety </w:t>
      </w:r>
      <w:r w:rsidR="001A0FEE" w:rsidRPr="001A0FEE">
        <w:rPr>
          <w:noProof/>
        </w:rPr>
        <w:t>workshops and conferences</w:t>
      </w:r>
    </w:p>
    <w:p w14:paraId="103084A6" w14:textId="77777777" w:rsidR="000B538A" w:rsidRPr="003574B9" w:rsidRDefault="000B538A" w:rsidP="0006001F">
      <w:pPr>
        <w:shd w:val="clear" w:color="auto" w:fill="FFFFFF"/>
        <w:rPr>
          <w:noProof/>
        </w:rPr>
      </w:pPr>
      <w:r w:rsidRPr="003574B9">
        <w:rPr>
          <w:noProof/>
        </w:rPr>
        <w:t xml:space="preserve">EASA runs safety campaigns to address specific safety issues coming from </w:t>
      </w:r>
      <w:r>
        <w:rPr>
          <w:noProof/>
        </w:rPr>
        <w:t>occurrences</w:t>
      </w:r>
      <w:r w:rsidRPr="003574B9">
        <w:rPr>
          <w:noProof/>
        </w:rPr>
        <w:t>, identified safety risks, emerging issues or safety audits.</w:t>
      </w:r>
    </w:p>
    <w:p w14:paraId="305D9F62" w14:textId="77777777" w:rsidR="000B538A" w:rsidRPr="003574B9" w:rsidRDefault="000B538A" w:rsidP="0006001F">
      <w:pPr>
        <w:shd w:val="clear" w:color="auto" w:fill="FFFFFF"/>
        <w:rPr>
          <w:noProof/>
        </w:rPr>
      </w:pPr>
      <w:r w:rsidRPr="003574B9">
        <w:rPr>
          <w:noProof/>
        </w:rPr>
        <w:t>EASA</w:t>
      </w:r>
      <w:r w:rsidRPr="00191EFF">
        <w:rPr>
          <w:noProof/>
        </w:rPr>
        <w:t xml:space="preserve"> </w:t>
      </w:r>
      <w:r>
        <w:rPr>
          <w:noProof/>
        </w:rPr>
        <w:t>also</w:t>
      </w:r>
      <w:r w:rsidRPr="003574B9">
        <w:rPr>
          <w:noProof/>
        </w:rPr>
        <w:t xml:space="preserve"> regularly conducts workshops</w:t>
      </w:r>
      <w:r>
        <w:rPr>
          <w:noProof/>
        </w:rPr>
        <w:t xml:space="preserve"> and conferences</w:t>
      </w:r>
      <w:r w:rsidRPr="003574B9">
        <w:rPr>
          <w:noProof/>
        </w:rPr>
        <w:t xml:space="preserve"> which are used to disseminate safety information to the European stakeholders and to provide an opportunity for discussions on safety related topics, including the results of inspections. </w:t>
      </w:r>
      <w:r>
        <w:rPr>
          <w:noProof/>
        </w:rPr>
        <w:t>Furthermore, a Safety Conference is organised on a yearly basis by the Agency.</w:t>
      </w:r>
    </w:p>
    <w:p w14:paraId="12B84C98" w14:textId="17F02672" w:rsidR="000B538A" w:rsidRDefault="000B538A" w:rsidP="0006001F">
      <w:pPr>
        <w:shd w:val="clear" w:color="auto" w:fill="FFFFFF"/>
        <w:rPr>
          <w:noProof/>
        </w:rPr>
      </w:pPr>
      <w:r w:rsidRPr="003574B9">
        <w:rPr>
          <w:noProof/>
        </w:rPr>
        <w:t xml:space="preserve">The Commission </w:t>
      </w:r>
      <w:r>
        <w:rPr>
          <w:noProof/>
        </w:rPr>
        <w:t>regularly organises conferences and seminars on issues related to aviation safety. In addition, it</w:t>
      </w:r>
      <w:r w:rsidRPr="003574B9">
        <w:rPr>
          <w:noProof/>
        </w:rPr>
        <w:t xml:space="preserve"> conducts workshops and activities to support the proper dissemination and understanding of certain safety rules, such as Regulations </w:t>
      </w:r>
      <w:r w:rsidR="00E048E8">
        <w:rPr>
          <w:noProof/>
        </w:rPr>
        <w:t>(EU)</w:t>
      </w:r>
      <w:r w:rsidR="00E048E8" w:rsidRPr="003574B9">
        <w:rPr>
          <w:noProof/>
        </w:rPr>
        <w:t xml:space="preserve"> </w:t>
      </w:r>
      <w:r w:rsidR="005A7E2E">
        <w:rPr>
          <w:noProof/>
        </w:rPr>
        <w:t xml:space="preserve">No </w:t>
      </w:r>
      <w:r w:rsidRPr="003574B9">
        <w:rPr>
          <w:noProof/>
        </w:rPr>
        <w:t xml:space="preserve">376/2014 and </w:t>
      </w:r>
      <w:r w:rsidR="00E048E8">
        <w:rPr>
          <w:noProof/>
        </w:rPr>
        <w:t>(EU)</w:t>
      </w:r>
      <w:r w:rsidR="00E048E8" w:rsidRPr="003574B9">
        <w:rPr>
          <w:noProof/>
        </w:rPr>
        <w:t xml:space="preserve"> </w:t>
      </w:r>
      <w:r w:rsidR="005A7E2E">
        <w:rPr>
          <w:noProof/>
        </w:rPr>
        <w:t xml:space="preserve">No </w:t>
      </w:r>
      <w:r w:rsidRPr="003574B9">
        <w:rPr>
          <w:noProof/>
        </w:rPr>
        <w:t>996/2010.</w:t>
      </w:r>
    </w:p>
    <w:p w14:paraId="435F1C77" w14:textId="77777777" w:rsidR="002C53D0" w:rsidRPr="00EA0FB7" w:rsidRDefault="002C53D0" w:rsidP="002C53D0">
      <w:pPr>
        <w:pStyle w:val="Heading4"/>
        <w:keepLines w:val="0"/>
        <w:numPr>
          <w:ilvl w:val="3"/>
          <w:numId w:val="36"/>
        </w:numPr>
        <w:spacing w:before="240" w:after="240"/>
        <w:rPr>
          <w:noProof/>
        </w:rPr>
      </w:pPr>
      <w:bookmarkStart w:id="170" w:name="_Toc429657484"/>
      <w:r>
        <w:rPr>
          <w:noProof/>
        </w:rPr>
        <w:t>O</w:t>
      </w:r>
      <w:r w:rsidRPr="00EA0FB7">
        <w:rPr>
          <w:noProof/>
        </w:rPr>
        <w:t>n-line information</w:t>
      </w:r>
      <w:bookmarkEnd w:id="170"/>
    </w:p>
    <w:p w14:paraId="32D3D261" w14:textId="41A11BE1" w:rsidR="002C53D0" w:rsidRPr="00EA0FB7" w:rsidRDefault="002C53D0" w:rsidP="002C53D0">
      <w:pPr>
        <w:shd w:val="clear" w:color="auto" w:fill="FFFFFF"/>
        <w:rPr>
          <w:noProof/>
        </w:rPr>
      </w:pPr>
      <w:r w:rsidRPr="00EA0FB7">
        <w:rPr>
          <w:noProof/>
        </w:rPr>
        <w:t>A broad range of information and documentation is publicly available on</w:t>
      </w:r>
      <w:r w:rsidR="0037224D">
        <w:rPr>
          <w:noProof/>
        </w:rPr>
        <w:t xml:space="preserve"> the</w:t>
      </w:r>
      <w:r w:rsidRPr="00EA0FB7">
        <w:rPr>
          <w:noProof/>
        </w:rPr>
        <w:t xml:space="preserve"> </w:t>
      </w:r>
      <w:hyperlink r:id="rId71" w:history="1">
        <w:r w:rsidRPr="00EF6842">
          <w:rPr>
            <w:rStyle w:val="Hyperlink"/>
            <w:noProof/>
          </w:rPr>
          <w:t>EASA website</w:t>
        </w:r>
      </w:hyperlink>
      <w:r w:rsidR="007C1A2D" w:rsidRPr="00FB18C9">
        <w:rPr>
          <w:noProof/>
          <w:color w:val="0000FF"/>
          <w:u w:val="single"/>
          <w:vertAlign w:val="superscript"/>
        </w:rPr>
        <w:footnoteReference w:id="40"/>
      </w:r>
      <w:r w:rsidRPr="00EA0FB7">
        <w:rPr>
          <w:noProof/>
        </w:rPr>
        <w:t xml:space="preserve"> and on the Commission website</w:t>
      </w:r>
      <w:r>
        <w:rPr>
          <w:noProof/>
        </w:rPr>
        <w:t xml:space="preserve"> dedicated to the </w:t>
      </w:r>
      <w:hyperlink r:id="rId72" w:history="1">
        <w:r w:rsidRPr="00EF6842">
          <w:rPr>
            <w:rStyle w:val="Hyperlink"/>
            <w:noProof/>
          </w:rPr>
          <w:t>European Aviation Safety Policy</w:t>
        </w:r>
      </w:hyperlink>
      <w:r w:rsidR="007C1A2D" w:rsidRPr="00FB18C9">
        <w:rPr>
          <w:noProof/>
          <w:color w:val="0000FF"/>
          <w:u w:val="single"/>
          <w:vertAlign w:val="superscript"/>
        </w:rPr>
        <w:footnoteReference w:id="41"/>
      </w:r>
      <w:r w:rsidRPr="00EA0FB7">
        <w:rPr>
          <w:noProof/>
        </w:rPr>
        <w:t>.</w:t>
      </w:r>
    </w:p>
    <w:p w14:paraId="033AA237" w14:textId="77777777" w:rsidR="002C53D0" w:rsidRPr="00191EFF" w:rsidRDefault="002C53D0" w:rsidP="002C53D0">
      <w:pPr>
        <w:rPr>
          <w:noProof/>
        </w:rPr>
      </w:pPr>
      <w:r w:rsidRPr="00EA0FB7">
        <w:rPr>
          <w:noProof/>
        </w:rPr>
        <w:t xml:space="preserve">In addition, restricted </w:t>
      </w:r>
      <w:r>
        <w:rPr>
          <w:noProof/>
        </w:rPr>
        <w:t xml:space="preserve">access </w:t>
      </w:r>
      <w:r w:rsidRPr="00EA0FB7">
        <w:rPr>
          <w:noProof/>
        </w:rPr>
        <w:t xml:space="preserve">networks are frequently used to exchange </w:t>
      </w:r>
      <w:r>
        <w:rPr>
          <w:noProof/>
        </w:rPr>
        <w:t xml:space="preserve">safety related </w:t>
      </w:r>
      <w:r w:rsidRPr="00EA0FB7">
        <w:rPr>
          <w:noProof/>
        </w:rPr>
        <w:t xml:space="preserve">information between EASA, the Commission and the Member </w:t>
      </w:r>
      <w:r w:rsidR="00A46B04">
        <w:rPr>
          <w:noProof/>
        </w:rPr>
        <w:t>State</w:t>
      </w:r>
      <w:r w:rsidRPr="00EA0FB7">
        <w:rPr>
          <w:noProof/>
        </w:rPr>
        <w:t>s, as well as with the industry.</w:t>
      </w:r>
    </w:p>
    <w:p w14:paraId="7B6DDCB0" w14:textId="142C0D1E" w:rsidR="00191EFF" w:rsidRPr="00191EFF" w:rsidRDefault="00191EFF" w:rsidP="00C62EE5">
      <w:pPr>
        <w:pStyle w:val="Heading2"/>
        <w:keepLines w:val="0"/>
        <w:numPr>
          <w:ilvl w:val="1"/>
          <w:numId w:val="41"/>
        </w:numPr>
        <w:rPr>
          <w:noProof/>
        </w:rPr>
      </w:pPr>
      <w:bookmarkStart w:id="171" w:name="_European_Strategic_Safety"/>
      <w:bookmarkStart w:id="172" w:name="_Toc94875681"/>
      <w:bookmarkStart w:id="173" w:name="_Toc102569234"/>
      <w:bookmarkEnd w:id="171"/>
      <w:r w:rsidRPr="00191EFF">
        <w:rPr>
          <w:noProof/>
        </w:rPr>
        <w:t>Training</w:t>
      </w:r>
      <w:r w:rsidR="000B538A" w:rsidRPr="000B538A">
        <w:rPr>
          <w:noProof/>
        </w:rPr>
        <w:t xml:space="preserve"> </w:t>
      </w:r>
      <w:r w:rsidR="000B538A">
        <w:rPr>
          <w:noProof/>
        </w:rPr>
        <w:t>at EU level</w:t>
      </w:r>
      <w:bookmarkEnd w:id="172"/>
      <w:bookmarkEnd w:id="173"/>
    </w:p>
    <w:p w14:paraId="40B83B6F" w14:textId="77777777" w:rsidR="000B538A" w:rsidRPr="000B538A" w:rsidRDefault="000B538A" w:rsidP="0006001F">
      <w:pPr>
        <w:shd w:val="clear" w:color="auto" w:fill="FFFFFF"/>
        <w:rPr>
          <w:rFonts w:eastAsia="Times New Roman" w:cs="Times New Roman"/>
          <w:noProof/>
          <w:szCs w:val="24"/>
        </w:rPr>
      </w:pPr>
      <w:r w:rsidRPr="000B538A">
        <w:rPr>
          <w:rFonts w:eastAsia="Times New Roman" w:cs="Times New Roman"/>
          <w:noProof/>
          <w:szCs w:val="24"/>
        </w:rPr>
        <w:t xml:space="preserve">In the EU, training activities include the aviation organisations that are involved in the implementation of the European Aviation Safety Programme: Member </w:t>
      </w:r>
      <w:r w:rsidR="00A46B04">
        <w:rPr>
          <w:rFonts w:eastAsia="Times New Roman" w:cs="Times New Roman"/>
          <w:noProof/>
          <w:szCs w:val="24"/>
        </w:rPr>
        <w:t>State</w:t>
      </w:r>
      <w:r w:rsidRPr="000B538A">
        <w:rPr>
          <w:rFonts w:eastAsia="Times New Roman" w:cs="Times New Roman"/>
          <w:noProof/>
          <w:szCs w:val="24"/>
        </w:rPr>
        <w:t xml:space="preserve">s </w:t>
      </w:r>
      <w:r w:rsidR="00730028">
        <w:rPr>
          <w:rFonts w:eastAsia="Times New Roman" w:cs="Times New Roman"/>
          <w:noProof/>
          <w:szCs w:val="24"/>
        </w:rPr>
        <w:t>N</w:t>
      </w:r>
      <w:r w:rsidR="0027663A">
        <w:rPr>
          <w:rFonts w:eastAsia="Times New Roman" w:cs="Times New Roman"/>
          <w:noProof/>
          <w:szCs w:val="24"/>
        </w:rPr>
        <w:t xml:space="preserve">ational </w:t>
      </w:r>
      <w:r w:rsidR="00730028">
        <w:rPr>
          <w:rFonts w:eastAsia="Times New Roman" w:cs="Times New Roman"/>
          <w:noProof/>
          <w:szCs w:val="24"/>
        </w:rPr>
        <w:t>C</w:t>
      </w:r>
      <w:r w:rsidR="0027663A">
        <w:rPr>
          <w:rFonts w:eastAsia="Times New Roman" w:cs="Times New Roman"/>
          <w:noProof/>
          <w:szCs w:val="24"/>
        </w:rPr>
        <w:t xml:space="preserve">ompetent </w:t>
      </w:r>
      <w:r w:rsidR="00730028">
        <w:rPr>
          <w:rFonts w:eastAsia="Times New Roman" w:cs="Times New Roman"/>
          <w:noProof/>
          <w:szCs w:val="24"/>
        </w:rPr>
        <w:t>A</w:t>
      </w:r>
      <w:r w:rsidR="0027663A">
        <w:rPr>
          <w:rFonts w:eastAsia="Times New Roman" w:cs="Times New Roman"/>
          <w:noProof/>
          <w:szCs w:val="24"/>
        </w:rPr>
        <w:t>uthoritie</w:t>
      </w:r>
      <w:r w:rsidR="00730028">
        <w:rPr>
          <w:rFonts w:eastAsia="Times New Roman" w:cs="Times New Roman"/>
          <w:noProof/>
          <w:szCs w:val="24"/>
        </w:rPr>
        <w:t xml:space="preserve">s, </w:t>
      </w:r>
      <w:r w:rsidRPr="000B538A">
        <w:rPr>
          <w:rFonts w:eastAsia="Times New Roman" w:cs="Times New Roman"/>
          <w:noProof/>
          <w:szCs w:val="24"/>
        </w:rPr>
        <w:t>S</w:t>
      </w:r>
      <w:r w:rsidR="0027663A">
        <w:rPr>
          <w:rFonts w:eastAsia="Times New Roman" w:cs="Times New Roman"/>
          <w:noProof/>
          <w:szCs w:val="24"/>
        </w:rPr>
        <w:t xml:space="preserve">afety </w:t>
      </w:r>
      <w:r w:rsidRPr="000B538A">
        <w:rPr>
          <w:rFonts w:eastAsia="Times New Roman" w:cs="Times New Roman"/>
          <w:noProof/>
          <w:szCs w:val="24"/>
        </w:rPr>
        <w:t>I</w:t>
      </w:r>
      <w:r w:rsidR="0027663A">
        <w:rPr>
          <w:rFonts w:eastAsia="Times New Roman" w:cs="Times New Roman"/>
          <w:noProof/>
          <w:szCs w:val="24"/>
        </w:rPr>
        <w:t xml:space="preserve">nvestigation </w:t>
      </w:r>
      <w:r w:rsidRPr="000B538A">
        <w:rPr>
          <w:rFonts w:eastAsia="Times New Roman" w:cs="Times New Roman"/>
          <w:noProof/>
          <w:szCs w:val="24"/>
        </w:rPr>
        <w:t>A</w:t>
      </w:r>
      <w:r w:rsidR="0027663A">
        <w:rPr>
          <w:rFonts w:eastAsia="Times New Roman" w:cs="Times New Roman"/>
          <w:noProof/>
          <w:szCs w:val="24"/>
        </w:rPr>
        <w:t>uthoritie</w:t>
      </w:r>
      <w:r w:rsidRPr="000B538A">
        <w:rPr>
          <w:rFonts w:eastAsia="Times New Roman" w:cs="Times New Roman"/>
          <w:noProof/>
          <w:szCs w:val="24"/>
        </w:rPr>
        <w:t>s and industry.</w:t>
      </w:r>
    </w:p>
    <w:p w14:paraId="76CCE6AA" w14:textId="610F9CB0" w:rsidR="000B538A" w:rsidRPr="000B538A" w:rsidRDefault="000B538A" w:rsidP="0006001F">
      <w:pPr>
        <w:shd w:val="clear" w:color="auto" w:fill="FFFFFF"/>
        <w:rPr>
          <w:rFonts w:eastAsia="Times New Roman" w:cs="Times New Roman"/>
          <w:noProof/>
          <w:szCs w:val="24"/>
        </w:rPr>
      </w:pPr>
      <w:r w:rsidRPr="000B538A">
        <w:rPr>
          <w:rFonts w:eastAsia="Times New Roman" w:cs="Times New Roman"/>
          <w:noProof/>
          <w:szCs w:val="24"/>
        </w:rPr>
        <w:t xml:space="preserve">Under Regulation </w:t>
      </w:r>
      <w:r w:rsidR="00EF7C50">
        <w:rPr>
          <w:rFonts w:eastAsia="Times New Roman" w:cs="Times New Roman"/>
          <w:noProof/>
          <w:szCs w:val="24"/>
        </w:rPr>
        <w:t xml:space="preserve">(EU) </w:t>
      </w:r>
      <w:r w:rsidR="005A7E2E">
        <w:rPr>
          <w:rFonts w:eastAsia="Times New Roman" w:cs="Times New Roman"/>
          <w:noProof/>
          <w:szCs w:val="24"/>
        </w:rPr>
        <w:t xml:space="preserve">No </w:t>
      </w:r>
      <w:r w:rsidRPr="000B538A">
        <w:rPr>
          <w:rFonts w:eastAsia="Times New Roman" w:cs="Times New Roman"/>
          <w:noProof/>
          <w:szCs w:val="24"/>
        </w:rPr>
        <w:t xml:space="preserve">376/2014, the Commission and the Agency are required to support the Member </w:t>
      </w:r>
      <w:r w:rsidR="00A46B04">
        <w:rPr>
          <w:rFonts w:eastAsia="Times New Roman" w:cs="Times New Roman"/>
          <w:noProof/>
          <w:szCs w:val="24"/>
        </w:rPr>
        <w:t>State</w:t>
      </w:r>
      <w:r w:rsidRPr="000B538A">
        <w:rPr>
          <w:rFonts w:eastAsia="Times New Roman" w:cs="Times New Roman"/>
          <w:noProof/>
          <w:szCs w:val="24"/>
        </w:rPr>
        <w:t>s with appropriate training.</w:t>
      </w:r>
      <w:r w:rsidR="00F018AA">
        <w:rPr>
          <w:rFonts w:eastAsia="Times New Roman" w:cs="Times New Roman"/>
          <w:noProof/>
          <w:szCs w:val="24"/>
        </w:rPr>
        <w:t xml:space="preserve"> </w:t>
      </w:r>
    </w:p>
    <w:p w14:paraId="2DBA03B1" w14:textId="77777777" w:rsidR="00E0256E" w:rsidRDefault="000B538A" w:rsidP="0006001F">
      <w:pPr>
        <w:shd w:val="clear" w:color="auto" w:fill="FFFFFF"/>
        <w:rPr>
          <w:rFonts w:eastAsia="Times New Roman" w:cs="Times New Roman"/>
          <w:noProof/>
          <w:szCs w:val="24"/>
        </w:rPr>
      </w:pPr>
      <w:r w:rsidRPr="000B538A">
        <w:rPr>
          <w:rFonts w:eastAsia="Times New Roman" w:cs="Times New Roman"/>
          <w:noProof/>
          <w:szCs w:val="24"/>
        </w:rPr>
        <w:t xml:space="preserve">Under Regulation </w:t>
      </w:r>
      <w:r w:rsidR="00F018AA">
        <w:rPr>
          <w:rFonts w:eastAsia="Times New Roman" w:cs="Times New Roman"/>
          <w:noProof/>
          <w:szCs w:val="24"/>
        </w:rPr>
        <w:t xml:space="preserve">(EU) </w:t>
      </w:r>
      <w:r w:rsidR="006831DF">
        <w:rPr>
          <w:rFonts w:eastAsia="Times New Roman" w:cs="Times New Roman"/>
          <w:noProof/>
          <w:szCs w:val="24"/>
        </w:rPr>
        <w:t>2018/1139</w:t>
      </w:r>
      <w:r w:rsidRPr="000B538A">
        <w:rPr>
          <w:rFonts w:eastAsia="Times New Roman" w:cs="Times New Roman"/>
          <w:noProof/>
          <w:szCs w:val="24"/>
        </w:rPr>
        <w:t xml:space="preserve">, organisations and competent authorities are responsible for maintaining </w:t>
      </w:r>
      <w:r w:rsidR="0037224D">
        <w:rPr>
          <w:rFonts w:eastAsia="Times New Roman" w:cs="Times New Roman"/>
          <w:noProof/>
          <w:szCs w:val="24"/>
        </w:rPr>
        <w:t>the level of training of their</w:t>
      </w:r>
      <w:r w:rsidRPr="000B538A">
        <w:rPr>
          <w:rFonts w:eastAsia="Times New Roman" w:cs="Times New Roman"/>
          <w:noProof/>
          <w:szCs w:val="24"/>
        </w:rPr>
        <w:t xml:space="preserve"> personnel </w:t>
      </w:r>
      <w:r w:rsidR="00E0256E" w:rsidRPr="00E0256E">
        <w:rPr>
          <w:rFonts w:eastAsia="Times New Roman" w:cs="Times New Roman"/>
          <w:noProof/>
          <w:szCs w:val="24"/>
        </w:rPr>
        <w:t xml:space="preserve">so that their level of competency ensures a proper </w:t>
      </w:r>
      <w:r w:rsidRPr="000B538A">
        <w:rPr>
          <w:rFonts w:eastAsia="Times New Roman" w:cs="Times New Roman"/>
          <w:noProof/>
          <w:szCs w:val="24"/>
        </w:rPr>
        <w:t>perfor</w:t>
      </w:r>
      <w:r w:rsidR="00E0256E">
        <w:rPr>
          <w:rFonts w:eastAsia="Times New Roman" w:cs="Times New Roman"/>
          <w:noProof/>
          <w:szCs w:val="24"/>
        </w:rPr>
        <w:t>mance of</w:t>
      </w:r>
      <w:r w:rsidRPr="000B538A">
        <w:rPr>
          <w:rFonts w:eastAsia="Times New Roman" w:cs="Times New Roman"/>
          <w:noProof/>
          <w:szCs w:val="24"/>
        </w:rPr>
        <w:t xml:space="preserve"> their tasks. Furthermore, the competent authorities are required to facilitate the </w:t>
      </w:r>
      <w:r w:rsidR="00E0256E">
        <w:rPr>
          <w:rFonts w:eastAsia="Times New Roman" w:cs="Times New Roman"/>
          <w:noProof/>
          <w:szCs w:val="24"/>
        </w:rPr>
        <w:t xml:space="preserve">discharge by </w:t>
      </w:r>
      <w:r w:rsidRPr="000B538A">
        <w:rPr>
          <w:rFonts w:eastAsia="Times New Roman" w:cs="Times New Roman"/>
          <w:noProof/>
          <w:szCs w:val="24"/>
        </w:rPr>
        <w:t xml:space="preserve">organisations </w:t>
      </w:r>
      <w:r w:rsidR="00E0256E">
        <w:rPr>
          <w:rFonts w:eastAsia="Times New Roman" w:cs="Times New Roman"/>
          <w:noProof/>
          <w:szCs w:val="24"/>
        </w:rPr>
        <w:t xml:space="preserve">of their </w:t>
      </w:r>
      <w:r w:rsidRPr="000B538A">
        <w:rPr>
          <w:rFonts w:eastAsia="Times New Roman" w:cs="Times New Roman"/>
          <w:noProof/>
          <w:szCs w:val="24"/>
        </w:rPr>
        <w:t xml:space="preserve">obligations to implement a management system with relevant education or training where feasible or appropriate. </w:t>
      </w:r>
    </w:p>
    <w:p w14:paraId="542C618F" w14:textId="77777777" w:rsidR="000B538A" w:rsidRPr="000B538A" w:rsidRDefault="000B538A" w:rsidP="0006001F">
      <w:pPr>
        <w:shd w:val="clear" w:color="auto" w:fill="FFFFFF"/>
        <w:rPr>
          <w:rFonts w:eastAsia="Times New Roman" w:cs="Times New Roman"/>
          <w:noProof/>
          <w:szCs w:val="24"/>
        </w:rPr>
      </w:pPr>
      <w:r w:rsidRPr="000B538A">
        <w:rPr>
          <w:rFonts w:eastAsia="Times New Roman" w:cs="Times New Roman"/>
          <w:noProof/>
          <w:szCs w:val="24"/>
        </w:rPr>
        <w:t>In addition, new training capabilities are being developed to ensure that all those involved have the relevant skills to ensure the successful implementation of the performance-based approach.</w:t>
      </w:r>
    </w:p>
    <w:p w14:paraId="45A796FF" w14:textId="77777777" w:rsidR="000B538A" w:rsidRPr="000B538A" w:rsidRDefault="000B538A" w:rsidP="0006001F">
      <w:pPr>
        <w:shd w:val="clear" w:color="auto" w:fill="FFFFFF"/>
        <w:rPr>
          <w:rFonts w:eastAsia="Times New Roman" w:cs="Times New Roman"/>
          <w:noProof/>
          <w:szCs w:val="24"/>
        </w:rPr>
      </w:pPr>
      <w:r w:rsidRPr="000B538A">
        <w:rPr>
          <w:rFonts w:eastAsia="Times New Roman" w:cs="Times New Roman"/>
          <w:noProof/>
          <w:szCs w:val="24"/>
        </w:rPr>
        <w:t>EASA strives to maintain high levels of knowledge and competency while remaining current on the latest developments in aviation within the areas of its activities</w:t>
      </w:r>
      <w:r w:rsidR="009C3770">
        <w:rPr>
          <w:rFonts w:eastAsia="Times New Roman" w:cs="Times New Roman"/>
          <w:noProof/>
          <w:szCs w:val="24"/>
        </w:rPr>
        <w:t>.</w:t>
      </w:r>
      <w:r w:rsidRPr="000B538A">
        <w:rPr>
          <w:rFonts w:eastAsia="Times New Roman" w:cs="Times New Roman"/>
          <w:noProof/>
          <w:szCs w:val="24"/>
        </w:rPr>
        <w:t xml:space="preserve"> </w:t>
      </w:r>
      <w:r w:rsidR="009C3770">
        <w:rPr>
          <w:rFonts w:eastAsia="Times New Roman" w:cs="Times New Roman"/>
          <w:noProof/>
          <w:szCs w:val="24"/>
        </w:rPr>
        <w:t>EASA</w:t>
      </w:r>
      <w:r w:rsidR="009C3770" w:rsidRPr="000B538A">
        <w:rPr>
          <w:rFonts w:eastAsia="Times New Roman" w:cs="Times New Roman"/>
          <w:noProof/>
          <w:szCs w:val="24"/>
        </w:rPr>
        <w:t xml:space="preserve"> </w:t>
      </w:r>
      <w:r w:rsidRPr="000B538A">
        <w:rPr>
          <w:rFonts w:eastAsia="Times New Roman" w:cs="Times New Roman"/>
          <w:noProof/>
          <w:szCs w:val="24"/>
        </w:rPr>
        <w:t>develop</w:t>
      </w:r>
      <w:r w:rsidR="009C3770">
        <w:rPr>
          <w:rFonts w:eastAsia="Times New Roman" w:cs="Times New Roman"/>
          <w:noProof/>
          <w:szCs w:val="24"/>
        </w:rPr>
        <w:t>s</w:t>
      </w:r>
      <w:r w:rsidRPr="000B538A">
        <w:rPr>
          <w:rFonts w:eastAsia="Times New Roman" w:cs="Times New Roman"/>
          <w:noProof/>
          <w:szCs w:val="24"/>
        </w:rPr>
        <w:t xml:space="preserve"> and provid</w:t>
      </w:r>
      <w:r w:rsidR="009C3770">
        <w:rPr>
          <w:rFonts w:eastAsia="Times New Roman" w:cs="Times New Roman"/>
          <w:noProof/>
          <w:szCs w:val="24"/>
        </w:rPr>
        <w:t>es</w:t>
      </w:r>
      <w:r w:rsidRPr="000B538A">
        <w:rPr>
          <w:rFonts w:eastAsia="Times New Roman" w:cs="Times New Roman"/>
          <w:noProof/>
          <w:szCs w:val="24"/>
        </w:rPr>
        <w:t xml:space="preserve"> training courses to its </w:t>
      </w:r>
      <w:r w:rsidR="009C3770" w:rsidRPr="000B538A">
        <w:rPr>
          <w:rFonts w:eastAsia="Times New Roman" w:cs="Times New Roman"/>
          <w:noProof/>
          <w:szCs w:val="24"/>
        </w:rPr>
        <w:t>employees and</w:t>
      </w:r>
      <w:r w:rsidR="009C3770">
        <w:rPr>
          <w:rFonts w:eastAsia="Times New Roman" w:cs="Times New Roman"/>
          <w:noProof/>
          <w:szCs w:val="24"/>
        </w:rPr>
        <w:t xml:space="preserve"> </w:t>
      </w:r>
      <w:r w:rsidR="0037224D">
        <w:rPr>
          <w:rFonts w:eastAsia="Times New Roman" w:cs="Times New Roman"/>
          <w:noProof/>
          <w:szCs w:val="24"/>
        </w:rPr>
        <w:t xml:space="preserve">Member </w:t>
      </w:r>
      <w:r w:rsidR="00A46B04">
        <w:rPr>
          <w:rFonts w:eastAsia="Times New Roman" w:cs="Times New Roman"/>
          <w:noProof/>
          <w:szCs w:val="24"/>
        </w:rPr>
        <w:t>State</w:t>
      </w:r>
      <w:r w:rsidR="0037224D">
        <w:rPr>
          <w:rFonts w:eastAsia="Times New Roman" w:cs="Times New Roman"/>
          <w:noProof/>
          <w:szCs w:val="24"/>
        </w:rPr>
        <w:t>s</w:t>
      </w:r>
      <w:r w:rsidR="009C3770">
        <w:rPr>
          <w:rFonts w:eastAsia="Times New Roman" w:cs="Times New Roman"/>
          <w:noProof/>
          <w:szCs w:val="24"/>
        </w:rPr>
        <w:t>’ competent authority staff</w:t>
      </w:r>
      <w:r w:rsidRPr="000B538A">
        <w:rPr>
          <w:rFonts w:eastAsia="Times New Roman" w:cs="Times New Roman"/>
          <w:noProof/>
          <w:szCs w:val="24"/>
        </w:rPr>
        <w:t>.</w:t>
      </w:r>
    </w:p>
    <w:p w14:paraId="49588BA1" w14:textId="77777777" w:rsidR="000B538A" w:rsidRPr="000B538A" w:rsidRDefault="000B538A" w:rsidP="0006001F">
      <w:pPr>
        <w:shd w:val="clear" w:color="auto" w:fill="FFFFFF"/>
        <w:rPr>
          <w:rFonts w:eastAsia="Times New Roman" w:cs="Times New Roman"/>
          <w:noProof/>
          <w:szCs w:val="24"/>
        </w:rPr>
      </w:pPr>
      <w:r w:rsidRPr="000B538A">
        <w:rPr>
          <w:rFonts w:eastAsia="Times New Roman" w:cs="Times New Roman"/>
          <w:noProof/>
          <w:szCs w:val="24"/>
        </w:rPr>
        <w:t>The Agency has also developed and maintains an e-examination system through its website, based on a question database. This is offered on a voluntary basis to students of training organisations or self-trained students through a system of established examination centres, providing the opportunity to receive a certificate.</w:t>
      </w:r>
    </w:p>
    <w:p w14:paraId="64F174E8" w14:textId="77777777" w:rsidR="000B538A" w:rsidRDefault="000B538A" w:rsidP="0006001F">
      <w:pPr>
        <w:shd w:val="clear" w:color="auto" w:fill="FFFFFF"/>
        <w:rPr>
          <w:rFonts w:eastAsia="Times New Roman" w:cs="Times New Roman"/>
          <w:noProof/>
          <w:szCs w:val="24"/>
        </w:rPr>
      </w:pPr>
      <w:r w:rsidRPr="000B538A">
        <w:rPr>
          <w:rFonts w:eastAsia="Times New Roman" w:cs="Times New Roman"/>
          <w:noProof/>
          <w:szCs w:val="24"/>
        </w:rPr>
        <w:t xml:space="preserve">Furthermore, EASA also provides assistance to partner authorities in complying with their international obligations (e.g. ICAO, EU </w:t>
      </w:r>
      <w:r w:rsidR="004404FC">
        <w:rPr>
          <w:rFonts w:eastAsia="Times New Roman" w:cs="Times New Roman"/>
          <w:noProof/>
          <w:szCs w:val="24"/>
        </w:rPr>
        <w:t>Regulations</w:t>
      </w:r>
      <w:r w:rsidRPr="000B538A">
        <w:rPr>
          <w:rFonts w:eastAsia="Times New Roman" w:cs="Times New Roman"/>
          <w:noProof/>
          <w:szCs w:val="24"/>
        </w:rPr>
        <w:t xml:space="preserve">) and implements EU Civil Aviation Cooperation projects in several regions of the world, including </w:t>
      </w:r>
      <w:r w:rsidR="004404FC">
        <w:rPr>
          <w:rFonts w:eastAsia="Times New Roman" w:cs="Times New Roman"/>
          <w:noProof/>
          <w:szCs w:val="24"/>
        </w:rPr>
        <w:t xml:space="preserve">EU </w:t>
      </w:r>
      <w:r w:rsidRPr="000B538A">
        <w:rPr>
          <w:rFonts w:eastAsia="Times New Roman" w:cs="Times New Roman"/>
          <w:noProof/>
          <w:szCs w:val="24"/>
        </w:rPr>
        <w:t>neighbouring countries, the Asia-Pacific Region</w:t>
      </w:r>
      <w:r w:rsidR="00261D97">
        <w:rPr>
          <w:rFonts w:eastAsia="Times New Roman" w:cs="Times New Roman"/>
          <w:noProof/>
          <w:szCs w:val="24"/>
        </w:rPr>
        <w:t>,</w:t>
      </w:r>
      <w:r w:rsidRPr="000B538A">
        <w:rPr>
          <w:rFonts w:eastAsia="Times New Roman" w:cs="Times New Roman"/>
          <w:noProof/>
          <w:szCs w:val="24"/>
        </w:rPr>
        <w:t xml:space="preserve"> Africa</w:t>
      </w:r>
      <w:r w:rsidR="00261D97" w:rsidRPr="00261D97">
        <w:rPr>
          <w:rFonts w:eastAsia="Times New Roman" w:cs="Times New Roman"/>
          <w:noProof/>
          <w:szCs w:val="24"/>
        </w:rPr>
        <w:t xml:space="preserve"> </w:t>
      </w:r>
      <w:r w:rsidR="00261D97" w:rsidRPr="000B538A">
        <w:rPr>
          <w:rFonts w:eastAsia="Times New Roman" w:cs="Times New Roman"/>
          <w:noProof/>
          <w:szCs w:val="24"/>
        </w:rPr>
        <w:t>and</w:t>
      </w:r>
      <w:r w:rsidR="00261D97">
        <w:rPr>
          <w:rFonts w:eastAsia="Times New Roman" w:cs="Times New Roman"/>
          <w:noProof/>
          <w:szCs w:val="24"/>
        </w:rPr>
        <w:t xml:space="preserve"> Latin America</w:t>
      </w:r>
      <w:r w:rsidRPr="000B538A">
        <w:rPr>
          <w:rFonts w:eastAsia="Times New Roman" w:cs="Times New Roman"/>
          <w:noProof/>
          <w:szCs w:val="24"/>
        </w:rPr>
        <w:t>.</w:t>
      </w:r>
    </w:p>
    <w:p w14:paraId="1E1EC4D2" w14:textId="77777777" w:rsidR="00C62EE5" w:rsidRDefault="00C62EE5" w:rsidP="0006001F">
      <w:pPr>
        <w:shd w:val="clear" w:color="auto" w:fill="FFFFFF"/>
        <w:rPr>
          <w:rFonts w:eastAsia="Times New Roman" w:cs="Times New Roman"/>
          <w:noProof/>
          <w:szCs w:val="24"/>
        </w:rPr>
      </w:pPr>
    </w:p>
    <w:p w14:paraId="1D716C48" w14:textId="77777777" w:rsidR="00C62EE5" w:rsidRDefault="00C62EE5">
      <w:pPr>
        <w:spacing w:before="0" w:after="200" w:line="276" w:lineRule="auto"/>
        <w:jc w:val="left"/>
        <w:rPr>
          <w:rFonts w:eastAsia="Times New Roman" w:cs="Times New Roman"/>
          <w:noProof/>
          <w:szCs w:val="24"/>
        </w:rPr>
      </w:pPr>
      <w:r>
        <w:rPr>
          <w:rFonts w:eastAsia="Times New Roman" w:cs="Times New Roman"/>
          <w:noProof/>
          <w:szCs w:val="24"/>
        </w:rPr>
        <w:br w:type="page"/>
      </w:r>
    </w:p>
    <w:p w14:paraId="2353BE48" w14:textId="77777777" w:rsidR="00022413" w:rsidRPr="00C250E6" w:rsidRDefault="00022413" w:rsidP="00022413">
      <w:pPr>
        <w:pStyle w:val="Heading1"/>
        <w:numPr>
          <w:ilvl w:val="0"/>
          <w:numId w:val="0"/>
        </w:numPr>
        <w:rPr>
          <w:noProof/>
        </w:rPr>
      </w:pPr>
      <w:r w:rsidRPr="003F7B3E">
        <w:rPr>
          <w:noProof/>
        </w:rPr>
        <w:tab/>
      </w:r>
      <w:bookmarkStart w:id="174" w:name="_Toc94875682"/>
      <w:bookmarkStart w:id="175" w:name="_Toc102569235"/>
      <w:r w:rsidRPr="00C250E6">
        <w:rPr>
          <w:noProof/>
        </w:rPr>
        <w:t xml:space="preserve">List of </w:t>
      </w:r>
      <w:r>
        <w:rPr>
          <w:noProof/>
        </w:rPr>
        <w:t>Acronyms</w:t>
      </w:r>
      <w:bookmarkEnd w:id="174"/>
      <w:bookmarkEnd w:id="175"/>
    </w:p>
    <w:tbl>
      <w:tblPr>
        <w:tblStyle w:val="TableGrid"/>
        <w:tblW w:w="0" w:type="auto"/>
        <w:jc w:val="center"/>
        <w:tblLook w:val="04A0" w:firstRow="1" w:lastRow="0" w:firstColumn="1" w:lastColumn="0" w:noHBand="0" w:noVBand="1"/>
      </w:tblPr>
      <w:tblGrid>
        <w:gridCol w:w="1690"/>
        <w:gridCol w:w="6600"/>
      </w:tblGrid>
      <w:tr w:rsidR="003D4EAE" w:rsidRPr="00DC1BB0" w14:paraId="54D7D856" w14:textId="77777777" w:rsidTr="003D4EAE">
        <w:trPr>
          <w:jc w:val="center"/>
        </w:trPr>
        <w:tc>
          <w:tcPr>
            <w:tcW w:w="1690" w:type="dxa"/>
            <w:shd w:val="clear" w:color="auto" w:fill="auto"/>
          </w:tcPr>
          <w:p w14:paraId="5EB78581" w14:textId="77777777" w:rsidR="003D4EAE" w:rsidRDefault="003D4EAE" w:rsidP="001906BD">
            <w:pPr>
              <w:rPr>
                <w:noProof/>
              </w:rPr>
            </w:pPr>
            <w:r w:rsidRPr="003F7B3E">
              <w:rPr>
                <w:noProof/>
              </w:rPr>
              <w:t>ABs</w:t>
            </w:r>
          </w:p>
        </w:tc>
        <w:tc>
          <w:tcPr>
            <w:tcW w:w="6600" w:type="dxa"/>
            <w:shd w:val="clear" w:color="auto" w:fill="auto"/>
          </w:tcPr>
          <w:p w14:paraId="41898C4A" w14:textId="77777777" w:rsidR="003D4EAE" w:rsidRDefault="003D4EAE" w:rsidP="001906BD">
            <w:pPr>
              <w:rPr>
                <w:noProof/>
              </w:rPr>
            </w:pPr>
            <w:r>
              <w:rPr>
                <w:noProof/>
              </w:rPr>
              <w:t>advisory bodies</w:t>
            </w:r>
          </w:p>
        </w:tc>
      </w:tr>
      <w:tr w:rsidR="003D4EAE" w:rsidRPr="00DC1BB0" w14:paraId="7E0452A4" w14:textId="77777777" w:rsidTr="003D4EAE">
        <w:trPr>
          <w:jc w:val="center"/>
        </w:trPr>
        <w:tc>
          <w:tcPr>
            <w:tcW w:w="1690" w:type="dxa"/>
            <w:shd w:val="clear" w:color="auto" w:fill="auto"/>
          </w:tcPr>
          <w:p w14:paraId="779332D5" w14:textId="77777777" w:rsidR="003D4EAE" w:rsidRPr="003F7B3E" w:rsidRDefault="003D4EAE" w:rsidP="001906BD">
            <w:pPr>
              <w:rPr>
                <w:noProof/>
              </w:rPr>
            </w:pPr>
            <w:r>
              <w:rPr>
                <w:noProof/>
              </w:rPr>
              <w:t>ACAS</w:t>
            </w:r>
          </w:p>
        </w:tc>
        <w:tc>
          <w:tcPr>
            <w:tcW w:w="6600" w:type="dxa"/>
            <w:shd w:val="clear" w:color="auto" w:fill="auto"/>
          </w:tcPr>
          <w:p w14:paraId="6511FC2E" w14:textId="77777777" w:rsidR="003D4EAE" w:rsidRDefault="003D4EAE" w:rsidP="001906BD">
            <w:pPr>
              <w:rPr>
                <w:noProof/>
              </w:rPr>
            </w:pPr>
            <w:r>
              <w:rPr>
                <w:noProof/>
              </w:rPr>
              <w:t>a</w:t>
            </w:r>
            <w:r w:rsidRPr="003D4EAE">
              <w:rPr>
                <w:noProof/>
              </w:rPr>
              <w:t xml:space="preserve">irborne </w:t>
            </w:r>
            <w:r>
              <w:rPr>
                <w:noProof/>
              </w:rPr>
              <w:t>c</w:t>
            </w:r>
            <w:r w:rsidRPr="003D4EAE">
              <w:rPr>
                <w:noProof/>
              </w:rPr>
              <w:t xml:space="preserve">ollision </w:t>
            </w:r>
            <w:r>
              <w:rPr>
                <w:noProof/>
              </w:rPr>
              <w:t>a</w:t>
            </w:r>
            <w:r w:rsidRPr="003D4EAE">
              <w:rPr>
                <w:noProof/>
              </w:rPr>
              <w:t xml:space="preserve">voidance </w:t>
            </w:r>
            <w:r>
              <w:rPr>
                <w:noProof/>
              </w:rPr>
              <w:t>s</w:t>
            </w:r>
            <w:r w:rsidRPr="003D4EAE">
              <w:rPr>
                <w:noProof/>
              </w:rPr>
              <w:t>ystem</w:t>
            </w:r>
          </w:p>
        </w:tc>
      </w:tr>
      <w:tr w:rsidR="003D4EAE" w:rsidRPr="00DC1BB0" w14:paraId="18EF6DFF" w14:textId="77777777" w:rsidTr="003D4EAE">
        <w:trPr>
          <w:jc w:val="center"/>
        </w:trPr>
        <w:tc>
          <w:tcPr>
            <w:tcW w:w="1690" w:type="dxa"/>
            <w:shd w:val="clear" w:color="auto" w:fill="auto"/>
          </w:tcPr>
          <w:p w14:paraId="06E346EE" w14:textId="77777777" w:rsidR="003D4EAE" w:rsidRPr="005859F1" w:rsidRDefault="003D4EAE" w:rsidP="001906BD">
            <w:pPr>
              <w:rPr>
                <w:noProof/>
                <w:highlight w:val="green"/>
              </w:rPr>
            </w:pPr>
            <w:r w:rsidRPr="002C3BC1">
              <w:rPr>
                <w:noProof/>
              </w:rPr>
              <w:t>ALoSP</w:t>
            </w:r>
          </w:p>
        </w:tc>
        <w:tc>
          <w:tcPr>
            <w:tcW w:w="6600" w:type="dxa"/>
            <w:shd w:val="clear" w:color="auto" w:fill="auto"/>
          </w:tcPr>
          <w:p w14:paraId="5824DAEC" w14:textId="77777777" w:rsidR="003D4EAE" w:rsidRDefault="003D4EAE" w:rsidP="001906BD">
            <w:pPr>
              <w:rPr>
                <w:noProof/>
              </w:rPr>
            </w:pPr>
            <w:r>
              <w:rPr>
                <w:noProof/>
              </w:rPr>
              <w:t>Acceptable Level of Safety Performance</w:t>
            </w:r>
          </w:p>
        </w:tc>
      </w:tr>
      <w:tr w:rsidR="003D4EAE" w:rsidRPr="00DC1BB0" w14:paraId="08149F70" w14:textId="77777777" w:rsidTr="003D4EAE">
        <w:trPr>
          <w:jc w:val="center"/>
        </w:trPr>
        <w:tc>
          <w:tcPr>
            <w:tcW w:w="1690" w:type="dxa"/>
            <w:shd w:val="clear" w:color="auto" w:fill="auto"/>
          </w:tcPr>
          <w:p w14:paraId="345B9672" w14:textId="77777777" w:rsidR="003D4EAE" w:rsidRPr="005859F1" w:rsidRDefault="003D4EAE" w:rsidP="001906BD">
            <w:pPr>
              <w:rPr>
                <w:noProof/>
                <w:highlight w:val="green"/>
              </w:rPr>
            </w:pPr>
            <w:r w:rsidRPr="002C3BC1">
              <w:rPr>
                <w:noProof/>
              </w:rPr>
              <w:t>AMC</w:t>
            </w:r>
          </w:p>
        </w:tc>
        <w:tc>
          <w:tcPr>
            <w:tcW w:w="6600" w:type="dxa"/>
            <w:shd w:val="clear" w:color="auto" w:fill="auto"/>
          </w:tcPr>
          <w:p w14:paraId="38A75FD7" w14:textId="77777777" w:rsidR="003D4EAE" w:rsidRDefault="003D4EAE" w:rsidP="001906BD">
            <w:pPr>
              <w:rPr>
                <w:noProof/>
              </w:rPr>
            </w:pPr>
            <w:r>
              <w:rPr>
                <w:noProof/>
              </w:rPr>
              <w:t>acceptable means of compliance</w:t>
            </w:r>
          </w:p>
        </w:tc>
      </w:tr>
      <w:tr w:rsidR="003D4EAE" w:rsidRPr="00DC1BB0" w14:paraId="7C2310B6" w14:textId="77777777" w:rsidTr="003D4EAE">
        <w:trPr>
          <w:jc w:val="center"/>
        </w:trPr>
        <w:tc>
          <w:tcPr>
            <w:tcW w:w="1690" w:type="dxa"/>
            <w:shd w:val="clear" w:color="auto" w:fill="auto"/>
          </w:tcPr>
          <w:p w14:paraId="1A35477C" w14:textId="77777777" w:rsidR="003D4EAE" w:rsidRDefault="003D4EAE" w:rsidP="001906BD">
            <w:pPr>
              <w:rPr>
                <w:noProof/>
              </w:rPr>
            </w:pPr>
            <w:r w:rsidRPr="002C3BC1">
              <w:rPr>
                <w:noProof/>
              </w:rPr>
              <w:t>AMS</w:t>
            </w:r>
          </w:p>
        </w:tc>
        <w:tc>
          <w:tcPr>
            <w:tcW w:w="6600" w:type="dxa"/>
            <w:shd w:val="clear" w:color="auto" w:fill="auto"/>
          </w:tcPr>
          <w:p w14:paraId="09041194" w14:textId="77777777" w:rsidR="003D4EAE" w:rsidRDefault="003D4EAE" w:rsidP="001906BD">
            <w:pPr>
              <w:rPr>
                <w:noProof/>
              </w:rPr>
            </w:pPr>
            <w:r>
              <w:rPr>
                <w:noProof/>
              </w:rPr>
              <w:t>apron management services</w:t>
            </w:r>
          </w:p>
        </w:tc>
      </w:tr>
      <w:tr w:rsidR="003D4EAE" w:rsidRPr="00DC1BB0" w14:paraId="37F02960" w14:textId="77777777" w:rsidTr="003D4EAE">
        <w:trPr>
          <w:jc w:val="center"/>
        </w:trPr>
        <w:tc>
          <w:tcPr>
            <w:tcW w:w="1690" w:type="dxa"/>
            <w:shd w:val="clear" w:color="auto" w:fill="auto"/>
          </w:tcPr>
          <w:p w14:paraId="68450DED" w14:textId="77777777" w:rsidR="003D4EAE" w:rsidRDefault="003D4EAE" w:rsidP="001906BD">
            <w:pPr>
              <w:rPr>
                <w:noProof/>
              </w:rPr>
            </w:pPr>
            <w:r w:rsidRPr="002C3BC1">
              <w:rPr>
                <w:noProof/>
              </w:rPr>
              <w:t>ANS</w:t>
            </w:r>
          </w:p>
        </w:tc>
        <w:tc>
          <w:tcPr>
            <w:tcW w:w="6600" w:type="dxa"/>
            <w:shd w:val="clear" w:color="auto" w:fill="auto"/>
          </w:tcPr>
          <w:p w14:paraId="3C342805" w14:textId="77777777" w:rsidR="003D4EAE" w:rsidRDefault="003D4EAE" w:rsidP="001906BD">
            <w:pPr>
              <w:rPr>
                <w:noProof/>
              </w:rPr>
            </w:pPr>
            <w:r>
              <w:rPr>
                <w:noProof/>
              </w:rPr>
              <w:t>air navigation services</w:t>
            </w:r>
          </w:p>
        </w:tc>
      </w:tr>
      <w:tr w:rsidR="003D4EAE" w:rsidRPr="00DC1BB0" w14:paraId="795568C3" w14:textId="77777777" w:rsidTr="003D4EAE">
        <w:trPr>
          <w:jc w:val="center"/>
        </w:trPr>
        <w:tc>
          <w:tcPr>
            <w:tcW w:w="1690" w:type="dxa"/>
            <w:shd w:val="clear" w:color="auto" w:fill="auto"/>
          </w:tcPr>
          <w:p w14:paraId="13700E63" w14:textId="77777777" w:rsidR="003D4EAE" w:rsidRPr="005859F1" w:rsidRDefault="003D4EAE" w:rsidP="001906BD">
            <w:pPr>
              <w:rPr>
                <w:noProof/>
                <w:highlight w:val="green"/>
              </w:rPr>
            </w:pPr>
            <w:r w:rsidRPr="002C3BC1">
              <w:rPr>
                <w:noProof/>
              </w:rPr>
              <w:t>AOC</w:t>
            </w:r>
          </w:p>
        </w:tc>
        <w:tc>
          <w:tcPr>
            <w:tcW w:w="6600" w:type="dxa"/>
            <w:shd w:val="clear" w:color="auto" w:fill="auto"/>
          </w:tcPr>
          <w:p w14:paraId="4CE49C85" w14:textId="77777777" w:rsidR="003D4EAE" w:rsidRDefault="003D4EAE" w:rsidP="001906BD">
            <w:pPr>
              <w:rPr>
                <w:noProof/>
              </w:rPr>
            </w:pPr>
            <w:r>
              <w:rPr>
                <w:noProof/>
              </w:rPr>
              <w:t>a</w:t>
            </w:r>
            <w:r w:rsidRPr="0039334A">
              <w:rPr>
                <w:noProof/>
              </w:rPr>
              <w:t xml:space="preserve">ir </w:t>
            </w:r>
            <w:r>
              <w:rPr>
                <w:noProof/>
              </w:rPr>
              <w:t>o</w:t>
            </w:r>
            <w:r w:rsidRPr="0039334A">
              <w:rPr>
                <w:noProof/>
              </w:rPr>
              <w:t xml:space="preserve">perator </w:t>
            </w:r>
            <w:r>
              <w:rPr>
                <w:noProof/>
              </w:rPr>
              <w:t>c</w:t>
            </w:r>
            <w:r w:rsidRPr="0039334A">
              <w:rPr>
                <w:noProof/>
              </w:rPr>
              <w:t>ertificate</w:t>
            </w:r>
          </w:p>
        </w:tc>
      </w:tr>
      <w:tr w:rsidR="003D4EAE" w:rsidRPr="00DC1BB0" w14:paraId="1F45E14E" w14:textId="77777777" w:rsidTr="003D4EAE">
        <w:trPr>
          <w:jc w:val="center"/>
        </w:trPr>
        <w:tc>
          <w:tcPr>
            <w:tcW w:w="1690" w:type="dxa"/>
            <w:shd w:val="clear" w:color="auto" w:fill="auto"/>
          </w:tcPr>
          <w:p w14:paraId="5CA107DC" w14:textId="77777777" w:rsidR="003D4EAE" w:rsidRDefault="003D4EAE" w:rsidP="001906BD">
            <w:pPr>
              <w:rPr>
                <w:noProof/>
                <w:highlight w:val="green"/>
              </w:rPr>
            </w:pPr>
            <w:r w:rsidRPr="002C3BC1">
              <w:rPr>
                <w:noProof/>
              </w:rPr>
              <w:t>ASR</w:t>
            </w:r>
          </w:p>
        </w:tc>
        <w:tc>
          <w:tcPr>
            <w:tcW w:w="6600" w:type="dxa"/>
            <w:shd w:val="clear" w:color="auto" w:fill="auto"/>
          </w:tcPr>
          <w:p w14:paraId="28B7690D" w14:textId="77777777" w:rsidR="003D4EAE" w:rsidRPr="009A6836" w:rsidRDefault="003D4EAE" w:rsidP="001906BD">
            <w:pPr>
              <w:rPr>
                <w:noProof/>
                <w:highlight w:val="yellow"/>
              </w:rPr>
            </w:pPr>
            <w:r w:rsidRPr="009A6836">
              <w:rPr>
                <w:noProof/>
              </w:rPr>
              <w:t>Annual Safety Review</w:t>
            </w:r>
          </w:p>
        </w:tc>
      </w:tr>
      <w:tr w:rsidR="003D4EAE" w:rsidRPr="00DC1BB0" w14:paraId="2543776A" w14:textId="77777777" w:rsidTr="003D4EAE">
        <w:trPr>
          <w:jc w:val="center"/>
        </w:trPr>
        <w:tc>
          <w:tcPr>
            <w:tcW w:w="1690" w:type="dxa"/>
            <w:shd w:val="clear" w:color="auto" w:fill="auto"/>
          </w:tcPr>
          <w:p w14:paraId="56E12F0C" w14:textId="77777777" w:rsidR="003D4EAE" w:rsidRDefault="003D4EAE" w:rsidP="001906BD">
            <w:pPr>
              <w:rPr>
                <w:noProof/>
              </w:rPr>
            </w:pPr>
            <w:r w:rsidRPr="002C3BC1">
              <w:rPr>
                <w:noProof/>
              </w:rPr>
              <w:t>ATM</w:t>
            </w:r>
          </w:p>
        </w:tc>
        <w:tc>
          <w:tcPr>
            <w:tcW w:w="6600" w:type="dxa"/>
            <w:shd w:val="clear" w:color="auto" w:fill="auto"/>
          </w:tcPr>
          <w:p w14:paraId="17D6C4AA" w14:textId="77777777" w:rsidR="003D4EAE" w:rsidRDefault="003D4EAE" w:rsidP="001906BD">
            <w:pPr>
              <w:rPr>
                <w:noProof/>
              </w:rPr>
            </w:pPr>
            <w:r>
              <w:rPr>
                <w:noProof/>
              </w:rPr>
              <w:t>air traffic management</w:t>
            </w:r>
          </w:p>
        </w:tc>
      </w:tr>
      <w:tr w:rsidR="003D4EAE" w:rsidRPr="00DC1BB0" w14:paraId="7925BDCA" w14:textId="77777777" w:rsidTr="003D4EAE">
        <w:trPr>
          <w:jc w:val="center"/>
        </w:trPr>
        <w:tc>
          <w:tcPr>
            <w:tcW w:w="1690" w:type="dxa"/>
            <w:shd w:val="clear" w:color="auto" w:fill="auto"/>
          </w:tcPr>
          <w:p w14:paraId="2848E631" w14:textId="77777777" w:rsidR="003D4EAE" w:rsidRPr="005859F1" w:rsidRDefault="003D4EAE" w:rsidP="001906BD">
            <w:pPr>
              <w:rPr>
                <w:noProof/>
                <w:highlight w:val="green"/>
              </w:rPr>
            </w:pPr>
            <w:r w:rsidRPr="002C3BC1">
              <w:rPr>
                <w:noProof/>
              </w:rPr>
              <w:t>BIS</w:t>
            </w:r>
          </w:p>
        </w:tc>
        <w:tc>
          <w:tcPr>
            <w:tcW w:w="6600" w:type="dxa"/>
            <w:shd w:val="clear" w:color="auto" w:fill="auto"/>
          </w:tcPr>
          <w:p w14:paraId="0FB3A09F" w14:textId="77777777" w:rsidR="003D4EAE" w:rsidRDefault="003D4EAE" w:rsidP="001906BD">
            <w:pPr>
              <w:rPr>
                <w:noProof/>
              </w:rPr>
            </w:pPr>
            <w:r>
              <w:rPr>
                <w:noProof/>
              </w:rPr>
              <w:t>best intervention strategy</w:t>
            </w:r>
          </w:p>
        </w:tc>
      </w:tr>
      <w:tr w:rsidR="003D4EAE" w:rsidRPr="00DC1BB0" w14:paraId="329554B2" w14:textId="77777777" w:rsidTr="003D4EAE">
        <w:trPr>
          <w:jc w:val="center"/>
        </w:trPr>
        <w:tc>
          <w:tcPr>
            <w:tcW w:w="1690" w:type="dxa"/>
            <w:shd w:val="clear" w:color="auto" w:fill="auto"/>
          </w:tcPr>
          <w:p w14:paraId="37EED9E8" w14:textId="77777777" w:rsidR="003D4EAE" w:rsidRPr="005859F1" w:rsidRDefault="003D4EAE" w:rsidP="001906BD">
            <w:pPr>
              <w:rPr>
                <w:noProof/>
                <w:highlight w:val="green"/>
              </w:rPr>
            </w:pPr>
            <w:r w:rsidRPr="002C3BC1">
              <w:rPr>
                <w:noProof/>
              </w:rPr>
              <w:t>BR</w:t>
            </w:r>
          </w:p>
        </w:tc>
        <w:tc>
          <w:tcPr>
            <w:tcW w:w="6600" w:type="dxa"/>
            <w:shd w:val="clear" w:color="auto" w:fill="auto"/>
          </w:tcPr>
          <w:p w14:paraId="612A65EE" w14:textId="77777777" w:rsidR="003D4EAE" w:rsidRPr="0039334A" w:rsidRDefault="003D4EAE" w:rsidP="001906BD">
            <w:pPr>
              <w:rPr>
                <w:noProof/>
                <w:sz w:val="22"/>
                <w:szCs w:val="22"/>
              </w:rPr>
            </w:pPr>
            <w:r w:rsidRPr="0039334A">
              <w:rPr>
                <w:noProof/>
              </w:rPr>
              <w:t>Basic Regulation</w:t>
            </w:r>
          </w:p>
        </w:tc>
      </w:tr>
      <w:tr w:rsidR="003D4EAE" w:rsidRPr="004D57C8" w14:paraId="5519B310" w14:textId="77777777" w:rsidTr="003D4EAE">
        <w:trPr>
          <w:jc w:val="center"/>
        </w:trPr>
        <w:tc>
          <w:tcPr>
            <w:tcW w:w="1690" w:type="dxa"/>
            <w:shd w:val="clear" w:color="auto" w:fill="auto"/>
          </w:tcPr>
          <w:p w14:paraId="25DF0675" w14:textId="77777777" w:rsidR="003D4EAE" w:rsidRDefault="003D4EAE" w:rsidP="001906BD">
            <w:pPr>
              <w:rPr>
                <w:noProof/>
              </w:rPr>
            </w:pPr>
            <w:r w:rsidRPr="002C3BC1">
              <w:rPr>
                <w:noProof/>
              </w:rPr>
              <w:t>CAEP</w:t>
            </w:r>
          </w:p>
        </w:tc>
        <w:tc>
          <w:tcPr>
            <w:tcW w:w="6600" w:type="dxa"/>
            <w:shd w:val="clear" w:color="auto" w:fill="auto"/>
          </w:tcPr>
          <w:p w14:paraId="78078F84" w14:textId="77777777" w:rsidR="003D4EAE" w:rsidRDefault="003D4EAE" w:rsidP="001906BD">
            <w:pPr>
              <w:rPr>
                <w:noProof/>
              </w:rPr>
            </w:pPr>
            <w:r>
              <w:rPr>
                <w:noProof/>
              </w:rPr>
              <w:t>Committee on Aviation Environment Protection (ICAO)</w:t>
            </w:r>
          </w:p>
        </w:tc>
      </w:tr>
      <w:tr w:rsidR="003D4EAE" w:rsidRPr="004D57C8" w14:paraId="5AD40160" w14:textId="77777777" w:rsidTr="003D4EAE">
        <w:trPr>
          <w:jc w:val="center"/>
        </w:trPr>
        <w:tc>
          <w:tcPr>
            <w:tcW w:w="1690" w:type="dxa"/>
            <w:shd w:val="clear" w:color="auto" w:fill="auto"/>
          </w:tcPr>
          <w:p w14:paraId="6514A6B4" w14:textId="77777777" w:rsidR="003D4EAE" w:rsidRPr="005859F1" w:rsidRDefault="003D4EAE" w:rsidP="001906BD">
            <w:pPr>
              <w:rPr>
                <w:noProof/>
                <w:highlight w:val="red"/>
              </w:rPr>
            </w:pPr>
            <w:r w:rsidRPr="002C3BC1">
              <w:rPr>
                <w:noProof/>
              </w:rPr>
              <w:t>CAMO</w:t>
            </w:r>
          </w:p>
        </w:tc>
        <w:tc>
          <w:tcPr>
            <w:tcW w:w="6600" w:type="dxa"/>
            <w:shd w:val="clear" w:color="auto" w:fill="auto"/>
          </w:tcPr>
          <w:p w14:paraId="644C3682" w14:textId="77777777" w:rsidR="003D4EAE" w:rsidRDefault="003D4EAE" w:rsidP="001906BD">
            <w:pPr>
              <w:rPr>
                <w:noProof/>
              </w:rPr>
            </w:pPr>
            <w:r>
              <w:rPr>
                <w:noProof/>
              </w:rPr>
              <w:t xml:space="preserve">continuing airworthiness management organisation — Annex Vc (Part-CAMO) </w:t>
            </w:r>
            <w:r w:rsidRPr="00E176A0">
              <w:rPr>
                <w:rFonts w:cstheme="minorHAnsi"/>
                <w:noProof/>
              </w:rPr>
              <w:t xml:space="preserve">to Commission Regulation (EU) </w:t>
            </w:r>
            <w:r>
              <w:rPr>
                <w:rFonts w:cstheme="minorHAnsi"/>
                <w:noProof/>
              </w:rPr>
              <w:t>No 1321/2014</w:t>
            </w:r>
            <w:r>
              <w:rPr>
                <w:noProof/>
              </w:rPr>
              <w:t xml:space="preserve"> </w:t>
            </w:r>
          </w:p>
        </w:tc>
      </w:tr>
      <w:tr w:rsidR="003D4EAE" w:rsidRPr="004D57C8" w14:paraId="4B2919A9" w14:textId="77777777" w:rsidTr="003D4EAE">
        <w:trPr>
          <w:jc w:val="center"/>
        </w:trPr>
        <w:tc>
          <w:tcPr>
            <w:tcW w:w="1690" w:type="dxa"/>
            <w:shd w:val="clear" w:color="auto" w:fill="auto"/>
          </w:tcPr>
          <w:p w14:paraId="1245AC26" w14:textId="77777777" w:rsidR="003D4EAE" w:rsidRDefault="003D4EAE" w:rsidP="001906BD">
            <w:pPr>
              <w:rPr>
                <w:noProof/>
              </w:rPr>
            </w:pPr>
            <w:r>
              <w:rPr>
                <w:noProof/>
              </w:rPr>
              <w:t>CAO</w:t>
            </w:r>
          </w:p>
        </w:tc>
        <w:tc>
          <w:tcPr>
            <w:tcW w:w="6600" w:type="dxa"/>
            <w:shd w:val="clear" w:color="auto" w:fill="auto"/>
          </w:tcPr>
          <w:p w14:paraId="15E9F357" w14:textId="77777777" w:rsidR="003D4EAE" w:rsidRDefault="003D4EAE" w:rsidP="001906BD">
            <w:pPr>
              <w:rPr>
                <w:noProof/>
              </w:rPr>
            </w:pPr>
            <w:r>
              <w:rPr>
                <w:rFonts w:cstheme="minorHAnsi"/>
                <w:noProof/>
              </w:rPr>
              <w:t>c</w:t>
            </w:r>
            <w:r w:rsidRPr="00E176A0">
              <w:rPr>
                <w:rFonts w:cstheme="minorHAnsi"/>
                <w:noProof/>
              </w:rPr>
              <w:t xml:space="preserve">ombined </w:t>
            </w:r>
            <w:r>
              <w:rPr>
                <w:rFonts w:cstheme="minorHAnsi"/>
                <w:noProof/>
              </w:rPr>
              <w:t>a</w:t>
            </w:r>
            <w:r w:rsidRPr="00E176A0">
              <w:rPr>
                <w:rFonts w:cstheme="minorHAnsi"/>
                <w:noProof/>
              </w:rPr>
              <w:t xml:space="preserve">irworthiness </w:t>
            </w:r>
            <w:r>
              <w:rPr>
                <w:rFonts w:cstheme="minorHAnsi"/>
                <w:noProof/>
              </w:rPr>
              <w:t>o</w:t>
            </w:r>
            <w:r w:rsidRPr="00E176A0">
              <w:rPr>
                <w:rFonts w:cstheme="minorHAnsi"/>
                <w:noProof/>
              </w:rPr>
              <w:t xml:space="preserve">rganisation </w:t>
            </w:r>
            <w:r>
              <w:rPr>
                <w:rFonts w:cstheme="minorHAnsi"/>
                <w:noProof/>
              </w:rPr>
              <w:t>—</w:t>
            </w:r>
            <w:r w:rsidRPr="00E176A0">
              <w:rPr>
                <w:rFonts w:cstheme="minorHAnsi"/>
                <w:noProof/>
              </w:rPr>
              <w:t xml:space="preserve"> Annex V</w:t>
            </w:r>
            <w:r>
              <w:rPr>
                <w:rFonts w:cstheme="minorHAnsi"/>
                <w:noProof/>
              </w:rPr>
              <w:t xml:space="preserve">d (Part-CAO) </w:t>
            </w:r>
            <w:r w:rsidRPr="00E176A0">
              <w:rPr>
                <w:rFonts w:cstheme="minorHAnsi"/>
                <w:noProof/>
              </w:rPr>
              <w:t xml:space="preserve">to Commission Regulation (EU) </w:t>
            </w:r>
            <w:r>
              <w:rPr>
                <w:rFonts w:cstheme="minorHAnsi"/>
                <w:noProof/>
              </w:rPr>
              <w:t>No 1321/2014</w:t>
            </w:r>
            <w:r>
              <w:rPr>
                <w:noProof/>
              </w:rPr>
              <w:t xml:space="preserve"> </w:t>
            </w:r>
          </w:p>
        </w:tc>
      </w:tr>
      <w:tr w:rsidR="003D4EAE" w:rsidRPr="00DC1BB0" w14:paraId="6853F268" w14:textId="77777777" w:rsidTr="003D4EAE">
        <w:trPr>
          <w:jc w:val="center"/>
        </w:trPr>
        <w:tc>
          <w:tcPr>
            <w:tcW w:w="1690" w:type="dxa"/>
            <w:shd w:val="clear" w:color="auto" w:fill="auto"/>
          </w:tcPr>
          <w:p w14:paraId="02CA460F" w14:textId="77777777" w:rsidR="003D4EAE" w:rsidRPr="002C3BC1" w:rsidRDefault="003D4EAE" w:rsidP="001906BD">
            <w:pPr>
              <w:rPr>
                <w:noProof/>
              </w:rPr>
            </w:pPr>
            <w:r>
              <w:rPr>
                <w:noProof/>
              </w:rPr>
              <w:t>CC</w:t>
            </w:r>
          </w:p>
        </w:tc>
        <w:tc>
          <w:tcPr>
            <w:tcW w:w="6600" w:type="dxa"/>
            <w:shd w:val="clear" w:color="auto" w:fill="auto"/>
          </w:tcPr>
          <w:p w14:paraId="24EE62E0" w14:textId="77777777" w:rsidR="003D4EAE" w:rsidRDefault="003D4EAE" w:rsidP="001906BD">
            <w:pPr>
              <w:rPr>
                <w:noProof/>
              </w:rPr>
            </w:pPr>
            <w:r>
              <w:rPr>
                <w:noProof/>
              </w:rPr>
              <w:t xml:space="preserve">cabin crew — </w:t>
            </w:r>
            <w:r w:rsidRPr="008547C5">
              <w:rPr>
                <w:noProof/>
              </w:rPr>
              <w:t>Annex V (Part-C</w:t>
            </w:r>
            <w:r>
              <w:rPr>
                <w:noProof/>
              </w:rPr>
              <w:t>C</w:t>
            </w:r>
            <w:r w:rsidRPr="008547C5">
              <w:rPr>
                <w:noProof/>
              </w:rPr>
              <w:t xml:space="preserve">) to Commission Regulation (EU) No </w:t>
            </w:r>
            <w:r>
              <w:rPr>
                <w:noProof/>
              </w:rPr>
              <w:t>1178</w:t>
            </w:r>
            <w:r w:rsidRPr="008547C5">
              <w:rPr>
                <w:noProof/>
              </w:rPr>
              <w:t>/201</w:t>
            </w:r>
            <w:r>
              <w:rPr>
                <w:noProof/>
              </w:rPr>
              <w:t>1</w:t>
            </w:r>
          </w:p>
        </w:tc>
      </w:tr>
      <w:tr w:rsidR="003D4EAE" w:rsidRPr="00DC1BB0" w14:paraId="66D7A749" w14:textId="77777777" w:rsidTr="003D4EAE">
        <w:trPr>
          <w:jc w:val="center"/>
        </w:trPr>
        <w:tc>
          <w:tcPr>
            <w:tcW w:w="1690" w:type="dxa"/>
            <w:shd w:val="clear" w:color="auto" w:fill="auto"/>
          </w:tcPr>
          <w:p w14:paraId="7787781D" w14:textId="77777777" w:rsidR="003D4EAE" w:rsidRPr="009A6836" w:rsidRDefault="003D4EAE" w:rsidP="001906BD">
            <w:pPr>
              <w:rPr>
                <w:noProof/>
                <w:highlight w:val="green"/>
              </w:rPr>
            </w:pPr>
            <w:r w:rsidRPr="002C3BC1">
              <w:rPr>
                <w:noProof/>
              </w:rPr>
              <w:t>CS</w:t>
            </w:r>
          </w:p>
        </w:tc>
        <w:tc>
          <w:tcPr>
            <w:tcW w:w="6600" w:type="dxa"/>
            <w:shd w:val="clear" w:color="auto" w:fill="auto"/>
          </w:tcPr>
          <w:p w14:paraId="2317E5CD" w14:textId="77777777" w:rsidR="003D4EAE" w:rsidRDefault="003D4EAE" w:rsidP="001906BD">
            <w:pPr>
              <w:rPr>
                <w:noProof/>
              </w:rPr>
            </w:pPr>
            <w:r>
              <w:rPr>
                <w:noProof/>
              </w:rPr>
              <w:t>certification specification</w:t>
            </w:r>
          </w:p>
        </w:tc>
      </w:tr>
      <w:tr w:rsidR="004E2A57" w:rsidRPr="00DC1BB0" w14:paraId="526D6067" w14:textId="77777777" w:rsidTr="003D4EAE">
        <w:trPr>
          <w:jc w:val="center"/>
        </w:trPr>
        <w:tc>
          <w:tcPr>
            <w:tcW w:w="1690" w:type="dxa"/>
            <w:shd w:val="clear" w:color="auto" w:fill="auto"/>
          </w:tcPr>
          <w:p w14:paraId="7A399619" w14:textId="77777777" w:rsidR="004E2A57" w:rsidRDefault="004E2A57" w:rsidP="001906BD">
            <w:pPr>
              <w:rPr>
                <w:noProof/>
              </w:rPr>
            </w:pPr>
            <w:r>
              <w:rPr>
                <w:noProof/>
              </w:rPr>
              <w:t>DAT</w:t>
            </w:r>
          </w:p>
        </w:tc>
        <w:tc>
          <w:tcPr>
            <w:tcW w:w="6600" w:type="dxa"/>
            <w:shd w:val="clear" w:color="auto" w:fill="auto"/>
          </w:tcPr>
          <w:p w14:paraId="0E404395" w14:textId="77777777" w:rsidR="004E2A57" w:rsidRDefault="00455E5A" w:rsidP="001906BD">
            <w:pPr>
              <w:rPr>
                <w:noProof/>
              </w:rPr>
            </w:pPr>
            <w:r w:rsidRPr="00455E5A">
              <w:rPr>
                <w:noProof/>
              </w:rPr>
              <w:t>data providers</w:t>
            </w:r>
            <w:r w:rsidR="0065731A">
              <w:rPr>
                <w:noProof/>
              </w:rPr>
              <w:t xml:space="preserve"> - </w:t>
            </w:r>
            <w:r w:rsidR="0065731A" w:rsidRPr="0065731A">
              <w:rPr>
                <w:noProof/>
              </w:rPr>
              <w:t>Annex VII  to Regulation (EU) 2017/373</w:t>
            </w:r>
          </w:p>
        </w:tc>
      </w:tr>
      <w:tr w:rsidR="009674DC" w:rsidRPr="00DC1BB0" w14:paraId="7121B17E" w14:textId="77777777" w:rsidTr="003D4EAE">
        <w:trPr>
          <w:jc w:val="center"/>
        </w:trPr>
        <w:tc>
          <w:tcPr>
            <w:tcW w:w="1690" w:type="dxa"/>
            <w:shd w:val="clear" w:color="auto" w:fill="auto"/>
          </w:tcPr>
          <w:p w14:paraId="49182EE0" w14:textId="77777777" w:rsidR="009674DC" w:rsidRPr="002C3BC1" w:rsidRDefault="009674DC" w:rsidP="009674DC">
            <w:pPr>
              <w:rPr>
                <w:noProof/>
              </w:rPr>
            </w:pPr>
            <w:r>
              <w:rPr>
                <w:noProof/>
              </w:rPr>
              <w:t>DR</w:t>
            </w:r>
          </w:p>
        </w:tc>
        <w:tc>
          <w:tcPr>
            <w:tcW w:w="6600" w:type="dxa"/>
            <w:shd w:val="clear" w:color="auto" w:fill="auto"/>
          </w:tcPr>
          <w:p w14:paraId="3FCB30F3" w14:textId="77777777" w:rsidR="009674DC" w:rsidRDefault="009674DC" w:rsidP="009674DC">
            <w:pPr>
              <w:rPr>
                <w:noProof/>
              </w:rPr>
            </w:pPr>
            <w:r>
              <w:rPr>
                <w:noProof/>
              </w:rPr>
              <w:t>delegated regulation</w:t>
            </w:r>
          </w:p>
        </w:tc>
      </w:tr>
      <w:tr w:rsidR="009674DC" w:rsidRPr="00DC1BB0" w14:paraId="49DB18F6" w14:textId="77777777" w:rsidTr="003D4EAE">
        <w:trPr>
          <w:jc w:val="center"/>
        </w:trPr>
        <w:tc>
          <w:tcPr>
            <w:tcW w:w="1690" w:type="dxa"/>
            <w:shd w:val="clear" w:color="auto" w:fill="auto"/>
          </w:tcPr>
          <w:p w14:paraId="34A31919" w14:textId="77777777" w:rsidR="009674DC" w:rsidRPr="009A6836" w:rsidRDefault="009674DC" w:rsidP="009674DC">
            <w:pPr>
              <w:rPr>
                <w:noProof/>
                <w:highlight w:val="green"/>
              </w:rPr>
            </w:pPr>
            <w:r w:rsidRPr="002C3BC1">
              <w:rPr>
                <w:noProof/>
              </w:rPr>
              <w:t>DS</w:t>
            </w:r>
          </w:p>
        </w:tc>
        <w:tc>
          <w:tcPr>
            <w:tcW w:w="6600" w:type="dxa"/>
            <w:shd w:val="clear" w:color="auto" w:fill="auto"/>
          </w:tcPr>
          <w:p w14:paraId="7006A454" w14:textId="77777777" w:rsidR="009674DC" w:rsidRDefault="009674DC" w:rsidP="009674DC">
            <w:pPr>
              <w:rPr>
                <w:noProof/>
              </w:rPr>
            </w:pPr>
            <w:r>
              <w:rPr>
                <w:noProof/>
              </w:rPr>
              <w:t>detailed specification</w:t>
            </w:r>
          </w:p>
        </w:tc>
      </w:tr>
      <w:tr w:rsidR="009674DC" w:rsidRPr="00DC1BB0" w14:paraId="25636512" w14:textId="77777777" w:rsidTr="003D4EAE">
        <w:trPr>
          <w:jc w:val="center"/>
        </w:trPr>
        <w:tc>
          <w:tcPr>
            <w:tcW w:w="1690" w:type="dxa"/>
            <w:shd w:val="clear" w:color="auto" w:fill="auto"/>
          </w:tcPr>
          <w:p w14:paraId="75596550" w14:textId="77777777" w:rsidR="009674DC" w:rsidRPr="002C3BC1" w:rsidDel="00687690" w:rsidRDefault="009674DC" w:rsidP="009674DC">
            <w:pPr>
              <w:rPr>
                <w:noProof/>
              </w:rPr>
            </w:pPr>
            <w:r>
              <w:rPr>
                <w:noProof/>
              </w:rPr>
              <w:t>DTO</w:t>
            </w:r>
          </w:p>
        </w:tc>
        <w:tc>
          <w:tcPr>
            <w:tcW w:w="6600" w:type="dxa"/>
            <w:shd w:val="clear" w:color="auto" w:fill="auto"/>
          </w:tcPr>
          <w:p w14:paraId="0190A700" w14:textId="77777777" w:rsidR="009674DC" w:rsidDel="00687690" w:rsidRDefault="009674DC" w:rsidP="009674DC">
            <w:pPr>
              <w:rPr>
                <w:noProof/>
              </w:rPr>
            </w:pPr>
            <w:r>
              <w:rPr>
                <w:noProof/>
              </w:rPr>
              <w:t>declared training organisation</w:t>
            </w:r>
          </w:p>
        </w:tc>
      </w:tr>
      <w:tr w:rsidR="009674DC" w:rsidRPr="00DC1BB0" w14:paraId="6D703216" w14:textId="77777777" w:rsidTr="003D4EAE">
        <w:trPr>
          <w:jc w:val="center"/>
        </w:trPr>
        <w:tc>
          <w:tcPr>
            <w:tcW w:w="1690" w:type="dxa"/>
            <w:shd w:val="clear" w:color="auto" w:fill="auto"/>
          </w:tcPr>
          <w:p w14:paraId="7129349C" w14:textId="77777777" w:rsidR="009674DC" w:rsidRDefault="009674DC" w:rsidP="009674DC">
            <w:pPr>
              <w:rPr>
                <w:noProof/>
              </w:rPr>
            </w:pPr>
            <w:r w:rsidRPr="002C3BC1">
              <w:rPr>
                <w:noProof/>
              </w:rPr>
              <w:t>EASA</w:t>
            </w:r>
            <w:r>
              <w:rPr>
                <w:noProof/>
              </w:rPr>
              <w:tab/>
            </w:r>
          </w:p>
        </w:tc>
        <w:tc>
          <w:tcPr>
            <w:tcW w:w="6600" w:type="dxa"/>
            <w:shd w:val="clear" w:color="auto" w:fill="auto"/>
          </w:tcPr>
          <w:p w14:paraId="54D43E8B" w14:textId="77777777" w:rsidR="009674DC" w:rsidRDefault="009674DC" w:rsidP="009674DC">
            <w:pPr>
              <w:rPr>
                <w:noProof/>
              </w:rPr>
            </w:pPr>
            <w:r>
              <w:rPr>
                <w:noProof/>
              </w:rPr>
              <w:t>European Union Aviation Safety Agency</w:t>
            </w:r>
          </w:p>
        </w:tc>
      </w:tr>
      <w:tr w:rsidR="009674DC" w:rsidRPr="00DC1BB0" w14:paraId="6A320B32" w14:textId="77777777" w:rsidTr="003D4EAE">
        <w:trPr>
          <w:jc w:val="center"/>
        </w:trPr>
        <w:tc>
          <w:tcPr>
            <w:tcW w:w="1690" w:type="dxa"/>
            <w:shd w:val="clear" w:color="auto" w:fill="auto"/>
          </w:tcPr>
          <w:p w14:paraId="043E5CCC" w14:textId="77777777" w:rsidR="009674DC" w:rsidRPr="005859F1" w:rsidRDefault="009674DC" w:rsidP="009674DC">
            <w:pPr>
              <w:rPr>
                <w:noProof/>
                <w:highlight w:val="green"/>
              </w:rPr>
            </w:pPr>
            <w:r w:rsidRPr="002C3BC1">
              <w:rPr>
                <w:noProof/>
              </w:rPr>
              <w:t>EASP</w:t>
            </w:r>
          </w:p>
        </w:tc>
        <w:tc>
          <w:tcPr>
            <w:tcW w:w="6600" w:type="dxa"/>
            <w:shd w:val="clear" w:color="auto" w:fill="auto"/>
          </w:tcPr>
          <w:p w14:paraId="677AB9AD" w14:textId="77777777" w:rsidR="009674DC" w:rsidRDefault="009674DC" w:rsidP="009674DC">
            <w:pPr>
              <w:rPr>
                <w:noProof/>
              </w:rPr>
            </w:pPr>
            <w:r>
              <w:rPr>
                <w:noProof/>
              </w:rPr>
              <w:t>European Aviation Safety Programme</w:t>
            </w:r>
          </w:p>
        </w:tc>
      </w:tr>
      <w:tr w:rsidR="009674DC" w:rsidRPr="00DC1BB0" w:rsidDel="008D3473" w14:paraId="528D8002" w14:textId="77777777" w:rsidTr="003D4EAE">
        <w:trPr>
          <w:jc w:val="center"/>
        </w:trPr>
        <w:tc>
          <w:tcPr>
            <w:tcW w:w="1690" w:type="dxa"/>
            <w:shd w:val="clear" w:color="auto" w:fill="auto"/>
          </w:tcPr>
          <w:p w14:paraId="1CE465D7" w14:textId="77777777" w:rsidR="009674DC" w:rsidDel="008D3473" w:rsidRDefault="009674DC" w:rsidP="009674DC">
            <w:pPr>
              <w:rPr>
                <w:noProof/>
              </w:rPr>
            </w:pPr>
            <w:r w:rsidRPr="002C3BC1">
              <w:rPr>
                <w:noProof/>
              </w:rPr>
              <w:t>EASPG</w:t>
            </w:r>
          </w:p>
        </w:tc>
        <w:tc>
          <w:tcPr>
            <w:tcW w:w="6600" w:type="dxa"/>
            <w:shd w:val="clear" w:color="auto" w:fill="auto"/>
          </w:tcPr>
          <w:p w14:paraId="0123B96F" w14:textId="77777777" w:rsidR="009674DC" w:rsidDel="008D3473" w:rsidRDefault="009674DC" w:rsidP="009674DC">
            <w:pPr>
              <w:rPr>
                <w:noProof/>
              </w:rPr>
            </w:pPr>
            <w:r w:rsidRPr="00823A7F">
              <w:rPr>
                <w:noProof/>
              </w:rPr>
              <w:t>European Region Aviation System Planning Group</w:t>
            </w:r>
            <w:r>
              <w:rPr>
                <w:noProof/>
              </w:rPr>
              <w:t xml:space="preserve"> (ICAO)</w:t>
            </w:r>
          </w:p>
        </w:tc>
      </w:tr>
      <w:tr w:rsidR="009674DC" w:rsidRPr="00DC1BB0" w14:paraId="3122C89F" w14:textId="77777777" w:rsidTr="003D4EAE">
        <w:trPr>
          <w:jc w:val="center"/>
        </w:trPr>
        <w:tc>
          <w:tcPr>
            <w:tcW w:w="1690" w:type="dxa"/>
            <w:shd w:val="clear" w:color="auto" w:fill="auto"/>
          </w:tcPr>
          <w:p w14:paraId="1974BEC5" w14:textId="77777777" w:rsidR="009674DC" w:rsidRDefault="009674DC" w:rsidP="009674DC">
            <w:pPr>
              <w:rPr>
                <w:noProof/>
              </w:rPr>
            </w:pPr>
            <w:r w:rsidRPr="002C3BC1">
              <w:rPr>
                <w:noProof/>
              </w:rPr>
              <w:t>ECCAIRS</w:t>
            </w:r>
          </w:p>
        </w:tc>
        <w:tc>
          <w:tcPr>
            <w:tcW w:w="6600" w:type="dxa"/>
            <w:shd w:val="clear" w:color="auto" w:fill="auto"/>
          </w:tcPr>
          <w:p w14:paraId="2EC75C0A" w14:textId="77777777" w:rsidR="009674DC" w:rsidRDefault="009674DC" w:rsidP="009674DC">
            <w:pPr>
              <w:rPr>
                <w:noProof/>
              </w:rPr>
            </w:pPr>
            <w:r>
              <w:rPr>
                <w:noProof/>
              </w:rPr>
              <w:t>European Co-ordination Centre for Accident and Incident Reporting Systems</w:t>
            </w:r>
          </w:p>
        </w:tc>
      </w:tr>
      <w:tr w:rsidR="009674DC" w:rsidRPr="00DC1BB0" w14:paraId="6F61C77A" w14:textId="77777777" w:rsidTr="003D4EAE">
        <w:trPr>
          <w:jc w:val="center"/>
        </w:trPr>
        <w:tc>
          <w:tcPr>
            <w:tcW w:w="1690" w:type="dxa"/>
            <w:shd w:val="clear" w:color="auto" w:fill="auto"/>
          </w:tcPr>
          <w:p w14:paraId="1E773F33" w14:textId="77777777" w:rsidR="009674DC" w:rsidRDefault="009674DC" w:rsidP="009674DC">
            <w:pPr>
              <w:rPr>
                <w:noProof/>
              </w:rPr>
            </w:pPr>
            <w:r w:rsidRPr="002C3BC1">
              <w:rPr>
                <w:noProof/>
              </w:rPr>
              <w:t>ECDC</w:t>
            </w:r>
          </w:p>
        </w:tc>
        <w:tc>
          <w:tcPr>
            <w:tcW w:w="6600" w:type="dxa"/>
            <w:shd w:val="clear" w:color="auto" w:fill="auto"/>
          </w:tcPr>
          <w:p w14:paraId="5FC04D49" w14:textId="77777777" w:rsidR="009674DC" w:rsidRDefault="009674DC" w:rsidP="009674DC">
            <w:pPr>
              <w:rPr>
                <w:noProof/>
              </w:rPr>
            </w:pPr>
            <w:r>
              <w:rPr>
                <w:noProof/>
              </w:rPr>
              <w:t>European Centre for Disease Prevention and Control</w:t>
            </w:r>
          </w:p>
        </w:tc>
      </w:tr>
      <w:tr w:rsidR="009674DC" w:rsidRPr="00DC1BB0" w14:paraId="6DF2076B" w14:textId="77777777" w:rsidTr="003D4EAE">
        <w:trPr>
          <w:jc w:val="center"/>
        </w:trPr>
        <w:tc>
          <w:tcPr>
            <w:tcW w:w="1690" w:type="dxa"/>
            <w:shd w:val="clear" w:color="auto" w:fill="auto"/>
          </w:tcPr>
          <w:p w14:paraId="152E8AFC" w14:textId="77777777" w:rsidR="009674DC" w:rsidRDefault="009674DC" w:rsidP="009674DC">
            <w:pPr>
              <w:rPr>
                <w:noProof/>
              </w:rPr>
            </w:pPr>
            <w:r w:rsidRPr="002C3BC1">
              <w:rPr>
                <w:noProof/>
              </w:rPr>
              <w:t>ECHA</w:t>
            </w:r>
          </w:p>
        </w:tc>
        <w:tc>
          <w:tcPr>
            <w:tcW w:w="6600" w:type="dxa"/>
            <w:shd w:val="clear" w:color="auto" w:fill="auto"/>
          </w:tcPr>
          <w:p w14:paraId="35969C2C" w14:textId="77777777" w:rsidR="009674DC" w:rsidRDefault="009674DC" w:rsidP="009674DC">
            <w:pPr>
              <w:rPr>
                <w:noProof/>
              </w:rPr>
            </w:pPr>
            <w:r>
              <w:rPr>
                <w:noProof/>
              </w:rPr>
              <w:t>European Chemicals Agency</w:t>
            </w:r>
          </w:p>
        </w:tc>
      </w:tr>
      <w:tr w:rsidR="009674DC" w:rsidRPr="004D57C8" w14:paraId="41FEDC0A" w14:textId="77777777" w:rsidTr="003D4EAE">
        <w:trPr>
          <w:jc w:val="center"/>
        </w:trPr>
        <w:tc>
          <w:tcPr>
            <w:tcW w:w="1690" w:type="dxa"/>
            <w:shd w:val="clear" w:color="auto" w:fill="auto"/>
          </w:tcPr>
          <w:p w14:paraId="79137FFD" w14:textId="77777777" w:rsidR="009674DC" w:rsidRDefault="009674DC" w:rsidP="009674DC">
            <w:pPr>
              <w:rPr>
                <w:noProof/>
              </w:rPr>
            </w:pPr>
            <w:r w:rsidRPr="002C3BC1">
              <w:rPr>
                <w:noProof/>
              </w:rPr>
              <w:t>ECR</w:t>
            </w:r>
          </w:p>
        </w:tc>
        <w:tc>
          <w:tcPr>
            <w:tcW w:w="6600" w:type="dxa"/>
            <w:shd w:val="clear" w:color="auto" w:fill="auto"/>
          </w:tcPr>
          <w:p w14:paraId="7C22114E" w14:textId="77777777" w:rsidR="009674DC" w:rsidRDefault="009674DC" w:rsidP="009674DC">
            <w:pPr>
              <w:rPr>
                <w:noProof/>
              </w:rPr>
            </w:pPr>
            <w:r>
              <w:rPr>
                <w:noProof/>
              </w:rPr>
              <w:t>European Central Repository</w:t>
            </w:r>
          </w:p>
        </w:tc>
      </w:tr>
      <w:tr w:rsidR="009674DC" w:rsidRPr="004D57C8" w14:paraId="7A498521" w14:textId="77777777" w:rsidTr="003D4EAE">
        <w:trPr>
          <w:jc w:val="center"/>
        </w:trPr>
        <w:tc>
          <w:tcPr>
            <w:tcW w:w="1690" w:type="dxa"/>
            <w:shd w:val="clear" w:color="auto" w:fill="auto"/>
          </w:tcPr>
          <w:p w14:paraId="694C4B77" w14:textId="77777777" w:rsidR="009674DC" w:rsidRDefault="009674DC" w:rsidP="009674DC">
            <w:pPr>
              <w:rPr>
                <w:noProof/>
              </w:rPr>
            </w:pPr>
            <w:r w:rsidRPr="002C3BC1">
              <w:rPr>
                <w:noProof/>
              </w:rPr>
              <w:t>EEA</w:t>
            </w:r>
          </w:p>
        </w:tc>
        <w:tc>
          <w:tcPr>
            <w:tcW w:w="6600" w:type="dxa"/>
            <w:shd w:val="clear" w:color="auto" w:fill="auto"/>
          </w:tcPr>
          <w:p w14:paraId="2EF7FA49" w14:textId="77777777" w:rsidR="009674DC" w:rsidRDefault="009674DC" w:rsidP="009674DC">
            <w:pPr>
              <w:rPr>
                <w:noProof/>
              </w:rPr>
            </w:pPr>
            <w:r>
              <w:rPr>
                <w:noProof/>
              </w:rPr>
              <w:t>European Environment Agency</w:t>
            </w:r>
          </w:p>
        </w:tc>
      </w:tr>
      <w:tr w:rsidR="009674DC" w:rsidRPr="004D57C8" w14:paraId="6D300A9D" w14:textId="77777777" w:rsidTr="003D4EAE">
        <w:trPr>
          <w:jc w:val="center"/>
        </w:trPr>
        <w:tc>
          <w:tcPr>
            <w:tcW w:w="1690" w:type="dxa"/>
            <w:shd w:val="clear" w:color="auto" w:fill="auto"/>
          </w:tcPr>
          <w:p w14:paraId="71852F2F" w14:textId="77777777" w:rsidR="009674DC" w:rsidRDefault="009674DC" w:rsidP="009674DC">
            <w:pPr>
              <w:rPr>
                <w:noProof/>
              </w:rPr>
            </w:pPr>
            <w:r w:rsidRPr="002C3BC1">
              <w:rPr>
                <w:noProof/>
              </w:rPr>
              <w:t>EFTA</w:t>
            </w:r>
          </w:p>
        </w:tc>
        <w:tc>
          <w:tcPr>
            <w:tcW w:w="6600" w:type="dxa"/>
            <w:shd w:val="clear" w:color="auto" w:fill="auto"/>
          </w:tcPr>
          <w:p w14:paraId="1D700301" w14:textId="77777777" w:rsidR="009674DC" w:rsidRDefault="009674DC" w:rsidP="009674DC">
            <w:pPr>
              <w:rPr>
                <w:noProof/>
              </w:rPr>
            </w:pPr>
            <w:r w:rsidRPr="00991755">
              <w:rPr>
                <w:noProof/>
              </w:rPr>
              <w:t>European Free Trade Association</w:t>
            </w:r>
          </w:p>
        </w:tc>
      </w:tr>
      <w:tr w:rsidR="009674DC" w:rsidRPr="004D57C8" w14:paraId="700B6D4A" w14:textId="77777777" w:rsidTr="003D4EAE">
        <w:trPr>
          <w:jc w:val="center"/>
        </w:trPr>
        <w:tc>
          <w:tcPr>
            <w:tcW w:w="1690" w:type="dxa"/>
            <w:shd w:val="clear" w:color="auto" w:fill="auto"/>
          </w:tcPr>
          <w:p w14:paraId="67140D4A" w14:textId="77777777" w:rsidR="009674DC" w:rsidRDefault="009674DC" w:rsidP="009674DC">
            <w:pPr>
              <w:rPr>
                <w:noProof/>
              </w:rPr>
            </w:pPr>
            <w:r w:rsidRPr="002C3BC1">
              <w:rPr>
                <w:noProof/>
              </w:rPr>
              <w:t>ENCASIA</w:t>
            </w:r>
          </w:p>
        </w:tc>
        <w:tc>
          <w:tcPr>
            <w:tcW w:w="6600" w:type="dxa"/>
            <w:shd w:val="clear" w:color="auto" w:fill="auto"/>
          </w:tcPr>
          <w:p w14:paraId="074EAB39" w14:textId="77777777" w:rsidR="009674DC" w:rsidRDefault="009674DC" w:rsidP="009674DC">
            <w:pPr>
              <w:rPr>
                <w:noProof/>
              </w:rPr>
            </w:pPr>
            <w:r>
              <w:rPr>
                <w:noProof/>
              </w:rPr>
              <w:t>European Network of Civil Aviation Safety Investigation Authorities</w:t>
            </w:r>
          </w:p>
        </w:tc>
      </w:tr>
      <w:tr w:rsidR="009674DC" w:rsidRPr="00DC1BB0" w14:paraId="2E0A00FC" w14:textId="77777777" w:rsidTr="003D4EAE">
        <w:trPr>
          <w:jc w:val="center"/>
        </w:trPr>
        <w:tc>
          <w:tcPr>
            <w:tcW w:w="1690" w:type="dxa"/>
            <w:shd w:val="clear" w:color="auto" w:fill="auto"/>
          </w:tcPr>
          <w:p w14:paraId="016CA9F2" w14:textId="77777777" w:rsidR="009674DC" w:rsidRDefault="009674DC" w:rsidP="009674DC">
            <w:pPr>
              <w:rPr>
                <w:noProof/>
              </w:rPr>
            </w:pPr>
            <w:r w:rsidRPr="002C3BC1">
              <w:rPr>
                <w:noProof/>
              </w:rPr>
              <w:t>EPAS</w:t>
            </w:r>
          </w:p>
        </w:tc>
        <w:tc>
          <w:tcPr>
            <w:tcW w:w="6600" w:type="dxa"/>
            <w:shd w:val="clear" w:color="auto" w:fill="auto"/>
          </w:tcPr>
          <w:p w14:paraId="40C05858" w14:textId="77777777" w:rsidR="009674DC" w:rsidRDefault="009674DC" w:rsidP="009674DC">
            <w:pPr>
              <w:rPr>
                <w:noProof/>
              </w:rPr>
            </w:pPr>
            <w:r>
              <w:rPr>
                <w:noProof/>
              </w:rPr>
              <w:t>European Plan for Aviation Safety</w:t>
            </w:r>
          </w:p>
        </w:tc>
      </w:tr>
      <w:tr w:rsidR="009674DC" w:rsidRPr="004D57C8" w14:paraId="0333D3B0" w14:textId="77777777" w:rsidTr="003D4EAE">
        <w:trPr>
          <w:jc w:val="center"/>
        </w:trPr>
        <w:tc>
          <w:tcPr>
            <w:tcW w:w="1690" w:type="dxa"/>
            <w:shd w:val="clear" w:color="auto" w:fill="auto"/>
          </w:tcPr>
          <w:p w14:paraId="50D4A0C2" w14:textId="77777777" w:rsidR="009674DC" w:rsidRPr="005859F1" w:rsidRDefault="009674DC" w:rsidP="009674DC">
            <w:pPr>
              <w:shd w:val="clear" w:color="auto" w:fill="FFFFFF"/>
              <w:rPr>
                <w:noProof/>
                <w:highlight w:val="red"/>
              </w:rPr>
            </w:pPr>
            <w:r w:rsidRPr="002C3BC1">
              <w:rPr>
                <w:noProof/>
              </w:rPr>
              <w:t>ETS</w:t>
            </w:r>
          </w:p>
        </w:tc>
        <w:tc>
          <w:tcPr>
            <w:tcW w:w="6600" w:type="dxa"/>
            <w:shd w:val="clear" w:color="auto" w:fill="auto"/>
          </w:tcPr>
          <w:p w14:paraId="08280AD2" w14:textId="77777777" w:rsidR="009674DC" w:rsidRDefault="009674DC" w:rsidP="009674DC">
            <w:pPr>
              <w:rPr>
                <w:noProof/>
              </w:rPr>
            </w:pPr>
            <w:r>
              <w:rPr>
                <w:noProof/>
              </w:rPr>
              <w:t>Emissions Trading System (EU)</w:t>
            </w:r>
          </w:p>
        </w:tc>
      </w:tr>
      <w:tr w:rsidR="009674DC" w:rsidRPr="00DC1BB0" w14:paraId="2C0A3787" w14:textId="77777777" w:rsidTr="003D4EAE">
        <w:trPr>
          <w:jc w:val="center"/>
        </w:trPr>
        <w:tc>
          <w:tcPr>
            <w:tcW w:w="1690" w:type="dxa"/>
            <w:shd w:val="clear" w:color="auto" w:fill="auto"/>
          </w:tcPr>
          <w:p w14:paraId="764CBFA8" w14:textId="77777777" w:rsidR="009674DC" w:rsidRPr="005859F1" w:rsidRDefault="009674DC" w:rsidP="009674DC">
            <w:pPr>
              <w:rPr>
                <w:noProof/>
                <w:highlight w:val="green"/>
              </w:rPr>
            </w:pPr>
            <w:r w:rsidRPr="002C3BC1">
              <w:rPr>
                <w:noProof/>
              </w:rPr>
              <w:t>EU</w:t>
            </w:r>
          </w:p>
        </w:tc>
        <w:tc>
          <w:tcPr>
            <w:tcW w:w="6600" w:type="dxa"/>
            <w:shd w:val="clear" w:color="auto" w:fill="auto"/>
          </w:tcPr>
          <w:p w14:paraId="79617D20" w14:textId="77777777" w:rsidR="009674DC" w:rsidRDefault="009674DC" w:rsidP="009674DC">
            <w:pPr>
              <w:rPr>
                <w:noProof/>
              </w:rPr>
            </w:pPr>
            <w:r>
              <w:rPr>
                <w:noProof/>
              </w:rPr>
              <w:t>European Union</w:t>
            </w:r>
          </w:p>
        </w:tc>
      </w:tr>
      <w:tr w:rsidR="009674DC" w:rsidRPr="00DC1BB0" w14:paraId="0B6394EF" w14:textId="77777777" w:rsidTr="003D4EAE">
        <w:trPr>
          <w:jc w:val="center"/>
        </w:trPr>
        <w:tc>
          <w:tcPr>
            <w:tcW w:w="1690" w:type="dxa"/>
            <w:shd w:val="clear" w:color="auto" w:fill="auto"/>
          </w:tcPr>
          <w:p w14:paraId="1F00F61C" w14:textId="77777777" w:rsidR="009674DC" w:rsidRDefault="009674DC" w:rsidP="009674DC">
            <w:pPr>
              <w:rPr>
                <w:noProof/>
                <w:highlight w:val="green"/>
              </w:rPr>
            </w:pPr>
            <w:r w:rsidRPr="002C3BC1">
              <w:rPr>
                <w:noProof/>
              </w:rPr>
              <w:t>EUR RASP</w:t>
            </w:r>
          </w:p>
        </w:tc>
        <w:tc>
          <w:tcPr>
            <w:tcW w:w="6600" w:type="dxa"/>
            <w:shd w:val="clear" w:color="auto" w:fill="auto"/>
          </w:tcPr>
          <w:p w14:paraId="02EE4F44" w14:textId="77777777" w:rsidR="009674DC" w:rsidRDefault="009674DC" w:rsidP="009674DC">
            <w:pPr>
              <w:rPr>
                <w:noProof/>
              </w:rPr>
            </w:pPr>
            <w:r>
              <w:rPr>
                <w:noProof/>
              </w:rPr>
              <w:t>European Regional Aviation Safety Plan (ICAO)</w:t>
            </w:r>
          </w:p>
        </w:tc>
      </w:tr>
      <w:tr w:rsidR="009674DC" w:rsidRPr="00DC1BB0" w14:paraId="40A5D5BB" w14:textId="77777777" w:rsidTr="003D4EAE">
        <w:trPr>
          <w:jc w:val="center"/>
        </w:trPr>
        <w:tc>
          <w:tcPr>
            <w:tcW w:w="1690" w:type="dxa"/>
            <w:shd w:val="clear" w:color="auto" w:fill="auto"/>
          </w:tcPr>
          <w:p w14:paraId="06555545" w14:textId="77777777" w:rsidR="009674DC" w:rsidRDefault="009674DC" w:rsidP="009674DC">
            <w:pPr>
              <w:rPr>
                <w:noProof/>
                <w:highlight w:val="green"/>
              </w:rPr>
            </w:pPr>
            <w:r w:rsidRPr="00E44BDA">
              <w:rPr>
                <w:noProof/>
              </w:rPr>
              <w:t>EUR RESG</w:t>
            </w:r>
          </w:p>
        </w:tc>
        <w:tc>
          <w:tcPr>
            <w:tcW w:w="6600" w:type="dxa"/>
            <w:shd w:val="clear" w:color="auto" w:fill="auto"/>
          </w:tcPr>
          <w:p w14:paraId="12B4E445" w14:textId="77777777" w:rsidR="009674DC" w:rsidRDefault="009674DC" w:rsidP="009674DC">
            <w:pPr>
              <w:rPr>
                <w:noProof/>
              </w:rPr>
            </w:pPr>
            <w:r>
              <w:rPr>
                <w:noProof/>
              </w:rPr>
              <w:t>EUR Regional Expert Safety Group (ICAO)</w:t>
            </w:r>
          </w:p>
        </w:tc>
      </w:tr>
      <w:tr w:rsidR="009674DC" w:rsidRPr="00DC1BB0" w14:paraId="19B09FB4" w14:textId="77777777" w:rsidTr="003D4EAE">
        <w:trPr>
          <w:jc w:val="center"/>
        </w:trPr>
        <w:tc>
          <w:tcPr>
            <w:tcW w:w="1690" w:type="dxa"/>
            <w:shd w:val="clear" w:color="auto" w:fill="auto"/>
          </w:tcPr>
          <w:p w14:paraId="35052F64" w14:textId="77777777" w:rsidR="009674DC" w:rsidRPr="005859F1" w:rsidRDefault="009674DC" w:rsidP="009674DC">
            <w:pPr>
              <w:rPr>
                <w:noProof/>
                <w:highlight w:val="green"/>
              </w:rPr>
            </w:pPr>
            <w:r w:rsidRPr="002C3BC1">
              <w:rPr>
                <w:noProof/>
              </w:rPr>
              <w:t>EUR/NAT</w:t>
            </w:r>
          </w:p>
        </w:tc>
        <w:tc>
          <w:tcPr>
            <w:tcW w:w="6600" w:type="dxa"/>
            <w:shd w:val="clear" w:color="auto" w:fill="auto"/>
          </w:tcPr>
          <w:p w14:paraId="22F7DB9B" w14:textId="77777777" w:rsidR="009674DC" w:rsidRDefault="009674DC" w:rsidP="009674DC">
            <w:pPr>
              <w:rPr>
                <w:noProof/>
              </w:rPr>
            </w:pPr>
            <w:r>
              <w:rPr>
                <w:noProof/>
              </w:rPr>
              <w:t>European/North Atlantic (ICAO Regional Office)</w:t>
            </w:r>
          </w:p>
        </w:tc>
      </w:tr>
      <w:tr w:rsidR="009674DC" w:rsidRPr="00DC1BB0" w14:paraId="7EB1B203" w14:textId="77777777" w:rsidTr="003D4EAE">
        <w:trPr>
          <w:jc w:val="center"/>
        </w:trPr>
        <w:tc>
          <w:tcPr>
            <w:tcW w:w="1690" w:type="dxa"/>
            <w:shd w:val="clear" w:color="auto" w:fill="auto"/>
          </w:tcPr>
          <w:p w14:paraId="27EB806D" w14:textId="77777777" w:rsidR="009674DC" w:rsidRDefault="009674DC" w:rsidP="009674DC">
            <w:pPr>
              <w:rPr>
                <w:noProof/>
                <w:highlight w:val="green"/>
              </w:rPr>
            </w:pPr>
            <w:r w:rsidRPr="00E44BDA">
              <w:rPr>
                <w:noProof/>
              </w:rPr>
              <w:t>EVT</w:t>
            </w:r>
          </w:p>
        </w:tc>
        <w:tc>
          <w:tcPr>
            <w:tcW w:w="6600" w:type="dxa"/>
            <w:shd w:val="clear" w:color="auto" w:fill="auto"/>
          </w:tcPr>
          <w:p w14:paraId="10AAACBE" w14:textId="77777777" w:rsidR="009674DC" w:rsidRDefault="009674DC" w:rsidP="009674DC">
            <w:pPr>
              <w:rPr>
                <w:noProof/>
              </w:rPr>
            </w:pPr>
            <w:r>
              <w:rPr>
                <w:noProof/>
              </w:rPr>
              <w:t>evaluation task (EPAS)</w:t>
            </w:r>
          </w:p>
        </w:tc>
      </w:tr>
      <w:tr w:rsidR="009674DC" w14:paraId="1FA82FBA" w14:textId="77777777" w:rsidTr="003D4EAE">
        <w:trPr>
          <w:jc w:val="center"/>
        </w:trPr>
        <w:tc>
          <w:tcPr>
            <w:tcW w:w="1690" w:type="dxa"/>
            <w:shd w:val="clear" w:color="auto" w:fill="auto"/>
          </w:tcPr>
          <w:p w14:paraId="020717C0" w14:textId="77777777" w:rsidR="009674DC" w:rsidRPr="00EA43B7" w:rsidRDefault="009674DC" w:rsidP="009674DC">
            <w:pPr>
              <w:rPr>
                <w:noProof/>
                <w:lang w:val="fr-BE"/>
              </w:rPr>
            </w:pPr>
            <w:r w:rsidRPr="00E44BDA">
              <w:rPr>
                <w:noProof/>
                <w:lang w:val="fr-BE"/>
              </w:rPr>
              <w:t>FAB</w:t>
            </w:r>
          </w:p>
        </w:tc>
        <w:tc>
          <w:tcPr>
            <w:tcW w:w="6600" w:type="dxa"/>
            <w:shd w:val="clear" w:color="auto" w:fill="auto"/>
          </w:tcPr>
          <w:p w14:paraId="6526E190" w14:textId="77777777" w:rsidR="009674DC" w:rsidRPr="00EA43B7" w:rsidRDefault="009674DC" w:rsidP="009674DC">
            <w:pPr>
              <w:rPr>
                <w:noProof/>
                <w:lang w:val="fr-BE"/>
              </w:rPr>
            </w:pPr>
            <w:r>
              <w:rPr>
                <w:noProof/>
              </w:rPr>
              <w:t>f</w:t>
            </w:r>
            <w:r w:rsidRPr="00991755">
              <w:rPr>
                <w:noProof/>
              </w:rPr>
              <w:t>unctional</w:t>
            </w:r>
            <w:r w:rsidRPr="00991755">
              <w:rPr>
                <w:noProof/>
                <w:lang w:val="fr-BE"/>
              </w:rPr>
              <w:t xml:space="preserve"> </w:t>
            </w:r>
            <w:r>
              <w:rPr>
                <w:noProof/>
              </w:rPr>
              <w:t>a</w:t>
            </w:r>
            <w:r w:rsidRPr="00991755">
              <w:rPr>
                <w:noProof/>
              </w:rPr>
              <w:t>irspace</w:t>
            </w:r>
            <w:r w:rsidRPr="00991755">
              <w:rPr>
                <w:noProof/>
                <w:lang w:val="fr-BE"/>
              </w:rPr>
              <w:t xml:space="preserve"> </w:t>
            </w:r>
            <w:r>
              <w:rPr>
                <w:noProof/>
                <w:lang w:val="fr-BE"/>
              </w:rPr>
              <w:t>b</w:t>
            </w:r>
            <w:r w:rsidRPr="00991755">
              <w:rPr>
                <w:noProof/>
                <w:lang w:val="fr-BE"/>
              </w:rPr>
              <w:t>lock</w:t>
            </w:r>
          </w:p>
        </w:tc>
      </w:tr>
      <w:tr w:rsidR="009674DC" w14:paraId="42F1A42A" w14:textId="77777777" w:rsidTr="003D4EAE">
        <w:trPr>
          <w:jc w:val="center"/>
        </w:trPr>
        <w:tc>
          <w:tcPr>
            <w:tcW w:w="1690" w:type="dxa"/>
            <w:shd w:val="clear" w:color="auto" w:fill="auto"/>
          </w:tcPr>
          <w:p w14:paraId="123BB7F5" w14:textId="77777777" w:rsidR="009674DC" w:rsidRDefault="009674DC" w:rsidP="009674DC">
            <w:pPr>
              <w:rPr>
                <w:noProof/>
                <w:lang w:val="fr-BE"/>
              </w:rPr>
            </w:pPr>
            <w:r w:rsidRPr="00E44BDA">
              <w:rPr>
                <w:noProof/>
                <w:lang w:val="fr-BE"/>
              </w:rPr>
              <w:t>FSTD</w:t>
            </w:r>
          </w:p>
        </w:tc>
        <w:tc>
          <w:tcPr>
            <w:tcW w:w="6600" w:type="dxa"/>
            <w:shd w:val="clear" w:color="auto" w:fill="auto"/>
          </w:tcPr>
          <w:p w14:paraId="180CED20" w14:textId="77777777" w:rsidR="009674DC" w:rsidRDefault="009674DC" w:rsidP="009674DC">
            <w:pPr>
              <w:rPr>
                <w:noProof/>
              </w:rPr>
            </w:pPr>
            <w:r>
              <w:rPr>
                <w:noProof/>
              </w:rPr>
              <w:t>flight simulation training device</w:t>
            </w:r>
          </w:p>
        </w:tc>
      </w:tr>
      <w:tr w:rsidR="009674DC" w14:paraId="0C25F4C2" w14:textId="77777777" w:rsidTr="003D4EAE">
        <w:trPr>
          <w:jc w:val="center"/>
        </w:trPr>
        <w:tc>
          <w:tcPr>
            <w:tcW w:w="1690" w:type="dxa"/>
            <w:shd w:val="clear" w:color="auto" w:fill="auto"/>
          </w:tcPr>
          <w:p w14:paraId="4B33BA4C" w14:textId="77777777" w:rsidR="009674DC" w:rsidRPr="009A6836" w:rsidRDefault="009674DC" w:rsidP="009674DC">
            <w:pPr>
              <w:rPr>
                <w:noProof/>
                <w:highlight w:val="green"/>
                <w:lang w:val="fr-BE"/>
              </w:rPr>
            </w:pPr>
            <w:r w:rsidRPr="00E44BDA">
              <w:rPr>
                <w:noProof/>
                <w:lang w:val="fr-BE"/>
              </w:rPr>
              <w:t>GANP</w:t>
            </w:r>
          </w:p>
        </w:tc>
        <w:tc>
          <w:tcPr>
            <w:tcW w:w="6600" w:type="dxa"/>
            <w:shd w:val="clear" w:color="auto" w:fill="auto"/>
          </w:tcPr>
          <w:p w14:paraId="1A7EC3B0" w14:textId="77777777" w:rsidR="009674DC" w:rsidRDefault="009674DC" w:rsidP="009674DC">
            <w:pPr>
              <w:rPr>
                <w:noProof/>
              </w:rPr>
            </w:pPr>
            <w:r>
              <w:rPr>
                <w:noProof/>
              </w:rPr>
              <w:t>Global Air Navigation Plan</w:t>
            </w:r>
          </w:p>
        </w:tc>
      </w:tr>
      <w:tr w:rsidR="009674DC" w14:paraId="268EDBA7" w14:textId="77777777" w:rsidTr="003D4EAE">
        <w:trPr>
          <w:jc w:val="center"/>
        </w:trPr>
        <w:tc>
          <w:tcPr>
            <w:tcW w:w="1690" w:type="dxa"/>
            <w:shd w:val="clear" w:color="auto" w:fill="auto"/>
          </w:tcPr>
          <w:p w14:paraId="272B6456" w14:textId="77777777" w:rsidR="009674DC" w:rsidRPr="009A6836" w:rsidRDefault="009674DC" w:rsidP="009674DC">
            <w:pPr>
              <w:rPr>
                <w:noProof/>
                <w:highlight w:val="green"/>
                <w:lang w:val="fr-BE"/>
              </w:rPr>
            </w:pPr>
            <w:r w:rsidRPr="00E44BDA">
              <w:rPr>
                <w:noProof/>
                <w:lang w:val="fr-BE"/>
              </w:rPr>
              <w:t>GASeP</w:t>
            </w:r>
          </w:p>
        </w:tc>
        <w:tc>
          <w:tcPr>
            <w:tcW w:w="6600" w:type="dxa"/>
            <w:shd w:val="clear" w:color="auto" w:fill="auto"/>
          </w:tcPr>
          <w:p w14:paraId="46B4F103" w14:textId="77777777" w:rsidR="009674DC" w:rsidRDefault="009674DC" w:rsidP="009674DC">
            <w:pPr>
              <w:rPr>
                <w:noProof/>
              </w:rPr>
            </w:pPr>
            <w:r>
              <w:rPr>
                <w:noProof/>
              </w:rPr>
              <w:t>Global Aviation Security Plan</w:t>
            </w:r>
          </w:p>
        </w:tc>
      </w:tr>
      <w:tr w:rsidR="009674DC" w14:paraId="443EA1EA" w14:textId="77777777" w:rsidTr="003D4EAE">
        <w:trPr>
          <w:jc w:val="center"/>
        </w:trPr>
        <w:tc>
          <w:tcPr>
            <w:tcW w:w="1690" w:type="dxa"/>
            <w:shd w:val="clear" w:color="auto" w:fill="auto"/>
          </w:tcPr>
          <w:p w14:paraId="518D6E28" w14:textId="77777777" w:rsidR="009674DC" w:rsidRPr="00EA43B7" w:rsidRDefault="009674DC" w:rsidP="009674DC">
            <w:pPr>
              <w:rPr>
                <w:noProof/>
                <w:lang w:val="fr-BE"/>
              </w:rPr>
            </w:pPr>
            <w:r w:rsidRPr="00E44BDA">
              <w:rPr>
                <w:noProof/>
                <w:lang w:val="fr-BE"/>
              </w:rPr>
              <w:t>GASP</w:t>
            </w:r>
          </w:p>
        </w:tc>
        <w:tc>
          <w:tcPr>
            <w:tcW w:w="6600" w:type="dxa"/>
            <w:shd w:val="clear" w:color="auto" w:fill="auto"/>
          </w:tcPr>
          <w:p w14:paraId="39C7E23A" w14:textId="77777777" w:rsidR="009674DC" w:rsidRPr="001D6017" w:rsidRDefault="009674DC" w:rsidP="009674DC">
            <w:pPr>
              <w:rPr>
                <w:noProof/>
              </w:rPr>
            </w:pPr>
            <w:r w:rsidRPr="001D6017">
              <w:rPr>
                <w:noProof/>
              </w:rPr>
              <w:t>Global Aviation Safety Plan (I</w:t>
            </w:r>
            <w:r>
              <w:rPr>
                <w:noProof/>
              </w:rPr>
              <w:t>CAO)</w:t>
            </w:r>
          </w:p>
        </w:tc>
      </w:tr>
      <w:tr w:rsidR="009674DC" w14:paraId="705AF40A" w14:textId="77777777" w:rsidTr="003D4EAE">
        <w:trPr>
          <w:jc w:val="center"/>
        </w:trPr>
        <w:tc>
          <w:tcPr>
            <w:tcW w:w="1690" w:type="dxa"/>
            <w:shd w:val="clear" w:color="auto" w:fill="auto"/>
          </w:tcPr>
          <w:p w14:paraId="31D6557E" w14:textId="77777777" w:rsidR="009674DC" w:rsidRPr="005859F1" w:rsidRDefault="009674DC" w:rsidP="009674DC">
            <w:pPr>
              <w:rPr>
                <w:noProof/>
                <w:highlight w:val="green"/>
                <w:lang w:val="fr-BE"/>
              </w:rPr>
            </w:pPr>
            <w:r w:rsidRPr="00E44BDA">
              <w:rPr>
                <w:noProof/>
                <w:lang w:val="fr-BE"/>
              </w:rPr>
              <w:t>G-HRCs</w:t>
            </w:r>
          </w:p>
        </w:tc>
        <w:tc>
          <w:tcPr>
            <w:tcW w:w="6600" w:type="dxa"/>
            <w:shd w:val="clear" w:color="auto" w:fill="auto"/>
          </w:tcPr>
          <w:p w14:paraId="069A8131" w14:textId="77777777" w:rsidR="009674DC" w:rsidRPr="001811B9" w:rsidRDefault="009674DC" w:rsidP="009674DC">
            <w:pPr>
              <w:rPr>
                <w:noProof/>
                <w:highlight w:val="yellow"/>
              </w:rPr>
            </w:pPr>
            <w:r>
              <w:rPr>
                <w:noProof/>
              </w:rPr>
              <w:t>g</w:t>
            </w:r>
            <w:r w:rsidRPr="005F1D67">
              <w:rPr>
                <w:noProof/>
              </w:rPr>
              <w:t xml:space="preserve">lobal </w:t>
            </w:r>
            <w:r>
              <w:rPr>
                <w:noProof/>
              </w:rPr>
              <w:t>h</w:t>
            </w:r>
            <w:r w:rsidRPr="005F1D67">
              <w:rPr>
                <w:noProof/>
              </w:rPr>
              <w:t>igh-</w:t>
            </w:r>
            <w:r>
              <w:rPr>
                <w:noProof/>
              </w:rPr>
              <w:t>r</w:t>
            </w:r>
            <w:r w:rsidRPr="005F1D67">
              <w:rPr>
                <w:noProof/>
              </w:rPr>
              <w:t xml:space="preserve">isk </w:t>
            </w:r>
            <w:r>
              <w:rPr>
                <w:noProof/>
              </w:rPr>
              <w:t>c</w:t>
            </w:r>
            <w:r w:rsidRPr="005F1D67">
              <w:rPr>
                <w:noProof/>
              </w:rPr>
              <w:t xml:space="preserve">ategories of </w:t>
            </w:r>
            <w:r>
              <w:rPr>
                <w:noProof/>
              </w:rPr>
              <w:t>o</w:t>
            </w:r>
            <w:r w:rsidRPr="005F1D67">
              <w:rPr>
                <w:noProof/>
              </w:rPr>
              <w:t>ccurrences</w:t>
            </w:r>
          </w:p>
        </w:tc>
      </w:tr>
      <w:tr w:rsidR="009674DC" w14:paraId="59C04CC4" w14:textId="77777777" w:rsidTr="003D4EAE">
        <w:trPr>
          <w:jc w:val="center"/>
        </w:trPr>
        <w:tc>
          <w:tcPr>
            <w:tcW w:w="1690" w:type="dxa"/>
            <w:shd w:val="clear" w:color="auto" w:fill="auto"/>
          </w:tcPr>
          <w:p w14:paraId="6C510929" w14:textId="77777777" w:rsidR="009674DC" w:rsidRDefault="009674DC" w:rsidP="009674DC">
            <w:pPr>
              <w:rPr>
                <w:noProof/>
              </w:rPr>
            </w:pPr>
            <w:r w:rsidRPr="00E44BDA">
              <w:rPr>
                <w:noProof/>
                <w:lang w:val="fr-BE"/>
              </w:rPr>
              <w:t>GM</w:t>
            </w:r>
          </w:p>
        </w:tc>
        <w:tc>
          <w:tcPr>
            <w:tcW w:w="6600" w:type="dxa"/>
            <w:shd w:val="clear" w:color="auto" w:fill="auto"/>
          </w:tcPr>
          <w:p w14:paraId="7BD94887" w14:textId="77777777" w:rsidR="009674DC" w:rsidRDefault="009674DC" w:rsidP="009674DC">
            <w:pPr>
              <w:rPr>
                <w:noProof/>
              </w:rPr>
            </w:pPr>
            <w:r>
              <w:rPr>
                <w:noProof/>
                <w:lang w:val="fr-BE"/>
              </w:rPr>
              <w:t>g</w:t>
            </w:r>
            <w:r w:rsidRPr="00EA43B7">
              <w:rPr>
                <w:noProof/>
                <w:lang w:val="fr-BE"/>
              </w:rPr>
              <w:t xml:space="preserve">uidance </w:t>
            </w:r>
            <w:r>
              <w:rPr>
                <w:noProof/>
              </w:rPr>
              <w:t>m</w:t>
            </w:r>
            <w:r w:rsidRPr="009B7EC8">
              <w:rPr>
                <w:noProof/>
              </w:rPr>
              <w:t>aterial</w:t>
            </w:r>
          </w:p>
        </w:tc>
      </w:tr>
      <w:tr w:rsidR="009674DC" w14:paraId="363DD0E4" w14:textId="77777777" w:rsidTr="003D4EAE">
        <w:trPr>
          <w:jc w:val="center"/>
        </w:trPr>
        <w:tc>
          <w:tcPr>
            <w:tcW w:w="1690" w:type="dxa"/>
            <w:shd w:val="clear" w:color="auto" w:fill="auto"/>
          </w:tcPr>
          <w:p w14:paraId="414DE06E" w14:textId="77777777" w:rsidR="009674DC" w:rsidRPr="009A6836" w:rsidRDefault="009674DC" w:rsidP="009674DC">
            <w:pPr>
              <w:rPr>
                <w:noProof/>
                <w:highlight w:val="green"/>
                <w:lang w:val="fr-BE"/>
              </w:rPr>
            </w:pPr>
            <w:r w:rsidRPr="001D6017">
              <w:rPr>
                <w:noProof/>
                <w:lang w:val="fr-BE"/>
              </w:rPr>
              <w:t>IATA</w:t>
            </w:r>
          </w:p>
        </w:tc>
        <w:tc>
          <w:tcPr>
            <w:tcW w:w="6600" w:type="dxa"/>
            <w:shd w:val="clear" w:color="auto" w:fill="auto"/>
          </w:tcPr>
          <w:p w14:paraId="63A7C502" w14:textId="77777777" w:rsidR="009674DC" w:rsidRPr="00EA43B7" w:rsidRDefault="009674DC" w:rsidP="009674DC">
            <w:pPr>
              <w:rPr>
                <w:noProof/>
                <w:lang w:val="fr-BE"/>
              </w:rPr>
            </w:pPr>
            <w:r>
              <w:rPr>
                <w:noProof/>
                <w:lang w:val="fr-BE"/>
              </w:rPr>
              <w:t>International Air Transport Association</w:t>
            </w:r>
          </w:p>
        </w:tc>
      </w:tr>
      <w:tr w:rsidR="009674DC" w14:paraId="100FFE0C" w14:textId="77777777" w:rsidTr="003D4EAE">
        <w:trPr>
          <w:jc w:val="center"/>
        </w:trPr>
        <w:tc>
          <w:tcPr>
            <w:tcW w:w="1690" w:type="dxa"/>
            <w:shd w:val="clear" w:color="auto" w:fill="auto"/>
          </w:tcPr>
          <w:p w14:paraId="7C839BA2" w14:textId="77777777" w:rsidR="009674DC" w:rsidRDefault="009674DC" w:rsidP="009674DC">
            <w:pPr>
              <w:rPr>
                <w:noProof/>
              </w:rPr>
            </w:pPr>
            <w:r w:rsidRPr="00E44BDA">
              <w:rPr>
                <w:noProof/>
              </w:rPr>
              <w:t>ICAO</w:t>
            </w:r>
          </w:p>
        </w:tc>
        <w:tc>
          <w:tcPr>
            <w:tcW w:w="6600" w:type="dxa"/>
            <w:shd w:val="clear" w:color="auto" w:fill="auto"/>
          </w:tcPr>
          <w:p w14:paraId="5FF689C4" w14:textId="77777777" w:rsidR="009674DC" w:rsidRDefault="009674DC" w:rsidP="009674DC">
            <w:pPr>
              <w:rPr>
                <w:noProof/>
              </w:rPr>
            </w:pPr>
            <w:r w:rsidRPr="00991755">
              <w:rPr>
                <w:noProof/>
              </w:rPr>
              <w:t>International Civil Aviation Organization</w:t>
            </w:r>
          </w:p>
        </w:tc>
      </w:tr>
      <w:tr w:rsidR="009674DC" w14:paraId="0C06C9D2" w14:textId="77777777" w:rsidTr="003D4EAE">
        <w:trPr>
          <w:jc w:val="center"/>
        </w:trPr>
        <w:tc>
          <w:tcPr>
            <w:tcW w:w="1690" w:type="dxa"/>
            <w:shd w:val="clear" w:color="auto" w:fill="auto"/>
          </w:tcPr>
          <w:p w14:paraId="5091BDAB" w14:textId="77777777" w:rsidR="009674DC" w:rsidRPr="00E44BDA" w:rsidRDefault="009674DC" w:rsidP="009674DC">
            <w:pPr>
              <w:rPr>
                <w:noProof/>
              </w:rPr>
            </w:pPr>
            <w:r>
              <w:rPr>
                <w:noProof/>
              </w:rPr>
              <w:t>IR</w:t>
            </w:r>
          </w:p>
        </w:tc>
        <w:tc>
          <w:tcPr>
            <w:tcW w:w="6600" w:type="dxa"/>
            <w:shd w:val="clear" w:color="auto" w:fill="auto"/>
          </w:tcPr>
          <w:p w14:paraId="02262284" w14:textId="77777777" w:rsidR="009674DC" w:rsidRPr="00991755" w:rsidRDefault="009674DC" w:rsidP="009674DC">
            <w:pPr>
              <w:rPr>
                <w:noProof/>
              </w:rPr>
            </w:pPr>
            <w:r>
              <w:rPr>
                <w:noProof/>
              </w:rPr>
              <w:t>implementing regulation</w:t>
            </w:r>
          </w:p>
        </w:tc>
      </w:tr>
      <w:tr w:rsidR="009674DC" w14:paraId="7EF4E3AD" w14:textId="77777777" w:rsidTr="003D4EAE">
        <w:trPr>
          <w:jc w:val="center"/>
        </w:trPr>
        <w:tc>
          <w:tcPr>
            <w:tcW w:w="1690" w:type="dxa"/>
            <w:shd w:val="clear" w:color="auto" w:fill="auto"/>
          </w:tcPr>
          <w:p w14:paraId="7B7922AD" w14:textId="77777777" w:rsidR="009674DC" w:rsidRPr="005859F1" w:rsidRDefault="009674DC" w:rsidP="009674DC">
            <w:pPr>
              <w:rPr>
                <w:noProof/>
                <w:highlight w:val="green"/>
              </w:rPr>
            </w:pPr>
            <w:r w:rsidRPr="00E44BDA">
              <w:rPr>
                <w:noProof/>
              </w:rPr>
              <w:t>LUC</w:t>
            </w:r>
          </w:p>
        </w:tc>
        <w:tc>
          <w:tcPr>
            <w:tcW w:w="6600" w:type="dxa"/>
            <w:shd w:val="clear" w:color="auto" w:fill="auto"/>
          </w:tcPr>
          <w:p w14:paraId="7134502E" w14:textId="77777777" w:rsidR="009674DC" w:rsidRPr="00991755" w:rsidRDefault="009674DC" w:rsidP="009674DC">
            <w:pPr>
              <w:rPr>
                <w:noProof/>
              </w:rPr>
            </w:pPr>
            <w:r>
              <w:rPr>
                <w:noProof/>
              </w:rPr>
              <w:t>l</w:t>
            </w:r>
            <w:r w:rsidRPr="005F1D67">
              <w:rPr>
                <w:noProof/>
              </w:rPr>
              <w:t xml:space="preserve">ight UAS </w:t>
            </w:r>
            <w:r>
              <w:rPr>
                <w:noProof/>
              </w:rPr>
              <w:t>o</w:t>
            </w:r>
            <w:r w:rsidRPr="005F1D67">
              <w:rPr>
                <w:noProof/>
              </w:rPr>
              <w:t xml:space="preserve">perator </w:t>
            </w:r>
            <w:r>
              <w:rPr>
                <w:noProof/>
              </w:rPr>
              <w:t>c</w:t>
            </w:r>
            <w:r w:rsidRPr="005F1D67">
              <w:rPr>
                <w:noProof/>
              </w:rPr>
              <w:t>ertificate</w:t>
            </w:r>
          </w:p>
        </w:tc>
      </w:tr>
      <w:tr w:rsidR="009674DC" w14:paraId="7CE40F4B" w14:textId="77777777" w:rsidTr="003D4EAE">
        <w:trPr>
          <w:jc w:val="center"/>
        </w:trPr>
        <w:tc>
          <w:tcPr>
            <w:tcW w:w="1690" w:type="dxa"/>
            <w:shd w:val="clear" w:color="auto" w:fill="auto"/>
          </w:tcPr>
          <w:p w14:paraId="13CF6481" w14:textId="77777777" w:rsidR="009674DC" w:rsidRDefault="009674DC" w:rsidP="009674DC">
            <w:pPr>
              <w:rPr>
                <w:noProof/>
                <w:highlight w:val="green"/>
              </w:rPr>
            </w:pPr>
            <w:r w:rsidRPr="00E44BDA">
              <w:rPr>
                <w:noProof/>
              </w:rPr>
              <w:t>MAB</w:t>
            </w:r>
          </w:p>
        </w:tc>
        <w:tc>
          <w:tcPr>
            <w:tcW w:w="6600" w:type="dxa"/>
            <w:shd w:val="clear" w:color="auto" w:fill="auto"/>
          </w:tcPr>
          <w:p w14:paraId="164F57B2" w14:textId="77777777" w:rsidR="009674DC" w:rsidRPr="009A6836" w:rsidRDefault="009674DC" w:rsidP="009674DC">
            <w:pPr>
              <w:rPr>
                <w:noProof/>
                <w:highlight w:val="yellow"/>
              </w:rPr>
            </w:pPr>
            <w:r w:rsidRPr="00D56838">
              <w:rPr>
                <w:noProof/>
              </w:rPr>
              <w:t>Member States Advisory Body</w:t>
            </w:r>
          </w:p>
        </w:tc>
      </w:tr>
      <w:tr w:rsidR="009674DC" w14:paraId="08B469B9" w14:textId="77777777" w:rsidTr="003D4EAE">
        <w:trPr>
          <w:jc w:val="center"/>
        </w:trPr>
        <w:tc>
          <w:tcPr>
            <w:tcW w:w="1690" w:type="dxa"/>
            <w:shd w:val="clear" w:color="auto" w:fill="auto"/>
          </w:tcPr>
          <w:p w14:paraId="542BA2F6" w14:textId="77777777" w:rsidR="009674DC" w:rsidRDefault="009674DC" w:rsidP="009674DC">
            <w:pPr>
              <w:rPr>
                <w:noProof/>
                <w:highlight w:val="green"/>
              </w:rPr>
            </w:pPr>
            <w:r w:rsidRPr="00E44BDA">
              <w:rPr>
                <w:noProof/>
              </w:rPr>
              <w:t>MB</w:t>
            </w:r>
          </w:p>
        </w:tc>
        <w:tc>
          <w:tcPr>
            <w:tcW w:w="6600" w:type="dxa"/>
            <w:shd w:val="clear" w:color="auto" w:fill="auto"/>
          </w:tcPr>
          <w:p w14:paraId="291794CE" w14:textId="77777777" w:rsidR="009674DC" w:rsidRPr="009A6836" w:rsidRDefault="009674DC" w:rsidP="009674DC">
            <w:pPr>
              <w:rPr>
                <w:noProof/>
                <w:highlight w:val="yellow"/>
              </w:rPr>
            </w:pPr>
            <w:r w:rsidRPr="00CD54E7">
              <w:rPr>
                <w:noProof/>
              </w:rPr>
              <w:t>Management Board</w:t>
            </w:r>
          </w:p>
        </w:tc>
      </w:tr>
      <w:tr w:rsidR="009674DC" w14:paraId="1F468FAE" w14:textId="77777777" w:rsidTr="003D4EAE">
        <w:trPr>
          <w:jc w:val="center"/>
        </w:trPr>
        <w:tc>
          <w:tcPr>
            <w:tcW w:w="1690" w:type="dxa"/>
            <w:shd w:val="clear" w:color="auto" w:fill="auto"/>
          </w:tcPr>
          <w:p w14:paraId="0C488B3E" w14:textId="77777777" w:rsidR="009674DC" w:rsidRDefault="009674DC" w:rsidP="009674DC">
            <w:pPr>
              <w:rPr>
                <w:noProof/>
                <w:highlight w:val="green"/>
              </w:rPr>
            </w:pPr>
            <w:r w:rsidRPr="00E44BDA">
              <w:rPr>
                <w:noProof/>
              </w:rPr>
              <w:t>MST</w:t>
            </w:r>
          </w:p>
        </w:tc>
        <w:tc>
          <w:tcPr>
            <w:tcW w:w="6600" w:type="dxa"/>
            <w:shd w:val="clear" w:color="auto" w:fill="auto"/>
          </w:tcPr>
          <w:p w14:paraId="5612835E" w14:textId="77777777" w:rsidR="009674DC" w:rsidRPr="00D56838" w:rsidRDefault="009674DC" w:rsidP="009674DC">
            <w:pPr>
              <w:rPr>
                <w:noProof/>
              </w:rPr>
            </w:pPr>
            <w:r w:rsidRPr="00D56838">
              <w:rPr>
                <w:noProof/>
              </w:rPr>
              <w:t xml:space="preserve">Member </w:t>
            </w:r>
            <w:r>
              <w:rPr>
                <w:noProof/>
              </w:rPr>
              <w:t>S</w:t>
            </w:r>
            <w:r w:rsidRPr="00D56838">
              <w:rPr>
                <w:noProof/>
              </w:rPr>
              <w:t xml:space="preserve">tate </w:t>
            </w:r>
            <w:r>
              <w:rPr>
                <w:noProof/>
              </w:rPr>
              <w:t>t</w:t>
            </w:r>
            <w:r w:rsidRPr="00D56838">
              <w:rPr>
                <w:noProof/>
              </w:rPr>
              <w:t>ask</w:t>
            </w:r>
            <w:r>
              <w:rPr>
                <w:noProof/>
              </w:rPr>
              <w:t xml:space="preserve"> (EPAS)</w:t>
            </w:r>
          </w:p>
        </w:tc>
      </w:tr>
      <w:tr w:rsidR="009674DC" w14:paraId="291EDE24" w14:textId="77777777" w:rsidTr="003D4EAE">
        <w:trPr>
          <w:jc w:val="center"/>
        </w:trPr>
        <w:tc>
          <w:tcPr>
            <w:tcW w:w="1690" w:type="dxa"/>
            <w:shd w:val="clear" w:color="auto" w:fill="auto"/>
          </w:tcPr>
          <w:p w14:paraId="7102DA94" w14:textId="77777777" w:rsidR="009674DC" w:rsidRDefault="009674DC" w:rsidP="009674DC">
            <w:pPr>
              <w:rPr>
                <w:noProof/>
                <w:highlight w:val="green"/>
              </w:rPr>
            </w:pPr>
            <w:r w:rsidRPr="00E44BDA">
              <w:rPr>
                <w:noProof/>
              </w:rPr>
              <w:t>NASP</w:t>
            </w:r>
          </w:p>
        </w:tc>
        <w:tc>
          <w:tcPr>
            <w:tcW w:w="6600" w:type="dxa"/>
            <w:shd w:val="clear" w:color="auto" w:fill="auto"/>
          </w:tcPr>
          <w:p w14:paraId="15884DD7" w14:textId="77777777" w:rsidR="009674DC" w:rsidRDefault="009674DC" w:rsidP="009674DC">
            <w:pPr>
              <w:rPr>
                <w:noProof/>
                <w:highlight w:val="yellow"/>
              </w:rPr>
            </w:pPr>
            <w:r>
              <w:rPr>
                <w:noProof/>
              </w:rPr>
              <w:t>n</w:t>
            </w:r>
            <w:r w:rsidRPr="00D56838">
              <w:rPr>
                <w:noProof/>
              </w:rPr>
              <w:t xml:space="preserve">ational </w:t>
            </w:r>
            <w:r>
              <w:rPr>
                <w:noProof/>
              </w:rPr>
              <w:t>a</w:t>
            </w:r>
            <w:r w:rsidRPr="00D56838">
              <w:rPr>
                <w:noProof/>
              </w:rPr>
              <w:t xml:space="preserve">viation </w:t>
            </w:r>
            <w:r>
              <w:rPr>
                <w:noProof/>
              </w:rPr>
              <w:t>s</w:t>
            </w:r>
            <w:r w:rsidRPr="00D56838">
              <w:rPr>
                <w:noProof/>
              </w:rPr>
              <w:t xml:space="preserve">afety </w:t>
            </w:r>
            <w:r>
              <w:rPr>
                <w:noProof/>
              </w:rPr>
              <w:t>p</w:t>
            </w:r>
            <w:r w:rsidRPr="00D56838">
              <w:rPr>
                <w:noProof/>
              </w:rPr>
              <w:t>lan</w:t>
            </w:r>
          </w:p>
        </w:tc>
      </w:tr>
      <w:tr w:rsidR="009674DC" w14:paraId="0D882913" w14:textId="77777777" w:rsidTr="003D4EAE">
        <w:trPr>
          <w:jc w:val="center"/>
        </w:trPr>
        <w:tc>
          <w:tcPr>
            <w:tcW w:w="1690" w:type="dxa"/>
            <w:shd w:val="clear" w:color="auto" w:fill="auto"/>
          </w:tcPr>
          <w:p w14:paraId="203CC4ED" w14:textId="77777777" w:rsidR="009674DC" w:rsidRDefault="009674DC" w:rsidP="009674DC">
            <w:pPr>
              <w:rPr>
                <w:noProof/>
                <w:highlight w:val="green"/>
              </w:rPr>
            </w:pPr>
            <w:r w:rsidRPr="00E44BDA">
              <w:rPr>
                <w:noProof/>
              </w:rPr>
              <w:t>NCA</w:t>
            </w:r>
          </w:p>
        </w:tc>
        <w:tc>
          <w:tcPr>
            <w:tcW w:w="6600" w:type="dxa"/>
            <w:shd w:val="clear" w:color="auto" w:fill="auto"/>
          </w:tcPr>
          <w:p w14:paraId="565B7444" w14:textId="77777777" w:rsidR="009674DC" w:rsidRDefault="009674DC" w:rsidP="009674DC">
            <w:pPr>
              <w:rPr>
                <w:noProof/>
                <w:highlight w:val="yellow"/>
              </w:rPr>
            </w:pPr>
            <w:r>
              <w:rPr>
                <w:noProof/>
              </w:rPr>
              <w:t>n</w:t>
            </w:r>
            <w:r w:rsidRPr="00D24F83">
              <w:rPr>
                <w:noProof/>
              </w:rPr>
              <w:t xml:space="preserve">ational </w:t>
            </w:r>
            <w:r>
              <w:rPr>
                <w:noProof/>
              </w:rPr>
              <w:t>c</w:t>
            </w:r>
            <w:r w:rsidRPr="00D24F83">
              <w:rPr>
                <w:noProof/>
              </w:rPr>
              <w:t xml:space="preserve">ompetent </w:t>
            </w:r>
            <w:r>
              <w:rPr>
                <w:noProof/>
              </w:rPr>
              <w:t>a</w:t>
            </w:r>
            <w:r w:rsidRPr="00D24F83">
              <w:rPr>
                <w:noProof/>
              </w:rPr>
              <w:t>uthority</w:t>
            </w:r>
          </w:p>
        </w:tc>
      </w:tr>
      <w:tr w:rsidR="009674DC" w14:paraId="6E00DD83" w14:textId="77777777" w:rsidTr="003D4EAE">
        <w:trPr>
          <w:jc w:val="center"/>
        </w:trPr>
        <w:tc>
          <w:tcPr>
            <w:tcW w:w="1690" w:type="dxa"/>
            <w:shd w:val="clear" w:color="auto" w:fill="auto"/>
          </w:tcPr>
          <w:p w14:paraId="3B9C859C" w14:textId="77777777" w:rsidR="009674DC" w:rsidRPr="005859F1" w:rsidRDefault="009674DC" w:rsidP="009674DC">
            <w:pPr>
              <w:rPr>
                <w:noProof/>
                <w:highlight w:val="green"/>
              </w:rPr>
            </w:pPr>
            <w:r w:rsidRPr="00E44BDA">
              <w:rPr>
                <w:noProof/>
              </w:rPr>
              <w:t>NCC</w:t>
            </w:r>
          </w:p>
        </w:tc>
        <w:tc>
          <w:tcPr>
            <w:tcW w:w="6600" w:type="dxa"/>
            <w:shd w:val="clear" w:color="auto" w:fill="auto"/>
          </w:tcPr>
          <w:p w14:paraId="7EBE84FD" w14:textId="77777777" w:rsidR="009674DC" w:rsidRPr="00991755" w:rsidRDefault="009674DC" w:rsidP="009674DC">
            <w:pPr>
              <w:rPr>
                <w:noProof/>
              </w:rPr>
            </w:pPr>
            <w:r>
              <w:rPr>
                <w:noProof/>
              </w:rPr>
              <w:t>Non-commercial air operations with complex motor-powered aircraft — Annex VI (Part-NCC) to Commission Regulation (EU) No 965/2012</w:t>
            </w:r>
          </w:p>
        </w:tc>
      </w:tr>
      <w:tr w:rsidR="009674DC" w14:paraId="6B86024E" w14:textId="77777777" w:rsidTr="003D4EAE">
        <w:trPr>
          <w:jc w:val="center"/>
        </w:trPr>
        <w:tc>
          <w:tcPr>
            <w:tcW w:w="1690" w:type="dxa"/>
            <w:shd w:val="clear" w:color="auto" w:fill="auto"/>
          </w:tcPr>
          <w:p w14:paraId="323ED151" w14:textId="77777777" w:rsidR="009674DC" w:rsidRDefault="009674DC" w:rsidP="009674DC">
            <w:pPr>
              <w:rPr>
                <w:noProof/>
              </w:rPr>
            </w:pPr>
            <w:r w:rsidRPr="00E44BDA">
              <w:rPr>
                <w:noProof/>
              </w:rPr>
              <w:t>NoAs</w:t>
            </w:r>
          </w:p>
        </w:tc>
        <w:tc>
          <w:tcPr>
            <w:tcW w:w="6600" w:type="dxa"/>
            <w:shd w:val="clear" w:color="auto" w:fill="auto"/>
          </w:tcPr>
          <w:p w14:paraId="2EF0EB77" w14:textId="77777777" w:rsidR="009674DC" w:rsidRDefault="009674DC" w:rsidP="009674DC">
            <w:pPr>
              <w:rPr>
                <w:noProof/>
              </w:rPr>
            </w:pPr>
            <w:r>
              <w:rPr>
                <w:noProof/>
              </w:rPr>
              <w:t>n</w:t>
            </w:r>
            <w:r w:rsidRPr="00905411">
              <w:rPr>
                <w:noProof/>
              </w:rPr>
              <w:t>etwork of aviation safety analysts</w:t>
            </w:r>
          </w:p>
        </w:tc>
      </w:tr>
      <w:tr w:rsidR="009674DC" w14:paraId="15D541FE" w14:textId="77777777" w:rsidTr="003D4EAE">
        <w:trPr>
          <w:jc w:val="center"/>
        </w:trPr>
        <w:tc>
          <w:tcPr>
            <w:tcW w:w="1690" w:type="dxa"/>
            <w:shd w:val="clear" w:color="auto" w:fill="auto"/>
          </w:tcPr>
          <w:p w14:paraId="0F134E85" w14:textId="77777777" w:rsidR="009674DC" w:rsidRPr="00E44BDA" w:rsidRDefault="009674DC" w:rsidP="009674DC">
            <w:pPr>
              <w:rPr>
                <w:noProof/>
              </w:rPr>
            </w:pPr>
            <w:r w:rsidRPr="00E176A0">
              <w:rPr>
                <w:rFonts w:cstheme="minorHAnsi"/>
                <w:noProof/>
              </w:rPr>
              <w:t>Part 21</w:t>
            </w:r>
          </w:p>
        </w:tc>
        <w:tc>
          <w:tcPr>
            <w:tcW w:w="6600" w:type="dxa"/>
            <w:shd w:val="clear" w:color="auto" w:fill="auto"/>
          </w:tcPr>
          <w:p w14:paraId="72B7F23F" w14:textId="77777777" w:rsidR="009674DC" w:rsidRDefault="009674DC" w:rsidP="009674DC">
            <w:pPr>
              <w:rPr>
                <w:noProof/>
              </w:rPr>
            </w:pPr>
            <w:r w:rsidRPr="00E176A0">
              <w:rPr>
                <w:noProof/>
              </w:rPr>
              <w:t xml:space="preserve">Annex I to Regulation (EU) </w:t>
            </w:r>
            <w:r>
              <w:rPr>
                <w:noProof/>
              </w:rPr>
              <w:t>No </w:t>
            </w:r>
            <w:r w:rsidRPr="00E176A0">
              <w:rPr>
                <w:noProof/>
              </w:rPr>
              <w:t xml:space="preserve">748/2012 </w:t>
            </w:r>
            <w:r>
              <w:rPr>
                <w:noProof/>
              </w:rPr>
              <w:t>—</w:t>
            </w:r>
            <w:r w:rsidRPr="00E176A0">
              <w:rPr>
                <w:noProof/>
              </w:rPr>
              <w:t xml:space="preserve"> </w:t>
            </w:r>
            <w:r w:rsidRPr="00E176A0">
              <w:rPr>
                <w:rFonts w:cstheme="minorHAnsi"/>
                <w:noProof/>
              </w:rPr>
              <w:t xml:space="preserve">certification of aircraft and related products, parts and appliances, </w:t>
            </w:r>
            <w:r>
              <w:rPr>
                <w:rFonts w:cstheme="minorHAnsi"/>
                <w:noProof/>
              </w:rPr>
              <w:t>and</w:t>
            </w:r>
            <w:r w:rsidRPr="00E176A0">
              <w:rPr>
                <w:rFonts w:cstheme="minorHAnsi"/>
                <w:noProof/>
              </w:rPr>
              <w:t xml:space="preserve"> of design and production organisations</w:t>
            </w:r>
          </w:p>
        </w:tc>
      </w:tr>
      <w:tr w:rsidR="009674DC" w14:paraId="499A071F" w14:textId="77777777" w:rsidTr="003D4EAE">
        <w:trPr>
          <w:jc w:val="center"/>
        </w:trPr>
        <w:tc>
          <w:tcPr>
            <w:tcW w:w="1690" w:type="dxa"/>
            <w:shd w:val="clear" w:color="auto" w:fill="auto"/>
          </w:tcPr>
          <w:p w14:paraId="31515E5A" w14:textId="77777777" w:rsidR="009674DC" w:rsidRPr="00E44BDA" w:rsidRDefault="009674DC" w:rsidP="009674DC">
            <w:pPr>
              <w:rPr>
                <w:noProof/>
              </w:rPr>
            </w:pPr>
            <w:r w:rsidRPr="00E176A0">
              <w:rPr>
                <w:rFonts w:cstheme="minorHAnsi"/>
                <w:noProof/>
              </w:rPr>
              <w:t>Part-145</w:t>
            </w:r>
          </w:p>
        </w:tc>
        <w:tc>
          <w:tcPr>
            <w:tcW w:w="6600" w:type="dxa"/>
            <w:shd w:val="clear" w:color="auto" w:fill="auto"/>
          </w:tcPr>
          <w:p w14:paraId="199D7B90" w14:textId="77777777" w:rsidR="009674DC" w:rsidRDefault="009674DC" w:rsidP="009674DC">
            <w:pPr>
              <w:rPr>
                <w:noProof/>
              </w:rPr>
            </w:pPr>
            <w:r w:rsidRPr="00E176A0">
              <w:rPr>
                <w:rFonts w:cstheme="minorHAnsi"/>
                <w:noProof/>
              </w:rPr>
              <w:t xml:space="preserve">Annex II to Regulation (EU) No 1321/2014 </w:t>
            </w:r>
            <w:r>
              <w:rPr>
                <w:rFonts w:cstheme="minorHAnsi"/>
                <w:noProof/>
              </w:rPr>
              <w:t>—</w:t>
            </w:r>
            <w:r w:rsidRPr="00E176A0">
              <w:rPr>
                <w:rFonts w:cstheme="minorHAnsi"/>
                <w:noProof/>
              </w:rPr>
              <w:t xml:space="preserve"> maintenance organisation approvals</w:t>
            </w:r>
          </w:p>
        </w:tc>
      </w:tr>
      <w:tr w:rsidR="009674DC" w14:paraId="3E7729C0" w14:textId="77777777" w:rsidTr="003D4EAE">
        <w:trPr>
          <w:jc w:val="center"/>
        </w:trPr>
        <w:tc>
          <w:tcPr>
            <w:tcW w:w="1690" w:type="dxa"/>
            <w:shd w:val="clear" w:color="auto" w:fill="auto"/>
          </w:tcPr>
          <w:p w14:paraId="351018DD" w14:textId="77777777" w:rsidR="009674DC" w:rsidRPr="00E44BDA" w:rsidRDefault="009674DC" w:rsidP="009674DC">
            <w:pPr>
              <w:rPr>
                <w:noProof/>
              </w:rPr>
            </w:pPr>
            <w:r w:rsidRPr="00E176A0">
              <w:rPr>
                <w:rFonts w:cstheme="minorHAnsi"/>
                <w:noProof/>
              </w:rPr>
              <w:t>Part-147</w:t>
            </w:r>
          </w:p>
        </w:tc>
        <w:tc>
          <w:tcPr>
            <w:tcW w:w="6600" w:type="dxa"/>
            <w:shd w:val="clear" w:color="auto" w:fill="auto"/>
          </w:tcPr>
          <w:p w14:paraId="45969FA4" w14:textId="77777777" w:rsidR="009674DC" w:rsidRDefault="009674DC" w:rsidP="009674DC">
            <w:pPr>
              <w:rPr>
                <w:noProof/>
              </w:rPr>
            </w:pPr>
            <w:r w:rsidRPr="00E176A0">
              <w:rPr>
                <w:noProof/>
              </w:rPr>
              <w:t xml:space="preserve">Annex IV to Regulation (EU) No 1321/2014 </w:t>
            </w:r>
            <w:r>
              <w:rPr>
                <w:noProof/>
              </w:rPr>
              <w:t>—</w:t>
            </w:r>
            <w:r w:rsidRPr="00E176A0">
              <w:rPr>
                <w:noProof/>
              </w:rPr>
              <w:t xml:space="preserve"> </w:t>
            </w:r>
            <w:r w:rsidRPr="00E176A0">
              <w:rPr>
                <w:rFonts w:cstheme="minorHAnsi"/>
                <w:noProof/>
              </w:rPr>
              <w:t>requirements</w:t>
            </w:r>
            <w:r>
              <w:rPr>
                <w:noProof/>
              </w:rPr>
              <w:t xml:space="preserve"> for maintenance </w:t>
            </w:r>
            <w:r w:rsidRPr="00E176A0">
              <w:rPr>
                <w:rFonts w:cstheme="minorHAnsi"/>
                <w:noProof/>
              </w:rPr>
              <w:t xml:space="preserve">training organisations </w:t>
            </w:r>
          </w:p>
        </w:tc>
      </w:tr>
      <w:tr w:rsidR="009674DC" w14:paraId="72FDE3A4" w14:textId="77777777" w:rsidTr="003D4EAE">
        <w:trPr>
          <w:jc w:val="center"/>
        </w:trPr>
        <w:tc>
          <w:tcPr>
            <w:tcW w:w="1690" w:type="dxa"/>
            <w:shd w:val="clear" w:color="auto" w:fill="auto"/>
          </w:tcPr>
          <w:p w14:paraId="7C89760D" w14:textId="77777777" w:rsidR="009674DC" w:rsidRPr="00E44BDA" w:rsidRDefault="009674DC" w:rsidP="009674DC">
            <w:pPr>
              <w:rPr>
                <w:noProof/>
              </w:rPr>
            </w:pPr>
            <w:r w:rsidRPr="00E176A0">
              <w:rPr>
                <w:rFonts w:cstheme="minorHAnsi"/>
                <w:noProof/>
              </w:rPr>
              <w:t>Part-26</w:t>
            </w:r>
          </w:p>
        </w:tc>
        <w:tc>
          <w:tcPr>
            <w:tcW w:w="6600" w:type="dxa"/>
            <w:shd w:val="clear" w:color="auto" w:fill="auto"/>
          </w:tcPr>
          <w:p w14:paraId="4082BF9E" w14:textId="77777777" w:rsidR="009674DC" w:rsidRDefault="009674DC" w:rsidP="009674DC">
            <w:pPr>
              <w:rPr>
                <w:noProof/>
              </w:rPr>
            </w:pPr>
            <w:r w:rsidRPr="00E176A0">
              <w:rPr>
                <w:noProof/>
              </w:rPr>
              <w:t xml:space="preserve">Annex I to Regulation (EU) 2015/640 </w:t>
            </w:r>
            <w:r>
              <w:rPr>
                <w:noProof/>
              </w:rPr>
              <w:t>—</w:t>
            </w:r>
            <w:r w:rsidRPr="00E176A0">
              <w:rPr>
                <w:noProof/>
              </w:rPr>
              <w:t xml:space="preserve"> additional airworthiness </w:t>
            </w:r>
            <w:r>
              <w:rPr>
                <w:noProof/>
              </w:rPr>
              <w:t>specifications</w:t>
            </w:r>
            <w:r w:rsidRPr="00E176A0">
              <w:rPr>
                <w:noProof/>
              </w:rPr>
              <w:t xml:space="preserve"> for operations</w:t>
            </w:r>
          </w:p>
        </w:tc>
      </w:tr>
      <w:tr w:rsidR="009674DC" w14:paraId="3E33A4B1" w14:textId="77777777" w:rsidTr="003D4EAE">
        <w:trPr>
          <w:jc w:val="center"/>
        </w:trPr>
        <w:tc>
          <w:tcPr>
            <w:tcW w:w="1690" w:type="dxa"/>
            <w:shd w:val="clear" w:color="auto" w:fill="auto"/>
          </w:tcPr>
          <w:p w14:paraId="11130337" w14:textId="77777777" w:rsidR="009674DC" w:rsidRPr="00E44BDA" w:rsidRDefault="009674DC" w:rsidP="009674DC">
            <w:pPr>
              <w:rPr>
                <w:noProof/>
              </w:rPr>
            </w:pPr>
            <w:r w:rsidRPr="00E176A0">
              <w:rPr>
                <w:rFonts w:cstheme="minorHAnsi"/>
                <w:noProof/>
              </w:rPr>
              <w:t>Part-66</w:t>
            </w:r>
          </w:p>
        </w:tc>
        <w:tc>
          <w:tcPr>
            <w:tcW w:w="6600" w:type="dxa"/>
            <w:shd w:val="clear" w:color="auto" w:fill="auto"/>
          </w:tcPr>
          <w:p w14:paraId="216F198B" w14:textId="77777777" w:rsidR="009674DC" w:rsidRDefault="009674DC" w:rsidP="009674DC">
            <w:pPr>
              <w:rPr>
                <w:noProof/>
              </w:rPr>
            </w:pPr>
            <w:r w:rsidRPr="00E176A0">
              <w:rPr>
                <w:rFonts w:cstheme="minorHAnsi"/>
                <w:noProof/>
              </w:rPr>
              <w:t xml:space="preserve">Annex III to Regulation (EU) No 1321/2014 </w:t>
            </w:r>
            <w:r>
              <w:rPr>
                <w:rFonts w:cstheme="minorHAnsi"/>
                <w:noProof/>
              </w:rPr>
              <w:t>–</w:t>
            </w:r>
            <w:r w:rsidRPr="00E176A0">
              <w:rPr>
                <w:rFonts w:cstheme="minorHAnsi"/>
                <w:noProof/>
              </w:rPr>
              <w:t xml:space="preserve"> </w:t>
            </w:r>
            <w:r>
              <w:rPr>
                <w:rFonts w:cstheme="minorHAnsi"/>
                <w:noProof/>
              </w:rPr>
              <w:t xml:space="preserve">maintenance </w:t>
            </w:r>
            <w:r w:rsidRPr="00E176A0">
              <w:rPr>
                <w:rFonts w:cstheme="minorHAnsi"/>
                <w:noProof/>
              </w:rPr>
              <w:t>certifying staff</w:t>
            </w:r>
          </w:p>
        </w:tc>
      </w:tr>
      <w:tr w:rsidR="009674DC" w14:paraId="40C11959" w14:textId="77777777" w:rsidTr="003D4EAE">
        <w:trPr>
          <w:jc w:val="center"/>
        </w:trPr>
        <w:tc>
          <w:tcPr>
            <w:tcW w:w="1690" w:type="dxa"/>
            <w:shd w:val="clear" w:color="auto" w:fill="auto"/>
          </w:tcPr>
          <w:p w14:paraId="5E41E0CF" w14:textId="77777777" w:rsidR="009674DC" w:rsidRPr="00E44BDA" w:rsidRDefault="009674DC" w:rsidP="009674DC">
            <w:pPr>
              <w:rPr>
                <w:noProof/>
              </w:rPr>
            </w:pPr>
            <w:r w:rsidRPr="003D4EAE">
              <w:rPr>
                <w:noProof/>
              </w:rPr>
              <w:t>Part-AIS</w:t>
            </w:r>
          </w:p>
        </w:tc>
        <w:tc>
          <w:tcPr>
            <w:tcW w:w="6600" w:type="dxa"/>
            <w:shd w:val="clear" w:color="auto" w:fill="auto"/>
          </w:tcPr>
          <w:p w14:paraId="205A3C1E" w14:textId="77777777" w:rsidR="009674DC" w:rsidRDefault="009674DC" w:rsidP="009674DC">
            <w:pPr>
              <w:rPr>
                <w:noProof/>
              </w:rPr>
            </w:pPr>
            <w:r w:rsidRPr="003D4EAE">
              <w:rPr>
                <w:noProof/>
              </w:rPr>
              <w:t>Annex VI to Regulation (EU) 2017/373 — specific requirements for providers of aeronautical information services</w:t>
            </w:r>
          </w:p>
        </w:tc>
      </w:tr>
      <w:tr w:rsidR="009674DC" w14:paraId="2D1DFC79" w14:textId="77777777" w:rsidTr="003D4EAE">
        <w:trPr>
          <w:jc w:val="center"/>
        </w:trPr>
        <w:tc>
          <w:tcPr>
            <w:tcW w:w="1690" w:type="dxa"/>
            <w:shd w:val="clear" w:color="auto" w:fill="auto"/>
          </w:tcPr>
          <w:p w14:paraId="4AF64BFD" w14:textId="77777777" w:rsidR="009674DC" w:rsidRPr="00E176A0" w:rsidRDefault="009674DC" w:rsidP="009674DC">
            <w:pPr>
              <w:rPr>
                <w:rFonts w:cstheme="minorHAnsi"/>
                <w:noProof/>
              </w:rPr>
            </w:pPr>
            <w:r>
              <w:rPr>
                <w:rFonts w:cstheme="minorHAnsi"/>
                <w:noProof/>
              </w:rPr>
              <w:t>Part-ARA</w:t>
            </w:r>
          </w:p>
        </w:tc>
        <w:tc>
          <w:tcPr>
            <w:tcW w:w="6600" w:type="dxa"/>
            <w:shd w:val="clear" w:color="auto" w:fill="auto"/>
          </w:tcPr>
          <w:p w14:paraId="65CE0EE3" w14:textId="77777777" w:rsidR="009674DC" w:rsidRPr="00E176A0" w:rsidRDefault="009674DC" w:rsidP="009674DC">
            <w:pPr>
              <w:rPr>
                <w:rFonts w:cstheme="minorHAnsi"/>
                <w:noProof/>
              </w:rPr>
            </w:pPr>
            <w:r w:rsidRPr="00E176A0">
              <w:rPr>
                <w:rFonts w:cstheme="minorHAnsi"/>
                <w:noProof/>
              </w:rPr>
              <w:t xml:space="preserve">Annex </w:t>
            </w:r>
            <w:r>
              <w:rPr>
                <w:rFonts w:cstheme="minorHAnsi"/>
                <w:noProof/>
              </w:rPr>
              <w:t>V</w:t>
            </w:r>
            <w:r w:rsidRPr="00E176A0">
              <w:rPr>
                <w:rFonts w:cstheme="minorHAnsi"/>
                <w:noProof/>
              </w:rPr>
              <w:t xml:space="preserve">I to Regulation (EU) </w:t>
            </w:r>
            <w:r>
              <w:rPr>
                <w:rFonts w:cstheme="minorHAnsi"/>
                <w:noProof/>
              </w:rPr>
              <w:t>No </w:t>
            </w:r>
            <w:r w:rsidRPr="00E176A0">
              <w:rPr>
                <w:rFonts w:cstheme="minorHAnsi"/>
                <w:noProof/>
              </w:rPr>
              <w:t xml:space="preserve">1178/2011 </w:t>
            </w:r>
            <w:r>
              <w:rPr>
                <w:rFonts w:cstheme="minorHAnsi"/>
                <w:noProof/>
              </w:rPr>
              <w:t>—</w:t>
            </w:r>
            <w:r w:rsidRPr="00E176A0">
              <w:rPr>
                <w:rFonts w:cstheme="minorHAnsi"/>
                <w:noProof/>
              </w:rPr>
              <w:t xml:space="preserve"> </w:t>
            </w:r>
            <w:r>
              <w:rPr>
                <w:rFonts w:cstheme="minorHAnsi"/>
                <w:noProof/>
              </w:rPr>
              <w:t xml:space="preserve">authority </w:t>
            </w:r>
            <w:r w:rsidRPr="00E176A0">
              <w:rPr>
                <w:rFonts w:cstheme="minorHAnsi"/>
                <w:noProof/>
              </w:rPr>
              <w:t>requirements for aircrew</w:t>
            </w:r>
          </w:p>
        </w:tc>
      </w:tr>
      <w:tr w:rsidR="009674DC" w14:paraId="0A681761" w14:textId="77777777" w:rsidTr="003D4EAE">
        <w:trPr>
          <w:jc w:val="center"/>
        </w:trPr>
        <w:tc>
          <w:tcPr>
            <w:tcW w:w="1690" w:type="dxa"/>
            <w:shd w:val="clear" w:color="auto" w:fill="auto"/>
          </w:tcPr>
          <w:p w14:paraId="726B77E9" w14:textId="77777777" w:rsidR="009674DC" w:rsidRPr="00E44BDA" w:rsidRDefault="009674DC" w:rsidP="009674DC">
            <w:pPr>
              <w:rPr>
                <w:noProof/>
              </w:rPr>
            </w:pPr>
            <w:r w:rsidRPr="00E176A0">
              <w:rPr>
                <w:rFonts w:cstheme="minorHAnsi"/>
                <w:noProof/>
              </w:rPr>
              <w:t>Part-ARO</w:t>
            </w:r>
          </w:p>
        </w:tc>
        <w:tc>
          <w:tcPr>
            <w:tcW w:w="6600" w:type="dxa"/>
            <w:shd w:val="clear" w:color="auto" w:fill="auto"/>
          </w:tcPr>
          <w:p w14:paraId="1FE40A33" w14:textId="77777777" w:rsidR="009674DC" w:rsidRDefault="009674DC" w:rsidP="009674DC">
            <w:pPr>
              <w:rPr>
                <w:noProof/>
              </w:rPr>
            </w:pPr>
            <w:r w:rsidRPr="00E176A0">
              <w:rPr>
                <w:rFonts w:cstheme="minorHAnsi"/>
                <w:noProof/>
              </w:rPr>
              <w:t xml:space="preserve">Annex II to Regulation (EU) </w:t>
            </w:r>
            <w:r>
              <w:rPr>
                <w:rFonts w:cstheme="minorHAnsi"/>
                <w:noProof/>
              </w:rPr>
              <w:t>No </w:t>
            </w:r>
            <w:r w:rsidRPr="00E176A0">
              <w:rPr>
                <w:rFonts w:cstheme="minorHAnsi"/>
                <w:noProof/>
              </w:rPr>
              <w:t xml:space="preserve">965/2012 </w:t>
            </w:r>
            <w:r>
              <w:rPr>
                <w:rFonts w:cstheme="minorHAnsi"/>
                <w:noProof/>
              </w:rPr>
              <w:t>—</w:t>
            </w:r>
            <w:r w:rsidRPr="00E176A0">
              <w:rPr>
                <w:rFonts w:cstheme="minorHAnsi"/>
                <w:noProof/>
              </w:rPr>
              <w:t xml:space="preserve"> authority requirements for air operations</w:t>
            </w:r>
          </w:p>
        </w:tc>
      </w:tr>
      <w:tr w:rsidR="009674DC" w14:paraId="6D33B51A" w14:textId="77777777" w:rsidTr="003D4EAE">
        <w:trPr>
          <w:jc w:val="center"/>
        </w:trPr>
        <w:tc>
          <w:tcPr>
            <w:tcW w:w="1690" w:type="dxa"/>
            <w:shd w:val="clear" w:color="auto" w:fill="auto"/>
          </w:tcPr>
          <w:p w14:paraId="56559757" w14:textId="77777777" w:rsidR="009674DC" w:rsidRDefault="009674DC" w:rsidP="009674DC">
            <w:pPr>
              <w:rPr>
                <w:rFonts w:cstheme="minorHAnsi"/>
                <w:noProof/>
              </w:rPr>
            </w:pPr>
            <w:r>
              <w:rPr>
                <w:rFonts w:cstheme="minorHAnsi"/>
                <w:noProof/>
              </w:rPr>
              <w:t>Part-ART</w:t>
            </w:r>
          </w:p>
        </w:tc>
        <w:tc>
          <w:tcPr>
            <w:tcW w:w="6600" w:type="dxa"/>
            <w:shd w:val="clear" w:color="auto" w:fill="auto"/>
          </w:tcPr>
          <w:p w14:paraId="2C9BB9CD" w14:textId="77777777" w:rsidR="009674DC" w:rsidRDefault="009674DC" w:rsidP="009674DC">
            <w:pPr>
              <w:rPr>
                <w:rFonts w:cstheme="minorHAnsi"/>
                <w:noProof/>
              </w:rPr>
            </w:pPr>
            <w:r>
              <w:rPr>
                <w:noProof/>
              </w:rPr>
              <w:t xml:space="preserve">Annex 2 to Regulation (EU) No 452/2014 — </w:t>
            </w:r>
            <w:r w:rsidRPr="00E176A0">
              <w:rPr>
                <w:rFonts w:cstheme="minorHAnsi"/>
                <w:noProof/>
              </w:rPr>
              <w:t xml:space="preserve">authority requirements </w:t>
            </w:r>
            <w:r>
              <w:rPr>
                <w:rFonts w:cstheme="minorHAnsi"/>
                <w:noProof/>
              </w:rPr>
              <w:t xml:space="preserve">regarding the </w:t>
            </w:r>
            <w:r>
              <w:rPr>
                <w:noProof/>
              </w:rPr>
              <w:t>authorisation of third country operators</w:t>
            </w:r>
          </w:p>
        </w:tc>
      </w:tr>
      <w:tr w:rsidR="009674DC" w14:paraId="51695ED6" w14:textId="77777777" w:rsidTr="003D4EAE">
        <w:trPr>
          <w:jc w:val="center"/>
        </w:trPr>
        <w:tc>
          <w:tcPr>
            <w:tcW w:w="1690" w:type="dxa"/>
            <w:shd w:val="clear" w:color="auto" w:fill="auto"/>
          </w:tcPr>
          <w:p w14:paraId="73B79928" w14:textId="77777777" w:rsidR="009674DC" w:rsidRPr="00E44BDA" w:rsidRDefault="009674DC" w:rsidP="009674DC">
            <w:pPr>
              <w:rPr>
                <w:noProof/>
              </w:rPr>
            </w:pPr>
            <w:r w:rsidRPr="003D4EAE">
              <w:rPr>
                <w:noProof/>
              </w:rPr>
              <w:t>Part-ASM</w:t>
            </w:r>
          </w:p>
        </w:tc>
        <w:tc>
          <w:tcPr>
            <w:tcW w:w="6600" w:type="dxa"/>
            <w:shd w:val="clear" w:color="auto" w:fill="auto"/>
          </w:tcPr>
          <w:p w14:paraId="657B9754" w14:textId="77777777" w:rsidR="009674DC" w:rsidRDefault="009674DC" w:rsidP="009674DC">
            <w:pPr>
              <w:rPr>
                <w:noProof/>
              </w:rPr>
            </w:pPr>
            <w:r w:rsidRPr="003D4EAE">
              <w:rPr>
                <w:noProof/>
              </w:rPr>
              <w:t>Annex X  to Regulation (EU) 2017/373  — specific requirements for providers of airspace management</w:t>
            </w:r>
          </w:p>
        </w:tc>
      </w:tr>
      <w:tr w:rsidR="009674DC" w14:paraId="699D4118" w14:textId="77777777" w:rsidTr="003D4EAE">
        <w:trPr>
          <w:jc w:val="center"/>
        </w:trPr>
        <w:tc>
          <w:tcPr>
            <w:tcW w:w="1690" w:type="dxa"/>
            <w:shd w:val="clear" w:color="auto" w:fill="auto"/>
          </w:tcPr>
          <w:p w14:paraId="5268121B" w14:textId="77777777" w:rsidR="009674DC" w:rsidRPr="00E44BDA" w:rsidRDefault="009674DC" w:rsidP="009674DC">
            <w:pPr>
              <w:rPr>
                <w:noProof/>
              </w:rPr>
            </w:pPr>
            <w:r w:rsidRPr="003D4EAE">
              <w:rPr>
                <w:noProof/>
              </w:rPr>
              <w:t>Part-ATFM</w:t>
            </w:r>
          </w:p>
        </w:tc>
        <w:tc>
          <w:tcPr>
            <w:tcW w:w="6600" w:type="dxa"/>
            <w:shd w:val="clear" w:color="auto" w:fill="auto"/>
          </w:tcPr>
          <w:p w14:paraId="7D8B71E4" w14:textId="77777777" w:rsidR="009674DC" w:rsidRDefault="009674DC" w:rsidP="009674DC">
            <w:pPr>
              <w:rPr>
                <w:noProof/>
              </w:rPr>
            </w:pPr>
            <w:r w:rsidRPr="003D4EAE">
              <w:rPr>
                <w:noProof/>
              </w:rPr>
              <w:t>Annex IX  to Regulation</w:t>
            </w:r>
            <w:r>
              <w:rPr>
                <w:noProof/>
              </w:rPr>
              <w:t xml:space="preserve"> </w:t>
            </w:r>
            <w:r w:rsidRPr="003D4EAE">
              <w:rPr>
                <w:noProof/>
              </w:rPr>
              <w:t>(EU) 2017/373 — specific requirements for providers of air traffic flow management</w:t>
            </w:r>
          </w:p>
        </w:tc>
      </w:tr>
      <w:tr w:rsidR="009674DC" w14:paraId="57AF7C4A" w14:textId="77777777" w:rsidTr="003D4EAE">
        <w:trPr>
          <w:jc w:val="center"/>
        </w:trPr>
        <w:tc>
          <w:tcPr>
            <w:tcW w:w="1690" w:type="dxa"/>
            <w:shd w:val="clear" w:color="auto" w:fill="auto"/>
          </w:tcPr>
          <w:p w14:paraId="50D72CEE" w14:textId="77777777" w:rsidR="009674DC" w:rsidRPr="00E44BDA" w:rsidRDefault="009674DC" w:rsidP="009674DC">
            <w:pPr>
              <w:rPr>
                <w:noProof/>
              </w:rPr>
            </w:pPr>
            <w:r w:rsidRPr="003D4EAE">
              <w:rPr>
                <w:noProof/>
              </w:rPr>
              <w:t>Part-ATM/ANS.AR</w:t>
            </w:r>
          </w:p>
        </w:tc>
        <w:tc>
          <w:tcPr>
            <w:tcW w:w="6600" w:type="dxa"/>
            <w:shd w:val="clear" w:color="auto" w:fill="auto"/>
          </w:tcPr>
          <w:p w14:paraId="69E37FEC" w14:textId="77777777" w:rsidR="009674DC" w:rsidRDefault="009674DC" w:rsidP="009674DC">
            <w:pPr>
              <w:rPr>
                <w:noProof/>
              </w:rPr>
            </w:pPr>
            <w:r w:rsidRPr="003D4EAE">
              <w:rPr>
                <w:noProof/>
              </w:rPr>
              <w:t>Annex II to Regulation (EU) 2017/373 — requirements for competent authorities — oversight of services and other ATM network functions</w:t>
            </w:r>
          </w:p>
        </w:tc>
      </w:tr>
      <w:tr w:rsidR="009674DC" w14:paraId="62AAD3B7" w14:textId="77777777" w:rsidTr="003D4EAE">
        <w:trPr>
          <w:jc w:val="center"/>
        </w:trPr>
        <w:tc>
          <w:tcPr>
            <w:tcW w:w="1690" w:type="dxa"/>
            <w:shd w:val="clear" w:color="auto" w:fill="auto"/>
          </w:tcPr>
          <w:p w14:paraId="024010E2" w14:textId="77777777" w:rsidR="009674DC" w:rsidRPr="00E44BDA" w:rsidRDefault="009674DC" w:rsidP="009674DC">
            <w:pPr>
              <w:rPr>
                <w:noProof/>
              </w:rPr>
            </w:pPr>
            <w:r w:rsidRPr="003D4EAE">
              <w:rPr>
                <w:noProof/>
              </w:rPr>
              <w:t>Part-ATM/ANS.OR</w:t>
            </w:r>
          </w:p>
        </w:tc>
        <w:tc>
          <w:tcPr>
            <w:tcW w:w="6600" w:type="dxa"/>
            <w:shd w:val="clear" w:color="auto" w:fill="auto"/>
          </w:tcPr>
          <w:p w14:paraId="6ED45416" w14:textId="77777777" w:rsidR="009674DC" w:rsidRDefault="009674DC" w:rsidP="009674DC">
            <w:pPr>
              <w:rPr>
                <w:noProof/>
              </w:rPr>
            </w:pPr>
            <w:r w:rsidRPr="003D4EAE">
              <w:rPr>
                <w:noProof/>
              </w:rPr>
              <w:t>Annex III  to Regulation (EU) 2017/373 — common requirements for service providers</w:t>
            </w:r>
          </w:p>
        </w:tc>
      </w:tr>
      <w:tr w:rsidR="009674DC" w14:paraId="6F1A7C6E" w14:textId="77777777" w:rsidTr="003D4EAE">
        <w:trPr>
          <w:jc w:val="center"/>
        </w:trPr>
        <w:tc>
          <w:tcPr>
            <w:tcW w:w="1690" w:type="dxa"/>
            <w:shd w:val="clear" w:color="auto" w:fill="auto"/>
          </w:tcPr>
          <w:p w14:paraId="4E8910D6" w14:textId="77777777" w:rsidR="009674DC" w:rsidRPr="00E44BDA" w:rsidRDefault="009674DC" w:rsidP="009674DC">
            <w:pPr>
              <w:rPr>
                <w:noProof/>
              </w:rPr>
            </w:pPr>
            <w:r w:rsidRPr="003D4EAE">
              <w:rPr>
                <w:noProof/>
              </w:rPr>
              <w:t>Part-ATS</w:t>
            </w:r>
          </w:p>
        </w:tc>
        <w:tc>
          <w:tcPr>
            <w:tcW w:w="6600" w:type="dxa"/>
            <w:shd w:val="clear" w:color="auto" w:fill="auto"/>
          </w:tcPr>
          <w:p w14:paraId="7B57B728" w14:textId="77777777" w:rsidR="009674DC" w:rsidRDefault="009674DC" w:rsidP="009674DC">
            <w:pPr>
              <w:rPr>
                <w:noProof/>
              </w:rPr>
            </w:pPr>
            <w:r w:rsidRPr="003D4EAE">
              <w:rPr>
                <w:noProof/>
              </w:rPr>
              <w:t>Annex IV  to Regulation</w:t>
            </w:r>
            <w:r>
              <w:rPr>
                <w:noProof/>
              </w:rPr>
              <w:t xml:space="preserve"> </w:t>
            </w:r>
            <w:r w:rsidRPr="003D4EAE">
              <w:rPr>
                <w:noProof/>
              </w:rPr>
              <w:t>(EU) 2017/373  — specific requirements for providers of air traffic services</w:t>
            </w:r>
          </w:p>
        </w:tc>
      </w:tr>
      <w:tr w:rsidR="009674DC" w14:paraId="3BC50D55" w14:textId="77777777" w:rsidTr="003D4EAE">
        <w:trPr>
          <w:jc w:val="center"/>
        </w:trPr>
        <w:tc>
          <w:tcPr>
            <w:tcW w:w="1690" w:type="dxa"/>
            <w:shd w:val="clear" w:color="auto" w:fill="auto"/>
          </w:tcPr>
          <w:p w14:paraId="66246E63" w14:textId="77777777" w:rsidR="009674DC" w:rsidRDefault="009674DC" w:rsidP="009674DC">
            <w:pPr>
              <w:rPr>
                <w:rFonts w:cstheme="minorHAnsi"/>
                <w:noProof/>
              </w:rPr>
            </w:pPr>
            <w:r>
              <w:rPr>
                <w:rFonts w:cstheme="minorHAnsi"/>
                <w:noProof/>
              </w:rPr>
              <w:t>Part-BFCL</w:t>
            </w:r>
          </w:p>
        </w:tc>
        <w:tc>
          <w:tcPr>
            <w:tcW w:w="6600" w:type="dxa"/>
            <w:shd w:val="clear" w:color="auto" w:fill="auto"/>
          </w:tcPr>
          <w:p w14:paraId="1EABB17F" w14:textId="77777777" w:rsidR="009674DC" w:rsidRDefault="009674DC" w:rsidP="009674DC">
            <w:pPr>
              <w:rPr>
                <w:rFonts w:cstheme="minorHAnsi"/>
                <w:noProof/>
              </w:rPr>
            </w:pPr>
            <w:r>
              <w:rPr>
                <w:rFonts w:cstheme="minorHAnsi"/>
                <w:noProof/>
              </w:rPr>
              <w:t xml:space="preserve">Annex III to Regulation (EU) 2018/395 — </w:t>
            </w:r>
            <w:r w:rsidRPr="00E176A0">
              <w:rPr>
                <w:rFonts w:cstheme="minorHAnsi"/>
                <w:noProof/>
              </w:rPr>
              <w:t xml:space="preserve">requirements </w:t>
            </w:r>
            <w:r>
              <w:rPr>
                <w:rFonts w:cstheme="minorHAnsi"/>
                <w:noProof/>
              </w:rPr>
              <w:t>for balloon flight crew licensing</w:t>
            </w:r>
          </w:p>
        </w:tc>
      </w:tr>
      <w:tr w:rsidR="009674DC" w14:paraId="34EFCB71" w14:textId="77777777" w:rsidTr="003D4EAE">
        <w:trPr>
          <w:jc w:val="center"/>
        </w:trPr>
        <w:tc>
          <w:tcPr>
            <w:tcW w:w="1690" w:type="dxa"/>
            <w:shd w:val="clear" w:color="auto" w:fill="auto"/>
          </w:tcPr>
          <w:p w14:paraId="119D5890" w14:textId="77777777" w:rsidR="009674DC" w:rsidRDefault="009674DC" w:rsidP="009674DC">
            <w:pPr>
              <w:rPr>
                <w:rFonts w:cstheme="minorHAnsi"/>
                <w:noProof/>
              </w:rPr>
            </w:pPr>
            <w:r>
              <w:rPr>
                <w:rFonts w:cstheme="minorHAnsi"/>
                <w:noProof/>
              </w:rPr>
              <w:t>Part-BOP</w:t>
            </w:r>
          </w:p>
        </w:tc>
        <w:tc>
          <w:tcPr>
            <w:tcW w:w="6600" w:type="dxa"/>
            <w:shd w:val="clear" w:color="auto" w:fill="auto"/>
          </w:tcPr>
          <w:p w14:paraId="5C5B4841" w14:textId="77777777" w:rsidR="009674DC" w:rsidRPr="00E176A0" w:rsidRDefault="009674DC" w:rsidP="009674DC">
            <w:pPr>
              <w:rPr>
                <w:rFonts w:cstheme="minorHAnsi"/>
                <w:noProof/>
              </w:rPr>
            </w:pPr>
            <w:r>
              <w:rPr>
                <w:rFonts w:cstheme="minorHAnsi"/>
                <w:noProof/>
              </w:rPr>
              <w:t>Annex II to Regulation (EU) 2018/395 — balloon air operations</w:t>
            </w:r>
          </w:p>
        </w:tc>
      </w:tr>
      <w:tr w:rsidR="009674DC" w14:paraId="78BCB961" w14:textId="77777777" w:rsidTr="003D4EAE">
        <w:trPr>
          <w:jc w:val="center"/>
        </w:trPr>
        <w:tc>
          <w:tcPr>
            <w:tcW w:w="1690" w:type="dxa"/>
            <w:shd w:val="clear" w:color="auto" w:fill="auto"/>
          </w:tcPr>
          <w:p w14:paraId="6E5C821E" w14:textId="77777777" w:rsidR="009674DC" w:rsidRPr="00E176A0" w:rsidRDefault="009674DC" w:rsidP="009674DC">
            <w:pPr>
              <w:rPr>
                <w:rFonts w:cstheme="minorHAnsi"/>
                <w:noProof/>
              </w:rPr>
            </w:pPr>
            <w:r>
              <w:rPr>
                <w:rFonts w:cstheme="minorHAnsi"/>
                <w:noProof/>
              </w:rPr>
              <w:t>Part-CAMO</w:t>
            </w:r>
          </w:p>
        </w:tc>
        <w:tc>
          <w:tcPr>
            <w:tcW w:w="6600" w:type="dxa"/>
            <w:shd w:val="clear" w:color="auto" w:fill="auto"/>
          </w:tcPr>
          <w:p w14:paraId="6DF8B175" w14:textId="77777777" w:rsidR="009674DC" w:rsidRPr="00E176A0" w:rsidRDefault="009674DC" w:rsidP="009674DC">
            <w:pPr>
              <w:rPr>
                <w:rFonts w:cstheme="minorHAnsi"/>
                <w:noProof/>
              </w:rPr>
            </w:pPr>
            <w:r w:rsidRPr="00E176A0">
              <w:rPr>
                <w:rFonts w:cstheme="minorHAnsi"/>
                <w:noProof/>
              </w:rPr>
              <w:t xml:space="preserve">Annex </w:t>
            </w:r>
            <w:r>
              <w:rPr>
                <w:rFonts w:cstheme="minorHAnsi"/>
                <w:noProof/>
              </w:rPr>
              <w:t>Vc</w:t>
            </w:r>
            <w:r w:rsidRPr="00E176A0">
              <w:rPr>
                <w:rFonts w:cstheme="minorHAnsi"/>
                <w:noProof/>
              </w:rPr>
              <w:t xml:space="preserve"> to Regulation (EU) No 1321/2014 - continuing airworthiness </w:t>
            </w:r>
            <w:r>
              <w:rPr>
                <w:rFonts w:cstheme="minorHAnsi"/>
                <w:noProof/>
              </w:rPr>
              <w:t xml:space="preserve">management organisations </w:t>
            </w:r>
          </w:p>
        </w:tc>
      </w:tr>
      <w:tr w:rsidR="009674DC" w14:paraId="689CAD53" w14:textId="77777777" w:rsidTr="003D4EAE">
        <w:trPr>
          <w:jc w:val="center"/>
        </w:trPr>
        <w:tc>
          <w:tcPr>
            <w:tcW w:w="1690" w:type="dxa"/>
            <w:shd w:val="clear" w:color="auto" w:fill="auto"/>
          </w:tcPr>
          <w:p w14:paraId="7B20C362" w14:textId="77777777" w:rsidR="009674DC" w:rsidRPr="00E44BDA" w:rsidRDefault="009674DC" w:rsidP="009674DC">
            <w:pPr>
              <w:rPr>
                <w:noProof/>
              </w:rPr>
            </w:pPr>
            <w:r w:rsidRPr="003D4EAE">
              <w:rPr>
                <w:noProof/>
              </w:rPr>
              <w:t>Part-CNS</w:t>
            </w:r>
          </w:p>
        </w:tc>
        <w:tc>
          <w:tcPr>
            <w:tcW w:w="6600" w:type="dxa"/>
            <w:shd w:val="clear" w:color="auto" w:fill="auto"/>
          </w:tcPr>
          <w:p w14:paraId="32F47E43" w14:textId="77777777" w:rsidR="009674DC" w:rsidRDefault="009674DC" w:rsidP="009674DC">
            <w:pPr>
              <w:rPr>
                <w:noProof/>
              </w:rPr>
            </w:pPr>
            <w:r w:rsidRPr="003D4EAE">
              <w:rPr>
                <w:noProof/>
              </w:rPr>
              <w:t xml:space="preserve">Annex VIII  to Regulation (EU) 2017/373 </w:t>
            </w:r>
            <w:r>
              <w:rPr>
                <w:noProof/>
              </w:rPr>
              <w:t xml:space="preserve"> </w:t>
            </w:r>
            <w:r w:rsidRPr="003D4EAE">
              <w:rPr>
                <w:noProof/>
              </w:rPr>
              <w:t>— specific requirements for providers of communication, navigation, or surveillance services</w:t>
            </w:r>
          </w:p>
        </w:tc>
      </w:tr>
      <w:tr w:rsidR="009674DC" w14:paraId="3C9FA704" w14:textId="77777777" w:rsidTr="003D4EAE">
        <w:trPr>
          <w:jc w:val="center"/>
        </w:trPr>
        <w:tc>
          <w:tcPr>
            <w:tcW w:w="1690" w:type="dxa"/>
            <w:shd w:val="clear" w:color="auto" w:fill="auto"/>
          </w:tcPr>
          <w:p w14:paraId="5DB232F3" w14:textId="77777777" w:rsidR="009674DC" w:rsidRPr="00E44BDA" w:rsidRDefault="009674DC" w:rsidP="009674DC">
            <w:pPr>
              <w:rPr>
                <w:noProof/>
              </w:rPr>
            </w:pPr>
            <w:r w:rsidRPr="003D4EAE">
              <w:rPr>
                <w:noProof/>
              </w:rPr>
              <w:t>Part-DAT</w:t>
            </w:r>
          </w:p>
        </w:tc>
        <w:tc>
          <w:tcPr>
            <w:tcW w:w="6600" w:type="dxa"/>
            <w:shd w:val="clear" w:color="auto" w:fill="auto"/>
          </w:tcPr>
          <w:p w14:paraId="18598067" w14:textId="77777777" w:rsidR="009674DC" w:rsidRDefault="009674DC" w:rsidP="009674DC">
            <w:pPr>
              <w:rPr>
                <w:noProof/>
              </w:rPr>
            </w:pPr>
            <w:r w:rsidRPr="003D4EAE">
              <w:rPr>
                <w:noProof/>
              </w:rPr>
              <w:t>Annex VII  to Regulation (EU)</w:t>
            </w:r>
            <w:r>
              <w:rPr>
                <w:noProof/>
              </w:rPr>
              <w:t xml:space="preserve"> </w:t>
            </w:r>
            <w:r w:rsidRPr="003D4EAE">
              <w:rPr>
                <w:noProof/>
              </w:rPr>
              <w:t>2017/373 — specific requirements for providers of data services</w:t>
            </w:r>
          </w:p>
        </w:tc>
      </w:tr>
      <w:tr w:rsidR="009674DC" w14:paraId="0CE0B407" w14:textId="77777777" w:rsidTr="003D4EAE">
        <w:trPr>
          <w:jc w:val="center"/>
        </w:trPr>
        <w:tc>
          <w:tcPr>
            <w:tcW w:w="1690" w:type="dxa"/>
            <w:shd w:val="clear" w:color="auto" w:fill="auto"/>
          </w:tcPr>
          <w:p w14:paraId="53D715C0" w14:textId="77777777" w:rsidR="009674DC" w:rsidRPr="00E176A0" w:rsidRDefault="009674DC" w:rsidP="009674DC">
            <w:pPr>
              <w:rPr>
                <w:rFonts w:cstheme="minorHAnsi"/>
                <w:noProof/>
              </w:rPr>
            </w:pPr>
            <w:r>
              <w:rPr>
                <w:rFonts w:cstheme="minorHAnsi"/>
                <w:noProof/>
              </w:rPr>
              <w:t>Part-DEF</w:t>
            </w:r>
          </w:p>
        </w:tc>
        <w:tc>
          <w:tcPr>
            <w:tcW w:w="6600" w:type="dxa"/>
            <w:shd w:val="clear" w:color="auto" w:fill="auto"/>
          </w:tcPr>
          <w:p w14:paraId="7D6A43A8" w14:textId="77777777" w:rsidR="009674DC" w:rsidRDefault="009674DC" w:rsidP="009674DC">
            <w:pPr>
              <w:rPr>
                <w:rFonts w:cstheme="minorHAnsi"/>
                <w:noProof/>
              </w:rPr>
            </w:pPr>
            <w:r>
              <w:rPr>
                <w:rFonts w:cstheme="minorHAnsi"/>
                <w:noProof/>
              </w:rPr>
              <w:t>Annex I to Regulation (EU) 2018/395 — definitions (balloons)</w:t>
            </w:r>
          </w:p>
          <w:p w14:paraId="70B28D39" w14:textId="77777777" w:rsidR="009674DC" w:rsidRPr="00E176A0" w:rsidRDefault="009674DC" w:rsidP="009674DC">
            <w:pPr>
              <w:rPr>
                <w:rFonts w:cstheme="minorHAnsi"/>
                <w:noProof/>
              </w:rPr>
            </w:pPr>
            <w:r>
              <w:rPr>
                <w:rFonts w:cstheme="minorHAnsi"/>
                <w:noProof/>
              </w:rPr>
              <w:t>Annex I to Regulation (EU) 2018/1976 — definitions (sailplanes)</w:t>
            </w:r>
          </w:p>
        </w:tc>
      </w:tr>
      <w:tr w:rsidR="009674DC" w14:paraId="47BE160E" w14:textId="77777777" w:rsidTr="003D4EAE">
        <w:trPr>
          <w:jc w:val="center"/>
        </w:trPr>
        <w:tc>
          <w:tcPr>
            <w:tcW w:w="1690" w:type="dxa"/>
            <w:shd w:val="clear" w:color="auto" w:fill="auto"/>
          </w:tcPr>
          <w:p w14:paraId="23672ECF" w14:textId="77777777" w:rsidR="009674DC" w:rsidRPr="00E44BDA" w:rsidRDefault="009674DC" w:rsidP="009674DC">
            <w:pPr>
              <w:rPr>
                <w:noProof/>
              </w:rPr>
            </w:pPr>
            <w:r w:rsidRPr="00E176A0">
              <w:rPr>
                <w:rFonts w:cstheme="minorHAnsi"/>
                <w:noProof/>
              </w:rPr>
              <w:t>Part-FCL</w:t>
            </w:r>
          </w:p>
        </w:tc>
        <w:tc>
          <w:tcPr>
            <w:tcW w:w="6600" w:type="dxa"/>
            <w:shd w:val="clear" w:color="auto" w:fill="auto"/>
          </w:tcPr>
          <w:p w14:paraId="487B92DD" w14:textId="77777777" w:rsidR="009674DC" w:rsidRDefault="009674DC" w:rsidP="009674DC">
            <w:pPr>
              <w:rPr>
                <w:noProof/>
              </w:rPr>
            </w:pPr>
            <w:r w:rsidRPr="00E176A0">
              <w:rPr>
                <w:rFonts w:cstheme="minorHAnsi"/>
                <w:noProof/>
              </w:rPr>
              <w:t xml:space="preserve">Annex I to Regulation (EU) </w:t>
            </w:r>
            <w:r>
              <w:rPr>
                <w:rFonts w:cstheme="minorHAnsi"/>
                <w:noProof/>
              </w:rPr>
              <w:t>No </w:t>
            </w:r>
            <w:r w:rsidRPr="00E176A0">
              <w:rPr>
                <w:rFonts w:cstheme="minorHAnsi"/>
                <w:noProof/>
              </w:rPr>
              <w:t xml:space="preserve">1178/2011 </w:t>
            </w:r>
            <w:r>
              <w:rPr>
                <w:rFonts w:cstheme="minorHAnsi"/>
                <w:noProof/>
              </w:rPr>
              <w:t>—</w:t>
            </w:r>
            <w:r w:rsidRPr="00E176A0">
              <w:rPr>
                <w:rFonts w:cstheme="minorHAnsi"/>
                <w:noProof/>
              </w:rPr>
              <w:t xml:space="preserve"> flight crew licensing</w:t>
            </w:r>
          </w:p>
        </w:tc>
      </w:tr>
      <w:tr w:rsidR="009674DC" w14:paraId="5C379C29" w14:textId="77777777" w:rsidTr="003D4EAE">
        <w:trPr>
          <w:jc w:val="center"/>
        </w:trPr>
        <w:tc>
          <w:tcPr>
            <w:tcW w:w="1690" w:type="dxa"/>
            <w:shd w:val="clear" w:color="auto" w:fill="auto"/>
          </w:tcPr>
          <w:p w14:paraId="6260F4E5" w14:textId="77777777" w:rsidR="009674DC" w:rsidRPr="00E44BDA" w:rsidRDefault="009674DC" w:rsidP="009674DC">
            <w:pPr>
              <w:rPr>
                <w:noProof/>
              </w:rPr>
            </w:pPr>
            <w:r w:rsidRPr="003D4EAE">
              <w:rPr>
                <w:noProof/>
              </w:rPr>
              <w:t>Part-FPD</w:t>
            </w:r>
          </w:p>
        </w:tc>
        <w:tc>
          <w:tcPr>
            <w:tcW w:w="6600" w:type="dxa"/>
            <w:shd w:val="clear" w:color="auto" w:fill="auto"/>
          </w:tcPr>
          <w:p w14:paraId="3C9FDEEA" w14:textId="77777777" w:rsidR="009674DC" w:rsidRDefault="009674DC" w:rsidP="009674DC">
            <w:pPr>
              <w:rPr>
                <w:noProof/>
              </w:rPr>
            </w:pPr>
            <w:r w:rsidRPr="003D4EAE">
              <w:rPr>
                <w:noProof/>
              </w:rPr>
              <w:t xml:space="preserve">Annex XI  to Regulation (EU) 2017/373  — specific requirements for providers of procedure design  </w:t>
            </w:r>
          </w:p>
        </w:tc>
      </w:tr>
      <w:tr w:rsidR="009674DC" w14:paraId="0D4AE676" w14:textId="77777777" w:rsidTr="003D4EAE">
        <w:trPr>
          <w:jc w:val="center"/>
        </w:trPr>
        <w:tc>
          <w:tcPr>
            <w:tcW w:w="1690" w:type="dxa"/>
            <w:shd w:val="clear" w:color="auto" w:fill="auto"/>
          </w:tcPr>
          <w:p w14:paraId="5C6EB2F9" w14:textId="77777777" w:rsidR="009674DC" w:rsidRPr="00E44BDA" w:rsidRDefault="009674DC" w:rsidP="009674DC">
            <w:pPr>
              <w:rPr>
                <w:noProof/>
              </w:rPr>
            </w:pPr>
            <w:r w:rsidRPr="00E176A0">
              <w:rPr>
                <w:rFonts w:cstheme="minorHAnsi"/>
                <w:noProof/>
              </w:rPr>
              <w:t>Part-M</w:t>
            </w:r>
          </w:p>
        </w:tc>
        <w:tc>
          <w:tcPr>
            <w:tcW w:w="6600" w:type="dxa"/>
            <w:shd w:val="clear" w:color="auto" w:fill="auto"/>
          </w:tcPr>
          <w:p w14:paraId="1DD4F1BF" w14:textId="77777777" w:rsidR="009674DC" w:rsidRDefault="009674DC" w:rsidP="009674DC">
            <w:pPr>
              <w:rPr>
                <w:noProof/>
              </w:rPr>
            </w:pPr>
            <w:r w:rsidRPr="00E176A0">
              <w:rPr>
                <w:rFonts w:cstheme="minorHAnsi"/>
                <w:noProof/>
              </w:rPr>
              <w:t xml:space="preserve">Annex I to Regulation (EU) No 1321/2014 </w:t>
            </w:r>
            <w:r>
              <w:rPr>
                <w:rFonts w:cstheme="minorHAnsi"/>
                <w:noProof/>
              </w:rPr>
              <w:t>—</w:t>
            </w:r>
            <w:r w:rsidRPr="00E176A0">
              <w:rPr>
                <w:rFonts w:cstheme="minorHAnsi"/>
                <w:noProof/>
              </w:rPr>
              <w:t xml:space="preserve"> continuing airworthiness requirements</w:t>
            </w:r>
          </w:p>
        </w:tc>
      </w:tr>
      <w:tr w:rsidR="009674DC" w14:paraId="18EAD4C3" w14:textId="77777777" w:rsidTr="003D4EAE">
        <w:trPr>
          <w:jc w:val="center"/>
        </w:trPr>
        <w:tc>
          <w:tcPr>
            <w:tcW w:w="1690" w:type="dxa"/>
            <w:shd w:val="clear" w:color="auto" w:fill="auto"/>
          </w:tcPr>
          <w:p w14:paraId="0D77E794" w14:textId="77777777" w:rsidR="009674DC" w:rsidRPr="00E44BDA" w:rsidRDefault="009674DC" w:rsidP="009674DC">
            <w:pPr>
              <w:rPr>
                <w:noProof/>
              </w:rPr>
            </w:pPr>
            <w:r w:rsidRPr="00E176A0">
              <w:rPr>
                <w:rFonts w:cstheme="minorHAnsi"/>
                <w:noProof/>
              </w:rPr>
              <w:t xml:space="preserve">Part-MED </w:t>
            </w:r>
          </w:p>
        </w:tc>
        <w:tc>
          <w:tcPr>
            <w:tcW w:w="6600" w:type="dxa"/>
            <w:shd w:val="clear" w:color="auto" w:fill="auto"/>
          </w:tcPr>
          <w:p w14:paraId="4BFBE0C5" w14:textId="77777777" w:rsidR="009674DC" w:rsidRDefault="009674DC" w:rsidP="009674DC">
            <w:pPr>
              <w:rPr>
                <w:noProof/>
              </w:rPr>
            </w:pPr>
            <w:r w:rsidRPr="00E176A0">
              <w:rPr>
                <w:rFonts w:cstheme="minorHAnsi"/>
                <w:noProof/>
              </w:rPr>
              <w:t xml:space="preserve">Annex IV to Regulation (EU) </w:t>
            </w:r>
            <w:r>
              <w:rPr>
                <w:rFonts w:cstheme="minorHAnsi"/>
                <w:noProof/>
              </w:rPr>
              <w:t>No </w:t>
            </w:r>
            <w:r w:rsidRPr="00E176A0">
              <w:rPr>
                <w:rFonts w:cstheme="minorHAnsi"/>
                <w:noProof/>
              </w:rPr>
              <w:t xml:space="preserve">1178/2011 </w:t>
            </w:r>
            <w:r>
              <w:rPr>
                <w:rFonts w:cstheme="minorHAnsi"/>
                <w:noProof/>
              </w:rPr>
              <w:t>—</w:t>
            </w:r>
            <w:r w:rsidRPr="00E176A0">
              <w:rPr>
                <w:rFonts w:cstheme="minorHAnsi"/>
                <w:noProof/>
              </w:rPr>
              <w:t xml:space="preserve"> </w:t>
            </w:r>
            <w:r>
              <w:rPr>
                <w:rFonts w:cstheme="minorHAnsi"/>
                <w:noProof/>
              </w:rPr>
              <w:t xml:space="preserve">requirements for the </w:t>
            </w:r>
            <w:r w:rsidRPr="00E176A0">
              <w:rPr>
                <w:rFonts w:cstheme="minorHAnsi"/>
                <w:noProof/>
              </w:rPr>
              <w:t xml:space="preserve">medical certification of pilots, </w:t>
            </w:r>
            <w:r>
              <w:rPr>
                <w:rFonts w:cstheme="minorHAnsi"/>
                <w:noProof/>
              </w:rPr>
              <w:t xml:space="preserve">the </w:t>
            </w:r>
            <w:r w:rsidRPr="00E176A0">
              <w:rPr>
                <w:rFonts w:cstheme="minorHAnsi"/>
                <w:noProof/>
              </w:rPr>
              <w:t xml:space="preserve">medical fitness of cabin crew, certification of </w:t>
            </w:r>
            <w:r>
              <w:rPr>
                <w:noProof/>
              </w:rPr>
              <w:t>aero-medical examiners</w:t>
            </w:r>
            <w:r>
              <w:rPr>
                <w:rFonts w:cstheme="minorHAnsi"/>
                <w:noProof/>
              </w:rPr>
              <w:t>,</w:t>
            </w:r>
            <w:r w:rsidRPr="00E176A0">
              <w:rPr>
                <w:rFonts w:cstheme="minorHAnsi"/>
                <w:noProof/>
              </w:rPr>
              <w:t xml:space="preserve"> and </w:t>
            </w:r>
            <w:r>
              <w:rPr>
                <w:rFonts w:cstheme="minorHAnsi"/>
                <w:noProof/>
              </w:rPr>
              <w:t>the qualification</w:t>
            </w:r>
            <w:r w:rsidRPr="00E176A0">
              <w:rPr>
                <w:rFonts w:cstheme="minorHAnsi"/>
                <w:noProof/>
              </w:rPr>
              <w:t xml:space="preserve"> of </w:t>
            </w:r>
            <w:r>
              <w:rPr>
                <w:rFonts w:cstheme="minorHAnsi"/>
                <w:noProof/>
              </w:rPr>
              <w:t xml:space="preserve">general medical practitioners </w:t>
            </w:r>
            <w:r w:rsidRPr="00E176A0">
              <w:rPr>
                <w:rFonts w:cstheme="minorHAnsi"/>
                <w:noProof/>
              </w:rPr>
              <w:t xml:space="preserve">and </w:t>
            </w:r>
            <w:r>
              <w:rPr>
                <w:noProof/>
              </w:rPr>
              <w:t>occupational health medical practitioners</w:t>
            </w:r>
            <w:r w:rsidRPr="00E176A0">
              <w:rPr>
                <w:rFonts w:cstheme="minorHAnsi"/>
                <w:noProof/>
              </w:rPr>
              <w:t xml:space="preserve"> </w:t>
            </w:r>
          </w:p>
        </w:tc>
      </w:tr>
      <w:tr w:rsidR="009674DC" w14:paraId="06F9826C" w14:textId="77777777" w:rsidTr="003D4EAE">
        <w:trPr>
          <w:jc w:val="center"/>
        </w:trPr>
        <w:tc>
          <w:tcPr>
            <w:tcW w:w="1690" w:type="dxa"/>
            <w:shd w:val="clear" w:color="auto" w:fill="auto"/>
          </w:tcPr>
          <w:p w14:paraId="03F10599" w14:textId="77777777" w:rsidR="009674DC" w:rsidRPr="00E44BDA" w:rsidRDefault="009674DC" w:rsidP="009674DC">
            <w:pPr>
              <w:rPr>
                <w:noProof/>
              </w:rPr>
            </w:pPr>
            <w:r w:rsidRPr="00E176A0">
              <w:rPr>
                <w:rFonts w:cstheme="minorHAnsi"/>
                <w:noProof/>
              </w:rPr>
              <w:t xml:space="preserve">Part-MET </w:t>
            </w:r>
          </w:p>
        </w:tc>
        <w:tc>
          <w:tcPr>
            <w:tcW w:w="6600" w:type="dxa"/>
            <w:shd w:val="clear" w:color="auto" w:fill="auto"/>
          </w:tcPr>
          <w:p w14:paraId="5070805E" w14:textId="77777777" w:rsidR="009674DC" w:rsidRDefault="009674DC" w:rsidP="009674DC">
            <w:pPr>
              <w:rPr>
                <w:noProof/>
              </w:rPr>
            </w:pPr>
            <w:r w:rsidRPr="00E176A0">
              <w:rPr>
                <w:rFonts w:cstheme="minorHAnsi"/>
                <w:noProof/>
              </w:rPr>
              <w:t xml:space="preserve">Annex V to Regulation (EU) 2017/373 </w:t>
            </w:r>
            <w:r>
              <w:rPr>
                <w:rFonts w:cstheme="minorHAnsi"/>
                <w:noProof/>
              </w:rPr>
              <w:t>—</w:t>
            </w:r>
            <w:r w:rsidRPr="00E176A0">
              <w:rPr>
                <w:rFonts w:cstheme="minorHAnsi"/>
                <w:noProof/>
              </w:rPr>
              <w:t xml:space="preserve"> specific requirements for providers of meteorological services</w:t>
            </w:r>
          </w:p>
        </w:tc>
      </w:tr>
      <w:tr w:rsidR="009674DC" w14:paraId="2D66256C" w14:textId="77777777" w:rsidTr="003D4EAE">
        <w:trPr>
          <w:jc w:val="center"/>
        </w:trPr>
        <w:tc>
          <w:tcPr>
            <w:tcW w:w="1690" w:type="dxa"/>
            <w:shd w:val="clear" w:color="auto" w:fill="auto"/>
          </w:tcPr>
          <w:p w14:paraId="2D0D2EC5" w14:textId="77777777" w:rsidR="009674DC" w:rsidRPr="00E176A0" w:rsidRDefault="009674DC" w:rsidP="009674DC">
            <w:pPr>
              <w:rPr>
                <w:rFonts w:cstheme="minorHAnsi"/>
                <w:noProof/>
              </w:rPr>
            </w:pPr>
            <w:r>
              <w:rPr>
                <w:rFonts w:cstheme="minorHAnsi"/>
                <w:noProof/>
              </w:rPr>
              <w:t>Part-ML</w:t>
            </w:r>
          </w:p>
        </w:tc>
        <w:tc>
          <w:tcPr>
            <w:tcW w:w="6600" w:type="dxa"/>
            <w:shd w:val="clear" w:color="auto" w:fill="auto"/>
          </w:tcPr>
          <w:p w14:paraId="6DC8049E" w14:textId="77777777" w:rsidR="009674DC" w:rsidRPr="00E176A0" w:rsidRDefault="009674DC" w:rsidP="009674DC">
            <w:pPr>
              <w:rPr>
                <w:rFonts w:cstheme="minorHAnsi"/>
                <w:noProof/>
              </w:rPr>
            </w:pPr>
            <w:r w:rsidRPr="00E176A0">
              <w:rPr>
                <w:rFonts w:cstheme="minorHAnsi"/>
                <w:noProof/>
              </w:rPr>
              <w:t xml:space="preserve">Annex </w:t>
            </w:r>
            <w:r>
              <w:rPr>
                <w:rFonts w:cstheme="minorHAnsi"/>
                <w:noProof/>
              </w:rPr>
              <w:t>Vb</w:t>
            </w:r>
            <w:r w:rsidRPr="00E176A0">
              <w:rPr>
                <w:rFonts w:cstheme="minorHAnsi"/>
                <w:noProof/>
              </w:rPr>
              <w:t xml:space="preserve"> to Regulation (EU) No 1321/2014 </w:t>
            </w:r>
            <w:r>
              <w:rPr>
                <w:rFonts w:cstheme="minorHAnsi"/>
                <w:noProof/>
              </w:rPr>
              <w:t>—</w:t>
            </w:r>
            <w:r w:rsidRPr="00E176A0">
              <w:rPr>
                <w:rFonts w:cstheme="minorHAnsi"/>
                <w:noProof/>
              </w:rPr>
              <w:t xml:space="preserve"> </w:t>
            </w:r>
            <w:r>
              <w:rPr>
                <w:rFonts w:cstheme="minorHAnsi"/>
                <w:noProof/>
              </w:rPr>
              <w:t xml:space="preserve">‘light’ </w:t>
            </w:r>
            <w:r w:rsidRPr="00E176A0">
              <w:rPr>
                <w:rFonts w:cstheme="minorHAnsi"/>
                <w:noProof/>
              </w:rPr>
              <w:t>continuing airworthiness requirements</w:t>
            </w:r>
          </w:p>
        </w:tc>
      </w:tr>
      <w:tr w:rsidR="009674DC" w14:paraId="721B01BA" w14:textId="77777777" w:rsidTr="003D4EAE">
        <w:trPr>
          <w:jc w:val="center"/>
        </w:trPr>
        <w:tc>
          <w:tcPr>
            <w:tcW w:w="1690" w:type="dxa"/>
            <w:shd w:val="clear" w:color="auto" w:fill="auto"/>
          </w:tcPr>
          <w:p w14:paraId="42B67C2C" w14:textId="77777777" w:rsidR="009674DC" w:rsidRPr="00E44BDA" w:rsidRDefault="009674DC" w:rsidP="009674DC">
            <w:pPr>
              <w:rPr>
                <w:noProof/>
              </w:rPr>
            </w:pPr>
            <w:r w:rsidRPr="00E176A0">
              <w:rPr>
                <w:rFonts w:cstheme="minorHAnsi"/>
                <w:noProof/>
              </w:rPr>
              <w:t>Part-NCC</w:t>
            </w:r>
          </w:p>
        </w:tc>
        <w:tc>
          <w:tcPr>
            <w:tcW w:w="6600" w:type="dxa"/>
            <w:shd w:val="clear" w:color="auto" w:fill="auto"/>
          </w:tcPr>
          <w:p w14:paraId="6DC678F3" w14:textId="77777777" w:rsidR="009674DC" w:rsidRDefault="009674DC" w:rsidP="009674DC">
            <w:pPr>
              <w:rPr>
                <w:noProof/>
              </w:rPr>
            </w:pPr>
            <w:r w:rsidRPr="00E176A0">
              <w:rPr>
                <w:rFonts w:cstheme="minorHAnsi"/>
                <w:noProof/>
              </w:rPr>
              <w:t xml:space="preserve">Annex VI to Regulation (EU) </w:t>
            </w:r>
            <w:r>
              <w:rPr>
                <w:rFonts w:cstheme="minorHAnsi"/>
                <w:noProof/>
              </w:rPr>
              <w:t>No </w:t>
            </w:r>
            <w:r w:rsidRPr="00E176A0">
              <w:rPr>
                <w:rFonts w:cstheme="minorHAnsi"/>
                <w:noProof/>
              </w:rPr>
              <w:t>965/2012</w:t>
            </w:r>
            <w:r>
              <w:rPr>
                <w:rFonts w:cstheme="minorHAnsi"/>
                <w:noProof/>
              </w:rPr>
              <w:t xml:space="preserve"> — n</w:t>
            </w:r>
            <w:r w:rsidRPr="00DE3E88">
              <w:rPr>
                <w:rFonts w:cstheme="minorHAnsi"/>
                <w:noProof/>
              </w:rPr>
              <w:t>on-commercial operations with complex</w:t>
            </w:r>
            <w:r>
              <w:rPr>
                <w:rFonts w:cstheme="minorHAnsi"/>
                <w:noProof/>
              </w:rPr>
              <w:t xml:space="preserve"> </w:t>
            </w:r>
            <w:r w:rsidRPr="00DE3E88">
              <w:rPr>
                <w:rFonts w:cstheme="minorHAnsi"/>
                <w:noProof/>
              </w:rPr>
              <w:t>motor-powered aircraft</w:t>
            </w:r>
          </w:p>
        </w:tc>
      </w:tr>
      <w:tr w:rsidR="009674DC" w14:paraId="475387BC" w14:textId="77777777" w:rsidTr="003D4EAE">
        <w:trPr>
          <w:jc w:val="center"/>
        </w:trPr>
        <w:tc>
          <w:tcPr>
            <w:tcW w:w="1690" w:type="dxa"/>
            <w:shd w:val="clear" w:color="auto" w:fill="auto"/>
          </w:tcPr>
          <w:p w14:paraId="111E3BBA" w14:textId="77777777" w:rsidR="009674DC" w:rsidRPr="00E44BDA" w:rsidRDefault="009674DC" w:rsidP="009674DC">
            <w:pPr>
              <w:rPr>
                <w:noProof/>
              </w:rPr>
            </w:pPr>
            <w:r w:rsidRPr="00E176A0">
              <w:rPr>
                <w:rFonts w:cstheme="minorHAnsi"/>
                <w:noProof/>
              </w:rPr>
              <w:t>Part-NCO</w:t>
            </w:r>
          </w:p>
        </w:tc>
        <w:tc>
          <w:tcPr>
            <w:tcW w:w="6600" w:type="dxa"/>
            <w:shd w:val="clear" w:color="auto" w:fill="auto"/>
          </w:tcPr>
          <w:p w14:paraId="4FE60B7D" w14:textId="77777777" w:rsidR="009674DC" w:rsidRDefault="009674DC" w:rsidP="009674DC">
            <w:pPr>
              <w:rPr>
                <w:noProof/>
              </w:rPr>
            </w:pPr>
            <w:r w:rsidRPr="00E176A0">
              <w:rPr>
                <w:rFonts w:cstheme="minorHAnsi"/>
                <w:noProof/>
              </w:rPr>
              <w:t xml:space="preserve">Annex VII to Regulation (EU) </w:t>
            </w:r>
            <w:r>
              <w:rPr>
                <w:rFonts w:cstheme="minorHAnsi"/>
                <w:noProof/>
              </w:rPr>
              <w:t>No </w:t>
            </w:r>
            <w:r w:rsidRPr="00E176A0">
              <w:rPr>
                <w:rFonts w:cstheme="minorHAnsi"/>
                <w:noProof/>
              </w:rPr>
              <w:t>965/2012</w:t>
            </w:r>
            <w:r>
              <w:rPr>
                <w:rFonts w:cstheme="minorHAnsi"/>
                <w:noProof/>
              </w:rPr>
              <w:t xml:space="preserve"> — n</w:t>
            </w:r>
            <w:r w:rsidRPr="00DE3E88">
              <w:rPr>
                <w:rFonts w:cstheme="minorHAnsi"/>
                <w:noProof/>
              </w:rPr>
              <w:t>on-commercial operations with other</w:t>
            </w:r>
            <w:r>
              <w:rPr>
                <w:rFonts w:cstheme="minorHAnsi"/>
                <w:noProof/>
              </w:rPr>
              <w:t>-</w:t>
            </w:r>
            <w:r w:rsidRPr="00DE3E88">
              <w:rPr>
                <w:rFonts w:cstheme="minorHAnsi"/>
                <w:noProof/>
              </w:rPr>
              <w:t>than complex</w:t>
            </w:r>
            <w:r>
              <w:rPr>
                <w:rFonts w:cstheme="minorHAnsi"/>
                <w:noProof/>
              </w:rPr>
              <w:t xml:space="preserve"> </w:t>
            </w:r>
            <w:r w:rsidRPr="00DE3E88">
              <w:rPr>
                <w:rFonts w:cstheme="minorHAnsi"/>
                <w:noProof/>
              </w:rPr>
              <w:t>motor-powered aircraft</w:t>
            </w:r>
          </w:p>
        </w:tc>
      </w:tr>
      <w:tr w:rsidR="009674DC" w14:paraId="1098CEFE" w14:textId="77777777" w:rsidTr="003D4EAE">
        <w:trPr>
          <w:jc w:val="center"/>
        </w:trPr>
        <w:tc>
          <w:tcPr>
            <w:tcW w:w="1690" w:type="dxa"/>
            <w:shd w:val="clear" w:color="auto" w:fill="auto"/>
          </w:tcPr>
          <w:p w14:paraId="6A8B2284" w14:textId="77777777" w:rsidR="009674DC" w:rsidRPr="00E44BDA" w:rsidRDefault="009674DC" w:rsidP="009674DC">
            <w:pPr>
              <w:rPr>
                <w:noProof/>
              </w:rPr>
            </w:pPr>
            <w:r w:rsidRPr="003D4EAE">
              <w:rPr>
                <w:noProof/>
              </w:rPr>
              <w:t>Part-NM</w:t>
            </w:r>
          </w:p>
        </w:tc>
        <w:tc>
          <w:tcPr>
            <w:tcW w:w="6600" w:type="dxa"/>
            <w:shd w:val="clear" w:color="auto" w:fill="auto"/>
          </w:tcPr>
          <w:p w14:paraId="76B81F61" w14:textId="77777777" w:rsidR="009674DC" w:rsidRDefault="009674DC" w:rsidP="009674DC">
            <w:pPr>
              <w:rPr>
                <w:noProof/>
              </w:rPr>
            </w:pPr>
            <w:r w:rsidRPr="003D4EAE">
              <w:rPr>
                <w:noProof/>
              </w:rPr>
              <w:t>Annex XII  to (EU) Regulation  2017/373  — specific requirements for the Network Manager</w:t>
            </w:r>
          </w:p>
        </w:tc>
      </w:tr>
      <w:tr w:rsidR="009674DC" w14:paraId="346D9298" w14:textId="77777777" w:rsidTr="003D4EAE">
        <w:trPr>
          <w:jc w:val="center"/>
        </w:trPr>
        <w:tc>
          <w:tcPr>
            <w:tcW w:w="1690" w:type="dxa"/>
            <w:shd w:val="clear" w:color="auto" w:fill="auto"/>
          </w:tcPr>
          <w:p w14:paraId="51499866" w14:textId="77777777" w:rsidR="009674DC" w:rsidRPr="00E44BDA" w:rsidRDefault="009674DC" w:rsidP="009674DC">
            <w:pPr>
              <w:rPr>
                <w:noProof/>
              </w:rPr>
            </w:pPr>
            <w:r w:rsidRPr="00E176A0">
              <w:rPr>
                <w:rFonts w:cstheme="minorHAnsi"/>
                <w:noProof/>
              </w:rPr>
              <w:t>Part-ORA</w:t>
            </w:r>
          </w:p>
        </w:tc>
        <w:tc>
          <w:tcPr>
            <w:tcW w:w="6600" w:type="dxa"/>
            <w:shd w:val="clear" w:color="auto" w:fill="auto"/>
          </w:tcPr>
          <w:p w14:paraId="0F686EC1" w14:textId="77777777" w:rsidR="009674DC" w:rsidRDefault="009674DC" w:rsidP="009674DC">
            <w:pPr>
              <w:rPr>
                <w:noProof/>
              </w:rPr>
            </w:pPr>
            <w:r w:rsidRPr="00E176A0">
              <w:rPr>
                <w:rFonts w:cstheme="minorHAnsi"/>
                <w:noProof/>
              </w:rPr>
              <w:t xml:space="preserve">Annex </w:t>
            </w:r>
            <w:r>
              <w:rPr>
                <w:rFonts w:cstheme="minorHAnsi"/>
                <w:noProof/>
              </w:rPr>
              <w:t>V</w:t>
            </w:r>
            <w:r w:rsidRPr="00E176A0">
              <w:rPr>
                <w:rFonts w:cstheme="minorHAnsi"/>
                <w:noProof/>
              </w:rPr>
              <w:t xml:space="preserve">II to Regulation (EU) </w:t>
            </w:r>
            <w:r>
              <w:rPr>
                <w:rFonts w:cstheme="minorHAnsi"/>
                <w:noProof/>
              </w:rPr>
              <w:t>No </w:t>
            </w:r>
            <w:r w:rsidRPr="00E176A0">
              <w:rPr>
                <w:rFonts w:cstheme="minorHAnsi"/>
                <w:noProof/>
              </w:rPr>
              <w:t xml:space="preserve">1178/2011 </w:t>
            </w:r>
            <w:r>
              <w:rPr>
                <w:rFonts w:cstheme="minorHAnsi"/>
                <w:noProof/>
              </w:rPr>
              <w:t>—</w:t>
            </w:r>
            <w:r w:rsidRPr="00E176A0">
              <w:rPr>
                <w:rFonts w:cstheme="minorHAnsi"/>
                <w:noProof/>
              </w:rPr>
              <w:t xml:space="preserve"> organisation requirements for aircrew</w:t>
            </w:r>
          </w:p>
        </w:tc>
      </w:tr>
      <w:tr w:rsidR="009674DC" w14:paraId="54B79770" w14:textId="77777777" w:rsidTr="003D4EAE">
        <w:trPr>
          <w:jc w:val="center"/>
        </w:trPr>
        <w:tc>
          <w:tcPr>
            <w:tcW w:w="1690" w:type="dxa"/>
            <w:shd w:val="clear" w:color="auto" w:fill="auto"/>
          </w:tcPr>
          <w:p w14:paraId="6A9D98B3" w14:textId="77777777" w:rsidR="009674DC" w:rsidRPr="00E44BDA" w:rsidRDefault="009674DC" w:rsidP="009674DC">
            <w:pPr>
              <w:rPr>
                <w:noProof/>
              </w:rPr>
            </w:pPr>
            <w:r w:rsidRPr="00E176A0">
              <w:rPr>
                <w:rFonts w:cstheme="minorHAnsi"/>
                <w:noProof/>
              </w:rPr>
              <w:t xml:space="preserve">Part-ORO </w:t>
            </w:r>
          </w:p>
        </w:tc>
        <w:tc>
          <w:tcPr>
            <w:tcW w:w="6600" w:type="dxa"/>
            <w:shd w:val="clear" w:color="auto" w:fill="auto"/>
          </w:tcPr>
          <w:p w14:paraId="3AF7EFCE" w14:textId="77777777" w:rsidR="009674DC" w:rsidRDefault="009674DC" w:rsidP="009674DC">
            <w:pPr>
              <w:rPr>
                <w:noProof/>
              </w:rPr>
            </w:pPr>
            <w:r w:rsidRPr="00E176A0">
              <w:rPr>
                <w:rFonts w:cstheme="minorHAnsi"/>
                <w:noProof/>
              </w:rPr>
              <w:t xml:space="preserve">Annex III to Regulation (EU) </w:t>
            </w:r>
            <w:r w:rsidRPr="00C90584">
              <w:rPr>
                <w:noProof/>
              </w:rPr>
              <w:t>No</w:t>
            </w:r>
            <w:r>
              <w:rPr>
                <w:noProof/>
              </w:rPr>
              <w:t> </w:t>
            </w:r>
            <w:r w:rsidRPr="00C90584">
              <w:rPr>
                <w:noProof/>
              </w:rPr>
              <w:t>965</w:t>
            </w:r>
            <w:r w:rsidRPr="00E176A0">
              <w:rPr>
                <w:rFonts w:cstheme="minorHAnsi"/>
                <w:noProof/>
              </w:rPr>
              <w:t xml:space="preserve">/2012 </w:t>
            </w:r>
            <w:r>
              <w:rPr>
                <w:rFonts w:cstheme="minorHAnsi"/>
                <w:noProof/>
              </w:rPr>
              <w:t>—</w:t>
            </w:r>
            <w:r w:rsidRPr="00E176A0">
              <w:rPr>
                <w:rFonts w:cstheme="minorHAnsi"/>
                <w:noProof/>
              </w:rPr>
              <w:t xml:space="preserve"> organisation requirements for air operations</w:t>
            </w:r>
          </w:p>
        </w:tc>
      </w:tr>
      <w:tr w:rsidR="009674DC" w14:paraId="24464DD1" w14:textId="77777777" w:rsidTr="003D4EAE">
        <w:trPr>
          <w:jc w:val="center"/>
        </w:trPr>
        <w:tc>
          <w:tcPr>
            <w:tcW w:w="1690" w:type="dxa"/>
            <w:shd w:val="clear" w:color="auto" w:fill="auto"/>
          </w:tcPr>
          <w:p w14:paraId="22398938" w14:textId="77777777" w:rsidR="009674DC" w:rsidRPr="00E44BDA" w:rsidRDefault="009674DC" w:rsidP="009674DC">
            <w:pPr>
              <w:rPr>
                <w:noProof/>
              </w:rPr>
            </w:pPr>
            <w:r w:rsidRPr="003D4EAE">
              <w:rPr>
                <w:noProof/>
              </w:rPr>
              <w:t>Part-PERS</w:t>
            </w:r>
          </w:p>
        </w:tc>
        <w:tc>
          <w:tcPr>
            <w:tcW w:w="6600" w:type="dxa"/>
            <w:shd w:val="clear" w:color="auto" w:fill="auto"/>
          </w:tcPr>
          <w:p w14:paraId="1451E18B" w14:textId="77777777" w:rsidR="009674DC" w:rsidRDefault="009674DC" w:rsidP="009674DC">
            <w:pPr>
              <w:rPr>
                <w:noProof/>
              </w:rPr>
            </w:pPr>
            <w:r w:rsidRPr="003D4EAE">
              <w:rPr>
                <w:noProof/>
              </w:rPr>
              <w:t>Annex XIII  to Regulation (EU) 2017/373  — requirements for service providers concerning personnel training and competence assessment</w:t>
            </w:r>
          </w:p>
        </w:tc>
      </w:tr>
      <w:tr w:rsidR="009674DC" w14:paraId="7BD71463" w14:textId="77777777" w:rsidTr="003D4EAE">
        <w:trPr>
          <w:jc w:val="center"/>
        </w:trPr>
        <w:tc>
          <w:tcPr>
            <w:tcW w:w="1690" w:type="dxa"/>
            <w:shd w:val="clear" w:color="auto" w:fill="auto"/>
          </w:tcPr>
          <w:p w14:paraId="382406DF" w14:textId="77777777" w:rsidR="009674DC" w:rsidRPr="00E176A0" w:rsidRDefault="009674DC" w:rsidP="009674DC">
            <w:pPr>
              <w:rPr>
                <w:rFonts w:cstheme="minorHAnsi"/>
                <w:noProof/>
              </w:rPr>
            </w:pPr>
            <w:r>
              <w:rPr>
                <w:rFonts w:cstheme="minorHAnsi"/>
                <w:noProof/>
              </w:rPr>
              <w:t>Part-SAO</w:t>
            </w:r>
          </w:p>
        </w:tc>
        <w:tc>
          <w:tcPr>
            <w:tcW w:w="6600" w:type="dxa"/>
            <w:shd w:val="clear" w:color="auto" w:fill="auto"/>
          </w:tcPr>
          <w:p w14:paraId="5928587A" w14:textId="77777777" w:rsidR="009674DC" w:rsidRPr="00E176A0" w:rsidRDefault="009674DC" w:rsidP="009674DC">
            <w:pPr>
              <w:rPr>
                <w:rFonts w:cstheme="minorHAnsi"/>
                <w:noProof/>
              </w:rPr>
            </w:pPr>
            <w:r>
              <w:rPr>
                <w:rFonts w:cstheme="minorHAnsi"/>
                <w:noProof/>
              </w:rPr>
              <w:t>Annex II to Regulation (EU) 2018/1976 — sailplanes air operations</w:t>
            </w:r>
          </w:p>
        </w:tc>
      </w:tr>
      <w:tr w:rsidR="009674DC" w14:paraId="4BAA86A8" w14:textId="77777777" w:rsidTr="003D4EAE">
        <w:trPr>
          <w:jc w:val="center"/>
        </w:trPr>
        <w:tc>
          <w:tcPr>
            <w:tcW w:w="1690" w:type="dxa"/>
            <w:shd w:val="clear" w:color="auto" w:fill="auto"/>
          </w:tcPr>
          <w:p w14:paraId="05361287" w14:textId="77777777" w:rsidR="009674DC" w:rsidRPr="00E176A0" w:rsidRDefault="009674DC" w:rsidP="009674DC">
            <w:pPr>
              <w:rPr>
                <w:rFonts w:cstheme="minorHAnsi"/>
                <w:noProof/>
              </w:rPr>
            </w:pPr>
            <w:r>
              <w:rPr>
                <w:rFonts w:cstheme="minorHAnsi"/>
                <w:noProof/>
              </w:rPr>
              <w:t>Part-SFCL</w:t>
            </w:r>
          </w:p>
        </w:tc>
        <w:tc>
          <w:tcPr>
            <w:tcW w:w="6600" w:type="dxa"/>
            <w:shd w:val="clear" w:color="auto" w:fill="auto"/>
          </w:tcPr>
          <w:p w14:paraId="06718290" w14:textId="77777777" w:rsidR="009674DC" w:rsidRPr="00E176A0" w:rsidRDefault="009674DC" w:rsidP="009674DC">
            <w:pPr>
              <w:rPr>
                <w:rFonts w:cstheme="minorHAnsi"/>
                <w:noProof/>
              </w:rPr>
            </w:pPr>
            <w:r>
              <w:rPr>
                <w:rFonts w:cstheme="minorHAnsi"/>
                <w:noProof/>
              </w:rPr>
              <w:t xml:space="preserve">Annex III to Regulation (EU) 2018/1976 — requirements for sailplane flight crew licensing </w:t>
            </w:r>
          </w:p>
        </w:tc>
      </w:tr>
      <w:tr w:rsidR="009674DC" w14:paraId="4DC5F1BA" w14:textId="77777777" w:rsidTr="003D4EAE">
        <w:trPr>
          <w:jc w:val="center"/>
        </w:trPr>
        <w:tc>
          <w:tcPr>
            <w:tcW w:w="1690" w:type="dxa"/>
            <w:shd w:val="clear" w:color="auto" w:fill="auto"/>
          </w:tcPr>
          <w:p w14:paraId="67FCCBA5" w14:textId="77777777" w:rsidR="009674DC" w:rsidRPr="00E176A0" w:rsidRDefault="009674DC" w:rsidP="009674DC">
            <w:pPr>
              <w:rPr>
                <w:rFonts w:cstheme="minorHAnsi"/>
                <w:noProof/>
              </w:rPr>
            </w:pPr>
            <w:r>
              <w:rPr>
                <w:rFonts w:cstheme="minorHAnsi"/>
                <w:noProof/>
              </w:rPr>
              <w:t>Part-SPA</w:t>
            </w:r>
          </w:p>
        </w:tc>
        <w:tc>
          <w:tcPr>
            <w:tcW w:w="6600" w:type="dxa"/>
            <w:shd w:val="clear" w:color="auto" w:fill="auto"/>
          </w:tcPr>
          <w:p w14:paraId="681D795E" w14:textId="77777777" w:rsidR="009674DC" w:rsidRPr="00E176A0" w:rsidRDefault="009674DC" w:rsidP="009674DC">
            <w:pPr>
              <w:rPr>
                <w:rFonts w:cstheme="minorHAnsi"/>
                <w:noProof/>
              </w:rPr>
            </w:pPr>
            <w:r w:rsidRPr="00E176A0">
              <w:rPr>
                <w:rFonts w:cstheme="minorHAnsi"/>
                <w:noProof/>
              </w:rPr>
              <w:t xml:space="preserve">Annex </w:t>
            </w:r>
            <w:r>
              <w:rPr>
                <w:rFonts w:cstheme="minorHAnsi"/>
                <w:noProof/>
              </w:rPr>
              <w:t>V</w:t>
            </w:r>
            <w:r w:rsidRPr="00E176A0">
              <w:rPr>
                <w:rFonts w:cstheme="minorHAnsi"/>
                <w:noProof/>
              </w:rPr>
              <w:t xml:space="preserve"> to Regulation (EU) </w:t>
            </w:r>
            <w:r>
              <w:rPr>
                <w:rFonts w:cstheme="minorHAnsi"/>
                <w:noProof/>
              </w:rPr>
              <w:t>No </w:t>
            </w:r>
            <w:r w:rsidRPr="00E176A0">
              <w:rPr>
                <w:rFonts w:cstheme="minorHAnsi"/>
                <w:noProof/>
              </w:rPr>
              <w:t xml:space="preserve">965/2012 </w:t>
            </w:r>
            <w:r>
              <w:rPr>
                <w:rFonts w:cstheme="minorHAnsi"/>
                <w:noProof/>
              </w:rPr>
              <w:t>—</w:t>
            </w:r>
            <w:r w:rsidRPr="00E176A0">
              <w:rPr>
                <w:rFonts w:cstheme="minorHAnsi"/>
                <w:noProof/>
              </w:rPr>
              <w:t xml:space="preserve"> </w:t>
            </w:r>
            <w:r>
              <w:rPr>
                <w:rFonts w:cstheme="minorHAnsi"/>
                <w:noProof/>
              </w:rPr>
              <w:t xml:space="preserve">specific approvals </w:t>
            </w:r>
          </w:p>
        </w:tc>
      </w:tr>
      <w:tr w:rsidR="009674DC" w14:paraId="3F249F03" w14:textId="77777777" w:rsidTr="003D4EAE">
        <w:trPr>
          <w:jc w:val="center"/>
        </w:trPr>
        <w:tc>
          <w:tcPr>
            <w:tcW w:w="1690" w:type="dxa"/>
            <w:shd w:val="clear" w:color="auto" w:fill="auto"/>
          </w:tcPr>
          <w:p w14:paraId="3DD73999" w14:textId="77777777" w:rsidR="009674DC" w:rsidRPr="00E44BDA" w:rsidRDefault="009674DC" w:rsidP="009674DC">
            <w:pPr>
              <w:rPr>
                <w:noProof/>
              </w:rPr>
            </w:pPr>
            <w:r w:rsidRPr="00E176A0">
              <w:rPr>
                <w:rFonts w:cstheme="minorHAnsi"/>
                <w:noProof/>
              </w:rPr>
              <w:t>Part-SPO</w:t>
            </w:r>
          </w:p>
        </w:tc>
        <w:tc>
          <w:tcPr>
            <w:tcW w:w="6600" w:type="dxa"/>
            <w:shd w:val="clear" w:color="auto" w:fill="auto"/>
          </w:tcPr>
          <w:p w14:paraId="04C971EF" w14:textId="77777777" w:rsidR="009674DC" w:rsidRDefault="009674DC" w:rsidP="009674DC">
            <w:pPr>
              <w:rPr>
                <w:noProof/>
              </w:rPr>
            </w:pPr>
            <w:r w:rsidRPr="00E176A0">
              <w:rPr>
                <w:rFonts w:cstheme="minorHAnsi"/>
                <w:noProof/>
              </w:rPr>
              <w:t xml:space="preserve">Annex VIII to Regulation (EU) </w:t>
            </w:r>
            <w:r>
              <w:rPr>
                <w:rFonts w:cstheme="minorHAnsi"/>
                <w:noProof/>
              </w:rPr>
              <w:t>No </w:t>
            </w:r>
            <w:r w:rsidRPr="00E176A0">
              <w:rPr>
                <w:rFonts w:cstheme="minorHAnsi"/>
                <w:noProof/>
              </w:rPr>
              <w:t>965/2012</w:t>
            </w:r>
            <w:r>
              <w:rPr>
                <w:rFonts w:cstheme="minorHAnsi"/>
                <w:noProof/>
              </w:rPr>
              <w:t xml:space="preserve"> — specialised operations</w:t>
            </w:r>
          </w:p>
        </w:tc>
      </w:tr>
      <w:tr w:rsidR="009674DC" w14:paraId="5D6C8F35" w14:textId="77777777" w:rsidTr="003D4EAE">
        <w:trPr>
          <w:jc w:val="center"/>
        </w:trPr>
        <w:tc>
          <w:tcPr>
            <w:tcW w:w="1690" w:type="dxa"/>
            <w:shd w:val="clear" w:color="auto" w:fill="auto"/>
          </w:tcPr>
          <w:p w14:paraId="7AF510F9" w14:textId="77777777" w:rsidR="009674DC" w:rsidRPr="00E44BDA" w:rsidRDefault="009674DC" w:rsidP="009674DC">
            <w:pPr>
              <w:rPr>
                <w:noProof/>
              </w:rPr>
            </w:pPr>
            <w:r>
              <w:rPr>
                <w:noProof/>
              </w:rPr>
              <w:t>Part-T</w:t>
            </w:r>
          </w:p>
        </w:tc>
        <w:tc>
          <w:tcPr>
            <w:tcW w:w="6600" w:type="dxa"/>
            <w:shd w:val="clear" w:color="auto" w:fill="auto"/>
          </w:tcPr>
          <w:p w14:paraId="26992D53" w14:textId="77777777" w:rsidR="009674DC" w:rsidRDefault="009674DC" w:rsidP="009674DC">
            <w:pPr>
              <w:rPr>
                <w:noProof/>
              </w:rPr>
            </w:pPr>
            <w:r w:rsidRPr="00E176A0">
              <w:rPr>
                <w:rFonts w:cstheme="minorHAnsi"/>
                <w:noProof/>
              </w:rPr>
              <w:t xml:space="preserve">Annex </w:t>
            </w:r>
            <w:r>
              <w:rPr>
                <w:rFonts w:cstheme="minorHAnsi"/>
                <w:noProof/>
              </w:rPr>
              <w:t>Va</w:t>
            </w:r>
            <w:r w:rsidRPr="00E176A0">
              <w:rPr>
                <w:rFonts w:cstheme="minorHAnsi"/>
                <w:noProof/>
              </w:rPr>
              <w:t xml:space="preserve"> to Regulation (EU) No 1321/2014 </w:t>
            </w:r>
            <w:r>
              <w:rPr>
                <w:rFonts w:cstheme="minorHAnsi"/>
                <w:noProof/>
              </w:rPr>
              <w:t xml:space="preserve">— </w:t>
            </w:r>
            <w:r w:rsidRPr="00E176A0">
              <w:rPr>
                <w:rFonts w:cstheme="minorHAnsi"/>
                <w:noProof/>
              </w:rPr>
              <w:t xml:space="preserve"> </w:t>
            </w:r>
            <w:r>
              <w:rPr>
                <w:rFonts w:cstheme="minorHAnsi"/>
                <w:noProof/>
              </w:rPr>
              <w:t xml:space="preserve"> </w:t>
            </w:r>
            <w:r w:rsidRPr="00DE3E88">
              <w:rPr>
                <w:rFonts w:cstheme="minorHAnsi"/>
                <w:noProof/>
              </w:rPr>
              <w:t xml:space="preserve">continuing airworthiness of aircraft registered </w:t>
            </w:r>
            <w:r>
              <w:rPr>
                <w:rFonts w:cstheme="minorHAnsi"/>
                <w:noProof/>
              </w:rPr>
              <w:t xml:space="preserve">in a </w:t>
            </w:r>
            <w:r w:rsidRPr="00DE3E88">
              <w:rPr>
                <w:rFonts w:cstheme="minorHAnsi"/>
                <w:noProof/>
              </w:rPr>
              <w:t xml:space="preserve">third country </w:t>
            </w:r>
            <w:r>
              <w:rPr>
                <w:rFonts w:cstheme="minorHAnsi"/>
                <w:noProof/>
              </w:rPr>
              <w:t xml:space="preserve">that are </w:t>
            </w:r>
            <w:r w:rsidRPr="00DE3E88">
              <w:rPr>
                <w:rFonts w:cstheme="minorHAnsi"/>
                <w:noProof/>
              </w:rPr>
              <w:t>operated by EU operators or by operators residing in the EU</w:t>
            </w:r>
          </w:p>
        </w:tc>
      </w:tr>
      <w:tr w:rsidR="009674DC" w14:paraId="614A2507" w14:textId="77777777" w:rsidTr="003D4EAE">
        <w:trPr>
          <w:jc w:val="center"/>
        </w:trPr>
        <w:tc>
          <w:tcPr>
            <w:tcW w:w="1690" w:type="dxa"/>
            <w:shd w:val="clear" w:color="auto" w:fill="auto"/>
          </w:tcPr>
          <w:p w14:paraId="28BEDE17" w14:textId="77777777" w:rsidR="009674DC" w:rsidRPr="00E44BDA" w:rsidRDefault="009674DC" w:rsidP="009674DC">
            <w:pPr>
              <w:rPr>
                <w:noProof/>
              </w:rPr>
            </w:pPr>
            <w:r>
              <w:rPr>
                <w:noProof/>
              </w:rPr>
              <w:t>Part-TCO</w:t>
            </w:r>
          </w:p>
        </w:tc>
        <w:tc>
          <w:tcPr>
            <w:tcW w:w="6600" w:type="dxa"/>
            <w:shd w:val="clear" w:color="auto" w:fill="auto"/>
          </w:tcPr>
          <w:p w14:paraId="3D5AD92B" w14:textId="77777777" w:rsidR="009674DC" w:rsidRDefault="009674DC" w:rsidP="009674DC">
            <w:pPr>
              <w:rPr>
                <w:noProof/>
              </w:rPr>
            </w:pPr>
            <w:r>
              <w:rPr>
                <w:noProof/>
              </w:rPr>
              <w:t>Annex 1 to Regulation (EU) No 452/2014 — third country operators</w:t>
            </w:r>
          </w:p>
        </w:tc>
      </w:tr>
      <w:tr w:rsidR="009674DC" w14:paraId="386D2A6D" w14:textId="77777777" w:rsidTr="003D4EAE">
        <w:trPr>
          <w:jc w:val="center"/>
        </w:trPr>
        <w:tc>
          <w:tcPr>
            <w:tcW w:w="1690" w:type="dxa"/>
            <w:shd w:val="clear" w:color="auto" w:fill="auto"/>
          </w:tcPr>
          <w:p w14:paraId="747B78A6" w14:textId="77777777" w:rsidR="009674DC" w:rsidDel="00553523" w:rsidRDefault="009674DC" w:rsidP="009674DC">
            <w:pPr>
              <w:rPr>
                <w:noProof/>
              </w:rPr>
            </w:pPr>
            <w:r w:rsidRPr="00E44BDA">
              <w:rPr>
                <w:noProof/>
              </w:rPr>
              <w:t>PCG</w:t>
            </w:r>
          </w:p>
        </w:tc>
        <w:tc>
          <w:tcPr>
            <w:tcW w:w="6600" w:type="dxa"/>
            <w:shd w:val="clear" w:color="auto" w:fill="auto"/>
          </w:tcPr>
          <w:p w14:paraId="3FD062DA" w14:textId="77777777" w:rsidR="009674DC" w:rsidRPr="00905411" w:rsidRDefault="009674DC" w:rsidP="009674DC">
            <w:pPr>
              <w:rPr>
                <w:noProof/>
              </w:rPr>
            </w:pPr>
            <w:r>
              <w:rPr>
                <w:noProof/>
              </w:rPr>
              <w:t>Programme Coordination Group (ICAO)</w:t>
            </w:r>
          </w:p>
        </w:tc>
      </w:tr>
      <w:tr w:rsidR="009674DC" w14:paraId="26487D99" w14:textId="77777777" w:rsidTr="003D4EAE">
        <w:trPr>
          <w:jc w:val="center"/>
        </w:trPr>
        <w:tc>
          <w:tcPr>
            <w:tcW w:w="1690" w:type="dxa"/>
            <w:shd w:val="clear" w:color="auto" w:fill="auto"/>
          </w:tcPr>
          <w:p w14:paraId="4F015A49" w14:textId="77777777" w:rsidR="009674DC" w:rsidRDefault="009674DC" w:rsidP="009674DC">
            <w:pPr>
              <w:rPr>
                <w:noProof/>
              </w:rPr>
            </w:pPr>
            <w:r w:rsidRPr="00E44BDA">
              <w:rPr>
                <w:noProof/>
              </w:rPr>
              <w:t>R&amp;I</w:t>
            </w:r>
          </w:p>
        </w:tc>
        <w:tc>
          <w:tcPr>
            <w:tcW w:w="6600" w:type="dxa"/>
            <w:shd w:val="clear" w:color="auto" w:fill="auto"/>
          </w:tcPr>
          <w:p w14:paraId="01F16F53" w14:textId="77777777" w:rsidR="009674DC" w:rsidRDefault="009674DC" w:rsidP="009674DC">
            <w:pPr>
              <w:rPr>
                <w:noProof/>
              </w:rPr>
            </w:pPr>
            <w:r>
              <w:rPr>
                <w:noProof/>
              </w:rPr>
              <w:t>research &amp; innovation</w:t>
            </w:r>
          </w:p>
        </w:tc>
      </w:tr>
      <w:tr w:rsidR="009674DC" w14:paraId="3B23EFE6" w14:textId="77777777" w:rsidTr="003D4EAE">
        <w:trPr>
          <w:jc w:val="center"/>
        </w:trPr>
        <w:tc>
          <w:tcPr>
            <w:tcW w:w="1690" w:type="dxa"/>
            <w:shd w:val="clear" w:color="auto" w:fill="auto"/>
          </w:tcPr>
          <w:p w14:paraId="46072423" w14:textId="77777777" w:rsidR="009674DC" w:rsidRDefault="009674DC" w:rsidP="009674DC">
            <w:pPr>
              <w:rPr>
                <w:noProof/>
              </w:rPr>
            </w:pPr>
            <w:r w:rsidRPr="00E44BDA">
              <w:rPr>
                <w:noProof/>
              </w:rPr>
              <w:t>REACH</w:t>
            </w:r>
          </w:p>
        </w:tc>
        <w:tc>
          <w:tcPr>
            <w:tcW w:w="6600" w:type="dxa"/>
            <w:shd w:val="clear" w:color="auto" w:fill="auto"/>
          </w:tcPr>
          <w:p w14:paraId="1B021D1F" w14:textId="77777777" w:rsidR="009674DC" w:rsidRDefault="009674DC" w:rsidP="009674DC">
            <w:pPr>
              <w:rPr>
                <w:noProof/>
              </w:rPr>
            </w:pPr>
            <w:r w:rsidRPr="00FE089F">
              <w:rPr>
                <w:rFonts w:cstheme="minorHAnsi"/>
                <w:noProof/>
              </w:rPr>
              <w:t>Registration, Evaluation, Authorisation and Restriction of Chemicals</w:t>
            </w:r>
          </w:p>
        </w:tc>
      </w:tr>
      <w:tr w:rsidR="009674DC" w14:paraId="605A82C3" w14:textId="77777777" w:rsidTr="003D4EAE">
        <w:trPr>
          <w:jc w:val="center"/>
        </w:trPr>
        <w:tc>
          <w:tcPr>
            <w:tcW w:w="1690" w:type="dxa"/>
            <w:shd w:val="clear" w:color="auto" w:fill="auto"/>
          </w:tcPr>
          <w:p w14:paraId="6CB728E3" w14:textId="77777777" w:rsidR="009674DC" w:rsidRPr="005859F1" w:rsidRDefault="009674DC" w:rsidP="009674DC">
            <w:pPr>
              <w:rPr>
                <w:noProof/>
                <w:highlight w:val="green"/>
              </w:rPr>
            </w:pPr>
            <w:r w:rsidRPr="00E44BDA">
              <w:rPr>
                <w:noProof/>
              </w:rPr>
              <w:t>RES</w:t>
            </w:r>
          </w:p>
        </w:tc>
        <w:tc>
          <w:tcPr>
            <w:tcW w:w="6600" w:type="dxa"/>
            <w:shd w:val="clear" w:color="auto" w:fill="auto"/>
          </w:tcPr>
          <w:p w14:paraId="49A8809A" w14:textId="77777777" w:rsidR="009674DC" w:rsidRDefault="009674DC" w:rsidP="009674DC">
            <w:pPr>
              <w:rPr>
                <w:noProof/>
              </w:rPr>
            </w:pPr>
            <w:r>
              <w:rPr>
                <w:noProof/>
              </w:rPr>
              <w:t>research task (EPAS)</w:t>
            </w:r>
          </w:p>
        </w:tc>
      </w:tr>
      <w:tr w:rsidR="009674DC" w14:paraId="61D9214C" w14:textId="77777777" w:rsidTr="003D4EAE">
        <w:trPr>
          <w:jc w:val="center"/>
        </w:trPr>
        <w:tc>
          <w:tcPr>
            <w:tcW w:w="1690" w:type="dxa"/>
            <w:shd w:val="clear" w:color="auto" w:fill="auto"/>
          </w:tcPr>
          <w:p w14:paraId="0B57657C" w14:textId="77777777" w:rsidR="009674DC" w:rsidRPr="00CD54E7" w:rsidRDefault="009674DC" w:rsidP="009674DC">
            <w:pPr>
              <w:rPr>
                <w:noProof/>
                <w:highlight w:val="green"/>
              </w:rPr>
            </w:pPr>
            <w:r w:rsidRPr="00E44BDA">
              <w:rPr>
                <w:noProof/>
              </w:rPr>
              <w:t>RMT</w:t>
            </w:r>
          </w:p>
        </w:tc>
        <w:tc>
          <w:tcPr>
            <w:tcW w:w="6600" w:type="dxa"/>
            <w:shd w:val="clear" w:color="auto" w:fill="auto"/>
          </w:tcPr>
          <w:p w14:paraId="32DCF614" w14:textId="77777777" w:rsidR="009674DC" w:rsidRDefault="009674DC" w:rsidP="009674DC">
            <w:pPr>
              <w:rPr>
                <w:noProof/>
              </w:rPr>
            </w:pPr>
            <w:r>
              <w:rPr>
                <w:noProof/>
              </w:rPr>
              <w:t>rulemaking task (EPAS)</w:t>
            </w:r>
          </w:p>
        </w:tc>
      </w:tr>
      <w:tr w:rsidR="009674DC" w14:paraId="61FA3C1F" w14:textId="77777777" w:rsidTr="003D4EAE">
        <w:trPr>
          <w:jc w:val="center"/>
        </w:trPr>
        <w:tc>
          <w:tcPr>
            <w:tcW w:w="1690" w:type="dxa"/>
            <w:shd w:val="clear" w:color="auto" w:fill="auto"/>
          </w:tcPr>
          <w:p w14:paraId="61DF5E1D" w14:textId="77777777" w:rsidR="009674DC" w:rsidRDefault="009674DC" w:rsidP="009674DC">
            <w:pPr>
              <w:rPr>
                <w:noProof/>
              </w:rPr>
            </w:pPr>
            <w:r w:rsidRPr="00E44BDA">
              <w:rPr>
                <w:noProof/>
              </w:rPr>
              <w:t>RSOO</w:t>
            </w:r>
          </w:p>
        </w:tc>
        <w:tc>
          <w:tcPr>
            <w:tcW w:w="6600" w:type="dxa"/>
            <w:shd w:val="clear" w:color="auto" w:fill="auto"/>
          </w:tcPr>
          <w:p w14:paraId="512A61E4" w14:textId="77777777" w:rsidR="009674DC" w:rsidRDefault="009674DC" w:rsidP="009674DC">
            <w:pPr>
              <w:rPr>
                <w:noProof/>
              </w:rPr>
            </w:pPr>
            <w:r>
              <w:rPr>
                <w:noProof/>
              </w:rPr>
              <w:t>Regional Safety Oversight Organisation</w:t>
            </w:r>
          </w:p>
        </w:tc>
      </w:tr>
      <w:tr w:rsidR="009674DC" w14:paraId="733FECEF" w14:textId="77777777" w:rsidTr="003D4EAE">
        <w:trPr>
          <w:jc w:val="center"/>
        </w:trPr>
        <w:tc>
          <w:tcPr>
            <w:tcW w:w="1690" w:type="dxa"/>
            <w:shd w:val="clear" w:color="auto" w:fill="auto"/>
          </w:tcPr>
          <w:p w14:paraId="57E1585D" w14:textId="77777777" w:rsidR="009674DC" w:rsidRPr="005859F1" w:rsidRDefault="009674DC" w:rsidP="009674DC">
            <w:pPr>
              <w:rPr>
                <w:noProof/>
                <w:highlight w:val="green"/>
              </w:rPr>
            </w:pPr>
            <w:r w:rsidRPr="00E44BDA">
              <w:rPr>
                <w:noProof/>
              </w:rPr>
              <w:t>SAB</w:t>
            </w:r>
          </w:p>
        </w:tc>
        <w:tc>
          <w:tcPr>
            <w:tcW w:w="6600" w:type="dxa"/>
            <w:shd w:val="clear" w:color="auto" w:fill="auto"/>
          </w:tcPr>
          <w:p w14:paraId="7B07BF39" w14:textId="77777777" w:rsidR="009674DC" w:rsidRDefault="009674DC" w:rsidP="009674DC">
            <w:pPr>
              <w:rPr>
                <w:noProof/>
              </w:rPr>
            </w:pPr>
            <w:r>
              <w:rPr>
                <w:noProof/>
              </w:rPr>
              <w:t>Stakeholders Advisory Body</w:t>
            </w:r>
          </w:p>
        </w:tc>
      </w:tr>
      <w:tr w:rsidR="009674DC" w14:paraId="3D058A3E" w14:textId="77777777" w:rsidTr="003D4EAE">
        <w:trPr>
          <w:jc w:val="center"/>
        </w:trPr>
        <w:tc>
          <w:tcPr>
            <w:tcW w:w="1690" w:type="dxa"/>
            <w:shd w:val="clear" w:color="auto" w:fill="auto"/>
          </w:tcPr>
          <w:p w14:paraId="76717725" w14:textId="77777777" w:rsidR="009674DC" w:rsidRPr="00BB1A01" w:rsidRDefault="009674DC" w:rsidP="009674DC">
            <w:pPr>
              <w:rPr>
                <w:noProof/>
              </w:rPr>
            </w:pPr>
            <w:r w:rsidRPr="00E44BDA">
              <w:rPr>
                <w:noProof/>
              </w:rPr>
              <w:t>SAFA</w:t>
            </w:r>
          </w:p>
        </w:tc>
        <w:tc>
          <w:tcPr>
            <w:tcW w:w="6600" w:type="dxa"/>
            <w:shd w:val="clear" w:color="auto" w:fill="auto"/>
          </w:tcPr>
          <w:p w14:paraId="79F4BD0D" w14:textId="77777777" w:rsidR="009674DC" w:rsidRPr="00BB1A01" w:rsidRDefault="009674DC" w:rsidP="009674DC">
            <w:pPr>
              <w:rPr>
                <w:noProof/>
              </w:rPr>
            </w:pPr>
            <w:r w:rsidRPr="00905411">
              <w:rPr>
                <w:noProof/>
              </w:rPr>
              <w:t xml:space="preserve">Safety Assessment of Foreign Aircraft </w:t>
            </w:r>
          </w:p>
        </w:tc>
      </w:tr>
      <w:tr w:rsidR="009674DC" w14:paraId="6D5DE944" w14:textId="77777777" w:rsidTr="003D4EAE">
        <w:trPr>
          <w:jc w:val="center"/>
        </w:trPr>
        <w:tc>
          <w:tcPr>
            <w:tcW w:w="1690" w:type="dxa"/>
            <w:shd w:val="clear" w:color="auto" w:fill="auto"/>
          </w:tcPr>
          <w:p w14:paraId="1895435E" w14:textId="77777777" w:rsidR="009674DC" w:rsidRDefault="009674DC" w:rsidP="009674DC">
            <w:pPr>
              <w:rPr>
                <w:noProof/>
              </w:rPr>
            </w:pPr>
            <w:r w:rsidRPr="00E44BDA">
              <w:rPr>
                <w:noProof/>
              </w:rPr>
              <w:t>SARPs</w:t>
            </w:r>
          </w:p>
        </w:tc>
        <w:tc>
          <w:tcPr>
            <w:tcW w:w="6600" w:type="dxa"/>
            <w:shd w:val="clear" w:color="auto" w:fill="auto"/>
          </w:tcPr>
          <w:p w14:paraId="314634A2" w14:textId="77777777" w:rsidR="009674DC" w:rsidRPr="00905411" w:rsidRDefault="009674DC" w:rsidP="009674DC">
            <w:pPr>
              <w:rPr>
                <w:noProof/>
              </w:rPr>
            </w:pPr>
            <w:r>
              <w:rPr>
                <w:noProof/>
              </w:rPr>
              <w:t>Standards and Recommended Practices (ICAO)</w:t>
            </w:r>
          </w:p>
        </w:tc>
      </w:tr>
      <w:tr w:rsidR="009674DC" w14:paraId="5F75F0D8" w14:textId="77777777" w:rsidTr="003D4EAE">
        <w:trPr>
          <w:jc w:val="center"/>
        </w:trPr>
        <w:tc>
          <w:tcPr>
            <w:tcW w:w="1690" w:type="dxa"/>
            <w:shd w:val="clear" w:color="auto" w:fill="auto"/>
          </w:tcPr>
          <w:p w14:paraId="46CABB4E" w14:textId="77777777" w:rsidR="009674DC" w:rsidRPr="00E44BDA" w:rsidRDefault="009674DC" w:rsidP="009674DC">
            <w:pPr>
              <w:rPr>
                <w:noProof/>
              </w:rPr>
            </w:pPr>
            <w:r>
              <w:rPr>
                <w:noProof/>
              </w:rPr>
              <w:t>SERA</w:t>
            </w:r>
          </w:p>
        </w:tc>
        <w:tc>
          <w:tcPr>
            <w:tcW w:w="6600" w:type="dxa"/>
            <w:shd w:val="clear" w:color="auto" w:fill="auto"/>
          </w:tcPr>
          <w:p w14:paraId="6A8084DD" w14:textId="77777777" w:rsidR="009674DC" w:rsidRPr="00BB1A01" w:rsidRDefault="009674DC" w:rsidP="009674DC">
            <w:pPr>
              <w:rPr>
                <w:noProof/>
              </w:rPr>
            </w:pPr>
            <w:r>
              <w:rPr>
                <w:noProof/>
              </w:rPr>
              <w:t xml:space="preserve">Standardised European Rules of the Air - </w:t>
            </w:r>
            <w:r w:rsidRPr="003D4EAE">
              <w:rPr>
                <w:noProof/>
              </w:rPr>
              <w:t>Regulation (EU) No 923/2012</w:t>
            </w:r>
          </w:p>
        </w:tc>
      </w:tr>
      <w:tr w:rsidR="009674DC" w14:paraId="421B9500" w14:textId="77777777" w:rsidTr="003D4EAE">
        <w:trPr>
          <w:jc w:val="center"/>
        </w:trPr>
        <w:tc>
          <w:tcPr>
            <w:tcW w:w="1690" w:type="dxa"/>
            <w:shd w:val="clear" w:color="auto" w:fill="auto"/>
          </w:tcPr>
          <w:p w14:paraId="4AA57126" w14:textId="77777777" w:rsidR="009674DC" w:rsidRDefault="009674DC" w:rsidP="009674DC">
            <w:pPr>
              <w:rPr>
                <w:noProof/>
              </w:rPr>
            </w:pPr>
            <w:r w:rsidRPr="00E44BDA">
              <w:rPr>
                <w:noProof/>
              </w:rPr>
              <w:t>SES</w:t>
            </w:r>
          </w:p>
        </w:tc>
        <w:tc>
          <w:tcPr>
            <w:tcW w:w="6600" w:type="dxa"/>
            <w:shd w:val="clear" w:color="auto" w:fill="auto"/>
          </w:tcPr>
          <w:p w14:paraId="47F2A11C" w14:textId="77777777" w:rsidR="009674DC" w:rsidRDefault="009674DC" w:rsidP="009674DC">
            <w:pPr>
              <w:rPr>
                <w:noProof/>
              </w:rPr>
            </w:pPr>
            <w:r w:rsidRPr="00BB1A01">
              <w:rPr>
                <w:noProof/>
              </w:rPr>
              <w:t>Single European Sky</w:t>
            </w:r>
          </w:p>
        </w:tc>
      </w:tr>
      <w:tr w:rsidR="009674DC" w14:paraId="44EC611A" w14:textId="77777777" w:rsidTr="003D4EAE">
        <w:trPr>
          <w:jc w:val="center"/>
        </w:trPr>
        <w:tc>
          <w:tcPr>
            <w:tcW w:w="1690" w:type="dxa"/>
            <w:shd w:val="clear" w:color="auto" w:fill="auto"/>
          </w:tcPr>
          <w:p w14:paraId="372FF512" w14:textId="77777777" w:rsidR="009674DC" w:rsidRPr="005859F1" w:rsidRDefault="009674DC" w:rsidP="009674DC">
            <w:pPr>
              <w:rPr>
                <w:noProof/>
                <w:highlight w:val="green"/>
              </w:rPr>
            </w:pPr>
            <w:r w:rsidRPr="00E44BDA">
              <w:rPr>
                <w:noProof/>
              </w:rPr>
              <w:t>SESAR</w:t>
            </w:r>
          </w:p>
        </w:tc>
        <w:tc>
          <w:tcPr>
            <w:tcW w:w="6600" w:type="dxa"/>
            <w:shd w:val="clear" w:color="auto" w:fill="auto"/>
          </w:tcPr>
          <w:p w14:paraId="45D985BC" w14:textId="57D94BF6" w:rsidR="009674DC" w:rsidRPr="00BB1A01" w:rsidRDefault="009674DC" w:rsidP="009674DC">
            <w:pPr>
              <w:rPr>
                <w:noProof/>
              </w:rPr>
            </w:pPr>
            <w:r>
              <w:rPr>
                <w:noProof/>
              </w:rPr>
              <w:t>Sing</w:t>
            </w:r>
            <w:r w:rsidR="004514D1">
              <w:rPr>
                <w:noProof/>
              </w:rPr>
              <w:t>l</w:t>
            </w:r>
            <w:r>
              <w:rPr>
                <w:noProof/>
              </w:rPr>
              <w:t>e European Sky ATM Research</w:t>
            </w:r>
          </w:p>
        </w:tc>
      </w:tr>
      <w:tr w:rsidR="009674DC" w14:paraId="7F5CF240" w14:textId="77777777" w:rsidTr="003D4EAE">
        <w:trPr>
          <w:jc w:val="center"/>
        </w:trPr>
        <w:tc>
          <w:tcPr>
            <w:tcW w:w="1690" w:type="dxa"/>
            <w:shd w:val="clear" w:color="auto" w:fill="auto"/>
          </w:tcPr>
          <w:p w14:paraId="3B55FA30" w14:textId="77777777" w:rsidR="009674DC" w:rsidRDefault="009674DC" w:rsidP="009674DC">
            <w:pPr>
              <w:rPr>
                <w:noProof/>
              </w:rPr>
            </w:pPr>
            <w:r w:rsidRPr="00E44BDA">
              <w:rPr>
                <w:noProof/>
              </w:rPr>
              <w:t>SIA</w:t>
            </w:r>
          </w:p>
        </w:tc>
        <w:tc>
          <w:tcPr>
            <w:tcW w:w="6600" w:type="dxa"/>
            <w:shd w:val="clear" w:color="auto" w:fill="auto"/>
          </w:tcPr>
          <w:p w14:paraId="6C6BD1CF" w14:textId="77777777" w:rsidR="009674DC" w:rsidRDefault="009674DC" w:rsidP="009674DC">
            <w:pPr>
              <w:rPr>
                <w:noProof/>
              </w:rPr>
            </w:pPr>
            <w:r>
              <w:rPr>
                <w:noProof/>
              </w:rPr>
              <w:t>s</w:t>
            </w:r>
            <w:r w:rsidRPr="00905411">
              <w:rPr>
                <w:noProof/>
              </w:rPr>
              <w:t xml:space="preserve">afety </w:t>
            </w:r>
            <w:r>
              <w:rPr>
                <w:noProof/>
              </w:rPr>
              <w:t>i</w:t>
            </w:r>
            <w:r w:rsidRPr="00905411">
              <w:rPr>
                <w:noProof/>
              </w:rPr>
              <w:t xml:space="preserve">nvestigation </w:t>
            </w:r>
            <w:r>
              <w:rPr>
                <w:noProof/>
              </w:rPr>
              <w:t>a</w:t>
            </w:r>
            <w:r w:rsidRPr="00905411">
              <w:rPr>
                <w:noProof/>
              </w:rPr>
              <w:t>uthority</w:t>
            </w:r>
            <w:r>
              <w:rPr>
                <w:noProof/>
              </w:rPr>
              <w:t xml:space="preserve"> </w:t>
            </w:r>
          </w:p>
        </w:tc>
      </w:tr>
      <w:tr w:rsidR="009674DC" w14:paraId="76F418F7" w14:textId="77777777" w:rsidTr="003D4EAE">
        <w:trPr>
          <w:jc w:val="center"/>
        </w:trPr>
        <w:tc>
          <w:tcPr>
            <w:tcW w:w="1690" w:type="dxa"/>
            <w:shd w:val="clear" w:color="auto" w:fill="auto"/>
          </w:tcPr>
          <w:p w14:paraId="2BC66B6D" w14:textId="77777777" w:rsidR="009674DC" w:rsidRDefault="009674DC" w:rsidP="009674DC">
            <w:pPr>
              <w:rPr>
                <w:noProof/>
              </w:rPr>
            </w:pPr>
            <w:r w:rsidRPr="00E44BDA">
              <w:rPr>
                <w:noProof/>
              </w:rPr>
              <w:t>SIB</w:t>
            </w:r>
          </w:p>
        </w:tc>
        <w:tc>
          <w:tcPr>
            <w:tcW w:w="6600" w:type="dxa"/>
            <w:shd w:val="clear" w:color="auto" w:fill="auto"/>
          </w:tcPr>
          <w:p w14:paraId="7613F6E8" w14:textId="77777777" w:rsidR="009674DC" w:rsidRDefault="009674DC" w:rsidP="009674DC">
            <w:pPr>
              <w:rPr>
                <w:noProof/>
              </w:rPr>
            </w:pPr>
            <w:r>
              <w:rPr>
                <w:noProof/>
              </w:rPr>
              <w:t>safety information bulletin</w:t>
            </w:r>
          </w:p>
        </w:tc>
      </w:tr>
      <w:tr w:rsidR="009674DC" w14:paraId="7D3DDE23" w14:textId="77777777" w:rsidTr="003D4EAE">
        <w:trPr>
          <w:jc w:val="center"/>
        </w:trPr>
        <w:tc>
          <w:tcPr>
            <w:tcW w:w="1690" w:type="dxa"/>
            <w:shd w:val="clear" w:color="auto" w:fill="auto"/>
          </w:tcPr>
          <w:p w14:paraId="0D6EB126" w14:textId="77777777" w:rsidR="009674DC" w:rsidRPr="00991755" w:rsidRDefault="009674DC" w:rsidP="009674DC">
            <w:pPr>
              <w:rPr>
                <w:noProof/>
              </w:rPr>
            </w:pPr>
            <w:r w:rsidRPr="00E44BDA">
              <w:rPr>
                <w:noProof/>
              </w:rPr>
              <w:t>SMS</w:t>
            </w:r>
          </w:p>
        </w:tc>
        <w:tc>
          <w:tcPr>
            <w:tcW w:w="6600" w:type="dxa"/>
            <w:shd w:val="clear" w:color="auto" w:fill="auto"/>
          </w:tcPr>
          <w:p w14:paraId="6A8EA431" w14:textId="77777777" w:rsidR="009674DC" w:rsidRDefault="009674DC" w:rsidP="009674DC">
            <w:pPr>
              <w:rPr>
                <w:noProof/>
              </w:rPr>
            </w:pPr>
            <w:r>
              <w:rPr>
                <w:noProof/>
              </w:rPr>
              <w:t>safety management system</w:t>
            </w:r>
          </w:p>
        </w:tc>
      </w:tr>
      <w:tr w:rsidR="009674DC" w14:paraId="577389FA" w14:textId="77777777" w:rsidTr="003D4EAE">
        <w:trPr>
          <w:jc w:val="center"/>
        </w:trPr>
        <w:tc>
          <w:tcPr>
            <w:tcW w:w="1690" w:type="dxa"/>
            <w:shd w:val="clear" w:color="auto" w:fill="auto"/>
          </w:tcPr>
          <w:p w14:paraId="497FEBF6" w14:textId="77777777" w:rsidR="009674DC" w:rsidRDefault="009674DC" w:rsidP="009674DC">
            <w:pPr>
              <w:rPr>
                <w:noProof/>
              </w:rPr>
            </w:pPr>
            <w:r w:rsidRPr="00E44BDA">
              <w:rPr>
                <w:noProof/>
              </w:rPr>
              <w:t>SPAS</w:t>
            </w:r>
          </w:p>
        </w:tc>
        <w:tc>
          <w:tcPr>
            <w:tcW w:w="6600" w:type="dxa"/>
            <w:shd w:val="clear" w:color="auto" w:fill="auto"/>
          </w:tcPr>
          <w:p w14:paraId="4B8C10F6" w14:textId="77777777" w:rsidR="009674DC" w:rsidRPr="00905411" w:rsidRDefault="009674DC" w:rsidP="009674DC">
            <w:pPr>
              <w:rPr>
                <w:noProof/>
              </w:rPr>
            </w:pPr>
            <w:r>
              <w:rPr>
                <w:noProof/>
              </w:rPr>
              <w:t>State Plan for Aviation Safety</w:t>
            </w:r>
          </w:p>
        </w:tc>
      </w:tr>
      <w:tr w:rsidR="009674DC" w14:paraId="33C6DF24" w14:textId="77777777" w:rsidTr="003D4EAE">
        <w:trPr>
          <w:jc w:val="center"/>
        </w:trPr>
        <w:tc>
          <w:tcPr>
            <w:tcW w:w="1690" w:type="dxa"/>
            <w:shd w:val="clear" w:color="auto" w:fill="auto"/>
          </w:tcPr>
          <w:p w14:paraId="06812925" w14:textId="77777777" w:rsidR="009674DC" w:rsidRDefault="009674DC" w:rsidP="009674DC">
            <w:pPr>
              <w:rPr>
                <w:noProof/>
              </w:rPr>
            </w:pPr>
            <w:r w:rsidRPr="00E44BDA">
              <w:rPr>
                <w:noProof/>
              </w:rPr>
              <w:t>SPI</w:t>
            </w:r>
          </w:p>
        </w:tc>
        <w:tc>
          <w:tcPr>
            <w:tcW w:w="6600" w:type="dxa"/>
            <w:shd w:val="clear" w:color="auto" w:fill="auto"/>
          </w:tcPr>
          <w:p w14:paraId="24142472" w14:textId="77777777" w:rsidR="009674DC" w:rsidRDefault="009674DC" w:rsidP="009674DC">
            <w:pPr>
              <w:rPr>
                <w:noProof/>
              </w:rPr>
            </w:pPr>
            <w:r>
              <w:rPr>
                <w:noProof/>
              </w:rPr>
              <w:t>s</w:t>
            </w:r>
            <w:r w:rsidRPr="00905411">
              <w:rPr>
                <w:noProof/>
              </w:rPr>
              <w:t xml:space="preserve">afety </w:t>
            </w:r>
            <w:r>
              <w:rPr>
                <w:noProof/>
              </w:rPr>
              <w:t>p</w:t>
            </w:r>
            <w:r w:rsidRPr="00905411">
              <w:rPr>
                <w:noProof/>
              </w:rPr>
              <w:t xml:space="preserve">erformance </w:t>
            </w:r>
            <w:r>
              <w:rPr>
                <w:noProof/>
              </w:rPr>
              <w:t>i</w:t>
            </w:r>
            <w:r w:rsidRPr="00905411">
              <w:rPr>
                <w:noProof/>
              </w:rPr>
              <w:t>ndicator</w:t>
            </w:r>
          </w:p>
        </w:tc>
      </w:tr>
      <w:tr w:rsidR="009674DC" w14:paraId="587F1236" w14:textId="77777777" w:rsidTr="003D4EAE">
        <w:trPr>
          <w:jc w:val="center"/>
        </w:trPr>
        <w:tc>
          <w:tcPr>
            <w:tcW w:w="1690" w:type="dxa"/>
            <w:shd w:val="clear" w:color="auto" w:fill="auto"/>
          </w:tcPr>
          <w:p w14:paraId="6F6B249E" w14:textId="77777777" w:rsidR="009674DC" w:rsidRPr="009A6836" w:rsidRDefault="009674DC" w:rsidP="009674DC">
            <w:pPr>
              <w:rPr>
                <w:noProof/>
                <w:highlight w:val="green"/>
              </w:rPr>
            </w:pPr>
            <w:r w:rsidRPr="00E44BDA">
              <w:rPr>
                <w:noProof/>
              </w:rPr>
              <w:t>SPN</w:t>
            </w:r>
          </w:p>
        </w:tc>
        <w:tc>
          <w:tcPr>
            <w:tcW w:w="6600" w:type="dxa"/>
            <w:shd w:val="clear" w:color="auto" w:fill="auto"/>
          </w:tcPr>
          <w:p w14:paraId="7C68B89B" w14:textId="77777777" w:rsidR="009674DC" w:rsidRDefault="009674DC" w:rsidP="009674DC">
            <w:pPr>
              <w:rPr>
                <w:noProof/>
              </w:rPr>
            </w:pPr>
            <w:r>
              <w:rPr>
                <w:noProof/>
              </w:rPr>
              <w:t>Safety Promotion Network</w:t>
            </w:r>
          </w:p>
        </w:tc>
      </w:tr>
      <w:tr w:rsidR="009674DC" w14:paraId="1E2D193E" w14:textId="77777777" w:rsidTr="003D4EAE">
        <w:trPr>
          <w:jc w:val="center"/>
        </w:trPr>
        <w:tc>
          <w:tcPr>
            <w:tcW w:w="1690" w:type="dxa"/>
            <w:shd w:val="clear" w:color="auto" w:fill="auto"/>
          </w:tcPr>
          <w:p w14:paraId="1DEA7DDB" w14:textId="77777777" w:rsidR="009674DC" w:rsidRPr="009A6836" w:rsidRDefault="009674DC" w:rsidP="009674DC">
            <w:pPr>
              <w:rPr>
                <w:noProof/>
                <w:highlight w:val="green"/>
              </w:rPr>
            </w:pPr>
            <w:r w:rsidRPr="00E44BDA">
              <w:rPr>
                <w:noProof/>
              </w:rPr>
              <w:t>SPT</w:t>
            </w:r>
          </w:p>
        </w:tc>
        <w:tc>
          <w:tcPr>
            <w:tcW w:w="6600" w:type="dxa"/>
            <w:shd w:val="clear" w:color="auto" w:fill="auto"/>
          </w:tcPr>
          <w:p w14:paraId="47EB050A" w14:textId="77777777" w:rsidR="009674DC" w:rsidRPr="00905411" w:rsidRDefault="009674DC" w:rsidP="009674DC">
            <w:pPr>
              <w:rPr>
                <w:noProof/>
              </w:rPr>
            </w:pPr>
            <w:r>
              <w:rPr>
                <w:noProof/>
              </w:rPr>
              <w:t>safety promotion task (EPAS)</w:t>
            </w:r>
          </w:p>
        </w:tc>
      </w:tr>
      <w:tr w:rsidR="009674DC" w14:paraId="6D688953" w14:textId="77777777" w:rsidTr="003D4EAE">
        <w:trPr>
          <w:jc w:val="center"/>
        </w:trPr>
        <w:tc>
          <w:tcPr>
            <w:tcW w:w="1690" w:type="dxa"/>
            <w:shd w:val="clear" w:color="auto" w:fill="auto"/>
          </w:tcPr>
          <w:p w14:paraId="432E1360" w14:textId="77777777" w:rsidR="009674DC" w:rsidRPr="009A6836" w:rsidRDefault="009674DC" w:rsidP="009674DC">
            <w:pPr>
              <w:rPr>
                <w:noProof/>
                <w:highlight w:val="green"/>
              </w:rPr>
            </w:pPr>
            <w:r w:rsidRPr="00E44BDA">
              <w:rPr>
                <w:noProof/>
              </w:rPr>
              <w:t>SRIS</w:t>
            </w:r>
          </w:p>
        </w:tc>
        <w:tc>
          <w:tcPr>
            <w:tcW w:w="6600" w:type="dxa"/>
            <w:shd w:val="clear" w:color="auto" w:fill="auto"/>
          </w:tcPr>
          <w:p w14:paraId="59AA1806" w14:textId="77777777" w:rsidR="009674DC" w:rsidRPr="00905411" w:rsidRDefault="009674DC" w:rsidP="009674DC">
            <w:pPr>
              <w:rPr>
                <w:noProof/>
              </w:rPr>
            </w:pPr>
            <w:r w:rsidRPr="00AB1296">
              <w:rPr>
                <w:noProof/>
              </w:rPr>
              <w:t>Safety Recommendations Information System</w:t>
            </w:r>
          </w:p>
        </w:tc>
      </w:tr>
      <w:tr w:rsidR="009674DC" w14:paraId="38F9BA69" w14:textId="77777777" w:rsidTr="003D4EAE">
        <w:trPr>
          <w:jc w:val="center"/>
        </w:trPr>
        <w:tc>
          <w:tcPr>
            <w:tcW w:w="1690" w:type="dxa"/>
            <w:shd w:val="clear" w:color="auto" w:fill="auto"/>
          </w:tcPr>
          <w:p w14:paraId="5E692B9D" w14:textId="77777777" w:rsidR="009674DC" w:rsidRDefault="009674DC" w:rsidP="009674DC">
            <w:pPr>
              <w:rPr>
                <w:noProof/>
              </w:rPr>
            </w:pPr>
            <w:r w:rsidRPr="00E44BDA">
              <w:rPr>
                <w:noProof/>
              </w:rPr>
              <w:t>SRM</w:t>
            </w:r>
          </w:p>
        </w:tc>
        <w:tc>
          <w:tcPr>
            <w:tcW w:w="6600" w:type="dxa"/>
            <w:shd w:val="clear" w:color="auto" w:fill="auto"/>
          </w:tcPr>
          <w:p w14:paraId="03BB069F" w14:textId="77777777" w:rsidR="009674DC" w:rsidRDefault="009674DC" w:rsidP="009674DC">
            <w:pPr>
              <w:rPr>
                <w:noProof/>
              </w:rPr>
            </w:pPr>
            <w:r>
              <w:rPr>
                <w:noProof/>
              </w:rPr>
              <w:t>safety risk management</w:t>
            </w:r>
          </w:p>
        </w:tc>
      </w:tr>
      <w:tr w:rsidR="009674DC" w14:paraId="297E0BC9" w14:textId="77777777" w:rsidTr="003D4EAE">
        <w:trPr>
          <w:jc w:val="center"/>
        </w:trPr>
        <w:tc>
          <w:tcPr>
            <w:tcW w:w="1690" w:type="dxa"/>
            <w:shd w:val="clear" w:color="auto" w:fill="auto"/>
          </w:tcPr>
          <w:p w14:paraId="5F710DE8" w14:textId="77777777" w:rsidR="009674DC" w:rsidRDefault="009674DC" w:rsidP="009674DC">
            <w:pPr>
              <w:rPr>
                <w:noProof/>
              </w:rPr>
            </w:pPr>
            <w:r w:rsidRPr="00E44BDA">
              <w:rPr>
                <w:noProof/>
              </w:rPr>
              <w:t>SSP</w:t>
            </w:r>
          </w:p>
        </w:tc>
        <w:tc>
          <w:tcPr>
            <w:tcW w:w="6600" w:type="dxa"/>
            <w:shd w:val="clear" w:color="auto" w:fill="auto"/>
          </w:tcPr>
          <w:p w14:paraId="0F2F6D3A" w14:textId="77777777" w:rsidR="009674DC" w:rsidRDefault="009674DC" w:rsidP="009674DC">
            <w:pPr>
              <w:rPr>
                <w:noProof/>
              </w:rPr>
            </w:pPr>
            <w:r>
              <w:rPr>
                <w:noProof/>
              </w:rPr>
              <w:t>State</w:t>
            </w:r>
            <w:r w:rsidRPr="00905411">
              <w:rPr>
                <w:noProof/>
              </w:rPr>
              <w:t xml:space="preserve"> Safety Programme</w:t>
            </w:r>
          </w:p>
        </w:tc>
      </w:tr>
      <w:tr w:rsidR="009674DC" w14:paraId="10C015DD" w14:textId="77777777" w:rsidTr="003D4EAE">
        <w:trPr>
          <w:jc w:val="center"/>
        </w:trPr>
        <w:tc>
          <w:tcPr>
            <w:tcW w:w="1690" w:type="dxa"/>
            <w:shd w:val="clear" w:color="auto" w:fill="auto"/>
          </w:tcPr>
          <w:p w14:paraId="6396DCF5" w14:textId="77777777" w:rsidR="009674DC" w:rsidRPr="00E44BDA" w:rsidRDefault="009674DC" w:rsidP="009674DC">
            <w:pPr>
              <w:rPr>
                <w:noProof/>
              </w:rPr>
            </w:pPr>
            <w:r>
              <w:rPr>
                <w:noProof/>
              </w:rPr>
              <w:t xml:space="preserve">SSPIA </w:t>
            </w:r>
          </w:p>
        </w:tc>
        <w:tc>
          <w:tcPr>
            <w:tcW w:w="6600" w:type="dxa"/>
            <w:shd w:val="clear" w:color="auto" w:fill="auto"/>
          </w:tcPr>
          <w:p w14:paraId="2DA79306" w14:textId="77777777" w:rsidR="009674DC" w:rsidRDefault="009674DC" w:rsidP="009674DC">
            <w:pPr>
              <w:rPr>
                <w:noProof/>
              </w:rPr>
            </w:pPr>
            <w:r>
              <w:rPr>
                <w:noProof/>
              </w:rPr>
              <w:t>State Safety Programme Implementation Assessment</w:t>
            </w:r>
          </w:p>
        </w:tc>
      </w:tr>
      <w:tr w:rsidR="009674DC" w14:paraId="3A452844" w14:textId="77777777" w:rsidTr="003D4EAE">
        <w:trPr>
          <w:jc w:val="center"/>
        </w:trPr>
        <w:tc>
          <w:tcPr>
            <w:tcW w:w="1690" w:type="dxa"/>
            <w:shd w:val="clear" w:color="auto" w:fill="auto"/>
          </w:tcPr>
          <w:p w14:paraId="34137A1B" w14:textId="77777777" w:rsidR="009674DC" w:rsidRPr="005859F1" w:rsidRDefault="009674DC" w:rsidP="009674DC">
            <w:pPr>
              <w:rPr>
                <w:noProof/>
                <w:highlight w:val="green"/>
              </w:rPr>
            </w:pPr>
            <w:r w:rsidRPr="00E44BDA">
              <w:rPr>
                <w:noProof/>
              </w:rPr>
              <w:t>SYS 2.0</w:t>
            </w:r>
          </w:p>
        </w:tc>
        <w:tc>
          <w:tcPr>
            <w:tcW w:w="6600" w:type="dxa"/>
            <w:shd w:val="clear" w:color="auto" w:fill="auto"/>
          </w:tcPr>
          <w:p w14:paraId="6A4027D6" w14:textId="77777777" w:rsidR="009674DC" w:rsidRPr="00E44BDA" w:rsidRDefault="009674DC" w:rsidP="009674DC">
            <w:pPr>
              <w:rPr>
                <w:noProof/>
                <w:lang w:val="en-US"/>
              </w:rPr>
            </w:pPr>
            <w:r>
              <w:rPr>
                <w:noProof/>
              </w:rPr>
              <w:t xml:space="preserve">Standardisation inspection in the domain ‘Systemic enablers for safety management’ (SYS). 2.0 refers to Phase II, whereby the scope of the initial inspection is extended to the assessment of the </w:t>
            </w:r>
            <w:r w:rsidRPr="00A903B5">
              <w:rPr>
                <w:noProof/>
              </w:rPr>
              <w:t>effective implementation of SSP and SPAS</w:t>
            </w:r>
            <w:r>
              <w:rPr>
                <w:noProof/>
              </w:rPr>
              <w:t>.</w:t>
            </w:r>
          </w:p>
        </w:tc>
      </w:tr>
      <w:tr w:rsidR="009674DC" w14:paraId="1654045E" w14:textId="77777777" w:rsidTr="003D4EAE">
        <w:trPr>
          <w:jc w:val="center"/>
        </w:trPr>
        <w:tc>
          <w:tcPr>
            <w:tcW w:w="1690" w:type="dxa"/>
            <w:shd w:val="clear" w:color="auto" w:fill="auto"/>
          </w:tcPr>
          <w:p w14:paraId="0A268549" w14:textId="77777777" w:rsidR="009674DC" w:rsidRDefault="009674DC" w:rsidP="009674DC">
            <w:pPr>
              <w:rPr>
                <w:noProof/>
              </w:rPr>
            </w:pPr>
            <w:r w:rsidRPr="00E44BDA">
              <w:rPr>
                <w:noProof/>
              </w:rPr>
              <w:t>TCO</w:t>
            </w:r>
          </w:p>
        </w:tc>
        <w:tc>
          <w:tcPr>
            <w:tcW w:w="6600" w:type="dxa"/>
            <w:shd w:val="clear" w:color="auto" w:fill="auto"/>
          </w:tcPr>
          <w:p w14:paraId="02D3E710" w14:textId="77777777" w:rsidR="009674DC" w:rsidRDefault="009674DC" w:rsidP="009674DC">
            <w:pPr>
              <w:rPr>
                <w:noProof/>
              </w:rPr>
            </w:pPr>
            <w:r>
              <w:rPr>
                <w:noProof/>
              </w:rPr>
              <w:t>third-country operator</w:t>
            </w:r>
          </w:p>
        </w:tc>
      </w:tr>
      <w:tr w:rsidR="009674DC" w14:paraId="70E7E98B" w14:textId="77777777" w:rsidTr="003D4EAE">
        <w:trPr>
          <w:jc w:val="center"/>
        </w:trPr>
        <w:tc>
          <w:tcPr>
            <w:tcW w:w="1690" w:type="dxa"/>
            <w:shd w:val="clear" w:color="auto" w:fill="auto"/>
          </w:tcPr>
          <w:p w14:paraId="30383C6E" w14:textId="77777777" w:rsidR="009674DC" w:rsidRPr="005859F1" w:rsidRDefault="009674DC" w:rsidP="009674DC">
            <w:pPr>
              <w:rPr>
                <w:noProof/>
                <w:highlight w:val="green"/>
              </w:rPr>
            </w:pPr>
            <w:r w:rsidRPr="00E44BDA">
              <w:rPr>
                <w:noProof/>
              </w:rPr>
              <w:t>TeB</w:t>
            </w:r>
          </w:p>
        </w:tc>
        <w:tc>
          <w:tcPr>
            <w:tcW w:w="6600" w:type="dxa"/>
            <w:shd w:val="clear" w:color="auto" w:fill="auto"/>
          </w:tcPr>
          <w:p w14:paraId="78730DDE" w14:textId="77777777" w:rsidR="009674DC" w:rsidRDefault="009674DC" w:rsidP="009674DC">
            <w:pPr>
              <w:rPr>
                <w:noProof/>
              </w:rPr>
            </w:pPr>
            <w:r>
              <w:rPr>
                <w:noProof/>
              </w:rPr>
              <w:t>technical body (sub-body of MAB)</w:t>
            </w:r>
          </w:p>
        </w:tc>
      </w:tr>
      <w:tr w:rsidR="009674DC" w14:paraId="3DEF79C8" w14:textId="77777777" w:rsidTr="003D4EAE">
        <w:trPr>
          <w:jc w:val="center"/>
        </w:trPr>
        <w:tc>
          <w:tcPr>
            <w:tcW w:w="1690" w:type="dxa"/>
            <w:shd w:val="clear" w:color="auto" w:fill="auto"/>
          </w:tcPr>
          <w:p w14:paraId="0BF768EB" w14:textId="77777777" w:rsidR="009674DC" w:rsidRDefault="009674DC" w:rsidP="009674DC">
            <w:pPr>
              <w:rPr>
                <w:noProof/>
                <w:highlight w:val="green"/>
              </w:rPr>
            </w:pPr>
            <w:r w:rsidRPr="00E44BDA">
              <w:rPr>
                <w:noProof/>
              </w:rPr>
              <w:t>TeC</w:t>
            </w:r>
          </w:p>
        </w:tc>
        <w:tc>
          <w:tcPr>
            <w:tcW w:w="6600" w:type="dxa"/>
            <w:shd w:val="clear" w:color="auto" w:fill="auto"/>
          </w:tcPr>
          <w:p w14:paraId="2D80B6BF" w14:textId="77777777" w:rsidR="009674DC" w:rsidRDefault="009674DC" w:rsidP="009674DC">
            <w:pPr>
              <w:rPr>
                <w:noProof/>
              </w:rPr>
            </w:pPr>
            <w:r>
              <w:rPr>
                <w:noProof/>
              </w:rPr>
              <w:t>technical committee (sub-body of SAB)</w:t>
            </w:r>
          </w:p>
        </w:tc>
      </w:tr>
      <w:tr w:rsidR="009674DC" w14:paraId="06A7600D" w14:textId="77777777" w:rsidTr="003D4EAE">
        <w:trPr>
          <w:jc w:val="center"/>
        </w:trPr>
        <w:tc>
          <w:tcPr>
            <w:tcW w:w="1690" w:type="dxa"/>
            <w:shd w:val="clear" w:color="auto" w:fill="auto"/>
          </w:tcPr>
          <w:p w14:paraId="271FB092" w14:textId="77777777" w:rsidR="009674DC" w:rsidRPr="005859F1" w:rsidRDefault="009674DC" w:rsidP="009674DC">
            <w:pPr>
              <w:rPr>
                <w:noProof/>
                <w:highlight w:val="green"/>
              </w:rPr>
            </w:pPr>
            <w:r w:rsidRPr="00E44BDA">
              <w:rPr>
                <w:noProof/>
              </w:rPr>
              <w:t>TFEU</w:t>
            </w:r>
          </w:p>
        </w:tc>
        <w:tc>
          <w:tcPr>
            <w:tcW w:w="6600" w:type="dxa"/>
            <w:shd w:val="clear" w:color="auto" w:fill="auto"/>
          </w:tcPr>
          <w:p w14:paraId="05C58C63" w14:textId="77777777" w:rsidR="009674DC" w:rsidRDefault="009674DC" w:rsidP="009674DC">
            <w:pPr>
              <w:rPr>
                <w:noProof/>
              </w:rPr>
            </w:pPr>
            <w:r>
              <w:rPr>
                <w:noProof/>
              </w:rPr>
              <w:t>Treaty on the Functioning of the European Union</w:t>
            </w:r>
          </w:p>
        </w:tc>
      </w:tr>
      <w:tr w:rsidR="009674DC" w14:paraId="395EF035" w14:textId="77777777" w:rsidTr="003D4EAE">
        <w:trPr>
          <w:jc w:val="center"/>
        </w:trPr>
        <w:tc>
          <w:tcPr>
            <w:tcW w:w="1690" w:type="dxa"/>
            <w:shd w:val="clear" w:color="auto" w:fill="auto"/>
          </w:tcPr>
          <w:p w14:paraId="5E1C7B08" w14:textId="77777777" w:rsidR="009674DC" w:rsidRDefault="009674DC" w:rsidP="009674DC">
            <w:pPr>
              <w:rPr>
                <w:noProof/>
              </w:rPr>
            </w:pPr>
            <w:r w:rsidRPr="00E44BDA">
              <w:rPr>
                <w:noProof/>
              </w:rPr>
              <w:t>UAS</w:t>
            </w:r>
          </w:p>
        </w:tc>
        <w:tc>
          <w:tcPr>
            <w:tcW w:w="6600" w:type="dxa"/>
            <w:shd w:val="clear" w:color="auto" w:fill="auto"/>
          </w:tcPr>
          <w:p w14:paraId="05A8D779" w14:textId="77777777" w:rsidR="009674DC" w:rsidRDefault="009674DC" w:rsidP="009674DC">
            <w:pPr>
              <w:rPr>
                <w:noProof/>
              </w:rPr>
            </w:pPr>
            <w:r>
              <w:rPr>
                <w:noProof/>
              </w:rPr>
              <w:t>unmanned aircraft system</w:t>
            </w:r>
          </w:p>
        </w:tc>
      </w:tr>
      <w:tr w:rsidR="009674DC" w14:paraId="7676B528" w14:textId="77777777" w:rsidTr="003D4EAE">
        <w:trPr>
          <w:jc w:val="center"/>
        </w:trPr>
        <w:tc>
          <w:tcPr>
            <w:tcW w:w="1690" w:type="dxa"/>
            <w:shd w:val="clear" w:color="auto" w:fill="auto"/>
          </w:tcPr>
          <w:p w14:paraId="0A320463" w14:textId="77777777" w:rsidR="009674DC" w:rsidRDefault="009674DC" w:rsidP="009674DC">
            <w:pPr>
              <w:rPr>
                <w:noProof/>
              </w:rPr>
            </w:pPr>
            <w:r w:rsidRPr="00E44BDA">
              <w:rPr>
                <w:noProof/>
              </w:rPr>
              <w:t>USOAP</w:t>
            </w:r>
          </w:p>
        </w:tc>
        <w:tc>
          <w:tcPr>
            <w:tcW w:w="6600" w:type="dxa"/>
            <w:shd w:val="clear" w:color="auto" w:fill="auto"/>
          </w:tcPr>
          <w:p w14:paraId="3BDF095B" w14:textId="77777777" w:rsidR="009674DC" w:rsidRDefault="009674DC" w:rsidP="009674DC">
            <w:pPr>
              <w:rPr>
                <w:noProof/>
              </w:rPr>
            </w:pPr>
            <w:r w:rsidRPr="00905411">
              <w:rPr>
                <w:noProof/>
              </w:rPr>
              <w:t>Universal Safety Oversight Audit Programme</w:t>
            </w:r>
            <w:r>
              <w:rPr>
                <w:noProof/>
              </w:rPr>
              <w:t xml:space="preserve"> (ICAO)</w:t>
            </w:r>
          </w:p>
        </w:tc>
      </w:tr>
      <w:tr w:rsidR="009674DC" w14:paraId="55DF729F" w14:textId="77777777" w:rsidTr="003D4EAE">
        <w:trPr>
          <w:jc w:val="center"/>
        </w:trPr>
        <w:tc>
          <w:tcPr>
            <w:tcW w:w="1690" w:type="dxa"/>
            <w:shd w:val="clear" w:color="auto" w:fill="auto"/>
          </w:tcPr>
          <w:p w14:paraId="4310BC36" w14:textId="77777777" w:rsidR="009674DC" w:rsidRDefault="009674DC" w:rsidP="009674DC">
            <w:pPr>
              <w:rPr>
                <w:noProof/>
              </w:rPr>
            </w:pPr>
            <w:r w:rsidRPr="00E44BDA">
              <w:rPr>
                <w:noProof/>
              </w:rPr>
              <w:t>USSP</w:t>
            </w:r>
          </w:p>
        </w:tc>
        <w:tc>
          <w:tcPr>
            <w:tcW w:w="6600" w:type="dxa"/>
            <w:shd w:val="clear" w:color="auto" w:fill="auto"/>
          </w:tcPr>
          <w:p w14:paraId="7411470B" w14:textId="77777777" w:rsidR="009674DC" w:rsidRPr="00905411" w:rsidRDefault="009674DC" w:rsidP="009674DC">
            <w:pPr>
              <w:rPr>
                <w:noProof/>
              </w:rPr>
            </w:pPr>
            <w:r>
              <w:rPr>
                <w:noProof/>
              </w:rPr>
              <w:t>U-space service provider</w:t>
            </w:r>
          </w:p>
        </w:tc>
      </w:tr>
    </w:tbl>
    <w:p w14:paraId="783D20E4" w14:textId="77777777" w:rsidR="00C62EE5" w:rsidRPr="000B538A" w:rsidRDefault="00C62EE5" w:rsidP="0006001F">
      <w:pPr>
        <w:shd w:val="clear" w:color="auto" w:fill="FFFFFF"/>
        <w:rPr>
          <w:rFonts w:eastAsia="Times New Roman" w:cs="Times New Roman"/>
          <w:noProof/>
          <w:szCs w:val="24"/>
        </w:rPr>
      </w:pPr>
    </w:p>
    <w:sectPr w:rsidR="00C62EE5" w:rsidRPr="000B538A" w:rsidSect="0017719B">
      <w:headerReference w:type="even" r:id="rId73"/>
      <w:headerReference w:type="default" r:id="rId74"/>
      <w:footerReference w:type="even" r:id="rId75"/>
      <w:footerReference w:type="default" r:id="rId76"/>
      <w:headerReference w:type="first" r:id="rId77"/>
      <w:footerReference w:type="first" r:id="rId78"/>
      <w:pgSz w:w="11907" w:h="16839"/>
      <w:pgMar w:top="1134" w:right="1417" w:bottom="1134" w:left="1417" w:header="709" w:footer="709" w:gutter="0"/>
      <w:pgNumType w:start="2"/>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719F0" w16cex:dateUtc="2022-08-29T08:56:00Z"/>
  <w16cex:commentExtensible w16cex:durableId="26B71BE1" w16cex:dateUtc="2022-08-29T09:05:00Z"/>
  <w16cex:commentExtensible w16cex:durableId="26B71E85" w16cex:dateUtc="2022-08-29T09:16:00Z"/>
  <w16cex:commentExtensible w16cex:durableId="26B71ED6" w16cex:dateUtc="2022-08-29T09:17:00Z"/>
  <w16cex:commentExtensible w16cex:durableId="26B71FA3" w16cex:dateUtc="2022-08-29T09:21:00Z"/>
  <w16cex:commentExtensible w16cex:durableId="26B720D9" w16cex:dateUtc="2022-08-29T09:26:00Z"/>
  <w16cex:commentExtensible w16cex:durableId="26B7214A" w16cex:dateUtc="2022-08-29T09:28:00Z"/>
  <w16cex:commentExtensible w16cex:durableId="268E3992" w16cex:dateUtc="2022-07-29T08:48:00Z"/>
  <w16cex:commentExtensible w16cex:durableId="26B7226A" w16cex:dateUtc="2022-08-29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9AE38D" w16cid:durableId="26B717EF"/>
  <w16cid:commentId w16cid:paraId="4C323975" w16cid:durableId="26B717F0"/>
  <w16cid:commentId w16cid:paraId="0A2728AC" w16cid:durableId="26B717F1"/>
  <w16cid:commentId w16cid:paraId="1BC40102" w16cid:durableId="26B719F0"/>
  <w16cid:commentId w16cid:paraId="6383FADC" w16cid:durableId="26B717F2"/>
  <w16cid:commentId w16cid:paraId="368D7C35" w16cid:durableId="26B71BE1"/>
  <w16cid:commentId w16cid:paraId="629EE357" w16cid:durableId="26B717F3"/>
  <w16cid:commentId w16cid:paraId="3A84678C" w16cid:durableId="26B71E85"/>
  <w16cid:commentId w16cid:paraId="40D9C00E" w16cid:durableId="26B717F4"/>
  <w16cid:commentId w16cid:paraId="32319C82" w16cid:durableId="26B717F5"/>
  <w16cid:commentId w16cid:paraId="5FFF906F" w16cid:durableId="26B717F6"/>
  <w16cid:commentId w16cid:paraId="5784A8BA" w16cid:durableId="26B717F7"/>
  <w16cid:commentId w16cid:paraId="559465B7" w16cid:durableId="26B71ED6"/>
  <w16cid:commentId w16cid:paraId="40ED8922" w16cid:durableId="26B717F8"/>
  <w16cid:commentId w16cid:paraId="6B456B84" w16cid:durableId="26B71FA3"/>
  <w16cid:commentId w16cid:paraId="3E0F2415" w16cid:durableId="26B717F9"/>
  <w16cid:commentId w16cid:paraId="7E2B865F" w16cid:durableId="26B720D9"/>
  <w16cid:commentId w16cid:paraId="4F049CCE" w16cid:durableId="26B7214A"/>
  <w16cid:commentId w16cid:paraId="492C6AB9" w16cid:durableId="268E3992"/>
  <w16cid:commentId w16cid:paraId="153A9B58" w16cid:durableId="26B717FB"/>
  <w16cid:commentId w16cid:paraId="78FC1A3D" w16cid:durableId="26B722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92395" w14:textId="77777777" w:rsidR="00275AA4" w:rsidRDefault="00275AA4" w:rsidP="00142CA8">
      <w:r>
        <w:separator/>
      </w:r>
    </w:p>
  </w:endnote>
  <w:endnote w:type="continuationSeparator" w:id="0">
    <w:p w14:paraId="1F504F32" w14:textId="77777777" w:rsidR="00275AA4" w:rsidRDefault="00275AA4" w:rsidP="00142CA8">
      <w:r>
        <w:continuationSeparator/>
      </w:r>
    </w:p>
  </w:endnote>
  <w:endnote w:type="continuationNotice" w:id="1">
    <w:p w14:paraId="42A9532C" w14:textId="77777777" w:rsidR="00275AA4" w:rsidRDefault="00275AA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B70C3" w14:textId="77777777" w:rsidR="00E001AA" w:rsidRPr="00E001AA" w:rsidRDefault="00E001AA" w:rsidP="00E001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1E52" w14:textId="18AB364E" w:rsidR="000A2F9E" w:rsidRPr="00E001AA" w:rsidRDefault="00E001AA" w:rsidP="00E001AA">
    <w:pPr>
      <w:pStyle w:val="FooterCoverPage"/>
      <w:rPr>
        <w:rFonts w:ascii="Arial" w:hAnsi="Arial" w:cs="Arial"/>
        <w:b/>
        <w:sz w:val="48"/>
      </w:rPr>
    </w:pPr>
    <w:r w:rsidRPr="00E001AA">
      <w:rPr>
        <w:rFonts w:ascii="Arial" w:hAnsi="Arial" w:cs="Arial"/>
        <w:b/>
        <w:sz w:val="48"/>
      </w:rPr>
      <w:t>EN</w:t>
    </w:r>
    <w:r w:rsidRPr="00E001AA">
      <w:rPr>
        <w:rFonts w:ascii="Arial" w:hAnsi="Arial" w:cs="Arial"/>
        <w:b/>
        <w:sz w:val="48"/>
      </w:rPr>
      <w:tab/>
    </w:r>
    <w:r w:rsidRPr="00E001AA">
      <w:rPr>
        <w:rFonts w:ascii="Arial" w:hAnsi="Arial" w:cs="Arial"/>
        <w:b/>
        <w:sz w:val="48"/>
      </w:rPr>
      <w:tab/>
    </w:r>
    <w:r w:rsidRPr="00E001AA">
      <w:tab/>
    </w:r>
    <w:r w:rsidRPr="00E001AA">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267DF" w14:textId="77777777" w:rsidR="00E001AA" w:rsidRPr="00E001AA" w:rsidRDefault="00E001AA" w:rsidP="00E001A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E65B8" w14:textId="77777777" w:rsidR="00275AA4" w:rsidRDefault="00275AA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44611"/>
      <w:docPartObj>
        <w:docPartGallery w:val="Page Numbers (Bottom of Page)"/>
        <w:docPartUnique/>
      </w:docPartObj>
    </w:sdtPr>
    <w:sdtEndPr>
      <w:rPr>
        <w:noProof/>
      </w:rPr>
    </w:sdtEndPr>
    <w:sdtContent>
      <w:p w14:paraId="683F12B1" w14:textId="0F210118" w:rsidR="00275AA4" w:rsidRDefault="00275AA4" w:rsidP="00FB18C9">
        <w:pPr>
          <w:pStyle w:val="Footer"/>
          <w:jc w:val="center"/>
        </w:pPr>
        <w:r>
          <w:fldChar w:fldCharType="begin"/>
        </w:r>
        <w:r>
          <w:instrText xml:space="preserve"> PAGE   \* MERGEFORMAT </w:instrText>
        </w:r>
        <w:r>
          <w:fldChar w:fldCharType="separate"/>
        </w:r>
        <w:r w:rsidR="00E001AA">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E16E4" w14:textId="77777777" w:rsidR="00275AA4" w:rsidRDefault="00275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9A1B1" w14:textId="77777777" w:rsidR="00275AA4" w:rsidRDefault="00275AA4" w:rsidP="00142CA8">
      <w:r>
        <w:separator/>
      </w:r>
    </w:p>
  </w:footnote>
  <w:footnote w:type="continuationSeparator" w:id="0">
    <w:p w14:paraId="4AE0E10F" w14:textId="77777777" w:rsidR="00275AA4" w:rsidRDefault="00275AA4" w:rsidP="00142CA8">
      <w:r>
        <w:continuationSeparator/>
      </w:r>
    </w:p>
  </w:footnote>
  <w:footnote w:type="continuationNotice" w:id="1">
    <w:p w14:paraId="5E5376E8" w14:textId="77777777" w:rsidR="00275AA4" w:rsidRDefault="00275AA4">
      <w:pPr>
        <w:spacing w:before="0" w:after="0"/>
      </w:pPr>
    </w:p>
  </w:footnote>
  <w:footnote w:id="2">
    <w:p w14:paraId="163BDD0F" w14:textId="309207E8" w:rsidR="002656F3" w:rsidRPr="009008AF" w:rsidRDefault="002656F3" w:rsidP="009008AF">
      <w:pPr>
        <w:pStyle w:val="FootnoteText"/>
      </w:pPr>
      <w:r w:rsidRPr="009008AF">
        <w:rPr>
          <w:rStyle w:val="FootnoteReference"/>
          <w:vertAlign w:val="baseline"/>
        </w:rPr>
        <w:footnoteRef/>
      </w:r>
      <w:r w:rsidRPr="009008AF">
        <w:t xml:space="preserve"> Regulation (EU) 2018/1139 of the European parliament and of the Council of 4 July 2018 on common rules in the field of civil aviation and establishing a European Union Aviation Safety Agency, and amending Regulations (EC) No 2111/2005, (EC) No 1008/2008, (EU) No 996/2010, (EU) No 376/2014 and Directives 2014/30/EU and 2014/53/EU of the European Parliament and of the Council, and repealing Regulations (EC) No 552/2004 and (EC) </w:t>
      </w:r>
      <w:r>
        <w:t>No 216/2008</w:t>
      </w:r>
      <w:r w:rsidRPr="009008AF">
        <w:t xml:space="preserve"> of the European Parliament and of the Council and Council Regulation (EEC) No 3922/91 (Text with EEA relevance); OJ </w:t>
      </w:r>
      <w:r>
        <w:t>L 212, 22.08.2018, p. 1</w:t>
      </w:r>
      <w:r w:rsidRPr="009008AF">
        <w:t>.</w:t>
      </w:r>
    </w:p>
  </w:footnote>
  <w:footnote w:id="3">
    <w:p w14:paraId="119C50E8" w14:textId="005D3253" w:rsidR="002656F3" w:rsidRDefault="002656F3" w:rsidP="009008AF">
      <w:pPr>
        <w:pStyle w:val="FootnoteText"/>
      </w:pPr>
      <w:r w:rsidRPr="009008AF">
        <w:rPr>
          <w:rStyle w:val="FootnoteReference"/>
          <w:vertAlign w:val="baseline"/>
        </w:rPr>
        <w:footnoteRef/>
      </w:r>
      <w:r w:rsidRPr="009008AF">
        <w:t xml:space="preserve"> Regulation (EU) No 376/2014 of the European Parliament and of the Council of 3 April 2014 on the reporting, analysis and follow-up of occurrences in civil aviation, amending Regulation (EU) No 996/2010 of the European Parliament and of the Council and repealing Directive 2003/42/EC of the European Parliament and of the Council and Commission Regulations (EC) No 1321/2007 and (EC) No 1330/2007 (Text with EEA relevance); OJ L 122, 24.04.2014, p. 18.</w:t>
      </w:r>
    </w:p>
  </w:footnote>
  <w:footnote w:id="4">
    <w:p w14:paraId="34D8A08F" w14:textId="77777777" w:rsidR="002656F3" w:rsidRPr="007C1A2D" w:rsidRDefault="002656F3">
      <w:pPr>
        <w:pStyle w:val="FootnoteText"/>
      </w:pPr>
      <w:r>
        <w:footnoteRef/>
      </w:r>
      <w:r>
        <w:t xml:space="preserve"> </w:t>
      </w:r>
      <w:r w:rsidRPr="00D4542A">
        <w:t xml:space="preserve">For the purpose of this document, </w:t>
      </w:r>
      <w:r>
        <w:t xml:space="preserve">organisations are understood as industry </w:t>
      </w:r>
      <w:r w:rsidRPr="00D4542A">
        <w:t xml:space="preserve">organisation providing aviation products </w:t>
      </w:r>
      <w:r>
        <w:t>or services.</w:t>
      </w:r>
    </w:p>
  </w:footnote>
  <w:footnote w:id="5">
    <w:p w14:paraId="75946457" w14:textId="77777777" w:rsidR="002656F3" w:rsidRPr="00FB18C9" w:rsidRDefault="002656F3">
      <w:pPr>
        <w:pStyle w:val="FootnoteText"/>
        <w:rPr>
          <w:lang w:val="fr-FR"/>
        </w:rPr>
      </w:pPr>
      <w:r>
        <w:footnoteRef/>
      </w:r>
      <w:r w:rsidRPr="00FB18C9">
        <w:rPr>
          <w:lang w:val="fr-FR"/>
        </w:rPr>
        <w:t xml:space="preserve"> </w:t>
      </w:r>
      <w:hyperlink r:id="rId1" w:history="1">
        <w:r w:rsidRPr="00FB18C9">
          <w:rPr>
            <w:rStyle w:val="Hyperlink"/>
            <w:lang w:val="fr-FR"/>
          </w:rPr>
          <w:t>EUR-Lex - 32014R0598 - EN - EUR-Lex (europa.eu)</w:t>
        </w:r>
      </w:hyperlink>
    </w:p>
  </w:footnote>
  <w:footnote w:id="6">
    <w:p w14:paraId="58DA4801" w14:textId="77777777" w:rsidR="002656F3" w:rsidRPr="00FB18C9" w:rsidRDefault="002656F3">
      <w:pPr>
        <w:pStyle w:val="FootnoteText"/>
        <w:rPr>
          <w:lang w:val="fr-FR"/>
        </w:rPr>
      </w:pPr>
      <w:r>
        <w:footnoteRef/>
      </w:r>
      <w:r w:rsidRPr="00FB18C9">
        <w:rPr>
          <w:lang w:val="fr-FR"/>
        </w:rPr>
        <w:t xml:space="preserve"> </w:t>
      </w:r>
      <w:hyperlink r:id="rId2" w:history="1">
        <w:r w:rsidRPr="00FB18C9">
          <w:rPr>
            <w:rStyle w:val="Hyperlink"/>
            <w:lang w:val="fr-FR"/>
          </w:rPr>
          <w:t>http://eur-lex.europa.eu/browse/directories/legislation.html</w:t>
        </w:r>
      </w:hyperlink>
    </w:p>
  </w:footnote>
  <w:footnote w:id="7">
    <w:p w14:paraId="49092581" w14:textId="77777777" w:rsidR="002656F3" w:rsidRPr="00FB18C9" w:rsidRDefault="002656F3">
      <w:pPr>
        <w:pStyle w:val="FootnoteText"/>
        <w:rPr>
          <w:lang w:val="fr-FR"/>
        </w:rPr>
      </w:pPr>
      <w:r>
        <w:footnoteRef/>
      </w:r>
      <w:r w:rsidRPr="00FB18C9">
        <w:rPr>
          <w:lang w:val="fr-FR"/>
        </w:rPr>
        <w:t xml:space="preserve"> </w:t>
      </w:r>
      <w:hyperlink r:id="rId3" w:history="1">
        <w:r w:rsidRPr="00FB18C9">
          <w:rPr>
            <w:rStyle w:val="Hyperlink"/>
            <w:lang w:val="fr-FR"/>
          </w:rPr>
          <w:t>https://www.easa.europa.eu/regulations</w:t>
        </w:r>
      </w:hyperlink>
    </w:p>
  </w:footnote>
  <w:footnote w:id="8">
    <w:p w14:paraId="7EF0A937" w14:textId="182653D2" w:rsidR="002656F3" w:rsidRPr="00603539" w:rsidRDefault="002656F3" w:rsidP="007C1A2D">
      <w:pPr>
        <w:pStyle w:val="FootnoteText"/>
        <w:spacing w:beforeLines="60" w:before="144" w:afterLines="60" w:after="144"/>
      </w:pPr>
      <w:r>
        <w:footnoteRef/>
      </w:r>
      <w:r>
        <w:t xml:space="preserve"> </w:t>
      </w:r>
      <w:bookmarkStart w:id="58" w:name="_Hlk105917405"/>
      <w:r w:rsidRPr="0085037E">
        <w:t>Regulation (EU) 2018/1139 of the European parliament and of the Council of 4 July 2018 on common rules in the field of civil aviation and establishing a European Union Aviation Safety Agency, and amending Regulations (EC) No 2111/2005, (EC) No 1008/2008, (EU) No 996/2010, (EU) No 376/2014 and Directives 2014/30/EU and 2014/53/EU of the European Parliament and of the Council, and repealing Regulations (EC) No 552/2004 and (EC)</w:t>
      </w:r>
      <w:r>
        <w:t xml:space="preserve"> No</w:t>
      </w:r>
      <w:r w:rsidRPr="0085037E">
        <w:t xml:space="preserve"> </w:t>
      </w:r>
      <w:r>
        <w:t>216/2008</w:t>
      </w:r>
      <w:r w:rsidRPr="0085037E">
        <w:t xml:space="preserve"> of the European Parliament and of the Council and Council Regulation (EEC) No 3922/91 (Text with EEA releva</w:t>
      </w:r>
      <w:r>
        <w:t>nce); OJ L 212, 22.08.2018, p. 1.</w:t>
      </w:r>
      <w:bookmarkEnd w:id="58"/>
    </w:p>
    <w:p w14:paraId="71989DA3" w14:textId="77777777" w:rsidR="002656F3" w:rsidRPr="007C1A2D" w:rsidRDefault="002656F3">
      <w:pPr>
        <w:pStyle w:val="FootnoteText"/>
      </w:pPr>
    </w:p>
  </w:footnote>
  <w:footnote w:id="9">
    <w:p w14:paraId="06E45D65" w14:textId="6A3E50A1" w:rsidR="002656F3" w:rsidRDefault="002656F3" w:rsidP="00E5547F">
      <w:pPr>
        <w:pStyle w:val="FootnoteText"/>
      </w:pPr>
      <w:r>
        <w:footnoteRef/>
      </w:r>
      <w:r>
        <w:t xml:space="preserve"> </w:t>
      </w:r>
      <w:hyperlink r:id="rId4" w:history="1">
        <w:bookmarkStart w:id="61" w:name="_Hlk105919915"/>
        <w:r w:rsidRPr="00754381">
          <w:rPr>
            <w:rStyle w:val="Hyperlink"/>
          </w:rPr>
          <w:t xml:space="preserve">Regulation (EC) No 1907/2006 </w:t>
        </w:r>
        <w:bookmarkEnd w:id="61"/>
        <w:r w:rsidRPr="00754381">
          <w:rPr>
            <w:rStyle w:val="Hyperlink"/>
          </w:rPr>
          <w:t>of the European Parliament and of the Council of 18 December 2006 concerning the</w:t>
        </w:r>
        <w:r w:rsidRPr="00A62DE1">
          <w:rPr>
            <w:rStyle w:val="Hyperlink"/>
          </w:rPr>
          <w:t xml:space="preserve"> Registration, Evaluation, Authorisation and Restriction of Chemicals (REACH),</w:t>
        </w:r>
        <w:r w:rsidRPr="00754381">
          <w:rPr>
            <w:rStyle w:val="Hyperlink"/>
          </w:rPr>
          <w:t xml:space="preserve"> establishing a European Chemicals Agency, amending Directive 1999/45/EC and repealing Council Regulation (EEC) No 793/93 and Commission Regulation (EC) No 1488/94 as well as Council Directive 76/769/EEC and Commission Directives 91/155/EEC, 93/67/EEC, 93/105/EC and 2000/21/EC</w:t>
        </w:r>
      </w:hyperlink>
      <w:r w:rsidRPr="00754381">
        <w:t>.</w:t>
      </w:r>
    </w:p>
  </w:footnote>
  <w:footnote w:id="10">
    <w:p w14:paraId="01DFA3D1" w14:textId="5BA630AB" w:rsidR="002656F3" w:rsidRPr="00792345" w:rsidRDefault="002656F3">
      <w:pPr>
        <w:pStyle w:val="FootnoteText"/>
      </w:pPr>
      <w:r w:rsidRPr="00792345">
        <w:rPr>
          <w:rStyle w:val="FootnoteReference"/>
          <w:vertAlign w:val="baseline"/>
        </w:rPr>
        <w:footnoteRef/>
      </w:r>
      <w:r w:rsidRPr="00792345">
        <w:t xml:space="preserve"> </w:t>
      </w:r>
      <w:hyperlink r:id="rId5" w:history="1">
        <w:r w:rsidRPr="000D0442">
          <w:rPr>
            <w:rStyle w:val="Hyperlink"/>
          </w:rPr>
          <w:t>https://ec.europa.eu/commission/presscorner/detail/en/qanda_20_2330</w:t>
        </w:r>
      </w:hyperlink>
      <w:r>
        <w:t xml:space="preserve"> </w:t>
      </w:r>
    </w:p>
  </w:footnote>
  <w:footnote w:id="11">
    <w:p w14:paraId="7B9C3E45" w14:textId="11AC00E4" w:rsidR="002656F3" w:rsidRPr="00792345" w:rsidRDefault="002656F3">
      <w:pPr>
        <w:pStyle w:val="FootnoteText"/>
      </w:pPr>
      <w:r w:rsidRPr="00792345">
        <w:rPr>
          <w:rStyle w:val="FootnoteReference"/>
          <w:vertAlign w:val="baseline"/>
        </w:rPr>
        <w:footnoteRef/>
      </w:r>
      <w:r w:rsidRPr="00792345">
        <w:t xml:space="preserve"> COM(2021) 561 final.</w:t>
      </w:r>
    </w:p>
  </w:footnote>
  <w:footnote w:id="12">
    <w:p w14:paraId="340DE9DC" w14:textId="6B0A3D6B" w:rsidR="002656F3" w:rsidRPr="00792345" w:rsidRDefault="002656F3" w:rsidP="00E5547F">
      <w:pPr>
        <w:pStyle w:val="FootnoteText"/>
      </w:pPr>
      <w:r w:rsidRPr="00792345">
        <w:footnoteRef/>
      </w:r>
      <w:r>
        <w:t xml:space="preserve"> </w:t>
      </w:r>
      <w:hyperlink r:id="rId6" w:history="1">
        <w:r w:rsidR="00B32202" w:rsidRPr="00A45504">
          <w:rPr>
            <w:rStyle w:val="Hyperlink"/>
          </w:rPr>
          <w:t>https://www.easa.europa.eu/eco/sites/default/files/2022-09/220723_EASA%20EAER%202022.pdf</w:t>
        </w:r>
      </w:hyperlink>
      <w:r w:rsidR="00B32202">
        <w:t xml:space="preserve"> </w:t>
      </w:r>
    </w:p>
  </w:footnote>
  <w:footnote w:id="13">
    <w:p w14:paraId="14D17304" w14:textId="4C2683E0" w:rsidR="002656F3" w:rsidRDefault="002656F3" w:rsidP="00FD0307">
      <w:pPr>
        <w:pStyle w:val="FootnoteText"/>
      </w:pPr>
      <w:r w:rsidRPr="00792345">
        <w:rPr>
          <w:rStyle w:val="FootnoteReference"/>
          <w:vertAlign w:val="baseline"/>
        </w:rPr>
        <w:footnoteRef/>
      </w:r>
      <w:r>
        <w:t xml:space="preserve"> </w:t>
      </w:r>
      <w:r w:rsidRPr="00792345">
        <w:t xml:space="preserve">Regulation (EU) No 598/2014 of the European Parliament and of the Council of 16 April 2014 on the establishment </w:t>
      </w:r>
      <w:r>
        <w:t>of rules and procedures with regard to the introduction of noise-related operating restrictions at Union airports within a Balanced Approach and repealing Directive 2002/30/EC. OJ L 173, 12.6.2014, p. 65–78.</w:t>
      </w:r>
    </w:p>
  </w:footnote>
  <w:footnote w:id="14">
    <w:p w14:paraId="42362EFA" w14:textId="51E6A9AB" w:rsidR="002656F3" w:rsidRPr="00F13835" w:rsidRDefault="002656F3">
      <w:pPr>
        <w:pStyle w:val="FootnoteText"/>
      </w:pPr>
      <w:r>
        <w:footnoteRef/>
      </w:r>
      <w:r>
        <w:t xml:space="preserve"> </w:t>
      </w:r>
      <w:r w:rsidRPr="00526BE2">
        <w:rPr>
          <w:kern w:val="32"/>
        </w:rPr>
        <w:t xml:space="preserve">Further information on the Agency’s research activities can be found on the EASA website: </w:t>
      </w:r>
      <w:hyperlink r:id="rId7" w:history="1">
        <w:r w:rsidRPr="000D0442">
          <w:rPr>
            <w:rStyle w:val="Hyperlink"/>
            <w:kern w:val="32"/>
          </w:rPr>
          <w:t>https://www.easa.europa.eu/easa-and-you/safety-management/research</w:t>
        </w:r>
      </w:hyperlink>
      <w:r w:rsidRPr="00526BE2">
        <w:rPr>
          <w:kern w:val="32"/>
        </w:rPr>
        <w:t>.</w:t>
      </w:r>
      <w:r>
        <w:rPr>
          <w:kern w:val="32"/>
        </w:rPr>
        <w:t xml:space="preserve"> </w:t>
      </w:r>
    </w:p>
  </w:footnote>
  <w:footnote w:id="15">
    <w:p w14:paraId="33B51472" w14:textId="77777777" w:rsidR="002656F3" w:rsidRPr="00514236" w:rsidRDefault="002656F3" w:rsidP="00514236">
      <w:pPr>
        <w:pStyle w:val="FootnoteText"/>
      </w:pPr>
      <w:r>
        <w:footnoteRef/>
      </w:r>
      <w:r>
        <w:t xml:space="preserve"> </w:t>
      </w:r>
      <w:hyperlink r:id="rId8" w:history="1">
        <w:r>
          <w:rPr>
            <w:rStyle w:val="Hyperlink"/>
          </w:rPr>
          <w:t>EASA ECDC COVID-19 Aviation Health Safety Protocol | EASA (europa.eu)</w:t>
        </w:r>
      </w:hyperlink>
    </w:p>
  </w:footnote>
  <w:footnote w:id="16">
    <w:p w14:paraId="44DE3B45" w14:textId="77777777" w:rsidR="002656F3" w:rsidRPr="002006F3" w:rsidRDefault="002656F3" w:rsidP="007C4D15">
      <w:pPr>
        <w:pStyle w:val="FootnoteText"/>
      </w:pPr>
      <w:r>
        <w:footnoteRef/>
      </w:r>
      <w:r>
        <w:t xml:space="preserve"> </w:t>
      </w:r>
      <w:hyperlink r:id="rId9" w:history="1">
        <w:r>
          <w:rPr>
            <w:rStyle w:val="Hyperlink"/>
          </w:rPr>
          <w:t>EASA publishes study of socio-economic factors in relation to aviation safety | EASA (europa.eu)</w:t>
        </w:r>
      </w:hyperlink>
    </w:p>
  </w:footnote>
  <w:footnote w:id="17">
    <w:p w14:paraId="1C94A873" w14:textId="77777777" w:rsidR="002656F3" w:rsidRPr="007C1A2D" w:rsidRDefault="002656F3">
      <w:pPr>
        <w:pStyle w:val="FootnoteText"/>
      </w:pPr>
      <w:r>
        <w:footnoteRef/>
      </w:r>
      <w:r>
        <w:t xml:space="preserve"> </w:t>
      </w:r>
      <w:r w:rsidRPr="00A0273D">
        <w:t>Regulation (EU) No 996/2010 of the European Parliament and of the Council of 20 October 2010 on the investigation and prevention of accidents and incidents in civil aviation and repealing Directive 94/56/EC (Text with EEA relevance)</w:t>
      </w:r>
      <w:r>
        <w:t>;</w:t>
      </w:r>
      <w:r w:rsidRPr="00A0273D">
        <w:t xml:space="preserve"> </w:t>
      </w:r>
      <w:r w:rsidRPr="009D0734">
        <w:t>OJ L 295, 12.11.2010, p. 35</w:t>
      </w:r>
      <w:r>
        <w:t>.</w:t>
      </w:r>
    </w:p>
  </w:footnote>
  <w:footnote w:id="18">
    <w:p w14:paraId="0E0F0A37" w14:textId="77777777" w:rsidR="002656F3" w:rsidRPr="007C1A2D" w:rsidRDefault="002656F3">
      <w:pPr>
        <w:pStyle w:val="FootnoteText"/>
      </w:pPr>
      <w:r>
        <w:footnoteRef/>
      </w:r>
      <w:r>
        <w:t xml:space="preserve"> </w:t>
      </w:r>
      <w:bookmarkStart w:id="71" w:name="_Hlk105917451"/>
      <w:r w:rsidRPr="00A0273D">
        <w:t>Regulation (EU) No 376/2014 of the European Parliament and of the Council of 3 April 2014 on the reporting, analysis and follow-up of occurrences in civil aviation, amending Regulation (EU) No 996/2010 of the European Parliament and of the Council and repealing Directive 2003/42/EC of the European Parliament and of the Council and Commission Regulations (EC) No 1321/2007 and (EC) No 1330/2007 (Text with EEA relevance)</w:t>
      </w:r>
      <w:r>
        <w:t>;</w:t>
      </w:r>
      <w:r w:rsidRPr="00A0273D">
        <w:t xml:space="preserve"> OJ L 122, 24</w:t>
      </w:r>
      <w:r>
        <w:t>.</w:t>
      </w:r>
      <w:r w:rsidRPr="00A0273D">
        <w:t>04</w:t>
      </w:r>
      <w:r>
        <w:t>.</w:t>
      </w:r>
      <w:r w:rsidRPr="00A0273D">
        <w:t>2014, p. 18.</w:t>
      </w:r>
      <w:bookmarkEnd w:id="71"/>
    </w:p>
  </w:footnote>
  <w:footnote w:id="19">
    <w:p w14:paraId="72078990" w14:textId="77777777" w:rsidR="002656F3" w:rsidRPr="007C1A2D" w:rsidRDefault="002656F3">
      <w:pPr>
        <w:pStyle w:val="FootnoteText"/>
      </w:pPr>
      <w:r>
        <w:footnoteRef/>
      </w:r>
      <w:r>
        <w:t xml:space="preserve"> </w:t>
      </w:r>
      <w:r w:rsidRPr="003F1790">
        <w:t>Regulation (EC) No 2111/2005 of the European Parliament and of the Council of 14 December 2005 on the establishment of a Community list of air carriers subject to an operating ban within the Community and on informing air transport passengers of the identity of the operating air carrier, and repealing Article 9 of Directive 2004/36/EC</w:t>
      </w:r>
      <w:r>
        <w:t>,</w:t>
      </w:r>
      <w:r w:rsidRPr="003F1790">
        <w:t xml:space="preserve"> (Text with EEA relevance)</w:t>
      </w:r>
      <w:r>
        <w:t>;</w:t>
      </w:r>
      <w:r w:rsidRPr="00A0273D">
        <w:t xml:space="preserve"> OJ L 344 of 27.12.2005</w:t>
      </w:r>
      <w:r>
        <w:t>, p.15</w:t>
      </w:r>
      <w:r w:rsidRPr="00A0273D">
        <w:t>.</w:t>
      </w:r>
    </w:p>
  </w:footnote>
  <w:footnote w:id="20">
    <w:p w14:paraId="26355240" w14:textId="77777777" w:rsidR="002656F3" w:rsidRPr="007C1A2D" w:rsidRDefault="002656F3">
      <w:pPr>
        <w:pStyle w:val="FootnoteText"/>
      </w:pPr>
      <w:r>
        <w:footnoteRef/>
      </w:r>
      <w:r>
        <w:t xml:space="preserve"> </w:t>
      </w:r>
      <w:r w:rsidRPr="001E4E1D">
        <w:t xml:space="preserve">More information is available on </w:t>
      </w:r>
      <w:hyperlink r:id="rId10" w:history="1">
        <w:r w:rsidRPr="00FB3F39">
          <w:rPr>
            <w:rStyle w:val="Hyperlink"/>
          </w:rPr>
          <w:t>http://ec.europa.eu/transport/modes/air/safety/air-ban/index_en.htm</w:t>
        </w:r>
      </w:hyperlink>
      <w:r>
        <w:t xml:space="preserve"> </w:t>
      </w:r>
    </w:p>
  </w:footnote>
  <w:footnote w:id="21">
    <w:p w14:paraId="66A11B51" w14:textId="77777777" w:rsidR="002656F3" w:rsidRPr="007C1A2D" w:rsidRDefault="002656F3">
      <w:pPr>
        <w:pStyle w:val="FootnoteText"/>
      </w:pPr>
      <w:r>
        <w:footnoteRef/>
      </w:r>
      <w:r>
        <w:t xml:space="preserve"> </w:t>
      </w:r>
      <w:r w:rsidRPr="004538C5">
        <w:t>Commission Regulation (EC) No 474/2006 of 22 March 2006 establishing the Community list of air carriers which are subject to an operating ban within the Community referred to in Chapter II of Regulation (EC) No 2111/2005 of the European Parliament and of the Co</w:t>
      </w:r>
      <w:r w:rsidRPr="00AA04D9">
        <w:t>uncil</w:t>
      </w:r>
      <w:r>
        <w:t>,</w:t>
      </w:r>
      <w:r w:rsidRPr="00AA04D9">
        <w:t xml:space="preserve"> (Text with EEA relevance)</w:t>
      </w:r>
      <w:r>
        <w:t xml:space="preserve">; </w:t>
      </w:r>
      <w:r w:rsidRPr="004538C5">
        <w:t>OJ L 84, 23.3.2006, p. 14</w:t>
      </w:r>
      <w:r>
        <w:t>.</w:t>
      </w:r>
    </w:p>
  </w:footnote>
  <w:footnote w:id="22">
    <w:p w14:paraId="4DA1E9DC" w14:textId="77777777" w:rsidR="002656F3" w:rsidRPr="007C1A2D" w:rsidRDefault="002656F3">
      <w:pPr>
        <w:pStyle w:val="FootnoteText"/>
      </w:pPr>
      <w:r>
        <w:footnoteRef/>
      </w:r>
      <w:r>
        <w:t xml:space="preserve"> </w:t>
      </w:r>
      <w:r w:rsidRPr="004538C5">
        <w:t xml:space="preserve">Procedural details are set out </w:t>
      </w:r>
      <w:r>
        <w:t xml:space="preserve">in </w:t>
      </w:r>
      <w:r w:rsidRPr="004538C5">
        <w:t xml:space="preserve">Regulation (EU) No 182/2011 of the European Parliament and of the Council of 16 February 2011 laying down the rules and general principles concerning mechanisms for control by Member </w:t>
      </w:r>
      <w:r>
        <w:t>State</w:t>
      </w:r>
      <w:r w:rsidRPr="004538C5">
        <w:t xml:space="preserve">s of the Commission’s </w:t>
      </w:r>
      <w:r w:rsidRPr="00776AC7">
        <w:t>exercise of implementing powers</w:t>
      </w:r>
      <w:r>
        <w:t>;</w:t>
      </w:r>
      <w:r w:rsidRPr="004538C5">
        <w:t xml:space="preserve"> OJ L 55, 28.2.2011, p. 13</w:t>
      </w:r>
      <w:r>
        <w:t>.</w:t>
      </w:r>
    </w:p>
  </w:footnote>
  <w:footnote w:id="23">
    <w:p w14:paraId="57958B4A" w14:textId="77777777" w:rsidR="002656F3" w:rsidRPr="007C1A2D" w:rsidRDefault="002656F3">
      <w:pPr>
        <w:pStyle w:val="FootnoteText"/>
      </w:pPr>
      <w:r>
        <w:footnoteRef/>
      </w:r>
      <w:r>
        <w:t xml:space="preserve"> </w:t>
      </w:r>
      <w:r w:rsidRPr="002974CD">
        <w:t>Committee for the application of common safety rules in the field of civil aviation -"European Union Aviation Safety Agency Committee: EASA Committee"</w:t>
      </w:r>
      <w:r>
        <w:t>.</w:t>
      </w:r>
    </w:p>
  </w:footnote>
  <w:footnote w:id="24">
    <w:p w14:paraId="1F0D8514" w14:textId="77777777" w:rsidR="002656F3" w:rsidRPr="00792345" w:rsidRDefault="002656F3">
      <w:pPr>
        <w:pStyle w:val="FootnoteText"/>
      </w:pPr>
      <w:r w:rsidRPr="00792345">
        <w:rPr>
          <w:rStyle w:val="FootnoteReference"/>
          <w:vertAlign w:val="baseline"/>
        </w:rPr>
        <w:footnoteRef/>
      </w:r>
      <w:r w:rsidRPr="00792345">
        <w:t xml:space="preserve"> </w:t>
      </w:r>
      <w:r w:rsidRPr="00792345">
        <w:rPr>
          <w:bCs/>
        </w:rPr>
        <w:t xml:space="preserve">Agreement on the European Economic Area, </w:t>
      </w:r>
      <w:r w:rsidRPr="00792345">
        <w:rPr>
          <w:bCs/>
          <w:iCs/>
        </w:rPr>
        <w:t>OJ L 1, 3.1.1994, Annex XIII – p. 1-101.</w:t>
      </w:r>
    </w:p>
  </w:footnote>
  <w:footnote w:id="25">
    <w:p w14:paraId="64B71905" w14:textId="77777777" w:rsidR="002656F3" w:rsidRPr="00376123" w:rsidRDefault="002656F3">
      <w:pPr>
        <w:pStyle w:val="FootnoteText"/>
      </w:pPr>
      <w:r w:rsidRPr="00792345">
        <w:rPr>
          <w:rStyle w:val="FootnoteReference"/>
          <w:vertAlign w:val="baseline"/>
        </w:rPr>
        <w:footnoteRef/>
      </w:r>
      <w:r>
        <w:t xml:space="preserve"> </w:t>
      </w:r>
      <w:r w:rsidRPr="00376123">
        <w:t>Agreement between the European Community and the Swiss Confederation on Air Transport</w:t>
      </w:r>
      <w:r>
        <w:t xml:space="preserve">, </w:t>
      </w:r>
      <w:r w:rsidRPr="00FB18C9">
        <w:rPr>
          <w:iCs/>
        </w:rPr>
        <w:t>OJ L 114, 30.4.2002, p. 73–90</w:t>
      </w:r>
      <w:r>
        <w:rPr>
          <w:iCs/>
        </w:rPr>
        <w:t>.</w:t>
      </w:r>
    </w:p>
  </w:footnote>
  <w:footnote w:id="26">
    <w:p w14:paraId="5F47BCF7" w14:textId="77777777" w:rsidR="002656F3" w:rsidRPr="003F7251" w:rsidRDefault="002656F3">
      <w:pPr>
        <w:pStyle w:val="FootnoteText"/>
      </w:pPr>
      <w:r>
        <w:footnoteRef/>
      </w:r>
      <w:r>
        <w:t xml:space="preserve"> Article 64</w:t>
      </w:r>
      <w:r w:rsidRPr="00792345">
        <w:t xml:space="preserve">: </w:t>
      </w:r>
      <w:r w:rsidRPr="00792345">
        <w:rPr>
          <w:rFonts w:eastAsia="Calibri" w:cs="Times New Roman"/>
        </w:rPr>
        <w:t xml:space="preserve">reallocation of responsibility upon request of Member States – </w:t>
      </w:r>
      <w:r w:rsidRPr="00792345">
        <w:rPr>
          <w:rFonts w:cs="Times New Roman"/>
        </w:rPr>
        <w:t>Article 65</w:t>
      </w:r>
      <w:r w:rsidRPr="00792345">
        <w:rPr>
          <w:rFonts w:eastAsia="Calibri" w:cs="Times New Roman"/>
        </w:rPr>
        <w:t>: re-allocation of responsibility upon request of organisations operating in more than one Member State.</w:t>
      </w:r>
    </w:p>
  </w:footnote>
  <w:footnote w:id="27">
    <w:p w14:paraId="5E293C00" w14:textId="02F08C55" w:rsidR="002656F3" w:rsidRPr="00970247" w:rsidRDefault="002656F3" w:rsidP="007C1A2D">
      <w:pPr>
        <w:pStyle w:val="FootnoteText"/>
      </w:pPr>
      <w:r>
        <w:footnoteRef/>
      </w:r>
      <w:r>
        <w:t xml:space="preserve"> S</w:t>
      </w:r>
      <w:r w:rsidRPr="003574B9">
        <w:t xml:space="preserve">ee </w:t>
      </w:r>
      <w:hyperlink w:anchor="_Safety_Risk_Management" w:history="1">
        <w:r w:rsidRPr="00510011">
          <w:rPr>
            <w:rStyle w:val="Hyperlink"/>
          </w:rPr>
          <w:t>section 2.2</w:t>
        </w:r>
      </w:hyperlink>
      <w:r w:rsidRPr="003574B9">
        <w:t xml:space="preserve"> for detailed information on the </w:t>
      </w:r>
      <w:r>
        <w:t xml:space="preserve">EPAS, its development </w:t>
      </w:r>
      <w:r w:rsidRPr="003574B9">
        <w:t>and adoption process</w:t>
      </w:r>
      <w:r>
        <w:t>. T</w:t>
      </w:r>
      <w:r w:rsidRPr="001E78BA">
        <w:t xml:space="preserve">he European Plan for Aviation Safety </w:t>
      </w:r>
      <w:r>
        <w:t xml:space="preserve">was </w:t>
      </w:r>
      <w:r w:rsidRPr="00970247">
        <w:t>previously called the European Aviation Safety Plan</w:t>
      </w:r>
      <w:r>
        <w:t xml:space="preserve">. Its name has been changed to prevent confusion between the European Aviation Safety Programme (EASP) and the </w:t>
      </w:r>
      <w:r w:rsidRPr="001E78BA">
        <w:t>European Aviation Safety Plan (EAS</w:t>
      </w:r>
      <w:r>
        <w:t>P</w:t>
      </w:r>
      <w:r w:rsidRPr="001E78BA">
        <w:t>)</w:t>
      </w:r>
      <w:r>
        <w:t>.</w:t>
      </w:r>
    </w:p>
    <w:p w14:paraId="6EEFB7E5" w14:textId="77777777" w:rsidR="002656F3" w:rsidRPr="007C1A2D" w:rsidRDefault="002656F3" w:rsidP="007C1A2D">
      <w:pPr>
        <w:pStyle w:val="FootnoteText"/>
      </w:pPr>
    </w:p>
  </w:footnote>
  <w:footnote w:id="28">
    <w:p w14:paraId="56F96630" w14:textId="6876EA6B" w:rsidR="002656F3" w:rsidRDefault="002656F3" w:rsidP="002E7767">
      <w:pPr>
        <w:pStyle w:val="FootnoteText"/>
      </w:pPr>
      <w:r>
        <w:rPr>
          <w:rStyle w:val="FootnoteReference"/>
        </w:rPr>
        <w:footnoteRef/>
      </w:r>
      <w:r>
        <w:t xml:space="preserve"> The ERCS forms part of the legal framework of Regulation (EU) No 376/2014, in the first instance via Commission Delegated Regulation (EU) 2020/2034 published on 06 October 2020, as well as Commission Implementing Regulation (EU) 2021/2082 of 26 November 2021, which will enter into force on 1st January 2023.</w:t>
      </w:r>
    </w:p>
  </w:footnote>
  <w:footnote w:id="29">
    <w:p w14:paraId="7D6EBB9B" w14:textId="77777777" w:rsidR="002656F3" w:rsidRPr="007C1A2D" w:rsidRDefault="002656F3">
      <w:pPr>
        <w:pStyle w:val="FootnoteText"/>
      </w:pPr>
      <w:r>
        <w:footnoteRef/>
      </w:r>
      <w:r>
        <w:t xml:space="preserve"> </w:t>
      </w:r>
      <w:r w:rsidRPr="003574B9">
        <w:t xml:space="preserve">Article 11 of </w:t>
      </w:r>
      <w:r w:rsidRPr="003574B9">
        <w:rPr>
          <w:lang w:val="en"/>
        </w:rPr>
        <w:t>Regulation (EC) No 549/2004 of the European Parliament and of the Council of 10 March 2004 laying down the framework for the creation of the single European sky (the framework Regulation)</w:t>
      </w:r>
      <w:r>
        <w:rPr>
          <w:lang w:val="en"/>
        </w:rPr>
        <w:t>;</w:t>
      </w:r>
      <w:r w:rsidRPr="003574B9">
        <w:rPr>
          <w:lang w:val="en"/>
        </w:rPr>
        <w:t xml:space="preserve"> </w:t>
      </w:r>
      <w:r>
        <w:t xml:space="preserve">OJ L 96, 31.3.2004, p. 1, </w:t>
      </w:r>
      <w:r w:rsidRPr="003574B9">
        <w:rPr>
          <w:lang w:val="en"/>
        </w:rPr>
        <w:t xml:space="preserve">and </w:t>
      </w:r>
      <w:r w:rsidRPr="003574B9">
        <w:t xml:space="preserve">Commission Implementing Regulation (EU) No </w:t>
      </w:r>
      <w:r>
        <w:t>2019/317</w:t>
      </w:r>
      <w:r w:rsidRPr="003574B9">
        <w:t xml:space="preserve"> of </w:t>
      </w:r>
      <w:r>
        <w:t>11 February 2019</w:t>
      </w:r>
      <w:r w:rsidRPr="003574B9">
        <w:t xml:space="preserve"> laying down a performance </w:t>
      </w:r>
      <w:r>
        <w:t xml:space="preserve">and charging </w:t>
      </w:r>
      <w:r w:rsidRPr="003574B9">
        <w:t xml:space="preserve">scheme </w:t>
      </w:r>
      <w:r>
        <w:t xml:space="preserve">in the single European sky; </w:t>
      </w:r>
      <w:r w:rsidRPr="00CF1B8B">
        <w:rPr>
          <w:iCs/>
        </w:rPr>
        <w:t>OJ L 56, 25.2.2019, p. 1</w:t>
      </w:r>
      <w:r w:rsidRPr="00CF1B8B">
        <w:t>.</w:t>
      </w:r>
    </w:p>
  </w:footnote>
  <w:footnote w:id="30">
    <w:p w14:paraId="1C202D69" w14:textId="77777777" w:rsidR="002656F3" w:rsidRPr="003574B9" w:rsidRDefault="002656F3" w:rsidP="007C1A2D">
      <w:pPr>
        <w:pStyle w:val="FootnoteText"/>
        <w:spacing w:before="60" w:after="60"/>
        <w:ind w:hanging="11"/>
        <w:rPr>
          <w:lang w:val="en"/>
        </w:rPr>
      </w:pPr>
      <w:r>
        <w:footnoteRef/>
      </w:r>
      <w:r>
        <w:t xml:space="preserve"> </w:t>
      </w:r>
      <w:r w:rsidRPr="003574B9">
        <w:rPr>
          <w:lang w:val="en"/>
        </w:rPr>
        <w:t>Commission Implementing Decision 2014/672/EU of 24 September 2014 on the extension of the designation of the Performance Review Body of the single European sky</w:t>
      </w:r>
      <w:r>
        <w:rPr>
          <w:lang w:val="en"/>
        </w:rPr>
        <w:t xml:space="preserve">; </w:t>
      </w:r>
      <w:r w:rsidRPr="00D1690E">
        <w:rPr>
          <w:lang w:val="en"/>
        </w:rPr>
        <w:t>OJ L 281, 25.9.2014, p. 5</w:t>
      </w:r>
      <w:r>
        <w:rPr>
          <w:lang w:val="en"/>
        </w:rPr>
        <w:t>.</w:t>
      </w:r>
    </w:p>
    <w:p w14:paraId="197AD19D" w14:textId="77777777" w:rsidR="002656F3" w:rsidRPr="007C1A2D" w:rsidRDefault="002656F3">
      <w:pPr>
        <w:pStyle w:val="FootnoteText"/>
        <w:rPr>
          <w:lang w:val="en"/>
        </w:rPr>
      </w:pPr>
    </w:p>
  </w:footnote>
  <w:footnote w:id="31">
    <w:p w14:paraId="17C83DEB" w14:textId="77777777" w:rsidR="002656F3" w:rsidRPr="00182FC1" w:rsidRDefault="002656F3">
      <w:pPr>
        <w:pStyle w:val="FootnoteText"/>
      </w:pPr>
      <w:r>
        <w:rPr>
          <w:rStyle w:val="FootnoteReference"/>
        </w:rPr>
        <w:footnoteRef/>
      </w:r>
      <w:r>
        <w:t xml:space="preserve"> Initial airworthiness: Delegated Regulation (EU) No 2022/201 of 10/12/2021 and Implementing Regulation (EU) No 2022/203 of 14/02/2022, </w:t>
      </w:r>
      <w:r w:rsidRPr="00A7395F">
        <w:t>Continuing Airworthiness</w:t>
      </w:r>
      <w:r>
        <w:t>:</w:t>
      </w:r>
      <w:r w:rsidRPr="00A7395F">
        <w:t xml:space="preserve"> </w:t>
      </w:r>
      <w:r w:rsidRPr="00FB18C9">
        <w:t>Implementing Regulation (EU) 2021/1963 of 08/11/2021</w:t>
      </w:r>
      <w:r>
        <w:t xml:space="preserve"> </w:t>
      </w:r>
    </w:p>
  </w:footnote>
  <w:footnote w:id="32">
    <w:p w14:paraId="77FC1797" w14:textId="77777777" w:rsidR="002656F3" w:rsidRDefault="002656F3" w:rsidP="007C1A2D">
      <w:pPr>
        <w:pStyle w:val="FootnoteText"/>
      </w:pPr>
      <w:r w:rsidRPr="00354684">
        <w:rPr>
          <w:vertAlign w:val="superscript"/>
        </w:rPr>
        <w:footnoteRef/>
      </w:r>
      <w:r>
        <w:t xml:space="preserve"> </w:t>
      </w:r>
      <w:r w:rsidRPr="00616F58">
        <w:t>For the purpose of this document "oversight" refers both to the oversight performed on certified organisations by their competent authority and to the monitoring of rules application in the E</w:t>
      </w:r>
      <w:r>
        <w:t>ASA</w:t>
      </w:r>
      <w:r w:rsidRPr="00616F58">
        <w:t xml:space="preserve"> Member </w:t>
      </w:r>
      <w:r>
        <w:t>State</w:t>
      </w:r>
      <w:r w:rsidRPr="00616F58">
        <w:t>s as performed by EASA in the context of standardisation inspections.</w:t>
      </w:r>
    </w:p>
    <w:p w14:paraId="1D21F70A" w14:textId="77777777" w:rsidR="002656F3" w:rsidRPr="007C1A2D" w:rsidRDefault="002656F3">
      <w:pPr>
        <w:pStyle w:val="FootnoteText"/>
      </w:pPr>
      <w:r>
        <w:t>Safety oversight in the EU is mainly governed by Regulation (EU) 2018/1139 and its implementing rules (see Diagram 1 for more information on applicable legislation).</w:t>
      </w:r>
    </w:p>
  </w:footnote>
  <w:footnote w:id="33">
    <w:p w14:paraId="3B0F05C9" w14:textId="77777777" w:rsidR="002656F3" w:rsidRPr="00530FE1" w:rsidRDefault="002656F3" w:rsidP="007C1A2D">
      <w:pPr>
        <w:pStyle w:val="FootnoteText"/>
        <w:spacing w:before="60" w:after="60"/>
      </w:pPr>
      <w:r w:rsidRPr="00354684">
        <w:rPr>
          <w:vertAlign w:val="superscript"/>
        </w:rPr>
        <w:footnoteRef/>
      </w:r>
      <w:r>
        <w:t xml:space="preserve"> Commission Implementing Regulation (EU) No 628/2013 of 28 June 2013 on working methods of the European Aviation Safety Agency for conducting standardisation inspections and for monitoring the application of the rules of Regulation (EC) No 216/2008 of the European Parliament and of the Council and repealing Commission Regulation (EC) No 736/2006 (Text with EEA relevance); OJ L 179, 29.6.2013, p. 46.</w:t>
      </w:r>
    </w:p>
    <w:p w14:paraId="4A5DD0FA" w14:textId="77777777" w:rsidR="002656F3" w:rsidRPr="007C1A2D" w:rsidRDefault="002656F3">
      <w:pPr>
        <w:pStyle w:val="FootnoteText"/>
      </w:pPr>
    </w:p>
  </w:footnote>
  <w:footnote w:id="34">
    <w:p w14:paraId="0C26E250" w14:textId="77777777" w:rsidR="00275AA4" w:rsidRPr="00354684" w:rsidRDefault="00275AA4">
      <w:pPr>
        <w:pStyle w:val="FootnoteText"/>
        <w:rPr>
          <w:lang w:val="fr-BE"/>
        </w:rPr>
      </w:pPr>
      <w:r>
        <w:footnoteRef/>
      </w:r>
      <w:r w:rsidRPr="00354684">
        <w:rPr>
          <w:lang w:val="fr-BE"/>
        </w:rPr>
        <w:t xml:space="preserve"> </w:t>
      </w:r>
      <w:hyperlink r:id="rId11" w:history="1">
        <w:r w:rsidRPr="00354684">
          <w:rPr>
            <w:rStyle w:val="Hyperlink"/>
            <w:lang w:val="fr-BE"/>
          </w:rPr>
          <w:t>EASA Report Template (europa.eu)</w:t>
        </w:r>
      </w:hyperlink>
    </w:p>
  </w:footnote>
  <w:footnote w:id="35">
    <w:p w14:paraId="4AC4C239" w14:textId="71B95D6B" w:rsidR="00275AA4" w:rsidRPr="00354684" w:rsidRDefault="00275AA4">
      <w:pPr>
        <w:pStyle w:val="FootnoteText"/>
        <w:rPr>
          <w:lang w:val="fr-BE"/>
        </w:rPr>
      </w:pPr>
      <w:r>
        <w:footnoteRef/>
      </w:r>
      <w:r w:rsidRPr="00354684">
        <w:rPr>
          <w:lang w:val="fr-BE"/>
        </w:rPr>
        <w:t xml:space="preserve"> </w:t>
      </w:r>
      <w:hyperlink r:id="rId12" w:history="1">
        <w:r w:rsidRPr="000D0442">
          <w:rPr>
            <w:rStyle w:val="Hyperlink"/>
            <w:lang w:val="fr-BE"/>
          </w:rPr>
          <w:t>https://www.easa.europa.eu/domains/safety-management/safety-promotion</w:t>
        </w:r>
      </w:hyperlink>
      <w:r>
        <w:rPr>
          <w:lang w:val="fr-BE"/>
        </w:rPr>
        <w:t xml:space="preserve"> </w:t>
      </w:r>
    </w:p>
  </w:footnote>
  <w:footnote w:id="36">
    <w:p w14:paraId="795BD028" w14:textId="77777777" w:rsidR="00275AA4" w:rsidRPr="00354684" w:rsidRDefault="00275AA4">
      <w:pPr>
        <w:pStyle w:val="FootnoteText"/>
        <w:rPr>
          <w:lang w:val="fr-BE"/>
        </w:rPr>
      </w:pPr>
      <w:r>
        <w:footnoteRef/>
      </w:r>
      <w:r w:rsidRPr="00354684">
        <w:rPr>
          <w:lang w:val="fr-BE"/>
        </w:rPr>
        <w:t xml:space="preserve"> </w:t>
      </w:r>
      <w:hyperlink r:id="rId13" w:history="1">
        <w:r w:rsidRPr="00354684">
          <w:rPr>
            <w:rStyle w:val="Hyperlink"/>
            <w:lang w:val="fr-BE"/>
          </w:rPr>
          <w:t>http://easa.europa.eu/newsroom-and-events/general-publications</w:t>
        </w:r>
      </w:hyperlink>
    </w:p>
  </w:footnote>
  <w:footnote w:id="37">
    <w:p w14:paraId="524D8B5C" w14:textId="77777777" w:rsidR="00275AA4" w:rsidRPr="00354684" w:rsidRDefault="00275AA4">
      <w:pPr>
        <w:pStyle w:val="FootnoteText"/>
        <w:rPr>
          <w:lang w:val="fr-BE"/>
        </w:rPr>
      </w:pPr>
      <w:r>
        <w:footnoteRef/>
      </w:r>
      <w:r w:rsidRPr="00354684">
        <w:rPr>
          <w:lang w:val="fr-BE"/>
        </w:rPr>
        <w:t xml:space="preserve"> </w:t>
      </w:r>
      <w:hyperlink r:id="rId14" w:history="1">
        <w:r w:rsidRPr="00354684">
          <w:rPr>
            <w:rStyle w:val="Hyperlink"/>
            <w:lang w:val="fr-BE"/>
          </w:rPr>
          <w:t>http://eccairs-dds.jrc.ec.europa.eu/pubsris/default.asp</w:t>
        </w:r>
      </w:hyperlink>
    </w:p>
  </w:footnote>
  <w:footnote w:id="38">
    <w:p w14:paraId="03E839F1" w14:textId="77777777" w:rsidR="00275AA4" w:rsidRPr="00354684" w:rsidRDefault="00275AA4">
      <w:pPr>
        <w:pStyle w:val="FootnoteText"/>
        <w:rPr>
          <w:lang w:val="fr-BE"/>
        </w:rPr>
      </w:pPr>
      <w:r>
        <w:footnoteRef/>
      </w:r>
      <w:r w:rsidRPr="00354684">
        <w:rPr>
          <w:lang w:val="fr-BE"/>
        </w:rPr>
        <w:t xml:space="preserve"> </w:t>
      </w:r>
      <w:hyperlink r:id="rId15" w:history="1">
        <w:r w:rsidRPr="00354684">
          <w:rPr>
            <w:rStyle w:val="Hyperlink"/>
            <w:lang w:val="fr-BE"/>
          </w:rPr>
          <w:t>http://ad.easa.europa.eu/sib-docs/page-1</w:t>
        </w:r>
      </w:hyperlink>
    </w:p>
  </w:footnote>
  <w:footnote w:id="39">
    <w:p w14:paraId="7F038D24" w14:textId="3CA900E8" w:rsidR="00275AA4" w:rsidRPr="00354684" w:rsidRDefault="00275AA4" w:rsidP="007E0756">
      <w:pPr>
        <w:pStyle w:val="FootnoteText"/>
        <w:tabs>
          <w:tab w:val="left" w:pos="142"/>
        </w:tabs>
        <w:rPr>
          <w:lang w:val="fr-BE"/>
        </w:rPr>
      </w:pPr>
      <w:r>
        <w:footnoteRef/>
      </w:r>
      <w:hyperlink r:id="rId16" w:history="1">
        <w:r w:rsidRPr="00094D8A">
          <w:rPr>
            <w:rStyle w:val="Hyperlink"/>
            <w:lang w:val="fr-BE"/>
          </w:rPr>
          <w:t>http://easa.europa.eu/easa-and-you/safety-management/accident-and-incident-investigation-support/safety-recommendations</w:t>
        </w:r>
      </w:hyperlink>
    </w:p>
  </w:footnote>
  <w:footnote w:id="40">
    <w:p w14:paraId="464A9FEE" w14:textId="77777777" w:rsidR="00275AA4" w:rsidRPr="00354684" w:rsidRDefault="00275AA4">
      <w:pPr>
        <w:pStyle w:val="FootnoteText"/>
        <w:rPr>
          <w:lang w:val="fr-BE"/>
        </w:rPr>
      </w:pPr>
      <w:r>
        <w:footnoteRef/>
      </w:r>
      <w:r w:rsidRPr="00354684">
        <w:rPr>
          <w:lang w:val="fr-BE"/>
        </w:rPr>
        <w:t xml:space="preserve"> </w:t>
      </w:r>
      <w:hyperlink r:id="rId17" w:history="1">
        <w:r w:rsidRPr="00354684">
          <w:rPr>
            <w:rStyle w:val="Hyperlink"/>
            <w:lang w:val="fr-BE"/>
          </w:rPr>
          <w:t>http://easa.europa.eu/</w:t>
        </w:r>
      </w:hyperlink>
    </w:p>
  </w:footnote>
  <w:footnote w:id="41">
    <w:p w14:paraId="37E63F0F" w14:textId="77777777" w:rsidR="00275AA4" w:rsidRPr="00354684" w:rsidRDefault="00275AA4">
      <w:pPr>
        <w:pStyle w:val="FootnoteText"/>
        <w:rPr>
          <w:lang w:val="fr-BE"/>
        </w:rPr>
      </w:pPr>
      <w:r>
        <w:footnoteRef/>
      </w:r>
      <w:r w:rsidRPr="00354684">
        <w:rPr>
          <w:lang w:val="fr-BE"/>
        </w:rPr>
        <w:t xml:space="preserve"> </w:t>
      </w:r>
      <w:hyperlink r:id="rId18" w:history="1">
        <w:r w:rsidRPr="00354684">
          <w:rPr>
            <w:rStyle w:val="Hyperlink"/>
            <w:lang w:val="fr-BE"/>
          </w:rPr>
          <w:t>http://ec.europa.eu/transport/modes/air/safety/index_en.htm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E81DF" w14:textId="77777777" w:rsidR="00E001AA" w:rsidRPr="00E001AA" w:rsidRDefault="00E001AA" w:rsidP="00E001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4D0E3" w14:textId="77777777" w:rsidR="00E001AA" w:rsidRPr="00E001AA" w:rsidRDefault="00E001AA" w:rsidP="00E001A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DDE8F" w14:textId="77777777" w:rsidR="00E001AA" w:rsidRPr="00E001AA" w:rsidRDefault="00E001AA" w:rsidP="00E001A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9420A" w14:textId="77777777" w:rsidR="00275AA4" w:rsidRDefault="00275A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C58C3" w14:textId="77777777" w:rsidR="00275AA4" w:rsidRPr="00D74118" w:rsidRDefault="00275AA4" w:rsidP="00D7411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44A74" w14:textId="77777777" w:rsidR="00275AA4" w:rsidRDefault="00275A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3ACEB88"/>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7F"/>
    <w:multiLevelType w:val="singleLevel"/>
    <w:tmpl w:val="815C191C"/>
    <w:lvl w:ilvl="0">
      <w:start w:val="1"/>
      <w:numFmt w:val="decimal"/>
      <w:pStyle w:val="ListNumber2"/>
      <w:lvlText w:val="%1."/>
      <w:lvlJc w:val="left"/>
      <w:pPr>
        <w:tabs>
          <w:tab w:val="num" w:pos="643"/>
        </w:tabs>
        <w:ind w:left="643" w:hanging="360"/>
      </w:pPr>
    </w:lvl>
  </w:abstractNum>
  <w:abstractNum w:abstractNumId="2" w15:restartNumberingAfterBreak="0">
    <w:nsid w:val="FFFFFF81"/>
    <w:multiLevelType w:val="singleLevel"/>
    <w:tmpl w:val="72942E5E"/>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7BE2EC14"/>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F563C02"/>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0D70CFD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933AA1"/>
    <w:multiLevelType w:val="hybridMultilevel"/>
    <w:tmpl w:val="DCF6519C"/>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2F511AF"/>
    <w:multiLevelType w:val="hybridMultilevel"/>
    <w:tmpl w:val="3956EA1A"/>
    <w:lvl w:ilvl="0" w:tplc="7E6802DA">
      <w:start w:val="1"/>
      <w:numFmt w:val="bullet"/>
      <w:lvlText w:val=""/>
      <w:lvlJc w:val="left"/>
      <w:pPr>
        <w:tabs>
          <w:tab w:val="num" w:pos="720"/>
        </w:tabs>
        <w:ind w:left="720" w:hanging="360"/>
      </w:pPr>
      <w:rPr>
        <w:rFonts w:ascii="Wingdings" w:hAnsi="Wingdings" w:hint="default"/>
      </w:rPr>
    </w:lvl>
    <w:lvl w:ilvl="1" w:tplc="B2DC335A" w:tentative="1">
      <w:start w:val="1"/>
      <w:numFmt w:val="bullet"/>
      <w:lvlText w:val=""/>
      <w:lvlJc w:val="left"/>
      <w:pPr>
        <w:tabs>
          <w:tab w:val="num" w:pos="1440"/>
        </w:tabs>
        <w:ind w:left="1440" w:hanging="360"/>
      </w:pPr>
      <w:rPr>
        <w:rFonts w:ascii="Wingdings" w:hAnsi="Wingdings" w:hint="default"/>
      </w:rPr>
    </w:lvl>
    <w:lvl w:ilvl="2" w:tplc="666801B0" w:tentative="1">
      <w:start w:val="1"/>
      <w:numFmt w:val="bullet"/>
      <w:lvlText w:val=""/>
      <w:lvlJc w:val="left"/>
      <w:pPr>
        <w:tabs>
          <w:tab w:val="num" w:pos="2160"/>
        </w:tabs>
        <w:ind w:left="2160" w:hanging="360"/>
      </w:pPr>
      <w:rPr>
        <w:rFonts w:ascii="Wingdings" w:hAnsi="Wingdings" w:hint="default"/>
      </w:rPr>
    </w:lvl>
    <w:lvl w:ilvl="3" w:tplc="1C042B1C" w:tentative="1">
      <w:start w:val="1"/>
      <w:numFmt w:val="bullet"/>
      <w:lvlText w:val=""/>
      <w:lvlJc w:val="left"/>
      <w:pPr>
        <w:tabs>
          <w:tab w:val="num" w:pos="2880"/>
        </w:tabs>
        <w:ind w:left="2880" w:hanging="360"/>
      </w:pPr>
      <w:rPr>
        <w:rFonts w:ascii="Wingdings" w:hAnsi="Wingdings" w:hint="default"/>
      </w:rPr>
    </w:lvl>
    <w:lvl w:ilvl="4" w:tplc="3CCA9002" w:tentative="1">
      <w:start w:val="1"/>
      <w:numFmt w:val="bullet"/>
      <w:lvlText w:val=""/>
      <w:lvlJc w:val="left"/>
      <w:pPr>
        <w:tabs>
          <w:tab w:val="num" w:pos="3600"/>
        </w:tabs>
        <w:ind w:left="3600" w:hanging="360"/>
      </w:pPr>
      <w:rPr>
        <w:rFonts w:ascii="Wingdings" w:hAnsi="Wingdings" w:hint="default"/>
      </w:rPr>
    </w:lvl>
    <w:lvl w:ilvl="5" w:tplc="1DB2B4C4" w:tentative="1">
      <w:start w:val="1"/>
      <w:numFmt w:val="bullet"/>
      <w:lvlText w:val=""/>
      <w:lvlJc w:val="left"/>
      <w:pPr>
        <w:tabs>
          <w:tab w:val="num" w:pos="4320"/>
        </w:tabs>
        <w:ind w:left="4320" w:hanging="360"/>
      </w:pPr>
      <w:rPr>
        <w:rFonts w:ascii="Wingdings" w:hAnsi="Wingdings" w:hint="default"/>
      </w:rPr>
    </w:lvl>
    <w:lvl w:ilvl="6" w:tplc="4B661982" w:tentative="1">
      <w:start w:val="1"/>
      <w:numFmt w:val="bullet"/>
      <w:lvlText w:val=""/>
      <w:lvlJc w:val="left"/>
      <w:pPr>
        <w:tabs>
          <w:tab w:val="num" w:pos="5040"/>
        </w:tabs>
        <w:ind w:left="5040" w:hanging="360"/>
      </w:pPr>
      <w:rPr>
        <w:rFonts w:ascii="Wingdings" w:hAnsi="Wingdings" w:hint="default"/>
      </w:rPr>
    </w:lvl>
    <w:lvl w:ilvl="7" w:tplc="16CE420E" w:tentative="1">
      <w:start w:val="1"/>
      <w:numFmt w:val="bullet"/>
      <w:lvlText w:val=""/>
      <w:lvlJc w:val="left"/>
      <w:pPr>
        <w:tabs>
          <w:tab w:val="num" w:pos="5760"/>
        </w:tabs>
        <w:ind w:left="5760" w:hanging="360"/>
      </w:pPr>
      <w:rPr>
        <w:rFonts w:ascii="Wingdings" w:hAnsi="Wingdings" w:hint="default"/>
      </w:rPr>
    </w:lvl>
    <w:lvl w:ilvl="8" w:tplc="9BAA444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B43866"/>
    <w:multiLevelType w:val="hybridMultilevel"/>
    <w:tmpl w:val="D9D4331C"/>
    <w:lvl w:ilvl="0" w:tplc="B01EF3F8">
      <w:start w:val="1"/>
      <w:numFmt w:val="decimal"/>
      <w:lvlText w:val="4.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5BB0769"/>
    <w:multiLevelType w:val="hybridMultilevel"/>
    <w:tmpl w:val="D2B4D97E"/>
    <w:lvl w:ilvl="0" w:tplc="3A589D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6051C69"/>
    <w:multiLevelType w:val="hybridMultilevel"/>
    <w:tmpl w:val="11DA575E"/>
    <w:lvl w:ilvl="0" w:tplc="1E48FAA2">
      <w:start w:val="1"/>
      <w:numFmt w:val="decimal"/>
      <w:pStyle w:val="HEADERCHAPTER1"/>
      <w:lvlText w:val="1.%1."/>
      <w:lvlJc w:val="left"/>
      <w:pPr>
        <w:tabs>
          <w:tab w:val="num" w:pos="454"/>
        </w:tabs>
        <w:ind w:left="454" w:hanging="454"/>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CCF1A7C"/>
    <w:multiLevelType w:val="multilevel"/>
    <w:tmpl w:val="EB7A708C"/>
    <w:lvl w:ilvl="0">
      <w:start w:val="1"/>
      <w:numFmt w:val="decimal"/>
      <w:lvlRestart w:val="0"/>
      <w:lvlText w:val="%1."/>
      <w:lvlJc w:val="left"/>
      <w:pPr>
        <w:tabs>
          <w:tab w:val="num" w:pos="850"/>
        </w:tabs>
        <w:ind w:left="850" w:hanging="850"/>
      </w:pPr>
      <w:rPr>
        <w:rFonts w:cs="Times New Roman"/>
      </w:rPr>
    </w:lvl>
    <w:lvl w:ilvl="1">
      <w:start w:val="1"/>
      <w:numFmt w:val="decimal"/>
      <w:lvlText w:val="4.%2"/>
      <w:lvlJc w:val="left"/>
      <w:pPr>
        <w:tabs>
          <w:tab w:val="num" w:pos="850"/>
        </w:tabs>
        <w:ind w:left="850" w:hanging="850"/>
      </w:pPr>
      <w:rPr>
        <w:rFonts w:hint="default"/>
        <w:b/>
        <w:sz w:val="24"/>
        <w:szCs w:val="24"/>
      </w:rPr>
    </w:lvl>
    <w:lvl w:ilvl="2">
      <w:start w:val="1"/>
      <w:numFmt w:val="decimal"/>
      <w:lvlText w:val="4.3.%3"/>
      <w:lvlJc w:val="left"/>
      <w:pPr>
        <w:tabs>
          <w:tab w:val="num" w:pos="850"/>
        </w:tabs>
        <w:ind w:left="850" w:hanging="850"/>
      </w:pPr>
      <w:rPr>
        <w:rFonts w:hint="default"/>
      </w:rPr>
    </w:lvl>
    <w:lvl w:ilvl="3">
      <w:start w:val="1"/>
      <w:numFmt w:val="decimal"/>
      <w:lvlText w:val="4.1.1.%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0DE704F6"/>
    <w:multiLevelType w:val="hybridMultilevel"/>
    <w:tmpl w:val="06C05CEC"/>
    <w:lvl w:ilvl="0" w:tplc="A3A43F88">
      <w:start w:val="1"/>
      <w:numFmt w:val="bullet"/>
      <w:lvlText w:val="—"/>
      <w:lvlJc w:val="left"/>
      <w:pPr>
        <w:ind w:left="720" w:hanging="360"/>
      </w:pPr>
      <w:rPr>
        <w:rFonts w:ascii="Calibri" w:hAnsi="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621BA7"/>
    <w:multiLevelType w:val="multilevel"/>
    <w:tmpl w:val="24AAE4E6"/>
    <w:lvl w:ilvl="0">
      <w:start w:val="1"/>
      <w:numFmt w:val="decimal"/>
      <w:lvlRestart w:val="0"/>
      <w:lvlText w:val="%1."/>
      <w:lvlJc w:val="left"/>
      <w:pPr>
        <w:tabs>
          <w:tab w:val="num" w:pos="850"/>
        </w:tabs>
        <w:ind w:left="850" w:hanging="850"/>
      </w:pPr>
      <w:rPr>
        <w:rFonts w:cs="Times New Roman"/>
      </w:rPr>
    </w:lvl>
    <w:lvl w:ilvl="1">
      <w:start w:val="1"/>
      <w:numFmt w:val="decimal"/>
      <w:lvlText w:val="3.%2"/>
      <w:lvlJc w:val="left"/>
      <w:pPr>
        <w:tabs>
          <w:tab w:val="num" w:pos="850"/>
        </w:tabs>
        <w:ind w:left="850" w:hanging="850"/>
      </w:pPr>
      <w:rPr>
        <w:rFonts w:hint="default"/>
        <w:b/>
        <w:sz w:val="24"/>
        <w:szCs w:val="24"/>
      </w:rPr>
    </w:lvl>
    <w:lvl w:ilvl="2">
      <w:start w:val="1"/>
      <w:numFmt w:val="decimal"/>
      <w:lvlText w:val="3.1.%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1570264E"/>
    <w:multiLevelType w:val="hybridMultilevel"/>
    <w:tmpl w:val="05DA0046"/>
    <w:lvl w:ilvl="0" w:tplc="342ABA74">
      <w:numFmt w:val="bullet"/>
      <w:lvlText w:val="—"/>
      <w:lvlJc w:val="left"/>
      <w:pPr>
        <w:ind w:left="360" w:hanging="360"/>
      </w:pPr>
      <w:rPr>
        <w:rFonts w:ascii="Calibri" w:eastAsia="Times" w:hAnsi="Calibri"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5F16B47"/>
    <w:multiLevelType w:val="hybridMultilevel"/>
    <w:tmpl w:val="C3867296"/>
    <w:lvl w:ilvl="0" w:tplc="A3A43F88">
      <w:start w:val="1"/>
      <w:numFmt w:val="bullet"/>
      <w:lvlText w:val="—"/>
      <w:lvlJc w:val="left"/>
      <w:pPr>
        <w:ind w:left="720" w:hanging="360"/>
      </w:pPr>
      <w:rPr>
        <w:rFonts w:ascii="Calibri" w:hAnsi="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BD0672"/>
    <w:multiLevelType w:val="hybridMultilevel"/>
    <w:tmpl w:val="E83039D6"/>
    <w:lvl w:ilvl="0" w:tplc="08090001">
      <w:start w:val="1"/>
      <w:numFmt w:val="bullet"/>
      <w:lvlText w:val=""/>
      <w:lvlJc w:val="left"/>
      <w:pPr>
        <w:ind w:left="788" w:hanging="360"/>
      </w:pPr>
      <w:rPr>
        <w:rFonts w:ascii="Symbol" w:hAnsi="Symbol" w:hint="default"/>
      </w:rPr>
    </w:lvl>
    <w:lvl w:ilvl="1" w:tplc="08090003">
      <w:start w:val="1"/>
      <w:numFmt w:val="bullet"/>
      <w:lvlText w:val="o"/>
      <w:lvlJc w:val="left"/>
      <w:pPr>
        <w:ind w:left="1508" w:hanging="360"/>
      </w:pPr>
      <w:rPr>
        <w:rFonts w:ascii="Courier New" w:hAnsi="Courier New" w:cs="Courier New" w:hint="default"/>
      </w:rPr>
    </w:lvl>
    <w:lvl w:ilvl="2" w:tplc="08090005">
      <w:start w:val="1"/>
      <w:numFmt w:val="bullet"/>
      <w:lvlText w:val=""/>
      <w:lvlJc w:val="left"/>
      <w:pPr>
        <w:ind w:left="2228" w:hanging="360"/>
      </w:pPr>
      <w:rPr>
        <w:rFonts w:ascii="Wingdings" w:hAnsi="Wingdings" w:hint="default"/>
      </w:rPr>
    </w:lvl>
    <w:lvl w:ilvl="3" w:tplc="08090001">
      <w:start w:val="1"/>
      <w:numFmt w:val="bullet"/>
      <w:lvlText w:val=""/>
      <w:lvlJc w:val="left"/>
      <w:pPr>
        <w:ind w:left="2948" w:hanging="360"/>
      </w:pPr>
      <w:rPr>
        <w:rFonts w:ascii="Symbol" w:hAnsi="Symbol" w:hint="default"/>
      </w:rPr>
    </w:lvl>
    <w:lvl w:ilvl="4" w:tplc="08090003">
      <w:start w:val="1"/>
      <w:numFmt w:val="bullet"/>
      <w:lvlText w:val="o"/>
      <w:lvlJc w:val="left"/>
      <w:pPr>
        <w:ind w:left="3668" w:hanging="360"/>
      </w:pPr>
      <w:rPr>
        <w:rFonts w:ascii="Courier New" w:hAnsi="Courier New" w:cs="Courier New" w:hint="default"/>
      </w:rPr>
    </w:lvl>
    <w:lvl w:ilvl="5" w:tplc="08090005">
      <w:start w:val="1"/>
      <w:numFmt w:val="bullet"/>
      <w:lvlText w:val=""/>
      <w:lvlJc w:val="left"/>
      <w:pPr>
        <w:ind w:left="4388" w:hanging="360"/>
      </w:pPr>
      <w:rPr>
        <w:rFonts w:ascii="Wingdings" w:hAnsi="Wingdings" w:hint="default"/>
      </w:rPr>
    </w:lvl>
    <w:lvl w:ilvl="6" w:tplc="08090001">
      <w:start w:val="1"/>
      <w:numFmt w:val="bullet"/>
      <w:lvlText w:val=""/>
      <w:lvlJc w:val="left"/>
      <w:pPr>
        <w:ind w:left="5108" w:hanging="360"/>
      </w:pPr>
      <w:rPr>
        <w:rFonts w:ascii="Symbol" w:hAnsi="Symbol" w:hint="default"/>
      </w:rPr>
    </w:lvl>
    <w:lvl w:ilvl="7" w:tplc="08090003">
      <w:start w:val="1"/>
      <w:numFmt w:val="bullet"/>
      <w:lvlText w:val="o"/>
      <w:lvlJc w:val="left"/>
      <w:pPr>
        <w:ind w:left="5828" w:hanging="360"/>
      </w:pPr>
      <w:rPr>
        <w:rFonts w:ascii="Courier New" w:hAnsi="Courier New" w:cs="Courier New" w:hint="default"/>
      </w:rPr>
    </w:lvl>
    <w:lvl w:ilvl="8" w:tplc="08090005">
      <w:start w:val="1"/>
      <w:numFmt w:val="bullet"/>
      <w:lvlText w:val=""/>
      <w:lvlJc w:val="left"/>
      <w:pPr>
        <w:ind w:left="6548" w:hanging="360"/>
      </w:pPr>
      <w:rPr>
        <w:rFonts w:ascii="Wingdings" w:hAnsi="Wingdings" w:hint="default"/>
      </w:rPr>
    </w:lvl>
  </w:abstractNum>
  <w:abstractNum w:abstractNumId="17" w15:restartNumberingAfterBreak="0">
    <w:nsid w:val="1B6E76EA"/>
    <w:multiLevelType w:val="hybridMultilevel"/>
    <w:tmpl w:val="782EE13A"/>
    <w:lvl w:ilvl="0" w:tplc="5F0606B6">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DC0161D"/>
    <w:multiLevelType w:val="hybridMultilevel"/>
    <w:tmpl w:val="0B6A659A"/>
    <w:lvl w:ilvl="0" w:tplc="D3227CC6">
      <w:start w:val="1"/>
      <w:numFmt w:val="decimal"/>
      <w:pStyle w:val="Heading3"/>
      <w:lvlText w:val="2.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E2C301F"/>
    <w:multiLevelType w:val="multilevel"/>
    <w:tmpl w:val="1F8484D4"/>
    <w:lvl w:ilvl="0">
      <w:start w:val="1"/>
      <w:numFmt w:val="decimal"/>
      <w:lvlRestart w:val="0"/>
      <w:lvlText w:val="%1."/>
      <w:lvlJc w:val="left"/>
      <w:pPr>
        <w:tabs>
          <w:tab w:val="num" w:pos="850"/>
        </w:tabs>
        <w:ind w:left="850" w:hanging="850"/>
      </w:pPr>
      <w:rPr>
        <w:rFonts w:cs="Times New Roman" w:hint="default"/>
      </w:rPr>
    </w:lvl>
    <w:lvl w:ilvl="1">
      <w:start w:val="2"/>
      <w:numFmt w:val="decimal"/>
      <w:lvlText w:val="4.%2"/>
      <w:lvlJc w:val="left"/>
      <w:pPr>
        <w:tabs>
          <w:tab w:val="num" w:pos="850"/>
        </w:tabs>
        <w:ind w:left="850" w:hanging="850"/>
      </w:pPr>
      <w:rPr>
        <w:rFonts w:hint="default"/>
        <w:b/>
        <w:sz w:val="24"/>
        <w:szCs w:val="24"/>
      </w:rPr>
    </w:lvl>
    <w:lvl w:ilvl="2">
      <w:start w:val="1"/>
      <w:numFmt w:val="decimal"/>
      <w:lvlText w:val="4.3.%3"/>
      <w:lvlJc w:val="left"/>
      <w:pPr>
        <w:tabs>
          <w:tab w:val="num" w:pos="850"/>
        </w:tabs>
        <w:ind w:left="850" w:hanging="850"/>
      </w:pPr>
      <w:rPr>
        <w:rFonts w:hint="default"/>
      </w:rPr>
    </w:lvl>
    <w:lvl w:ilvl="3">
      <w:start w:val="1"/>
      <w:numFmt w:val="decimal"/>
      <w:lvlText w:val="4.1.2.%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21F7489A"/>
    <w:multiLevelType w:val="hybridMultilevel"/>
    <w:tmpl w:val="119837E6"/>
    <w:lvl w:ilvl="0" w:tplc="3A589D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D00BFE"/>
    <w:multiLevelType w:val="hybridMultilevel"/>
    <w:tmpl w:val="C33C8F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66524F9"/>
    <w:multiLevelType w:val="hybridMultilevel"/>
    <w:tmpl w:val="57D4C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15:restartNumberingAfterBreak="0">
    <w:nsid w:val="2B575741"/>
    <w:multiLevelType w:val="hybridMultilevel"/>
    <w:tmpl w:val="4E9E7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062257"/>
    <w:multiLevelType w:val="hybridMultilevel"/>
    <w:tmpl w:val="18B67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C966E6"/>
    <w:multiLevelType w:val="hybridMultilevel"/>
    <w:tmpl w:val="C6B0F396"/>
    <w:lvl w:ilvl="0" w:tplc="86E6C2D4">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2080D3D"/>
    <w:multiLevelType w:val="hybridMultilevel"/>
    <w:tmpl w:val="283876D4"/>
    <w:lvl w:ilvl="0" w:tplc="A366054A">
      <w:start w:val="1"/>
      <w:numFmt w:val="decimal"/>
      <w:pStyle w:val="Heading2"/>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438194E"/>
    <w:multiLevelType w:val="hybridMultilevel"/>
    <w:tmpl w:val="0A0E0498"/>
    <w:lvl w:ilvl="0" w:tplc="3A589D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902211"/>
    <w:multiLevelType w:val="hybridMultilevel"/>
    <w:tmpl w:val="2E9EAA04"/>
    <w:lvl w:ilvl="0" w:tplc="E684FD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FB2090"/>
    <w:multiLevelType w:val="hybridMultilevel"/>
    <w:tmpl w:val="D2BADB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34" w15:restartNumberingAfterBreak="0">
    <w:nsid w:val="3EE76004"/>
    <w:multiLevelType w:val="hybridMultilevel"/>
    <w:tmpl w:val="71DECEF8"/>
    <w:lvl w:ilvl="0" w:tplc="9FF024E6">
      <w:start w:val="1"/>
      <w:numFmt w:val="bullet"/>
      <w:lvlText w:val="→"/>
      <w:lvlJc w:val="left"/>
      <w:pPr>
        <w:tabs>
          <w:tab w:val="num" w:pos="720"/>
        </w:tabs>
        <w:ind w:left="720" w:hanging="360"/>
      </w:pPr>
      <w:rPr>
        <w:rFonts w:ascii="Calibri" w:hAnsi="Calibri" w:hint="default"/>
      </w:rPr>
    </w:lvl>
    <w:lvl w:ilvl="1" w:tplc="018A76CC" w:tentative="1">
      <w:start w:val="1"/>
      <w:numFmt w:val="bullet"/>
      <w:lvlText w:val="→"/>
      <w:lvlJc w:val="left"/>
      <w:pPr>
        <w:tabs>
          <w:tab w:val="num" w:pos="1440"/>
        </w:tabs>
        <w:ind w:left="1440" w:hanging="360"/>
      </w:pPr>
      <w:rPr>
        <w:rFonts w:ascii="Calibri" w:hAnsi="Calibri" w:hint="default"/>
      </w:rPr>
    </w:lvl>
    <w:lvl w:ilvl="2" w:tplc="15001624" w:tentative="1">
      <w:start w:val="1"/>
      <w:numFmt w:val="bullet"/>
      <w:lvlText w:val="→"/>
      <w:lvlJc w:val="left"/>
      <w:pPr>
        <w:tabs>
          <w:tab w:val="num" w:pos="2160"/>
        </w:tabs>
        <w:ind w:left="2160" w:hanging="360"/>
      </w:pPr>
      <w:rPr>
        <w:rFonts w:ascii="Calibri" w:hAnsi="Calibri" w:hint="default"/>
      </w:rPr>
    </w:lvl>
    <w:lvl w:ilvl="3" w:tplc="A4AE2DB4" w:tentative="1">
      <w:start w:val="1"/>
      <w:numFmt w:val="bullet"/>
      <w:lvlText w:val="→"/>
      <w:lvlJc w:val="left"/>
      <w:pPr>
        <w:tabs>
          <w:tab w:val="num" w:pos="2880"/>
        </w:tabs>
        <w:ind w:left="2880" w:hanging="360"/>
      </w:pPr>
      <w:rPr>
        <w:rFonts w:ascii="Calibri" w:hAnsi="Calibri" w:hint="default"/>
      </w:rPr>
    </w:lvl>
    <w:lvl w:ilvl="4" w:tplc="AFF24548" w:tentative="1">
      <w:start w:val="1"/>
      <w:numFmt w:val="bullet"/>
      <w:lvlText w:val="→"/>
      <w:lvlJc w:val="left"/>
      <w:pPr>
        <w:tabs>
          <w:tab w:val="num" w:pos="3600"/>
        </w:tabs>
        <w:ind w:left="3600" w:hanging="360"/>
      </w:pPr>
      <w:rPr>
        <w:rFonts w:ascii="Calibri" w:hAnsi="Calibri" w:hint="default"/>
      </w:rPr>
    </w:lvl>
    <w:lvl w:ilvl="5" w:tplc="6CFC9040" w:tentative="1">
      <w:start w:val="1"/>
      <w:numFmt w:val="bullet"/>
      <w:lvlText w:val="→"/>
      <w:lvlJc w:val="left"/>
      <w:pPr>
        <w:tabs>
          <w:tab w:val="num" w:pos="4320"/>
        </w:tabs>
        <w:ind w:left="4320" w:hanging="360"/>
      </w:pPr>
      <w:rPr>
        <w:rFonts w:ascii="Calibri" w:hAnsi="Calibri" w:hint="default"/>
      </w:rPr>
    </w:lvl>
    <w:lvl w:ilvl="6" w:tplc="9364C6AC" w:tentative="1">
      <w:start w:val="1"/>
      <w:numFmt w:val="bullet"/>
      <w:lvlText w:val="→"/>
      <w:lvlJc w:val="left"/>
      <w:pPr>
        <w:tabs>
          <w:tab w:val="num" w:pos="5040"/>
        </w:tabs>
        <w:ind w:left="5040" w:hanging="360"/>
      </w:pPr>
      <w:rPr>
        <w:rFonts w:ascii="Calibri" w:hAnsi="Calibri" w:hint="default"/>
      </w:rPr>
    </w:lvl>
    <w:lvl w:ilvl="7" w:tplc="43547A1E" w:tentative="1">
      <w:start w:val="1"/>
      <w:numFmt w:val="bullet"/>
      <w:lvlText w:val="→"/>
      <w:lvlJc w:val="left"/>
      <w:pPr>
        <w:tabs>
          <w:tab w:val="num" w:pos="5760"/>
        </w:tabs>
        <w:ind w:left="5760" w:hanging="360"/>
      </w:pPr>
      <w:rPr>
        <w:rFonts w:ascii="Calibri" w:hAnsi="Calibri" w:hint="default"/>
      </w:rPr>
    </w:lvl>
    <w:lvl w:ilvl="8" w:tplc="7716264A" w:tentative="1">
      <w:start w:val="1"/>
      <w:numFmt w:val="bullet"/>
      <w:lvlText w:val="→"/>
      <w:lvlJc w:val="left"/>
      <w:pPr>
        <w:tabs>
          <w:tab w:val="num" w:pos="6480"/>
        </w:tabs>
        <w:ind w:left="6480" w:hanging="360"/>
      </w:pPr>
      <w:rPr>
        <w:rFonts w:ascii="Calibri" w:hAnsi="Calibri" w:hint="default"/>
      </w:rPr>
    </w:lvl>
  </w:abstractNum>
  <w:abstractNum w:abstractNumId="35" w15:restartNumberingAfterBreak="0">
    <w:nsid w:val="403F759F"/>
    <w:multiLevelType w:val="hybridMultilevel"/>
    <w:tmpl w:val="318C5804"/>
    <w:lvl w:ilvl="0" w:tplc="0E9250FC">
      <w:start w:val="1"/>
      <w:numFmt w:val="bullet"/>
      <w:lvlText w:val=""/>
      <w:lvlJc w:val="left"/>
      <w:pPr>
        <w:tabs>
          <w:tab w:val="num" w:pos="720"/>
        </w:tabs>
        <w:ind w:left="720" w:hanging="360"/>
      </w:pPr>
      <w:rPr>
        <w:rFonts w:ascii="Wingdings" w:hAnsi="Wingdings" w:hint="default"/>
      </w:rPr>
    </w:lvl>
    <w:lvl w:ilvl="1" w:tplc="60A61FC6" w:tentative="1">
      <w:start w:val="1"/>
      <w:numFmt w:val="bullet"/>
      <w:lvlText w:val=""/>
      <w:lvlJc w:val="left"/>
      <w:pPr>
        <w:tabs>
          <w:tab w:val="num" w:pos="1440"/>
        </w:tabs>
        <w:ind w:left="1440" w:hanging="360"/>
      </w:pPr>
      <w:rPr>
        <w:rFonts w:ascii="Wingdings" w:hAnsi="Wingdings" w:hint="default"/>
      </w:rPr>
    </w:lvl>
    <w:lvl w:ilvl="2" w:tplc="41AEFF18" w:tentative="1">
      <w:start w:val="1"/>
      <w:numFmt w:val="bullet"/>
      <w:lvlText w:val=""/>
      <w:lvlJc w:val="left"/>
      <w:pPr>
        <w:tabs>
          <w:tab w:val="num" w:pos="2160"/>
        </w:tabs>
        <w:ind w:left="2160" w:hanging="360"/>
      </w:pPr>
      <w:rPr>
        <w:rFonts w:ascii="Wingdings" w:hAnsi="Wingdings" w:hint="default"/>
      </w:rPr>
    </w:lvl>
    <w:lvl w:ilvl="3" w:tplc="07D60340" w:tentative="1">
      <w:start w:val="1"/>
      <w:numFmt w:val="bullet"/>
      <w:lvlText w:val=""/>
      <w:lvlJc w:val="left"/>
      <w:pPr>
        <w:tabs>
          <w:tab w:val="num" w:pos="2880"/>
        </w:tabs>
        <w:ind w:left="2880" w:hanging="360"/>
      </w:pPr>
      <w:rPr>
        <w:rFonts w:ascii="Wingdings" w:hAnsi="Wingdings" w:hint="default"/>
      </w:rPr>
    </w:lvl>
    <w:lvl w:ilvl="4" w:tplc="248C8A22" w:tentative="1">
      <w:start w:val="1"/>
      <w:numFmt w:val="bullet"/>
      <w:lvlText w:val=""/>
      <w:lvlJc w:val="left"/>
      <w:pPr>
        <w:tabs>
          <w:tab w:val="num" w:pos="3600"/>
        </w:tabs>
        <w:ind w:left="3600" w:hanging="360"/>
      </w:pPr>
      <w:rPr>
        <w:rFonts w:ascii="Wingdings" w:hAnsi="Wingdings" w:hint="default"/>
      </w:rPr>
    </w:lvl>
    <w:lvl w:ilvl="5" w:tplc="CAD6162A" w:tentative="1">
      <w:start w:val="1"/>
      <w:numFmt w:val="bullet"/>
      <w:lvlText w:val=""/>
      <w:lvlJc w:val="left"/>
      <w:pPr>
        <w:tabs>
          <w:tab w:val="num" w:pos="4320"/>
        </w:tabs>
        <w:ind w:left="4320" w:hanging="360"/>
      </w:pPr>
      <w:rPr>
        <w:rFonts w:ascii="Wingdings" w:hAnsi="Wingdings" w:hint="default"/>
      </w:rPr>
    </w:lvl>
    <w:lvl w:ilvl="6" w:tplc="BE8A54FC" w:tentative="1">
      <w:start w:val="1"/>
      <w:numFmt w:val="bullet"/>
      <w:lvlText w:val=""/>
      <w:lvlJc w:val="left"/>
      <w:pPr>
        <w:tabs>
          <w:tab w:val="num" w:pos="5040"/>
        </w:tabs>
        <w:ind w:left="5040" w:hanging="360"/>
      </w:pPr>
      <w:rPr>
        <w:rFonts w:ascii="Wingdings" w:hAnsi="Wingdings" w:hint="default"/>
      </w:rPr>
    </w:lvl>
    <w:lvl w:ilvl="7" w:tplc="97866B44" w:tentative="1">
      <w:start w:val="1"/>
      <w:numFmt w:val="bullet"/>
      <w:lvlText w:val=""/>
      <w:lvlJc w:val="left"/>
      <w:pPr>
        <w:tabs>
          <w:tab w:val="num" w:pos="5760"/>
        </w:tabs>
        <w:ind w:left="5760" w:hanging="360"/>
      </w:pPr>
      <w:rPr>
        <w:rFonts w:ascii="Wingdings" w:hAnsi="Wingdings" w:hint="default"/>
      </w:rPr>
    </w:lvl>
    <w:lvl w:ilvl="8" w:tplc="703E92E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13A7D3C"/>
    <w:multiLevelType w:val="hybridMultilevel"/>
    <w:tmpl w:val="8C5ABFCC"/>
    <w:lvl w:ilvl="0" w:tplc="04090001">
      <w:start w:val="1"/>
      <w:numFmt w:val="bullet"/>
      <w:lvlText w:val=""/>
      <w:lvlJc w:val="left"/>
      <w:pPr>
        <w:tabs>
          <w:tab w:val="num" w:pos="720"/>
        </w:tabs>
        <w:ind w:left="720" w:hanging="360"/>
      </w:pPr>
      <w:rPr>
        <w:rFonts w:ascii="Symbol" w:hAnsi="Symbol" w:hint="default"/>
      </w:rPr>
    </w:lvl>
    <w:lvl w:ilvl="1" w:tplc="330CDD86" w:tentative="1">
      <w:start w:val="1"/>
      <w:numFmt w:val="bullet"/>
      <w:lvlText w:val=""/>
      <w:lvlJc w:val="left"/>
      <w:pPr>
        <w:tabs>
          <w:tab w:val="num" w:pos="1440"/>
        </w:tabs>
        <w:ind w:left="1440" w:hanging="360"/>
      </w:pPr>
      <w:rPr>
        <w:rFonts w:ascii="Wingdings" w:hAnsi="Wingdings" w:hint="default"/>
      </w:rPr>
    </w:lvl>
    <w:lvl w:ilvl="2" w:tplc="06AA1318" w:tentative="1">
      <w:start w:val="1"/>
      <w:numFmt w:val="bullet"/>
      <w:lvlText w:val=""/>
      <w:lvlJc w:val="left"/>
      <w:pPr>
        <w:tabs>
          <w:tab w:val="num" w:pos="2160"/>
        </w:tabs>
        <w:ind w:left="2160" w:hanging="360"/>
      </w:pPr>
      <w:rPr>
        <w:rFonts w:ascii="Wingdings" w:hAnsi="Wingdings" w:hint="default"/>
      </w:rPr>
    </w:lvl>
    <w:lvl w:ilvl="3" w:tplc="C1AA395A" w:tentative="1">
      <w:start w:val="1"/>
      <w:numFmt w:val="bullet"/>
      <w:lvlText w:val=""/>
      <w:lvlJc w:val="left"/>
      <w:pPr>
        <w:tabs>
          <w:tab w:val="num" w:pos="2880"/>
        </w:tabs>
        <w:ind w:left="2880" w:hanging="360"/>
      </w:pPr>
      <w:rPr>
        <w:rFonts w:ascii="Wingdings" w:hAnsi="Wingdings" w:hint="default"/>
      </w:rPr>
    </w:lvl>
    <w:lvl w:ilvl="4" w:tplc="C2F4AD4E" w:tentative="1">
      <w:start w:val="1"/>
      <w:numFmt w:val="bullet"/>
      <w:lvlText w:val=""/>
      <w:lvlJc w:val="left"/>
      <w:pPr>
        <w:tabs>
          <w:tab w:val="num" w:pos="3600"/>
        </w:tabs>
        <w:ind w:left="3600" w:hanging="360"/>
      </w:pPr>
      <w:rPr>
        <w:rFonts w:ascii="Wingdings" w:hAnsi="Wingdings" w:hint="default"/>
      </w:rPr>
    </w:lvl>
    <w:lvl w:ilvl="5" w:tplc="3CA8717E" w:tentative="1">
      <w:start w:val="1"/>
      <w:numFmt w:val="bullet"/>
      <w:lvlText w:val=""/>
      <w:lvlJc w:val="left"/>
      <w:pPr>
        <w:tabs>
          <w:tab w:val="num" w:pos="4320"/>
        </w:tabs>
        <w:ind w:left="4320" w:hanging="360"/>
      </w:pPr>
      <w:rPr>
        <w:rFonts w:ascii="Wingdings" w:hAnsi="Wingdings" w:hint="default"/>
      </w:rPr>
    </w:lvl>
    <w:lvl w:ilvl="6" w:tplc="70FCD392" w:tentative="1">
      <w:start w:val="1"/>
      <w:numFmt w:val="bullet"/>
      <w:lvlText w:val=""/>
      <w:lvlJc w:val="left"/>
      <w:pPr>
        <w:tabs>
          <w:tab w:val="num" w:pos="5040"/>
        </w:tabs>
        <w:ind w:left="5040" w:hanging="360"/>
      </w:pPr>
      <w:rPr>
        <w:rFonts w:ascii="Wingdings" w:hAnsi="Wingdings" w:hint="default"/>
      </w:rPr>
    </w:lvl>
    <w:lvl w:ilvl="7" w:tplc="0310CF6A" w:tentative="1">
      <w:start w:val="1"/>
      <w:numFmt w:val="bullet"/>
      <w:lvlText w:val=""/>
      <w:lvlJc w:val="left"/>
      <w:pPr>
        <w:tabs>
          <w:tab w:val="num" w:pos="5760"/>
        </w:tabs>
        <w:ind w:left="5760" w:hanging="360"/>
      </w:pPr>
      <w:rPr>
        <w:rFonts w:ascii="Wingdings" w:hAnsi="Wingdings" w:hint="default"/>
      </w:rPr>
    </w:lvl>
    <w:lvl w:ilvl="8" w:tplc="8E0ABA0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1EB03DB"/>
    <w:multiLevelType w:val="hybridMultilevel"/>
    <w:tmpl w:val="04E2BA6A"/>
    <w:lvl w:ilvl="0" w:tplc="1D768DFC">
      <w:start w:val="1"/>
      <w:numFmt w:val="decimal"/>
      <w:pStyle w:val="Heading1"/>
      <w:lvlText w:val="%1."/>
      <w:lvlJc w:val="left"/>
      <w:pPr>
        <w:ind w:left="720" w:hanging="36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43157D2"/>
    <w:multiLevelType w:val="hybridMultilevel"/>
    <w:tmpl w:val="CDD88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5C0170F"/>
    <w:multiLevelType w:val="multilevel"/>
    <w:tmpl w:val="253830BE"/>
    <w:lvl w:ilvl="0">
      <w:start w:val="1"/>
      <w:numFmt w:val="decimal"/>
      <w:pStyle w:val="StyleVerdana10ptCentered"/>
      <w:lvlText w:val="2.%1"/>
      <w:lvlJc w:val="left"/>
      <w:pPr>
        <w:tabs>
          <w:tab w:val="num" w:pos="360"/>
        </w:tabs>
        <w:ind w:left="360" w:hanging="360"/>
      </w:pPr>
      <w:rPr>
        <w:rFonts w:cs="Times New Roman" w:hint="default"/>
      </w:rPr>
    </w:lvl>
    <w:lvl w:ilvl="1">
      <w:start w:val="1"/>
      <w:numFmt w:val="decimal"/>
      <w:lvlRestart w:val="0"/>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1" w15:restartNumberingAfterBreak="0">
    <w:nsid w:val="4D35362F"/>
    <w:multiLevelType w:val="hybridMultilevel"/>
    <w:tmpl w:val="B2DAF6B2"/>
    <w:lvl w:ilvl="0" w:tplc="3C781FB0">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42" w15:restartNumberingAfterBreak="0">
    <w:nsid w:val="4D4878FE"/>
    <w:multiLevelType w:val="hybridMultilevel"/>
    <w:tmpl w:val="5CEC53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D877AE2"/>
    <w:multiLevelType w:val="hybridMultilevel"/>
    <w:tmpl w:val="E542D7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E236C7B"/>
    <w:multiLevelType w:val="hybridMultilevel"/>
    <w:tmpl w:val="0F72F0AE"/>
    <w:lvl w:ilvl="0" w:tplc="EA58C02C">
      <w:start w:val="1"/>
      <w:numFmt w:val="decimal"/>
      <w:lvlText w:val="3.2.%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2EB57E3"/>
    <w:multiLevelType w:val="hybridMultilevel"/>
    <w:tmpl w:val="707010B2"/>
    <w:lvl w:ilvl="0" w:tplc="E4C039D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7" w15:restartNumberingAfterBreak="0">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48" w15:restartNumberingAfterBreak="0">
    <w:nsid w:val="59071A32"/>
    <w:multiLevelType w:val="hybridMultilevel"/>
    <w:tmpl w:val="E634DC8C"/>
    <w:lvl w:ilvl="0" w:tplc="3C781FB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98215E4"/>
    <w:multiLevelType w:val="hybridMultilevel"/>
    <w:tmpl w:val="DC8EE808"/>
    <w:lvl w:ilvl="0" w:tplc="A3A43F88">
      <w:start w:val="1"/>
      <w:numFmt w:val="bullet"/>
      <w:lvlText w:val="—"/>
      <w:lvlJc w:val="left"/>
      <w:pPr>
        <w:ind w:left="720" w:hanging="360"/>
      </w:pPr>
      <w:rPr>
        <w:rFonts w:ascii="Calibri" w:hAnsi="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A7C1576"/>
    <w:multiLevelType w:val="hybridMultilevel"/>
    <w:tmpl w:val="782EE13A"/>
    <w:lvl w:ilvl="0" w:tplc="5F0606B6">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52" w15:restartNumberingAfterBreak="0">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3" w15:restartNumberingAfterBreak="0">
    <w:nsid w:val="5FDB1696"/>
    <w:multiLevelType w:val="hybridMultilevel"/>
    <w:tmpl w:val="80B65B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55"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56" w15:restartNumberingAfterBreak="0">
    <w:nsid w:val="64C76E10"/>
    <w:multiLevelType w:val="hybridMultilevel"/>
    <w:tmpl w:val="5CEC53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91A4C24"/>
    <w:multiLevelType w:val="hybridMultilevel"/>
    <w:tmpl w:val="A2701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9995580"/>
    <w:multiLevelType w:val="singleLevel"/>
    <w:tmpl w:val="75CC7CBA"/>
    <w:lvl w:ilvl="0">
      <w:start w:val="1"/>
      <w:numFmt w:val="decimal"/>
      <w:lvlRestart w:val="0"/>
      <w:pStyle w:val="Considrant"/>
      <w:lvlText w:val="(%1)"/>
      <w:lvlJc w:val="left"/>
      <w:pPr>
        <w:tabs>
          <w:tab w:val="num" w:pos="709"/>
        </w:tabs>
        <w:ind w:left="709" w:hanging="709"/>
      </w:pPr>
      <w:rPr>
        <w:rFonts w:cs="Times New Roman"/>
      </w:rPr>
    </w:lvl>
  </w:abstractNum>
  <w:abstractNum w:abstractNumId="59" w15:restartNumberingAfterBreak="0">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0" w15:restartNumberingAfterBreak="0">
    <w:nsid w:val="6DA94BE3"/>
    <w:multiLevelType w:val="hybridMultilevel"/>
    <w:tmpl w:val="0AD83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0ED083E"/>
    <w:multiLevelType w:val="hybridMultilevel"/>
    <w:tmpl w:val="BA7CD43E"/>
    <w:lvl w:ilvl="0" w:tplc="4260A7C6">
      <w:start w:val="1"/>
      <w:numFmt w:val="decimal"/>
      <w:lvlText w:val="2.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11167E2"/>
    <w:multiLevelType w:val="multilevel"/>
    <w:tmpl w:val="C3843A7A"/>
    <w:name w:val="Considérant"/>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3" w15:restartNumberingAfterBreak="0">
    <w:nsid w:val="71175CBE"/>
    <w:multiLevelType w:val="hybridMultilevel"/>
    <w:tmpl w:val="66C2B2D0"/>
    <w:lvl w:ilvl="0" w:tplc="83C2142C">
      <w:start w:val="1"/>
      <w:numFmt w:val="bullet"/>
      <w:lvlText w:val=""/>
      <w:lvlJc w:val="left"/>
      <w:pPr>
        <w:tabs>
          <w:tab w:val="num" w:pos="720"/>
        </w:tabs>
        <w:ind w:left="720" w:hanging="360"/>
      </w:pPr>
      <w:rPr>
        <w:rFonts w:ascii="Wingdings" w:hAnsi="Wingdings" w:hint="default"/>
      </w:rPr>
    </w:lvl>
    <w:lvl w:ilvl="1" w:tplc="330CDD86" w:tentative="1">
      <w:start w:val="1"/>
      <w:numFmt w:val="bullet"/>
      <w:lvlText w:val=""/>
      <w:lvlJc w:val="left"/>
      <w:pPr>
        <w:tabs>
          <w:tab w:val="num" w:pos="1440"/>
        </w:tabs>
        <w:ind w:left="1440" w:hanging="360"/>
      </w:pPr>
      <w:rPr>
        <w:rFonts w:ascii="Wingdings" w:hAnsi="Wingdings" w:hint="default"/>
      </w:rPr>
    </w:lvl>
    <w:lvl w:ilvl="2" w:tplc="06AA1318" w:tentative="1">
      <w:start w:val="1"/>
      <w:numFmt w:val="bullet"/>
      <w:lvlText w:val=""/>
      <w:lvlJc w:val="left"/>
      <w:pPr>
        <w:tabs>
          <w:tab w:val="num" w:pos="2160"/>
        </w:tabs>
        <w:ind w:left="2160" w:hanging="360"/>
      </w:pPr>
      <w:rPr>
        <w:rFonts w:ascii="Wingdings" w:hAnsi="Wingdings" w:hint="default"/>
      </w:rPr>
    </w:lvl>
    <w:lvl w:ilvl="3" w:tplc="C1AA395A" w:tentative="1">
      <w:start w:val="1"/>
      <w:numFmt w:val="bullet"/>
      <w:lvlText w:val=""/>
      <w:lvlJc w:val="left"/>
      <w:pPr>
        <w:tabs>
          <w:tab w:val="num" w:pos="2880"/>
        </w:tabs>
        <w:ind w:left="2880" w:hanging="360"/>
      </w:pPr>
      <w:rPr>
        <w:rFonts w:ascii="Wingdings" w:hAnsi="Wingdings" w:hint="default"/>
      </w:rPr>
    </w:lvl>
    <w:lvl w:ilvl="4" w:tplc="C2F4AD4E" w:tentative="1">
      <w:start w:val="1"/>
      <w:numFmt w:val="bullet"/>
      <w:lvlText w:val=""/>
      <w:lvlJc w:val="left"/>
      <w:pPr>
        <w:tabs>
          <w:tab w:val="num" w:pos="3600"/>
        </w:tabs>
        <w:ind w:left="3600" w:hanging="360"/>
      </w:pPr>
      <w:rPr>
        <w:rFonts w:ascii="Wingdings" w:hAnsi="Wingdings" w:hint="default"/>
      </w:rPr>
    </w:lvl>
    <w:lvl w:ilvl="5" w:tplc="3CA8717E" w:tentative="1">
      <w:start w:val="1"/>
      <w:numFmt w:val="bullet"/>
      <w:lvlText w:val=""/>
      <w:lvlJc w:val="left"/>
      <w:pPr>
        <w:tabs>
          <w:tab w:val="num" w:pos="4320"/>
        </w:tabs>
        <w:ind w:left="4320" w:hanging="360"/>
      </w:pPr>
      <w:rPr>
        <w:rFonts w:ascii="Wingdings" w:hAnsi="Wingdings" w:hint="default"/>
      </w:rPr>
    </w:lvl>
    <w:lvl w:ilvl="6" w:tplc="70FCD392" w:tentative="1">
      <w:start w:val="1"/>
      <w:numFmt w:val="bullet"/>
      <w:lvlText w:val=""/>
      <w:lvlJc w:val="left"/>
      <w:pPr>
        <w:tabs>
          <w:tab w:val="num" w:pos="5040"/>
        </w:tabs>
        <w:ind w:left="5040" w:hanging="360"/>
      </w:pPr>
      <w:rPr>
        <w:rFonts w:ascii="Wingdings" w:hAnsi="Wingdings" w:hint="default"/>
      </w:rPr>
    </w:lvl>
    <w:lvl w:ilvl="7" w:tplc="0310CF6A" w:tentative="1">
      <w:start w:val="1"/>
      <w:numFmt w:val="bullet"/>
      <w:lvlText w:val=""/>
      <w:lvlJc w:val="left"/>
      <w:pPr>
        <w:tabs>
          <w:tab w:val="num" w:pos="5760"/>
        </w:tabs>
        <w:ind w:left="5760" w:hanging="360"/>
      </w:pPr>
      <w:rPr>
        <w:rFonts w:ascii="Wingdings" w:hAnsi="Wingdings" w:hint="default"/>
      </w:rPr>
    </w:lvl>
    <w:lvl w:ilvl="8" w:tplc="8E0ABA02"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3D879AC"/>
    <w:multiLevelType w:val="hybridMultilevel"/>
    <w:tmpl w:val="113446C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3FB4366"/>
    <w:multiLevelType w:val="hybridMultilevel"/>
    <w:tmpl w:val="DF5ED7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4F24C34"/>
    <w:multiLevelType w:val="hybridMultilevel"/>
    <w:tmpl w:val="6C1E273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5C26F71"/>
    <w:multiLevelType w:val="multilevel"/>
    <w:tmpl w:val="C92A0C28"/>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b/>
        <w:sz w:val="24"/>
        <w:szCs w:val="24"/>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8" w15:restartNumberingAfterBreak="0">
    <w:nsid w:val="7B941F93"/>
    <w:multiLevelType w:val="hybridMultilevel"/>
    <w:tmpl w:val="225C8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BE95D7F"/>
    <w:multiLevelType w:val="multilevel"/>
    <w:tmpl w:val="F126F780"/>
    <w:name w:val="Heading"/>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70" w15:restartNumberingAfterBreak="0">
    <w:nsid w:val="7E4E421D"/>
    <w:multiLevelType w:val="hybridMultilevel"/>
    <w:tmpl w:val="474C8A4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FBD57B2"/>
    <w:multiLevelType w:val="hybridMultilevel"/>
    <w:tmpl w:val="20108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7"/>
  </w:num>
  <w:num w:numId="4">
    <w:abstractNumId w:val="43"/>
  </w:num>
  <w:num w:numId="5">
    <w:abstractNumId w:val="32"/>
  </w:num>
  <w:num w:numId="6">
    <w:abstractNumId w:val="31"/>
  </w:num>
  <w:num w:numId="7">
    <w:abstractNumId w:val="54"/>
  </w:num>
  <w:num w:numId="8">
    <w:abstractNumId w:val="33"/>
  </w:num>
  <w:num w:numId="9">
    <w:abstractNumId w:val="47"/>
  </w:num>
  <w:num w:numId="10">
    <w:abstractNumId w:val="62"/>
  </w:num>
  <w:num w:numId="11">
    <w:abstractNumId w:val="67"/>
  </w:num>
  <w:num w:numId="12">
    <w:abstractNumId w:val="69"/>
  </w:num>
  <w:num w:numId="13">
    <w:abstractNumId w:val="46"/>
  </w:num>
  <w:num w:numId="14">
    <w:abstractNumId w:val="23"/>
  </w:num>
  <w:num w:numId="15">
    <w:abstractNumId w:val="52"/>
  </w:num>
  <w:num w:numId="16">
    <w:abstractNumId w:val="51"/>
  </w:num>
  <w:num w:numId="17">
    <w:abstractNumId w:val="40"/>
  </w:num>
  <w:num w:numId="18">
    <w:abstractNumId w:val="58"/>
  </w:num>
  <w:num w:numId="19">
    <w:abstractNumId w:val="39"/>
  </w:num>
  <w:num w:numId="20">
    <w:abstractNumId w:val="10"/>
  </w:num>
  <w:num w:numId="21">
    <w:abstractNumId w:val="59"/>
  </w:num>
  <w:num w:numId="22">
    <w:abstractNumId w:val="55"/>
  </w:num>
  <w:num w:numId="23">
    <w:abstractNumId w:val="5"/>
  </w:num>
  <w:num w:numId="24">
    <w:abstractNumId w:val="3"/>
  </w:num>
  <w:num w:numId="25">
    <w:abstractNumId w:val="2"/>
  </w:num>
  <w:num w:numId="26">
    <w:abstractNumId w:val="0"/>
  </w:num>
  <w:num w:numId="27">
    <w:abstractNumId w:val="66"/>
  </w:num>
  <w:num w:numId="28">
    <w:abstractNumId w:val="17"/>
  </w:num>
  <w:num w:numId="29">
    <w:abstractNumId w:val="38"/>
  </w:num>
  <w:num w:numId="30">
    <w:abstractNumId w:val="29"/>
  </w:num>
  <w:num w:numId="31">
    <w:abstractNumId w:val="71"/>
  </w:num>
  <w:num w:numId="32">
    <w:abstractNumId w:val="16"/>
  </w:num>
  <w:num w:numId="33">
    <w:abstractNumId w:val="13"/>
  </w:num>
  <w:num w:numId="34">
    <w:abstractNumId w:val="27"/>
  </w:num>
  <w:num w:numId="35">
    <w:abstractNumId w:val="61"/>
  </w:num>
  <w:num w:numId="36">
    <w:abstractNumId w:val="11"/>
  </w:num>
  <w:num w:numId="37">
    <w:abstractNumId w:val="18"/>
  </w:num>
  <w:num w:numId="38">
    <w:abstractNumId w:val="18"/>
    <w:lvlOverride w:ilvl="0">
      <w:startOverride w:val="1"/>
    </w:lvlOverride>
  </w:num>
  <w:num w:numId="39">
    <w:abstractNumId w:val="44"/>
  </w:num>
  <w:num w:numId="40">
    <w:abstractNumId w:val="8"/>
  </w:num>
  <w:num w:numId="41">
    <w:abstractNumId w:val="19"/>
  </w:num>
  <w:num w:numId="42">
    <w:abstractNumId w:val="18"/>
  </w:num>
  <w:num w:numId="43">
    <w:abstractNumId w:val="18"/>
  </w:num>
  <w:num w:numId="44">
    <w:abstractNumId w:val="37"/>
  </w:num>
  <w:num w:numId="45">
    <w:abstractNumId w:val="45"/>
  </w:num>
  <w:num w:numId="46">
    <w:abstractNumId w:val="50"/>
  </w:num>
  <w:num w:numId="47">
    <w:abstractNumId w:val="21"/>
  </w:num>
  <w:num w:numId="48">
    <w:abstractNumId w:val="48"/>
  </w:num>
  <w:num w:numId="49">
    <w:abstractNumId w:val="56"/>
  </w:num>
  <w:num w:numId="50">
    <w:abstractNumId w:val="14"/>
  </w:num>
  <w:num w:numId="51">
    <w:abstractNumId w:val="18"/>
  </w:num>
  <w:num w:numId="52">
    <w:abstractNumId w:val="27"/>
  </w:num>
  <w:num w:numId="53">
    <w:abstractNumId w:val="15"/>
  </w:num>
  <w:num w:numId="54">
    <w:abstractNumId w:val="26"/>
  </w:num>
  <w:num w:numId="55">
    <w:abstractNumId w:val="27"/>
  </w:num>
  <w:num w:numId="56">
    <w:abstractNumId w:val="12"/>
  </w:num>
  <w:num w:numId="57">
    <w:abstractNumId w:val="65"/>
  </w:num>
  <w:num w:numId="58">
    <w:abstractNumId w:val="20"/>
  </w:num>
  <w:num w:numId="59">
    <w:abstractNumId w:val="28"/>
  </w:num>
  <w:num w:numId="60">
    <w:abstractNumId w:val="22"/>
  </w:num>
  <w:num w:numId="61">
    <w:abstractNumId w:val="30"/>
  </w:num>
  <w:num w:numId="62">
    <w:abstractNumId w:val="9"/>
  </w:num>
  <w:num w:numId="63">
    <w:abstractNumId w:val="28"/>
  </w:num>
  <w:num w:numId="64">
    <w:abstractNumId w:val="49"/>
  </w:num>
  <w:num w:numId="65">
    <w:abstractNumId w:val="24"/>
  </w:num>
  <w:num w:numId="66">
    <w:abstractNumId w:val="70"/>
  </w:num>
  <w:num w:numId="67">
    <w:abstractNumId w:val="64"/>
  </w:num>
  <w:num w:numId="68">
    <w:abstractNumId w:val="34"/>
  </w:num>
  <w:num w:numId="69">
    <w:abstractNumId w:val="42"/>
  </w:num>
  <w:num w:numId="70">
    <w:abstractNumId w:val="27"/>
  </w:num>
  <w:num w:numId="71">
    <w:abstractNumId w:val="35"/>
  </w:num>
  <w:num w:numId="72">
    <w:abstractNumId w:val="53"/>
  </w:num>
  <w:num w:numId="73">
    <w:abstractNumId w:val="7"/>
  </w:num>
  <w:num w:numId="74">
    <w:abstractNumId w:val="63"/>
  </w:num>
  <w:num w:numId="75">
    <w:abstractNumId w:val="36"/>
  </w:num>
  <w:num w:numId="76">
    <w:abstractNumId w:val="6"/>
  </w:num>
  <w:num w:numId="77">
    <w:abstractNumId w:val="57"/>
  </w:num>
  <w:num w:numId="78">
    <w:abstractNumId w:val="68"/>
  </w:num>
  <w:num w:numId="79">
    <w:abstractNumId w:val="60"/>
  </w:num>
  <w:num w:numId="80">
    <w:abstractNumId w:val="25"/>
  </w:num>
  <w:num w:numId="81">
    <w:abstractNumId w:val="41"/>
  </w:num>
  <w:num w:numId="82">
    <w:abstractNumId w:val="4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s-ES" w:vendorID="64" w:dllVersion="6" w:nlCheck="1" w:checkStyle="0"/>
  <w:activeWritingStyle w:appName="MSWord" w:lang="en-US" w:vendorID="64" w:dllVersion="6" w:nlCheck="1" w:checkStyle="1"/>
  <w:activeWritingStyle w:appName="MSWord" w:lang="es-419" w:vendorID="64" w:dllVersion="6" w:nlCheck="1" w:checkStyle="0"/>
  <w:activeWritingStyle w:appName="MSWord" w:lang="en-GB" w:vendorID="64" w:dllVersion="0" w:nlCheck="1" w:checkStyle="0"/>
  <w:activeWritingStyle w:appName="MSWord" w:lang="fr-FR" w:vendorID="64" w:dllVersion="0" w:nlCheck="1" w:checkStyle="0"/>
  <w:activeWritingStyle w:appName="MSWord" w:lang="fr-BE"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0" w:nlCheck="1" w:checkStyle="0"/>
  <w:activeWritingStyle w:appName="MSWord" w:lang="es-419" w:vendorID="64" w:dllVersion="0"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fr-BE" w:vendorID="64" w:dllVersion="131078" w:nlCheck="1" w:checkStyle="0"/>
  <w:activeWritingStyle w:appName="MSWord" w:lang="es-419" w:vendorID="64" w:dllVersion="131078" w:nlCheck="1" w:checkStyle="0"/>
  <w:activeWritingStyle w:appName="MSWord" w:lang="es-ES" w:vendorID="64" w:dllVersion="131078" w:nlCheck="1" w:checkStyle="0"/>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77848688-DD74-4574-8D55-20C32D5060FE"/>
    <w:docVar w:name="LW_COVERPAGE_TYPE" w:val="1"/>
    <w:docVar w:name="LW_CROSSREFERENCE" w:val="&lt;UNUSED&gt;"/>
    <w:docVar w:name="LW_DocType" w:val="NORMAL"/>
    <w:docVar w:name="LW_EMISSION" w:val="17.10.2022"/>
    <w:docVar w:name="LW_EMISSION_ISODATE" w:val="2022-10-17"/>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The European Aviation Safety Programme _x000d__x000d__x000d__x000d__x000d__x000d__x000d__x000d__x000d__x000b_"/>
    <w:docVar w:name="LW_PART_NBR" w:val="1"/>
    <w:docVar w:name="LW_PART_NBR_TOTAL" w:val="1"/>
    <w:docVar w:name="LW_REF.INST.NEW" w:val="COM"/>
    <w:docVar w:name="LW_REF.INST.NEW_ADOPTED" w:val="final"/>
    <w:docVar w:name="LW_REF.INST.NEW_TEXT" w:val="(2022) 5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REPORT FROM THE COMMISSION TO THE EUROPEAN PARLIAMENT AND THE COUNCIL"/>
    <w:docVar w:name="LwApiVersions" w:val="LW4CoDe 1.23.2.0; LW 8.0, Build 20211117"/>
  </w:docVars>
  <w:rsids>
    <w:rsidRoot w:val="00224CBD"/>
    <w:rsid w:val="00002A2C"/>
    <w:rsid w:val="00004DE8"/>
    <w:rsid w:val="000058DD"/>
    <w:rsid w:val="000064B5"/>
    <w:rsid w:val="00007126"/>
    <w:rsid w:val="000103E9"/>
    <w:rsid w:val="00011298"/>
    <w:rsid w:val="00013211"/>
    <w:rsid w:val="00014763"/>
    <w:rsid w:val="00014993"/>
    <w:rsid w:val="000160E7"/>
    <w:rsid w:val="0001673B"/>
    <w:rsid w:val="00016C90"/>
    <w:rsid w:val="00021113"/>
    <w:rsid w:val="00022413"/>
    <w:rsid w:val="0002258A"/>
    <w:rsid w:val="000230D9"/>
    <w:rsid w:val="00023112"/>
    <w:rsid w:val="000238AE"/>
    <w:rsid w:val="00023A1A"/>
    <w:rsid w:val="00025280"/>
    <w:rsid w:val="000252C8"/>
    <w:rsid w:val="0002731C"/>
    <w:rsid w:val="000306E4"/>
    <w:rsid w:val="0003074D"/>
    <w:rsid w:val="000334D1"/>
    <w:rsid w:val="00036C62"/>
    <w:rsid w:val="000412B5"/>
    <w:rsid w:val="00041C2A"/>
    <w:rsid w:val="00042E7F"/>
    <w:rsid w:val="0004688D"/>
    <w:rsid w:val="0004791D"/>
    <w:rsid w:val="00050E96"/>
    <w:rsid w:val="000539D6"/>
    <w:rsid w:val="00054E7E"/>
    <w:rsid w:val="00054EB0"/>
    <w:rsid w:val="00056536"/>
    <w:rsid w:val="00056842"/>
    <w:rsid w:val="00056980"/>
    <w:rsid w:val="00057AD3"/>
    <w:rsid w:val="0006001F"/>
    <w:rsid w:val="00060AD0"/>
    <w:rsid w:val="000625E5"/>
    <w:rsid w:val="00063E0A"/>
    <w:rsid w:val="0006486F"/>
    <w:rsid w:val="000660CA"/>
    <w:rsid w:val="000742EF"/>
    <w:rsid w:val="00074966"/>
    <w:rsid w:val="00074AC3"/>
    <w:rsid w:val="00081175"/>
    <w:rsid w:val="00081245"/>
    <w:rsid w:val="000813BE"/>
    <w:rsid w:val="00081654"/>
    <w:rsid w:val="00081E6A"/>
    <w:rsid w:val="00082E94"/>
    <w:rsid w:val="000832A0"/>
    <w:rsid w:val="000836AC"/>
    <w:rsid w:val="00084339"/>
    <w:rsid w:val="00084F65"/>
    <w:rsid w:val="00086A03"/>
    <w:rsid w:val="00087244"/>
    <w:rsid w:val="00087497"/>
    <w:rsid w:val="000875A8"/>
    <w:rsid w:val="000903EC"/>
    <w:rsid w:val="0009115E"/>
    <w:rsid w:val="0009153C"/>
    <w:rsid w:val="00093A57"/>
    <w:rsid w:val="00093F2D"/>
    <w:rsid w:val="00094D8A"/>
    <w:rsid w:val="00095505"/>
    <w:rsid w:val="00095727"/>
    <w:rsid w:val="00097853"/>
    <w:rsid w:val="000A046F"/>
    <w:rsid w:val="000A13F1"/>
    <w:rsid w:val="000A2CAC"/>
    <w:rsid w:val="000A2F9E"/>
    <w:rsid w:val="000A3147"/>
    <w:rsid w:val="000A4E3A"/>
    <w:rsid w:val="000A729A"/>
    <w:rsid w:val="000B10A0"/>
    <w:rsid w:val="000B16B4"/>
    <w:rsid w:val="000B1FD6"/>
    <w:rsid w:val="000B26E2"/>
    <w:rsid w:val="000B3C19"/>
    <w:rsid w:val="000B43AE"/>
    <w:rsid w:val="000B538A"/>
    <w:rsid w:val="000B595D"/>
    <w:rsid w:val="000B6D7A"/>
    <w:rsid w:val="000B771C"/>
    <w:rsid w:val="000B7933"/>
    <w:rsid w:val="000C1089"/>
    <w:rsid w:val="000C2409"/>
    <w:rsid w:val="000C36B2"/>
    <w:rsid w:val="000C7CFA"/>
    <w:rsid w:val="000D06EB"/>
    <w:rsid w:val="000D091D"/>
    <w:rsid w:val="000D2FAE"/>
    <w:rsid w:val="000D470B"/>
    <w:rsid w:val="000D4A94"/>
    <w:rsid w:val="000D4FA0"/>
    <w:rsid w:val="000D681A"/>
    <w:rsid w:val="000D6849"/>
    <w:rsid w:val="000D7F5C"/>
    <w:rsid w:val="000E070D"/>
    <w:rsid w:val="000E08AA"/>
    <w:rsid w:val="000E1465"/>
    <w:rsid w:val="000E2AA9"/>
    <w:rsid w:val="000E391C"/>
    <w:rsid w:val="000E43A1"/>
    <w:rsid w:val="000E56CB"/>
    <w:rsid w:val="000E570E"/>
    <w:rsid w:val="000E6A67"/>
    <w:rsid w:val="000E78F2"/>
    <w:rsid w:val="000E7E6C"/>
    <w:rsid w:val="000F005A"/>
    <w:rsid w:val="000F192D"/>
    <w:rsid w:val="000F23C9"/>
    <w:rsid w:val="000F257C"/>
    <w:rsid w:val="000F4E73"/>
    <w:rsid w:val="000F5100"/>
    <w:rsid w:val="000F5128"/>
    <w:rsid w:val="000F5DD4"/>
    <w:rsid w:val="000F7E37"/>
    <w:rsid w:val="00101615"/>
    <w:rsid w:val="00102D0F"/>
    <w:rsid w:val="00102DB7"/>
    <w:rsid w:val="001032E0"/>
    <w:rsid w:val="00103E3C"/>
    <w:rsid w:val="00105163"/>
    <w:rsid w:val="00105B7C"/>
    <w:rsid w:val="001061E4"/>
    <w:rsid w:val="00106E8D"/>
    <w:rsid w:val="001075C4"/>
    <w:rsid w:val="0011075F"/>
    <w:rsid w:val="00110B79"/>
    <w:rsid w:val="00111F1A"/>
    <w:rsid w:val="001138B4"/>
    <w:rsid w:val="00114207"/>
    <w:rsid w:val="00116383"/>
    <w:rsid w:val="00116E38"/>
    <w:rsid w:val="00117E55"/>
    <w:rsid w:val="001200CE"/>
    <w:rsid w:val="00120156"/>
    <w:rsid w:val="0012046C"/>
    <w:rsid w:val="00123BAE"/>
    <w:rsid w:val="0012497B"/>
    <w:rsid w:val="00124E03"/>
    <w:rsid w:val="00124FE3"/>
    <w:rsid w:val="00125DA2"/>
    <w:rsid w:val="00126B96"/>
    <w:rsid w:val="00132525"/>
    <w:rsid w:val="001328CF"/>
    <w:rsid w:val="001346AF"/>
    <w:rsid w:val="001356D0"/>
    <w:rsid w:val="00135D8C"/>
    <w:rsid w:val="00135EE6"/>
    <w:rsid w:val="0013755E"/>
    <w:rsid w:val="00137AC1"/>
    <w:rsid w:val="0014125E"/>
    <w:rsid w:val="00142506"/>
    <w:rsid w:val="0014275D"/>
    <w:rsid w:val="00142CA8"/>
    <w:rsid w:val="00143A8D"/>
    <w:rsid w:val="001443F6"/>
    <w:rsid w:val="00144688"/>
    <w:rsid w:val="001448D7"/>
    <w:rsid w:val="00151300"/>
    <w:rsid w:val="0015145B"/>
    <w:rsid w:val="001514D7"/>
    <w:rsid w:val="001523B8"/>
    <w:rsid w:val="0016092C"/>
    <w:rsid w:val="001625F3"/>
    <w:rsid w:val="00162D19"/>
    <w:rsid w:val="00163532"/>
    <w:rsid w:val="00163541"/>
    <w:rsid w:val="00165020"/>
    <w:rsid w:val="0016646A"/>
    <w:rsid w:val="00166BAA"/>
    <w:rsid w:val="001706E9"/>
    <w:rsid w:val="00170DC9"/>
    <w:rsid w:val="0017196C"/>
    <w:rsid w:val="00171B22"/>
    <w:rsid w:val="00174BF6"/>
    <w:rsid w:val="0017596F"/>
    <w:rsid w:val="00176903"/>
    <w:rsid w:val="0017719B"/>
    <w:rsid w:val="0018001F"/>
    <w:rsid w:val="001811B9"/>
    <w:rsid w:val="00181E7F"/>
    <w:rsid w:val="001822A4"/>
    <w:rsid w:val="00182373"/>
    <w:rsid w:val="00182FC1"/>
    <w:rsid w:val="0018388B"/>
    <w:rsid w:val="00183F3E"/>
    <w:rsid w:val="00184105"/>
    <w:rsid w:val="0018512D"/>
    <w:rsid w:val="00185B7F"/>
    <w:rsid w:val="0018679E"/>
    <w:rsid w:val="0018682F"/>
    <w:rsid w:val="001878B2"/>
    <w:rsid w:val="00187C79"/>
    <w:rsid w:val="001906BD"/>
    <w:rsid w:val="00191EFF"/>
    <w:rsid w:val="001926E5"/>
    <w:rsid w:val="001952EC"/>
    <w:rsid w:val="001A0D14"/>
    <w:rsid w:val="001A0FEE"/>
    <w:rsid w:val="001A196C"/>
    <w:rsid w:val="001A35E7"/>
    <w:rsid w:val="001A3A50"/>
    <w:rsid w:val="001A4463"/>
    <w:rsid w:val="001A563A"/>
    <w:rsid w:val="001A564D"/>
    <w:rsid w:val="001A5FC3"/>
    <w:rsid w:val="001A627C"/>
    <w:rsid w:val="001A63BD"/>
    <w:rsid w:val="001A74B8"/>
    <w:rsid w:val="001A7A06"/>
    <w:rsid w:val="001B0050"/>
    <w:rsid w:val="001B1869"/>
    <w:rsid w:val="001B2A05"/>
    <w:rsid w:val="001B5786"/>
    <w:rsid w:val="001B652E"/>
    <w:rsid w:val="001B7BCE"/>
    <w:rsid w:val="001B7F30"/>
    <w:rsid w:val="001C0AB7"/>
    <w:rsid w:val="001C0E6A"/>
    <w:rsid w:val="001C2166"/>
    <w:rsid w:val="001C2BFC"/>
    <w:rsid w:val="001C2FD0"/>
    <w:rsid w:val="001C416B"/>
    <w:rsid w:val="001C4A75"/>
    <w:rsid w:val="001C5373"/>
    <w:rsid w:val="001C735B"/>
    <w:rsid w:val="001D2519"/>
    <w:rsid w:val="001D256A"/>
    <w:rsid w:val="001D286D"/>
    <w:rsid w:val="001D615B"/>
    <w:rsid w:val="001D63B2"/>
    <w:rsid w:val="001D72B6"/>
    <w:rsid w:val="001D7B67"/>
    <w:rsid w:val="001D7E28"/>
    <w:rsid w:val="001E0379"/>
    <w:rsid w:val="001E4E1D"/>
    <w:rsid w:val="001E5273"/>
    <w:rsid w:val="001E5A19"/>
    <w:rsid w:val="001E7784"/>
    <w:rsid w:val="001E78BA"/>
    <w:rsid w:val="001E7D0E"/>
    <w:rsid w:val="001F2232"/>
    <w:rsid w:val="001F3247"/>
    <w:rsid w:val="001F395F"/>
    <w:rsid w:val="001F3E2D"/>
    <w:rsid w:val="001F3FB5"/>
    <w:rsid w:val="001F42DB"/>
    <w:rsid w:val="001F72B1"/>
    <w:rsid w:val="002006F3"/>
    <w:rsid w:val="00202452"/>
    <w:rsid w:val="00203B8C"/>
    <w:rsid w:val="002055BF"/>
    <w:rsid w:val="00205B8A"/>
    <w:rsid w:val="002062E8"/>
    <w:rsid w:val="0020638D"/>
    <w:rsid w:val="002076B2"/>
    <w:rsid w:val="0021011D"/>
    <w:rsid w:val="0021292F"/>
    <w:rsid w:val="002140BF"/>
    <w:rsid w:val="00214D6D"/>
    <w:rsid w:val="0021669C"/>
    <w:rsid w:val="00216A67"/>
    <w:rsid w:val="00216CD8"/>
    <w:rsid w:val="002218C9"/>
    <w:rsid w:val="00221CF4"/>
    <w:rsid w:val="0022238C"/>
    <w:rsid w:val="00222F1A"/>
    <w:rsid w:val="00222F9D"/>
    <w:rsid w:val="0022318A"/>
    <w:rsid w:val="00224CBD"/>
    <w:rsid w:val="00225058"/>
    <w:rsid w:val="00225698"/>
    <w:rsid w:val="00225978"/>
    <w:rsid w:val="00227838"/>
    <w:rsid w:val="00227854"/>
    <w:rsid w:val="00227C89"/>
    <w:rsid w:val="00230DBD"/>
    <w:rsid w:val="0023154A"/>
    <w:rsid w:val="00231613"/>
    <w:rsid w:val="00231F54"/>
    <w:rsid w:val="00232C04"/>
    <w:rsid w:val="00233E2D"/>
    <w:rsid w:val="00234464"/>
    <w:rsid w:val="00234C27"/>
    <w:rsid w:val="00235D5B"/>
    <w:rsid w:val="0023714D"/>
    <w:rsid w:val="00240F24"/>
    <w:rsid w:val="0024123C"/>
    <w:rsid w:val="00241E15"/>
    <w:rsid w:val="002426BE"/>
    <w:rsid w:val="00242FEC"/>
    <w:rsid w:val="00244D6C"/>
    <w:rsid w:val="00247075"/>
    <w:rsid w:val="00247445"/>
    <w:rsid w:val="002501D0"/>
    <w:rsid w:val="00250548"/>
    <w:rsid w:val="00250E05"/>
    <w:rsid w:val="0025167F"/>
    <w:rsid w:val="002516FF"/>
    <w:rsid w:val="00251716"/>
    <w:rsid w:val="00253623"/>
    <w:rsid w:val="002537E9"/>
    <w:rsid w:val="0025463D"/>
    <w:rsid w:val="002553F5"/>
    <w:rsid w:val="0025623D"/>
    <w:rsid w:val="00261B51"/>
    <w:rsid w:val="00261D97"/>
    <w:rsid w:val="00262136"/>
    <w:rsid w:val="00263C29"/>
    <w:rsid w:val="00264011"/>
    <w:rsid w:val="00264415"/>
    <w:rsid w:val="00264A3B"/>
    <w:rsid w:val="002656F3"/>
    <w:rsid w:val="0026595A"/>
    <w:rsid w:val="00266A5E"/>
    <w:rsid w:val="00271129"/>
    <w:rsid w:val="002714C5"/>
    <w:rsid w:val="002726AA"/>
    <w:rsid w:val="002736E2"/>
    <w:rsid w:val="00274FEE"/>
    <w:rsid w:val="00275AA4"/>
    <w:rsid w:val="00276511"/>
    <w:rsid w:val="0027663A"/>
    <w:rsid w:val="00276D70"/>
    <w:rsid w:val="00276EAE"/>
    <w:rsid w:val="00277DDD"/>
    <w:rsid w:val="00280352"/>
    <w:rsid w:val="00280EFF"/>
    <w:rsid w:val="00283303"/>
    <w:rsid w:val="002836F5"/>
    <w:rsid w:val="0028445A"/>
    <w:rsid w:val="002846C9"/>
    <w:rsid w:val="002848CD"/>
    <w:rsid w:val="00284A39"/>
    <w:rsid w:val="00284AAB"/>
    <w:rsid w:val="0028694A"/>
    <w:rsid w:val="00286CAD"/>
    <w:rsid w:val="002913D6"/>
    <w:rsid w:val="002915D4"/>
    <w:rsid w:val="00291AE0"/>
    <w:rsid w:val="00292EEB"/>
    <w:rsid w:val="0029356F"/>
    <w:rsid w:val="002938EE"/>
    <w:rsid w:val="00293D33"/>
    <w:rsid w:val="00297342"/>
    <w:rsid w:val="002974CD"/>
    <w:rsid w:val="002A0154"/>
    <w:rsid w:val="002A03EF"/>
    <w:rsid w:val="002A0923"/>
    <w:rsid w:val="002A0D9F"/>
    <w:rsid w:val="002A2DAD"/>
    <w:rsid w:val="002A31EC"/>
    <w:rsid w:val="002A5A1B"/>
    <w:rsid w:val="002A6BBC"/>
    <w:rsid w:val="002B1026"/>
    <w:rsid w:val="002B2AB8"/>
    <w:rsid w:val="002B38A9"/>
    <w:rsid w:val="002B39D8"/>
    <w:rsid w:val="002B3D06"/>
    <w:rsid w:val="002B4036"/>
    <w:rsid w:val="002B61F2"/>
    <w:rsid w:val="002B7451"/>
    <w:rsid w:val="002B747C"/>
    <w:rsid w:val="002C3BC1"/>
    <w:rsid w:val="002C41D4"/>
    <w:rsid w:val="002C53D0"/>
    <w:rsid w:val="002C57B9"/>
    <w:rsid w:val="002C5C5E"/>
    <w:rsid w:val="002C6DED"/>
    <w:rsid w:val="002D382F"/>
    <w:rsid w:val="002D3E91"/>
    <w:rsid w:val="002D4EA4"/>
    <w:rsid w:val="002D5A77"/>
    <w:rsid w:val="002D623D"/>
    <w:rsid w:val="002D7650"/>
    <w:rsid w:val="002E04F0"/>
    <w:rsid w:val="002E0F5D"/>
    <w:rsid w:val="002E1F0D"/>
    <w:rsid w:val="002E306F"/>
    <w:rsid w:val="002E3FE1"/>
    <w:rsid w:val="002E4874"/>
    <w:rsid w:val="002E51EA"/>
    <w:rsid w:val="002E58CA"/>
    <w:rsid w:val="002E6693"/>
    <w:rsid w:val="002E694C"/>
    <w:rsid w:val="002E7767"/>
    <w:rsid w:val="002F012E"/>
    <w:rsid w:val="002F1C3F"/>
    <w:rsid w:val="002F22BF"/>
    <w:rsid w:val="002F2B7F"/>
    <w:rsid w:val="002F31D0"/>
    <w:rsid w:val="002F43A5"/>
    <w:rsid w:val="002F54E3"/>
    <w:rsid w:val="002F6534"/>
    <w:rsid w:val="002F6C9D"/>
    <w:rsid w:val="00300D96"/>
    <w:rsid w:val="003028BC"/>
    <w:rsid w:val="00302CAB"/>
    <w:rsid w:val="00302E23"/>
    <w:rsid w:val="00303781"/>
    <w:rsid w:val="00304037"/>
    <w:rsid w:val="0030590E"/>
    <w:rsid w:val="00306C0C"/>
    <w:rsid w:val="003074AA"/>
    <w:rsid w:val="00307C9C"/>
    <w:rsid w:val="003111BA"/>
    <w:rsid w:val="003127DB"/>
    <w:rsid w:val="00312B89"/>
    <w:rsid w:val="00312BA8"/>
    <w:rsid w:val="00314959"/>
    <w:rsid w:val="00314A69"/>
    <w:rsid w:val="00315E78"/>
    <w:rsid w:val="003166C3"/>
    <w:rsid w:val="00316A65"/>
    <w:rsid w:val="0032024C"/>
    <w:rsid w:val="00322B21"/>
    <w:rsid w:val="0032443F"/>
    <w:rsid w:val="00325C67"/>
    <w:rsid w:val="00327810"/>
    <w:rsid w:val="00330260"/>
    <w:rsid w:val="003307A5"/>
    <w:rsid w:val="003312D5"/>
    <w:rsid w:val="00331522"/>
    <w:rsid w:val="003343BA"/>
    <w:rsid w:val="00334599"/>
    <w:rsid w:val="003425DA"/>
    <w:rsid w:val="00343760"/>
    <w:rsid w:val="0034383C"/>
    <w:rsid w:val="00343B02"/>
    <w:rsid w:val="00343CD1"/>
    <w:rsid w:val="00344420"/>
    <w:rsid w:val="00346951"/>
    <w:rsid w:val="003469C7"/>
    <w:rsid w:val="00346A78"/>
    <w:rsid w:val="00351A2D"/>
    <w:rsid w:val="003530CE"/>
    <w:rsid w:val="00353C1D"/>
    <w:rsid w:val="00354684"/>
    <w:rsid w:val="003547CA"/>
    <w:rsid w:val="00354EAD"/>
    <w:rsid w:val="0035612B"/>
    <w:rsid w:val="00357E46"/>
    <w:rsid w:val="00357E5C"/>
    <w:rsid w:val="003600E2"/>
    <w:rsid w:val="003626C2"/>
    <w:rsid w:val="00363E20"/>
    <w:rsid w:val="003667CB"/>
    <w:rsid w:val="00366C06"/>
    <w:rsid w:val="003678D4"/>
    <w:rsid w:val="0037224D"/>
    <w:rsid w:val="003728CE"/>
    <w:rsid w:val="00376123"/>
    <w:rsid w:val="003768AA"/>
    <w:rsid w:val="00376BD0"/>
    <w:rsid w:val="00376E8D"/>
    <w:rsid w:val="00376F83"/>
    <w:rsid w:val="003770C1"/>
    <w:rsid w:val="00377121"/>
    <w:rsid w:val="003771A8"/>
    <w:rsid w:val="003771FE"/>
    <w:rsid w:val="00377307"/>
    <w:rsid w:val="00381C86"/>
    <w:rsid w:val="00384262"/>
    <w:rsid w:val="00385B51"/>
    <w:rsid w:val="0038698D"/>
    <w:rsid w:val="00387DD9"/>
    <w:rsid w:val="003901FE"/>
    <w:rsid w:val="0039056A"/>
    <w:rsid w:val="00391A10"/>
    <w:rsid w:val="003922CB"/>
    <w:rsid w:val="0039334A"/>
    <w:rsid w:val="00393ABB"/>
    <w:rsid w:val="00394317"/>
    <w:rsid w:val="003949FB"/>
    <w:rsid w:val="003962C9"/>
    <w:rsid w:val="00396FBA"/>
    <w:rsid w:val="003A0767"/>
    <w:rsid w:val="003A0FB6"/>
    <w:rsid w:val="003A493C"/>
    <w:rsid w:val="003A55A0"/>
    <w:rsid w:val="003A64F7"/>
    <w:rsid w:val="003A73FD"/>
    <w:rsid w:val="003A774A"/>
    <w:rsid w:val="003B14BC"/>
    <w:rsid w:val="003B15CB"/>
    <w:rsid w:val="003B2BB5"/>
    <w:rsid w:val="003B54B6"/>
    <w:rsid w:val="003C016D"/>
    <w:rsid w:val="003C281B"/>
    <w:rsid w:val="003C2B26"/>
    <w:rsid w:val="003C357E"/>
    <w:rsid w:val="003C3CB1"/>
    <w:rsid w:val="003C528B"/>
    <w:rsid w:val="003C5D2C"/>
    <w:rsid w:val="003C7279"/>
    <w:rsid w:val="003C760C"/>
    <w:rsid w:val="003D05CE"/>
    <w:rsid w:val="003D119C"/>
    <w:rsid w:val="003D476F"/>
    <w:rsid w:val="003D4EAE"/>
    <w:rsid w:val="003D4F03"/>
    <w:rsid w:val="003D4F38"/>
    <w:rsid w:val="003D6E96"/>
    <w:rsid w:val="003E0201"/>
    <w:rsid w:val="003E19AF"/>
    <w:rsid w:val="003E3726"/>
    <w:rsid w:val="003E3B97"/>
    <w:rsid w:val="003E4548"/>
    <w:rsid w:val="003E5471"/>
    <w:rsid w:val="003E5CD6"/>
    <w:rsid w:val="003E7D81"/>
    <w:rsid w:val="003F06D7"/>
    <w:rsid w:val="003F1790"/>
    <w:rsid w:val="003F2456"/>
    <w:rsid w:val="003F2CCB"/>
    <w:rsid w:val="003F3EC7"/>
    <w:rsid w:val="003F4565"/>
    <w:rsid w:val="003F4C8B"/>
    <w:rsid w:val="003F678A"/>
    <w:rsid w:val="003F7251"/>
    <w:rsid w:val="003F7B3E"/>
    <w:rsid w:val="0040012D"/>
    <w:rsid w:val="00403B27"/>
    <w:rsid w:val="00404501"/>
    <w:rsid w:val="0040480E"/>
    <w:rsid w:val="00405C35"/>
    <w:rsid w:val="00405CC8"/>
    <w:rsid w:val="0040666D"/>
    <w:rsid w:val="00406ADA"/>
    <w:rsid w:val="004075D9"/>
    <w:rsid w:val="0041396D"/>
    <w:rsid w:val="00414C0F"/>
    <w:rsid w:val="00415937"/>
    <w:rsid w:val="0041619D"/>
    <w:rsid w:val="004174E4"/>
    <w:rsid w:val="00420964"/>
    <w:rsid w:val="0042544F"/>
    <w:rsid w:val="004254CD"/>
    <w:rsid w:val="00430596"/>
    <w:rsid w:val="00434D4D"/>
    <w:rsid w:val="00435735"/>
    <w:rsid w:val="00436CBB"/>
    <w:rsid w:val="00436D48"/>
    <w:rsid w:val="00437536"/>
    <w:rsid w:val="00437BA9"/>
    <w:rsid w:val="004404FC"/>
    <w:rsid w:val="004406A4"/>
    <w:rsid w:val="00442BB0"/>
    <w:rsid w:val="00443A13"/>
    <w:rsid w:val="004443A7"/>
    <w:rsid w:val="00444EC4"/>
    <w:rsid w:val="0044705D"/>
    <w:rsid w:val="00447F97"/>
    <w:rsid w:val="00450D99"/>
    <w:rsid w:val="004514D1"/>
    <w:rsid w:val="00451A0A"/>
    <w:rsid w:val="00451A50"/>
    <w:rsid w:val="004538C5"/>
    <w:rsid w:val="004539A0"/>
    <w:rsid w:val="00453ACC"/>
    <w:rsid w:val="00455577"/>
    <w:rsid w:val="00455E5A"/>
    <w:rsid w:val="00456FCD"/>
    <w:rsid w:val="0045754B"/>
    <w:rsid w:val="004615F3"/>
    <w:rsid w:val="004627B0"/>
    <w:rsid w:val="004633CA"/>
    <w:rsid w:val="00464C22"/>
    <w:rsid w:val="00464E51"/>
    <w:rsid w:val="004651EA"/>
    <w:rsid w:val="0047202C"/>
    <w:rsid w:val="004736B6"/>
    <w:rsid w:val="00474E63"/>
    <w:rsid w:val="004750B1"/>
    <w:rsid w:val="004755E3"/>
    <w:rsid w:val="004756D7"/>
    <w:rsid w:val="004805C0"/>
    <w:rsid w:val="00480E07"/>
    <w:rsid w:val="0048177E"/>
    <w:rsid w:val="00485794"/>
    <w:rsid w:val="0049056F"/>
    <w:rsid w:val="0049080A"/>
    <w:rsid w:val="00490908"/>
    <w:rsid w:val="004916F6"/>
    <w:rsid w:val="00491810"/>
    <w:rsid w:val="004937DA"/>
    <w:rsid w:val="004940CC"/>
    <w:rsid w:val="00496282"/>
    <w:rsid w:val="00496D72"/>
    <w:rsid w:val="004A1AF3"/>
    <w:rsid w:val="004A1CBE"/>
    <w:rsid w:val="004A20E9"/>
    <w:rsid w:val="004A25D2"/>
    <w:rsid w:val="004A5453"/>
    <w:rsid w:val="004A567E"/>
    <w:rsid w:val="004A65C0"/>
    <w:rsid w:val="004A713B"/>
    <w:rsid w:val="004A7383"/>
    <w:rsid w:val="004B09A2"/>
    <w:rsid w:val="004B122A"/>
    <w:rsid w:val="004B1724"/>
    <w:rsid w:val="004B267B"/>
    <w:rsid w:val="004B32CA"/>
    <w:rsid w:val="004B4004"/>
    <w:rsid w:val="004B7BA2"/>
    <w:rsid w:val="004C01EF"/>
    <w:rsid w:val="004C0967"/>
    <w:rsid w:val="004C1865"/>
    <w:rsid w:val="004C1B6C"/>
    <w:rsid w:val="004C3403"/>
    <w:rsid w:val="004C65AC"/>
    <w:rsid w:val="004C79E0"/>
    <w:rsid w:val="004D0005"/>
    <w:rsid w:val="004D1296"/>
    <w:rsid w:val="004D15E0"/>
    <w:rsid w:val="004D164C"/>
    <w:rsid w:val="004D3FBE"/>
    <w:rsid w:val="004D45E0"/>
    <w:rsid w:val="004D5766"/>
    <w:rsid w:val="004D57C8"/>
    <w:rsid w:val="004D6A8F"/>
    <w:rsid w:val="004D6DE1"/>
    <w:rsid w:val="004E0716"/>
    <w:rsid w:val="004E0FFD"/>
    <w:rsid w:val="004E104D"/>
    <w:rsid w:val="004E17BD"/>
    <w:rsid w:val="004E291E"/>
    <w:rsid w:val="004E2A57"/>
    <w:rsid w:val="004E374A"/>
    <w:rsid w:val="004E44F7"/>
    <w:rsid w:val="004E6E93"/>
    <w:rsid w:val="004E7571"/>
    <w:rsid w:val="004F140D"/>
    <w:rsid w:val="004F1974"/>
    <w:rsid w:val="004F2DE2"/>
    <w:rsid w:val="004F3817"/>
    <w:rsid w:val="004F7B94"/>
    <w:rsid w:val="005010D3"/>
    <w:rsid w:val="005018AD"/>
    <w:rsid w:val="00501978"/>
    <w:rsid w:val="005022EA"/>
    <w:rsid w:val="00502477"/>
    <w:rsid w:val="00502AAE"/>
    <w:rsid w:val="00504021"/>
    <w:rsid w:val="00504D32"/>
    <w:rsid w:val="0050523C"/>
    <w:rsid w:val="0050535A"/>
    <w:rsid w:val="005054B9"/>
    <w:rsid w:val="005066E2"/>
    <w:rsid w:val="00506C71"/>
    <w:rsid w:val="00506D5E"/>
    <w:rsid w:val="00510011"/>
    <w:rsid w:val="00512227"/>
    <w:rsid w:val="00514236"/>
    <w:rsid w:val="0052034B"/>
    <w:rsid w:val="00520726"/>
    <w:rsid w:val="0052103E"/>
    <w:rsid w:val="005227A5"/>
    <w:rsid w:val="0052305B"/>
    <w:rsid w:val="005238CB"/>
    <w:rsid w:val="00524B3E"/>
    <w:rsid w:val="005250D1"/>
    <w:rsid w:val="00525198"/>
    <w:rsid w:val="00526095"/>
    <w:rsid w:val="00526BE2"/>
    <w:rsid w:val="00530210"/>
    <w:rsid w:val="00531E59"/>
    <w:rsid w:val="005326B9"/>
    <w:rsid w:val="005328D8"/>
    <w:rsid w:val="00532EE2"/>
    <w:rsid w:val="00537855"/>
    <w:rsid w:val="00540C87"/>
    <w:rsid w:val="00541CF5"/>
    <w:rsid w:val="005432AF"/>
    <w:rsid w:val="00543900"/>
    <w:rsid w:val="00543BC7"/>
    <w:rsid w:val="00543FB9"/>
    <w:rsid w:val="00543FDA"/>
    <w:rsid w:val="005459BE"/>
    <w:rsid w:val="00546FED"/>
    <w:rsid w:val="0055028B"/>
    <w:rsid w:val="00550636"/>
    <w:rsid w:val="00553523"/>
    <w:rsid w:val="00554289"/>
    <w:rsid w:val="00554573"/>
    <w:rsid w:val="00556181"/>
    <w:rsid w:val="00556475"/>
    <w:rsid w:val="00557A3F"/>
    <w:rsid w:val="005602AB"/>
    <w:rsid w:val="00560E33"/>
    <w:rsid w:val="0056122C"/>
    <w:rsid w:val="005617A2"/>
    <w:rsid w:val="00561A99"/>
    <w:rsid w:val="00561D8F"/>
    <w:rsid w:val="005625D5"/>
    <w:rsid w:val="005627D8"/>
    <w:rsid w:val="005628FF"/>
    <w:rsid w:val="005666C2"/>
    <w:rsid w:val="005703EA"/>
    <w:rsid w:val="005715CA"/>
    <w:rsid w:val="005723C0"/>
    <w:rsid w:val="00572718"/>
    <w:rsid w:val="00572855"/>
    <w:rsid w:val="00573258"/>
    <w:rsid w:val="0057347F"/>
    <w:rsid w:val="005824F7"/>
    <w:rsid w:val="00582D65"/>
    <w:rsid w:val="00584839"/>
    <w:rsid w:val="00584BF6"/>
    <w:rsid w:val="005859F1"/>
    <w:rsid w:val="00585CB0"/>
    <w:rsid w:val="005907CE"/>
    <w:rsid w:val="00591B8B"/>
    <w:rsid w:val="00592FEE"/>
    <w:rsid w:val="005936C7"/>
    <w:rsid w:val="00593CAA"/>
    <w:rsid w:val="0059466D"/>
    <w:rsid w:val="005A054C"/>
    <w:rsid w:val="005A0731"/>
    <w:rsid w:val="005A18D1"/>
    <w:rsid w:val="005A3ED0"/>
    <w:rsid w:val="005A77B1"/>
    <w:rsid w:val="005A7E2E"/>
    <w:rsid w:val="005B07B9"/>
    <w:rsid w:val="005B19CE"/>
    <w:rsid w:val="005B1AD8"/>
    <w:rsid w:val="005B20D3"/>
    <w:rsid w:val="005B25E2"/>
    <w:rsid w:val="005B263B"/>
    <w:rsid w:val="005B2779"/>
    <w:rsid w:val="005B31E1"/>
    <w:rsid w:val="005B34A5"/>
    <w:rsid w:val="005B36C3"/>
    <w:rsid w:val="005B3FA0"/>
    <w:rsid w:val="005B5A37"/>
    <w:rsid w:val="005C13AA"/>
    <w:rsid w:val="005C1582"/>
    <w:rsid w:val="005C1864"/>
    <w:rsid w:val="005C2CA0"/>
    <w:rsid w:val="005C33B0"/>
    <w:rsid w:val="005C36A4"/>
    <w:rsid w:val="005C5549"/>
    <w:rsid w:val="005C5BF8"/>
    <w:rsid w:val="005C6B45"/>
    <w:rsid w:val="005C6FC1"/>
    <w:rsid w:val="005D1F11"/>
    <w:rsid w:val="005D2F40"/>
    <w:rsid w:val="005D3526"/>
    <w:rsid w:val="005D41E7"/>
    <w:rsid w:val="005D41F0"/>
    <w:rsid w:val="005D4883"/>
    <w:rsid w:val="005D4F90"/>
    <w:rsid w:val="005D521A"/>
    <w:rsid w:val="005D6030"/>
    <w:rsid w:val="005D6308"/>
    <w:rsid w:val="005D7E94"/>
    <w:rsid w:val="005E0CEE"/>
    <w:rsid w:val="005E74BE"/>
    <w:rsid w:val="005F1D67"/>
    <w:rsid w:val="005F31E2"/>
    <w:rsid w:val="005F50BF"/>
    <w:rsid w:val="005F72CD"/>
    <w:rsid w:val="005F72D0"/>
    <w:rsid w:val="00600162"/>
    <w:rsid w:val="006016EC"/>
    <w:rsid w:val="00601857"/>
    <w:rsid w:val="00601867"/>
    <w:rsid w:val="00601EC5"/>
    <w:rsid w:val="00602D71"/>
    <w:rsid w:val="0060301A"/>
    <w:rsid w:val="00603D57"/>
    <w:rsid w:val="006046A2"/>
    <w:rsid w:val="00605F78"/>
    <w:rsid w:val="006064ED"/>
    <w:rsid w:val="006067C5"/>
    <w:rsid w:val="00607619"/>
    <w:rsid w:val="00607D56"/>
    <w:rsid w:val="00610918"/>
    <w:rsid w:val="00610DE6"/>
    <w:rsid w:val="006117C4"/>
    <w:rsid w:val="00616B43"/>
    <w:rsid w:val="00616CC4"/>
    <w:rsid w:val="00616F58"/>
    <w:rsid w:val="006177CB"/>
    <w:rsid w:val="006179D2"/>
    <w:rsid w:val="00621ACD"/>
    <w:rsid w:val="00625474"/>
    <w:rsid w:val="0062646D"/>
    <w:rsid w:val="006306EE"/>
    <w:rsid w:val="00630C58"/>
    <w:rsid w:val="00630DE5"/>
    <w:rsid w:val="00631004"/>
    <w:rsid w:val="00631311"/>
    <w:rsid w:val="006318F1"/>
    <w:rsid w:val="00631F42"/>
    <w:rsid w:val="00632950"/>
    <w:rsid w:val="00635629"/>
    <w:rsid w:val="00635808"/>
    <w:rsid w:val="00635E30"/>
    <w:rsid w:val="006360C6"/>
    <w:rsid w:val="006400DB"/>
    <w:rsid w:val="006417FB"/>
    <w:rsid w:val="00642A5F"/>
    <w:rsid w:val="00643507"/>
    <w:rsid w:val="0064434D"/>
    <w:rsid w:val="00644927"/>
    <w:rsid w:val="00645110"/>
    <w:rsid w:val="0064541F"/>
    <w:rsid w:val="00645740"/>
    <w:rsid w:val="00651506"/>
    <w:rsid w:val="00651520"/>
    <w:rsid w:val="00651FC5"/>
    <w:rsid w:val="006522E0"/>
    <w:rsid w:val="0065731A"/>
    <w:rsid w:val="00660072"/>
    <w:rsid w:val="00662BD5"/>
    <w:rsid w:val="00662F48"/>
    <w:rsid w:val="00663A66"/>
    <w:rsid w:val="00664237"/>
    <w:rsid w:val="0066435E"/>
    <w:rsid w:val="006649AB"/>
    <w:rsid w:val="00664B46"/>
    <w:rsid w:val="00664DD8"/>
    <w:rsid w:val="0066643B"/>
    <w:rsid w:val="00666584"/>
    <w:rsid w:val="006671D1"/>
    <w:rsid w:val="006672CF"/>
    <w:rsid w:val="00671E7E"/>
    <w:rsid w:val="00672537"/>
    <w:rsid w:val="00673945"/>
    <w:rsid w:val="00674584"/>
    <w:rsid w:val="0068151D"/>
    <w:rsid w:val="006831DF"/>
    <w:rsid w:val="00685532"/>
    <w:rsid w:val="00686BC5"/>
    <w:rsid w:val="00687690"/>
    <w:rsid w:val="0068798A"/>
    <w:rsid w:val="006919AD"/>
    <w:rsid w:val="00691A9B"/>
    <w:rsid w:val="00691C2E"/>
    <w:rsid w:val="00691D0D"/>
    <w:rsid w:val="006920D3"/>
    <w:rsid w:val="006923C7"/>
    <w:rsid w:val="0069343C"/>
    <w:rsid w:val="006936AB"/>
    <w:rsid w:val="00695A4C"/>
    <w:rsid w:val="00696CD5"/>
    <w:rsid w:val="00696E58"/>
    <w:rsid w:val="006974AA"/>
    <w:rsid w:val="006A0CB6"/>
    <w:rsid w:val="006A1F31"/>
    <w:rsid w:val="006A209E"/>
    <w:rsid w:val="006A3B91"/>
    <w:rsid w:val="006A4595"/>
    <w:rsid w:val="006A54C1"/>
    <w:rsid w:val="006A78AE"/>
    <w:rsid w:val="006B0016"/>
    <w:rsid w:val="006B0166"/>
    <w:rsid w:val="006B0505"/>
    <w:rsid w:val="006B067D"/>
    <w:rsid w:val="006B07AF"/>
    <w:rsid w:val="006B0C1B"/>
    <w:rsid w:val="006B233C"/>
    <w:rsid w:val="006B2456"/>
    <w:rsid w:val="006B36D6"/>
    <w:rsid w:val="006B432C"/>
    <w:rsid w:val="006B44EF"/>
    <w:rsid w:val="006B5263"/>
    <w:rsid w:val="006B55BF"/>
    <w:rsid w:val="006B6249"/>
    <w:rsid w:val="006B64ED"/>
    <w:rsid w:val="006B65AE"/>
    <w:rsid w:val="006B6B3A"/>
    <w:rsid w:val="006C0A4E"/>
    <w:rsid w:val="006C0AE8"/>
    <w:rsid w:val="006C0E3F"/>
    <w:rsid w:val="006C25A5"/>
    <w:rsid w:val="006C363F"/>
    <w:rsid w:val="006C3D8C"/>
    <w:rsid w:val="006C4BFF"/>
    <w:rsid w:val="006C5DB3"/>
    <w:rsid w:val="006C70E4"/>
    <w:rsid w:val="006D02A2"/>
    <w:rsid w:val="006D4B10"/>
    <w:rsid w:val="006D4DC2"/>
    <w:rsid w:val="006D59C9"/>
    <w:rsid w:val="006D7D6B"/>
    <w:rsid w:val="006E28B9"/>
    <w:rsid w:val="006E2EC4"/>
    <w:rsid w:val="006E3587"/>
    <w:rsid w:val="006E397D"/>
    <w:rsid w:val="006E4467"/>
    <w:rsid w:val="006E4754"/>
    <w:rsid w:val="006E494E"/>
    <w:rsid w:val="006E4E28"/>
    <w:rsid w:val="006E5B84"/>
    <w:rsid w:val="006E5D6B"/>
    <w:rsid w:val="006E7899"/>
    <w:rsid w:val="006F05DA"/>
    <w:rsid w:val="006F141A"/>
    <w:rsid w:val="006F2089"/>
    <w:rsid w:val="006F2496"/>
    <w:rsid w:val="006F2783"/>
    <w:rsid w:val="006F2980"/>
    <w:rsid w:val="006F2FDA"/>
    <w:rsid w:val="006F34F3"/>
    <w:rsid w:val="006F51FD"/>
    <w:rsid w:val="006F6065"/>
    <w:rsid w:val="006F663B"/>
    <w:rsid w:val="006F6827"/>
    <w:rsid w:val="006F7875"/>
    <w:rsid w:val="00702D64"/>
    <w:rsid w:val="00704993"/>
    <w:rsid w:val="00705265"/>
    <w:rsid w:val="0070689B"/>
    <w:rsid w:val="0070719A"/>
    <w:rsid w:val="00707CAC"/>
    <w:rsid w:val="0071098F"/>
    <w:rsid w:val="007111F5"/>
    <w:rsid w:val="007118AE"/>
    <w:rsid w:val="00712FA0"/>
    <w:rsid w:val="00713369"/>
    <w:rsid w:val="00713462"/>
    <w:rsid w:val="00713979"/>
    <w:rsid w:val="00714727"/>
    <w:rsid w:val="00715D1A"/>
    <w:rsid w:val="00716CD6"/>
    <w:rsid w:val="00716F4A"/>
    <w:rsid w:val="00720538"/>
    <w:rsid w:val="007207D2"/>
    <w:rsid w:val="00721AFA"/>
    <w:rsid w:val="007220D5"/>
    <w:rsid w:val="00723F5D"/>
    <w:rsid w:val="00725051"/>
    <w:rsid w:val="00725F43"/>
    <w:rsid w:val="00726E20"/>
    <w:rsid w:val="007275AA"/>
    <w:rsid w:val="00730028"/>
    <w:rsid w:val="00731965"/>
    <w:rsid w:val="00732F6A"/>
    <w:rsid w:val="00733CAE"/>
    <w:rsid w:val="007366A2"/>
    <w:rsid w:val="00740BF5"/>
    <w:rsid w:val="00741331"/>
    <w:rsid w:val="00741A89"/>
    <w:rsid w:val="007421F1"/>
    <w:rsid w:val="00742471"/>
    <w:rsid w:val="00743668"/>
    <w:rsid w:val="00743779"/>
    <w:rsid w:val="00743979"/>
    <w:rsid w:val="00744206"/>
    <w:rsid w:val="0074498C"/>
    <w:rsid w:val="00747248"/>
    <w:rsid w:val="00751713"/>
    <w:rsid w:val="00751ECE"/>
    <w:rsid w:val="00752F7F"/>
    <w:rsid w:val="007538D0"/>
    <w:rsid w:val="00754DA4"/>
    <w:rsid w:val="007564A3"/>
    <w:rsid w:val="0076137C"/>
    <w:rsid w:val="007616BC"/>
    <w:rsid w:val="00761A4A"/>
    <w:rsid w:val="00761F77"/>
    <w:rsid w:val="00762757"/>
    <w:rsid w:val="00762828"/>
    <w:rsid w:val="00764498"/>
    <w:rsid w:val="00765315"/>
    <w:rsid w:val="007668F6"/>
    <w:rsid w:val="00771AF0"/>
    <w:rsid w:val="00772D20"/>
    <w:rsid w:val="00773519"/>
    <w:rsid w:val="00773A95"/>
    <w:rsid w:val="007749E3"/>
    <w:rsid w:val="00774D8F"/>
    <w:rsid w:val="00775CA1"/>
    <w:rsid w:val="0077670A"/>
    <w:rsid w:val="00776AC7"/>
    <w:rsid w:val="00776B2D"/>
    <w:rsid w:val="00780B7D"/>
    <w:rsid w:val="00781CBD"/>
    <w:rsid w:val="00782521"/>
    <w:rsid w:val="0078264F"/>
    <w:rsid w:val="00783330"/>
    <w:rsid w:val="0078430D"/>
    <w:rsid w:val="00784A24"/>
    <w:rsid w:val="00786781"/>
    <w:rsid w:val="00790409"/>
    <w:rsid w:val="00791C6E"/>
    <w:rsid w:val="00792345"/>
    <w:rsid w:val="00792529"/>
    <w:rsid w:val="007934B6"/>
    <w:rsid w:val="007939CD"/>
    <w:rsid w:val="00794777"/>
    <w:rsid w:val="00794A76"/>
    <w:rsid w:val="00795ABE"/>
    <w:rsid w:val="007965A1"/>
    <w:rsid w:val="007966BA"/>
    <w:rsid w:val="00796822"/>
    <w:rsid w:val="0079689C"/>
    <w:rsid w:val="007A198D"/>
    <w:rsid w:val="007A2DE4"/>
    <w:rsid w:val="007A473A"/>
    <w:rsid w:val="007A65B6"/>
    <w:rsid w:val="007B0B91"/>
    <w:rsid w:val="007B1113"/>
    <w:rsid w:val="007B24AC"/>
    <w:rsid w:val="007B3D85"/>
    <w:rsid w:val="007B4F69"/>
    <w:rsid w:val="007B5365"/>
    <w:rsid w:val="007B7CAE"/>
    <w:rsid w:val="007C0063"/>
    <w:rsid w:val="007C1097"/>
    <w:rsid w:val="007C1A2D"/>
    <w:rsid w:val="007C4D15"/>
    <w:rsid w:val="007C5274"/>
    <w:rsid w:val="007C6B33"/>
    <w:rsid w:val="007C7473"/>
    <w:rsid w:val="007D0C65"/>
    <w:rsid w:val="007D1A02"/>
    <w:rsid w:val="007D2219"/>
    <w:rsid w:val="007D24D2"/>
    <w:rsid w:val="007D3055"/>
    <w:rsid w:val="007D3663"/>
    <w:rsid w:val="007D3AF5"/>
    <w:rsid w:val="007D5B8C"/>
    <w:rsid w:val="007D5D63"/>
    <w:rsid w:val="007D7DC4"/>
    <w:rsid w:val="007E0756"/>
    <w:rsid w:val="007E0D49"/>
    <w:rsid w:val="007E2DFE"/>
    <w:rsid w:val="007E5AFD"/>
    <w:rsid w:val="007E7556"/>
    <w:rsid w:val="007F0226"/>
    <w:rsid w:val="007F07DA"/>
    <w:rsid w:val="007F1FF1"/>
    <w:rsid w:val="007F3903"/>
    <w:rsid w:val="007F3D4E"/>
    <w:rsid w:val="007F4CB3"/>
    <w:rsid w:val="007F5731"/>
    <w:rsid w:val="007F5DD4"/>
    <w:rsid w:val="007F7B3B"/>
    <w:rsid w:val="00800DFF"/>
    <w:rsid w:val="008013F1"/>
    <w:rsid w:val="008020EE"/>
    <w:rsid w:val="00806CE7"/>
    <w:rsid w:val="00806F6D"/>
    <w:rsid w:val="008070C9"/>
    <w:rsid w:val="008128A1"/>
    <w:rsid w:val="008128EB"/>
    <w:rsid w:val="008129D2"/>
    <w:rsid w:val="008149B0"/>
    <w:rsid w:val="00816109"/>
    <w:rsid w:val="008174EF"/>
    <w:rsid w:val="00822C83"/>
    <w:rsid w:val="00823A7F"/>
    <w:rsid w:val="00823A93"/>
    <w:rsid w:val="00823CA9"/>
    <w:rsid w:val="0082712A"/>
    <w:rsid w:val="00827575"/>
    <w:rsid w:val="008314F6"/>
    <w:rsid w:val="00831830"/>
    <w:rsid w:val="008328AE"/>
    <w:rsid w:val="008347D5"/>
    <w:rsid w:val="008355E2"/>
    <w:rsid w:val="00835F95"/>
    <w:rsid w:val="008365EB"/>
    <w:rsid w:val="00836B33"/>
    <w:rsid w:val="00837EA2"/>
    <w:rsid w:val="00841A82"/>
    <w:rsid w:val="008448C0"/>
    <w:rsid w:val="008451C5"/>
    <w:rsid w:val="00845412"/>
    <w:rsid w:val="0084617C"/>
    <w:rsid w:val="0084720D"/>
    <w:rsid w:val="00847A54"/>
    <w:rsid w:val="0085037E"/>
    <w:rsid w:val="00850380"/>
    <w:rsid w:val="0085128C"/>
    <w:rsid w:val="00852352"/>
    <w:rsid w:val="008524C3"/>
    <w:rsid w:val="00853827"/>
    <w:rsid w:val="00853F53"/>
    <w:rsid w:val="00854183"/>
    <w:rsid w:val="00857136"/>
    <w:rsid w:val="00857C02"/>
    <w:rsid w:val="0086001A"/>
    <w:rsid w:val="008608F8"/>
    <w:rsid w:val="00860AA7"/>
    <w:rsid w:val="008622E9"/>
    <w:rsid w:val="0086273A"/>
    <w:rsid w:val="00864210"/>
    <w:rsid w:val="008651BD"/>
    <w:rsid w:val="008726A4"/>
    <w:rsid w:val="00873CB4"/>
    <w:rsid w:val="00874BE2"/>
    <w:rsid w:val="00874D5F"/>
    <w:rsid w:val="00883C55"/>
    <w:rsid w:val="00884A6C"/>
    <w:rsid w:val="00884C49"/>
    <w:rsid w:val="00887CAF"/>
    <w:rsid w:val="0089131B"/>
    <w:rsid w:val="008929D1"/>
    <w:rsid w:val="00893738"/>
    <w:rsid w:val="008938AF"/>
    <w:rsid w:val="0089445D"/>
    <w:rsid w:val="00894F32"/>
    <w:rsid w:val="0089673B"/>
    <w:rsid w:val="0089698E"/>
    <w:rsid w:val="00897AFC"/>
    <w:rsid w:val="008A0C2E"/>
    <w:rsid w:val="008A29BD"/>
    <w:rsid w:val="008A2D29"/>
    <w:rsid w:val="008A4B5A"/>
    <w:rsid w:val="008A5816"/>
    <w:rsid w:val="008B0566"/>
    <w:rsid w:val="008B0959"/>
    <w:rsid w:val="008B23F0"/>
    <w:rsid w:val="008B2A75"/>
    <w:rsid w:val="008B4E67"/>
    <w:rsid w:val="008B599E"/>
    <w:rsid w:val="008C0C5B"/>
    <w:rsid w:val="008C0D04"/>
    <w:rsid w:val="008C122F"/>
    <w:rsid w:val="008C2FFA"/>
    <w:rsid w:val="008C3EEA"/>
    <w:rsid w:val="008C4F29"/>
    <w:rsid w:val="008C7141"/>
    <w:rsid w:val="008D0CD3"/>
    <w:rsid w:val="008D17CF"/>
    <w:rsid w:val="008D3473"/>
    <w:rsid w:val="008D58F9"/>
    <w:rsid w:val="008D60FF"/>
    <w:rsid w:val="008D6B08"/>
    <w:rsid w:val="008E1319"/>
    <w:rsid w:val="008E2CD0"/>
    <w:rsid w:val="008E349C"/>
    <w:rsid w:val="008E3578"/>
    <w:rsid w:val="008E49F1"/>
    <w:rsid w:val="008E5163"/>
    <w:rsid w:val="008E587C"/>
    <w:rsid w:val="008E6610"/>
    <w:rsid w:val="008E7ACD"/>
    <w:rsid w:val="008F090F"/>
    <w:rsid w:val="008F0DE8"/>
    <w:rsid w:val="008F0EFE"/>
    <w:rsid w:val="008F13BB"/>
    <w:rsid w:val="008F1748"/>
    <w:rsid w:val="008F19DD"/>
    <w:rsid w:val="008F27DA"/>
    <w:rsid w:val="008F41DE"/>
    <w:rsid w:val="008F4C7A"/>
    <w:rsid w:val="008F56F5"/>
    <w:rsid w:val="008F5F9E"/>
    <w:rsid w:val="008F6586"/>
    <w:rsid w:val="008F7182"/>
    <w:rsid w:val="009007A5"/>
    <w:rsid w:val="009008AF"/>
    <w:rsid w:val="0090118B"/>
    <w:rsid w:val="00901938"/>
    <w:rsid w:val="00901F91"/>
    <w:rsid w:val="00902409"/>
    <w:rsid w:val="00904CAC"/>
    <w:rsid w:val="00904FCC"/>
    <w:rsid w:val="00905411"/>
    <w:rsid w:val="009075E8"/>
    <w:rsid w:val="0091059A"/>
    <w:rsid w:val="00911ADE"/>
    <w:rsid w:val="00911BC7"/>
    <w:rsid w:val="009123E2"/>
    <w:rsid w:val="00913306"/>
    <w:rsid w:val="009141C4"/>
    <w:rsid w:val="00916CEE"/>
    <w:rsid w:val="009178A4"/>
    <w:rsid w:val="00920424"/>
    <w:rsid w:val="00920D90"/>
    <w:rsid w:val="00921681"/>
    <w:rsid w:val="0092275C"/>
    <w:rsid w:val="00923341"/>
    <w:rsid w:val="00924AC3"/>
    <w:rsid w:val="00925DC7"/>
    <w:rsid w:val="00926282"/>
    <w:rsid w:val="009268E1"/>
    <w:rsid w:val="00927E2A"/>
    <w:rsid w:val="00932529"/>
    <w:rsid w:val="00933333"/>
    <w:rsid w:val="00935760"/>
    <w:rsid w:val="009359EB"/>
    <w:rsid w:val="009362B5"/>
    <w:rsid w:val="0094022D"/>
    <w:rsid w:val="00940484"/>
    <w:rsid w:val="00940E88"/>
    <w:rsid w:val="009416B5"/>
    <w:rsid w:val="00941878"/>
    <w:rsid w:val="00941A1D"/>
    <w:rsid w:val="00941A35"/>
    <w:rsid w:val="00943CEB"/>
    <w:rsid w:val="009520BB"/>
    <w:rsid w:val="00952D98"/>
    <w:rsid w:val="00954978"/>
    <w:rsid w:val="00954C12"/>
    <w:rsid w:val="00957807"/>
    <w:rsid w:val="0096247A"/>
    <w:rsid w:val="00962AC0"/>
    <w:rsid w:val="009635F9"/>
    <w:rsid w:val="00963700"/>
    <w:rsid w:val="0096399A"/>
    <w:rsid w:val="00963CA9"/>
    <w:rsid w:val="0096453E"/>
    <w:rsid w:val="00965D98"/>
    <w:rsid w:val="00966645"/>
    <w:rsid w:val="00966D5E"/>
    <w:rsid w:val="00966E60"/>
    <w:rsid w:val="009674DC"/>
    <w:rsid w:val="00970247"/>
    <w:rsid w:val="009726B7"/>
    <w:rsid w:val="009732E6"/>
    <w:rsid w:val="00973B9E"/>
    <w:rsid w:val="009741B3"/>
    <w:rsid w:val="00974471"/>
    <w:rsid w:val="0098167A"/>
    <w:rsid w:val="00981CF7"/>
    <w:rsid w:val="0098249B"/>
    <w:rsid w:val="00982784"/>
    <w:rsid w:val="009851D5"/>
    <w:rsid w:val="009854F8"/>
    <w:rsid w:val="009874F6"/>
    <w:rsid w:val="00987944"/>
    <w:rsid w:val="00990665"/>
    <w:rsid w:val="00990CDB"/>
    <w:rsid w:val="00991755"/>
    <w:rsid w:val="00994C7A"/>
    <w:rsid w:val="00996BA4"/>
    <w:rsid w:val="009A0B84"/>
    <w:rsid w:val="009A157D"/>
    <w:rsid w:val="009A176D"/>
    <w:rsid w:val="009A1E61"/>
    <w:rsid w:val="009A389C"/>
    <w:rsid w:val="009A3AB7"/>
    <w:rsid w:val="009A43E0"/>
    <w:rsid w:val="009A57C0"/>
    <w:rsid w:val="009A6836"/>
    <w:rsid w:val="009B3C38"/>
    <w:rsid w:val="009B4DB7"/>
    <w:rsid w:val="009B561E"/>
    <w:rsid w:val="009B724D"/>
    <w:rsid w:val="009B7EC8"/>
    <w:rsid w:val="009C1496"/>
    <w:rsid w:val="009C16D7"/>
    <w:rsid w:val="009C3764"/>
    <w:rsid w:val="009C3770"/>
    <w:rsid w:val="009C4A32"/>
    <w:rsid w:val="009C6168"/>
    <w:rsid w:val="009C73BE"/>
    <w:rsid w:val="009D0734"/>
    <w:rsid w:val="009D152B"/>
    <w:rsid w:val="009D1A96"/>
    <w:rsid w:val="009D3804"/>
    <w:rsid w:val="009D4307"/>
    <w:rsid w:val="009D442D"/>
    <w:rsid w:val="009D5D8B"/>
    <w:rsid w:val="009D6355"/>
    <w:rsid w:val="009D6AE5"/>
    <w:rsid w:val="009E0C72"/>
    <w:rsid w:val="009E1100"/>
    <w:rsid w:val="009E1BBD"/>
    <w:rsid w:val="009E3C47"/>
    <w:rsid w:val="009E471C"/>
    <w:rsid w:val="009E4DC5"/>
    <w:rsid w:val="009E4E15"/>
    <w:rsid w:val="009E5638"/>
    <w:rsid w:val="009E6399"/>
    <w:rsid w:val="009E6CCB"/>
    <w:rsid w:val="009E780C"/>
    <w:rsid w:val="009E7EE7"/>
    <w:rsid w:val="009F00E0"/>
    <w:rsid w:val="009F0B51"/>
    <w:rsid w:val="009F19E2"/>
    <w:rsid w:val="009F5504"/>
    <w:rsid w:val="009F55B6"/>
    <w:rsid w:val="009F59A4"/>
    <w:rsid w:val="009F6DE6"/>
    <w:rsid w:val="009F7D7A"/>
    <w:rsid w:val="00A016EC"/>
    <w:rsid w:val="00A01892"/>
    <w:rsid w:val="00A058FF"/>
    <w:rsid w:val="00A0618F"/>
    <w:rsid w:val="00A07A53"/>
    <w:rsid w:val="00A105C6"/>
    <w:rsid w:val="00A12442"/>
    <w:rsid w:val="00A146F5"/>
    <w:rsid w:val="00A15926"/>
    <w:rsid w:val="00A16601"/>
    <w:rsid w:val="00A17D92"/>
    <w:rsid w:val="00A205B7"/>
    <w:rsid w:val="00A21FFC"/>
    <w:rsid w:val="00A22979"/>
    <w:rsid w:val="00A22E12"/>
    <w:rsid w:val="00A23875"/>
    <w:rsid w:val="00A24933"/>
    <w:rsid w:val="00A25CE5"/>
    <w:rsid w:val="00A278FA"/>
    <w:rsid w:val="00A27A52"/>
    <w:rsid w:val="00A30CDC"/>
    <w:rsid w:val="00A33072"/>
    <w:rsid w:val="00A3348E"/>
    <w:rsid w:val="00A33CD8"/>
    <w:rsid w:val="00A3411A"/>
    <w:rsid w:val="00A355B4"/>
    <w:rsid w:val="00A361ED"/>
    <w:rsid w:val="00A372AF"/>
    <w:rsid w:val="00A37341"/>
    <w:rsid w:val="00A3795C"/>
    <w:rsid w:val="00A379DE"/>
    <w:rsid w:val="00A43400"/>
    <w:rsid w:val="00A4342B"/>
    <w:rsid w:val="00A46286"/>
    <w:rsid w:val="00A46B04"/>
    <w:rsid w:val="00A46D08"/>
    <w:rsid w:val="00A47300"/>
    <w:rsid w:val="00A5069A"/>
    <w:rsid w:val="00A52CAC"/>
    <w:rsid w:val="00A5329B"/>
    <w:rsid w:val="00A53306"/>
    <w:rsid w:val="00A535B4"/>
    <w:rsid w:val="00A559FD"/>
    <w:rsid w:val="00A55D06"/>
    <w:rsid w:val="00A563F8"/>
    <w:rsid w:val="00A57535"/>
    <w:rsid w:val="00A659F5"/>
    <w:rsid w:val="00A6649F"/>
    <w:rsid w:val="00A66D28"/>
    <w:rsid w:val="00A70B14"/>
    <w:rsid w:val="00A70F14"/>
    <w:rsid w:val="00A71D2B"/>
    <w:rsid w:val="00A72A03"/>
    <w:rsid w:val="00A7336E"/>
    <w:rsid w:val="00A7395F"/>
    <w:rsid w:val="00A7440D"/>
    <w:rsid w:val="00A7469E"/>
    <w:rsid w:val="00A7662B"/>
    <w:rsid w:val="00A77136"/>
    <w:rsid w:val="00A80426"/>
    <w:rsid w:val="00A83F50"/>
    <w:rsid w:val="00A8457B"/>
    <w:rsid w:val="00A87137"/>
    <w:rsid w:val="00A877D2"/>
    <w:rsid w:val="00A87D69"/>
    <w:rsid w:val="00A87ED7"/>
    <w:rsid w:val="00A901B1"/>
    <w:rsid w:val="00A903B5"/>
    <w:rsid w:val="00A9059A"/>
    <w:rsid w:val="00A90E7D"/>
    <w:rsid w:val="00A9523B"/>
    <w:rsid w:val="00A954C5"/>
    <w:rsid w:val="00A95629"/>
    <w:rsid w:val="00A957C2"/>
    <w:rsid w:val="00A9601A"/>
    <w:rsid w:val="00A97691"/>
    <w:rsid w:val="00AA04D9"/>
    <w:rsid w:val="00AA1CDA"/>
    <w:rsid w:val="00AA25CA"/>
    <w:rsid w:val="00AA292C"/>
    <w:rsid w:val="00AA3C93"/>
    <w:rsid w:val="00AA5029"/>
    <w:rsid w:val="00AA5B43"/>
    <w:rsid w:val="00AA62B8"/>
    <w:rsid w:val="00AB0B8B"/>
    <w:rsid w:val="00AB1296"/>
    <w:rsid w:val="00AB1B53"/>
    <w:rsid w:val="00AB1EE0"/>
    <w:rsid w:val="00AB32AD"/>
    <w:rsid w:val="00AB419E"/>
    <w:rsid w:val="00AB4FC8"/>
    <w:rsid w:val="00AB506A"/>
    <w:rsid w:val="00AB5632"/>
    <w:rsid w:val="00AB6749"/>
    <w:rsid w:val="00AB6F10"/>
    <w:rsid w:val="00AC386B"/>
    <w:rsid w:val="00AC3CE2"/>
    <w:rsid w:val="00AC5EF5"/>
    <w:rsid w:val="00AC7694"/>
    <w:rsid w:val="00AC7A42"/>
    <w:rsid w:val="00AD0032"/>
    <w:rsid w:val="00AD1216"/>
    <w:rsid w:val="00AD13B6"/>
    <w:rsid w:val="00AD1A86"/>
    <w:rsid w:val="00AD1D6B"/>
    <w:rsid w:val="00AD1F47"/>
    <w:rsid w:val="00AD31EE"/>
    <w:rsid w:val="00AD3214"/>
    <w:rsid w:val="00AD348B"/>
    <w:rsid w:val="00AD5567"/>
    <w:rsid w:val="00AD6340"/>
    <w:rsid w:val="00AD6BD8"/>
    <w:rsid w:val="00AD6DE5"/>
    <w:rsid w:val="00AD740F"/>
    <w:rsid w:val="00AE26D3"/>
    <w:rsid w:val="00AE2FB4"/>
    <w:rsid w:val="00AE3776"/>
    <w:rsid w:val="00AE4840"/>
    <w:rsid w:val="00AE4977"/>
    <w:rsid w:val="00AE5575"/>
    <w:rsid w:val="00AE6BC1"/>
    <w:rsid w:val="00AE7CD7"/>
    <w:rsid w:val="00AE7E88"/>
    <w:rsid w:val="00AF0B30"/>
    <w:rsid w:val="00AF0F97"/>
    <w:rsid w:val="00AF1C76"/>
    <w:rsid w:val="00AF58DF"/>
    <w:rsid w:val="00AF5BAD"/>
    <w:rsid w:val="00AF6C6F"/>
    <w:rsid w:val="00AF6C89"/>
    <w:rsid w:val="00AF77D8"/>
    <w:rsid w:val="00B009B1"/>
    <w:rsid w:val="00B01D6B"/>
    <w:rsid w:val="00B026F0"/>
    <w:rsid w:val="00B0274D"/>
    <w:rsid w:val="00B02A2D"/>
    <w:rsid w:val="00B040F9"/>
    <w:rsid w:val="00B04185"/>
    <w:rsid w:val="00B041D1"/>
    <w:rsid w:val="00B05AD3"/>
    <w:rsid w:val="00B0602F"/>
    <w:rsid w:val="00B06122"/>
    <w:rsid w:val="00B06161"/>
    <w:rsid w:val="00B06D9D"/>
    <w:rsid w:val="00B0716A"/>
    <w:rsid w:val="00B0748D"/>
    <w:rsid w:val="00B07EB8"/>
    <w:rsid w:val="00B14082"/>
    <w:rsid w:val="00B168A4"/>
    <w:rsid w:val="00B17EFC"/>
    <w:rsid w:val="00B20E4C"/>
    <w:rsid w:val="00B219A0"/>
    <w:rsid w:val="00B226A8"/>
    <w:rsid w:val="00B22BF3"/>
    <w:rsid w:val="00B24219"/>
    <w:rsid w:val="00B24FF1"/>
    <w:rsid w:val="00B25222"/>
    <w:rsid w:val="00B31888"/>
    <w:rsid w:val="00B318C6"/>
    <w:rsid w:val="00B31D79"/>
    <w:rsid w:val="00B32202"/>
    <w:rsid w:val="00B34933"/>
    <w:rsid w:val="00B400B0"/>
    <w:rsid w:val="00B40D90"/>
    <w:rsid w:val="00B41433"/>
    <w:rsid w:val="00B431AD"/>
    <w:rsid w:val="00B50782"/>
    <w:rsid w:val="00B513CB"/>
    <w:rsid w:val="00B532DB"/>
    <w:rsid w:val="00B53735"/>
    <w:rsid w:val="00B54974"/>
    <w:rsid w:val="00B55245"/>
    <w:rsid w:val="00B554C2"/>
    <w:rsid w:val="00B560A3"/>
    <w:rsid w:val="00B575F3"/>
    <w:rsid w:val="00B57614"/>
    <w:rsid w:val="00B61351"/>
    <w:rsid w:val="00B63FF9"/>
    <w:rsid w:val="00B646EF"/>
    <w:rsid w:val="00B64928"/>
    <w:rsid w:val="00B67126"/>
    <w:rsid w:val="00B67B68"/>
    <w:rsid w:val="00B67F4D"/>
    <w:rsid w:val="00B71075"/>
    <w:rsid w:val="00B725D1"/>
    <w:rsid w:val="00B7341F"/>
    <w:rsid w:val="00B73685"/>
    <w:rsid w:val="00B74B9B"/>
    <w:rsid w:val="00B77996"/>
    <w:rsid w:val="00B77AC5"/>
    <w:rsid w:val="00B80348"/>
    <w:rsid w:val="00B80EF4"/>
    <w:rsid w:val="00B81BE7"/>
    <w:rsid w:val="00B81F39"/>
    <w:rsid w:val="00B82DD5"/>
    <w:rsid w:val="00B848CC"/>
    <w:rsid w:val="00B85E9F"/>
    <w:rsid w:val="00B9005E"/>
    <w:rsid w:val="00B9306E"/>
    <w:rsid w:val="00B93127"/>
    <w:rsid w:val="00B934C6"/>
    <w:rsid w:val="00B9429D"/>
    <w:rsid w:val="00B966EE"/>
    <w:rsid w:val="00B971C2"/>
    <w:rsid w:val="00B972EC"/>
    <w:rsid w:val="00B97BB7"/>
    <w:rsid w:val="00BA002D"/>
    <w:rsid w:val="00BA0FB6"/>
    <w:rsid w:val="00BA128D"/>
    <w:rsid w:val="00BA24F3"/>
    <w:rsid w:val="00BA374F"/>
    <w:rsid w:val="00BA3A2A"/>
    <w:rsid w:val="00BA3F33"/>
    <w:rsid w:val="00BA47EE"/>
    <w:rsid w:val="00BA5DF8"/>
    <w:rsid w:val="00BA778A"/>
    <w:rsid w:val="00BA79D1"/>
    <w:rsid w:val="00BB0521"/>
    <w:rsid w:val="00BB08E0"/>
    <w:rsid w:val="00BB0EC8"/>
    <w:rsid w:val="00BB1A01"/>
    <w:rsid w:val="00BB21E3"/>
    <w:rsid w:val="00BB24BF"/>
    <w:rsid w:val="00BB26CE"/>
    <w:rsid w:val="00BB3C26"/>
    <w:rsid w:val="00BB635A"/>
    <w:rsid w:val="00BB69A4"/>
    <w:rsid w:val="00BB6BD1"/>
    <w:rsid w:val="00BC2A22"/>
    <w:rsid w:val="00BC2E67"/>
    <w:rsid w:val="00BC4839"/>
    <w:rsid w:val="00BC60F7"/>
    <w:rsid w:val="00BC6C28"/>
    <w:rsid w:val="00BD2A49"/>
    <w:rsid w:val="00BD2C1B"/>
    <w:rsid w:val="00BD2FFE"/>
    <w:rsid w:val="00BD3265"/>
    <w:rsid w:val="00BD4615"/>
    <w:rsid w:val="00BD4825"/>
    <w:rsid w:val="00BD4A40"/>
    <w:rsid w:val="00BE0AE1"/>
    <w:rsid w:val="00BE2519"/>
    <w:rsid w:val="00BE2660"/>
    <w:rsid w:val="00BE2F6F"/>
    <w:rsid w:val="00BE3B4D"/>
    <w:rsid w:val="00BE53CA"/>
    <w:rsid w:val="00BE6C4E"/>
    <w:rsid w:val="00BE6CDA"/>
    <w:rsid w:val="00BF1472"/>
    <w:rsid w:val="00BF42C7"/>
    <w:rsid w:val="00BF5964"/>
    <w:rsid w:val="00BF5F32"/>
    <w:rsid w:val="00BF65EC"/>
    <w:rsid w:val="00BF79C1"/>
    <w:rsid w:val="00BF7A87"/>
    <w:rsid w:val="00C002B7"/>
    <w:rsid w:val="00C004D0"/>
    <w:rsid w:val="00C00E3A"/>
    <w:rsid w:val="00C012A7"/>
    <w:rsid w:val="00C0157D"/>
    <w:rsid w:val="00C01881"/>
    <w:rsid w:val="00C01E97"/>
    <w:rsid w:val="00C02721"/>
    <w:rsid w:val="00C02E87"/>
    <w:rsid w:val="00C04DE6"/>
    <w:rsid w:val="00C05306"/>
    <w:rsid w:val="00C05CA8"/>
    <w:rsid w:val="00C12D5F"/>
    <w:rsid w:val="00C13024"/>
    <w:rsid w:val="00C14E83"/>
    <w:rsid w:val="00C15C48"/>
    <w:rsid w:val="00C16A4F"/>
    <w:rsid w:val="00C1764E"/>
    <w:rsid w:val="00C202A0"/>
    <w:rsid w:val="00C20340"/>
    <w:rsid w:val="00C20A46"/>
    <w:rsid w:val="00C232CD"/>
    <w:rsid w:val="00C23672"/>
    <w:rsid w:val="00C250E6"/>
    <w:rsid w:val="00C25A76"/>
    <w:rsid w:val="00C269B0"/>
    <w:rsid w:val="00C26B42"/>
    <w:rsid w:val="00C27D0F"/>
    <w:rsid w:val="00C33609"/>
    <w:rsid w:val="00C3672B"/>
    <w:rsid w:val="00C36A02"/>
    <w:rsid w:val="00C36B39"/>
    <w:rsid w:val="00C40FE2"/>
    <w:rsid w:val="00C41BAB"/>
    <w:rsid w:val="00C44674"/>
    <w:rsid w:val="00C45781"/>
    <w:rsid w:val="00C46E92"/>
    <w:rsid w:val="00C47084"/>
    <w:rsid w:val="00C47110"/>
    <w:rsid w:val="00C472FB"/>
    <w:rsid w:val="00C47CC0"/>
    <w:rsid w:val="00C506F2"/>
    <w:rsid w:val="00C50E8C"/>
    <w:rsid w:val="00C537EC"/>
    <w:rsid w:val="00C546A3"/>
    <w:rsid w:val="00C553AC"/>
    <w:rsid w:val="00C56945"/>
    <w:rsid w:val="00C57090"/>
    <w:rsid w:val="00C57F53"/>
    <w:rsid w:val="00C6011D"/>
    <w:rsid w:val="00C603C9"/>
    <w:rsid w:val="00C61A47"/>
    <w:rsid w:val="00C624A3"/>
    <w:rsid w:val="00C6281C"/>
    <w:rsid w:val="00C62D73"/>
    <w:rsid w:val="00C62EE5"/>
    <w:rsid w:val="00C66128"/>
    <w:rsid w:val="00C668A1"/>
    <w:rsid w:val="00C66E09"/>
    <w:rsid w:val="00C71E40"/>
    <w:rsid w:val="00C73948"/>
    <w:rsid w:val="00C76101"/>
    <w:rsid w:val="00C763FD"/>
    <w:rsid w:val="00C77180"/>
    <w:rsid w:val="00C80169"/>
    <w:rsid w:val="00C81DFF"/>
    <w:rsid w:val="00C82916"/>
    <w:rsid w:val="00C832B8"/>
    <w:rsid w:val="00C8353E"/>
    <w:rsid w:val="00C84617"/>
    <w:rsid w:val="00C84780"/>
    <w:rsid w:val="00C84DC8"/>
    <w:rsid w:val="00C86293"/>
    <w:rsid w:val="00C86564"/>
    <w:rsid w:val="00C908D9"/>
    <w:rsid w:val="00C91160"/>
    <w:rsid w:val="00C9223A"/>
    <w:rsid w:val="00C926D7"/>
    <w:rsid w:val="00C948CB"/>
    <w:rsid w:val="00C95ABF"/>
    <w:rsid w:val="00C97487"/>
    <w:rsid w:val="00CA0791"/>
    <w:rsid w:val="00CA1B96"/>
    <w:rsid w:val="00CA58E5"/>
    <w:rsid w:val="00CA6215"/>
    <w:rsid w:val="00CA79B0"/>
    <w:rsid w:val="00CA7F95"/>
    <w:rsid w:val="00CB03EE"/>
    <w:rsid w:val="00CB12AB"/>
    <w:rsid w:val="00CB1496"/>
    <w:rsid w:val="00CB1992"/>
    <w:rsid w:val="00CB3D90"/>
    <w:rsid w:val="00CB4ED1"/>
    <w:rsid w:val="00CB5FDC"/>
    <w:rsid w:val="00CB652B"/>
    <w:rsid w:val="00CB661B"/>
    <w:rsid w:val="00CB72B8"/>
    <w:rsid w:val="00CB7444"/>
    <w:rsid w:val="00CB7D8B"/>
    <w:rsid w:val="00CB7FE8"/>
    <w:rsid w:val="00CC06E8"/>
    <w:rsid w:val="00CC0C02"/>
    <w:rsid w:val="00CC1B33"/>
    <w:rsid w:val="00CC29DA"/>
    <w:rsid w:val="00CC4378"/>
    <w:rsid w:val="00CC5FCB"/>
    <w:rsid w:val="00CC6F7B"/>
    <w:rsid w:val="00CC7DBA"/>
    <w:rsid w:val="00CD1276"/>
    <w:rsid w:val="00CD1C69"/>
    <w:rsid w:val="00CD277F"/>
    <w:rsid w:val="00CD3283"/>
    <w:rsid w:val="00CD3CF1"/>
    <w:rsid w:val="00CD4F5D"/>
    <w:rsid w:val="00CD5326"/>
    <w:rsid w:val="00CD54E7"/>
    <w:rsid w:val="00CD559D"/>
    <w:rsid w:val="00CE0466"/>
    <w:rsid w:val="00CE0A5A"/>
    <w:rsid w:val="00CE359C"/>
    <w:rsid w:val="00CE47F8"/>
    <w:rsid w:val="00CE4C6B"/>
    <w:rsid w:val="00CE500B"/>
    <w:rsid w:val="00CE69BE"/>
    <w:rsid w:val="00CE705A"/>
    <w:rsid w:val="00CF0F84"/>
    <w:rsid w:val="00CF0FD7"/>
    <w:rsid w:val="00CF197E"/>
    <w:rsid w:val="00CF1B8B"/>
    <w:rsid w:val="00CF2409"/>
    <w:rsid w:val="00CF2E10"/>
    <w:rsid w:val="00CF59BD"/>
    <w:rsid w:val="00CF6D81"/>
    <w:rsid w:val="00CF782E"/>
    <w:rsid w:val="00D001F8"/>
    <w:rsid w:val="00D004C1"/>
    <w:rsid w:val="00D00FC8"/>
    <w:rsid w:val="00D04625"/>
    <w:rsid w:val="00D0584C"/>
    <w:rsid w:val="00D05AEF"/>
    <w:rsid w:val="00D10BDA"/>
    <w:rsid w:val="00D119E0"/>
    <w:rsid w:val="00D12977"/>
    <w:rsid w:val="00D133A4"/>
    <w:rsid w:val="00D1690E"/>
    <w:rsid w:val="00D205D1"/>
    <w:rsid w:val="00D21322"/>
    <w:rsid w:val="00D21B00"/>
    <w:rsid w:val="00D21F7B"/>
    <w:rsid w:val="00D228BD"/>
    <w:rsid w:val="00D2379B"/>
    <w:rsid w:val="00D24416"/>
    <w:rsid w:val="00D24F83"/>
    <w:rsid w:val="00D2598A"/>
    <w:rsid w:val="00D25EAB"/>
    <w:rsid w:val="00D26664"/>
    <w:rsid w:val="00D27C1F"/>
    <w:rsid w:val="00D27C9E"/>
    <w:rsid w:val="00D27D57"/>
    <w:rsid w:val="00D31E4F"/>
    <w:rsid w:val="00D327AF"/>
    <w:rsid w:val="00D327F1"/>
    <w:rsid w:val="00D33343"/>
    <w:rsid w:val="00D3449D"/>
    <w:rsid w:val="00D34808"/>
    <w:rsid w:val="00D34D06"/>
    <w:rsid w:val="00D34F80"/>
    <w:rsid w:val="00D3583B"/>
    <w:rsid w:val="00D35DDE"/>
    <w:rsid w:val="00D3641B"/>
    <w:rsid w:val="00D3691B"/>
    <w:rsid w:val="00D36DA4"/>
    <w:rsid w:val="00D4044E"/>
    <w:rsid w:val="00D4120D"/>
    <w:rsid w:val="00D4162D"/>
    <w:rsid w:val="00D41CA2"/>
    <w:rsid w:val="00D41F78"/>
    <w:rsid w:val="00D42213"/>
    <w:rsid w:val="00D4499B"/>
    <w:rsid w:val="00D4542A"/>
    <w:rsid w:val="00D47943"/>
    <w:rsid w:val="00D47CC4"/>
    <w:rsid w:val="00D47F89"/>
    <w:rsid w:val="00D51015"/>
    <w:rsid w:val="00D51039"/>
    <w:rsid w:val="00D51EEF"/>
    <w:rsid w:val="00D520E7"/>
    <w:rsid w:val="00D53825"/>
    <w:rsid w:val="00D54B88"/>
    <w:rsid w:val="00D54F9B"/>
    <w:rsid w:val="00D55475"/>
    <w:rsid w:val="00D566DE"/>
    <w:rsid w:val="00D56838"/>
    <w:rsid w:val="00D57695"/>
    <w:rsid w:val="00D61235"/>
    <w:rsid w:val="00D63F5C"/>
    <w:rsid w:val="00D65B02"/>
    <w:rsid w:val="00D661C5"/>
    <w:rsid w:val="00D72FC0"/>
    <w:rsid w:val="00D74118"/>
    <w:rsid w:val="00D75008"/>
    <w:rsid w:val="00D755C3"/>
    <w:rsid w:val="00D759D9"/>
    <w:rsid w:val="00D75ECC"/>
    <w:rsid w:val="00D76405"/>
    <w:rsid w:val="00D77584"/>
    <w:rsid w:val="00D808B5"/>
    <w:rsid w:val="00D80D35"/>
    <w:rsid w:val="00D81340"/>
    <w:rsid w:val="00D818E1"/>
    <w:rsid w:val="00D83F2A"/>
    <w:rsid w:val="00D84D4E"/>
    <w:rsid w:val="00D86997"/>
    <w:rsid w:val="00D91728"/>
    <w:rsid w:val="00D91BE4"/>
    <w:rsid w:val="00D91EE4"/>
    <w:rsid w:val="00D93BAB"/>
    <w:rsid w:val="00D94F40"/>
    <w:rsid w:val="00D953B0"/>
    <w:rsid w:val="00D95928"/>
    <w:rsid w:val="00D960CE"/>
    <w:rsid w:val="00D9731C"/>
    <w:rsid w:val="00D97A12"/>
    <w:rsid w:val="00D97CA9"/>
    <w:rsid w:val="00DA6906"/>
    <w:rsid w:val="00DA6C3D"/>
    <w:rsid w:val="00DA6F2D"/>
    <w:rsid w:val="00DA7482"/>
    <w:rsid w:val="00DB0AD2"/>
    <w:rsid w:val="00DB1CBB"/>
    <w:rsid w:val="00DB1D7F"/>
    <w:rsid w:val="00DB3072"/>
    <w:rsid w:val="00DB363A"/>
    <w:rsid w:val="00DB4835"/>
    <w:rsid w:val="00DB5701"/>
    <w:rsid w:val="00DB7A98"/>
    <w:rsid w:val="00DC17ED"/>
    <w:rsid w:val="00DC1BB0"/>
    <w:rsid w:val="00DC229A"/>
    <w:rsid w:val="00DC504D"/>
    <w:rsid w:val="00DC507E"/>
    <w:rsid w:val="00DC52A3"/>
    <w:rsid w:val="00DC5455"/>
    <w:rsid w:val="00DC73D0"/>
    <w:rsid w:val="00DD007B"/>
    <w:rsid w:val="00DD3F1E"/>
    <w:rsid w:val="00DD51A4"/>
    <w:rsid w:val="00DE0D85"/>
    <w:rsid w:val="00DE1767"/>
    <w:rsid w:val="00DE1F1C"/>
    <w:rsid w:val="00DE2806"/>
    <w:rsid w:val="00DE2A79"/>
    <w:rsid w:val="00DE2F3B"/>
    <w:rsid w:val="00DE3E88"/>
    <w:rsid w:val="00DE49B0"/>
    <w:rsid w:val="00DE4E2F"/>
    <w:rsid w:val="00DE4FB8"/>
    <w:rsid w:val="00DE522F"/>
    <w:rsid w:val="00DE5565"/>
    <w:rsid w:val="00DF04F7"/>
    <w:rsid w:val="00DF077D"/>
    <w:rsid w:val="00DF0822"/>
    <w:rsid w:val="00DF0AA4"/>
    <w:rsid w:val="00DF36D2"/>
    <w:rsid w:val="00DF53FC"/>
    <w:rsid w:val="00DF56F2"/>
    <w:rsid w:val="00DF6560"/>
    <w:rsid w:val="00DF6F5B"/>
    <w:rsid w:val="00DF73E1"/>
    <w:rsid w:val="00E001AA"/>
    <w:rsid w:val="00E003BD"/>
    <w:rsid w:val="00E006FB"/>
    <w:rsid w:val="00E01A8A"/>
    <w:rsid w:val="00E0256E"/>
    <w:rsid w:val="00E02E59"/>
    <w:rsid w:val="00E0409B"/>
    <w:rsid w:val="00E048E8"/>
    <w:rsid w:val="00E04D74"/>
    <w:rsid w:val="00E04ECA"/>
    <w:rsid w:val="00E0543B"/>
    <w:rsid w:val="00E07DA9"/>
    <w:rsid w:val="00E1079A"/>
    <w:rsid w:val="00E12CB5"/>
    <w:rsid w:val="00E137AF"/>
    <w:rsid w:val="00E14331"/>
    <w:rsid w:val="00E15C15"/>
    <w:rsid w:val="00E15DEB"/>
    <w:rsid w:val="00E20FBD"/>
    <w:rsid w:val="00E2219E"/>
    <w:rsid w:val="00E22497"/>
    <w:rsid w:val="00E26A43"/>
    <w:rsid w:val="00E26DAE"/>
    <w:rsid w:val="00E26E31"/>
    <w:rsid w:val="00E27E65"/>
    <w:rsid w:val="00E3059A"/>
    <w:rsid w:val="00E31A91"/>
    <w:rsid w:val="00E32311"/>
    <w:rsid w:val="00E329A4"/>
    <w:rsid w:val="00E33284"/>
    <w:rsid w:val="00E335CE"/>
    <w:rsid w:val="00E33B24"/>
    <w:rsid w:val="00E34B09"/>
    <w:rsid w:val="00E355B9"/>
    <w:rsid w:val="00E35F9E"/>
    <w:rsid w:val="00E361E9"/>
    <w:rsid w:val="00E37473"/>
    <w:rsid w:val="00E37BED"/>
    <w:rsid w:val="00E41EDD"/>
    <w:rsid w:val="00E4278D"/>
    <w:rsid w:val="00E427FB"/>
    <w:rsid w:val="00E44B93"/>
    <w:rsid w:val="00E44BDA"/>
    <w:rsid w:val="00E45BD5"/>
    <w:rsid w:val="00E46E18"/>
    <w:rsid w:val="00E4764A"/>
    <w:rsid w:val="00E50DAB"/>
    <w:rsid w:val="00E511F8"/>
    <w:rsid w:val="00E527FF"/>
    <w:rsid w:val="00E5314D"/>
    <w:rsid w:val="00E531E8"/>
    <w:rsid w:val="00E548E0"/>
    <w:rsid w:val="00E5547F"/>
    <w:rsid w:val="00E5706D"/>
    <w:rsid w:val="00E5730C"/>
    <w:rsid w:val="00E6056F"/>
    <w:rsid w:val="00E6077C"/>
    <w:rsid w:val="00E60D13"/>
    <w:rsid w:val="00E61582"/>
    <w:rsid w:val="00E6201B"/>
    <w:rsid w:val="00E62F48"/>
    <w:rsid w:val="00E639F7"/>
    <w:rsid w:val="00E657FE"/>
    <w:rsid w:val="00E65E2B"/>
    <w:rsid w:val="00E67AB8"/>
    <w:rsid w:val="00E706DC"/>
    <w:rsid w:val="00E741BA"/>
    <w:rsid w:val="00E74302"/>
    <w:rsid w:val="00E74729"/>
    <w:rsid w:val="00E759A4"/>
    <w:rsid w:val="00E75DAC"/>
    <w:rsid w:val="00E76428"/>
    <w:rsid w:val="00E81930"/>
    <w:rsid w:val="00E819BE"/>
    <w:rsid w:val="00E822B9"/>
    <w:rsid w:val="00E83135"/>
    <w:rsid w:val="00E839F7"/>
    <w:rsid w:val="00E86ABD"/>
    <w:rsid w:val="00E87C31"/>
    <w:rsid w:val="00E935F8"/>
    <w:rsid w:val="00E93C00"/>
    <w:rsid w:val="00E9428A"/>
    <w:rsid w:val="00E97616"/>
    <w:rsid w:val="00E97EED"/>
    <w:rsid w:val="00EA0840"/>
    <w:rsid w:val="00EA0B80"/>
    <w:rsid w:val="00EA2828"/>
    <w:rsid w:val="00EA303F"/>
    <w:rsid w:val="00EA32BF"/>
    <w:rsid w:val="00EA4EA0"/>
    <w:rsid w:val="00EA5334"/>
    <w:rsid w:val="00EA5E1C"/>
    <w:rsid w:val="00EA769B"/>
    <w:rsid w:val="00EB2BF8"/>
    <w:rsid w:val="00EB3150"/>
    <w:rsid w:val="00EB4485"/>
    <w:rsid w:val="00EB5064"/>
    <w:rsid w:val="00EB54B1"/>
    <w:rsid w:val="00EB5FE4"/>
    <w:rsid w:val="00EB73CA"/>
    <w:rsid w:val="00EC07B9"/>
    <w:rsid w:val="00EC08B0"/>
    <w:rsid w:val="00EC1230"/>
    <w:rsid w:val="00EC167C"/>
    <w:rsid w:val="00EC28FD"/>
    <w:rsid w:val="00EC474D"/>
    <w:rsid w:val="00EC4B14"/>
    <w:rsid w:val="00EC5728"/>
    <w:rsid w:val="00EC5C59"/>
    <w:rsid w:val="00EC678F"/>
    <w:rsid w:val="00EC6B17"/>
    <w:rsid w:val="00EC7A60"/>
    <w:rsid w:val="00ED083C"/>
    <w:rsid w:val="00ED1C1D"/>
    <w:rsid w:val="00ED4C93"/>
    <w:rsid w:val="00ED53A8"/>
    <w:rsid w:val="00ED556F"/>
    <w:rsid w:val="00ED56EC"/>
    <w:rsid w:val="00ED6E04"/>
    <w:rsid w:val="00ED74D9"/>
    <w:rsid w:val="00ED7F1F"/>
    <w:rsid w:val="00EE12CF"/>
    <w:rsid w:val="00EE26D4"/>
    <w:rsid w:val="00EE355A"/>
    <w:rsid w:val="00EE4782"/>
    <w:rsid w:val="00EE49FE"/>
    <w:rsid w:val="00EE6DB5"/>
    <w:rsid w:val="00EF1210"/>
    <w:rsid w:val="00EF1B56"/>
    <w:rsid w:val="00EF2168"/>
    <w:rsid w:val="00EF219D"/>
    <w:rsid w:val="00EF22BE"/>
    <w:rsid w:val="00EF2A84"/>
    <w:rsid w:val="00EF3BF1"/>
    <w:rsid w:val="00EF4D02"/>
    <w:rsid w:val="00EF4FEE"/>
    <w:rsid w:val="00EF6C96"/>
    <w:rsid w:val="00EF6FBF"/>
    <w:rsid w:val="00EF730F"/>
    <w:rsid w:val="00EF741C"/>
    <w:rsid w:val="00EF7C50"/>
    <w:rsid w:val="00F018AA"/>
    <w:rsid w:val="00F01B27"/>
    <w:rsid w:val="00F02386"/>
    <w:rsid w:val="00F0482C"/>
    <w:rsid w:val="00F053D2"/>
    <w:rsid w:val="00F0741D"/>
    <w:rsid w:val="00F10F2E"/>
    <w:rsid w:val="00F113D8"/>
    <w:rsid w:val="00F12299"/>
    <w:rsid w:val="00F126C4"/>
    <w:rsid w:val="00F12DD7"/>
    <w:rsid w:val="00F13835"/>
    <w:rsid w:val="00F13AEB"/>
    <w:rsid w:val="00F14B11"/>
    <w:rsid w:val="00F15062"/>
    <w:rsid w:val="00F15DEA"/>
    <w:rsid w:val="00F166B5"/>
    <w:rsid w:val="00F201D8"/>
    <w:rsid w:val="00F2046E"/>
    <w:rsid w:val="00F20975"/>
    <w:rsid w:val="00F22FB4"/>
    <w:rsid w:val="00F23811"/>
    <w:rsid w:val="00F263FB"/>
    <w:rsid w:val="00F26E98"/>
    <w:rsid w:val="00F30458"/>
    <w:rsid w:val="00F3069A"/>
    <w:rsid w:val="00F33C86"/>
    <w:rsid w:val="00F37C30"/>
    <w:rsid w:val="00F40562"/>
    <w:rsid w:val="00F42005"/>
    <w:rsid w:val="00F4252F"/>
    <w:rsid w:val="00F4371E"/>
    <w:rsid w:val="00F445A8"/>
    <w:rsid w:val="00F456F3"/>
    <w:rsid w:val="00F45DBF"/>
    <w:rsid w:val="00F463A8"/>
    <w:rsid w:val="00F50930"/>
    <w:rsid w:val="00F51858"/>
    <w:rsid w:val="00F52882"/>
    <w:rsid w:val="00F538AE"/>
    <w:rsid w:val="00F5454D"/>
    <w:rsid w:val="00F54A3D"/>
    <w:rsid w:val="00F56420"/>
    <w:rsid w:val="00F57B0B"/>
    <w:rsid w:val="00F57FE0"/>
    <w:rsid w:val="00F60380"/>
    <w:rsid w:val="00F60B97"/>
    <w:rsid w:val="00F60F70"/>
    <w:rsid w:val="00F610BD"/>
    <w:rsid w:val="00F62098"/>
    <w:rsid w:val="00F6240E"/>
    <w:rsid w:val="00F62B2A"/>
    <w:rsid w:val="00F64A37"/>
    <w:rsid w:val="00F67B1D"/>
    <w:rsid w:val="00F70084"/>
    <w:rsid w:val="00F711C3"/>
    <w:rsid w:val="00F7264E"/>
    <w:rsid w:val="00F7369F"/>
    <w:rsid w:val="00F738D3"/>
    <w:rsid w:val="00F7529B"/>
    <w:rsid w:val="00F75E8F"/>
    <w:rsid w:val="00F75E9B"/>
    <w:rsid w:val="00F80804"/>
    <w:rsid w:val="00F80994"/>
    <w:rsid w:val="00F81C05"/>
    <w:rsid w:val="00F83C18"/>
    <w:rsid w:val="00F84013"/>
    <w:rsid w:val="00F840B5"/>
    <w:rsid w:val="00F841DC"/>
    <w:rsid w:val="00F846CC"/>
    <w:rsid w:val="00F855C4"/>
    <w:rsid w:val="00F86D48"/>
    <w:rsid w:val="00F87153"/>
    <w:rsid w:val="00F8723C"/>
    <w:rsid w:val="00F8778C"/>
    <w:rsid w:val="00F915F3"/>
    <w:rsid w:val="00F91F9D"/>
    <w:rsid w:val="00F9418C"/>
    <w:rsid w:val="00F94326"/>
    <w:rsid w:val="00F9523D"/>
    <w:rsid w:val="00F95317"/>
    <w:rsid w:val="00F9574C"/>
    <w:rsid w:val="00F969E5"/>
    <w:rsid w:val="00FA0C56"/>
    <w:rsid w:val="00FA0E31"/>
    <w:rsid w:val="00FA1355"/>
    <w:rsid w:val="00FA16B9"/>
    <w:rsid w:val="00FA2BDD"/>
    <w:rsid w:val="00FA30A6"/>
    <w:rsid w:val="00FA38EA"/>
    <w:rsid w:val="00FA3F34"/>
    <w:rsid w:val="00FA3FAC"/>
    <w:rsid w:val="00FA413D"/>
    <w:rsid w:val="00FA4CF3"/>
    <w:rsid w:val="00FA73A5"/>
    <w:rsid w:val="00FA775E"/>
    <w:rsid w:val="00FA783C"/>
    <w:rsid w:val="00FA7C94"/>
    <w:rsid w:val="00FB0EA2"/>
    <w:rsid w:val="00FB126F"/>
    <w:rsid w:val="00FB18C9"/>
    <w:rsid w:val="00FB2275"/>
    <w:rsid w:val="00FB24D0"/>
    <w:rsid w:val="00FB3545"/>
    <w:rsid w:val="00FB3928"/>
    <w:rsid w:val="00FB4BB3"/>
    <w:rsid w:val="00FB4DBA"/>
    <w:rsid w:val="00FB6D0D"/>
    <w:rsid w:val="00FB7123"/>
    <w:rsid w:val="00FC0CDA"/>
    <w:rsid w:val="00FC1402"/>
    <w:rsid w:val="00FC43D4"/>
    <w:rsid w:val="00FC630B"/>
    <w:rsid w:val="00FC69FC"/>
    <w:rsid w:val="00FC6B12"/>
    <w:rsid w:val="00FC7812"/>
    <w:rsid w:val="00FD0307"/>
    <w:rsid w:val="00FD05A0"/>
    <w:rsid w:val="00FD078F"/>
    <w:rsid w:val="00FD15A5"/>
    <w:rsid w:val="00FD32FC"/>
    <w:rsid w:val="00FD56FB"/>
    <w:rsid w:val="00FD7575"/>
    <w:rsid w:val="00FD7A0A"/>
    <w:rsid w:val="00FD7DD7"/>
    <w:rsid w:val="00FE016D"/>
    <w:rsid w:val="00FE1E1C"/>
    <w:rsid w:val="00FE2C08"/>
    <w:rsid w:val="00FE57C4"/>
    <w:rsid w:val="00FE6371"/>
    <w:rsid w:val="00FE63C2"/>
    <w:rsid w:val="00FE7235"/>
    <w:rsid w:val="00FF49A8"/>
    <w:rsid w:val="00FF4ADB"/>
    <w:rsid w:val="00FF5C00"/>
    <w:rsid w:val="00FF67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B0D51CD"/>
  <w15:docId w15:val="{67119BD6-741F-433E-868C-85F3BEE8C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F95"/>
    <w:pPr>
      <w:spacing w:before="120" w:after="120" w:line="240" w:lineRule="auto"/>
      <w:jc w:val="both"/>
    </w:pPr>
    <w:rPr>
      <w:rFonts w:ascii="Times New Roman" w:hAnsi="Times New Roman"/>
      <w:sz w:val="24"/>
    </w:rPr>
  </w:style>
  <w:style w:type="paragraph" w:styleId="Heading1">
    <w:name w:val="heading 1"/>
    <w:basedOn w:val="Normal"/>
    <w:next w:val="Text1"/>
    <w:link w:val="Heading1Char"/>
    <w:qFormat/>
    <w:rsid w:val="007F3903"/>
    <w:pPr>
      <w:keepNext/>
      <w:keepLines/>
      <w:numPr>
        <w:numId w:val="3"/>
      </w:numPr>
      <w:spacing w:before="240" w:after="360"/>
      <w:jc w:val="center"/>
      <w:outlineLvl w:val="0"/>
    </w:pPr>
    <w:rPr>
      <w:rFonts w:ascii="Times New Roman Bold" w:eastAsiaTheme="majorEastAsia" w:hAnsi="Times New Roman Bold" w:cstheme="majorBidi"/>
      <w:b/>
      <w:bCs/>
      <w:smallCaps/>
      <w:szCs w:val="28"/>
    </w:rPr>
  </w:style>
  <w:style w:type="paragraph" w:styleId="Heading2">
    <w:name w:val="heading 2"/>
    <w:basedOn w:val="Normal"/>
    <w:next w:val="Text1"/>
    <w:link w:val="Heading2Char"/>
    <w:qFormat/>
    <w:rsid w:val="00E759A4"/>
    <w:pPr>
      <w:keepNext/>
      <w:keepLines/>
      <w:numPr>
        <w:numId w:val="34"/>
      </w:numPr>
      <w:spacing w:before="240" w:after="240"/>
      <w:jc w:val="left"/>
      <w:outlineLvl w:val="1"/>
    </w:pPr>
    <w:rPr>
      <w:rFonts w:ascii="Times New Roman Bold" w:eastAsiaTheme="majorEastAsia" w:hAnsi="Times New Roman Bold" w:cstheme="majorBidi"/>
      <w:b/>
      <w:bCs/>
      <w:szCs w:val="26"/>
    </w:rPr>
  </w:style>
  <w:style w:type="paragraph" w:styleId="Heading3">
    <w:name w:val="heading 3"/>
    <w:basedOn w:val="Normal"/>
    <w:next w:val="Text1"/>
    <w:link w:val="Heading3Char"/>
    <w:qFormat/>
    <w:rsid w:val="00941878"/>
    <w:pPr>
      <w:keepNext/>
      <w:keepLines/>
      <w:numPr>
        <w:numId w:val="37"/>
      </w:numPr>
      <w:outlineLvl w:val="2"/>
    </w:pPr>
    <w:rPr>
      <w:rFonts w:eastAsiaTheme="majorEastAsia" w:cstheme="majorBidi"/>
      <w:bCs/>
      <w:i/>
    </w:rPr>
  </w:style>
  <w:style w:type="paragraph" w:styleId="Heading4">
    <w:name w:val="heading 4"/>
    <w:basedOn w:val="Normal"/>
    <w:next w:val="Text1"/>
    <w:link w:val="Heading4Char"/>
    <w:qFormat/>
    <w:rsid w:val="00827575"/>
    <w:pPr>
      <w:keepNext/>
      <w:keepLines/>
      <w:spacing w:before="200" w:after="0"/>
      <w:outlineLvl w:val="3"/>
    </w:pPr>
    <w:rPr>
      <w:rFonts w:eastAsiaTheme="majorEastAsia" w:cstheme="majorBidi"/>
      <w:bCs/>
      <w:iCs/>
    </w:rPr>
  </w:style>
  <w:style w:type="paragraph" w:styleId="Heading5">
    <w:name w:val="heading 5"/>
    <w:basedOn w:val="Normal"/>
    <w:next w:val="Normal"/>
    <w:link w:val="Heading5Char"/>
    <w:qFormat/>
    <w:pPr>
      <w:tabs>
        <w:tab w:val="num" w:pos="1008"/>
      </w:tabs>
      <w:spacing w:before="240" w:after="60"/>
      <w:ind w:left="1008" w:hanging="1008"/>
      <w:outlineLvl w:val="4"/>
    </w:pPr>
    <w:rPr>
      <w:rFonts w:ascii="Verdana" w:hAnsi="Verdana"/>
      <w:b/>
      <w:bCs/>
      <w:i/>
      <w:iCs/>
      <w:sz w:val="26"/>
      <w:szCs w:val="26"/>
      <w:lang w:eastAsia="en-GB"/>
    </w:rPr>
  </w:style>
  <w:style w:type="paragraph" w:styleId="Heading6">
    <w:name w:val="heading 6"/>
    <w:basedOn w:val="Normal"/>
    <w:next w:val="Normal"/>
    <w:link w:val="Heading6Char"/>
    <w:qFormat/>
    <w:pPr>
      <w:tabs>
        <w:tab w:val="num" w:pos="1152"/>
      </w:tabs>
      <w:spacing w:before="240" w:after="60"/>
      <w:ind w:left="1152" w:hanging="1152"/>
      <w:outlineLvl w:val="5"/>
    </w:pPr>
    <w:rPr>
      <w:b/>
      <w:bCs/>
      <w:sz w:val="22"/>
      <w:lang w:eastAsia="en-GB"/>
    </w:rPr>
  </w:style>
  <w:style w:type="paragraph" w:styleId="Heading7">
    <w:name w:val="heading 7"/>
    <w:basedOn w:val="Normal"/>
    <w:next w:val="Normal"/>
    <w:link w:val="Heading7Char"/>
    <w:qFormat/>
    <w:pPr>
      <w:tabs>
        <w:tab w:val="num" w:pos="1296"/>
      </w:tabs>
      <w:spacing w:before="240" w:after="60"/>
      <w:ind w:left="1296" w:hanging="1296"/>
      <w:outlineLvl w:val="6"/>
    </w:pPr>
    <w:rPr>
      <w:rFonts w:ascii="Arial" w:eastAsia="Times New Roman" w:hAnsi="Arial" w:cs="Times New Roman"/>
      <w:szCs w:val="24"/>
      <w:lang w:eastAsia="en-GB"/>
    </w:rPr>
  </w:style>
  <w:style w:type="paragraph" w:styleId="Heading8">
    <w:name w:val="heading 8"/>
    <w:basedOn w:val="Normal"/>
    <w:next w:val="Normal"/>
    <w:link w:val="Heading8Char"/>
    <w:qFormat/>
    <w:pPr>
      <w:tabs>
        <w:tab w:val="num" w:pos="1440"/>
      </w:tabs>
      <w:spacing w:before="240" w:after="60"/>
      <w:ind w:left="1440" w:hanging="1440"/>
      <w:outlineLvl w:val="7"/>
    </w:pPr>
    <w:rPr>
      <w:rFonts w:ascii="Arial" w:eastAsia="Times New Roman" w:hAnsi="Arial" w:cs="Times New Roman"/>
      <w:i/>
      <w:iCs/>
      <w:szCs w:val="24"/>
      <w:lang w:eastAsia="en-GB"/>
    </w:rPr>
  </w:style>
  <w:style w:type="paragraph" w:styleId="Heading9">
    <w:name w:val="heading 9"/>
    <w:basedOn w:val="Normal"/>
    <w:next w:val="Normal"/>
    <w:link w:val="Heading9Char"/>
    <w:qFormat/>
    <w:pPr>
      <w:tabs>
        <w:tab w:val="num" w:pos="1584"/>
      </w:tabs>
      <w:spacing w:before="240" w:after="60"/>
      <w:ind w:left="1584" w:hanging="1584"/>
      <w:outlineLvl w:val="8"/>
    </w:pPr>
    <w:rPr>
      <w:rFonts w:ascii="Arial" w:eastAsia="Times New Roman" w:hAnsi="Arial" w:cs="Arial"/>
      <w:sz w:val="22"/>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224CBD"/>
    <w:rPr>
      <w:color w:val="0000FF"/>
      <w:shd w:val="clear" w:color="auto" w:fill="auto"/>
    </w:rPr>
  </w:style>
  <w:style w:type="paragraph" w:customStyle="1" w:styleId="Pagedecouverture">
    <w:name w:val="Page de couverture"/>
    <w:basedOn w:val="Normal"/>
    <w:next w:val="Normal"/>
    <w:pPr>
      <w:spacing w:after="0"/>
    </w:pPr>
  </w:style>
  <w:style w:type="paragraph" w:styleId="Header">
    <w:name w:val="header"/>
    <w:basedOn w:val="Normal"/>
    <w:link w:val="HeaderChar"/>
    <w:uiPriority w:val="99"/>
    <w:unhideWhenUsed/>
    <w:rsid w:val="00A3795C"/>
    <w:pPr>
      <w:tabs>
        <w:tab w:val="center" w:pos="4535"/>
        <w:tab w:val="right" w:pos="9071"/>
      </w:tabs>
      <w:spacing w:before="0"/>
    </w:pPr>
    <w:rPr>
      <w:rFonts w:cs="Times New Roman"/>
    </w:rPr>
  </w:style>
  <w:style w:type="character" w:customStyle="1" w:styleId="HeaderChar">
    <w:name w:val="Header Char"/>
    <w:basedOn w:val="DefaultParagraphFont"/>
    <w:link w:val="Header"/>
    <w:uiPriority w:val="99"/>
    <w:rsid w:val="00A3795C"/>
    <w:rPr>
      <w:rFonts w:ascii="Times New Roman" w:hAnsi="Times New Roman" w:cs="Times New Roman"/>
      <w:sz w:val="24"/>
    </w:rPr>
  </w:style>
  <w:style w:type="paragraph" w:styleId="Footer">
    <w:name w:val="footer"/>
    <w:basedOn w:val="Normal"/>
    <w:link w:val="FooterChar"/>
    <w:uiPriority w:val="99"/>
    <w:unhideWhenUsed/>
    <w:rsid w:val="00A3795C"/>
    <w:pPr>
      <w:tabs>
        <w:tab w:val="center" w:pos="4535"/>
        <w:tab w:val="right" w:pos="9071"/>
        <w:tab w:val="right" w:pos="9921"/>
      </w:tabs>
      <w:spacing w:before="360" w:after="0"/>
      <w:ind w:left="-850" w:right="-850"/>
      <w:jc w:val="left"/>
    </w:pPr>
    <w:rPr>
      <w:rFonts w:cs="Times New Roman"/>
    </w:rPr>
  </w:style>
  <w:style w:type="character" w:customStyle="1" w:styleId="FooterChar">
    <w:name w:val="Footer Char"/>
    <w:basedOn w:val="DefaultParagraphFont"/>
    <w:link w:val="Footer"/>
    <w:uiPriority w:val="99"/>
    <w:rsid w:val="00A3795C"/>
    <w:rPr>
      <w:rFonts w:ascii="Times New Roman" w:hAnsi="Times New Roman" w:cs="Times New Roman"/>
      <w:sz w:val="24"/>
    </w:rPr>
  </w:style>
  <w:style w:type="paragraph" w:customStyle="1" w:styleId="Typedudocument">
    <w:name w:val="Type du document"/>
    <w:basedOn w:val="Normal"/>
    <w:next w:val="Normal"/>
    <w:link w:val="TypedudocumentChar"/>
    <w:rsid w:val="00224CBD"/>
    <w:pPr>
      <w:spacing w:before="360" w:after="0"/>
      <w:jc w:val="center"/>
    </w:pPr>
    <w:rPr>
      <w:rFonts w:cs="Times New Roman"/>
      <w:b/>
    </w:rPr>
  </w:style>
  <w:style w:type="paragraph" w:customStyle="1" w:styleId="Titreobjet">
    <w:name w:val="Titre objet"/>
    <w:basedOn w:val="Normal"/>
    <w:next w:val="Normal"/>
    <w:rsid w:val="00224CBD"/>
    <w:pPr>
      <w:spacing w:before="360" w:after="360"/>
      <w:jc w:val="center"/>
    </w:pPr>
    <w:rPr>
      <w:rFonts w:cs="Times New Roman"/>
      <w:b/>
    </w:rPr>
  </w:style>
  <w:style w:type="paragraph" w:customStyle="1" w:styleId="FooterCoverPage">
    <w:name w:val="Footer Cover Page"/>
    <w:basedOn w:val="Normal"/>
    <w:link w:val="FooterCoverPageChar"/>
    <w:rsid w:val="00224CBD"/>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sid w:val="00224CBD"/>
    <w:rPr>
      <w:rFonts w:ascii="Times New Roman" w:hAnsi="Times New Roman" w:cs="Times New Roman"/>
      <w:b/>
      <w:sz w:val="24"/>
    </w:rPr>
  </w:style>
  <w:style w:type="character" w:customStyle="1" w:styleId="FooterCoverPageChar">
    <w:name w:val="Footer Cover Page Char"/>
    <w:basedOn w:val="TypedudocumentChar"/>
    <w:link w:val="FooterCoverPage"/>
    <w:rsid w:val="00224CBD"/>
    <w:rPr>
      <w:rFonts w:ascii="Times New Roman" w:hAnsi="Times New Roman" w:cs="Times New Roman"/>
      <w:b w:val="0"/>
      <w:sz w:val="24"/>
    </w:rPr>
  </w:style>
  <w:style w:type="paragraph" w:customStyle="1" w:styleId="HeaderCoverPage">
    <w:name w:val="Header Cover Page"/>
    <w:basedOn w:val="Normal"/>
    <w:link w:val="HeaderCoverPageChar"/>
    <w:rsid w:val="00224CBD"/>
    <w:pPr>
      <w:tabs>
        <w:tab w:val="center" w:pos="4535"/>
        <w:tab w:val="right" w:pos="9071"/>
      </w:tabs>
      <w:spacing w:before="0"/>
    </w:pPr>
  </w:style>
  <w:style w:type="character" w:customStyle="1" w:styleId="HeaderCoverPageChar">
    <w:name w:val="Header Cover Page Char"/>
    <w:basedOn w:val="TypedudocumentChar"/>
    <w:link w:val="HeaderCoverPage"/>
    <w:rsid w:val="00224CBD"/>
    <w:rPr>
      <w:rFonts w:ascii="Times New Roman" w:hAnsi="Times New Roman" w:cs="Times New Roman"/>
      <w:b w:val="0"/>
      <w:sz w:val="24"/>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sid w:val="000103E9"/>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sid w:val="000103E9"/>
    <w:rPr>
      <w:rFonts w:ascii="Arial" w:eastAsia="Times New Roman" w:hAnsi="Arial" w:cs="Times New Roman"/>
      <w:b/>
      <w:bCs/>
      <w:sz w:val="20"/>
      <w:szCs w:val="20"/>
    </w:rPr>
  </w:style>
  <w:style w:type="paragraph" w:styleId="BalloonText">
    <w:name w:val="Balloon Text"/>
    <w:basedOn w:val="Normal"/>
    <w:link w:val="BalloonTextChar"/>
    <w:semiHidden/>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0103E9"/>
    <w:rPr>
      <w:rFonts w:ascii="Tahoma" w:eastAsia="Times New Roman" w:hAnsi="Tahoma" w:cs="Tahoma"/>
      <w:sz w:val="16"/>
      <w:szCs w:val="16"/>
    </w:rPr>
  </w:style>
  <w:style w:type="paragraph" w:styleId="FootnoteText">
    <w:name w:val="footnote text"/>
    <w:aliases w:val="Footnote Text EPAS,Footnote Text Custom"/>
    <w:basedOn w:val="Normal"/>
    <w:link w:val="FootnoteTextChar"/>
    <w:uiPriority w:val="99"/>
    <w:qFormat/>
    <w:pPr>
      <w:spacing w:after="0"/>
    </w:pPr>
    <w:rPr>
      <w:sz w:val="20"/>
      <w:szCs w:val="20"/>
    </w:rPr>
  </w:style>
  <w:style w:type="character" w:customStyle="1" w:styleId="Heading1Char">
    <w:name w:val="Heading 1 Char"/>
    <w:basedOn w:val="DefaultParagraphFont"/>
    <w:link w:val="Heading1"/>
    <w:rsid w:val="007F3903"/>
    <w:rPr>
      <w:rFonts w:ascii="Times New Roman Bold" w:eastAsiaTheme="majorEastAsia" w:hAnsi="Times New Roman Bold" w:cstheme="majorBidi"/>
      <w:b/>
      <w:bCs/>
      <w:smallCaps/>
      <w:sz w:val="24"/>
      <w:szCs w:val="28"/>
    </w:rPr>
  </w:style>
  <w:style w:type="paragraph" w:styleId="ListNumber">
    <w:name w:val="List Number"/>
    <w:basedOn w:val="Normal"/>
    <w:pPr>
      <w:numPr>
        <w:numId w:val="1"/>
      </w:numPr>
      <w:contextualSpacing/>
    </w:pPr>
    <w:rPr>
      <w:rFonts w:ascii="Times New Roman Bold" w:hAnsi="Times New Roman Bold"/>
      <w:b/>
      <w:smallCaps/>
    </w:rPr>
  </w:style>
  <w:style w:type="character" w:customStyle="1" w:styleId="FootnoteTextChar">
    <w:name w:val="Footnote Text Char"/>
    <w:aliases w:val="Footnote Text EPAS Char,Footnote Text Custom Char"/>
    <w:basedOn w:val="DefaultParagraphFont"/>
    <w:link w:val="FootnoteText"/>
    <w:uiPriority w:val="99"/>
    <w:rsid w:val="009F7D7A"/>
    <w:rPr>
      <w:rFonts w:ascii="Arial" w:eastAsia="Times New Roman" w:hAnsi="Arial" w:cs="Times New Roman"/>
      <w:sz w:val="20"/>
      <w:szCs w:val="20"/>
    </w:rPr>
  </w:style>
  <w:style w:type="paragraph" w:styleId="ListParagraph">
    <w:name w:val="List Paragraph"/>
    <w:aliases w:val="ACTIONS,Bullet List Paragraph,Lettre d'introduction,Numbered paragraph 1,1st level - Bullet List Paragraph,Heading 4 bullet,List Paragraph1,lp1,Paragrafo elenco"/>
    <w:basedOn w:val="Normal"/>
    <w:link w:val="ListParagraphChar"/>
    <w:uiPriority w:val="34"/>
    <w:qFormat/>
    <w:rsid w:val="00561A99"/>
    <w:pPr>
      <w:ind w:left="720"/>
      <w:contextualSpacing/>
    </w:pPr>
  </w:style>
  <w:style w:type="paragraph" w:styleId="ListNumber2">
    <w:name w:val="List Number 2"/>
    <w:basedOn w:val="Normal"/>
    <w:pPr>
      <w:numPr>
        <w:numId w:val="2"/>
      </w:numPr>
      <w:contextualSpacing/>
    </w:pPr>
  </w:style>
  <w:style w:type="character" w:customStyle="1" w:styleId="Heading2Char">
    <w:name w:val="Heading 2 Char"/>
    <w:basedOn w:val="DefaultParagraphFont"/>
    <w:link w:val="Heading2"/>
    <w:rsid w:val="00E759A4"/>
    <w:rPr>
      <w:rFonts w:ascii="Times New Roman Bold" w:eastAsiaTheme="majorEastAsia" w:hAnsi="Times New Roman Bold" w:cstheme="majorBidi"/>
      <w:b/>
      <w:bCs/>
      <w:sz w:val="24"/>
      <w:szCs w:val="26"/>
    </w:rPr>
  </w:style>
  <w:style w:type="character" w:customStyle="1" w:styleId="Heading3Char">
    <w:name w:val="Heading 3 Char"/>
    <w:basedOn w:val="DefaultParagraphFont"/>
    <w:link w:val="Heading3"/>
    <w:rsid w:val="00941878"/>
    <w:rPr>
      <w:rFonts w:ascii="Times New Roman" w:eastAsiaTheme="majorEastAsia" w:hAnsi="Times New Roman" w:cstheme="majorBidi"/>
      <w:bCs/>
      <w:i/>
      <w:sz w:val="24"/>
    </w:rPr>
  </w:style>
  <w:style w:type="character" w:customStyle="1" w:styleId="Heading4Char">
    <w:name w:val="Heading 4 Char"/>
    <w:basedOn w:val="DefaultParagraphFont"/>
    <w:link w:val="Heading4"/>
    <w:rsid w:val="00827575"/>
    <w:rPr>
      <w:rFonts w:ascii="Times New Roman" w:eastAsiaTheme="majorEastAsia" w:hAnsi="Times New Roman" w:cstheme="majorBidi"/>
      <w:bCs/>
      <w:iCs/>
      <w:sz w:val="24"/>
    </w:rPr>
  </w:style>
  <w:style w:type="paragraph" w:styleId="List3">
    <w:name w:val="List 3"/>
    <w:basedOn w:val="Normal"/>
    <w:uiPriority w:val="99"/>
    <w:semiHidden/>
    <w:unhideWhenUsed/>
    <w:rsid w:val="00A361ED"/>
    <w:pPr>
      <w:ind w:left="849" w:hanging="283"/>
      <w:contextualSpacing/>
    </w:pPr>
  </w:style>
  <w:style w:type="paragraph" w:customStyle="1" w:styleId="Typeacteprincipal">
    <w:name w:val="Type acte principal"/>
    <w:basedOn w:val="Normal"/>
    <w:next w:val="Normal"/>
    <w:rsid w:val="003111BA"/>
    <w:pPr>
      <w:spacing w:before="0" w:after="240"/>
      <w:jc w:val="center"/>
    </w:pPr>
    <w:rPr>
      <w:rFonts w:cs="Times New Roman"/>
      <w:b/>
    </w:rPr>
  </w:style>
  <w:style w:type="paragraph" w:customStyle="1" w:styleId="Objetacteprincipal">
    <w:name w:val="Objet acte principal"/>
    <w:basedOn w:val="Normal"/>
    <w:next w:val="Normal"/>
    <w:rsid w:val="003111BA"/>
    <w:pPr>
      <w:spacing w:before="0" w:after="360"/>
      <w:jc w:val="center"/>
    </w:pPr>
    <w:rPr>
      <w:rFonts w:cs="Times New Roman"/>
      <w:b/>
    </w:rPr>
  </w:style>
  <w:style w:type="paragraph" w:customStyle="1" w:styleId="Accompagnant">
    <w:name w:val="Accompagnant"/>
    <w:basedOn w:val="Normal"/>
    <w:next w:val="Typeacteprincipal"/>
    <w:rsid w:val="003111BA"/>
    <w:pPr>
      <w:spacing w:before="0" w:after="240"/>
      <w:jc w:val="center"/>
    </w:pPr>
    <w:rPr>
      <w:rFonts w:cs="Times New Roman"/>
      <w:b/>
      <w:i/>
    </w:rPr>
  </w:style>
  <w:style w:type="character" w:customStyle="1" w:styleId="Heading5Char">
    <w:name w:val="Heading 5 Char"/>
    <w:basedOn w:val="DefaultParagraphFont"/>
    <w:link w:val="Heading5"/>
    <w:rsid w:val="00142CA8"/>
    <w:rPr>
      <w:rFonts w:ascii="Verdana" w:eastAsia="Times New Roman" w:hAnsi="Verdana" w:cs="Times New Roman"/>
      <w:b/>
      <w:bCs/>
      <w:i/>
      <w:iCs/>
      <w:sz w:val="26"/>
      <w:szCs w:val="26"/>
      <w:lang w:eastAsia="en-GB"/>
    </w:rPr>
  </w:style>
  <w:style w:type="character" w:customStyle="1" w:styleId="Heading6Char">
    <w:name w:val="Heading 6 Char"/>
    <w:basedOn w:val="DefaultParagraphFont"/>
    <w:link w:val="Heading6"/>
    <w:rsid w:val="00142CA8"/>
    <w:rPr>
      <w:rFonts w:ascii="Arial" w:eastAsia="Times New Roman" w:hAnsi="Arial" w:cs="Times New Roman"/>
      <w:b/>
      <w:bCs/>
      <w:szCs w:val="24"/>
      <w:lang w:eastAsia="en-GB"/>
    </w:rPr>
  </w:style>
  <w:style w:type="character" w:customStyle="1" w:styleId="Heading7Char">
    <w:name w:val="Heading 7 Char"/>
    <w:basedOn w:val="DefaultParagraphFont"/>
    <w:link w:val="Heading7"/>
    <w:rsid w:val="00142CA8"/>
    <w:rPr>
      <w:rFonts w:ascii="Arial" w:eastAsia="Times New Roman" w:hAnsi="Arial" w:cs="Times New Roman"/>
      <w:sz w:val="24"/>
      <w:szCs w:val="24"/>
      <w:lang w:eastAsia="en-GB"/>
    </w:rPr>
  </w:style>
  <w:style w:type="character" w:customStyle="1" w:styleId="Heading8Char">
    <w:name w:val="Heading 8 Char"/>
    <w:basedOn w:val="DefaultParagraphFont"/>
    <w:link w:val="Heading8"/>
    <w:rsid w:val="00142CA8"/>
    <w:rPr>
      <w:rFonts w:ascii="Arial" w:eastAsia="Times New Roman" w:hAnsi="Arial" w:cs="Times New Roman"/>
      <w:i/>
      <w:iCs/>
      <w:sz w:val="24"/>
      <w:szCs w:val="24"/>
      <w:lang w:eastAsia="en-GB"/>
    </w:rPr>
  </w:style>
  <w:style w:type="character" w:customStyle="1" w:styleId="Heading9Char">
    <w:name w:val="Heading 9 Char"/>
    <w:basedOn w:val="DefaultParagraphFont"/>
    <w:link w:val="Heading9"/>
    <w:rsid w:val="00142CA8"/>
    <w:rPr>
      <w:rFonts w:ascii="Arial" w:eastAsia="Times New Roman" w:hAnsi="Arial" w:cs="Arial"/>
      <w:szCs w:val="24"/>
      <w:lang w:eastAsia="en-GB"/>
    </w:rPr>
  </w:style>
  <w:style w:type="paragraph" w:styleId="TOC1">
    <w:name w:val="toc 1"/>
    <w:basedOn w:val="Normal"/>
    <w:next w:val="Normal"/>
    <w:uiPriority w:val="39"/>
    <w:pPr>
      <w:tabs>
        <w:tab w:val="right" w:leader="dot" w:pos="9071"/>
      </w:tabs>
      <w:spacing w:before="60"/>
      <w:ind w:left="850" w:hanging="850"/>
    </w:pPr>
  </w:style>
  <w:style w:type="paragraph" w:styleId="TOC2">
    <w:name w:val="toc 2"/>
    <w:basedOn w:val="Normal"/>
    <w:next w:val="Normal"/>
    <w:uiPriority w:val="39"/>
    <w:pPr>
      <w:tabs>
        <w:tab w:val="right" w:leader="dot" w:pos="9071"/>
      </w:tabs>
      <w:spacing w:before="60"/>
      <w:ind w:left="850" w:hanging="850"/>
    </w:pPr>
  </w:style>
  <w:style w:type="paragraph" w:styleId="TOC3">
    <w:name w:val="toc 3"/>
    <w:basedOn w:val="Normal"/>
    <w:next w:val="Normal"/>
    <w:uiPriority w:val="39"/>
    <w:pPr>
      <w:tabs>
        <w:tab w:val="right" w:leader="dot" w:pos="9071"/>
      </w:tabs>
      <w:spacing w:before="60"/>
      <w:ind w:left="850" w:hanging="850"/>
    </w:pPr>
  </w:style>
  <w:style w:type="paragraph" w:styleId="TOC4">
    <w:name w:val="toc 4"/>
    <w:basedOn w:val="Normal"/>
    <w:next w:val="Normal"/>
    <w:semiHidden/>
    <w:pPr>
      <w:tabs>
        <w:tab w:val="right" w:leader="dot" w:pos="9071"/>
      </w:tabs>
      <w:spacing w:before="60"/>
      <w:ind w:left="850" w:hanging="850"/>
    </w:pPr>
    <w:rPr>
      <w:rFonts w:ascii="Arial" w:eastAsia="Times New Roman" w:hAnsi="Arial" w:cs="Times New Roman"/>
      <w:szCs w:val="24"/>
    </w:rPr>
  </w:style>
  <w:style w:type="paragraph" w:styleId="TOC5">
    <w:name w:val="toc 5"/>
    <w:basedOn w:val="Normal"/>
    <w:next w:val="Normal"/>
    <w:semiHidden/>
    <w:pPr>
      <w:tabs>
        <w:tab w:val="right" w:leader="dot" w:pos="9071"/>
      </w:tabs>
      <w:spacing w:before="300"/>
    </w:pPr>
    <w:rPr>
      <w:rFonts w:ascii="Arial" w:eastAsia="Times New Roman" w:hAnsi="Arial" w:cs="Times New Roman"/>
      <w:szCs w:val="24"/>
    </w:rPr>
  </w:style>
  <w:style w:type="paragraph" w:styleId="TOC6">
    <w:name w:val="toc 6"/>
    <w:basedOn w:val="Normal"/>
    <w:next w:val="Normal"/>
    <w:semiHidden/>
    <w:pPr>
      <w:tabs>
        <w:tab w:val="right" w:leader="dot" w:pos="9071"/>
      </w:tabs>
      <w:spacing w:before="240"/>
    </w:pPr>
  </w:style>
  <w:style w:type="paragraph" w:styleId="TOC7">
    <w:name w:val="toc 7"/>
    <w:basedOn w:val="Normal"/>
    <w:next w:val="Normal"/>
    <w:semiHidden/>
    <w:pPr>
      <w:tabs>
        <w:tab w:val="right" w:leader="dot" w:pos="9071"/>
      </w:tabs>
      <w:spacing w:before="180"/>
    </w:pPr>
    <w:rPr>
      <w:rFonts w:ascii="Arial" w:eastAsia="Times New Roman" w:hAnsi="Arial" w:cs="Times New Roman"/>
      <w:szCs w:val="24"/>
    </w:rPr>
  </w:style>
  <w:style w:type="paragraph" w:styleId="TOC8">
    <w:name w:val="toc 8"/>
    <w:basedOn w:val="Normal"/>
    <w:next w:val="Normal"/>
    <w:semiHidden/>
    <w:pPr>
      <w:tabs>
        <w:tab w:val="right" w:leader="dot" w:pos="9071"/>
      </w:tabs>
    </w:pPr>
    <w:rPr>
      <w:rFonts w:ascii="Arial" w:eastAsia="Times New Roman" w:hAnsi="Arial" w:cs="Times New Roman"/>
      <w:szCs w:val="24"/>
    </w:rPr>
  </w:style>
  <w:style w:type="paragraph" w:styleId="TOC9">
    <w:name w:val="toc 9"/>
    <w:basedOn w:val="Normal"/>
    <w:next w:val="Normal"/>
    <w:semiHidden/>
    <w:rsid w:val="00142CA8"/>
    <w:pPr>
      <w:tabs>
        <w:tab w:val="right" w:leader="dot" w:pos="9071"/>
      </w:tabs>
    </w:pPr>
    <w:rPr>
      <w:rFonts w:ascii="Arial" w:eastAsia="Times New Roman" w:hAnsi="Arial" w:cs="Times New Roman"/>
      <w:szCs w:val="24"/>
    </w:rPr>
  </w:style>
  <w:style w:type="paragraph" w:customStyle="1" w:styleId="HeaderLandscape">
    <w:name w:val="HeaderLandscape"/>
    <w:basedOn w:val="Normal"/>
    <w:rsid w:val="00A3795C"/>
    <w:pPr>
      <w:tabs>
        <w:tab w:val="center" w:pos="7285"/>
        <w:tab w:val="right" w:pos="14003"/>
      </w:tabs>
      <w:spacing w:before="0"/>
    </w:pPr>
    <w:rPr>
      <w:rFonts w:cs="Times New Roman"/>
    </w:rPr>
  </w:style>
  <w:style w:type="paragraph" w:customStyle="1" w:styleId="FooterLandscape">
    <w:name w:val="FooterLandscape"/>
    <w:basedOn w:val="Normal"/>
    <w:rsid w:val="00A3795C"/>
    <w:pPr>
      <w:tabs>
        <w:tab w:val="center" w:pos="7285"/>
        <w:tab w:val="center" w:pos="10913"/>
        <w:tab w:val="right" w:pos="15137"/>
      </w:tabs>
      <w:spacing w:before="360" w:after="0"/>
      <w:ind w:left="-567" w:right="-567"/>
      <w:jc w:val="left"/>
    </w:pPr>
    <w:rPr>
      <w:rFonts w:cs="Times New Roman"/>
    </w:rPr>
  </w:style>
  <w:style w:type="paragraph" w:customStyle="1" w:styleId="Text1">
    <w:name w:val="Text 1"/>
    <w:basedOn w:val="Normal"/>
    <w:rsid w:val="00142CA8"/>
    <w:pPr>
      <w:ind w:left="850"/>
    </w:pPr>
    <w:rPr>
      <w:rFonts w:ascii="Arial" w:eastAsia="Times New Roman" w:hAnsi="Arial" w:cs="Times New Roman"/>
      <w:szCs w:val="24"/>
    </w:rPr>
  </w:style>
  <w:style w:type="paragraph" w:customStyle="1" w:styleId="Text2">
    <w:name w:val="Text 2"/>
    <w:basedOn w:val="Normal"/>
    <w:rsid w:val="00142CA8"/>
    <w:pPr>
      <w:ind w:left="1417"/>
    </w:pPr>
    <w:rPr>
      <w:rFonts w:ascii="Arial" w:eastAsia="Times New Roman" w:hAnsi="Arial" w:cs="Times New Roman"/>
      <w:szCs w:val="24"/>
    </w:rPr>
  </w:style>
  <w:style w:type="paragraph" w:customStyle="1" w:styleId="Text3">
    <w:name w:val="Text 3"/>
    <w:basedOn w:val="Normal"/>
    <w:rsid w:val="00142CA8"/>
    <w:pPr>
      <w:ind w:left="1984"/>
    </w:pPr>
    <w:rPr>
      <w:rFonts w:ascii="Arial" w:eastAsia="Times New Roman" w:hAnsi="Arial" w:cs="Times New Roman"/>
      <w:szCs w:val="24"/>
    </w:rPr>
  </w:style>
  <w:style w:type="paragraph" w:customStyle="1" w:styleId="Text4">
    <w:name w:val="Text 4"/>
    <w:basedOn w:val="Normal"/>
    <w:rsid w:val="00142CA8"/>
    <w:pPr>
      <w:ind w:left="2551"/>
    </w:pPr>
    <w:rPr>
      <w:rFonts w:ascii="Arial" w:eastAsia="Times New Roman" w:hAnsi="Arial" w:cs="Times New Roman"/>
      <w:szCs w:val="24"/>
    </w:rPr>
  </w:style>
  <w:style w:type="paragraph" w:customStyle="1" w:styleId="NormalCentered">
    <w:name w:val="Normal Centered"/>
    <w:basedOn w:val="Normal"/>
    <w:rsid w:val="00142CA8"/>
    <w:pPr>
      <w:jc w:val="center"/>
    </w:pPr>
    <w:rPr>
      <w:rFonts w:ascii="Arial" w:eastAsia="Times New Roman" w:hAnsi="Arial" w:cs="Times New Roman"/>
      <w:szCs w:val="24"/>
    </w:rPr>
  </w:style>
  <w:style w:type="paragraph" w:customStyle="1" w:styleId="NormalLeft">
    <w:name w:val="Normal Left"/>
    <w:basedOn w:val="Normal"/>
    <w:rPr>
      <w:rFonts w:ascii="Arial" w:eastAsia="Times New Roman" w:hAnsi="Arial" w:cs="Times New Roman"/>
      <w:szCs w:val="24"/>
    </w:rPr>
  </w:style>
  <w:style w:type="paragraph" w:customStyle="1" w:styleId="NormalRight">
    <w:name w:val="Normal Right"/>
    <w:basedOn w:val="Normal"/>
    <w:rsid w:val="00142CA8"/>
    <w:pPr>
      <w:jc w:val="right"/>
    </w:pPr>
    <w:rPr>
      <w:rFonts w:ascii="Arial" w:eastAsia="Times New Roman" w:hAnsi="Arial" w:cs="Times New Roman"/>
      <w:szCs w:val="24"/>
    </w:rPr>
  </w:style>
  <w:style w:type="paragraph" w:customStyle="1" w:styleId="QuotedText">
    <w:name w:val="Quoted Text"/>
    <w:basedOn w:val="Normal"/>
    <w:rsid w:val="00142CA8"/>
    <w:pPr>
      <w:ind w:left="1417"/>
    </w:pPr>
    <w:rPr>
      <w:rFonts w:ascii="Arial" w:eastAsia="Times New Roman" w:hAnsi="Arial" w:cs="Times New Roman"/>
      <w:szCs w:val="24"/>
    </w:rPr>
  </w:style>
  <w:style w:type="paragraph" w:customStyle="1" w:styleId="Point0">
    <w:name w:val="Point 0"/>
    <w:basedOn w:val="Normal"/>
    <w:rsid w:val="00142CA8"/>
    <w:pPr>
      <w:ind w:left="850" w:hanging="850"/>
    </w:pPr>
    <w:rPr>
      <w:rFonts w:ascii="Arial" w:eastAsia="Times New Roman" w:hAnsi="Arial" w:cs="Times New Roman"/>
      <w:szCs w:val="24"/>
    </w:rPr>
  </w:style>
  <w:style w:type="paragraph" w:customStyle="1" w:styleId="Point1">
    <w:name w:val="Point 1"/>
    <w:basedOn w:val="Normal"/>
    <w:rsid w:val="00142CA8"/>
    <w:pPr>
      <w:ind w:left="1417" w:hanging="567"/>
    </w:pPr>
    <w:rPr>
      <w:rFonts w:ascii="Arial" w:eastAsia="Times New Roman" w:hAnsi="Arial" w:cs="Times New Roman"/>
      <w:szCs w:val="24"/>
    </w:rPr>
  </w:style>
  <w:style w:type="paragraph" w:customStyle="1" w:styleId="Point2">
    <w:name w:val="Point 2"/>
    <w:basedOn w:val="Normal"/>
    <w:rsid w:val="00142CA8"/>
    <w:pPr>
      <w:ind w:left="1984" w:hanging="567"/>
    </w:pPr>
    <w:rPr>
      <w:rFonts w:ascii="Arial" w:eastAsia="Times New Roman" w:hAnsi="Arial" w:cs="Times New Roman"/>
      <w:szCs w:val="24"/>
    </w:rPr>
  </w:style>
  <w:style w:type="paragraph" w:customStyle="1" w:styleId="Point3">
    <w:name w:val="Point 3"/>
    <w:basedOn w:val="Normal"/>
    <w:rsid w:val="00142CA8"/>
    <w:pPr>
      <w:ind w:left="2551" w:hanging="567"/>
    </w:pPr>
    <w:rPr>
      <w:rFonts w:ascii="Arial" w:eastAsia="Times New Roman" w:hAnsi="Arial" w:cs="Times New Roman"/>
      <w:szCs w:val="24"/>
    </w:rPr>
  </w:style>
  <w:style w:type="paragraph" w:customStyle="1" w:styleId="Point4">
    <w:name w:val="Point 4"/>
    <w:basedOn w:val="Normal"/>
    <w:rsid w:val="00142CA8"/>
    <w:pPr>
      <w:ind w:left="3118" w:hanging="567"/>
    </w:pPr>
    <w:rPr>
      <w:rFonts w:ascii="Arial" w:eastAsia="Times New Roman" w:hAnsi="Arial" w:cs="Times New Roman"/>
      <w:szCs w:val="24"/>
    </w:rPr>
  </w:style>
  <w:style w:type="paragraph" w:customStyle="1" w:styleId="Tiret0">
    <w:name w:val="Tiret 0"/>
    <w:basedOn w:val="Point0"/>
    <w:rsid w:val="00142CA8"/>
    <w:pPr>
      <w:numPr>
        <w:numId w:val="5"/>
      </w:numPr>
    </w:pPr>
  </w:style>
  <w:style w:type="paragraph" w:customStyle="1" w:styleId="Tiret1">
    <w:name w:val="Tiret 1"/>
    <w:basedOn w:val="Point1"/>
    <w:rsid w:val="00142CA8"/>
    <w:pPr>
      <w:numPr>
        <w:numId w:val="6"/>
      </w:numPr>
    </w:pPr>
  </w:style>
  <w:style w:type="paragraph" w:customStyle="1" w:styleId="Tiret2">
    <w:name w:val="Tiret 2"/>
    <w:basedOn w:val="Point2"/>
    <w:rsid w:val="00142CA8"/>
    <w:pPr>
      <w:numPr>
        <w:numId w:val="7"/>
      </w:numPr>
    </w:pPr>
  </w:style>
  <w:style w:type="paragraph" w:customStyle="1" w:styleId="Tiret3">
    <w:name w:val="Tiret 3"/>
    <w:basedOn w:val="Point3"/>
    <w:rsid w:val="00142CA8"/>
    <w:pPr>
      <w:numPr>
        <w:numId w:val="8"/>
      </w:numPr>
    </w:pPr>
  </w:style>
  <w:style w:type="paragraph" w:customStyle="1" w:styleId="Tiret4">
    <w:name w:val="Tiret 4"/>
    <w:basedOn w:val="Point4"/>
    <w:rsid w:val="00142CA8"/>
    <w:pPr>
      <w:numPr>
        <w:numId w:val="9"/>
      </w:numPr>
    </w:pPr>
  </w:style>
  <w:style w:type="paragraph" w:customStyle="1" w:styleId="PointDouble0">
    <w:name w:val="PointDouble 0"/>
    <w:basedOn w:val="Normal"/>
    <w:rsid w:val="00142CA8"/>
    <w:pPr>
      <w:tabs>
        <w:tab w:val="left" w:pos="850"/>
      </w:tabs>
      <w:ind w:left="1417" w:hanging="1417"/>
    </w:pPr>
    <w:rPr>
      <w:rFonts w:ascii="Arial" w:eastAsia="Times New Roman" w:hAnsi="Arial" w:cs="Times New Roman"/>
      <w:szCs w:val="24"/>
    </w:rPr>
  </w:style>
  <w:style w:type="paragraph" w:customStyle="1" w:styleId="PointDouble1">
    <w:name w:val="PointDouble 1"/>
    <w:basedOn w:val="Normal"/>
    <w:rsid w:val="00142CA8"/>
    <w:pPr>
      <w:tabs>
        <w:tab w:val="left" w:pos="1417"/>
      </w:tabs>
      <w:ind w:left="1984" w:hanging="1134"/>
    </w:pPr>
    <w:rPr>
      <w:rFonts w:ascii="Arial" w:eastAsia="Times New Roman" w:hAnsi="Arial" w:cs="Times New Roman"/>
      <w:szCs w:val="24"/>
    </w:rPr>
  </w:style>
  <w:style w:type="paragraph" w:customStyle="1" w:styleId="PointDouble2">
    <w:name w:val="PointDouble 2"/>
    <w:basedOn w:val="Normal"/>
    <w:rsid w:val="00142CA8"/>
    <w:pPr>
      <w:tabs>
        <w:tab w:val="left" w:pos="1984"/>
      </w:tabs>
      <w:ind w:left="2551" w:hanging="1134"/>
    </w:pPr>
    <w:rPr>
      <w:rFonts w:ascii="Arial" w:eastAsia="Times New Roman" w:hAnsi="Arial" w:cs="Times New Roman"/>
      <w:szCs w:val="24"/>
    </w:rPr>
  </w:style>
  <w:style w:type="paragraph" w:customStyle="1" w:styleId="PointDouble3">
    <w:name w:val="PointDouble 3"/>
    <w:basedOn w:val="Normal"/>
    <w:rsid w:val="00142CA8"/>
    <w:pPr>
      <w:tabs>
        <w:tab w:val="left" w:pos="2551"/>
      </w:tabs>
      <w:ind w:left="3118" w:hanging="1134"/>
    </w:pPr>
    <w:rPr>
      <w:rFonts w:ascii="Arial" w:eastAsia="Times New Roman" w:hAnsi="Arial" w:cs="Times New Roman"/>
      <w:szCs w:val="24"/>
    </w:rPr>
  </w:style>
  <w:style w:type="paragraph" w:customStyle="1" w:styleId="PointDouble4">
    <w:name w:val="PointDouble 4"/>
    <w:basedOn w:val="Normal"/>
    <w:rsid w:val="00142CA8"/>
    <w:pPr>
      <w:tabs>
        <w:tab w:val="left" w:pos="3118"/>
      </w:tabs>
      <w:ind w:left="3685" w:hanging="1134"/>
    </w:pPr>
    <w:rPr>
      <w:rFonts w:ascii="Arial" w:eastAsia="Times New Roman" w:hAnsi="Arial" w:cs="Times New Roman"/>
      <w:szCs w:val="24"/>
    </w:rPr>
  </w:style>
  <w:style w:type="paragraph" w:customStyle="1" w:styleId="PointTriple0">
    <w:name w:val="PointTriple 0"/>
    <w:basedOn w:val="Normal"/>
    <w:rsid w:val="00142CA8"/>
    <w:pPr>
      <w:tabs>
        <w:tab w:val="left" w:pos="850"/>
        <w:tab w:val="left" w:pos="1417"/>
      </w:tabs>
      <w:ind w:left="1984" w:hanging="1984"/>
    </w:pPr>
    <w:rPr>
      <w:rFonts w:ascii="Arial" w:eastAsia="Times New Roman" w:hAnsi="Arial" w:cs="Times New Roman"/>
      <w:szCs w:val="24"/>
    </w:rPr>
  </w:style>
  <w:style w:type="paragraph" w:customStyle="1" w:styleId="PointTriple1">
    <w:name w:val="PointTriple 1"/>
    <w:basedOn w:val="Normal"/>
    <w:rsid w:val="00142CA8"/>
    <w:pPr>
      <w:tabs>
        <w:tab w:val="left" w:pos="1417"/>
        <w:tab w:val="left" w:pos="1984"/>
      </w:tabs>
      <w:ind w:left="2551" w:hanging="1701"/>
    </w:pPr>
    <w:rPr>
      <w:rFonts w:ascii="Arial" w:eastAsia="Times New Roman" w:hAnsi="Arial" w:cs="Times New Roman"/>
      <w:szCs w:val="24"/>
    </w:rPr>
  </w:style>
  <w:style w:type="paragraph" w:customStyle="1" w:styleId="PointTriple2">
    <w:name w:val="PointTriple 2"/>
    <w:basedOn w:val="Normal"/>
    <w:rsid w:val="00142CA8"/>
    <w:pPr>
      <w:tabs>
        <w:tab w:val="left" w:pos="1984"/>
        <w:tab w:val="left" w:pos="2551"/>
      </w:tabs>
      <w:ind w:left="3118" w:hanging="1701"/>
    </w:pPr>
    <w:rPr>
      <w:rFonts w:ascii="Arial" w:eastAsia="Times New Roman" w:hAnsi="Arial" w:cs="Times New Roman"/>
      <w:szCs w:val="24"/>
    </w:rPr>
  </w:style>
  <w:style w:type="paragraph" w:customStyle="1" w:styleId="PointTriple3">
    <w:name w:val="PointTriple 3"/>
    <w:basedOn w:val="Normal"/>
    <w:rsid w:val="00142CA8"/>
    <w:pPr>
      <w:tabs>
        <w:tab w:val="left" w:pos="2551"/>
        <w:tab w:val="left" w:pos="3118"/>
      </w:tabs>
      <w:ind w:left="3685" w:hanging="1701"/>
    </w:pPr>
    <w:rPr>
      <w:rFonts w:ascii="Arial" w:eastAsia="Times New Roman" w:hAnsi="Arial" w:cs="Times New Roman"/>
      <w:szCs w:val="24"/>
    </w:rPr>
  </w:style>
  <w:style w:type="paragraph" w:customStyle="1" w:styleId="PointTriple4">
    <w:name w:val="PointTriple 4"/>
    <w:basedOn w:val="Normal"/>
    <w:rsid w:val="00142CA8"/>
    <w:pPr>
      <w:tabs>
        <w:tab w:val="left" w:pos="3118"/>
        <w:tab w:val="left" w:pos="3685"/>
      </w:tabs>
      <w:ind w:left="4252" w:hanging="1701"/>
    </w:pPr>
    <w:rPr>
      <w:rFonts w:ascii="Arial" w:eastAsia="Times New Roman" w:hAnsi="Arial" w:cs="Times New Roman"/>
      <w:szCs w:val="24"/>
    </w:rPr>
  </w:style>
  <w:style w:type="paragraph" w:customStyle="1" w:styleId="NumPar1">
    <w:name w:val="NumPar 1"/>
    <w:basedOn w:val="Normal"/>
    <w:next w:val="Text1"/>
    <w:rsid w:val="00142CA8"/>
    <w:pPr>
      <w:numPr>
        <w:numId w:val="10"/>
      </w:numPr>
    </w:pPr>
    <w:rPr>
      <w:rFonts w:ascii="Arial" w:eastAsia="Times New Roman" w:hAnsi="Arial" w:cs="Times New Roman"/>
      <w:szCs w:val="24"/>
    </w:rPr>
  </w:style>
  <w:style w:type="paragraph" w:customStyle="1" w:styleId="NumPar2">
    <w:name w:val="NumPar 2"/>
    <w:basedOn w:val="Normal"/>
    <w:next w:val="Text1"/>
    <w:rsid w:val="00142CA8"/>
    <w:pPr>
      <w:numPr>
        <w:ilvl w:val="1"/>
        <w:numId w:val="10"/>
      </w:numPr>
    </w:pPr>
    <w:rPr>
      <w:rFonts w:ascii="Arial" w:eastAsia="Times New Roman" w:hAnsi="Arial" w:cs="Times New Roman"/>
      <w:szCs w:val="24"/>
    </w:rPr>
  </w:style>
  <w:style w:type="paragraph" w:customStyle="1" w:styleId="NumPar3">
    <w:name w:val="NumPar 3"/>
    <w:basedOn w:val="Normal"/>
    <w:next w:val="Text1"/>
    <w:rsid w:val="00142CA8"/>
    <w:pPr>
      <w:numPr>
        <w:ilvl w:val="2"/>
        <w:numId w:val="10"/>
      </w:numPr>
    </w:pPr>
    <w:rPr>
      <w:rFonts w:ascii="Arial" w:eastAsia="Times New Roman" w:hAnsi="Arial" w:cs="Times New Roman"/>
      <w:szCs w:val="24"/>
    </w:rPr>
  </w:style>
  <w:style w:type="paragraph" w:customStyle="1" w:styleId="NumPar4">
    <w:name w:val="NumPar 4"/>
    <w:basedOn w:val="Normal"/>
    <w:next w:val="Text1"/>
    <w:rsid w:val="00142CA8"/>
    <w:pPr>
      <w:numPr>
        <w:ilvl w:val="3"/>
        <w:numId w:val="10"/>
      </w:numPr>
    </w:pPr>
    <w:rPr>
      <w:rFonts w:ascii="Arial" w:eastAsia="Times New Roman" w:hAnsi="Arial" w:cs="Times New Roman"/>
      <w:szCs w:val="24"/>
    </w:rPr>
  </w:style>
  <w:style w:type="paragraph" w:customStyle="1" w:styleId="ManualNumPar1">
    <w:name w:val="Manual NumPar 1"/>
    <w:basedOn w:val="Normal"/>
    <w:next w:val="Text1"/>
    <w:rsid w:val="00142CA8"/>
    <w:pPr>
      <w:ind w:left="850" w:hanging="850"/>
    </w:pPr>
    <w:rPr>
      <w:rFonts w:ascii="Arial" w:eastAsia="Times New Roman" w:hAnsi="Arial" w:cs="Times New Roman"/>
      <w:szCs w:val="24"/>
    </w:rPr>
  </w:style>
  <w:style w:type="paragraph" w:customStyle="1" w:styleId="ManualNumPar2">
    <w:name w:val="Manual NumPar 2"/>
    <w:basedOn w:val="Normal"/>
    <w:next w:val="Text1"/>
    <w:rsid w:val="00142CA8"/>
    <w:pPr>
      <w:ind w:left="850" w:hanging="850"/>
    </w:pPr>
    <w:rPr>
      <w:rFonts w:ascii="Arial" w:eastAsia="Times New Roman" w:hAnsi="Arial" w:cs="Times New Roman"/>
      <w:szCs w:val="24"/>
    </w:rPr>
  </w:style>
  <w:style w:type="paragraph" w:customStyle="1" w:styleId="ManualNumPar3">
    <w:name w:val="Manual NumPar 3"/>
    <w:basedOn w:val="Normal"/>
    <w:next w:val="Text1"/>
    <w:rsid w:val="00142CA8"/>
    <w:pPr>
      <w:ind w:left="850" w:hanging="850"/>
    </w:pPr>
    <w:rPr>
      <w:rFonts w:ascii="Arial" w:eastAsia="Times New Roman" w:hAnsi="Arial" w:cs="Times New Roman"/>
      <w:szCs w:val="24"/>
    </w:rPr>
  </w:style>
  <w:style w:type="paragraph" w:customStyle="1" w:styleId="ManualNumPar4">
    <w:name w:val="Manual NumPar 4"/>
    <w:basedOn w:val="Normal"/>
    <w:next w:val="Text1"/>
    <w:rsid w:val="00142CA8"/>
    <w:pPr>
      <w:ind w:left="850" w:hanging="850"/>
    </w:pPr>
    <w:rPr>
      <w:rFonts w:ascii="Arial" w:eastAsia="Times New Roman" w:hAnsi="Arial" w:cs="Times New Roman"/>
      <w:szCs w:val="24"/>
    </w:rPr>
  </w:style>
  <w:style w:type="paragraph" w:customStyle="1" w:styleId="QuotedNumPar">
    <w:name w:val="Quoted NumPar"/>
    <w:basedOn w:val="Normal"/>
    <w:rsid w:val="00142CA8"/>
    <w:pPr>
      <w:ind w:left="1417" w:hanging="567"/>
    </w:pPr>
    <w:rPr>
      <w:rFonts w:ascii="Arial" w:eastAsia="Times New Roman" w:hAnsi="Arial" w:cs="Times New Roman"/>
      <w:szCs w:val="24"/>
    </w:rPr>
  </w:style>
  <w:style w:type="paragraph" w:customStyle="1" w:styleId="ManualHeading1">
    <w:name w:val="Manual Heading 1"/>
    <w:basedOn w:val="Normal"/>
    <w:next w:val="Text1"/>
    <w:rsid w:val="00142CA8"/>
    <w:pPr>
      <w:keepNext/>
      <w:tabs>
        <w:tab w:val="left" w:pos="850"/>
      </w:tabs>
      <w:spacing w:before="360"/>
      <w:ind w:left="850" w:hanging="850"/>
      <w:outlineLvl w:val="0"/>
    </w:pPr>
    <w:rPr>
      <w:rFonts w:ascii="Arial" w:eastAsia="Times New Roman" w:hAnsi="Arial" w:cs="Times New Roman"/>
      <w:b/>
      <w:smallCaps/>
      <w:szCs w:val="24"/>
    </w:rPr>
  </w:style>
  <w:style w:type="paragraph" w:customStyle="1" w:styleId="ManualHeading2">
    <w:name w:val="Manual Heading 2"/>
    <w:basedOn w:val="Normal"/>
    <w:next w:val="Text1"/>
    <w:rsid w:val="00142CA8"/>
    <w:pPr>
      <w:keepNext/>
      <w:tabs>
        <w:tab w:val="left" w:pos="850"/>
      </w:tabs>
      <w:ind w:left="850" w:hanging="850"/>
      <w:outlineLvl w:val="1"/>
    </w:pPr>
    <w:rPr>
      <w:rFonts w:ascii="Arial" w:eastAsia="Times New Roman" w:hAnsi="Arial" w:cs="Times New Roman"/>
      <w:b/>
      <w:szCs w:val="24"/>
    </w:rPr>
  </w:style>
  <w:style w:type="paragraph" w:customStyle="1" w:styleId="ManualHeading3">
    <w:name w:val="Manual Heading 3"/>
    <w:basedOn w:val="Normal"/>
    <w:next w:val="Text1"/>
    <w:rsid w:val="00142CA8"/>
    <w:pPr>
      <w:keepNext/>
      <w:tabs>
        <w:tab w:val="left" w:pos="850"/>
      </w:tabs>
      <w:ind w:left="850" w:hanging="850"/>
      <w:outlineLvl w:val="2"/>
    </w:pPr>
    <w:rPr>
      <w:rFonts w:ascii="Arial" w:eastAsia="Times New Roman" w:hAnsi="Arial" w:cs="Times New Roman"/>
      <w:i/>
      <w:szCs w:val="24"/>
    </w:rPr>
  </w:style>
  <w:style w:type="paragraph" w:customStyle="1" w:styleId="ManualHeading4">
    <w:name w:val="Manual Heading 4"/>
    <w:basedOn w:val="Normal"/>
    <w:next w:val="Text1"/>
    <w:rsid w:val="00142CA8"/>
    <w:pPr>
      <w:keepNext/>
      <w:tabs>
        <w:tab w:val="left" w:pos="850"/>
      </w:tabs>
      <w:ind w:left="850" w:hanging="850"/>
      <w:outlineLvl w:val="3"/>
    </w:pPr>
    <w:rPr>
      <w:rFonts w:ascii="Arial" w:eastAsia="Times New Roman" w:hAnsi="Arial" w:cs="Times New Roman"/>
      <w:szCs w:val="24"/>
    </w:rPr>
  </w:style>
  <w:style w:type="paragraph" w:customStyle="1" w:styleId="ChapterTitle">
    <w:name w:val="ChapterTitle"/>
    <w:basedOn w:val="Normal"/>
    <w:next w:val="Normal"/>
    <w:rsid w:val="00142CA8"/>
    <w:pPr>
      <w:keepNext/>
      <w:spacing w:after="360"/>
      <w:jc w:val="center"/>
    </w:pPr>
    <w:rPr>
      <w:rFonts w:ascii="Arial" w:eastAsia="Times New Roman" w:hAnsi="Arial" w:cs="Times New Roman"/>
      <w:b/>
      <w:sz w:val="32"/>
      <w:szCs w:val="24"/>
    </w:rPr>
  </w:style>
  <w:style w:type="paragraph" w:customStyle="1" w:styleId="PartTitle">
    <w:name w:val="PartTitle"/>
    <w:basedOn w:val="Normal"/>
    <w:next w:val="ChapterTitle"/>
    <w:rsid w:val="00142CA8"/>
    <w:pPr>
      <w:keepNext/>
      <w:pageBreakBefore/>
      <w:spacing w:after="360"/>
      <w:jc w:val="center"/>
    </w:pPr>
    <w:rPr>
      <w:rFonts w:ascii="Arial" w:eastAsia="Times New Roman" w:hAnsi="Arial" w:cs="Times New Roman"/>
      <w:b/>
      <w:sz w:val="36"/>
      <w:szCs w:val="24"/>
    </w:rPr>
  </w:style>
  <w:style w:type="paragraph" w:customStyle="1" w:styleId="SectionTitle">
    <w:name w:val="SectionTitle"/>
    <w:basedOn w:val="Normal"/>
    <w:next w:val="Heading1"/>
    <w:rsid w:val="00142CA8"/>
    <w:pPr>
      <w:keepNext/>
      <w:spacing w:after="360"/>
      <w:jc w:val="center"/>
    </w:pPr>
    <w:rPr>
      <w:rFonts w:ascii="Arial" w:eastAsia="Times New Roman" w:hAnsi="Arial" w:cs="Times New Roman"/>
      <w:b/>
      <w:smallCaps/>
      <w:sz w:val="28"/>
      <w:szCs w:val="24"/>
    </w:rPr>
  </w:style>
  <w:style w:type="paragraph" w:customStyle="1" w:styleId="TableTitle">
    <w:name w:val="Table Title"/>
    <w:basedOn w:val="Normal"/>
    <w:next w:val="Normal"/>
    <w:rsid w:val="00142CA8"/>
    <w:pPr>
      <w:jc w:val="center"/>
    </w:pPr>
    <w:rPr>
      <w:rFonts w:ascii="Arial" w:eastAsia="Times New Roman" w:hAnsi="Arial" w:cs="Times New Roman"/>
      <w:b/>
      <w:szCs w:val="24"/>
    </w:rPr>
  </w:style>
  <w:style w:type="character" w:customStyle="1" w:styleId="Marker1">
    <w:name w:val="Marker1"/>
    <w:rsid w:val="00142CA8"/>
    <w:rPr>
      <w:rFonts w:cs="Times New Roman"/>
      <w:color w:val="008000"/>
      <w:shd w:val="clear" w:color="auto" w:fill="auto"/>
    </w:rPr>
  </w:style>
  <w:style w:type="character" w:customStyle="1" w:styleId="Marker2">
    <w:name w:val="Marker2"/>
    <w:rsid w:val="00142CA8"/>
    <w:rPr>
      <w:rFonts w:cs="Times New Roman"/>
      <w:color w:val="FF0000"/>
      <w:shd w:val="clear" w:color="auto" w:fill="auto"/>
    </w:rPr>
  </w:style>
  <w:style w:type="paragraph" w:styleId="TOCHeading">
    <w:name w:val="TOC Heading"/>
    <w:basedOn w:val="Normal"/>
    <w:next w:val="Normal"/>
    <w:uiPriority w:val="39"/>
    <w:qFormat/>
    <w:rsid w:val="00142CA8"/>
    <w:pPr>
      <w:spacing w:after="240"/>
      <w:jc w:val="center"/>
    </w:pPr>
    <w:rPr>
      <w:rFonts w:ascii="Arial" w:eastAsia="Times New Roman" w:hAnsi="Arial" w:cs="Times New Roman"/>
      <w:b/>
      <w:sz w:val="28"/>
      <w:szCs w:val="24"/>
    </w:rPr>
  </w:style>
  <w:style w:type="paragraph" w:customStyle="1" w:styleId="Point0number">
    <w:name w:val="Point 0 (number)"/>
    <w:basedOn w:val="Normal"/>
    <w:rsid w:val="00142CA8"/>
    <w:pPr>
      <w:numPr>
        <w:numId w:val="12"/>
      </w:numPr>
    </w:pPr>
    <w:rPr>
      <w:rFonts w:ascii="Arial" w:eastAsia="Times New Roman" w:hAnsi="Arial" w:cs="Times New Roman"/>
      <w:szCs w:val="24"/>
    </w:rPr>
  </w:style>
  <w:style w:type="paragraph" w:customStyle="1" w:styleId="Point1number">
    <w:name w:val="Point 1 (number)"/>
    <w:basedOn w:val="Normal"/>
    <w:rsid w:val="00142CA8"/>
    <w:pPr>
      <w:numPr>
        <w:ilvl w:val="2"/>
        <w:numId w:val="12"/>
      </w:numPr>
    </w:pPr>
    <w:rPr>
      <w:rFonts w:ascii="Arial" w:eastAsia="Times New Roman" w:hAnsi="Arial" w:cs="Times New Roman"/>
      <w:szCs w:val="24"/>
    </w:rPr>
  </w:style>
  <w:style w:type="paragraph" w:customStyle="1" w:styleId="Point2number">
    <w:name w:val="Point 2 (number)"/>
    <w:basedOn w:val="Normal"/>
    <w:rsid w:val="00142CA8"/>
    <w:pPr>
      <w:numPr>
        <w:ilvl w:val="4"/>
        <w:numId w:val="12"/>
      </w:numPr>
    </w:pPr>
    <w:rPr>
      <w:rFonts w:ascii="Arial" w:eastAsia="Times New Roman" w:hAnsi="Arial" w:cs="Times New Roman"/>
      <w:szCs w:val="24"/>
    </w:rPr>
  </w:style>
  <w:style w:type="paragraph" w:customStyle="1" w:styleId="Point3number">
    <w:name w:val="Point 3 (number)"/>
    <w:basedOn w:val="Normal"/>
    <w:rsid w:val="00142CA8"/>
    <w:pPr>
      <w:numPr>
        <w:ilvl w:val="6"/>
        <w:numId w:val="12"/>
      </w:numPr>
    </w:pPr>
    <w:rPr>
      <w:rFonts w:ascii="Arial" w:eastAsia="Times New Roman" w:hAnsi="Arial" w:cs="Times New Roman"/>
      <w:szCs w:val="24"/>
    </w:rPr>
  </w:style>
  <w:style w:type="paragraph" w:customStyle="1" w:styleId="Point0letter">
    <w:name w:val="Point 0 (letter)"/>
    <w:basedOn w:val="Normal"/>
    <w:rsid w:val="00142CA8"/>
    <w:pPr>
      <w:numPr>
        <w:ilvl w:val="1"/>
        <w:numId w:val="12"/>
      </w:numPr>
    </w:pPr>
    <w:rPr>
      <w:rFonts w:ascii="Arial" w:eastAsia="Times New Roman" w:hAnsi="Arial" w:cs="Times New Roman"/>
      <w:szCs w:val="24"/>
    </w:rPr>
  </w:style>
  <w:style w:type="paragraph" w:customStyle="1" w:styleId="Point1letter">
    <w:name w:val="Point 1 (letter)"/>
    <w:basedOn w:val="Normal"/>
    <w:rsid w:val="00142CA8"/>
    <w:pPr>
      <w:numPr>
        <w:ilvl w:val="3"/>
        <w:numId w:val="12"/>
      </w:numPr>
    </w:pPr>
    <w:rPr>
      <w:rFonts w:ascii="Arial" w:eastAsia="Times New Roman" w:hAnsi="Arial" w:cs="Times New Roman"/>
      <w:szCs w:val="24"/>
    </w:rPr>
  </w:style>
  <w:style w:type="paragraph" w:customStyle="1" w:styleId="Point2letter">
    <w:name w:val="Point 2 (letter)"/>
    <w:basedOn w:val="Normal"/>
    <w:rsid w:val="00142CA8"/>
    <w:pPr>
      <w:numPr>
        <w:ilvl w:val="5"/>
        <w:numId w:val="12"/>
      </w:numPr>
    </w:pPr>
    <w:rPr>
      <w:rFonts w:ascii="Arial" w:eastAsia="Times New Roman" w:hAnsi="Arial" w:cs="Times New Roman"/>
      <w:szCs w:val="24"/>
    </w:rPr>
  </w:style>
  <w:style w:type="paragraph" w:customStyle="1" w:styleId="Point3letter">
    <w:name w:val="Point 3 (letter)"/>
    <w:basedOn w:val="Normal"/>
    <w:rsid w:val="00142CA8"/>
    <w:pPr>
      <w:numPr>
        <w:ilvl w:val="7"/>
        <w:numId w:val="12"/>
      </w:numPr>
    </w:pPr>
    <w:rPr>
      <w:rFonts w:ascii="Arial" w:eastAsia="Times New Roman" w:hAnsi="Arial" w:cs="Times New Roman"/>
      <w:szCs w:val="24"/>
    </w:rPr>
  </w:style>
  <w:style w:type="paragraph" w:customStyle="1" w:styleId="Point4letter">
    <w:name w:val="Point 4 (letter)"/>
    <w:basedOn w:val="Normal"/>
    <w:rsid w:val="00142CA8"/>
    <w:pPr>
      <w:numPr>
        <w:ilvl w:val="8"/>
        <w:numId w:val="12"/>
      </w:numPr>
    </w:pPr>
    <w:rPr>
      <w:rFonts w:ascii="Arial" w:eastAsia="Times New Roman" w:hAnsi="Arial" w:cs="Times New Roman"/>
      <w:szCs w:val="24"/>
    </w:rPr>
  </w:style>
  <w:style w:type="paragraph" w:customStyle="1" w:styleId="Bullet0">
    <w:name w:val="Bullet 0"/>
    <w:basedOn w:val="Normal"/>
    <w:rsid w:val="00142CA8"/>
    <w:pPr>
      <w:numPr>
        <w:numId w:val="13"/>
      </w:numPr>
    </w:pPr>
    <w:rPr>
      <w:rFonts w:ascii="Arial" w:eastAsia="Times New Roman" w:hAnsi="Arial" w:cs="Times New Roman"/>
      <w:szCs w:val="24"/>
    </w:rPr>
  </w:style>
  <w:style w:type="paragraph" w:customStyle="1" w:styleId="Bullet1">
    <w:name w:val="Bullet 1"/>
    <w:basedOn w:val="Normal"/>
    <w:rsid w:val="00142CA8"/>
    <w:pPr>
      <w:numPr>
        <w:numId w:val="14"/>
      </w:numPr>
    </w:pPr>
    <w:rPr>
      <w:rFonts w:ascii="Arial" w:eastAsia="Times New Roman" w:hAnsi="Arial" w:cs="Times New Roman"/>
      <w:szCs w:val="24"/>
    </w:rPr>
  </w:style>
  <w:style w:type="paragraph" w:customStyle="1" w:styleId="Bullet2">
    <w:name w:val="Bullet 2"/>
    <w:basedOn w:val="Normal"/>
    <w:rsid w:val="00142CA8"/>
    <w:pPr>
      <w:numPr>
        <w:numId w:val="15"/>
      </w:numPr>
    </w:pPr>
    <w:rPr>
      <w:rFonts w:ascii="Arial" w:eastAsia="Times New Roman" w:hAnsi="Arial" w:cs="Times New Roman"/>
      <w:szCs w:val="24"/>
    </w:rPr>
  </w:style>
  <w:style w:type="paragraph" w:customStyle="1" w:styleId="Bullet3">
    <w:name w:val="Bullet 3"/>
    <w:basedOn w:val="Normal"/>
    <w:rsid w:val="00142CA8"/>
    <w:pPr>
      <w:numPr>
        <w:numId w:val="16"/>
      </w:numPr>
    </w:pPr>
    <w:rPr>
      <w:rFonts w:ascii="Arial" w:eastAsia="Times New Roman" w:hAnsi="Arial" w:cs="Times New Roman"/>
      <w:szCs w:val="24"/>
    </w:rPr>
  </w:style>
  <w:style w:type="paragraph" w:customStyle="1" w:styleId="Bullet4">
    <w:name w:val="Bullet 4"/>
    <w:basedOn w:val="Normal"/>
    <w:rsid w:val="00142CA8"/>
    <w:pPr>
      <w:numPr>
        <w:numId w:val="17"/>
      </w:numPr>
    </w:pPr>
    <w:rPr>
      <w:rFonts w:ascii="Arial" w:eastAsia="Times New Roman" w:hAnsi="Arial" w:cs="Times New Roman"/>
      <w:szCs w:val="24"/>
    </w:rPr>
  </w:style>
  <w:style w:type="paragraph" w:customStyle="1" w:styleId="Annexetitreexpos">
    <w:name w:val="Annexe titre (exposé)"/>
    <w:basedOn w:val="Normal"/>
    <w:next w:val="Normal"/>
    <w:rsid w:val="00142CA8"/>
    <w:pPr>
      <w:jc w:val="center"/>
    </w:pPr>
    <w:rPr>
      <w:rFonts w:ascii="Arial" w:eastAsia="Times New Roman" w:hAnsi="Arial" w:cs="Times New Roman"/>
      <w:b/>
      <w:szCs w:val="24"/>
      <w:u w:val="single"/>
    </w:rPr>
  </w:style>
  <w:style w:type="paragraph" w:customStyle="1" w:styleId="Annexetitre">
    <w:name w:val="Annexe titre"/>
    <w:basedOn w:val="Normal"/>
    <w:next w:val="Normal"/>
    <w:rsid w:val="00142CA8"/>
    <w:pPr>
      <w:jc w:val="center"/>
    </w:pPr>
    <w:rPr>
      <w:rFonts w:ascii="Arial" w:eastAsia="Times New Roman" w:hAnsi="Arial" w:cs="Times New Roman"/>
      <w:b/>
      <w:szCs w:val="24"/>
      <w:u w:val="single"/>
    </w:rPr>
  </w:style>
  <w:style w:type="paragraph" w:customStyle="1" w:styleId="Annexetitrefichefinancire">
    <w:name w:val="Annexe titre (fiche financière)"/>
    <w:basedOn w:val="Normal"/>
    <w:next w:val="Normal"/>
    <w:rsid w:val="00142CA8"/>
    <w:pPr>
      <w:jc w:val="center"/>
    </w:pPr>
    <w:rPr>
      <w:rFonts w:ascii="Arial" w:eastAsia="Times New Roman" w:hAnsi="Arial" w:cs="Times New Roman"/>
      <w:b/>
      <w:szCs w:val="24"/>
      <w:u w:val="single"/>
    </w:rPr>
  </w:style>
  <w:style w:type="paragraph" w:customStyle="1" w:styleId="Applicationdirecte">
    <w:name w:val="Application directe"/>
    <w:basedOn w:val="Normal"/>
    <w:next w:val="Fait"/>
    <w:rsid w:val="00142CA8"/>
    <w:pPr>
      <w:spacing w:before="480"/>
    </w:pPr>
    <w:rPr>
      <w:rFonts w:ascii="Arial" w:eastAsia="Times New Roman" w:hAnsi="Arial" w:cs="Times New Roman"/>
      <w:szCs w:val="24"/>
    </w:rPr>
  </w:style>
  <w:style w:type="paragraph" w:customStyle="1" w:styleId="Avertissementtitre">
    <w:name w:val="Avertissement titre"/>
    <w:basedOn w:val="Normal"/>
    <w:next w:val="Normal"/>
    <w:rsid w:val="00142CA8"/>
    <w:pPr>
      <w:keepNext/>
      <w:spacing w:before="480"/>
    </w:pPr>
    <w:rPr>
      <w:rFonts w:ascii="Arial" w:eastAsia="Times New Roman" w:hAnsi="Arial" w:cs="Times New Roman"/>
      <w:szCs w:val="24"/>
      <w:u w:val="single"/>
    </w:rPr>
  </w:style>
  <w:style w:type="paragraph" w:customStyle="1" w:styleId="Confidence">
    <w:name w:val="Confidence"/>
    <w:basedOn w:val="Normal"/>
    <w:next w:val="Normal"/>
    <w:rsid w:val="00142CA8"/>
    <w:pPr>
      <w:spacing w:before="360"/>
      <w:jc w:val="center"/>
    </w:pPr>
    <w:rPr>
      <w:rFonts w:ascii="Arial" w:eastAsia="Times New Roman" w:hAnsi="Arial" w:cs="Times New Roman"/>
      <w:szCs w:val="24"/>
    </w:rPr>
  </w:style>
  <w:style w:type="paragraph" w:customStyle="1" w:styleId="Confidentialit">
    <w:name w:val="Confidentialité"/>
    <w:basedOn w:val="Normal"/>
    <w:next w:val="TypedudocumentPagedecouverture"/>
    <w:rsid w:val="00142CA8"/>
    <w:pPr>
      <w:spacing w:before="240" w:after="240"/>
      <w:ind w:left="5103"/>
    </w:pPr>
    <w:rPr>
      <w:rFonts w:ascii="Arial" w:eastAsia="Times New Roman" w:hAnsi="Arial" w:cs="Times New Roman"/>
      <w:i/>
      <w:sz w:val="32"/>
      <w:szCs w:val="24"/>
    </w:rPr>
  </w:style>
  <w:style w:type="paragraph" w:customStyle="1" w:styleId="Considrant">
    <w:name w:val="Considérant"/>
    <w:basedOn w:val="Normal"/>
    <w:rsid w:val="00142CA8"/>
    <w:pPr>
      <w:numPr>
        <w:numId w:val="18"/>
      </w:numPr>
    </w:pPr>
    <w:rPr>
      <w:rFonts w:ascii="Arial" w:eastAsia="Times New Roman" w:hAnsi="Arial" w:cs="Times New Roman"/>
      <w:szCs w:val="24"/>
    </w:rPr>
  </w:style>
  <w:style w:type="paragraph" w:customStyle="1" w:styleId="Corrigendum">
    <w:name w:val="Corrigendum"/>
    <w:basedOn w:val="Normal"/>
    <w:next w:val="Normal"/>
    <w:pPr>
      <w:spacing w:before="0" w:after="240"/>
    </w:pPr>
    <w:rPr>
      <w:rFonts w:ascii="Arial" w:eastAsia="Times New Roman" w:hAnsi="Arial" w:cs="Times New Roman"/>
      <w:szCs w:val="24"/>
    </w:rPr>
  </w:style>
  <w:style w:type="paragraph" w:customStyle="1" w:styleId="Datedadoption">
    <w:name w:val="Date d'adoption"/>
    <w:basedOn w:val="Normal"/>
    <w:next w:val="Titreobjet"/>
    <w:rsid w:val="00142CA8"/>
    <w:pPr>
      <w:spacing w:before="360" w:after="0"/>
      <w:jc w:val="center"/>
    </w:pPr>
    <w:rPr>
      <w:rFonts w:ascii="Arial" w:eastAsia="Times New Roman" w:hAnsi="Arial" w:cs="Times New Roman"/>
      <w:b/>
      <w:szCs w:val="24"/>
    </w:rPr>
  </w:style>
  <w:style w:type="paragraph" w:customStyle="1" w:styleId="Emission">
    <w:name w:val="Emission"/>
    <w:basedOn w:val="Normal"/>
    <w:next w:val="Rfrenceinstitutionnelle"/>
    <w:pPr>
      <w:spacing w:before="0" w:after="0"/>
      <w:ind w:left="5103"/>
    </w:pPr>
    <w:rPr>
      <w:rFonts w:ascii="Arial" w:eastAsia="Times New Roman" w:hAnsi="Arial" w:cs="Times New Roman"/>
      <w:szCs w:val="24"/>
    </w:rPr>
  </w:style>
  <w:style w:type="paragraph" w:customStyle="1" w:styleId="Exposdesmotifstitre">
    <w:name w:val="Exposé des motifs titre"/>
    <w:basedOn w:val="Normal"/>
    <w:next w:val="Normal"/>
    <w:rsid w:val="00142CA8"/>
    <w:pPr>
      <w:jc w:val="center"/>
    </w:pPr>
    <w:rPr>
      <w:rFonts w:ascii="Arial" w:eastAsia="Times New Roman" w:hAnsi="Arial" w:cs="Times New Roman"/>
      <w:b/>
      <w:szCs w:val="24"/>
      <w:u w:val="single"/>
    </w:rPr>
  </w:style>
  <w:style w:type="paragraph" w:customStyle="1" w:styleId="Fait">
    <w:name w:val="Fait à"/>
    <w:basedOn w:val="Normal"/>
    <w:next w:val="Institutionquisigne"/>
    <w:rsid w:val="00142CA8"/>
    <w:pPr>
      <w:keepNext/>
      <w:spacing w:after="0"/>
    </w:pPr>
    <w:rPr>
      <w:rFonts w:ascii="Arial" w:eastAsia="Times New Roman" w:hAnsi="Arial" w:cs="Times New Roman"/>
      <w:szCs w:val="24"/>
    </w:rPr>
  </w:style>
  <w:style w:type="paragraph" w:customStyle="1" w:styleId="Formuledadoption">
    <w:name w:val="Formule d'adoption"/>
    <w:basedOn w:val="Normal"/>
    <w:next w:val="Titrearticle"/>
    <w:rsid w:val="00142CA8"/>
    <w:pPr>
      <w:keepNext/>
    </w:pPr>
    <w:rPr>
      <w:rFonts w:ascii="Arial" w:eastAsia="Times New Roman" w:hAnsi="Arial" w:cs="Times New Roman"/>
      <w:szCs w:val="24"/>
    </w:rPr>
  </w:style>
  <w:style w:type="paragraph" w:customStyle="1" w:styleId="Institutionquiagit">
    <w:name w:val="Institution qui agit"/>
    <w:basedOn w:val="Normal"/>
    <w:next w:val="Normal"/>
    <w:rsid w:val="00142CA8"/>
    <w:pPr>
      <w:keepNext/>
      <w:spacing w:before="600"/>
    </w:pPr>
    <w:rPr>
      <w:rFonts w:ascii="Arial" w:eastAsia="Times New Roman" w:hAnsi="Arial" w:cs="Times New Roman"/>
      <w:szCs w:val="24"/>
    </w:rPr>
  </w:style>
  <w:style w:type="paragraph" w:customStyle="1" w:styleId="Institutionquisigne">
    <w:name w:val="Institution qui signe"/>
    <w:basedOn w:val="Normal"/>
    <w:next w:val="Personnequisigne"/>
    <w:rsid w:val="00142CA8"/>
    <w:pPr>
      <w:keepNext/>
      <w:tabs>
        <w:tab w:val="left" w:pos="4252"/>
      </w:tabs>
      <w:spacing w:before="720" w:after="0"/>
    </w:pPr>
    <w:rPr>
      <w:rFonts w:ascii="Arial" w:eastAsia="Times New Roman" w:hAnsi="Arial" w:cs="Times New Roman"/>
      <w:i/>
      <w:szCs w:val="24"/>
    </w:rPr>
  </w:style>
  <w:style w:type="paragraph" w:customStyle="1" w:styleId="Langue">
    <w:name w:val="Langue"/>
    <w:basedOn w:val="Normal"/>
    <w:next w:val="Rfrenceinterne"/>
    <w:rsid w:val="00142CA8"/>
    <w:pPr>
      <w:framePr w:wrap="around" w:vAnchor="page" w:hAnchor="text" w:xAlign="center" w:y="14741"/>
      <w:spacing w:before="0" w:after="600"/>
      <w:jc w:val="center"/>
    </w:pPr>
    <w:rPr>
      <w:rFonts w:ascii="Arial" w:eastAsia="Times New Roman" w:hAnsi="Arial" w:cs="Times New Roman"/>
      <w:b/>
      <w:caps/>
      <w:szCs w:val="24"/>
    </w:rPr>
  </w:style>
  <w:style w:type="paragraph" w:customStyle="1" w:styleId="ManualConsidrant">
    <w:name w:val="Manual Considérant"/>
    <w:basedOn w:val="Normal"/>
    <w:rsid w:val="00142CA8"/>
    <w:pPr>
      <w:ind w:left="709" w:hanging="709"/>
    </w:pPr>
    <w:rPr>
      <w:rFonts w:ascii="Arial" w:eastAsia="Times New Roman" w:hAnsi="Arial" w:cs="Times New Roman"/>
      <w:szCs w:val="24"/>
    </w:rPr>
  </w:style>
  <w:style w:type="paragraph" w:customStyle="1" w:styleId="Nomdelinstitution">
    <w:name w:val="Nom de l'institution"/>
    <w:basedOn w:val="Normal"/>
    <w:next w:val="Emission"/>
    <w:pPr>
      <w:spacing w:before="0" w:after="0"/>
    </w:pPr>
    <w:rPr>
      <w:rFonts w:ascii="Arial" w:eastAsia="Times New Roman" w:hAnsi="Arial" w:cs="Arial"/>
      <w:szCs w:val="24"/>
    </w:rPr>
  </w:style>
  <w:style w:type="paragraph" w:customStyle="1" w:styleId="Personnequisigne">
    <w:name w:val="Personne qui signe"/>
    <w:basedOn w:val="Normal"/>
    <w:next w:val="Institutionquisigne"/>
    <w:pPr>
      <w:tabs>
        <w:tab w:val="left" w:pos="4252"/>
      </w:tabs>
      <w:spacing w:before="0" w:after="0"/>
    </w:pPr>
    <w:rPr>
      <w:rFonts w:ascii="Arial" w:eastAsia="Times New Roman" w:hAnsi="Arial" w:cs="Times New Roman"/>
      <w:i/>
      <w:szCs w:val="24"/>
    </w:rPr>
  </w:style>
  <w:style w:type="paragraph" w:customStyle="1" w:styleId="Rfrenceinstitutionnelle">
    <w:name w:val="Référence institutionnelle"/>
    <w:basedOn w:val="Normal"/>
    <w:next w:val="Confidentialit"/>
    <w:pPr>
      <w:spacing w:before="0" w:after="240"/>
      <w:ind w:left="5103"/>
    </w:pPr>
    <w:rPr>
      <w:rFonts w:ascii="Arial" w:eastAsia="Times New Roman" w:hAnsi="Arial" w:cs="Times New Roman"/>
      <w:szCs w:val="24"/>
    </w:rPr>
  </w:style>
  <w:style w:type="paragraph" w:customStyle="1" w:styleId="Rfrenceinterinstitutionnelle">
    <w:name w:val="Référence interinstitutionnelle"/>
    <w:basedOn w:val="Normal"/>
    <w:next w:val="Statut"/>
    <w:pPr>
      <w:spacing w:before="0" w:after="0"/>
      <w:ind w:left="5103"/>
    </w:pPr>
    <w:rPr>
      <w:rFonts w:ascii="Arial" w:eastAsia="Times New Roman" w:hAnsi="Arial" w:cs="Times New Roman"/>
      <w:szCs w:val="24"/>
    </w:rPr>
  </w:style>
  <w:style w:type="paragraph" w:customStyle="1" w:styleId="Rfrenceinterne">
    <w:name w:val="Référence interne"/>
    <w:basedOn w:val="Normal"/>
    <w:next w:val="Rfrenceinterinstitutionnelle"/>
    <w:pPr>
      <w:spacing w:before="0" w:after="0"/>
      <w:ind w:left="5103"/>
    </w:pPr>
    <w:rPr>
      <w:rFonts w:ascii="Arial" w:eastAsia="Times New Roman" w:hAnsi="Arial" w:cs="Times New Roman"/>
      <w:szCs w:val="24"/>
    </w:rPr>
  </w:style>
  <w:style w:type="paragraph" w:customStyle="1" w:styleId="Sous-titreobjet">
    <w:name w:val="Sous-titre objet"/>
    <w:basedOn w:val="Normal"/>
    <w:rsid w:val="00142CA8"/>
    <w:pPr>
      <w:spacing w:before="0" w:after="0"/>
      <w:jc w:val="center"/>
    </w:pPr>
    <w:rPr>
      <w:rFonts w:ascii="Arial" w:eastAsia="Times New Roman" w:hAnsi="Arial" w:cs="Times New Roman"/>
      <w:b/>
      <w:szCs w:val="24"/>
    </w:rPr>
  </w:style>
  <w:style w:type="paragraph" w:customStyle="1" w:styleId="Statut">
    <w:name w:val="Statut"/>
    <w:basedOn w:val="Normal"/>
    <w:next w:val="Typedudocument"/>
    <w:rsid w:val="00142CA8"/>
    <w:pPr>
      <w:spacing w:before="360" w:after="0"/>
      <w:jc w:val="center"/>
    </w:pPr>
    <w:rPr>
      <w:rFonts w:ascii="Arial" w:eastAsia="Times New Roman" w:hAnsi="Arial" w:cs="Times New Roman"/>
      <w:szCs w:val="24"/>
    </w:rPr>
  </w:style>
  <w:style w:type="paragraph" w:customStyle="1" w:styleId="Titrearticle">
    <w:name w:val="Titre article"/>
    <w:basedOn w:val="Normal"/>
    <w:next w:val="Normal"/>
    <w:rsid w:val="00142CA8"/>
    <w:pPr>
      <w:keepNext/>
      <w:spacing w:before="360"/>
      <w:jc w:val="center"/>
    </w:pPr>
    <w:rPr>
      <w:rFonts w:ascii="Arial" w:eastAsia="Times New Roman" w:hAnsi="Arial" w:cs="Times New Roman"/>
      <w:i/>
      <w:szCs w:val="24"/>
    </w:rPr>
  </w:style>
  <w:style w:type="character" w:customStyle="1" w:styleId="Added">
    <w:name w:val="Added"/>
    <w:rsid w:val="00142CA8"/>
    <w:rPr>
      <w:rFonts w:cs="Times New Roman"/>
      <w:b/>
      <w:u w:val="single"/>
      <w:shd w:val="clear" w:color="auto" w:fill="auto"/>
    </w:rPr>
  </w:style>
  <w:style w:type="character" w:customStyle="1" w:styleId="Deleted">
    <w:name w:val="Deleted"/>
    <w:rsid w:val="00142CA8"/>
    <w:rPr>
      <w:rFonts w:cs="Times New Roman"/>
      <w:strike/>
      <w:shd w:val="clear" w:color="auto" w:fill="auto"/>
    </w:rPr>
  </w:style>
  <w:style w:type="paragraph" w:customStyle="1" w:styleId="Address">
    <w:name w:val="Address"/>
    <w:basedOn w:val="Normal"/>
    <w:next w:val="Normal"/>
    <w:pPr>
      <w:keepLines/>
      <w:spacing w:line="360" w:lineRule="auto"/>
      <w:ind w:left="3402"/>
    </w:pPr>
    <w:rPr>
      <w:rFonts w:ascii="Arial" w:eastAsia="Times New Roman" w:hAnsi="Arial" w:cs="Times New Roman"/>
      <w:szCs w:val="24"/>
    </w:rPr>
  </w:style>
  <w:style w:type="paragraph" w:customStyle="1" w:styleId="Objetexterne">
    <w:name w:val="Objet externe"/>
    <w:basedOn w:val="Normal"/>
    <w:next w:val="Normal"/>
    <w:rsid w:val="00142CA8"/>
    <w:rPr>
      <w:rFonts w:ascii="Arial" w:eastAsia="Times New Roman" w:hAnsi="Arial" w:cs="Times New Roman"/>
      <w:i/>
      <w:caps/>
      <w:szCs w:val="24"/>
    </w:rPr>
  </w:style>
  <w:style w:type="paragraph" w:customStyle="1" w:styleId="Supertitre">
    <w:name w:val="Supertitre"/>
    <w:basedOn w:val="Normal"/>
    <w:next w:val="Normal"/>
    <w:rsid w:val="00142CA8"/>
    <w:pPr>
      <w:spacing w:before="0" w:after="600"/>
      <w:jc w:val="center"/>
    </w:pPr>
    <w:rPr>
      <w:rFonts w:ascii="Arial" w:eastAsia="Times New Roman" w:hAnsi="Arial" w:cs="Times New Roman"/>
      <w:b/>
      <w:szCs w:val="24"/>
    </w:rPr>
  </w:style>
  <w:style w:type="paragraph" w:customStyle="1" w:styleId="Languesfaisantfoi">
    <w:name w:val="Langues faisant foi"/>
    <w:basedOn w:val="Normal"/>
    <w:next w:val="Normal"/>
    <w:rsid w:val="00142CA8"/>
    <w:pPr>
      <w:spacing w:before="360" w:after="0"/>
      <w:jc w:val="center"/>
    </w:pPr>
    <w:rPr>
      <w:rFonts w:ascii="Arial" w:eastAsia="Times New Roman" w:hAnsi="Arial" w:cs="Times New Roman"/>
      <w:szCs w:val="24"/>
    </w:rPr>
  </w:style>
  <w:style w:type="paragraph" w:customStyle="1" w:styleId="Rfrencecroise">
    <w:name w:val="Référence croisée"/>
    <w:basedOn w:val="Normal"/>
    <w:rsid w:val="00142CA8"/>
    <w:pPr>
      <w:spacing w:before="0" w:after="0"/>
      <w:jc w:val="center"/>
    </w:pPr>
    <w:rPr>
      <w:rFonts w:ascii="Arial" w:eastAsia="Times New Roman" w:hAnsi="Arial" w:cs="Times New Roman"/>
      <w:szCs w:val="24"/>
    </w:rPr>
  </w:style>
  <w:style w:type="paragraph" w:customStyle="1" w:styleId="Fichefinanciretitre">
    <w:name w:val="Fiche financière titre"/>
    <w:basedOn w:val="Normal"/>
    <w:next w:val="Normal"/>
    <w:rsid w:val="00142CA8"/>
    <w:pPr>
      <w:jc w:val="center"/>
    </w:pPr>
    <w:rPr>
      <w:rFonts w:ascii="Arial" w:eastAsia="Times New Roman" w:hAnsi="Arial" w:cs="Times New Roman"/>
      <w:b/>
      <w:szCs w:val="24"/>
      <w:u w:val="single"/>
    </w:rPr>
  </w:style>
  <w:style w:type="paragraph" w:customStyle="1" w:styleId="DatedadoptionPagedecouverture">
    <w:name w:val="Date d'adoption (Page de couverture)"/>
    <w:basedOn w:val="Datedadoption"/>
    <w:next w:val="TitreobjetPagedecouverture"/>
    <w:rsid w:val="00142CA8"/>
  </w:style>
  <w:style w:type="paragraph" w:customStyle="1" w:styleId="RfrenceinterinstitutionnellePagedecouverture">
    <w:name w:val="Référence interinstitutionnelle (Page de couverture)"/>
    <w:basedOn w:val="Rfrenceinterinstitutionnelle"/>
    <w:next w:val="Confidentialit"/>
    <w:rsid w:val="00142CA8"/>
  </w:style>
  <w:style w:type="paragraph" w:customStyle="1" w:styleId="Sous-titreobjetPagedecouverture">
    <w:name w:val="Sous-titre objet (Page de couverture)"/>
    <w:basedOn w:val="Sous-titreobjet"/>
    <w:rsid w:val="00142CA8"/>
  </w:style>
  <w:style w:type="paragraph" w:customStyle="1" w:styleId="StatutPagedecouverture">
    <w:name w:val="Statut (Page de couverture)"/>
    <w:basedOn w:val="Statut"/>
    <w:next w:val="TypedudocumentPagedecouverture"/>
    <w:rsid w:val="00142CA8"/>
  </w:style>
  <w:style w:type="paragraph" w:customStyle="1" w:styleId="TitreobjetPagedecouverture">
    <w:name w:val="Titre objet (Page de couverture)"/>
    <w:basedOn w:val="Titreobjet"/>
    <w:next w:val="Sous-titreobjetPagedecouverture"/>
    <w:rsid w:val="00142CA8"/>
    <w:rPr>
      <w:rFonts w:ascii="Arial" w:eastAsia="Times New Roman" w:hAnsi="Arial"/>
      <w:szCs w:val="24"/>
    </w:rPr>
  </w:style>
  <w:style w:type="paragraph" w:customStyle="1" w:styleId="TypedudocumentPagedecouverture">
    <w:name w:val="Type du document (Page de couverture)"/>
    <w:basedOn w:val="Typedudocument"/>
    <w:next w:val="TitreobjetPagedecouverture"/>
    <w:rsid w:val="00142CA8"/>
    <w:rPr>
      <w:rFonts w:ascii="Arial" w:eastAsia="Times New Roman" w:hAnsi="Arial"/>
      <w:szCs w:val="24"/>
    </w:rPr>
  </w:style>
  <w:style w:type="paragraph" w:customStyle="1" w:styleId="Volume">
    <w:name w:val="Volume"/>
    <w:basedOn w:val="Normal"/>
    <w:next w:val="Confidentialit"/>
    <w:pPr>
      <w:spacing w:before="0" w:after="240"/>
      <w:ind w:left="5103"/>
    </w:pPr>
    <w:rPr>
      <w:rFonts w:ascii="Arial" w:eastAsia="Times New Roman" w:hAnsi="Arial" w:cs="Times New Roman"/>
      <w:szCs w:val="24"/>
    </w:rPr>
  </w:style>
  <w:style w:type="paragraph" w:customStyle="1" w:styleId="IntrtEEE">
    <w:name w:val="Intérêt EEE"/>
    <w:basedOn w:val="Languesfaisantfoi"/>
    <w:next w:val="Normal"/>
    <w:rsid w:val="00142CA8"/>
    <w:pPr>
      <w:spacing w:after="240"/>
    </w:pPr>
  </w:style>
  <w:style w:type="paragraph" w:customStyle="1" w:styleId="IntrtEEEPagedecouverture">
    <w:name w:val="Intérêt EEE (Page de couverture)"/>
    <w:basedOn w:val="IntrtEEE"/>
    <w:next w:val="Rfrencecroise"/>
    <w:rsid w:val="00142CA8"/>
  </w:style>
  <w:style w:type="paragraph" w:customStyle="1" w:styleId="AccompagnantPagedecouverture">
    <w:name w:val="Accompagnant (Page de couverture)"/>
    <w:basedOn w:val="Accompagnant"/>
    <w:next w:val="TypeacteprincipalPagedecouverture"/>
    <w:rsid w:val="00142CA8"/>
    <w:rPr>
      <w:rFonts w:ascii="Arial" w:eastAsia="Times New Roman" w:hAnsi="Arial"/>
      <w:szCs w:val="24"/>
    </w:rPr>
  </w:style>
  <w:style w:type="paragraph" w:customStyle="1" w:styleId="TypeacteprincipalPagedecouverture">
    <w:name w:val="Type acte principal (Page de couverture)"/>
    <w:basedOn w:val="Typeacteprincipal"/>
    <w:next w:val="ObjetacteprincipalPagedecouverture"/>
    <w:rsid w:val="00142CA8"/>
    <w:rPr>
      <w:rFonts w:ascii="Arial" w:eastAsia="Times New Roman" w:hAnsi="Arial"/>
      <w:szCs w:val="24"/>
    </w:rPr>
  </w:style>
  <w:style w:type="paragraph" w:customStyle="1" w:styleId="ObjetacteprincipalPagedecouverture">
    <w:name w:val="Objet acte principal (Page de couverture)"/>
    <w:basedOn w:val="Objetacteprincipal"/>
    <w:next w:val="Rfrencecroise"/>
    <w:rsid w:val="00142CA8"/>
    <w:rPr>
      <w:rFonts w:ascii="Arial" w:eastAsia="Times New Roman" w:hAnsi="Arial"/>
      <w:szCs w:val="24"/>
    </w:rPr>
  </w:style>
  <w:style w:type="paragraph" w:customStyle="1" w:styleId="LanguesfaisantfoiPagedecouverture">
    <w:name w:val="Langues faisant foi (Page de couverture)"/>
    <w:basedOn w:val="Normal"/>
    <w:next w:val="Normal"/>
    <w:rsid w:val="00142CA8"/>
    <w:pPr>
      <w:spacing w:before="360" w:after="0"/>
      <w:jc w:val="center"/>
    </w:pPr>
    <w:rPr>
      <w:rFonts w:ascii="Arial" w:eastAsia="Times New Roman" w:hAnsi="Arial" w:cs="Times New Roman"/>
      <w:szCs w:val="24"/>
    </w:rPr>
  </w:style>
  <w:style w:type="table" w:styleId="TableGrid">
    <w:name w:val="Table Grid"/>
    <w:basedOn w:val="TableNormal"/>
    <w:rsid w:val="00142CA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142CA8"/>
    <w:rPr>
      <w:rFonts w:cs="Times New Roman"/>
      <w:shd w:val="clear" w:color="auto" w:fill="auto"/>
    </w:rPr>
  </w:style>
  <w:style w:type="character" w:styleId="Hyperlink">
    <w:name w:val="Hyperlink"/>
    <w:uiPriority w:val="99"/>
    <w:rsid w:val="00142CA8"/>
    <w:rPr>
      <w:color w:val="0000FF"/>
      <w:u w:val="single"/>
    </w:rPr>
  </w:style>
  <w:style w:type="paragraph" w:customStyle="1" w:styleId="HEADERCHAPTER1">
    <w:name w:val="HEADER CHAPTER 1"/>
    <w:basedOn w:val="Normal"/>
    <w:semiHidden/>
    <w:pPr>
      <w:numPr>
        <w:numId w:val="20"/>
      </w:numPr>
      <w:spacing w:before="240" w:after="240"/>
    </w:pPr>
    <w:rPr>
      <w:rFonts w:ascii="Verdana" w:eastAsia="Times New Roman" w:hAnsi="Verdana" w:cs="Times New Roman"/>
      <w:b/>
      <w:caps/>
      <w:sz w:val="22"/>
      <w:szCs w:val="24"/>
      <w:lang w:eastAsia="en-GB"/>
    </w:rPr>
  </w:style>
  <w:style w:type="paragraph" w:customStyle="1" w:styleId="StyleVerdana10ptCentered">
    <w:name w:val="Style Verdana 10 pt Centered"/>
    <w:basedOn w:val="Normal"/>
    <w:semiHidden/>
    <w:pPr>
      <w:numPr>
        <w:numId w:val="19"/>
      </w:numPr>
      <w:spacing w:before="0" w:after="0"/>
      <w:jc w:val="center"/>
    </w:pPr>
    <w:rPr>
      <w:rFonts w:ascii="Verdana" w:eastAsia="Times New Roman" w:hAnsi="Verdana" w:cs="Times New Roman"/>
      <w:sz w:val="20"/>
      <w:szCs w:val="20"/>
      <w:lang w:eastAsia="en-GB"/>
    </w:rPr>
  </w:style>
  <w:style w:type="paragraph" w:customStyle="1" w:styleId="Text">
    <w:name w:val="Text"/>
    <w:basedOn w:val="Normal"/>
    <w:rsid w:val="00142CA8"/>
    <w:pPr>
      <w:spacing w:before="0" w:after="0"/>
    </w:pPr>
    <w:rPr>
      <w:rFonts w:ascii="Arial" w:eastAsia="Times New Roman" w:hAnsi="Arial" w:cs="Arial"/>
      <w:sz w:val="22"/>
      <w:lang w:val="en-US"/>
    </w:rPr>
  </w:style>
  <w:style w:type="paragraph" w:styleId="NormalWeb">
    <w:name w:val="Normal (Web)"/>
    <w:basedOn w:val="Normal"/>
    <w:uiPriority w:val="99"/>
    <w:rPr>
      <w:rFonts w:ascii="Arial" w:eastAsia="Times New Roman" w:hAnsi="Arial" w:cs="Times New Roman"/>
      <w:szCs w:val="24"/>
      <w:lang w:eastAsia="en-GB"/>
    </w:rPr>
  </w:style>
  <w:style w:type="character" w:customStyle="1" w:styleId="welcomebodytext">
    <w:name w:val="welcomebodytext"/>
    <w:rsid w:val="00142CA8"/>
  </w:style>
  <w:style w:type="paragraph" w:customStyle="1" w:styleId="Default">
    <w:name w:val="Default"/>
    <w:rsid w:val="00142CA8"/>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M4">
    <w:name w:val="CM4"/>
    <w:basedOn w:val="Default"/>
    <w:next w:val="Default"/>
    <w:uiPriority w:val="99"/>
    <w:rsid w:val="00142CA8"/>
    <w:rPr>
      <w:rFonts w:ascii="EUAlbertina" w:hAnsi="EUAlbertina" w:cs="Times New Roman"/>
      <w:color w:val="auto"/>
    </w:rPr>
  </w:style>
  <w:style w:type="paragraph" w:customStyle="1" w:styleId="CM1">
    <w:name w:val="CM1"/>
    <w:basedOn w:val="Default"/>
    <w:next w:val="Default"/>
    <w:rsid w:val="00142CA8"/>
    <w:rPr>
      <w:rFonts w:ascii="EUAlbertina" w:hAnsi="EUAlbertina" w:cs="Times New Roman"/>
      <w:color w:val="auto"/>
    </w:rPr>
  </w:style>
  <w:style w:type="paragraph" w:customStyle="1" w:styleId="ListBullet1">
    <w:name w:val="List Bullet 1"/>
    <w:basedOn w:val="Normal"/>
    <w:rsid w:val="00142CA8"/>
    <w:pPr>
      <w:numPr>
        <w:numId w:val="21"/>
      </w:numPr>
    </w:pPr>
    <w:rPr>
      <w:rFonts w:ascii="Arial" w:eastAsia="Times New Roman" w:hAnsi="Arial" w:cs="Times New Roman"/>
      <w:szCs w:val="24"/>
      <w:lang w:eastAsia="de-DE"/>
    </w:rPr>
  </w:style>
  <w:style w:type="paragraph" w:customStyle="1" w:styleId="ListDash1">
    <w:name w:val="List Dash 1"/>
    <w:basedOn w:val="Normal"/>
    <w:rsid w:val="00142CA8"/>
    <w:pPr>
      <w:numPr>
        <w:numId w:val="22"/>
      </w:numPr>
    </w:pPr>
    <w:rPr>
      <w:rFonts w:ascii="Arial" w:eastAsia="Times New Roman" w:hAnsi="Arial" w:cs="Times New Roman"/>
      <w:szCs w:val="24"/>
      <w:lang w:eastAsia="de-DE"/>
    </w:rPr>
  </w:style>
  <w:style w:type="paragraph" w:styleId="Caption">
    <w:name w:val="caption"/>
    <w:basedOn w:val="Normal"/>
    <w:next w:val="Normal"/>
    <w:uiPriority w:val="35"/>
    <w:qFormat/>
    <w:rsid w:val="00142CA8"/>
    <w:rPr>
      <w:rFonts w:ascii="Arial" w:eastAsia="Times New Roman" w:hAnsi="Arial" w:cs="Times New Roman"/>
      <w:b/>
      <w:bCs/>
      <w:sz w:val="20"/>
      <w:szCs w:val="20"/>
    </w:rPr>
  </w:style>
  <w:style w:type="paragraph" w:styleId="TableofFigures">
    <w:name w:val="table of figures"/>
    <w:basedOn w:val="Normal"/>
    <w:next w:val="Normal"/>
    <w:semiHidden/>
    <w:rsid w:val="00142CA8"/>
    <w:rPr>
      <w:rFonts w:ascii="Arial" w:eastAsia="Times New Roman" w:hAnsi="Arial" w:cs="Times New Roman"/>
      <w:szCs w:val="24"/>
    </w:rPr>
  </w:style>
  <w:style w:type="paragraph" w:styleId="ListBullet">
    <w:name w:val="List Bullet"/>
    <w:basedOn w:val="Normal"/>
    <w:rsid w:val="00142CA8"/>
    <w:pPr>
      <w:numPr>
        <w:numId w:val="23"/>
      </w:numPr>
    </w:pPr>
    <w:rPr>
      <w:rFonts w:ascii="Arial" w:eastAsia="Times New Roman" w:hAnsi="Arial" w:cs="Times New Roman"/>
      <w:szCs w:val="24"/>
    </w:rPr>
  </w:style>
  <w:style w:type="paragraph" w:styleId="ListBullet2">
    <w:name w:val="List Bullet 2"/>
    <w:basedOn w:val="Normal"/>
    <w:rsid w:val="00142CA8"/>
    <w:pPr>
      <w:numPr>
        <w:numId w:val="24"/>
      </w:numPr>
    </w:pPr>
    <w:rPr>
      <w:rFonts w:ascii="Arial" w:eastAsia="Times New Roman" w:hAnsi="Arial" w:cs="Times New Roman"/>
      <w:szCs w:val="24"/>
    </w:rPr>
  </w:style>
  <w:style w:type="paragraph" w:styleId="ListBullet3">
    <w:name w:val="List Bullet 3"/>
    <w:basedOn w:val="Normal"/>
  </w:style>
  <w:style w:type="paragraph" w:styleId="ListBullet4">
    <w:name w:val="List Bullet 4"/>
    <w:basedOn w:val="Normal"/>
    <w:rsid w:val="00142CA8"/>
    <w:pPr>
      <w:numPr>
        <w:numId w:val="25"/>
      </w:numPr>
    </w:pPr>
    <w:rPr>
      <w:rFonts w:ascii="Arial" w:eastAsia="Times New Roman" w:hAnsi="Arial" w:cs="Times New Roman"/>
      <w:szCs w:val="24"/>
    </w:rPr>
  </w:style>
  <w:style w:type="paragraph" w:styleId="ListNumber3">
    <w:name w:val="List Number 3"/>
    <w:basedOn w:val="Normal"/>
  </w:style>
  <w:style w:type="paragraph" w:styleId="ListNumber4">
    <w:name w:val="List Number 4"/>
    <w:basedOn w:val="Normal"/>
    <w:rsid w:val="00142CA8"/>
    <w:pPr>
      <w:numPr>
        <w:numId w:val="26"/>
      </w:numPr>
    </w:pPr>
    <w:rPr>
      <w:rFonts w:ascii="Arial" w:eastAsia="Times New Roman" w:hAnsi="Arial" w:cs="Times New Roman"/>
      <w:szCs w:val="24"/>
    </w:rPr>
  </w:style>
  <w:style w:type="character" w:styleId="Strong">
    <w:name w:val="Strong"/>
    <w:uiPriority w:val="22"/>
    <w:qFormat/>
    <w:rsid w:val="00142CA8"/>
    <w:rPr>
      <w:b/>
      <w:bCs/>
    </w:rPr>
  </w:style>
  <w:style w:type="paragraph" w:styleId="List">
    <w:name w:val="List"/>
    <w:basedOn w:val="Normal"/>
    <w:rsid w:val="00142CA8"/>
    <w:pPr>
      <w:ind w:left="283" w:hanging="283"/>
      <w:contextualSpacing/>
    </w:pPr>
    <w:rPr>
      <w:rFonts w:ascii="Arial" w:eastAsia="Times New Roman" w:hAnsi="Arial" w:cs="Times New Roman"/>
      <w:szCs w:val="24"/>
    </w:rPr>
  </w:style>
  <w:style w:type="paragraph" w:styleId="EndnoteText">
    <w:name w:val="endnote text"/>
    <w:basedOn w:val="Normal"/>
    <w:link w:val="EndnoteTextChar"/>
    <w:rsid w:val="00142CA8"/>
    <w:rPr>
      <w:rFonts w:ascii="Arial" w:eastAsia="Times New Roman" w:hAnsi="Arial" w:cs="Times New Roman"/>
      <w:sz w:val="20"/>
      <w:szCs w:val="20"/>
    </w:rPr>
  </w:style>
  <w:style w:type="character" w:customStyle="1" w:styleId="EndnoteTextChar">
    <w:name w:val="Endnote Text Char"/>
    <w:basedOn w:val="DefaultParagraphFont"/>
    <w:link w:val="EndnoteText"/>
    <w:rsid w:val="00142CA8"/>
    <w:rPr>
      <w:rFonts w:ascii="Arial" w:eastAsia="Times New Roman" w:hAnsi="Arial" w:cs="Times New Roman"/>
      <w:sz w:val="20"/>
      <w:szCs w:val="20"/>
    </w:rPr>
  </w:style>
  <w:style w:type="character" w:styleId="EndnoteReference">
    <w:name w:val="endnote reference"/>
    <w:rsid w:val="00142CA8"/>
    <w:rPr>
      <w:vertAlign w:val="superscript"/>
    </w:rPr>
  </w:style>
  <w:style w:type="paragraph" w:styleId="Revision">
    <w:name w:val="Revision"/>
    <w:hidden/>
    <w:uiPriority w:val="99"/>
    <w:semiHidden/>
    <w:rsid w:val="00142CA8"/>
    <w:pPr>
      <w:spacing w:after="0" w:line="240" w:lineRule="auto"/>
    </w:pPr>
    <w:rPr>
      <w:rFonts w:ascii="Arial" w:eastAsia="Times New Roman" w:hAnsi="Arial" w:cs="Times New Roman"/>
      <w:sz w:val="24"/>
      <w:szCs w:val="24"/>
    </w:rPr>
  </w:style>
  <w:style w:type="character" w:styleId="FollowedHyperlink">
    <w:name w:val="FollowedHyperlink"/>
    <w:basedOn w:val="DefaultParagraphFont"/>
    <w:rsid w:val="00142CA8"/>
    <w:rPr>
      <w:color w:val="800080" w:themeColor="followedHyperlink"/>
      <w:u w:val="single"/>
    </w:rPr>
  </w:style>
  <w:style w:type="table" w:styleId="MediumShading2-Accent1">
    <w:name w:val="Medium Shading 2 Accent 1"/>
    <w:basedOn w:val="TableNormal"/>
    <w:uiPriority w:val="64"/>
    <w:rsid w:val="00540C8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classification">
    <w:name w:val="Declassification"/>
    <w:basedOn w:val="Normal"/>
    <w:next w:val="Normal"/>
    <w:rsid w:val="00A3795C"/>
    <w:pPr>
      <w:spacing w:before="0" w:after="0"/>
    </w:pPr>
    <w:rPr>
      <w:rFonts w:cs="Times New Roman"/>
    </w:rPr>
  </w:style>
  <w:style w:type="paragraph" w:customStyle="1" w:styleId="HeaderSensitivity">
    <w:name w:val="Header Sensitivity"/>
    <w:basedOn w:val="Normal"/>
    <w:rsid w:val="00A3795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A3795C"/>
    <w:pPr>
      <w:spacing w:before="0"/>
      <w:jc w:val="right"/>
    </w:pPr>
    <w:rPr>
      <w:sz w:val="28"/>
    </w:rPr>
  </w:style>
  <w:style w:type="paragraph" w:customStyle="1" w:styleId="FooterSensitivity">
    <w:name w:val="Footer Sensitivity"/>
    <w:basedOn w:val="Normal"/>
    <w:rsid w:val="00A3795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rsid w:val="00A3795C"/>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rFonts w:cs="Times New Roman"/>
    </w:rPr>
  </w:style>
  <w:style w:type="paragraph" w:customStyle="1" w:styleId="SecurityMarking">
    <w:name w:val="SecurityMarking"/>
    <w:basedOn w:val="Normal"/>
    <w:rsid w:val="00A3795C"/>
    <w:pPr>
      <w:spacing w:before="0" w:after="0" w:line="276" w:lineRule="auto"/>
      <w:ind w:left="5103"/>
      <w:jc w:val="left"/>
    </w:pPr>
    <w:rPr>
      <w:rFonts w:cs="Times New Roman"/>
      <w:sz w:val="28"/>
    </w:rPr>
  </w:style>
  <w:style w:type="paragraph" w:customStyle="1" w:styleId="DateMarking">
    <w:name w:val="DateMarking"/>
    <w:basedOn w:val="Normal"/>
    <w:rsid w:val="00A3795C"/>
    <w:pPr>
      <w:spacing w:before="0" w:after="0" w:line="276" w:lineRule="auto"/>
      <w:ind w:left="5103"/>
      <w:jc w:val="left"/>
    </w:pPr>
    <w:rPr>
      <w:rFonts w:cs="Times New Roman"/>
      <w:i/>
      <w:sz w:val="28"/>
    </w:rPr>
  </w:style>
  <w:style w:type="paragraph" w:customStyle="1" w:styleId="ReleasableTo">
    <w:name w:val="ReleasableTo"/>
    <w:basedOn w:val="Normal"/>
    <w:rsid w:val="00A3795C"/>
    <w:pPr>
      <w:spacing w:before="0" w:after="0" w:line="276" w:lineRule="auto"/>
      <w:ind w:left="5103"/>
      <w:jc w:val="left"/>
    </w:pPr>
    <w:rPr>
      <w:rFonts w:cs="Times New Roman"/>
      <w:i/>
      <w:sz w:val="28"/>
    </w:rPr>
  </w:style>
  <w:style w:type="character" w:customStyle="1" w:styleId="UnresolvedMention1">
    <w:name w:val="Unresolved Mention1"/>
    <w:basedOn w:val="DefaultParagraphFont"/>
    <w:uiPriority w:val="99"/>
    <w:semiHidden/>
    <w:unhideWhenUsed/>
    <w:rsid w:val="00B9429D"/>
    <w:rPr>
      <w:color w:val="605E5C"/>
      <w:shd w:val="clear" w:color="auto" w:fill="E1DFDD"/>
    </w:rPr>
  </w:style>
  <w:style w:type="table" w:styleId="GridTable4-Accent4">
    <w:name w:val="Grid Table 4 Accent 4"/>
    <w:basedOn w:val="TableNormal"/>
    <w:uiPriority w:val="49"/>
    <w:rsid w:val="0017596F"/>
    <w:pPr>
      <w:spacing w:after="0" w:line="240" w:lineRule="auto"/>
    </w:pPr>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6">
    <w:name w:val="Grid Table 4 Accent 6"/>
    <w:basedOn w:val="TableNormal"/>
    <w:uiPriority w:val="49"/>
    <w:rsid w:val="00165020"/>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FIG">
    <w:name w:val="FIG"/>
    <w:basedOn w:val="Normal"/>
    <w:link w:val="FIGChar"/>
    <w:qFormat/>
    <w:rsid w:val="00ED53A8"/>
    <w:pPr>
      <w:autoSpaceDE w:val="0"/>
      <w:autoSpaceDN w:val="0"/>
      <w:adjustRightInd w:val="0"/>
      <w:jc w:val="center"/>
    </w:pPr>
    <w:rPr>
      <w:rFonts w:asciiTheme="minorHAnsi" w:hAnsiTheme="minorHAnsi" w:cstheme="minorHAnsi"/>
      <w:b/>
      <w:color w:val="000000" w:themeColor="text1"/>
      <w:sz w:val="22"/>
    </w:rPr>
  </w:style>
  <w:style w:type="character" w:customStyle="1" w:styleId="FIGChar">
    <w:name w:val="FIG Char"/>
    <w:basedOn w:val="DefaultParagraphFont"/>
    <w:link w:val="FIG"/>
    <w:rsid w:val="00ED53A8"/>
    <w:rPr>
      <w:rFonts w:cstheme="minorHAnsi"/>
      <w:b/>
      <w:color w:val="000000" w:themeColor="text1"/>
    </w:rPr>
  </w:style>
  <w:style w:type="paragraph" w:customStyle="1" w:styleId="Standardtext">
    <w:name w:val="Standard text"/>
    <w:basedOn w:val="Normal"/>
    <w:link w:val="StandardtextChar"/>
    <w:qFormat/>
    <w:rsid w:val="00334599"/>
    <w:pPr>
      <w:autoSpaceDE w:val="0"/>
      <w:autoSpaceDN w:val="0"/>
      <w:adjustRightInd w:val="0"/>
      <w:spacing w:before="0"/>
    </w:pPr>
    <w:rPr>
      <w:rFonts w:ascii="Calibri" w:eastAsia="Times New Roman" w:hAnsi="Calibri" w:cs="Calibri"/>
      <w:color w:val="000000"/>
      <w:sz w:val="22"/>
      <w:lang w:val="en-US" w:eastAsia="en-GB"/>
    </w:rPr>
  </w:style>
  <w:style w:type="character" w:customStyle="1" w:styleId="StandardtextChar">
    <w:name w:val="Standard text Char"/>
    <w:basedOn w:val="DefaultParagraphFont"/>
    <w:link w:val="Standardtext"/>
    <w:rsid w:val="00334599"/>
    <w:rPr>
      <w:rFonts w:ascii="Calibri" w:eastAsia="Times New Roman" w:hAnsi="Calibri" w:cs="Calibri"/>
      <w:color w:val="000000"/>
      <w:lang w:val="en-US" w:eastAsia="en-GB"/>
    </w:rPr>
  </w:style>
  <w:style w:type="character" w:customStyle="1" w:styleId="ListParagraphChar">
    <w:name w:val="List Paragraph Char"/>
    <w:aliases w:val="ACTIONS Char,Bullet List Paragraph Char,Lettre d'introduction Char,Numbered paragraph 1 Char,1st level - Bullet List Paragraph Char,Heading 4 bullet Char,List Paragraph1 Char,lp1 Char,Paragrafo elenco Char"/>
    <w:link w:val="ListParagraph"/>
    <w:uiPriority w:val="34"/>
    <w:rsid w:val="00334599"/>
    <w:rPr>
      <w:rFonts w:ascii="Times New Roman" w:hAnsi="Times New Roman"/>
      <w:sz w:val="24"/>
    </w:rPr>
  </w:style>
  <w:style w:type="paragraph" w:customStyle="1" w:styleId="Char2">
    <w:name w:val="Char2"/>
    <w:basedOn w:val="Normal"/>
    <w:uiPriority w:val="99"/>
    <w:rsid w:val="00F75E9B"/>
    <w:pPr>
      <w:spacing w:before="0" w:after="160" w:line="240" w:lineRule="exact"/>
    </w:pPr>
    <w:rPr>
      <w:rFonts w:asciiTheme="minorHAnsi" w:hAnsiTheme="minorHAnsi"/>
      <w:sz w:val="22"/>
      <w:vertAlign w:val="superscript"/>
    </w:rPr>
  </w:style>
  <w:style w:type="paragraph" w:customStyle="1" w:styleId="BodyText1">
    <w:name w:val="BodyText1"/>
    <w:basedOn w:val="Normal"/>
    <w:qFormat/>
    <w:rsid w:val="00DA7482"/>
    <w:pPr>
      <w:spacing w:before="60" w:after="60"/>
    </w:pPr>
    <w:rPr>
      <w:rFonts w:ascii="Calibri" w:eastAsia="Times New Roman" w:hAnsi="Calibri" w:cs="Times New Roman"/>
      <w:sz w:val="22"/>
      <w:szCs w:val="24"/>
      <w:lang w:eastAsia="en-GB"/>
    </w:rPr>
  </w:style>
  <w:style w:type="character" w:customStyle="1" w:styleId="UnresolvedMention2">
    <w:name w:val="Unresolved Mention2"/>
    <w:basedOn w:val="DefaultParagraphFont"/>
    <w:uiPriority w:val="99"/>
    <w:semiHidden/>
    <w:unhideWhenUsed/>
    <w:rsid w:val="003307A5"/>
    <w:rPr>
      <w:color w:val="605E5C"/>
      <w:shd w:val="clear" w:color="auto" w:fill="E1DFDD"/>
    </w:rPr>
  </w:style>
  <w:style w:type="paragraph" w:customStyle="1" w:styleId="Normal1">
    <w:name w:val="Normal1"/>
    <w:basedOn w:val="Normal"/>
    <w:rsid w:val="00116383"/>
    <w:pPr>
      <w:spacing w:before="100" w:beforeAutospacing="1" w:after="100" w:afterAutospacing="1"/>
      <w:jc w:val="left"/>
    </w:pPr>
    <w:rPr>
      <w:rFonts w:eastAsia="Times New Roman" w:cs="Times New Roman"/>
      <w:szCs w:val="24"/>
      <w:lang w:eastAsia="en-GB"/>
    </w:rPr>
  </w:style>
  <w:style w:type="character" w:customStyle="1" w:styleId="bold">
    <w:name w:val="bold"/>
    <w:basedOn w:val="DefaultParagraphFont"/>
    <w:rsid w:val="00116383"/>
  </w:style>
  <w:style w:type="table" w:styleId="ListTable1Light-Accent1">
    <w:name w:val="List Table 1 Light Accent 1"/>
    <w:basedOn w:val="TableNormal"/>
    <w:uiPriority w:val="46"/>
    <w:rsid w:val="00227854"/>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3">
    <w:name w:val="Unresolved Mention3"/>
    <w:basedOn w:val="DefaultParagraphFont"/>
    <w:uiPriority w:val="99"/>
    <w:semiHidden/>
    <w:unhideWhenUsed/>
    <w:rsid w:val="00D12977"/>
    <w:rPr>
      <w:color w:val="605E5C"/>
      <w:shd w:val="clear" w:color="auto" w:fill="E1DFDD"/>
    </w:rPr>
  </w:style>
  <w:style w:type="paragraph" w:customStyle="1" w:styleId="TabFig">
    <w:name w:val="TabFig"/>
    <w:basedOn w:val="Normal"/>
    <w:link w:val="TabFigChar"/>
    <w:qFormat/>
    <w:rsid w:val="009268E1"/>
    <w:pPr>
      <w:spacing w:after="240"/>
    </w:pPr>
    <w:rPr>
      <w:b/>
      <w:bCs/>
      <w:i/>
    </w:rPr>
  </w:style>
  <w:style w:type="character" w:customStyle="1" w:styleId="TabFigChar">
    <w:name w:val="TabFig Char"/>
    <w:basedOn w:val="DefaultParagraphFont"/>
    <w:link w:val="TabFig"/>
    <w:rsid w:val="009268E1"/>
    <w:rPr>
      <w:rFonts w:ascii="Times New Roman" w:hAnsi="Times New Roman"/>
      <w:b/>
      <w:bCs/>
      <w:i/>
      <w:sz w:val="24"/>
    </w:rPr>
  </w:style>
  <w:style w:type="character" w:styleId="FootnoteReference">
    <w:name w:val="footnote reference"/>
    <w:basedOn w:val="DefaultParagraphFont"/>
    <w:uiPriority w:val="99"/>
    <w:semiHidden/>
    <w:unhideWhenUsed/>
    <w:qFormat/>
    <w:rsid w:val="00376123"/>
    <w:rPr>
      <w:vertAlign w:val="superscript"/>
    </w:rPr>
  </w:style>
  <w:style w:type="character" w:customStyle="1" w:styleId="UnresolvedMention4">
    <w:name w:val="Unresolved Mention4"/>
    <w:basedOn w:val="DefaultParagraphFont"/>
    <w:uiPriority w:val="99"/>
    <w:semiHidden/>
    <w:unhideWhenUsed/>
    <w:rsid w:val="00300D96"/>
    <w:rPr>
      <w:color w:val="605E5C"/>
      <w:shd w:val="clear" w:color="auto" w:fill="E1DFDD"/>
    </w:rPr>
  </w:style>
  <w:style w:type="character" w:customStyle="1" w:styleId="no-parag">
    <w:name w:val="no-parag"/>
    <w:basedOn w:val="DefaultParagraphFont"/>
    <w:rsid w:val="00314959"/>
  </w:style>
  <w:style w:type="character" w:customStyle="1" w:styleId="UnresolvedMention">
    <w:name w:val="Unresolved Mention"/>
    <w:basedOn w:val="DefaultParagraphFont"/>
    <w:uiPriority w:val="99"/>
    <w:semiHidden/>
    <w:unhideWhenUsed/>
    <w:rsid w:val="00094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8919">
      <w:bodyDiv w:val="1"/>
      <w:marLeft w:val="0"/>
      <w:marRight w:val="0"/>
      <w:marTop w:val="0"/>
      <w:marBottom w:val="0"/>
      <w:divBdr>
        <w:top w:val="none" w:sz="0" w:space="0" w:color="auto"/>
        <w:left w:val="none" w:sz="0" w:space="0" w:color="auto"/>
        <w:bottom w:val="none" w:sz="0" w:space="0" w:color="auto"/>
        <w:right w:val="none" w:sz="0" w:space="0" w:color="auto"/>
      </w:divBdr>
    </w:div>
    <w:div w:id="126895814">
      <w:bodyDiv w:val="1"/>
      <w:marLeft w:val="0"/>
      <w:marRight w:val="0"/>
      <w:marTop w:val="0"/>
      <w:marBottom w:val="0"/>
      <w:divBdr>
        <w:top w:val="none" w:sz="0" w:space="0" w:color="auto"/>
        <w:left w:val="none" w:sz="0" w:space="0" w:color="auto"/>
        <w:bottom w:val="none" w:sz="0" w:space="0" w:color="auto"/>
        <w:right w:val="none" w:sz="0" w:space="0" w:color="auto"/>
      </w:divBdr>
    </w:div>
    <w:div w:id="342559232">
      <w:bodyDiv w:val="1"/>
      <w:marLeft w:val="0"/>
      <w:marRight w:val="0"/>
      <w:marTop w:val="0"/>
      <w:marBottom w:val="0"/>
      <w:divBdr>
        <w:top w:val="none" w:sz="0" w:space="0" w:color="auto"/>
        <w:left w:val="none" w:sz="0" w:space="0" w:color="auto"/>
        <w:bottom w:val="none" w:sz="0" w:space="0" w:color="auto"/>
        <w:right w:val="none" w:sz="0" w:space="0" w:color="auto"/>
      </w:divBdr>
      <w:divsChild>
        <w:div w:id="1004741281">
          <w:marLeft w:val="0"/>
          <w:marRight w:val="0"/>
          <w:marTop w:val="0"/>
          <w:marBottom w:val="0"/>
          <w:divBdr>
            <w:top w:val="none" w:sz="0" w:space="0" w:color="auto"/>
            <w:left w:val="none" w:sz="0" w:space="0" w:color="auto"/>
            <w:bottom w:val="none" w:sz="0" w:space="0" w:color="auto"/>
            <w:right w:val="none" w:sz="0" w:space="0" w:color="auto"/>
          </w:divBdr>
          <w:divsChild>
            <w:div w:id="1112627047">
              <w:marLeft w:val="0"/>
              <w:marRight w:val="0"/>
              <w:marTop w:val="0"/>
              <w:marBottom w:val="0"/>
              <w:divBdr>
                <w:top w:val="none" w:sz="0" w:space="0" w:color="auto"/>
                <w:left w:val="none" w:sz="0" w:space="0" w:color="auto"/>
                <w:bottom w:val="none" w:sz="0" w:space="0" w:color="auto"/>
                <w:right w:val="none" w:sz="0" w:space="0" w:color="auto"/>
              </w:divBdr>
              <w:divsChild>
                <w:div w:id="1997562772">
                  <w:marLeft w:val="0"/>
                  <w:marRight w:val="0"/>
                  <w:marTop w:val="0"/>
                  <w:marBottom w:val="0"/>
                  <w:divBdr>
                    <w:top w:val="none" w:sz="0" w:space="0" w:color="auto"/>
                    <w:left w:val="single" w:sz="6" w:space="8" w:color="61B6E5"/>
                    <w:bottom w:val="none" w:sz="0" w:space="0" w:color="auto"/>
                    <w:right w:val="single" w:sz="6" w:space="8" w:color="61B6E5"/>
                  </w:divBdr>
                  <w:divsChild>
                    <w:div w:id="105423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95187">
      <w:bodyDiv w:val="1"/>
      <w:marLeft w:val="0"/>
      <w:marRight w:val="0"/>
      <w:marTop w:val="0"/>
      <w:marBottom w:val="0"/>
      <w:divBdr>
        <w:top w:val="none" w:sz="0" w:space="0" w:color="auto"/>
        <w:left w:val="none" w:sz="0" w:space="0" w:color="auto"/>
        <w:bottom w:val="none" w:sz="0" w:space="0" w:color="auto"/>
        <w:right w:val="none" w:sz="0" w:space="0" w:color="auto"/>
      </w:divBdr>
    </w:div>
    <w:div w:id="416637578">
      <w:bodyDiv w:val="1"/>
      <w:marLeft w:val="0"/>
      <w:marRight w:val="0"/>
      <w:marTop w:val="0"/>
      <w:marBottom w:val="0"/>
      <w:divBdr>
        <w:top w:val="none" w:sz="0" w:space="0" w:color="auto"/>
        <w:left w:val="none" w:sz="0" w:space="0" w:color="auto"/>
        <w:bottom w:val="none" w:sz="0" w:space="0" w:color="auto"/>
        <w:right w:val="none" w:sz="0" w:space="0" w:color="auto"/>
      </w:divBdr>
    </w:div>
    <w:div w:id="492456079">
      <w:bodyDiv w:val="1"/>
      <w:marLeft w:val="0"/>
      <w:marRight w:val="0"/>
      <w:marTop w:val="0"/>
      <w:marBottom w:val="0"/>
      <w:divBdr>
        <w:top w:val="none" w:sz="0" w:space="0" w:color="auto"/>
        <w:left w:val="none" w:sz="0" w:space="0" w:color="auto"/>
        <w:bottom w:val="none" w:sz="0" w:space="0" w:color="auto"/>
        <w:right w:val="none" w:sz="0" w:space="0" w:color="auto"/>
      </w:divBdr>
      <w:divsChild>
        <w:div w:id="1820415168">
          <w:marLeft w:val="331"/>
          <w:marRight w:val="0"/>
          <w:marTop w:val="90"/>
          <w:marBottom w:val="0"/>
          <w:divBdr>
            <w:top w:val="none" w:sz="0" w:space="0" w:color="auto"/>
            <w:left w:val="none" w:sz="0" w:space="0" w:color="auto"/>
            <w:bottom w:val="none" w:sz="0" w:space="0" w:color="auto"/>
            <w:right w:val="none" w:sz="0" w:space="0" w:color="auto"/>
          </w:divBdr>
        </w:div>
        <w:div w:id="624042547">
          <w:marLeft w:val="331"/>
          <w:marRight w:val="0"/>
          <w:marTop w:val="90"/>
          <w:marBottom w:val="0"/>
          <w:divBdr>
            <w:top w:val="none" w:sz="0" w:space="0" w:color="auto"/>
            <w:left w:val="none" w:sz="0" w:space="0" w:color="auto"/>
            <w:bottom w:val="none" w:sz="0" w:space="0" w:color="auto"/>
            <w:right w:val="none" w:sz="0" w:space="0" w:color="auto"/>
          </w:divBdr>
        </w:div>
        <w:div w:id="1484545328">
          <w:marLeft w:val="331"/>
          <w:marRight w:val="0"/>
          <w:marTop w:val="90"/>
          <w:marBottom w:val="0"/>
          <w:divBdr>
            <w:top w:val="none" w:sz="0" w:space="0" w:color="auto"/>
            <w:left w:val="none" w:sz="0" w:space="0" w:color="auto"/>
            <w:bottom w:val="none" w:sz="0" w:space="0" w:color="auto"/>
            <w:right w:val="none" w:sz="0" w:space="0" w:color="auto"/>
          </w:divBdr>
        </w:div>
        <w:div w:id="26610093">
          <w:marLeft w:val="331"/>
          <w:marRight w:val="0"/>
          <w:marTop w:val="90"/>
          <w:marBottom w:val="0"/>
          <w:divBdr>
            <w:top w:val="none" w:sz="0" w:space="0" w:color="auto"/>
            <w:left w:val="none" w:sz="0" w:space="0" w:color="auto"/>
            <w:bottom w:val="none" w:sz="0" w:space="0" w:color="auto"/>
            <w:right w:val="none" w:sz="0" w:space="0" w:color="auto"/>
          </w:divBdr>
        </w:div>
        <w:div w:id="740181429">
          <w:marLeft w:val="331"/>
          <w:marRight w:val="0"/>
          <w:marTop w:val="90"/>
          <w:marBottom w:val="0"/>
          <w:divBdr>
            <w:top w:val="none" w:sz="0" w:space="0" w:color="auto"/>
            <w:left w:val="none" w:sz="0" w:space="0" w:color="auto"/>
            <w:bottom w:val="none" w:sz="0" w:space="0" w:color="auto"/>
            <w:right w:val="none" w:sz="0" w:space="0" w:color="auto"/>
          </w:divBdr>
        </w:div>
        <w:div w:id="150560967">
          <w:marLeft w:val="331"/>
          <w:marRight w:val="0"/>
          <w:marTop w:val="90"/>
          <w:marBottom w:val="0"/>
          <w:divBdr>
            <w:top w:val="none" w:sz="0" w:space="0" w:color="auto"/>
            <w:left w:val="none" w:sz="0" w:space="0" w:color="auto"/>
            <w:bottom w:val="none" w:sz="0" w:space="0" w:color="auto"/>
            <w:right w:val="none" w:sz="0" w:space="0" w:color="auto"/>
          </w:divBdr>
        </w:div>
        <w:div w:id="458842171">
          <w:marLeft w:val="331"/>
          <w:marRight w:val="0"/>
          <w:marTop w:val="90"/>
          <w:marBottom w:val="0"/>
          <w:divBdr>
            <w:top w:val="none" w:sz="0" w:space="0" w:color="auto"/>
            <w:left w:val="none" w:sz="0" w:space="0" w:color="auto"/>
            <w:bottom w:val="none" w:sz="0" w:space="0" w:color="auto"/>
            <w:right w:val="none" w:sz="0" w:space="0" w:color="auto"/>
          </w:divBdr>
        </w:div>
        <w:div w:id="532882642">
          <w:marLeft w:val="331"/>
          <w:marRight w:val="0"/>
          <w:marTop w:val="90"/>
          <w:marBottom w:val="0"/>
          <w:divBdr>
            <w:top w:val="none" w:sz="0" w:space="0" w:color="auto"/>
            <w:left w:val="none" w:sz="0" w:space="0" w:color="auto"/>
            <w:bottom w:val="none" w:sz="0" w:space="0" w:color="auto"/>
            <w:right w:val="none" w:sz="0" w:space="0" w:color="auto"/>
          </w:divBdr>
        </w:div>
      </w:divsChild>
    </w:div>
    <w:div w:id="503788698">
      <w:bodyDiv w:val="1"/>
      <w:marLeft w:val="0"/>
      <w:marRight w:val="0"/>
      <w:marTop w:val="0"/>
      <w:marBottom w:val="0"/>
      <w:divBdr>
        <w:top w:val="none" w:sz="0" w:space="0" w:color="auto"/>
        <w:left w:val="none" w:sz="0" w:space="0" w:color="auto"/>
        <w:bottom w:val="none" w:sz="0" w:space="0" w:color="auto"/>
        <w:right w:val="none" w:sz="0" w:space="0" w:color="auto"/>
      </w:divBdr>
    </w:div>
    <w:div w:id="536353939">
      <w:bodyDiv w:val="1"/>
      <w:marLeft w:val="0"/>
      <w:marRight w:val="0"/>
      <w:marTop w:val="0"/>
      <w:marBottom w:val="0"/>
      <w:divBdr>
        <w:top w:val="none" w:sz="0" w:space="0" w:color="auto"/>
        <w:left w:val="none" w:sz="0" w:space="0" w:color="auto"/>
        <w:bottom w:val="none" w:sz="0" w:space="0" w:color="auto"/>
        <w:right w:val="none" w:sz="0" w:space="0" w:color="auto"/>
      </w:divBdr>
    </w:div>
    <w:div w:id="564490973">
      <w:bodyDiv w:val="1"/>
      <w:marLeft w:val="0"/>
      <w:marRight w:val="0"/>
      <w:marTop w:val="0"/>
      <w:marBottom w:val="0"/>
      <w:divBdr>
        <w:top w:val="none" w:sz="0" w:space="0" w:color="auto"/>
        <w:left w:val="none" w:sz="0" w:space="0" w:color="auto"/>
        <w:bottom w:val="none" w:sz="0" w:space="0" w:color="auto"/>
        <w:right w:val="none" w:sz="0" w:space="0" w:color="auto"/>
      </w:divBdr>
    </w:div>
    <w:div w:id="576019920">
      <w:bodyDiv w:val="1"/>
      <w:marLeft w:val="0"/>
      <w:marRight w:val="0"/>
      <w:marTop w:val="0"/>
      <w:marBottom w:val="0"/>
      <w:divBdr>
        <w:top w:val="none" w:sz="0" w:space="0" w:color="auto"/>
        <w:left w:val="none" w:sz="0" w:space="0" w:color="auto"/>
        <w:bottom w:val="none" w:sz="0" w:space="0" w:color="auto"/>
        <w:right w:val="none" w:sz="0" w:space="0" w:color="auto"/>
      </w:divBdr>
    </w:div>
    <w:div w:id="577637774">
      <w:bodyDiv w:val="1"/>
      <w:marLeft w:val="0"/>
      <w:marRight w:val="0"/>
      <w:marTop w:val="0"/>
      <w:marBottom w:val="0"/>
      <w:divBdr>
        <w:top w:val="none" w:sz="0" w:space="0" w:color="auto"/>
        <w:left w:val="none" w:sz="0" w:space="0" w:color="auto"/>
        <w:bottom w:val="none" w:sz="0" w:space="0" w:color="auto"/>
        <w:right w:val="none" w:sz="0" w:space="0" w:color="auto"/>
      </w:divBdr>
    </w:div>
    <w:div w:id="590553714">
      <w:bodyDiv w:val="1"/>
      <w:marLeft w:val="0"/>
      <w:marRight w:val="0"/>
      <w:marTop w:val="0"/>
      <w:marBottom w:val="0"/>
      <w:divBdr>
        <w:top w:val="none" w:sz="0" w:space="0" w:color="auto"/>
        <w:left w:val="none" w:sz="0" w:space="0" w:color="auto"/>
        <w:bottom w:val="none" w:sz="0" w:space="0" w:color="auto"/>
        <w:right w:val="none" w:sz="0" w:space="0" w:color="auto"/>
      </w:divBdr>
      <w:divsChild>
        <w:div w:id="715349960">
          <w:marLeft w:val="0"/>
          <w:marRight w:val="0"/>
          <w:marTop w:val="0"/>
          <w:marBottom w:val="0"/>
          <w:divBdr>
            <w:top w:val="none" w:sz="0" w:space="0" w:color="auto"/>
            <w:left w:val="none" w:sz="0" w:space="0" w:color="auto"/>
            <w:bottom w:val="none" w:sz="0" w:space="0" w:color="auto"/>
            <w:right w:val="none" w:sz="0" w:space="0" w:color="auto"/>
          </w:divBdr>
          <w:divsChild>
            <w:div w:id="1203127869">
              <w:marLeft w:val="0"/>
              <w:marRight w:val="0"/>
              <w:marTop w:val="0"/>
              <w:marBottom w:val="0"/>
              <w:divBdr>
                <w:top w:val="none" w:sz="0" w:space="0" w:color="auto"/>
                <w:left w:val="none" w:sz="0" w:space="0" w:color="auto"/>
                <w:bottom w:val="none" w:sz="0" w:space="0" w:color="auto"/>
                <w:right w:val="none" w:sz="0" w:space="0" w:color="auto"/>
              </w:divBdr>
              <w:divsChild>
                <w:div w:id="1477069741">
                  <w:marLeft w:val="0"/>
                  <w:marRight w:val="0"/>
                  <w:marTop w:val="0"/>
                  <w:marBottom w:val="0"/>
                  <w:divBdr>
                    <w:top w:val="none" w:sz="0" w:space="0" w:color="auto"/>
                    <w:left w:val="single" w:sz="6" w:space="8" w:color="61B6E5"/>
                    <w:bottom w:val="none" w:sz="0" w:space="0" w:color="auto"/>
                    <w:right w:val="single" w:sz="6" w:space="8" w:color="61B6E5"/>
                  </w:divBdr>
                  <w:divsChild>
                    <w:div w:id="11008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761036">
      <w:bodyDiv w:val="1"/>
      <w:marLeft w:val="0"/>
      <w:marRight w:val="0"/>
      <w:marTop w:val="0"/>
      <w:marBottom w:val="0"/>
      <w:divBdr>
        <w:top w:val="none" w:sz="0" w:space="0" w:color="auto"/>
        <w:left w:val="none" w:sz="0" w:space="0" w:color="auto"/>
        <w:bottom w:val="none" w:sz="0" w:space="0" w:color="auto"/>
        <w:right w:val="none" w:sz="0" w:space="0" w:color="auto"/>
      </w:divBdr>
    </w:div>
    <w:div w:id="694382756">
      <w:bodyDiv w:val="1"/>
      <w:marLeft w:val="0"/>
      <w:marRight w:val="0"/>
      <w:marTop w:val="0"/>
      <w:marBottom w:val="0"/>
      <w:divBdr>
        <w:top w:val="none" w:sz="0" w:space="0" w:color="auto"/>
        <w:left w:val="none" w:sz="0" w:space="0" w:color="auto"/>
        <w:bottom w:val="none" w:sz="0" w:space="0" w:color="auto"/>
        <w:right w:val="none" w:sz="0" w:space="0" w:color="auto"/>
      </w:divBdr>
      <w:divsChild>
        <w:div w:id="37972834">
          <w:marLeft w:val="0"/>
          <w:marRight w:val="0"/>
          <w:marTop w:val="0"/>
          <w:marBottom w:val="0"/>
          <w:divBdr>
            <w:top w:val="none" w:sz="0" w:space="0" w:color="auto"/>
            <w:left w:val="none" w:sz="0" w:space="0" w:color="auto"/>
            <w:bottom w:val="none" w:sz="0" w:space="0" w:color="auto"/>
            <w:right w:val="none" w:sz="0" w:space="0" w:color="auto"/>
          </w:divBdr>
          <w:divsChild>
            <w:div w:id="72556646">
              <w:marLeft w:val="0"/>
              <w:marRight w:val="0"/>
              <w:marTop w:val="0"/>
              <w:marBottom w:val="0"/>
              <w:divBdr>
                <w:top w:val="none" w:sz="0" w:space="0" w:color="auto"/>
                <w:left w:val="none" w:sz="0" w:space="0" w:color="auto"/>
                <w:bottom w:val="none" w:sz="0" w:space="0" w:color="auto"/>
                <w:right w:val="none" w:sz="0" w:space="0" w:color="auto"/>
              </w:divBdr>
              <w:divsChild>
                <w:div w:id="1953247883">
                  <w:marLeft w:val="0"/>
                  <w:marRight w:val="0"/>
                  <w:marTop w:val="0"/>
                  <w:marBottom w:val="0"/>
                  <w:divBdr>
                    <w:top w:val="none" w:sz="0" w:space="0" w:color="auto"/>
                    <w:left w:val="single" w:sz="6" w:space="8" w:color="61B6E5"/>
                    <w:bottom w:val="none" w:sz="0" w:space="0" w:color="auto"/>
                    <w:right w:val="single" w:sz="6" w:space="8" w:color="61B6E5"/>
                  </w:divBdr>
                  <w:divsChild>
                    <w:div w:id="136872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555443">
      <w:bodyDiv w:val="1"/>
      <w:marLeft w:val="0"/>
      <w:marRight w:val="0"/>
      <w:marTop w:val="0"/>
      <w:marBottom w:val="0"/>
      <w:divBdr>
        <w:top w:val="none" w:sz="0" w:space="0" w:color="auto"/>
        <w:left w:val="none" w:sz="0" w:space="0" w:color="auto"/>
        <w:bottom w:val="none" w:sz="0" w:space="0" w:color="auto"/>
        <w:right w:val="none" w:sz="0" w:space="0" w:color="auto"/>
      </w:divBdr>
    </w:div>
    <w:div w:id="778842975">
      <w:bodyDiv w:val="1"/>
      <w:marLeft w:val="0"/>
      <w:marRight w:val="0"/>
      <w:marTop w:val="0"/>
      <w:marBottom w:val="0"/>
      <w:divBdr>
        <w:top w:val="none" w:sz="0" w:space="0" w:color="auto"/>
        <w:left w:val="none" w:sz="0" w:space="0" w:color="auto"/>
        <w:bottom w:val="none" w:sz="0" w:space="0" w:color="auto"/>
        <w:right w:val="none" w:sz="0" w:space="0" w:color="auto"/>
      </w:divBdr>
    </w:div>
    <w:div w:id="835268979">
      <w:bodyDiv w:val="1"/>
      <w:marLeft w:val="0"/>
      <w:marRight w:val="0"/>
      <w:marTop w:val="0"/>
      <w:marBottom w:val="0"/>
      <w:divBdr>
        <w:top w:val="none" w:sz="0" w:space="0" w:color="auto"/>
        <w:left w:val="none" w:sz="0" w:space="0" w:color="auto"/>
        <w:bottom w:val="none" w:sz="0" w:space="0" w:color="auto"/>
        <w:right w:val="none" w:sz="0" w:space="0" w:color="auto"/>
      </w:divBdr>
    </w:div>
    <w:div w:id="873884651">
      <w:bodyDiv w:val="1"/>
      <w:marLeft w:val="0"/>
      <w:marRight w:val="0"/>
      <w:marTop w:val="0"/>
      <w:marBottom w:val="0"/>
      <w:divBdr>
        <w:top w:val="none" w:sz="0" w:space="0" w:color="auto"/>
        <w:left w:val="none" w:sz="0" w:space="0" w:color="auto"/>
        <w:bottom w:val="none" w:sz="0" w:space="0" w:color="auto"/>
        <w:right w:val="none" w:sz="0" w:space="0" w:color="auto"/>
      </w:divBdr>
    </w:div>
    <w:div w:id="919211765">
      <w:bodyDiv w:val="1"/>
      <w:marLeft w:val="0"/>
      <w:marRight w:val="0"/>
      <w:marTop w:val="0"/>
      <w:marBottom w:val="0"/>
      <w:divBdr>
        <w:top w:val="none" w:sz="0" w:space="0" w:color="auto"/>
        <w:left w:val="none" w:sz="0" w:space="0" w:color="auto"/>
        <w:bottom w:val="none" w:sz="0" w:space="0" w:color="auto"/>
        <w:right w:val="none" w:sz="0" w:space="0" w:color="auto"/>
      </w:divBdr>
      <w:divsChild>
        <w:div w:id="386497126">
          <w:marLeft w:val="1181"/>
          <w:marRight w:val="0"/>
          <w:marTop w:val="144"/>
          <w:marBottom w:val="0"/>
          <w:divBdr>
            <w:top w:val="none" w:sz="0" w:space="0" w:color="auto"/>
            <w:left w:val="none" w:sz="0" w:space="0" w:color="auto"/>
            <w:bottom w:val="none" w:sz="0" w:space="0" w:color="auto"/>
            <w:right w:val="none" w:sz="0" w:space="0" w:color="auto"/>
          </w:divBdr>
        </w:div>
      </w:divsChild>
    </w:div>
    <w:div w:id="944121025">
      <w:bodyDiv w:val="1"/>
      <w:marLeft w:val="0"/>
      <w:marRight w:val="0"/>
      <w:marTop w:val="0"/>
      <w:marBottom w:val="0"/>
      <w:divBdr>
        <w:top w:val="none" w:sz="0" w:space="0" w:color="auto"/>
        <w:left w:val="none" w:sz="0" w:space="0" w:color="auto"/>
        <w:bottom w:val="none" w:sz="0" w:space="0" w:color="auto"/>
        <w:right w:val="none" w:sz="0" w:space="0" w:color="auto"/>
      </w:divBdr>
    </w:div>
    <w:div w:id="971448361">
      <w:bodyDiv w:val="1"/>
      <w:marLeft w:val="0"/>
      <w:marRight w:val="0"/>
      <w:marTop w:val="0"/>
      <w:marBottom w:val="0"/>
      <w:divBdr>
        <w:top w:val="none" w:sz="0" w:space="0" w:color="auto"/>
        <w:left w:val="none" w:sz="0" w:space="0" w:color="auto"/>
        <w:bottom w:val="none" w:sz="0" w:space="0" w:color="auto"/>
        <w:right w:val="none" w:sz="0" w:space="0" w:color="auto"/>
      </w:divBdr>
      <w:divsChild>
        <w:div w:id="1419060915">
          <w:marLeft w:val="0"/>
          <w:marRight w:val="0"/>
          <w:marTop w:val="0"/>
          <w:marBottom w:val="0"/>
          <w:divBdr>
            <w:top w:val="none" w:sz="0" w:space="0" w:color="auto"/>
            <w:left w:val="none" w:sz="0" w:space="0" w:color="auto"/>
            <w:bottom w:val="none" w:sz="0" w:space="0" w:color="auto"/>
            <w:right w:val="none" w:sz="0" w:space="0" w:color="auto"/>
          </w:divBdr>
        </w:div>
      </w:divsChild>
    </w:div>
    <w:div w:id="1064332947">
      <w:bodyDiv w:val="1"/>
      <w:marLeft w:val="0"/>
      <w:marRight w:val="0"/>
      <w:marTop w:val="0"/>
      <w:marBottom w:val="0"/>
      <w:divBdr>
        <w:top w:val="none" w:sz="0" w:space="0" w:color="auto"/>
        <w:left w:val="none" w:sz="0" w:space="0" w:color="auto"/>
        <w:bottom w:val="none" w:sz="0" w:space="0" w:color="auto"/>
        <w:right w:val="none" w:sz="0" w:space="0" w:color="auto"/>
      </w:divBdr>
    </w:div>
    <w:div w:id="1136877337">
      <w:bodyDiv w:val="1"/>
      <w:marLeft w:val="0"/>
      <w:marRight w:val="0"/>
      <w:marTop w:val="0"/>
      <w:marBottom w:val="0"/>
      <w:divBdr>
        <w:top w:val="none" w:sz="0" w:space="0" w:color="auto"/>
        <w:left w:val="none" w:sz="0" w:space="0" w:color="auto"/>
        <w:bottom w:val="none" w:sz="0" w:space="0" w:color="auto"/>
        <w:right w:val="none" w:sz="0" w:space="0" w:color="auto"/>
      </w:divBdr>
    </w:div>
    <w:div w:id="1185904072">
      <w:bodyDiv w:val="1"/>
      <w:marLeft w:val="0"/>
      <w:marRight w:val="0"/>
      <w:marTop w:val="0"/>
      <w:marBottom w:val="0"/>
      <w:divBdr>
        <w:top w:val="none" w:sz="0" w:space="0" w:color="auto"/>
        <w:left w:val="none" w:sz="0" w:space="0" w:color="auto"/>
        <w:bottom w:val="none" w:sz="0" w:space="0" w:color="auto"/>
        <w:right w:val="none" w:sz="0" w:space="0" w:color="auto"/>
      </w:divBdr>
    </w:div>
    <w:div w:id="1339771210">
      <w:bodyDiv w:val="1"/>
      <w:marLeft w:val="0"/>
      <w:marRight w:val="0"/>
      <w:marTop w:val="0"/>
      <w:marBottom w:val="0"/>
      <w:divBdr>
        <w:top w:val="none" w:sz="0" w:space="0" w:color="auto"/>
        <w:left w:val="none" w:sz="0" w:space="0" w:color="auto"/>
        <w:bottom w:val="none" w:sz="0" w:space="0" w:color="auto"/>
        <w:right w:val="none" w:sz="0" w:space="0" w:color="auto"/>
      </w:divBdr>
      <w:divsChild>
        <w:div w:id="1250624225">
          <w:marLeft w:val="331"/>
          <w:marRight w:val="0"/>
          <w:marTop w:val="90"/>
          <w:marBottom w:val="0"/>
          <w:divBdr>
            <w:top w:val="none" w:sz="0" w:space="0" w:color="auto"/>
            <w:left w:val="none" w:sz="0" w:space="0" w:color="auto"/>
            <w:bottom w:val="none" w:sz="0" w:space="0" w:color="auto"/>
            <w:right w:val="none" w:sz="0" w:space="0" w:color="auto"/>
          </w:divBdr>
        </w:div>
        <w:div w:id="370224694">
          <w:marLeft w:val="331"/>
          <w:marRight w:val="0"/>
          <w:marTop w:val="90"/>
          <w:marBottom w:val="0"/>
          <w:divBdr>
            <w:top w:val="none" w:sz="0" w:space="0" w:color="auto"/>
            <w:left w:val="none" w:sz="0" w:space="0" w:color="auto"/>
            <w:bottom w:val="none" w:sz="0" w:space="0" w:color="auto"/>
            <w:right w:val="none" w:sz="0" w:space="0" w:color="auto"/>
          </w:divBdr>
        </w:div>
        <w:div w:id="669799657">
          <w:marLeft w:val="331"/>
          <w:marRight w:val="0"/>
          <w:marTop w:val="90"/>
          <w:marBottom w:val="0"/>
          <w:divBdr>
            <w:top w:val="none" w:sz="0" w:space="0" w:color="auto"/>
            <w:left w:val="none" w:sz="0" w:space="0" w:color="auto"/>
            <w:bottom w:val="none" w:sz="0" w:space="0" w:color="auto"/>
            <w:right w:val="none" w:sz="0" w:space="0" w:color="auto"/>
          </w:divBdr>
        </w:div>
        <w:div w:id="1496677422">
          <w:marLeft w:val="331"/>
          <w:marRight w:val="0"/>
          <w:marTop w:val="90"/>
          <w:marBottom w:val="0"/>
          <w:divBdr>
            <w:top w:val="none" w:sz="0" w:space="0" w:color="auto"/>
            <w:left w:val="none" w:sz="0" w:space="0" w:color="auto"/>
            <w:bottom w:val="none" w:sz="0" w:space="0" w:color="auto"/>
            <w:right w:val="none" w:sz="0" w:space="0" w:color="auto"/>
          </w:divBdr>
        </w:div>
        <w:div w:id="2107192281">
          <w:marLeft w:val="331"/>
          <w:marRight w:val="0"/>
          <w:marTop w:val="90"/>
          <w:marBottom w:val="0"/>
          <w:divBdr>
            <w:top w:val="none" w:sz="0" w:space="0" w:color="auto"/>
            <w:left w:val="none" w:sz="0" w:space="0" w:color="auto"/>
            <w:bottom w:val="none" w:sz="0" w:space="0" w:color="auto"/>
            <w:right w:val="none" w:sz="0" w:space="0" w:color="auto"/>
          </w:divBdr>
        </w:div>
        <w:div w:id="1847406107">
          <w:marLeft w:val="331"/>
          <w:marRight w:val="0"/>
          <w:marTop w:val="90"/>
          <w:marBottom w:val="0"/>
          <w:divBdr>
            <w:top w:val="none" w:sz="0" w:space="0" w:color="auto"/>
            <w:left w:val="none" w:sz="0" w:space="0" w:color="auto"/>
            <w:bottom w:val="none" w:sz="0" w:space="0" w:color="auto"/>
            <w:right w:val="none" w:sz="0" w:space="0" w:color="auto"/>
          </w:divBdr>
        </w:div>
        <w:div w:id="413168659">
          <w:marLeft w:val="331"/>
          <w:marRight w:val="0"/>
          <w:marTop w:val="90"/>
          <w:marBottom w:val="0"/>
          <w:divBdr>
            <w:top w:val="none" w:sz="0" w:space="0" w:color="auto"/>
            <w:left w:val="none" w:sz="0" w:space="0" w:color="auto"/>
            <w:bottom w:val="none" w:sz="0" w:space="0" w:color="auto"/>
            <w:right w:val="none" w:sz="0" w:space="0" w:color="auto"/>
          </w:divBdr>
        </w:div>
        <w:div w:id="1298223841">
          <w:marLeft w:val="331"/>
          <w:marRight w:val="0"/>
          <w:marTop w:val="90"/>
          <w:marBottom w:val="0"/>
          <w:divBdr>
            <w:top w:val="none" w:sz="0" w:space="0" w:color="auto"/>
            <w:left w:val="none" w:sz="0" w:space="0" w:color="auto"/>
            <w:bottom w:val="none" w:sz="0" w:space="0" w:color="auto"/>
            <w:right w:val="none" w:sz="0" w:space="0" w:color="auto"/>
          </w:divBdr>
        </w:div>
        <w:div w:id="1823618112">
          <w:marLeft w:val="331"/>
          <w:marRight w:val="0"/>
          <w:marTop w:val="90"/>
          <w:marBottom w:val="0"/>
          <w:divBdr>
            <w:top w:val="none" w:sz="0" w:space="0" w:color="auto"/>
            <w:left w:val="none" w:sz="0" w:space="0" w:color="auto"/>
            <w:bottom w:val="none" w:sz="0" w:space="0" w:color="auto"/>
            <w:right w:val="none" w:sz="0" w:space="0" w:color="auto"/>
          </w:divBdr>
        </w:div>
        <w:div w:id="1600454708">
          <w:marLeft w:val="331"/>
          <w:marRight w:val="0"/>
          <w:marTop w:val="90"/>
          <w:marBottom w:val="0"/>
          <w:divBdr>
            <w:top w:val="none" w:sz="0" w:space="0" w:color="auto"/>
            <w:left w:val="none" w:sz="0" w:space="0" w:color="auto"/>
            <w:bottom w:val="none" w:sz="0" w:space="0" w:color="auto"/>
            <w:right w:val="none" w:sz="0" w:space="0" w:color="auto"/>
          </w:divBdr>
        </w:div>
      </w:divsChild>
    </w:div>
    <w:div w:id="1392918864">
      <w:bodyDiv w:val="1"/>
      <w:marLeft w:val="0"/>
      <w:marRight w:val="0"/>
      <w:marTop w:val="0"/>
      <w:marBottom w:val="0"/>
      <w:divBdr>
        <w:top w:val="none" w:sz="0" w:space="0" w:color="auto"/>
        <w:left w:val="none" w:sz="0" w:space="0" w:color="auto"/>
        <w:bottom w:val="none" w:sz="0" w:space="0" w:color="auto"/>
        <w:right w:val="none" w:sz="0" w:space="0" w:color="auto"/>
      </w:divBdr>
    </w:div>
    <w:div w:id="1434864681">
      <w:bodyDiv w:val="1"/>
      <w:marLeft w:val="0"/>
      <w:marRight w:val="0"/>
      <w:marTop w:val="0"/>
      <w:marBottom w:val="0"/>
      <w:divBdr>
        <w:top w:val="none" w:sz="0" w:space="0" w:color="auto"/>
        <w:left w:val="none" w:sz="0" w:space="0" w:color="auto"/>
        <w:bottom w:val="none" w:sz="0" w:space="0" w:color="auto"/>
        <w:right w:val="none" w:sz="0" w:space="0" w:color="auto"/>
      </w:divBdr>
    </w:div>
    <w:div w:id="1535726552">
      <w:bodyDiv w:val="1"/>
      <w:marLeft w:val="0"/>
      <w:marRight w:val="0"/>
      <w:marTop w:val="0"/>
      <w:marBottom w:val="0"/>
      <w:divBdr>
        <w:top w:val="none" w:sz="0" w:space="0" w:color="auto"/>
        <w:left w:val="none" w:sz="0" w:space="0" w:color="auto"/>
        <w:bottom w:val="none" w:sz="0" w:space="0" w:color="auto"/>
        <w:right w:val="none" w:sz="0" w:space="0" w:color="auto"/>
      </w:divBdr>
      <w:divsChild>
        <w:div w:id="1092433633">
          <w:marLeft w:val="0"/>
          <w:marRight w:val="0"/>
          <w:marTop w:val="0"/>
          <w:marBottom w:val="0"/>
          <w:divBdr>
            <w:top w:val="none" w:sz="0" w:space="0" w:color="auto"/>
            <w:left w:val="none" w:sz="0" w:space="0" w:color="auto"/>
            <w:bottom w:val="none" w:sz="0" w:space="0" w:color="auto"/>
            <w:right w:val="none" w:sz="0" w:space="0" w:color="auto"/>
          </w:divBdr>
          <w:divsChild>
            <w:div w:id="201139745">
              <w:marLeft w:val="0"/>
              <w:marRight w:val="0"/>
              <w:marTop w:val="0"/>
              <w:marBottom w:val="0"/>
              <w:divBdr>
                <w:top w:val="none" w:sz="0" w:space="0" w:color="auto"/>
                <w:left w:val="none" w:sz="0" w:space="0" w:color="auto"/>
                <w:bottom w:val="none" w:sz="0" w:space="0" w:color="auto"/>
                <w:right w:val="none" w:sz="0" w:space="0" w:color="auto"/>
              </w:divBdr>
              <w:divsChild>
                <w:div w:id="1007707080">
                  <w:marLeft w:val="0"/>
                  <w:marRight w:val="0"/>
                  <w:marTop w:val="0"/>
                  <w:marBottom w:val="0"/>
                  <w:divBdr>
                    <w:top w:val="none" w:sz="0" w:space="0" w:color="auto"/>
                    <w:left w:val="single" w:sz="6" w:space="8" w:color="61B6E5"/>
                    <w:bottom w:val="none" w:sz="0" w:space="0" w:color="auto"/>
                    <w:right w:val="single" w:sz="6" w:space="8" w:color="61B6E5"/>
                  </w:divBdr>
                  <w:divsChild>
                    <w:div w:id="1521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364960">
      <w:bodyDiv w:val="1"/>
      <w:marLeft w:val="0"/>
      <w:marRight w:val="0"/>
      <w:marTop w:val="0"/>
      <w:marBottom w:val="0"/>
      <w:divBdr>
        <w:top w:val="none" w:sz="0" w:space="0" w:color="auto"/>
        <w:left w:val="none" w:sz="0" w:space="0" w:color="auto"/>
        <w:bottom w:val="none" w:sz="0" w:space="0" w:color="auto"/>
        <w:right w:val="none" w:sz="0" w:space="0" w:color="auto"/>
      </w:divBdr>
    </w:div>
    <w:div w:id="1575897044">
      <w:bodyDiv w:val="1"/>
      <w:marLeft w:val="0"/>
      <w:marRight w:val="0"/>
      <w:marTop w:val="0"/>
      <w:marBottom w:val="0"/>
      <w:divBdr>
        <w:top w:val="none" w:sz="0" w:space="0" w:color="auto"/>
        <w:left w:val="none" w:sz="0" w:space="0" w:color="auto"/>
        <w:bottom w:val="none" w:sz="0" w:space="0" w:color="auto"/>
        <w:right w:val="none" w:sz="0" w:space="0" w:color="auto"/>
      </w:divBdr>
    </w:div>
    <w:div w:id="1579633332">
      <w:bodyDiv w:val="1"/>
      <w:marLeft w:val="0"/>
      <w:marRight w:val="0"/>
      <w:marTop w:val="0"/>
      <w:marBottom w:val="0"/>
      <w:divBdr>
        <w:top w:val="none" w:sz="0" w:space="0" w:color="auto"/>
        <w:left w:val="none" w:sz="0" w:space="0" w:color="auto"/>
        <w:bottom w:val="none" w:sz="0" w:space="0" w:color="auto"/>
        <w:right w:val="none" w:sz="0" w:space="0" w:color="auto"/>
      </w:divBdr>
    </w:div>
    <w:div w:id="1636644520">
      <w:bodyDiv w:val="1"/>
      <w:marLeft w:val="0"/>
      <w:marRight w:val="0"/>
      <w:marTop w:val="0"/>
      <w:marBottom w:val="0"/>
      <w:divBdr>
        <w:top w:val="none" w:sz="0" w:space="0" w:color="auto"/>
        <w:left w:val="none" w:sz="0" w:space="0" w:color="auto"/>
        <w:bottom w:val="none" w:sz="0" w:space="0" w:color="auto"/>
        <w:right w:val="none" w:sz="0" w:space="0" w:color="auto"/>
      </w:divBdr>
    </w:div>
    <w:div w:id="1670132468">
      <w:bodyDiv w:val="1"/>
      <w:marLeft w:val="0"/>
      <w:marRight w:val="0"/>
      <w:marTop w:val="0"/>
      <w:marBottom w:val="0"/>
      <w:divBdr>
        <w:top w:val="none" w:sz="0" w:space="0" w:color="auto"/>
        <w:left w:val="none" w:sz="0" w:space="0" w:color="auto"/>
        <w:bottom w:val="none" w:sz="0" w:space="0" w:color="auto"/>
        <w:right w:val="none" w:sz="0" w:space="0" w:color="auto"/>
      </w:divBdr>
    </w:div>
    <w:div w:id="1691490105">
      <w:bodyDiv w:val="1"/>
      <w:marLeft w:val="0"/>
      <w:marRight w:val="0"/>
      <w:marTop w:val="0"/>
      <w:marBottom w:val="0"/>
      <w:divBdr>
        <w:top w:val="none" w:sz="0" w:space="0" w:color="auto"/>
        <w:left w:val="none" w:sz="0" w:space="0" w:color="auto"/>
        <w:bottom w:val="none" w:sz="0" w:space="0" w:color="auto"/>
        <w:right w:val="none" w:sz="0" w:space="0" w:color="auto"/>
      </w:divBdr>
      <w:divsChild>
        <w:div w:id="914047888">
          <w:marLeft w:val="547"/>
          <w:marRight w:val="0"/>
          <w:marTop w:val="0"/>
          <w:marBottom w:val="0"/>
          <w:divBdr>
            <w:top w:val="none" w:sz="0" w:space="0" w:color="auto"/>
            <w:left w:val="none" w:sz="0" w:space="0" w:color="auto"/>
            <w:bottom w:val="none" w:sz="0" w:space="0" w:color="auto"/>
            <w:right w:val="none" w:sz="0" w:space="0" w:color="auto"/>
          </w:divBdr>
        </w:div>
        <w:div w:id="1387684370">
          <w:marLeft w:val="547"/>
          <w:marRight w:val="0"/>
          <w:marTop w:val="0"/>
          <w:marBottom w:val="0"/>
          <w:divBdr>
            <w:top w:val="none" w:sz="0" w:space="0" w:color="auto"/>
            <w:left w:val="none" w:sz="0" w:space="0" w:color="auto"/>
            <w:bottom w:val="none" w:sz="0" w:space="0" w:color="auto"/>
            <w:right w:val="none" w:sz="0" w:space="0" w:color="auto"/>
          </w:divBdr>
        </w:div>
      </w:divsChild>
    </w:div>
    <w:div w:id="1693189768">
      <w:bodyDiv w:val="1"/>
      <w:marLeft w:val="0"/>
      <w:marRight w:val="0"/>
      <w:marTop w:val="0"/>
      <w:marBottom w:val="0"/>
      <w:divBdr>
        <w:top w:val="none" w:sz="0" w:space="0" w:color="auto"/>
        <w:left w:val="none" w:sz="0" w:space="0" w:color="auto"/>
        <w:bottom w:val="none" w:sz="0" w:space="0" w:color="auto"/>
        <w:right w:val="none" w:sz="0" w:space="0" w:color="auto"/>
      </w:divBdr>
      <w:divsChild>
        <w:div w:id="92671326">
          <w:marLeft w:val="0"/>
          <w:marRight w:val="0"/>
          <w:marTop w:val="0"/>
          <w:marBottom w:val="0"/>
          <w:divBdr>
            <w:top w:val="none" w:sz="0" w:space="0" w:color="auto"/>
            <w:left w:val="none" w:sz="0" w:space="0" w:color="auto"/>
            <w:bottom w:val="none" w:sz="0" w:space="0" w:color="auto"/>
            <w:right w:val="none" w:sz="0" w:space="0" w:color="auto"/>
          </w:divBdr>
          <w:divsChild>
            <w:div w:id="920144711">
              <w:marLeft w:val="0"/>
              <w:marRight w:val="0"/>
              <w:marTop w:val="0"/>
              <w:marBottom w:val="0"/>
              <w:divBdr>
                <w:top w:val="none" w:sz="0" w:space="0" w:color="auto"/>
                <w:left w:val="none" w:sz="0" w:space="0" w:color="auto"/>
                <w:bottom w:val="none" w:sz="0" w:space="0" w:color="auto"/>
                <w:right w:val="none" w:sz="0" w:space="0" w:color="auto"/>
              </w:divBdr>
              <w:divsChild>
                <w:div w:id="930891085">
                  <w:marLeft w:val="0"/>
                  <w:marRight w:val="0"/>
                  <w:marTop w:val="0"/>
                  <w:marBottom w:val="0"/>
                  <w:divBdr>
                    <w:top w:val="none" w:sz="0" w:space="0" w:color="auto"/>
                    <w:left w:val="single" w:sz="6" w:space="8" w:color="61B6E5"/>
                    <w:bottom w:val="none" w:sz="0" w:space="0" w:color="auto"/>
                    <w:right w:val="single" w:sz="6" w:space="8" w:color="61B6E5"/>
                  </w:divBdr>
                  <w:divsChild>
                    <w:div w:id="17447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47039">
      <w:bodyDiv w:val="1"/>
      <w:marLeft w:val="0"/>
      <w:marRight w:val="0"/>
      <w:marTop w:val="0"/>
      <w:marBottom w:val="0"/>
      <w:divBdr>
        <w:top w:val="none" w:sz="0" w:space="0" w:color="auto"/>
        <w:left w:val="none" w:sz="0" w:space="0" w:color="auto"/>
        <w:bottom w:val="none" w:sz="0" w:space="0" w:color="auto"/>
        <w:right w:val="none" w:sz="0" w:space="0" w:color="auto"/>
      </w:divBdr>
    </w:div>
    <w:div w:id="1697779243">
      <w:bodyDiv w:val="1"/>
      <w:marLeft w:val="0"/>
      <w:marRight w:val="0"/>
      <w:marTop w:val="0"/>
      <w:marBottom w:val="0"/>
      <w:divBdr>
        <w:top w:val="none" w:sz="0" w:space="0" w:color="auto"/>
        <w:left w:val="none" w:sz="0" w:space="0" w:color="auto"/>
        <w:bottom w:val="none" w:sz="0" w:space="0" w:color="auto"/>
        <w:right w:val="none" w:sz="0" w:space="0" w:color="auto"/>
      </w:divBdr>
    </w:div>
    <w:div w:id="1784811177">
      <w:bodyDiv w:val="1"/>
      <w:marLeft w:val="0"/>
      <w:marRight w:val="0"/>
      <w:marTop w:val="0"/>
      <w:marBottom w:val="0"/>
      <w:divBdr>
        <w:top w:val="none" w:sz="0" w:space="0" w:color="auto"/>
        <w:left w:val="none" w:sz="0" w:space="0" w:color="auto"/>
        <w:bottom w:val="none" w:sz="0" w:space="0" w:color="auto"/>
        <w:right w:val="none" w:sz="0" w:space="0" w:color="auto"/>
      </w:divBdr>
    </w:div>
    <w:div w:id="1835025073">
      <w:bodyDiv w:val="1"/>
      <w:marLeft w:val="0"/>
      <w:marRight w:val="0"/>
      <w:marTop w:val="0"/>
      <w:marBottom w:val="0"/>
      <w:divBdr>
        <w:top w:val="none" w:sz="0" w:space="0" w:color="auto"/>
        <w:left w:val="none" w:sz="0" w:space="0" w:color="auto"/>
        <w:bottom w:val="none" w:sz="0" w:space="0" w:color="auto"/>
        <w:right w:val="none" w:sz="0" w:space="0" w:color="auto"/>
      </w:divBdr>
      <w:divsChild>
        <w:div w:id="1264730960">
          <w:marLeft w:val="547"/>
          <w:marRight w:val="0"/>
          <w:marTop w:val="0"/>
          <w:marBottom w:val="0"/>
          <w:divBdr>
            <w:top w:val="none" w:sz="0" w:space="0" w:color="auto"/>
            <w:left w:val="none" w:sz="0" w:space="0" w:color="auto"/>
            <w:bottom w:val="none" w:sz="0" w:space="0" w:color="auto"/>
            <w:right w:val="none" w:sz="0" w:space="0" w:color="auto"/>
          </w:divBdr>
        </w:div>
        <w:div w:id="1187988289">
          <w:marLeft w:val="547"/>
          <w:marRight w:val="0"/>
          <w:marTop w:val="0"/>
          <w:marBottom w:val="0"/>
          <w:divBdr>
            <w:top w:val="none" w:sz="0" w:space="0" w:color="auto"/>
            <w:left w:val="none" w:sz="0" w:space="0" w:color="auto"/>
            <w:bottom w:val="none" w:sz="0" w:space="0" w:color="auto"/>
            <w:right w:val="none" w:sz="0" w:space="0" w:color="auto"/>
          </w:divBdr>
        </w:div>
        <w:div w:id="2003777018">
          <w:marLeft w:val="547"/>
          <w:marRight w:val="0"/>
          <w:marTop w:val="0"/>
          <w:marBottom w:val="0"/>
          <w:divBdr>
            <w:top w:val="none" w:sz="0" w:space="0" w:color="auto"/>
            <w:left w:val="none" w:sz="0" w:space="0" w:color="auto"/>
            <w:bottom w:val="none" w:sz="0" w:space="0" w:color="auto"/>
            <w:right w:val="none" w:sz="0" w:space="0" w:color="auto"/>
          </w:divBdr>
        </w:div>
        <w:div w:id="67116163">
          <w:marLeft w:val="547"/>
          <w:marRight w:val="0"/>
          <w:marTop w:val="0"/>
          <w:marBottom w:val="0"/>
          <w:divBdr>
            <w:top w:val="none" w:sz="0" w:space="0" w:color="auto"/>
            <w:left w:val="none" w:sz="0" w:space="0" w:color="auto"/>
            <w:bottom w:val="none" w:sz="0" w:space="0" w:color="auto"/>
            <w:right w:val="none" w:sz="0" w:space="0" w:color="auto"/>
          </w:divBdr>
        </w:div>
        <w:div w:id="17052806">
          <w:marLeft w:val="547"/>
          <w:marRight w:val="0"/>
          <w:marTop w:val="0"/>
          <w:marBottom w:val="0"/>
          <w:divBdr>
            <w:top w:val="none" w:sz="0" w:space="0" w:color="auto"/>
            <w:left w:val="none" w:sz="0" w:space="0" w:color="auto"/>
            <w:bottom w:val="none" w:sz="0" w:space="0" w:color="auto"/>
            <w:right w:val="none" w:sz="0" w:space="0" w:color="auto"/>
          </w:divBdr>
        </w:div>
        <w:div w:id="264508237">
          <w:marLeft w:val="547"/>
          <w:marRight w:val="0"/>
          <w:marTop w:val="0"/>
          <w:marBottom w:val="0"/>
          <w:divBdr>
            <w:top w:val="none" w:sz="0" w:space="0" w:color="auto"/>
            <w:left w:val="none" w:sz="0" w:space="0" w:color="auto"/>
            <w:bottom w:val="none" w:sz="0" w:space="0" w:color="auto"/>
            <w:right w:val="none" w:sz="0" w:space="0" w:color="auto"/>
          </w:divBdr>
        </w:div>
        <w:div w:id="1441338792">
          <w:marLeft w:val="547"/>
          <w:marRight w:val="0"/>
          <w:marTop w:val="0"/>
          <w:marBottom w:val="0"/>
          <w:divBdr>
            <w:top w:val="none" w:sz="0" w:space="0" w:color="auto"/>
            <w:left w:val="none" w:sz="0" w:space="0" w:color="auto"/>
            <w:bottom w:val="none" w:sz="0" w:space="0" w:color="auto"/>
            <w:right w:val="none" w:sz="0" w:space="0" w:color="auto"/>
          </w:divBdr>
        </w:div>
        <w:div w:id="1596287780">
          <w:marLeft w:val="547"/>
          <w:marRight w:val="0"/>
          <w:marTop w:val="0"/>
          <w:marBottom w:val="0"/>
          <w:divBdr>
            <w:top w:val="none" w:sz="0" w:space="0" w:color="auto"/>
            <w:left w:val="none" w:sz="0" w:space="0" w:color="auto"/>
            <w:bottom w:val="none" w:sz="0" w:space="0" w:color="auto"/>
            <w:right w:val="none" w:sz="0" w:space="0" w:color="auto"/>
          </w:divBdr>
        </w:div>
        <w:div w:id="981154189">
          <w:marLeft w:val="547"/>
          <w:marRight w:val="0"/>
          <w:marTop w:val="0"/>
          <w:marBottom w:val="0"/>
          <w:divBdr>
            <w:top w:val="none" w:sz="0" w:space="0" w:color="auto"/>
            <w:left w:val="none" w:sz="0" w:space="0" w:color="auto"/>
            <w:bottom w:val="none" w:sz="0" w:space="0" w:color="auto"/>
            <w:right w:val="none" w:sz="0" w:space="0" w:color="auto"/>
          </w:divBdr>
        </w:div>
      </w:divsChild>
    </w:div>
    <w:div w:id="1839346014">
      <w:bodyDiv w:val="1"/>
      <w:marLeft w:val="0"/>
      <w:marRight w:val="0"/>
      <w:marTop w:val="0"/>
      <w:marBottom w:val="0"/>
      <w:divBdr>
        <w:top w:val="none" w:sz="0" w:space="0" w:color="auto"/>
        <w:left w:val="none" w:sz="0" w:space="0" w:color="auto"/>
        <w:bottom w:val="none" w:sz="0" w:space="0" w:color="auto"/>
        <w:right w:val="none" w:sz="0" w:space="0" w:color="auto"/>
      </w:divBdr>
    </w:div>
    <w:div w:id="1905288960">
      <w:bodyDiv w:val="1"/>
      <w:marLeft w:val="0"/>
      <w:marRight w:val="0"/>
      <w:marTop w:val="0"/>
      <w:marBottom w:val="0"/>
      <w:divBdr>
        <w:top w:val="none" w:sz="0" w:space="0" w:color="auto"/>
        <w:left w:val="none" w:sz="0" w:space="0" w:color="auto"/>
        <w:bottom w:val="none" w:sz="0" w:space="0" w:color="auto"/>
        <w:right w:val="none" w:sz="0" w:space="0" w:color="auto"/>
      </w:divBdr>
      <w:divsChild>
        <w:div w:id="1895387338">
          <w:marLeft w:val="0"/>
          <w:marRight w:val="0"/>
          <w:marTop w:val="0"/>
          <w:marBottom w:val="0"/>
          <w:divBdr>
            <w:top w:val="none" w:sz="0" w:space="0" w:color="auto"/>
            <w:left w:val="none" w:sz="0" w:space="0" w:color="auto"/>
            <w:bottom w:val="none" w:sz="0" w:space="0" w:color="auto"/>
            <w:right w:val="none" w:sz="0" w:space="0" w:color="auto"/>
          </w:divBdr>
          <w:divsChild>
            <w:div w:id="456997902">
              <w:marLeft w:val="0"/>
              <w:marRight w:val="0"/>
              <w:marTop w:val="0"/>
              <w:marBottom w:val="0"/>
              <w:divBdr>
                <w:top w:val="none" w:sz="0" w:space="0" w:color="auto"/>
                <w:left w:val="none" w:sz="0" w:space="0" w:color="auto"/>
                <w:bottom w:val="none" w:sz="0" w:space="0" w:color="auto"/>
                <w:right w:val="none" w:sz="0" w:space="0" w:color="auto"/>
              </w:divBdr>
              <w:divsChild>
                <w:div w:id="2125802089">
                  <w:marLeft w:val="0"/>
                  <w:marRight w:val="0"/>
                  <w:marTop w:val="0"/>
                  <w:marBottom w:val="0"/>
                  <w:divBdr>
                    <w:top w:val="none" w:sz="0" w:space="0" w:color="auto"/>
                    <w:left w:val="single" w:sz="6" w:space="8" w:color="61B6E5"/>
                    <w:bottom w:val="none" w:sz="0" w:space="0" w:color="auto"/>
                    <w:right w:val="single" w:sz="6" w:space="8" w:color="61B6E5"/>
                  </w:divBdr>
                  <w:divsChild>
                    <w:div w:id="8822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164184">
      <w:bodyDiv w:val="1"/>
      <w:marLeft w:val="0"/>
      <w:marRight w:val="0"/>
      <w:marTop w:val="0"/>
      <w:marBottom w:val="0"/>
      <w:divBdr>
        <w:top w:val="none" w:sz="0" w:space="0" w:color="auto"/>
        <w:left w:val="none" w:sz="0" w:space="0" w:color="auto"/>
        <w:bottom w:val="none" w:sz="0" w:space="0" w:color="auto"/>
        <w:right w:val="none" w:sz="0" w:space="0" w:color="auto"/>
      </w:divBdr>
    </w:div>
    <w:div w:id="2017149254">
      <w:bodyDiv w:val="1"/>
      <w:marLeft w:val="0"/>
      <w:marRight w:val="0"/>
      <w:marTop w:val="0"/>
      <w:marBottom w:val="0"/>
      <w:divBdr>
        <w:top w:val="none" w:sz="0" w:space="0" w:color="auto"/>
        <w:left w:val="none" w:sz="0" w:space="0" w:color="auto"/>
        <w:bottom w:val="none" w:sz="0" w:space="0" w:color="auto"/>
        <w:right w:val="none" w:sz="0" w:space="0" w:color="auto"/>
      </w:divBdr>
    </w:div>
    <w:div w:id="2017413557">
      <w:bodyDiv w:val="1"/>
      <w:marLeft w:val="0"/>
      <w:marRight w:val="0"/>
      <w:marTop w:val="0"/>
      <w:marBottom w:val="0"/>
      <w:divBdr>
        <w:top w:val="none" w:sz="0" w:space="0" w:color="auto"/>
        <w:left w:val="none" w:sz="0" w:space="0" w:color="auto"/>
        <w:bottom w:val="none" w:sz="0" w:space="0" w:color="auto"/>
        <w:right w:val="none" w:sz="0" w:space="0" w:color="auto"/>
      </w:divBdr>
    </w:div>
    <w:div w:id="2039350839">
      <w:bodyDiv w:val="1"/>
      <w:marLeft w:val="0"/>
      <w:marRight w:val="0"/>
      <w:marTop w:val="0"/>
      <w:marBottom w:val="0"/>
      <w:divBdr>
        <w:top w:val="none" w:sz="0" w:space="0" w:color="auto"/>
        <w:left w:val="none" w:sz="0" w:space="0" w:color="auto"/>
        <w:bottom w:val="none" w:sz="0" w:space="0" w:color="auto"/>
        <w:right w:val="none" w:sz="0" w:space="0" w:color="auto"/>
      </w:divBdr>
      <w:divsChild>
        <w:div w:id="663050546">
          <w:marLeft w:val="331"/>
          <w:marRight w:val="0"/>
          <w:marTop w:val="90"/>
          <w:marBottom w:val="0"/>
          <w:divBdr>
            <w:top w:val="none" w:sz="0" w:space="0" w:color="auto"/>
            <w:left w:val="none" w:sz="0" w:space="0" w:color="auto"/>
            <w:bottom w:val="none" w:sz="0" w:space="0" w:color="auto"/>
            <w:right w:val="none" w:sz="0" w:space="0" w:color="auto"/>
          </w:divBdr>
        </w:div>
        <w:div w:id="172575454">
          <w:marLeft w:val="331"/>
          <w:marRight w:val="0"/>
          <w:marTop w:val="90"/>
          <w:marBottom w:val="0"/>
          <w:divBdr>
            <w:top w:val="none" w:sz="0" w:space="0" w:color="auto"/>
            <w:left w:val="none" w:sz="0" w:space="0" w:color="auto"/>
            <w:bottom w:val="none" w:sz="0" w:space="0" w:color="auto"/>
            <w:right w:val="none" w:sz="0" w:space="0" w:color="auto"/>
          </w:divBdr>
        </w:div>
        <w:div w:id="859663429">
          <w:marLeft w:val="331"/>
          <w:marRight w:val="0"/>
          <w:marTop w:val="90"/>
          <w:marBottom w:val="0"/>
          <w:divBdr>
            <w:top w:val="none" w:sz="0" w:space="0" w:color="auto"/>
            <w:left w:val="none" w:sz="0" w:space="0" w:color="auto"/>
            <w:bottom w:val="none" w:sz="0" w:space="0" w:color="auto"/>
            <w:right w:val="none" w:sz="0" w:space="0" w:color="auto"/>
          </w:divBdr>
        </w:div>
        <w:div w:id="2040350214">
          <w:marLeft w:val="331"/>
          <w:marRight w:val="0"/>
          <w:marTop w:val="90"/>
          <w:marBottom w:val="0"/>
          <w:divBdr>
            <w:top w:val="none" w:sz="0" w:space="0" w:color="auto"/>
            <w:left w:val="none" w:sz="0" w:space="0" w:color="auto"/>
            <w:bottom w:val="none" w:sz="0" w:space="0" w:color="auto"/>
            <w:right w:val="none" w:sz="0" w:space="0" w:color="auto"/>
          </w:divBdr>
        </w:div>
      </w:divsChild>
    </w:div>
    <w:div w:id="2053919834">
      <w:bodyDiv w:val="1"/>
      <w:marLeft w:val="0"/>
      <w:marRight w:val="0"/>
      <w:marTop w:val="0"/>
      <w:marBottom w:val="0"/>
      <w:divBdr>
        <w:top w:val="none" w:sz="0" w:space="0" w:color="auto"/>
        <w:left w:val="none" w:sz="0" w:space="0" w:color="auto"/>
        <w:bottom w:val="none" w:sz="0" w:space="0" w:color="auto"/>
        <w:right w:val="none" w:sz="0" w:space="0" w:color="auto"/>
      </w:divBdr>
      <w:divsChild>
        <w:div w:id="93062779">
          <w:marLeft w:val="547"/>
          <w:marRight w:val="0"/>
          <w:marTop w:val="0"/>
          <w:marBottom w:val="0"/>
          <w:divBdr>
            <w:top w:val="none" w:sz="0" w:space="0" w:color="auto"/>
            <w:left w:val="none" w:sz="0" w:space="0" w:color="auto"/>
            <w:bottom w:val="none" w:sz="0" w:space="0" w:color="auto"/>
            <w:right w:val="none" w:sz="0" w:space="0" w:color="auto"/>
          </w:divBdr>
        </w:div>
        <w:div w:id="623776881">
          <w:marLeft w:val="547"/>
          <w:marRight w:val="0"/>
          <w:marTop w:val="0"/>
          <w:marBottom w:val="0"/>
          <w:divBdr>
            <w:top w:val="none" w:sz="0" w:space="0" w:color="auto"/>
            <w:left w:val="none" w:sz="0" w:space="0" w:color="auto"/>
            <w:bottom w:val="none" w:sz="0" w:space="0" w:color="auto"/>
            <w:right w:val="none" w:sz="0" w:space="0" w:color="auto"/>
          </w:divBdr>
        </w:div>
        <w:div w:id="1565096217">
          <w:marLeft w:val="547"/>
          <w:marRight w:val="0"/>
          <w:marTop w:val="0"/>
          <w:marBottom w:val="0"/>
          <w:divBdr>
            <w:top w:val="none" w:sz="0" w:space="0" w:color="auto"/>
            <w:left w:val="none" w:sz="0" w:space="0" w:color="auto"/>
            <w:bottom w:val="none" w:sz="0" w:space="0" w:color="auto"/>
            <w:right w:val="none" w:sz="0" w:space="0" w:color="auto"/>
          </w:divBdr>
        </w:div>
        <w:div w:id="651252464">
          <w:marLeft w:val="547"/>
          <w:marRight w:val="0"/>
          <w:marTop w:val="0"/>
          <w:marBottom w:val="0"/>
          <w:divBdr>
            <w:top w:val="none" w:sz="0" w:space="0" w:color="auto"/>
            <w:left w:val="none" w:sz="0" w:space="0" w:color="auto"/>
            <w:bottom w:val="none" w:sz="0" w:space="0" w:color="auto"/>
            <w:right w:val="none" w:sz="0" w:space="0" w:color="auto"/>
          </w:divBdr>
        </w:div>
        <w:div w:id="636223553">
          <w:marLeft w:val="547"/>
          <w:marRight w:val="0"/>
          <w:marTop w:val="0"/>
          <w:marBottom w:val="0"/>
          <w:divBdr>
            <w:top w:val="none" w:sz="0" w:space="0" w:color="auto"/>
            <w:left w:val="none" w:sz="0" w:space="0" w:color="auto"/>
            <w:bottom w:val="none" w:sz="0" w:space="0" w:color="auto"/>
            <w:right w:val="none" w:sz="0" w:space="0" w:color="auto"/>
          </w:divBdr>
        </w:div>
        <w:div w:id="1993438869">
          <w:marLeft w:val="547"/>
          <w:marRight w:val="0"/>
          <w:marTop w:val="0"/>
          <w:marBottom w:val="0"/>
          <w:divBdr>
            <w:top w:val="none" w:sz="0" w:space="0" w:color="auto"/>
            <w:left w:val="none" w:sz="0" w:space="0" w:color="auto"/>
            <w:bottom w:val="none" w:sz="0" w:space="0" w:color="auto"/>
            <w:right w:val="none" w:sz="0" w:space="0" w:color="auto"/>
          </w:divBdr>
        </w:div>
        <w:div w:id="1684165378">
          <w:marLeft w:val="547"/>
          <w:marRight w:val="0"/>
          <w:marTop w:val="0"/>
          <w:marBottom w:val="0"/>
          <w:divBdr>
            <w:top w:val="none" w:sz="0" w:space="0" w:color="auto"/>
            <w:left w:val="none" w:sz="0" w:space="0" w:color="auto"/>
            <w:bottom w:val="none" w:sz="0" w:space="0" w:color="auto"/>
            <w:right w:val="none" w:sz="0" w:space="0" w:color="auto"/>
          </w:divBdr>
        </w:div>
        <w:div w:id="141316365">
          <w:marLeft w:val="547"/>
          <w:marRight w:val="0"/>
          <w:marTop w:val="0"/>
          <w:marBottom w:val="0"/>
          <w:divBdr>
            <w:top w:val="none" w:sz="0" w:space="0" w:color="auto"/>
            <w:left w:val="none" w:sz="0" w:space="0" w:color="auto"/>
            <w:bottom w:val="none" w:sz="0" w:space="0" w:color="auto"/>
            <w:right w:val="none" w:sz="0" w:space="0" w:color="auto"/>
          </w:divBdr>
        </w:div>
        <w:div w:id="1516185703">
          <w:marLeft w:val="547"/>
          <w:marRight w:val="0"/>
          <w:marTop w:val="0"/>
          <w:marBottom w:val="0"/>
          <w:divBdr>
            <w:top w:val="none" w:sz="0" w:space="0" w:color="auto"/>
            <w:left w:val="none" w:sz="0" w:space="0" w:color="auto"/>
            <w:bottom w:val="none" w:sz="0" w:space="0" w:color="auto"/>
            <w:right w:val="none" w:sz="0" w:space="0" w:color="auto"/>
          </w:divBdr>
        </w:div>
      </w:divsChild>
    </w:div>
    <w:div w:id="2109308508">
      <w:bodyDiv w:val="1"/>
      <w:marLeft w:val="0"/>
      <w:marRight w:val="0"/>
      <w:marTop w:val="0"/>
      <w:marBottom w:val="0"/>
      <w:divBdr>
        <w:top w:val="none" w:sz="0" w:space="0" w:color="auto"/>
        <w:left w:val="none" w:sz="0" w:space="0" w:color="auto"/>
        <w:bottom w:val="none" w:sz="0" w:space="0" w:color="auto"/>
        <w:right w:val="none" w:sz="0" w:space="0" w:color="auto"/>
      </w:divBdr>
    </w:div>
    <w:div w:id="2111196054">
      <w:bodyDiv w:val="1"/>
      <w:marLeft w:val="0"/>
      <w:marRight w:val="0"/>
      <w:marTop w:val="0"/>
      <w:marBottom w:val="0"/>
      <w:divBdr>
        <w:top w:val="none" w:sz="0" w:space="0" w:color="auto"/>
        <w:left w:val="none" w:sz="0" w:space="0" w:color="auto"/>
        <w:bottom w:val="none" w:sz="0" w:space="0" w:color="auto"/>
        <w:right w:val="none" w:sz="0" w:space="0" w:color="auto"/>
      </w:divBdr>
      <w:divsChild>
        <w:div w:id="450442163">
          <w:marLeft w:val="0"/>
          <w:marRight w:val="0"/>
          <w:marTop w:val="0"/>
          <w:marBottom w:val="0"/>
          <w:divBdr>
            <w:top w:val="none" w:sz="0" w:space="0" w:color="auto"/>
            <w:left w:val="none" w:sz="0" w:space="0" w:color="auto"/>
            <w:bottom w:val="none" w:sz="0" w:space="0" w:color="auto"/>
            <w:right w:val="none" w:sz="0" w:space="0" w:color="auto"/>
          </w:divBdr>
        </w:div>
      </w:divsChild>
    </w:div>
    <w:div w:id="214121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yperlink" Target="https://www.easa.europa.eu/regulations" TargetMode="External"/><Relationship Id="rId39" Type="http://schemas.openxmlformats.org/officeDocument/2006/relationships/hyperlink" Target="https://www.easa.europa.eu/regulations/fines-and-penalties" TargetMode="External"/><Relationship Id="rId21" Type="http://schemas.openxmlformats.org/officeDocument/2006/relationships/hyperlink" Target="https://www.easa.europa.eu/regulations" TargetMode="External"/><Relationship Id="rId34" Type="http://schemas.openxmlformats.org/officeDocument/2006/relationships/hyperlink" Target="https://www.easa.europa.eu/regulations" TargetMode="External"/><Relationship Id="rId42" Type="http://schemas.openxmlformats.org/officeDocument/2006/relationships/hyperlink" Target="https://www.easa.europa.eu/document-library/regulations/commission-delegated-regulation-eu-20202034" TargetMode="External"/><Relationship Id="rId47" Type="http://schemas.openxmlformats.org/officeDocument/2006/relationships/hyperlink" Target="https://eur-lex.europa.eu/legal-content/EN/ALL/?uri=CELEX:32004R0549" TargetMode="External"/><Relationship Id="rId50" Type="http://schemas.openxmlformats.org/officeDocument/2006/relationships/hyperlink" Target="https://eur-lex.europa.eu/legal-content/EN/TXT/?uri=CELEX%3A32019R0317&amp;qid=1643817315579" TargetMode="External"/><Relationship Id="rId55" Type="http://schemas.openxmlformats.org/officeDocument/2006/relationships/hyperlink" Target="https://www.easa.europa.eu/document-library/easy-access-rules/online-publications/regulation-eu-20181139-european-parliament?page=2" TargetMode="External"/><Relationship Id="rId63" Type="http://schemas.openxmlformats.org/officeDocument/2006/relationships/hyperlink" Target="https://www.easa.europa.eu/downloads/134924/en" TargetMode="External"/><Relationship Id="rId68" Type="http://schemas.openxmlformats.org/officeDocument/2006/relationships/hyperlink" Target="http://eccairs-dds.jrc.ec.europa.eu/pubsris/default.asp" TargetMode="External"/><Relationship Id="rId76" Type="http://schemas.openxmlformats.org/officeDocument/2006/relationships/footer" Target="footer5.xml"/><Relationship Id="rId7" Type="http://schemas.openxmlformats.org/officeDocument/2006/relationships/numbering" Target="numbering.xml"/><Relationship Id="rId71" Type="http://schemas.openxmlformats.org/officeDocument/2006/relationships/hyperlink" Target="http://easa.europa.eu/"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easa.europa.eu/regulations" TargetMode="External"/><Relationship Id="rId11" Type="http://schemas.openxmlformats.org/officeDocument/2006/relationships/footnotes" Target="footnotes.xml"/><Relationship Id="rId24" Type="http://schemas.openxmlformats.org/officeDocument/2006/relationships/hyperlink" Target="https://www.easa.europa.eu/regulations" TargetMode="External"/><Relationship Id="rId32" Type="http://schemas.openxmlformats.org/officeDocument/2006/relationships/hyperlink" Target="https://www.easa.europa.eu/regulations" TargetMode="External"/><Relationship Id="rId37" Type="http://schemas.openxmlformats.org/officeDocument/2006/relationships/hyperlink" Target="https://www.easa.europa.eu/regulations" TargetMode="External"/><Relationship Id="rId40" Type="http://schemas.openxmlformats.org/officeDocument/2006/relationships/hyperlink" Target="https://www.easa.europa.eu/regulations/standardisation-inspections" TargetMode="External"/><Relationship Id="rId45" Type="http://schemas.openxmlformats.org/officeDocument/2006/relationships/hyperlink" Target="https://eur-lex.europa.eu/legal-content/EN/TXT/?uri=CELEX%3A31991R3922&amp;qid=1643817268444" TargetMode="External"/><Relationship Id="rId53" Type="http://schemas.openxmlformats.org/officeDocument/2006/relationships/hyperlink" Target="https://www.easa.europa.eu/document-library/easy-access-rules/online-publications/regulation-eu-20181139-european-parliament?page=4" TargetMode="External"/><Relationship Id="rId58" Type="http://schemas.openxmlformats.org/officeDocument/2006/relationships/image" Target="media/image2.png"/><Relationship Id="rId66" Type="http://schemas.openxmlformats.org/officeDocument/2006/relationships/hyperlink" Target="https://www.easa.europa.eu/sites/default/files/dfu/2021-05-31_alosp_for_publication.pdf" TargetMode="External"/><Relationship Id="rId74" Type="http://schemas.openxmlformats.org/officeDocument/2006/relationships/header" Target="header5.xml"/><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easa.europa.eu/downloads/134926/en" TargetMode="External"/><Relationship Id="rId82"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https://www.easa.europa.eu/regulation-groups/aur-airspace-usage-requirements-pbn" TargetMode="External"/><Relationship Id="rId44" Type="http://schemas.openxmlformats.org/officeDocument/2006/relationships/hyperlink" Target="https://eur-lex.europa.eu/LexUriServ/LexUriServ.do?uri=OJ%3AL%3A2010%3A295%3A0035%3A0050%3AEN%3APDF" TargetMode="External"/><Relationship Id="rId52" Type="http://schemas.openxmlformats.org/officeDocument/2006/relationships/hyperlink" Target="https://www.easa.europa.eu/document-library/easy-access-rules" TargetMode="External"/><Relationship Id="rId60" Type="http://schemas.openxmlformats.org/officeDocument/2006/relationships/hyperlink" Target="https://www.easa.europa.eu/downloads/134923/en" TargetMode="External"/><Relationship Id="rId65" Type="http://schemas.openxmlformats.org/officeDocument/2006/relationships/hyperlink" Target="https://www.easa.europa.eu/regulations" TargetMode="External"/><Relationship Id="rId73" Type="http://schemas.openxmlformats.org/officeDocument/2006/relationships/header" Target="header4.xml"/><Relationship Id="rId78"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easa.europa.eu/regulations" TargetMode="External"/><Relationship Id="rId27" Type="http://schemas.openxmlformats.org/officeDocument/2006/relationships/hyperlink" Target="https://www.easa.europa.eu/regulations" TargetMode="External"/><Relationship Id="rId30" Type="http://schemas.openxmlformats.org/officeDocument/2006/relationships/hyperlink" Target="https://www.easa.europa.eu/regulations" TargetMode="External"/><Relationship Id="rId35" Type="http://schemas.openxmlformats.org/officeDocument/2006/relationships/hyperlink" Target="https://www.easa.europa.eu/regulations" TargetMode="External"/><Relationship Id="rId43" Type="http://schemas.openxmlformats.org/officeDocument/2006/relationships/hyperlink" Target="https://www.easa.europa.eu/document-library/regulations/commission-implementing-regulation-eu-20151018" TargetMode="External"/><Relationship Id="rId48" Type="http://schemas.openxmlformats.org/officeDocument/2006/relationships/hyperlink" Target="https://eur-lex.europa.eu/legal-content/EN/ALL/?uri=CELEX%3A32004R0550" TargetMode="External"/><Relationship Id="rId56" Type="http://schemas.openxmlformats.org/officeDocument/2006/relationships/hyperlink" Target="https://www.easa.europa.eu/document-library/easy-access-rules/online-publications/regulation-eu-20181139-european-parliament?page=4" TargetMode="External"/><Relationship Id="rId64" Type="http://schemas.openxmlformats.org/officeDocument/2006/relationships/image" Target="media/image4.PNG"/><Relationship Id="rId69" Type="http://schemas.openxmlformats.org/officeDocument/2006/relationships/hyperlink" Target="http://ad.easa.europa.eu/sib-docs/page-1" TargetMode="External"/><Relationship Id="rId77" Type="http://schemas.openxmlformats.org/officeDocument/2006/relationships/header" Target="header6.xml"/><Relationship Id="rId8" Type="http://schemas.openxmlformats.org/officeDocument/2006/relationships/styles" Target="styles.xml"/><Relationship Id="rId51" Type="http://schemas.openxmlformats.org/officeDocument/2006/relationships/hyperlink" Target="http://eur-lex.europa.eu/search.html?CC_1_CODED=07&amp;name=browse-by:legislation-in-force&amp;CC_2_CODED=0740&amp;displayProfile=allRelAllConsDocProfile&amp;qid=1432027232264&amp;CC_3_CODED=074030&amp;type=named" TargetMode="External"/><Relationship Id="rId72" Type="http://schemas.openxmlformats.org/officeDocument/2006/relationships/hyperlink" Target="http://ec.europa.eu/transport/modes/air/safety/index_en.htm"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easa.europa.eu/regulations" TargetMode="External"/><Relationship Id="rId33" Type="http://schemas.openxmlformats.org/officeDocument/2006/relationships/hyperlink" Target="https://www.easa.europa.eu/regulations" TargetMode="External"/><Relationship Id="rId38" Type="http://schemas.openxmlformats.org/officeDocument/2006/relationships/hyperlink" Target="https://www.easa.europa.eu/regulations/fees-and-charges" TargetMode="External"/><Relationship Id="rId46" Type="http://schemas.openxmlformats.org/officeDocument/2006/relationships/hyperlink" Target="https://eur-lex.europa.eu/legal-content/en/TXT/?uri=CELEX%3A32006R0474" TargetMode="External"/><Relationship Id="rId59" Type="http://schemas.openxmlformats.org/officeDocument/2006/relationships/hyperlink" Target="http://www.aviationreporting.eu" TargetMode="External"/><Relationship Id="rId67" Type="http://schemas.openxmlformats.org/officeDocument/2006/relationships/hyperlink" Target="http://easa.europa.eu/newsroom-and-events/general-publications" TargetMode="External"/><Relationship Id="rId20" Type="http://schemas.openxmlformats.org/officeDocument/2006/relationships/hyperlink" Target="https://www.easa.europa.eu/regulations" TargetMode="External"/><Relationship Id="rId41" Type="http://schemas.openxmlformats.org/officeDocument/2006/relationships/hyperlink" Target="https://www.easa.europa.eu/regulations/occurrence-reporting" TargetMode="External"/><Relationship Id="rId54" Type="http://schemas.openxmlformats.org/officeDocument/2006/relationships/hyperlink" Target="https://www.easa.europa.eu/document-library/easy-access-rules/online-publications/regulation-eu-20181139-european-parliament?page=4" TargetMode="External"/><Relationship Id="rId62" Type="http://schemas.openxmlformats.org/officeDocument/2006/relationships/image" Target="media/image3.jpeg"/><Relationship Id="rId70" Type="http://schemas.openxmlformats.org/officeDocument/2006/relationships/hyperlink" Target="http://easa.europa.eu/easa-and-you/safety-management/accident-and-incident-investigation-support/safety-recommendations" TargetMode="External"/><Relationship Id="rId75" Type="http://schemas.openxmlformats.org/officeDocument/2006/relationships/footer" Target="footer4.xml"/><Relationship Id="rId83"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hyperlink" Target="https://www.easa.europa.eu/regulations" TargetMode="External"/><Relationship Id="rId28" Type="http://schemas.openxmlformats.org/officeDocument/2006/relationships/hyperlink" Target="https://www.easa.europa.eu/regulations" TargetMode="External"/><Relationship Id="rId36" Type="http://schemas.openxmlformats.org/officeDocument/2006/relationships/hyperlink" Target="https://www.easa.europa.eu/regulations" TargetMode="External"/><Relationship Id="rId49" Type="http://schemas.openxmlformats.org/officeDocument/2006/relationships/hyperlink" Target="https://eur-lex.europa.eu/resource.html?uri=cellar:2004b8f3-6635-455b-b600-2178b7023ace.0004.02/DOC_1&amp;format=PDF" TargetMode="External"/><Relationship Id="rId57" Type="http://schemas.openxmlformats.org/officeDocument/2006/relationships/hyperlink" Target="http://ec.europa.eu/transport/modes/air/safety/air-ban/index_en.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asa.europa.eu/document-library/general-publications/covid-19-aviation-health-safety-protocol" TargetMode="External"/><Relationship Id="rId13" Type="http://schemas.openxmlformats.org/officeDocument/2006/relationships/hyperlink" Target="http://easa.europa.eu/newsroom-and-events/general-publications" TargetMode="External"/><Relationship Id="rId18" Type="http://schemas.openxmlformats.org/officeDocument/2006/relationships/hyperlink" Target="http://ec.europa.eu/transport/modes/air/safety/index_en.htm" TargetMode="External"/><Relationship Id="rId3" Type="http://schemas.openxmlformats.org/officeDocument/2006/relationships/hyperlink" Target="https://www.easa.europa.eu/regulations" TargetMode="External"/><Relationship Id="rId7" Type="http://schemas.openxmlformats.org/officeDocument/2006/relationships/hyperlink" Target="https://www.easa.europa.eu/easa-and-you/safety-management/research" TargetMode="External"/><Relationship Id="rId12" Type="http://schemas.openxmlformats.org/officeDocument/2006/relationships/hyperlink" Target="https://www.easa.europa.eu/domains/safety-management/safety-promotion" TargetMode="External"/><Relationship Id="rId17" Type="http://schemas.openxmlformats.org/officeDocument/2006/relationships/hyperlink" Target="http://easa.europa.eu/" TargetMode="External"/><Relationship Id="rId2" Type="http://schemas.openxmlformats.org/officeDocument/2006/relationships/hyperlink" Target="http://eur-lex.europa.eu/browse/directories/legislation.html" TargetMode="External"/><Relationship Id="rId16" Type="http://schemas.openxmlformats.org/officeDocument/2006/relationships/hyperlink" Target="http://easa.europa.eu/easa-and-you/safety-management/accident-and-incident-investigation-support/safety-recommendations" TargetMode="External"/><Relationship Id="rId1" Type="http://schemas.openxmlformats.org/officeDocument/2006/relationships/hyperlink" Target="https://eur-lex.europa.eu/legal-content/EN/TXT/?uri=celex%3A32014R0598" TargetMode="External"/><Relationship Id="rId6" Type="http://schemas.openxmlformats.org/officeDocument/2006/relationships/hyperlink" Target="https://www.easa.europa.eu/eco/sites/default/files/2022-09/220723_EASA%20EAER%202022.pdf" TargetMode="External"/><Relationship Id="rId11" Type="http://schemas.openxmlformats.org/officeDocument/2006/relationships/hyperlink" Target="https://www.easa.europa.eu/downloads/21623/en" TargetMode="External"/><Relationship Id="rId5" Type="http://schemas.openxmlformats.org/officeDocument/2006/relationships/hyperlink" Target="https://ec.europa.eu/commission/presscorner/detail/en/qanda_20_2330" TargetMode="External"/><Relationship Id="rId15" Type="http://schemas.openxmlformats.org/officeDocument/2006/relationships/hyperlink" Target="http://ad.easa.europa.eu/sib-docs/page-1" TargetMode="External"/><Relationship Id="rId10" Type="http://schemas.openxmlformats.org/officeDocument/2006/relationships/hyperlink" Target="http://ec.europa.eu/transport/modes/air/safety/air-ban/index_en.htm" TargetMode="External"/><Relationship Id="rId4" Type="http://schemas.openxmlformats.org/officeDocument/2006/relationships/hyperlink" Target="https://eur-lex.europa.eu/legal-content/EN/ALL/?uri=CELEX%3A32006R1907" TargetMode="External"/><Relationship Id="rId9" Type="http://schemas.openxmlformats.org/officeDocument/2006/relationships/hyperlink" Target="https://www.easa.europa.eu/newsroom-and-events/news/easa-publishes-study-socio-economic-factors-relation-aviation-safety" TargetMode="External"/><Relationship Id="rId14" Type="http://schemas.openxmlformats.org/officeDocument/2006/relationships/hyperlink" Target="http://eccairs-dds.jrc.ec.europa.eu/pubsris/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Url/>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Url/>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Url/>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Url/>
    <Assembly>EASA.BA.IMF.RC.Core.Application, Version=1.0.0.0, Culture=neutral, PublicKeyToken=a01c64e5cd1f2deb</Assembly>
    <Class>EASA.BA.IMF.RC.Core.Application.EventReceivers.CopyToRecordsCenter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EASA internal</IMF_C0_PublicationStatus>
    <IMF_C0_Language xmlns="391a2f22-9f1b-4edd-a10b-257ace2d067d">English</IMF_C0_Language>
    <IMF_RC_RefDocumentId xmlns="6E10281A-CD3A-4F0C-9B7D-A2009929208B" xsi:nil="true"/>
    <IMF_C0_Owner xmlns="391a2f22-9f1b-4edd-a10b-257ace2d067d">
      <UserInfo>
        <DisplayName/>
        <AccountId xsi:nil="true"/>
        <AccountType/>
      </UserInfo>
    </IMF_C0_Owner>
    <IMF_C0_OriginatedTimestamp xmlns="391a2f22-9f1b-4edd-a10b-257ace2d067d">2022-03-30T09:21:00+00:00</IMF_C0_OriginatedTimestamp>
    <IMF_C53_Edition xmlns="e8879246-bfc1-4b56-8f26-022543d6b024">Third</IMF_C53_Edition>
    <IMF_RC_RefDocumentVersion xmlns="6E10281A-CD3A-4F0C-9B7D-A2009929208B" xsi:nil="true"/>
    <IMF_C0_Archived xmlns="391a2f22-9f1b-4edd-a10b-257ace2d067d">false</IMF_C0_Archived>
    <IMF_C0_SourceTaxHTField0 xmlns="720140C3-6DF4-409B-A1F7-429D32417DCA">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ebe49520-8a61-4518-ad1c-bc2447d8e3e0</TermId>
        </TermInfo>
      </Terms>
    </IMF_C0_SourceTaxHTField0>
    <IMF_RC_RefDocumentGuid xmlns="6E10281A-CD3A-4F0C-9B7D-A2009929208B" xsi:nil="true"/>
    <IMF_C1_Year xmlns="391a2f22-9f1b-4edd-a10b-257ace2d067d">2022</IMF_C1_Year>
    <IMF_C0_Contributor xmlns="391a2f22-9f1b-4edd-a10b-257ace2d067d">
      <UserInfo>
        <DisplayName/>
        <AccountId xsi:nil="true"/>
        <AccountType/>
      </UserInfo>
    </IMF_C0_Contributor>
    <TaxCatchAll xmlns="391a2f22-9f1b-4edd-a10b-257ace2d067d">
      <Value>307</Value>
      <Value>101</Value>
      <Value>2</Value>
      <Value>70</Value>
    </TaxCatchAll>
    <IMF_C0_Distribution xmlns="391a2f22-9f1b-4edd-a10b-257ace2d067d">EASA</IMF_C0_Distribution>
    <IMF_RC_RefDocumentLib xmlns="6E10281A-CD3A-4F0C-9B7D-A2009929208B" xsi:nil="true"/>
    <IMF_RC_RefDocumentSet xmlns="6E10281A-CD3A-4F0C-9B7D-A2009929208B" xsi:nil="true"/>
    <IMF_RC_RefDocumentInfo xmlns="6E10281A-CD3A-4F0C-9B7D-A2009929208B" xsi:nil="true"/>
    <IMF_C0_Description xmlns="391a2f22-9f1b-4edd-a10b-257ace2d067d" xsi:nil="true"/>
    <IMF_C0_TaxonomyTaxHTField0 xmlns="720140C3-6DF4-409B-A1F7-429D32417DCA">
      <Terms xmlns="http://schemas.microsoft.com/office/infopath/2007/PartnerControls">
        <TermInfo xmlns="http://schemas.microsoft.com/office/infopath/2007/PartnerControls">
          <TermName xmlns="http://schemas.microsoft.com/office/infopath/2007/PartnerControls">Safety programming and monitoring</TermName>
          <TermId xmlns="http://schemas.microsoft.com/office/infopath/2007/PartnerControls">9525b9c4-0559-4ebb-bd8d-cf837ccaaaf0</TermId>
        </TermInfo>
      </Terms>
    </IMF_C0_TaxonomyTaxHTField0>
    <TaxKeywordTaxHTField xmlns="391a2f22-9f1b-4edd-a10b-257ace2d067d">
      <Terms xmlns="http://schemas.microsoft.com/office/infopath/2007/PartnerControls">
        <TermInfo xmlns="http://schemas.microsoft.com/office/infopath/2007/PartnerControls">
          <TermName xmlns="http://schemas.microsoft.com/office/infopath/2007/PartnerControls">EASP</TermName>
          <TermId xmlns="http://schemas.microsoft.com/office/infopath/2007/PartnerControls">aef7eca8-1485-4826-ae2d-aa41c2c244d8</TermId>
        </TermInfo>
      </Terms>
    </TaxKeywordTaxHTField>
    <_dlc_DocId xmlns="391a2f22-9f1b-4edd-a10b-257ace2d067d">EASASFPRG-250447509-853</_dlc_DocId>
    <_dlc_DocIdUrl xmlns="391a2f22-9f1b-4edd-a10b-257ace2d067d">
      <Url>https://dms.easa.europa.eu/case/sfprg/_layouts/15/DocIdRedir.aspx?ID=EASASFPRG-250447509-853</Url>
      <Description>EASASFPRG-250447509-853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SFPRG EPAS" ma:contentTypeID="0x010100A14FE9BE6CE84F1BB23C774EC08C4AEA073A00491E9A3B3B56E24BBD4EAF49F9A92954" ma:contentTypeVersion="15" ma:contentTypeDescription="" ma:contentTypeScope="" ma:versionID="bc12868d16910ab78b98b47c9239f6fc">
  <xsd:schema xmlns:xsd="http://www.w3.org/2001/XMLSchema" xmlns:xs="http://www.w3.org/2001/XMLSchema" xmlns:p="http://schemas.microsoft.com/office/2006/metadata/properties" xmlns:ns2="391a2f22-9f1b-4edd-a10b-257ace2d067d" xmlns:ns3="720140C3-6DF4-409B-A1F7-429D32417DCA" xmlns:ns4="6E10281A-CD3A-4F0C-9B7D-A2009929208B" xmlns:ns5="e8879246-bfc1-4b56-8f26-022543d6b024" targetNamespace="http://schemas.microsoft.com/office/2006/metadata/properties" ma:root="true" ma:fieldsID="91d0e733886fc354bcc26e7633e2984e" ns2:_="" ns3:_="" ns4:_="" ns5:_="">
    <xsd:import namespace="391a2f22-9f1b-4edd-a10b-257ace2d067d"/>
    <xsd:import namespace="720140C3-6DF4-409B-A1F7-429D32417DCA"/>
    <xsd:import namespace="6E10281A-CD3A-4F0C-9B7D-A2009929208B"/>
    <xsd:import namespace="e8879246-bfc1-4b56-8f26-022543d6b024"/>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minOccurs="0"/>
                <xsd:element ref="ns2:IMF_C0_Language" minOccurs="0"/>
                <xsd:element ref="ns2:TaxKeywordTaxHTField" minOccurs="0"/>
                <xsd:element ref="ns4:IMF_RC_RefDocumentGuid" minOccurs="0"/>
                <xsd:element ref="ns4:IMF_RC_RefDocumentId" minOccurs="0"/>
                <xsd:element ref="ns4:IMF_RC_RefDocumentVersion" minOccurs="0"/>
                <xsd:element ref="ns4:IMF_RC_RefDocumentLib" minOccurs="0"/>
                <xsd:element ref="ns4:IMF_RC_RefDocumentSet" minOccurs="0"/>
                <xsd:element ref="ns4:IMF_RC_RefDocumentInfo" minOccurs="0"/>
                <xsd:element ref="ns2:IMF_C1_Year" minOccurs="0"/>
                <xsd:element ref="ns5:IMF_C53_Edition"/>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element name="IMF_C1_Year" ma:index="32" nillable="true" ma:displayName="Year" ma:description="Year value" ma:internalName="IMF_C1_Year">
      <xsd:simpleType>
        <xsd:restriction base="dms:Number">
          <xsd:maxInclusive value="2200"/>
          <xsd:minInclusive value="1900"/>
        </xsd:restriction>
      </xsd:simpleType>
    </xsd:element>
    <xsd:element name="TaxCatchAll" ma:index="34" nillable="true" ma:displayName="Taxonomy Catch All Column" ma:hidden="true" ma:list="{f20cd696-f0fd-4726-a78d-d2f83f3ab84a}" ma:internalName="TaxCatchAll" ma:showField="CatchAllData" ma:web="714ec979-e668-4125-83b7-67c031615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26" nillable="true" ma:displayName="RefGuid" ma:description="" ma:hidden="true" ma:internalName="IMF_RC_RefDocumentGuid">
      <xsd:simpleType>
        <xsd:restriction base="dms:Text"/>
      </xsd:simpleType>
    </xsd:element>
    <xsd:element name="IMF_RC_RefDocumentId" ma:index="27" nillable="true" ma:displayName="RefId" ma:description="" ma:hidden="true" ma:internalName="IMF_RC_RefDocumentId">
      <xsd:simpleType>
        <xsd:restriction base="dms:Text"/>
      </xsd:simpleType>
    </xsd:element>
    <xsd:element name="IMF_RC_RefDocumentVersion" ma:index="28" nillable="true" ma:displayName="RefVer" ma:description="" ma:hidden="true" ma:internalName="IMF_RC_RefDocumentVersion">
      <xsd:simpleType>
        <xsd:restriction base="dms:Text"/>
      </xsd:simpleType>
    </xsd:element>
    <xsd:element name="IMF_RC_RefDocumentLib" ma:index="29" nillable="true" ma:displayName="RefLib" ma:description="" ma:hidden="true" ma:internalName="IMF_RC_RefDocumentLib">
      <xsd:simpleType>
        <xsd:restriction base="dms:Text"/>
      </xsd:simpleType>
    </xsd:element>
    <xsd:element name="IMF_RC_RefDocumentSet" ma:index="30" nillable="true" ma:displayName="RefDs" ma:description="" ma:hidden="true" ma:internalName="IMF_RC_RefDocumentSet">
      <xsd:simpleType>
        <xsd:restriction base="dms:Text"/>
      </xsd:simpleType>
    </xsd:element>
    <xsd:element name="IMF_RC_RefDocumentInfo" ma:index="31" nillable="true" ma:displayName="RefInfo" ma:description="" ma:hidden="true" ma:internalName="IMF_RC_RefDocumentInfo"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879246-bfc1-4b56-8f26-022543d6b024" elementFormDefault="qualified">
    <xsd:import namespace="http://schemas.microsoft.com/office/2006/documentManagement/types"/>
    <xsd:import namespace="http://schemas.microsoft.com/office/infopath/2007/PartnerControls"/>
    <xsd:element name="IMF_C53_Edition" ma:index="33" ma:displayName="Edition" ma:description="" ma:internalName="IMF_C53_Edi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358dc2d-5dac-4cc2-8ed1-5c2041965753" ContentTypeId="0x010100A14FE9BE6CE84F1BB23C774EC08C4AEA073A"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84968-4310-4936-9738-371B2CA5F8EE}">
  <ds:schemaRefs>
    <ds:schemaRef ds:uri="http://schemas.microsoft.com/sharepoint/events"/>
  </ds:schemaRefs>
</ds:datastoreItem>
</file>

<file path=customXml/itemProps2.xml><?xml version="1.0" encoding="utf-8"?>
<ds:datastoreItem xmlns:ds="http://schemas.openxmlformats.org/officeDocument/2006/customXml" ds:itemID="{B724986F-D9D5-430E-88D0-268AEA5FB6DA}">
  <ds:schemaRefs>
    <ds:schemaRef ds:uri="6E10281A-CD3A-4F0C-9B7D-A2009929208B"/>
    <ds:schemaRef ds:uri="http://schemas.microsoft.com/office/2006/documentManagement/types"/>
    <ds:schemaRef ds:uri="http://purl.org/dc/elements/1.1/"/>
    <ds:schemaRef ds:uri="http://schemas.microsoft.com/office/2006/metadata/properties"/>
    <ds:schemaRef ds:uri="720140C3-6DF4-409B-A1F7-429D32417DCA"/>
    <ds:schemaRef ds:uri="http://purl.org/dc/terms/"/>
    <ds:schemaRef ds:uri="http://schemas.openxmlformats.org/package/2006/metadata/core-properties"/>
    <ds:schemaRef ds:uri="http://schemas.microsoft.com/office/infopath/2007/PartnerControls"/>
    <ds:schemaRef ds:uri="http://purl.org/dc/dcmitype/"/>
    <ds:schemaRef ds:uri="e8879246-bfc1-4b56-8f26-022543d6b024"/>
    <ds:schemaRef ds:uri="391a2f22-9f1b-4edd-a10b-257ace2d067d"/>
    <ds:schemaRef ds:uri="http://www.w3.org/XML/1998/namespace"/>
  </ds:schemaRefs>
</ds:datastoreItem>
</file>

<file path=customXml/itemProps3.xml><?xml version="1.0" encoding="utf-8"?>
<ds:datastoreItem xmlns:ds="http://schemas.openxmlformats.org/officeDocument/2006/customXml" ds:itemID="{4ACFCED9-BBBD-4F0F-BF67-00344EE75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2f22-9f1b-4edd-a10b-257ace2d067d"/>
    <ds:schemaRef ds:uri="720140C3-6DF4-409B-A1F7-429D32417DCA"/>
    <ds:schemaRef ds:uri="6E10281A-CD3A-4F0C-9B7D-A2009929208B"/>
    <ds:schemaRef ds:uri="e8879246-bfc1-4b56-8f26-022543d6b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A42353-CB12-425E-9236-06172CDEC238}">
  <ds:schemaRefs>
    <ds:schemaRef ds:uri="Microsoft.SharePoint.Taxonomy.ContentTypeSync"/>
  </ds:schemaRefs>
</ds:datastoreItem>
</file>

<file path=customXml/itemProps5.xml><?xml version="1.0" encoding="utf-8"?>
<ds:datastoreItem xmlns:ds="http://schemas.openxmlformats.org/officeDocument/2006/customXml" ds:itemID="{F331E6E9-EE10-4062-BF7C-5E90AB1DCA9C}">
  <ds:schemaRefs>
    <ds:schemaRef ds:uri="http://schemas.microsoft.com/sharepoint/v3/contenttype/forms"/>
  </ds:schemaRefs>
</ds:datastoreItem>
</file>

<file path=customXml/itemProps6.xml><?xml version="1.0" encoding="utf-8"?>
<ds:datastoreItem xmlns:ds="http://schemas.openxmlformats.org/officeDocument/2006/customXml" ds:itemID="{807DCB47-8FB4-4ACB-A3C1-D78A93421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23497</Words>
  <Characters>133936</Characters>
  <Application>Microsoft Office Word</Application>
  <DocSecurity>0</DocSecurity>
  <Lines>1116</Lines>
  <Paragraphs>314</Paragraphs>
  <ScaleCrop>false</ScaleCrop>
  <HeadingPairs>
    <vt:vector size="2" baseType="variant">
      <vt:variant>
        <vt:lpstr>Title</vt:lpstr>
      </vt:variant>
      <vt:variant>
        <vt:i4>1</vt:i4>
      </vt:variant>
    </vt:vector>
  </HeadingPairs>
  <TitlesOfParts>
    <vt:vector size="1" baseType="lpstr">
      <vt:lpstr>European Aviation Safety Programme</vt:lpstr>
    </vt:vector>
  </TitlesOfParts>
  <Company>European Commission</Company>
  <LinksUpToDate>false</LinksUpToDate>
  <CharactersWithSpaces>157119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Aviation Safety Programme</dc:title>
  <dc:creator>HAMELIJNCK Regine</dc:creator>
  <cp:keywords>EASP</cp:keywords>
  <cp:lastModifiedBy>EC CoDe</cp:lastModifiedBy>
  <cp:revision>13</cp:revision>
  <cp:lastPrinted>2022-06-10T08:24:00Z</cp:lastPrinted>
  <dcterms:created xsi:type="dcterms:W3CDTF">2022-10-06T14:19:00Z</dcterms:created>
  <dcterms:modified xsi:type="dcterms:W3CDTF">2022-10-10T07:55:00Z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First annex">
    <vt:lpwstr>1</vt:lpwstr>
  </property>
  <property fmtid="{D5CDD505-2E9C-101B-9397-08002B2CF9AE}" pid="5" name="Last annex">
    <vt:lpwstr>1</vt:lpwstr>
  </property>
  <property fmtid="{D5CDD505-2E9C-101B-9397-08002B2CF9AE}" pid="6" name="Category">
    <vt:lpwstr>COM/DTSC</vt:lpwstr>
  </property>
  <property fmtid="{D5CDD505-2E9C-101B-9397-08002B2CF9AE}" pid="7" name="Version">
    <vt:lpwstr>5.8.22.0</vt:lpwstr>
  </property>
  <property fmtid="{D5CDD505-2E9C-101B-9397-08002B2CF9AE}" pid="8" name="Created using">
    <vt:lpwstr>LW 5.8, Build 20110311</vt:lpwstr>
  </property>
  <property fmtid="{D5CDD505-2E9C-101B-9397-08002B2CF9AE}" pid="9" name="Last edited using">
    <vt:lpwstr>LW 8.0.1, Build 20220429</vt:lpwstr>
  </property>
  <property fmtid="{D5CDD505-2E9C-101B-9397-08002B2CF9AE}" pid="10" name="DocStatus">
    <vt:lpwstr>Green</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CPTemplateID">
    <vt:lpwstr>CP-039</vt:lpwstr>
  </property>
  <property fmtid="{D5CDD505-2E9C-101B-9397-08002B2CF9AE}" pid="14" name="IMF_C0_Taxonomy">
    <vt:lpwstr>2;#Safety programming and monitoring|9525b9c4-0559-4ebb-bd8d-cf837ccaaaf0</vt:lpwstr>
  </property>
  <property fmtid="{D5CDD505-2E9C-101B-9397-08002B2CF9AE}" pid="15" name="TaxKeyword">
    <vt:lpwstr>307;#EASP|aef7eca8-1485-4826-ae2d-aa41c2c244d8</vt:lpwstr>
  </property>
  <property fmtid="{D5CDD505-2E9C-101B-9397-08002B2CF9AE}" pid="16" name="IMF_C53_ProjectPhase">
    <vt:lpwstr/>
  </property>
  <property fmtid="{D5CDD505-2E9C-101B-9397-08002B2CF9AE}" pid="17" name="IMF_C53_IAMEDomain">
    <vt:lpwstr>101;#Other|c2c8ba02-d31d-4f3b-8a59-b4dedb9f9160</vt:lpwstr>
  </property>
  <property fmtid="{D5CDD505-2E9C-101B-9397-08002B2CF9AE}" pid="18" name="IMF_C53_IAMESvcLev">
    <vt:lpwstr/>
  </property>
  <property fmtid="{D5CDD505-2E9C-101B-9397-08002B2CF9AE}" pid="19" name="IMF_C53_PIASubjectTaxHTField0">
    <vt:lpwstr/>
  </property>
  <property fmtid="{D5CDD505-2E9C-101B-9397-08002B2CF9AE}" pid="20" name="IMF_C53_PIASubject">
    <vt:lpwstr/>
  </property>
  <property fmtid="{D5CDD505-2E9C-101B-9397-08002B2CF9AE}" pid="21" name="IMF_C0_Source">
    <vt:lpwstr>70;#External|ebe49520-8a61-4518-ad1c-bc2447d8e3e0</vt:lpwstr>
  </property>
  <property fmtid="{D5CDD505-2E9C-101B-9397-08002B2CF9AE}" pid="22" name="IMF_C53_Topic">
    <vt:lpwstr/>
  </property>
  <property fmtid="{D5CDD505-2E9C-101B-9397-08002B2CF9AE}" pid="23" name="IMF_C53_TopicTaxHTField0">
    <vt:lpwstr/>
  </property>
  <property fmtid="{D5CDD505-2E9C-101B-9397-08002B2CF9AE}" pid="24" name="IMF_C53_ProjectPhaseTaxHTField0">
    <vt:lpwstr/>
  </property>
  <property fmtid="{D5CDD505-2E9C-101B-9397-08002B2CF9AE}" pid="25" name="IMF_C50_DomainTaxHTField0">
    <vt:lpwstr/>
  </property>
  <property fmtid="{D5CDD505-2E9C-101B-9397-08002B2CF9AE}" pid="26" name="IMF_C50_Domain">
    <vt:lpwstr/>
  </property>
  <property fmtid="{D5CDD505-2E9C-101B-9397-08002B2CF9AE}" pid="27" name="IMF_C53_IAMEDomainTaxHTField0">
    <vt:lpwstr>Other|c2c8ba02-d31d-4f3b-8a59-b4dedb9f9160</vt:lpwstr>
  </property>
  <property fmtid="{D5CDD505-2E9C-101B-9397-08002B2CF9AE}" pid="28" name="IMF_C53_IAMESvcLevTaxHTField0">
    <vt:lpwstr/>
  </property>
  <property fmtid="{D5CDD505-2E9C-101B-9397-08002B2CF9AE}" pid="29" name="_dlc_DocIdItemGuid">
    <vt:lpwstr>a8839877-0883-4faf-ad99-92e1af3cf67e</vt:lpwstr>
  </property>
  <property fmtid="{D5CDD505-2E9C-101B-9397-08002B2CF9AE}" pid="30" name="_LW_INVALIDATED_ContentTypeId">
    <vt:lpwstr>0x010100A14FE9BE6CE84F1BB23C774EC08C4AEA073A00491E9A3B3B56E24BBD4EAF49F9A92954</vt:lpwstr>
  </property>
  <property fmtid="{D5CDD505-2E9C-101B-9397-08002B2CF9AE}" pid="31" name="ContentTypeId">
    <vt:lpwstr>0x010100A14FE9BE6CE84F1BB23C774EC08C4AEA073A00491E9A3B3B56E24BBD4EAF49F9A92954</vt:lpwstr>
  </property>
  <property fmtid="{D5CDD505-2E9C-101B-9397-08002B2CF9AE}" pid="32" name="MSIP_Label_6bd9ddd1-4d20-43f6-abfa-fc3c07406f94_Enabled">
    <vt:lpwstr>true</vt:lpwstr>
  </property>
  <property fmtid="{D5CDD505-2E9C-101B-9397-08002B2CF9AE}" pid="33" name="MSIP_Label_6bd9ddd1-4d20-43f6-abfa-fc3c07406f94_SetDate">
    <vt:lpwstr>2022-05-06T14:31:34Z</vt:lpwstr>
  </property>
  <property fmtid="{D5CDD505-2E9C-101B-9397-08002B2CF9AE}" pid="34" name="MSIP_Label_6bd9ddd1-4d20-43f6-abfa-fc3c07406f94_Method">
    <vt:lpwstr>Standard</vt:lpwstr>
  </property>
  <property fmtid="{D5CDD505-2E9C-101B-9397-08002B2CF9AE}" pid="35" name="MSIP_Label_6bd9ddd1-4d20-43f6-abfa-fc3c07406f94_Name">
    <vt:lpwstr>Commission Use</vt:lpwstr>
  </property>
  <property fmtid="{D5CDD505-2E9C-101B-9397-08002B2CF9AE}" pid="36" name="MSIP_Label_6bd9ddd1-4d20-43f6-abfa-fc3c07406f94_SiteId">
    <vt:lpwstr>b24c8b06-522c-46fe-9080-70926f8dddb1</vt:lpwstr>
  </property>
  <property fmtid="{D5CDD505-2E9C-101B-9397-08002B2CF9AE}" pid="37" name="MSIP_Label_6bd9ddd1-4d20-43f6-abfa-fc3c07406f94_ActionId">
    <vt:lpwstr>bd2bafa0-29fb-4283-8c5f-3cfdf55104c7</vt:lpwstr>
  </property>
  <property fmtid="{D5CDD505-2E9C-101B-9397-08002B2CF9AE}" pid="38" name="MSIP_Label_6bd9ddd1-4d20-43f6-abfa-fc3c07406f94_ContentBits">
    <vt:lpwstr>0</vt:lpwstr>
  </property>
</Properties>
</file>