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4F" w:rsidRPr="0053463E" w:rsidRDefault="002B2763" w:rsidP="002B276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F9B1F1F-A6EA-4EC6-84E8-52A8E0618827" style="width:455.25pt;height:383.25pt">
            <v:imagedata r:id="rId8" o:title=""/>
          </v:shape>
        </w:pict>
      </w:r>
    </w:p>
    <w:p w:rsidR="00D1794F" w:rsidRPr="0053463E" w:rsidRDefault="00D1794F" w:rsidP="00D1794F">
      <w:pPr>
        <w:rPr>
          <w:noProof/>
        </w:rPr>
        <w:sectPr w:rsidR="00D1794F" w:rsidRPr="0053463E" w:rsidSect="002B2763">
          <w:footerReference w:type="default" r:id="rId9"/>
          <w:pgSz w:w="11907" w:h="16839"/>
          <w:pgMar w:top="1134" w:right="1417" w:bottom="1134" w:left="1417" w:header="709" w:footer="709" w:gutter="0"/>
          <w:pgNumType w:start="0"/>
          <w:cols w:space="720"/>
          <w:docGrid w:linePitch="360"/>
        </w:sectPr>
      </w:pPr>
    </w:p>
    <w:p w:rsidR="00D1794F" w:rsidRPr="0053463E" w:rsidRDefault="00D1794F" w:rsidP="00BB6B30">
      <w:pPr>
        <w:pStyle w:val="Exposdesmotifstitre"/>
        <w:rPr>
          <w:noProof/>
        </w:rPr>
      </w:pPr>
      <w:bookmarkStart w:id="0" w:name="_GoBack"/>
      <w:bookmarkEnd w:id="0"/>
      <w:r w:rsidRPr="0053463E">
        <w:rPr>
          <w:noProof/>
        </w:rPr>
        <w:lastRenderedPageBreak/>
        <w:t>BEGRÜNDUNG</w:t>
      </w:r>
    </w:p>
    <w:p w:rsidR="00D1794F" w:rsidRPr="0053463E" w:rsidRDefault="00D1794F" w:rsidP="00BB6B30">
      <w:pPr>
        <w:pStyle w:val="ManualHeading1"/>
        <w:rPr>
          <w:noProof/>
        </w:rPr>
      </w:pPr>
      <w:r w:rsidRPr="00872714">
        <w:rPr>
          <w:noProof/>
        </w:rPr>
        <w:t>1</w:t>
      </w:r>
      <w:r w:rsidRPr="0053463E">
        <w:rPr>
          <w:noProof/>
        </w:rPr>
        <w:t>.</w:t>
      </w:r>
      <w:r w:rsidRPr="0053463E">
        <w:rPr>
          <w:noProof/>
        </w:rPr>
        <w:tab/>
        <w:t>KONTEXT DES VORSCHLAGS</w:t>
      </w:r>
    </w:p>
    <w:p w:rsidR="00D1794F" w:rsidRPr="0053463E" w:rsidRDefault="00D1794F" w:rsidP="00044058">
      <w:pPr>
        <w:pStyle w:val="ManualHeading2"/>
        <w:rPr>
          <w:rFonts w:eastAsia="Arial Unicode MS"/>
          <w:noProof/>
        </w:rPr>
      </w:pPr>
      <w:r w:rsidRPr="0053463E">
        <w:rPr>
          <w:noProof/>
          <w:u w:color="000000"/>
          <w:bdr w:val="nil"/>
        </w:rPr>
        <w:t>•</w:t>
      </w:r>
      <w:r w:rsidRPr="0053463E">
        <w:rPr>
          <w:noProof/>
        </w:rPr>
        <w:tab/>
        <w:t>Gründe und Ziele des Vorschlags</w:t>
      </w:r>
    </w:p>
    <w:p w:rsidR="009E390F" w:rsidRPr="0053463E" w:rsidRDefault="00B6213D" w:rsidP="00166BA8">
      <w:pPr>
        <w:pBdr>
          <w:top w:val="nil"/>
          <w:left w:val="nil"/>
          <w:bottom w:val="nil"/>
          <w:right w:val="nil"/>
          <w:between w:val="nil"/>
          <w:bar w:val="nil"/>
        </w:pBdr>
        <w:spacing w:before="0" w:after="240"/>
        <w:rPr>
          <w:noProof/>
        </w:rPr>
      </w:pPr>
      <w:r w:rsidRPr="0053463E">
        <w:rPr>
          <w:noProof/>
        </w:rPr>
        <w:t>Gewerbliche Beförderungen verbrauchsteuerpflichtiger Waren innerhalb der Union können unter Aussetzung der Verbrauchsteuer (im Folgenden „Steueraussetzung“) oder nach Überführung der Waren in den steuerrechtlich freien Verkehr im Gebiet eines Mitgliedstaats zur Lieferung zu gewerblichen Zwecken in das Gebiet eines anderen Mitgliedstaats (im Folgenden „Beförderung versteuerter Waren“) erfolgen. Derzeit werden nur Beförderungen unter Steueraussetzung mit dem in Artikel </w:t>
      </w:r>
      <w:r w:rsidRPr="00872714">
        <w:rPr>
          <w:noProof/>
        </w:rPr>
        <w:t>1</w:t>
      </w:r>
      <w:r w:rsidRPr="0053463E">
        <w:rPr>
          <w:noProof/>
        </w:rPr>
        <w:t xml:space="preserve"> des Beschlusses (EU) </w:t>
      </w:r>
      <w:r w:rsidRPr="00872714">
        <w:rPr>
          <w:noProof/>
        </w:rPr>
        <w:t>2020</w:t>
      </w:r>
      <w:r w:rsidRPr="0053463E">
        <w:rPr>
          <w:noProof/>
        </w:rPr>
        <w:t>/</w:t>
      </w:r>
      <w:r w:rsidRPr="00872714">
        <w:rPr>
          <w:noProof/>
        </w:rPr>
        <w:t>263</w:t>
      </w:r>
      <w:r w:rsidRPr="0053463E">
        <w:rPr>
          <w:noProof/>
        </w:rPr>
        <w:t xml:space="preserve"> des Europäischen Parlaments und des Rates</w:t>
      </w:r>
      <w:r w:rsidRPr="0053463E">
        <w:rPr>
          <w:rStyle w:val="FootnoteReference"/>
          <w:noProof/>
        </w:rPr>
        <w:footnoteReference w:id="1"/>
      </w:r>
      <w:r w:rsidRPr="0053463E">
        <w:rPr>
          <w:noProof/>
        </w:rPr>
        <w:t xml:space="preserve"> genannten EDV-gestützten System kontrolliert. Für diese Beförderungen wurden mit der Richtlinie </w:t>
      </w:r>
      <w:r w:rsidRPr="00872714">
        <w:rPr>
          <w:noProof/>
        </w:rPr>
        <w:t>2008</w:t>
      </w:r>
      <w:r w:rsidRPr="0053463E">
        <w:rPr>
          <w:noProof/>
        </w:rPr>
        <w:t>/</w:t>
      </w:r>
      <w:r w:rsidRPr="00872714">
        <w:rPr>
          <w:noProof/>
        </w:rPr>
        <w:t>118</w:t>
      </w:r>
      <w:r w:rsidRPr="0053463E">
        <w:rPr>
          <w:noProof/>
        </w:rPr>
        <w:t>/EG des Rates</w:t>
      </w:r>
      <w:r w:rsidRPr="0053463E">
        <w:rPr>
          <w:rStyle w:val="FootnoteReference"/>
          <w:noProof/>
        </w:rPr>
        <w:footnoteReference w:id="2"/>
      </w:r>
      <w:r w:rsidRPr="0053463E">
        <w:rPr>
          <w:noProof/>
        </w:rPr>
        <w:t xml:space="preserve"> verschiedene Arten von Wirtschaftsbeteiligten eingeführt und definiert.</w:t>
      </w:r>
    </w:p>
    <w:p w:rsidR="00166BA8" w:rsidRPr="0053463E" w:rsidRDefault="00166BA8" w:rsidP="00166BA8">
      <w:pPr>
        <w:pBdr>
          <w:top w:val="nil"/>
          <w:left w:val="nil"/>
          <w:bottom w:val="nil"/>
          <w:right w:val="nil"/>
          <w:between w:val="nil"/>
          <w:bar w:val="nil"/>
        </w:pBdr>
        <w:spacing w:before="0" w:after="240"/>
        <w:rPr>
          <w:noProof/>
        </w:rPr>
      </w:pPr>
      <w:r w:rsidRPr="0053463E">
        <w:rPr>
          <w:noProof/>
        </w:rPr>
        <w:t xml:space="preserve">Nach Kapitel V der Richtlinie </w:t>
      </w:r>
      <w:r w:rsidRPr="00872714">
        <w:rPr>
          <w:noProof/>
        </w:rPr>
        <w:t>2020</w:t>
      </w:r>
      <w:r w:rsidRPr="0053463E">
        <w:rPr>
          <w:noProof/>
        </w:rPr>
        <w:t>/</w:t>
      </w:r>
      <w:r w:rsidRPr="00872714">
        <w:rPr>
          <w:noProof/>
        </w:rPr>
        <w:t>262</w:t>
      </w:r>
      <w:r w:rsidRPr="0053463E">
        <w:rPr>
          <w:noProof/>
        </w:rPr>
        <w:t xml:space="preserve"> des Rates</w:t>
      </w:r>
      <w:r w:rsidRPr="0053463E">
        <w:rPr>
          <w:rStyle w:val="FootnoteReference"/>
          <w:noProof/>
        </w:rPr>
        <w:footnoteReference w:id="3"/>
      </w:r>
      <w:r w:rsidRPr="0053463E">
        <w:rPr>
          <w:noProof/>
        </w:rPr>
        <w:t xml:space="preserve"> sind Beförderungen versteuerter Waren ab dem </w:t>
      </w:r>
      <w:r w:rsidRPr="00872714">
        <w:rPr>
          <w:noProof/>
        </w:rPr>
        <w:t>13</w:t>
      </w:r>
      <w:r w:rsidRPr="0053463E">
        <w:rPr>
          <w:noProof/>
        </w:rPr>
        <w:t xml:space="preserve">. Februar </w:t>
      </w:r>
      <w:r w:rsidRPr="00872714">
        <w:rPr>
          <w:noProof/>
        </w:rPr>
        <w:t>2023</w:t>
      </w:r>
      <w:r w:rsidRPr="0053463E">
        <w:rPr>
          <w:noProof/>
        </w:rPr>
        <w:t xml:space="preserve"> mit dem EVD-gestützten System zu kontrollieren. Mit der Richtlinie </w:t>
      </w:r>
      <w:r w:rsidRPr="00872714">
        <w:rPr>
          <w:noProof/>
        </w:rPr>
        <w:t>2020</w:t>
      </w:r>
      <w:r w:rsidRPr="0053463E">
        <w:rPr>
          <w:noProof/>
        </w:rPr>
        <w:t>/</w:t>
      </w:r>
      <w:r w:rsidRPr="00872714">
        <w:rPr>
          <w:noProof/>
        </w:rPr>
        <w:t>262</w:t>
      </w:r>
      <w:r w:rsidRPr="0053463E">
        <w:rPr>
          <w:noProof/>
        </w:rPr>
        <w:t xml:space="preserve"> des Rates wurden spezielle Arten von Wirtschaftsbeteiligten für Beförderungen versteuerter Waren eingeführt und definiert.</w:t>
      </w:r>
    </w:p>
    <w:p w:rsidR="005056B9" w:rsidRPr="0053463E" w:rsidRDefault="00AE11D2" w:rsidP="0029266A">
      <w:pPr>
        <w:pBdr>
          <w:top w:val="nil"/>
          <w:left w:val="nil"/>
          <w:bottom w:val="nil"/>
          <w:right w:val="nil"/>
          <w:between w:val="nil"/>
          <w:bar w:val="nil"/>
        </w:pBdr>
        <w:spacing w:before="0" w:after="240"/>
        <w:rPr>
          <w:noProof/>
        </w:rPr>
      </w:pPr>
      <w:r w:rsidRPr="0053463E">
        <w:rPr>
          <w:noProof/>
        </w:rPr>
        <w:t>Die Verordnung (EU) Nr. </w:t>
      </w:r>
      <w:r w:rsidRPr="00872714">
        <w:rPr>
          <w:noProof/>
        </w:rPr>
        <w:t>389</w:t>
      </w:r>
      <w:r w:rsidRPr="0053463E">
        <w:rPr>
          <w:noProof/>
        </w:rPr>
        <w:t>/</w:t>
      </w:r>
      <w:r w:rsidRPr="00872714">
        <w:rPr>
          <w:noProof/>
        </w:rPr>
        <w:t>2012</w:t>
      </w:r>
      <w:r w:rsidRPr="0053463E">
        <w:rPr>
          <w:noProof/>
        </w:rPr>
        <w:t xml:space="preserve"> des Rates</w:t>
      </w:r>
      <w:r w:rsidRPr="0053463E">
        <w:rPr>
          <w:rStyle w:val="FootnoteReference"/>
          <w:noProof/>
        </w:rPr>
        <w:footnoteReference w:id="4"/>
      </w:r>
      <w:r w:rsidRPr="0053463E">
        <w:rPr>
          <w:noProof/>
        </w:rPr>
        <w:t xml:space="preserve"> bildet die Rechtsgrundlage für die Zusammenarbeit der Verwaltungsbehörden der Mitgliedstaaten. Jeder Mitgliedstaat unterhält eine elektronische Datenbank von Verzeichnissen mit den Angaben zu Wirtschaftsbeteiligten, die verbrauchsteuerpflichtige Waren befördern. Im Rahmen der Zusammenarbeit der Verwaltungsbehörden tauschen die Mitgliedstaaten die in diesen Verzeichnissen enthaltenen Daten mit einem von der Kommission geführten Zentralverzeichnis nur in Bezug auf die Wirtschaftsbeteiligten aus, die Waren unter Steueraussetzung befördern.</w:t>
      </w:r>
    </w:p>
    <w:p w:rsidR="0052794C" w:rsidRPr="0053463E" w:rsidRDefault="00675E03" w:rsidP="0052794C">
      <w:pPr>
        <w:pBdr>
          <w:top w:val="nil"/>
          <w:left w:val="nil"/>
          <w:bottom w:val="nil"/>
          <w:right w:val="nil"/>
          <w:between w:val="nil"/>
          <w:bar w:val="nil"/>
        </w:pBdr>
        <w:spacing w:before="0" w:after="240"/>
        <w:rPr>
          <w:noProof/>
        </w:rPr>
      </w:pPr>
      <w:r w:rsidRPr="0053463E">
        <w:rPr>
          <w:noProof/>
        </w:rPr>
        <w:t>Gemäß Artikel </w:t>
      </w:r>
      <w:r w:rsidRPr="00872714">
        <w:rPr>
          <w:noProof/>
        </w:rPr>
        <w:t>19</w:t>
      </w:r>
      <w:r w:rsidRPr="0053463E">
        <w:rPr>
          <w:noProof/>
        </w:rPr>
        <w:t xml:space="preserve"> der Verordnung (EU) Nr. </w:t>
      </w:r>
      <w:r w:rsidRPr="00872714">
        <w:rPr>
          <w:noProof/>
        </w:rPr>
        <w:t>389</w:t>
      </w:r>
      <w:r w:rsidRPr="0053463E">
        <w:rPr>
          <w:noProof/>
        </w:rPr>
        <w:t>/</w:t>
      </w:r>
      <w:r w:rsidRPr="00872714">
        <w:rPr>
          <w:noProof/>
        </w:rPr>
        <w:t>2012</w:t>
      </w:r>
      <w:r w:rsidRPr="0053463E">
        <w:rPr>
          <w:noProof/>
        </w:rPr>
        <w:t xml:space="preserve"> des Rates halten die Mitgliedstaaten ab dem </w:t>
      </w:r>
      <w:r w:rsidRPr="00872714">
        <w:rPr>
          <w:noProof/>
        </w:rPr>
        <w:t>13</w:t>
      </w:r>
      <w:r w:rsidRPr="0053463E">
        <w:rPr>
          <w:noProof/>
        </w:rPr>
        <w:t xml:space="preserve">. Februar </w:t>
      </w:r>
      <w:r w:rsidRPr="00872714">
        <w:rPr>
          <w:noProof/>
        </w:rPr>
        <w:t>2023</w:t>
      </w:r>
      <w:r w:rsidRPr="0053463E">
        <w:rPr>
          <w:noProof/>
        </w:rPr>
        <w:t xml:space="preserve"> in denselben elektronischen Verzeichnissen die Daten der Wirtschaftsbeteiligten fest, die an Beförderungen bereits versteuerter Waren beteiligt sind. Diese Wirtschaftsbeteiligten sind in der Richtlinie (EU) </w:t>
      </w:r>
      <w:r w:rsidRPr="00872714">
        <w:rPr>
          <w:noProof/>
        </w:rPr>
        <w:t>2020</w:t>
      </w:r>
      <w:r w:rsidRPr="0053463E">
        <w:rPr>
          <w:noProof/>
        </w:rPr>
        <w:t>/</w:t>
      </w:r>
      <w:r w:rsidRPr="00872714">
        <w:rPr>
          <w:noProof/>
        </w:rPr>
        <w:t>262</w:t>
      </w:r>
      <w:r w:rsidRPr="0053463E">
        <w:rPr>
          <w:noProof/>
        </w:rPr>
        <w:t xml:space="preserve"> des Rates als zertifizierte Versender und zertifizierte Empfänger definiert. </w:t>
      </w:r>
    </w:p>
    <w:p w:rsidR="00D1794F" w:rsidRPr="0053463E" w:rsidRDefault="0052794C" w:rsidP="00332659">
      <w:pPr>
        <w:pBdr>
          <w:top w:val="nil"/>
          <w:left w:val="nil"/>
          <w:bottom w:val="nil"/>
          <w:right w:val="nil"/>
          <w:between w:val="nil"/>
          <w:bar w:val="nil"/>
        </w:pBdr>
        <w:spacing w:before="0" w:after="240"/>
        <w:rPr>
          <w:noProof/>
        </w:rPr>
      </w:pPr>
      <w:r w:rsidRPr="0053463E">
        <w:rPr>
          <w:noProof/>
        </w:rPr>
        <w:t>Der vorliegende Vorschlag dient dazu, die Verfahren der Mitgliedstaaten für den Austausch von Daten über Wirtschaftsbeteiligte, die verbrauchsteuerpflichtige Waren unter Steueraussetzung befördern, und für den Austausch von Daten über Wirtschaftsbeteiligte, die bereits versteuerte Waren befördern, aneinander anzugleichen.</w:t>
      </w:r>
    </w:p>
    <w:p w:rsidR="00640500" w:rsidRPr="0053463E" w:rsidRDefault="00762157" w:rsidP="0029266A">
      <w:pPr>
        <w:pBdr>
          <w:top w:val="nil"/>
          <w:left w:val="nil"/>
          <w:bottom w:val="nil"/>
          <w:right w:val="nil"/>
          <w:between w:val="nil"/>
          <w:bar w:val="nil"/>
        </w:pBdr>
        <w:spacing w:before="0" w:after="240"/>
        <w:rPr>
          <w:noProof/>
        </w:rPr>
      </w:pPr>
      <w:r w:rsidRPr="0053463E">
        <w:rPr>
          <w:noProof/>
        </w:rPr>
        <w:t>Mit dieser Angleichung werden die Digitalisierung der Überwachung der Beförderungen von verbrauchsteuerpflichtigen Waren, die im Gebiet eines Mitgliedstaats in den steuerrechtlich freien Verkehr überführt worden sind und anschließend zur Lieferung zu gewerblichen Zwecken in das Gebiet eines anderen Mitgliedstaats verbracht werden, weiter vervollständigt und die Bekämpfung des Steuerbetrugs verbessert.</w:t>
      </w:r>
    </w:p>
    <w:p w:rsidR="00715BE6" w:rsidRPr="0053463E" w:rsidRDefault="00675E03" w:rsidP="0029266A">
      <w:pPr>
        <w:pBdr>
          <w:top w:val="nil"/>
          <w:left w:val="nil"/>
          <w:bottom w:val="nil"/>
          <w:right w:val="nil"/>
          <w:between w:val="nil"/>
          <w:bar w:val="nil"/>
        </w:pBdr>
        <w:spacing w:before="0" w:after="240"/>
        <w:rPr>
          <w:noProof/>
        </w:rPr>
      </w:pPr>
      <w:r w:rsidRPr="0053463E">
        <w:rPr>
          <w:noProof/>
        </w:rPr>
        <w:t>Außerdem werden mit diesem Vorschlag Verweise auf eine Verordnung ersetzt, die aufgehoben werden soll. Insbesondere wird in der Verordnung (EU) Nr. </w:t>
      </w:r>
      <w:r w:rsidRPr="00872714">
        <w:rPr>
          <w:noProof/>
        </w:rPr>
        <w:t>389</w:t>
      </w:r>
      <w:r w:rsidRPr="0053463E">
        <w:rPr>
          <w:noProof/>
        </w:rPr>
        <w:t>/</w:t>
      </w:r>
      <w:r w:rsidRPr="00872714">
        <w:rPr>
          <w:noProof/>
        </w:rPr>
        <w:t>2012</w:t>
      </w:r>
      <w:r w:rsidRPr="0053463E">
        <w:rPr>
          <w:noProof/>
        </w:rPr>
        <w:t xml:space="preserve"> des Rates auf die Verordnung (EG) Nr. </w:t>
      </w:r>
      <w:r w:rsidRPr="00872714">
        <w:rPr>
          <w:noProof/>
        </w:rPr>
        <w:t>684</w:t>
      </w:r>
      <w:r w:rsidRPr="0053463E">
        <w:rPr>
          <w:noProof/>
        </w:rPr>
        <w:t>/</w:t>
      </w:r>
      <w:r w:rsidRPr="00872714">
        <w:rPr>
          <w:noProof/>
        </w:rPr>
        <w:t>2009</w:t>
      </w:r>
      <w:r w:rsidRPr="0053463E">
        <w:rPr>
          <w:noProof/>
        </w:rPr>
        <w:t xml:space="preserve"> der Kommission</w:t>
      </w:r>
      <w:r w:rsidRPr="0053463E">
        <w:rPr>
          <w:rStyle w:val="FootnoteReference"/>
          <w:noProof/>
        </w:rPr>
        <w:footnoteReference w:id="5"/>
      </w:r>
      <w:r w:rsidRPr="0053463E">
        <w:rPr>
          <w:noProof/>
        </w:rPr>
        <w:t xml:space="preserve"> Bezug genommen. Diese Verordnung wird mit Wirkung vom </w:t>
      </w:r>
      <w:r w:rsidRPr="00872714">
        <w:rPr>
          <w:noProof/>
        </w:rPr>
        <w:t>13</w:t>
      </w:r>
      <w:r w:rsidRPr="0053463E">
        <w:rPr>
          <w:noProof/>
        </w:rPr>
        <w:t xml:space="preserve">. Februar </w:t>
      </w:r>
      <w:r w:rsidRPr="00872714">
        <w:rPr>
          <w:noProof/>
        </w:rPr>
        <w:t>2023</w:t>
      </w:r>
      <w:r w:rsidRPr="0053463E">
        <w:rPr>
          <w:noProof/>
        </w:rPr>
        <w:t xml:space="preserve"> aufgehoben und durch die Delegierte Verordnung (EU) … der Kommission [Amt für Veröffentlichungen: Bitte Amtsblattnummer der in der Fußnote genannten Verordnung einfügen]</w:t>
      </w:r>
      <w:r w:rsidRPr="0053463E">
        <w:rPr>
          <w:rStyle w:val="FootnoteReference"/>
          <w:noProof/>
        </w:rPr>
        <w:footnoteReference w:id="6"/>
      </w:r>
      <w:r w:rsidRPr="0053463E">
        <w:rPr>
          <w:noProof/>
        </w:rPr>
        <w:t xml:space="preserve"> ersetzt. Mit dem vorliegenden Vorschlag wird der Verweis auf die frühere Verordnung durch den Verweis auf die neue Verordnung ersetzt.</w:t>
      </w:r>
    </w:p>
    <w:p w:rsidR="00D1794F" w:rsidRPr="0053463E" w:rsidRDefault="00D1794F" w:rsidP="00044058">
      <w:pPr>
        <w:pStyle w:val="ManualHeading2"/>
        <w:rPr>
          <w:rFonts w:eastAsia="Arial Unicode MS"/>
          <w:noProof/>
          <w:u w:color="000000"/>
          <w:bdr w:val="nil"/>
        </w:rPr>
      </w:pPr>
      <w:r w:rsidRPr="0053463E">
        <w:rPr>
          <w:noProof/>
          <w:u w:color="000000"/>
          <w:bdr w:val="nil"/>
        </w:rPr>
        <w:t>•</w:t>
      </w:r>
      <w:r w:rsidRPr="0053463E">
        <w:rPr>
          <w:noProof/>
        </w:rPr>
        <w:tab/>
        <w:t>Kohärenz mit den bestehenden Vorschriften in diesem Bereich</w:t>
      </w:r>
    </w:p>
    <w:p w:rsidR="008B2A0E" w:rsidRPr="0053463E" w:rsidRDefault="00715BE6" w:rsidP="008B2A0E">
      <w:pPr>
        <w:pBdr>
          <w:top w:val="nil"/>
          <w:left w:val="nil"/>
          <w:bottom w:val="nil"/>
          <w:right w:val="nil"/>
          <w:between w:val="nil"/>
          <w:bar w:val="nil"/>
        </w:pBdr>
        <w:spacing w:before="0" w:after="240"/>
        <w:rPr>
          <w:noProof/>
        </w:rPr>
      </w:pPr>
      <w:r w:rsidRPr="0053463E">
        <w:rPr>
          <w:noProof/>
        </w:rPr>
        <w:t xml:space="preserve">Der Vorschlag steht im Zusammenhang mit der Richtlinie (EU) </w:t>
      </w:r>
      <w:r w:rsidRPr="00872714">
        <w:rPr>
          <w:noProof/>
        </w:rPr>
        <w:t>2020</w:t>
      </w:r>
      <w:r w:rsidRPr="0053463E">
        <w:rPr>
          <w:noProof/>
        </w:rPr>
        <w:t>/</w:t>
      </w:r>
      <w:r w:rsidRPr="00872714">
        <w:rPr>
          <w:noProof/>
        </w:rPr>
        <w:t>262</w:t>
      </w:r>
      <w:r w:rsidRPr="0053463E">
        <w:rPr>
          <w:noProof/>
        </w:rPr>
        <w:t xml:space="preserve"> des Rates, in der Beförderungen verbrauchsteuerpflichtiger Waren, die im Gebiet eines Mitgliedstaats in den steuerrechtlich freien Verkehr überführt worden sind und zur Lieferung zu gewerblichen Zwecken in das Gebiet eines anderen Mitgliedstaats verbracht werden, definiert werden.</w:t>
      </w:r>
    </w:p>
    <w:p w:rsidR="00D1794F" w:rsidRPr="0053463E" w:rsidRDefault="00715BE6" w:rsidP="0029266A">
      <w:pPr>
        <w:pBdr>
          <w:top w:val="nil"/>
          <w:left w:val="nil"/>
          <w:bottom w:val="nil"/>
          <w:right w:val="nil"/>
          <w:between w:val="nil"/>
          <w:bar w:val="nil"/>
        </w:pBdr>
        <w:spacing w:before="0" w:after="240"/>
        <w:rPr>
          <w:noProof/>
        </w:rPr>
      </w:pPr>
      <w:r w:rsidRPr="0053463E">
        <w:rPr>
          <w:noProof/>
        </w:rPr>
        <w:t>Ziel des Vorschlags ist es, den Anwendungsbereich der Artikel </w:t>
      </w:r>
      <w:r w:rsidRPr="00872714">
        <w:rPr>
          <w:noProof/>
        </w:rPr>
        <w:t>15</w:t>
      </w:r>
      <w:r w:rsidRPr="0053463E">
        <w:rPr>
          <w:noProof/>
        </w:rPr>
        <w:t xml:space="preserve">, </w:t>
      </w:r>
      <w:r w:rsidRPr="00872714">
        <w:rPr>
          <w:noProof/>
        </w:rPr>
        <w:t>19</w:t>
      </w:r>
      <w:r w:rsidRPr="0053463E">
        <w:rPr>
          <w:noProof/>
        </w:rPr>
        <w:t xml:space="preserve"> und </w:t>
      </w:r>
      <w:r w:rsidRPr="00872714">
        <w:rPr>
          <w:noProof/>
        </w:rPr>
        <w:t>20</w:t>
      </w:r>
      <w:r w:rsidRPr="0053463E">
        <w:rPr>
          <w:noProof/>
        </w:rPr>
        <w:t xml:space="preserve"> der Verordnung (EU) Nr. </w:t>
      </w:r>
      <w:r w:rsidRPr="00872714">
        <w:rPr>
          <w:noProof/>
        </w:rPr>
        <w:t>389</w:t>
      </w:r>
      <w:r w:rsidRPr="0053463E">
        <w:rPr>
          <w:noProof/>
        </w:rPr>
        <w:t>/</w:t>
      </w:r>
      <w:r w:rsidRPr="00872714">
        <w:rPr>
          <w:noProof/>
        </w:rPr>
        <w:t>2012</w:t>
      </w:r>
      <w:r w:rsidRPr="0053463E">
        <w:rPr>
          <w:noProof/>
        </w:rPr>
        <w:t xml:space="preserve"> des Rates zu erweitern, damit die Mitgliedstaaten Informationen nicht nur über Wirtschaftsbeteiligte austauschen, die verbrauchsteuerpflichtige Waren unter Steueraussetzung befördern, sondern über alle Wirtschaftsbeteiligten. </w:t>
      </w:r>
    </w:p>
    <w:p w:rsidR="008B2A0E" w:rsidRPr="0053463E" w:rsidRDefault="008B2A0E" w:rsidP="0029266A">
      <w:pPr>
        <w:pBdr>
          <w:top w:val="nil"/>
          <w:left w:val="nil"/>
          <w:bottom w:val="nil"/>
          <w:right w:val="nil"/>
          <w:between w:val="nil"/>
          <w:bar w:val="nil"/>
        </w:pBdr>
        <w:spacing w:before="0" w:after="240"/>
        <w:rPr>
          <w:noProof/>
        </w:rPr>
      </w:pPr>
      <w:r w:rsidRPr="0053463E">
        <w:rPr>
          <w:noProof/>
        </w:rPr>
        <w:t xml:space="preserve">Der Vorschlag steht auch im Zusammenhang mit der Richtlinie (EU) </w:t>
      </w:r>
      <w:r w:rsidRPr="00872714">
        <w:rPr>
          <w:noProof/>
        </w:rPr>
        <w:t>2020</w:t>
      </w:r>
      <w:r w:rsidRPr="0053463E">
        <w:rPr>
          <w:noProof/>
        </w:rPr>
        <w:t>/</w:t>
      </w:r>
      <w:r w:rsidRPr="00872714">
        <w:rPr>
          <w:noProof/>
        </w:rPr>
        <w:t>262</w:t>
      </w:r>
      <w:r w:rsidRPr="0053463E">
        <w:rPr>
          <w:noProof/>
        </w:rPr>
        <w:t xml:space="preserve"> des Rates, da die Delegierte Verordnung (EU) .../... der Kommission [Amt für Veröffentlichungen: Bitte Veröffentlichungsnummer einfügen], die die Verordnung (EG) Nr. </w:t>
      </w:r>
      <w:r w:rsidRPr="00872714">
        <w:rPr>
          <w:noProof/>
        </w:rPr>
        <w:t>684</w:t>
      </w:r>
      <w:r w:rsidRPr="0053463E">
        <w:rPr>
          <w:noProof/>
        </w:rPr>
        <w:t>/</w:t>
      </w:r>
      <w:r w:rsidRPr="00872714">
        <w:rPr>
          <w:noProof/>
        </w:rPr>
        <w:t>2009</w:t>
      </w:r>
      <w:r w:rsidRPr="0053463E">
        <w:rPr>
          <w:noProof/>
        </w:rPr>
        <w:t xml:space="preserve"> der Kommission ersetzen wird, gemäß der Richtlinie (EU) </w:t>
      </w:r>
      <w:r w:rsidRPr="00872714">
        <w:rPr>
          <w:noProof/>
        </w:rPr>
        <w:t>2020</w:t>
      </w:r>
      <w:r w:rsidRPr="0053463E">
        <w:rPr>
          <w:noProof/>
        </w:rPr>
        <w:t>/</w:t>
      </w:r>
      <w:r w:rsidRPr="00872714">
        <w:rPr>
          <w:noProof/>
        </w:rPr>
        <w:t>262</w:t>
      </w:r>
      <w:r w:rsidRPr="0053463E">
        <w:rPr>
          <w:noProof/>
        </w:rPr>
        <w:t xml:space="preserve"> des Rates erlassen wird.</w:t>
      </w:r>
    </w:p>
    <w:p w:rsidR="00D1794F" w:rsidRPr="0053463E" w:rsidRDefault="00D1794F" w:rsidP="00A4693B">
      <w:pPr>
        <w:pStyle w:val="ManualHeading2"/>
        <w:rPr>
          <w:rFonts w:eastAsia="Arial Unicode MS"/>
          <w:noProof/>
        </w:rPr>
      </w:pPr>
      <w:r w:rsidRPr="0053463E">
        <w:rPr>
          <w:noProof/>
          <w:u w:color="000000"/>
          <w:bdr w:val="nil"/>
        </w:rPr>
        <w:t>•</w:t>
      </w:r>
      <w:r w:rsidRPr="0053463E">
        <w:rPr>
          <w:noProof/>
        </w:rPr>
        <w:tab/>
        <w:t>Kohärenz mit der Politik der Union in anderen Bereichen</w:t>
      </w:r>
    </w:p>
    <w:p w:rsidR="00D1794F" w:rsidRPr="0053463E" w:rsidRDefault="006648FA" w:rsidP="0029266A">
      <w:pPr>
        <w:pBdr>
          <w:top w:val="nil"/>
          <w:left w:val="nil"/>
          <w:bottom w:val="nil"/>
          <w:right w:val="nil"/>
          <w:between w:val="nil"/>
          <w:bar w:val="nil"/>
        </w:pBdr>
        <w:spacing w:before="0" w:after="240"/>
        <w:rPr>
          <w:rFonts w:eastAsia="Arial Unicode MS"/>
          <w:noProof/>
        </w:rPr>
      </w:pPr>
      <w:r w:rsidRPr="0053463E">
        <w:rPr>
          <w:noProof/>
        </w:rPr>
        <w:t>Es handelt sich um eine rein technische Änderung, die keinerlei Auswirkungen auf andere Politikbereiche der Union hat.</w:t>
      </w:r>
    </w:p>
    <w:p w:rsidR="00D1794F" w:rsidRPr="0053463E" w:rsidRDefault="00D1794F" w:rsidP="00550536">
      <w:pPr>
        <w:pStyle w:val="ManualHeading1"/>
        <w:rPr>
          <w:noProof/>
        </w:rPr>
      </w:pPr>
      <w:r w:rsidRPr="00872714">
        <w:rPr>
          <w:noProof/>
        </w:rPr>
        <w:t>2</w:t>
      </w:r>
      <w:r w:rsidRPr="0053463E">
        <w:rPr>
          <w:noProof/>
        </w:rPr>
        <w:t>.</w:t>
      </w:r>
      <w:r w:rsidRPr="0053463E">
        <w:rPr>
          <w:noProof/>
        </w:rPr>
        <w:tab/>
        <w:t>RECHTSGRUNDLAGE, SUBSIDIARITÄT UND VERHÄLTNISMÄẞIGKEIT</w:t>
      </w:r>
    </w:p>
    <w:p w:rsidR="00D1794F" w:rsidRPr="0053463E" w:rsidRDefault="00D1794F" w:rsidP="00A4693B">
      <w:pPr>
        <w:pStyle w:val="ManualHeading2"/>
        <w:rPr>
          <w:rFonts w:eastAsia="Arial Unicode MS"/>
          <w:noProof/>
          <w:u w:color="000000"/>
          <w:bdr w:val="nil"/>
        </w:rPr>
      </w:pPr>
      <w:r w:rsidRPr="0053463E">
        <w:rPr>
          <w:noProof/>
          <w:u w:color="000000"/>
          <w:bdr w:val="nil"/>
        </w:rPr>
        <w:t>•</w:t>
      </w:r>
      <w:r w:rsidRPr="0053463E">
        <w:rPr>
          <w:noProof/>
        </w:rPr>
        <w:tab/>
      </w:r>
      <w:r w:rsidRPr="0053463E">
        <w:rPr>
          <w:noProof/>
          <w:u w:color="000000"/>
          <w:bdr w:val="nil"/>
        </w:rPr>
        <w:t>Rechtsgrundlage</w:t>
      </w:r>
    </w:p>
    <w:p w:rsidR="00D1794F" w:rsidRPr="0053463E" w:rsidRDefault="006648FA" w:rsidP="00550536">
      <w:pPr>
        <w:pBdr>
          <w:top w:val="nil"/>
          <w:left w:val="nil"/>
          <w:bottom w:val="nil"/>
          <w:right w:val="nil"/>
          <w:between w:val="nil"/>
          <w:bar w:val="nil"/>
        </w:pBdr>
        <w:spacing w:before="0" w:after="240"/>
        <w:rPr>
          <w:rFonts w:eastAsia="Arial Unicode MS"/>
          <w:noProof/>
        </w:rPr>
      </w:pPr>
      <w:r w:rsidRPr="0053463E">
        <w:rPr>
          <w:noProof/>
        </w:rPr>
        <w:t>Rechtsgrundlage des Vorschlags ist Artikel </w:t>
      </w:r>
      <w:r w:rsidRPr="00872714">
        <w:rPr>
          <w:noProof/>
        </w:rPr>
        <w:t>113</w:t>
      </w:r>
      <w:r w:rsidRPr="0053463E">
        <w:rPr>
          <w:noProof/>
        </w:rPr>
        <w:t xml:space="preserve"> des Vertrags über die Arbeitsweise der Europäischen Union (AEUV). Laut diesem Artikel erlässt der Rat gemäß einem besonderen Gesetzgebungsverfahren nach Anhörung des Europäischen Parlaments und des Europäischen Wirtschafts- und Sozialausschusses einstimmig die Bestimmungen zur Harmonisierung der Rechtsvorschriften der Mitgliedstaaten im Bereich der indirekten Steuern. </w:t>
      </w:r>
    </w:p>
    <w:p w:rsidR="00D1794F" w:rsidRPr="0053463E" w:rsidRDefault="00D1794F" w:rsidP="00A4693B">
      <w:pPr>
        <w:pStyle w:val="ManualHeading2"/>
        <w:rPr>
          <w:rFonts w:eastAsia="Arial Unicode MS"/>
          <w:noProof/>
          <w:u w:color="000000"/>
          <w:bdr w:val="nil"/>
        </w:rPr>
      </w:pPr>
      <w:r w:rsidRPr="0053463E">
        <w:rPr>
          <w:noProof/>
          <w:u w:color="000000"/>
          <w:bdr w:val="nil"/>
        </w:rPr>
        <w:t>•</w:t>
      </w:r>
      <w:r w:rsidRPr="0053463E">
        <w:rPr>
          <w:noProof/>
        </w:rPr>
        <w:tab/>
      </w:r>
      <w:r w:rsidRPr="0053463E">
        <w:rPr>
          <w:noProof/>
          <w:u w:color="000000"/>
          <w:bdr w:val="nil"/>
        </w:rPr>
        <w:t xml:space="preserve">Subsidiarität (bei nicht ausschließlicher Zuständigkeit) </w:t>
      </w:r>
    </w:p>
    <w:p w:rsidR="006648FA" w:rsidRPr="0053463E" w:rsidRDefault="006648FA" w:rsidP="00550536">
      <w:pPr>
        <w:pBdr>
          <w:top w:val="nil"/>
          <w:left w:val="nil"/>
          <w:bottom w:val="nil"/>
          <w:right w:val="nil"/>
          <w:between w:val="nil"/>
          <w:bar w:val="nil"/>
        </w:pBdr>
        <w:spacing w:before="0" w:after="240"/>
        <w:rPr>
          <w:noProof/>
        </w:rPr>
      </w:pPr>
      <w:r w:rsidRPr="0053463E">
        <w:rPr>
          <w:noProof/>
        </w:rPr>
        <w:t>Das Subsidiaritätsprinzip findet insofern Anwendung, als der Vorschlag nicht in die ausschließliche Zuständigkeit der Europäischen Union fällt.</w:t>
      </w:r>
    </w:p>
    <w:p w:rsidR="006648FA" w:rsidRPr="0053463E" w:rsidRDefault="006648FA" w:rsidP="00550536">
      <w:pPr>
        <w:pBdr>
          <w:top w:val="nil"/>
          <w:left w:val="nil"/>
          <w:bottom w:val="nil"/>
          <w:right w:val="nil"/>
          <w:between w:val="nil"/>
          <w:bar w:val="nil"/>
        </w:pBdr>
        <w:spacing w:before="0" w:after="240"/>
        <w:rPr>
          <w:noProof/>
        </w:rPr>
      </w:pPr>
      <w:r w:rsidRPr="0053463E">
        <w:rPr>
          <w:noProof/>
        </w:rPr>
        <w:t>Die Ziele des Vorschlags können von den Mitgliedstaaten nicht verwirklicht werden, sondern sind besser auf Ebene der Europäischen Union zu verwirklichen. In der Verordnung (EU) Nr. </w:t>
      </w:r>
      <w:r w:rsidRPr="00872714">
        <w:rPr>
          <w:noProof/>
        </w:rPr>
        <w:t>389</w:t>
      </w:r>
      <w:r w:rsidRPr="0053463E">
        <w:rPr>
          <w:noProof/>
        </w:rPr>
        <w:t>/</w:t>
      </w:r>
      <w:r w:rsidRPr="00872714">
        <w:rPr>
          <w:noProof/>
        </w:rPr>
        <w:t>2012</w:t>
      </w:r>
      <w:r w:rsidRPr="0053463E">
        <w:rPr>
          <w:noProof/>
        </w:rPr>
        <w:t xml:space="preserve"> des Rates sind harmonisierte Vorschriften für den Datenaustausch im Hinblick auf das reibungslose Funktionieren der Beförderungen verbrauchsteuerpflichtiger Ware zwischen den Mitgliedstaaten festgelegt; ohne diese Vorschriften würden die Mitgliedstaaten solche Regelungen möglicherweise bilateral festlegen, was zu Unterschieden zwischen den einzelnen Mitgliedstaaten führen könnte. Mit dem vorliegenden Vorschlag soll die Verwendung der bereits existierenden Verfahren für den Datenaustausch auf Wirtschaftsbeteiligte ausgeweitet werden, die an der Beförderung verbrauchsteuerpflichtiger Waren beteiligt sind, welche im Gebiet eines Mitgliedstaats in den steuerrechtlich freien Verkehr überführt worden sind und zur Lieferung zu gewerblichen Zwecken in das Gebiet eines anderen Mitgliedstaats verbracht werden.</w:t>
      </w:r>
    </w:p>
    <w:p w:rsidR="00D1794F" w:rsidRPr="0053463E" w:rsidRDefault="00D1794F" w:rsidP="00A4693B">
      <w:pPr>
        <w:pStyle w:val="ManualHeading2"/>
        <w:rPr>
          <w:rFonts w:eastAsia="Arial Unicode MS"/>
          <w:noProof/>
          <w:u w:color="000000"/>
          <w:bdr w:val="nil"/>
        </w:rPr>
      </w:pPr>
      <w:r w:rsidRPr="0053463E">
        <w:rPr>
          <w:noProof/>
          <w:u w:color="000000"/>
          <w:bdr w:val="nil"/>
        </w:rPr>
        <w:t>•</w:t>
      </w:r>
      <w:r w:rsidRPr="0053463E">
        <w:rPr>
          <w:noProof/>
        </w:rPr>
        <w:tab/>
      </w:r>
      <w:r w:rsidRPr="0053463E">
        <w:rPr>
          <w:noProof/>
          <w:u w:color="000000"/>
          <w:bdr w:val="nil"/>
        </w:rPr>
        <w:t>Verhältnismäßigkeit</w:t>
      </w:r>
    </w:p>
    <w:p w:rsidR="00E73E95" w:rsidRPr="0053463E" w:rsidRDefault="00E73E95" w:rsidP="00550536">
      <w:pPr>
        <w:pBdr>
          <w:top w:val="nil"/>
          <w:left w:val="nil"/>
          <w:bottom w:val="nil"/>
          <w:right w:val="nil"/>
          <w:between w:val="nil"/>
          <w:bar w:val="nil"/>
        </w:pBdr>
        <w:spacing w:before="0" w:after="240"/>
        <w:rPr>
          <w:noProof/>
        </w:rPr>
      </w:pPr>
      <w:r w:rsidRPr="0053463E">
        <w:rPr>
          <w:noProof/>
        </w:rPr>
        <w:t xml:space="preserve">Die vorgeschlagene Änderung geht nicht über das hinaus, was zur Lösung der Probleme und damit zur Verwirklichung des im Vertrag verankerten Ziels eines ordnungsgemäß und reibungslos funktionierenden Binnenmarkts erforderlich ist. </w:t>
      </w:r>
    </w:p>
    <w:p w:rsidR="00E73E95" w:rsidRPr="0053463E" w:rsidRDefault="00E73E95" w:rsidP="00550536">
      <w:pPr>
        <w:pBdr>
          <w:top w:val="nil"/>
          <w:left w:val="nil"/>
          <w:bottom w:val="nil"/>
          <w:right w:val="nil"/>
          <w:between w:val="nil"/>
          <w:bar w:val="nil"/>
        </w:pBdr>
        <w:spacing w:before="0" w:after="240"/>
        <w:rPr>
          <w:noProof/>
        </w:rPr>
      </w:pPr>
      <w:r w:rsidRPr="0053463E">
        <w:rPr>
          <w:noProof/>
        </w:rPr>
        <w:t>Der Vorschlag entspricht dem Grundsatz der Verhältnismäßigkeit, der in Artikel </w:t>
      </w:r>
      <w:r w:rsidRPr="00872714">
        <w:rPr>
          <w:noProof/>
        </w:rPr>
        <w:t>5</w:t>
      </w:r>
      <w:r w:rsidRPr="0053463E">
        <w:rPr>
          <w:noProof/>
        </w:rPr>
        <w:t xml:space="preserve"> Absatz </w:t>
      </w:r>
      <w:r w:rsidRPr="00872714">
        <w:rPr>
          <w:noProof/>
        </w:rPr>
        <w:t>4</w:t>
      </w:r>
      <w:r w:rsidRPr="0053463E">
        <w:rPr>
          <w:noProof/>
        </w:rPr>
        <w:t xml:space="preserve"> des Vertrags über die Europäische Union verankert ist. </w:t>
      </w:r>
    </w:p>
    <w:p w:rsidR="00D1794F" w:rsidRPr="0053463E" w:rsidRDefault="00E73E95" w:rsidP="00550536">
      <w:pPr>
        <w:pBdr>
          <w:top w:val="nil"/>
          <w:left w:val="nil"/>
          <w:bottom w:val="nil"/>
          <w:right w:val="nil"/>
          <w:between w:val="nil"/>
          <w:bar w:val="nil"/>
        </w:pBdr>
        <w:spacing w:before="0" w:after="240"/>
        <w:rPr>
          <w:rFonts w:eastAsia="Arial Unicode MS"/>
          <w:noProof/>
        </w:rPr>
      </w:pPr>
      <w:r w:rsidRPr="0053463E">
        <w:rPr>
          <w:noProof/>
        </w:rPr>
        <w:t>Ziel des Vorschlags ist, die Mitgliedstaaten zum Austausch von in den nationalen Verzeichnissen enthaltenen Angaben über Wirtschaftsbeteiligte, die Waren gemäß Kapitel V Abschnitt </w:t>
      </w:r>
      <w:r w:rsidRPr="00872714">
        <w:rPr>
          <w:noProof/>
        </w:rPr>
        <w:t>2</w:t>
      </w:r>
      <w:r w:rsidRPr="0053463E">
        <w:rPr>
          <w:noProof/>
        </w:rPr>
        <w:t xml:space="preserve"> der Richtlinie (EU) </w:t>
      </w:r>
      <w:r w:rsidRPr="00872714">
        <w:rPr>
          <w:noProof/>
        </w:rPr>
        <w:t>2020</w:t>
      </w:r>
      <w:r w:rsidRPr="0053463E">
        <w:rPr>
          <w:noProof/>
        </w:rPr>
        <w:t>/</w:t>
      </w:r>
      <w:r w:rsidRPr="00872714">
        <w:rPr>
          <w:noProof/>
        </w:rPr>
        <w:t>262</w:t>
      </w:r>
      <w:r w:rsidRPr="0053463E">
        <w:rPr>
          <w:noProof/>
        </w:rPr>
        <w:t xml:space="preserve"> des Rates befördern, mit dem Zentralverzeichnis zu verpflichten. Ohne diesen Vorschlag wäre der vollständige Datenaustausch nicht möglich, was sich negativ auf den Verwaltungsaufwand der Wirtschaftsbeteiligten, das Betrugsrisiko und die Zusammenarbeit zwischen den zuständigen Behörden der Mitgliedstaaten auswirken würde.</w:t>
      </w:r>
    </w:p>
    <w:p w:rsidR="00D1794F" w:rsidRPr="0053463E" w:rsidRDefault="00D1794F" w:rsidP="00A4693B">
      <w:pPr>
        <w:pStyle w:val="ManualHeading2"/>
        <w:rPr>
          <w:rFonts w:eastAsia="Arial Unicode MS"/>
          <w:noProof/>
          <w:u w:color="000000"/>
          <w:bdr w:val="nil"/>
        </w:rPr>
      </w:pPr>
      <w:r w:rsidRPr="0053463E">
        <w:rPr>
          <w:noProof/>
          <w:u w:color="000000"/>
          <w:bdr w:val="nil"/>
        </w:rPr>
        <w:t>•</w:t>
      </w:r>
      <w:r w:rsidRPr="0053463E">
        <w:rPr>
          <w:noProof/>
        </w:rPr>
        <w:tab/>
      </w:r>
      <w:r w:rsidRPr="0053463E">
        <w:rPr>
          <w:noProof/>
          <w:u w:color="000000"/>
          <w:bdr w:val="nil"/>
        </w:rPr>
        <w:t>Wahl des Instruments</w:t>
      </w:r>
    </w:p>
    <w:p w:rsidR="00E73E95" w:rsidRPr="0053463E" w:rsidRDefault="00E73E95" w:rsidP="00550536">
      <w:pPr>
        <w:pBdr>
          <w:top w:val="nil"/>
          <w:left w:val="nil"/>
          <w:bottom w:val="nil"/>
          <w:right w:val="nil"/>
          <w:between w:val="nil"/>
          <w:bar w:val="nil"/>
        </w:pBdr>
        <w:spacing w:before="0" w:after="240"/>
        <w:rPr>
          <w:noProof/>
        </w:rPr>
      </w:pPr>
      <w:r w:rsidRPr="0053463E">
        <w:rPr>
          <w:noProof/>
        </w:rPr>
        <w:t xml:space="preserve">Verordnung des Rates </w:t>
      </w:r>
    </w:p>
    <w:p w:rsidR="00D1794F" w:rsidRPr="0053463E" w:rsidRDefault="00D1794F" w:rsidP="00550536">
      <w:pPr>
        <w:pStyle w:val="ManualHeading1"/>
        <w:rPr>
          <w:noProof/>
        </w:rPr>
      </w:pPr>
      <w:r w:rsidRPr="00872714">
        <w:rPr>
          <w:noProof/>
        </w:rPr>
        <w:t>3</w:t>
      </w:r>
      <w:r w:rsidRPr="0053463E">
        <w:rPr>
          <w:noProof/>
        </w:rPr>
        <w:t>.</w:t>
      </w:r>
      <w:r w:rsidRPr="0053463E">
        <w:rPr>
          <w:noProof/>
        </w:rPr>
        <w:tab/>
        <w:t>ERGEBNISSE DER EX-POST-BEWERTUNG, DER KONSULTATION DER INTERESSENTRÄGER UND DER FOLGENABSCHÄTZUNG</w:t>
      </w:r>
    </w:p>
    <w:p w:rsidR="00D1794F" w:rsidRPr="0053463E" w:rsidRDefault="00D1794F" w:rsidP="00A4693B">
      <w:pPr>
        <w:pStyle w:val="ManualHeading2"/>
        <w:rPr>
          <w:rFonts w:eastAsia="Arial Unicode MS"/>
          <w:noProof/>
          <w:u w:color="000000"/>
          <w:bdr w:val="nil"/>
        </w:rPr>
      </w:pPr>
      <w:r w:rsidRPr="0053463E">
        <w:rPr>
          <w:noProof/>
          <w:u w:color="000000"/>
          <w:bdr w:val="nil"/>
        </w:rPr>
        <w:t>•</w:t>
      </w:r>
      <w:r w:rsidRPr="0053463E">
        <w:rPr>
          <w:noProof/>
        </w:rPr>
        <w:tab/>
      </w:r>
      <w:r w:rsidRPr="0053463E">
        <w:rPr>
          <w:noProof/>
          <w:u w:color="000000"/>
          <w:bdr w:val="nil"/>
        </w:rPr>
        <w:t>Folgenabschätzung</w:t>
      </w:r>
    </w:p>
    <w:p w:rsidR="00450F4F" w:rsidRPr="0053463E" w:rsidRDefault="00450F4F" w:rsidP="00450F4F">
      <w:pPr>
        <w:pBdr>
          <w:top w:val="nil"/>
          <w:left w:val="nil"/>
          <w:bottom w:val="nil"/>
          <w:right w:val="nil"/>
          <w:between w:val="nil"/>
          <w:bar w:val="nil"/>
        </w:pBdr>
        <w:spacing w:before="0" w:after="240"/>
        <w:rPr>
          <w:rFonts w:eastAsia="Arial Unicode MS"/>
          <w:noProof/>
        </w:rPr>
      </w:pPr>
      <w:r w:rsidRPr="0053463E">
        <w:rPr>
          <w:noProof/>
        </w:rPr>
        <w:t xml:space="preserve">Die Folgenabschätzung wurde im Zuge der Neufassung der Richtlinie </w:t>
      </w:r>
      <w:r w:rsidRPr="00872714">
        <w:rPr>
          <w:noProof/>
        </w:rPr>
        <w:t>2008</w:t>
      </w:r>
      <w:r w:rsidRPr="0053463E">
        <w:rPr>
          <w:noProof/>
        </w:rPr>
        <w:t>/</w:t>
      </w:r>
      <w:r w:rsidRPr="00872714">
        <w:rPr>
          <w:noProof/>
        </w:rPr>
        <w:t>118</w:t>
      </w:r>
      <w:r w:rsidRPr="0053463E">
        <w:rPr>
          <w:noProof/>
        </w:rPr>
        <w:t xml:space="preserve">/EG durchgeführt. Im Interesse größerer Klarheit wurde die Richtlinie </w:t>
      </w:r>
      <w:r w:rsidRPr="00872714">
        <w:rPr>
          <w:noProof/>
        </w:rPr>
        <w:t>2008</w:t>
      </w:r>
      <w:r w:rsidRPr="0053463E">
        <w:rPr>
          <w:noProof/>
        </w:rPr>
        <w:t>/</w:t>
      </w:r>
      <w:r w:rsidRPr="00872714">
        <w:rPr>
          <w:noProof/>
        </w:rPr>
        <w:t>118</w:t>
      </w:r>
      <w:r w:rsidRPr="0053463E">
        <w:rPr>
          <w:noProof/>
        </w:rPr>
        <w:t xml:space="preserve">/EG des Rates über das allgemeine Verbrauchsteuersystem nach mehreren umfangreichen Änderungen durch die Richtlinie (EU) </w:t>
      </w:r>
      <w:r w:rsidRPr="00872714">
        <w:rPr>
          <w:noProof/>
        </w:rPr>
        <w:t>2020</w:t>
      </w:r>
      <w:r w:rsidRPr="0053463E">
        <w:rPr>
          <w:noProof/>
        </w:rPr>
        <w:t>/</w:t>
      </w:r>
      <w:r w:rsidRPr="00872714">
        <w:rPr>
          <w:noProof/>
        </w:rPr>
        <w:t>262</w:t>
      </w:r>
      <w:r w:rsidRPr="0053463E">
        <w:rPr>
          <w:noProof/>
        </w:rPr>
        <w:t xml:space="preserve"> des Rates aufgehoben. Dem Vorschlag für die Neufassung war eine Folgenabschätzung zur Richtlinie </w:t>
      </w:r>
      <w:r w:rsidRPr="00872714">
        <w:rPr>
          <w:noProof/>
        </w:rPr>
        <w:t>2008</w:t>
      </w:r>
      <w:r w:rsidRPr="0053463E">
        <w:rPr>
          <w:noProof/>
        </w:rPr>
        <w:t>/</w:t>
      </w:r>
      <w:r w:rsidRPr="00872714">
        <w:rPr>
          <w:noProof/>
        </w:rPr>
        <w:t>118</w:t>
      </w:r>
      <w:r w:rsidRPr="0053463E">
        <w:rPr>
          <w:noProof/>
        </w:rPr>
        <w:t xml:space="preserve">/EG des Rates beigefügt, die sich auf bestimmte Bereiche konzentrierte; dazu gehörte auch die Automatisierung unionsinterner Beförderungen von in den steuerrechtlich freien Verkehr überführten verbrauchsteuerpflichtigen Waren. In der Richtlinie (EU) </w:t>
      </w:r>
      <w:r w:rsidRPr="00872714">
        <w:rPr>
          <w:noProof/>
        </w:rPr>
        <w:t>2020</w:t>
      </w:r>
      <w:r w:rsidRPr="0053463E">
        <w:rPr>
          <w:noProof/>
        </w:rPr>
        <w:t>/</w:t>
      </w:r>
      <w:r w:rsidRPr="00872714">
        <w:rPr>
          <w:noProof/>
        </w:rPr>
        <w:t>262</w:t>
      </w:r>
      <w:r w:rsidRPr="0053463E">
        <w:rPr>
          <w:noProof/>
        </w:rPr>
        <w:t xml:space="preserve"> des Rates ist die EDV-Umstellung der Beförderung von in den steuerrechtlich freien Verkehr überführten verbrauchsteuerpflichtigen Waren geregelt, die in der Richtlinie </w:t>
      </w:r>
      <w:r w:rsidRPr="00872714">
        <w:rPr>
          <w:noProof/>
        </w:rPr>
        <w:t>2008</w:t>
      </w:r>
      <w:r w:rsidRPr="0053463E">
        <w:rPr>
          <w:noProof/>
        </w:rPr>
        <w:t>/</w:t>
      </w:r>
      <w:r w:rsidRPr="00872714">
        <w:rPr>
          <w:noProof/>
        </w:rPr>
        <w:t>118</w:t>
      </w:r>
      <w:r w:rsidRPr="0053463E">
        <w:rPr>
          <w:noProof/>
        </w:rPr>
        <w:t xml:space="preserve">/EG nicht vorgesehen war. </w:t>
      </w:r>
    </w:p>
    <w:p w:rsidR="00D1794F" w:rsidRPr="0053463E" w:rsidRDefault="00D1794F" w:rsidP="00A4693B">
      <w:pPr>
        <w:pStyle w:val="ManualHeading2"/>
        <w:rPr>
          <w:rFonts w:eastAsia="Arial Unicode MS"/>
          <w:noProof/>
          <w:u w:color="000000"/>
          <w:bdr w:val="nil"/>
        </w:rPr>
      </w:pPr>
      <w:r w:rsidRPr="0053463E">
        <w:rPr>
          <w:noProof/>
          <w:u w:color="000000"/>
          <w:bdr w:val="nil"/>
        </w:rPr>
        <w:t>•</w:t>
      </w:r>
      <w:r w:rsidRPr="0053463E">
        <w:rPr>
          <w:noProof/>
        </w:rPr>
        <w:tab/>
      </w:r>
      <w:r w:rsidRPr="0053463E">
        <w:rPr>
          <w:noProof/>
          <w:u w:color="000000"/>
          <w:bdr w:val="nil"/>
        </w:rPr>
        <w:t>Effizienz der Rechtsetzung und Vereinfachung</w:t>
      </w:r>
    </w:p>
    <w:p w:rsidR="00D1794F" w:rsidRPr="0053463E" w:rsidRDefault="00450F4F" w:rsidP="00E837CC">
      <w:pPr>
        <w:pBdr>
          <w:top w:val="nil"/>
          <w:left w:val="nil"/>
          <w:bottom w:val="nil"/>
          <w:right w:val="nil"/>
          <w:between w:val="nil"/>
          <w:bar w:val="nil"/>
        </w:pBdr>
        <w:spacing w:before="0" w:after="240"/>
        <w:rPr>
          <w:rFonts w:eastAsia="Arial Unicode MS"/>
          <w:noProof/>
        </w:rPr>
      </w:pPr>
      <w:r w:rsidRPr="0053463E">
        <w:rPr>
          <w:noProof/>
        </w:rPr>
        <w:t xml:space="preserve">Die Richtlinie </w:t>
      </w:r>
      <w:r w:rsidRPr="00872714">
        <w:rPr>
          <w:noProof/>
        </w:rPr>
        <w:t>2008</w:t>
      </w:r>
      <w:r w:rsidRPr="0053463E">
        <w:rPr>
          <w:noProof/>
        </w:rPr>
        <w:t>/</w:t>
      </w:r>
      <w:r w:rsidRPr="00872714">
        <w:rPr>
          <w:noProof/>
        </w:rPr>
        <w:t>118</w:t>
      </w:r>
      <w:r w:rsidRPr="0053463E">
        <w:rPr>
          <w:noProof/>
        </w:rPr>
        <w:t>/EG wurde im Rahmen des REFIT-Programms der Kommission evaluiert.</w:t>
      </w:r>
    </w:p>
    <w:p w:rsidR="00D1794F" w:rsidRPr="0053463E" w:rsidRDefault="00D1794F" w:rsidP="00A4693B">
      <w:pPr>
        <w:pStyle w:val="ManualHeading2"/>
        <w:rPr>
          <w:rFonts w:eastAsia="Arial Unicode MS"/>
          <w:noProof/>
          <w:u w:color="000000"/>
          <w:bdr w:val="nil"/>
        </w:rPr>
      </w:pPr>
      <w:r w:rsidRPr="0053463E">
        <w:rPr>
          <w:noProof/>
          <w:u w:color="000000"/>
          <w:bdr w:val="nil"/>
        </w:rPr>
        <w:t>•</w:t>
      </w:r>
      <w:r w:rsidRPr="0053463E">
        <w:rPr>
          <w:noProof/>
        </w:rPr>
        <w:tab/>
      </w:r>
      <w:r w:rsidRPr="0053463E">
        <w:rPr>
          <w:noProof/>
          <w:u w:color="000000"/>
          <w:bdr w:val="nil"/>
        </w:rPr>
        <w:t>Grundrechte</w:t>
      </w:r>
    </w:p>
    <w:p w:rsidR="00D1794F" w:rsidRPr="0053463E" w:rsidRDefault="00450F4F" w:rsidP="00550536">
      <w:pPr>
        <w:pBdr>
          <w:top w:val="nil"/>
          <w:left w:val="nil"/>
          <w:bottom w:val="nil"/>
          <w:right w:val="nil"/>
          <w:between w:val="nil"/>
          <w:bar w:val="nil"/>
        </w:pBdr>
        <w:spacing w:before="0" w:after="240"/>
        <w:rPr>
          <w:rFonts w:eastAsia="Arial Unicode MS"/>
          <w:noProof/>
        </w:rPr>
      </w:pPr>
      <w:r w:rsidRPr="0053463E">
        <w:rPr>
          <w:noProof/>
        </w:rPr>
        <w:t>Dieser Vorschlag steht im Einklang mit den Grundrechten, insbesondere mit dem Recht auf Schutz der Privatsphäre durch die in der Verordnung (EU) Nr. </w:t>
      </w:r>
      <w:r w:rsidRPr="00872714">
        <w:rPr>
          <w:noProof/>
        </w:rPr>
        <w:t>389</w:t>
      </w:r>
      <w:r w:rsidRPr="0053463E">
        <w:rPr>
          <w:noProof/>
        </w:rPr>
        <w:t>/</w:t>
      </w:r>
      <w:r w:rsidRPr="00872714">
        <w:rPr>
          <w:noProof/>
        </w:rPr>
        <w:t>2012</w:t>
      </w:r>
      <w:r w:rsidRPr="0053463E">
        <w:rPr>
          <w:noProof/>
        </w:rPr>
        <w:t xml:space="preserve"> enthaltene Datenschutzbestimmung. </w:t>
      </w:r>
    </w:p>
    <w:p w:rsidR="00D1794F" w:rsidRPr="0053463E" w:rsidRDefault="00D1794F" w:rsidP="00550536">
      <w:pPr>
        <w:pStyle w:val="ManualHeading1"/>
        <w:rPr>
          <w:noProof/>
        </w:rPr>
      </w:pPr>
      <w:r w:rsidRPr="00872714">
        <w:rPr>
          <w:noProof/>
        </w:rPr>
        <w:t>4</w:t>
      </w:r>
      <w:r w:rsidRPr="0053463E">
        <w:rPr>
          <w:noProof/>
        </w:rPr>
        <w:t>.</w:t>
      </w:r>
      <w:r w:rsidRPr="0053463E">
        <w:rPr>
          <w:noProof/>
        </w:rPr>
        <w:tab/>
        <w:t>AUSWIRKUNGEN AUF DEN HAUSHALT</w:t>
      </w:r>
    </w:p>
    <w:p w:rsidR="00450F4F" w:rsidRPr="0053463E" w:rsidRDefault="00450F4F" w:rsidP="00044058">
      <w:pPr>
        <w:pBdr>
          <w:top w:val="nil"/>
          <w:left w:val="nil"/>
          <w:bottom w:val="nil"/>
          <w:right w:val="nil"/>
          <w:between w:val="nil"/>
          <w:bar w:val="nil"/>
        </w:pBdr>
        <w:spacing w:before="0" w:after="240"/>
        <w:rPr>
          <w:noProof/>
        </w:rPr>
      </w:pPr>
      <w:r w:rsidRPr="0053463E">
        <w:rPr>
          <w:noProof/>
        </w:rPr>
        <w:t>Es werden keine zusätzlichen Mittel aus dem EU-Haushalt benötigt.</w:t>
      </w:r>
    </w:p>
    <w:p w:rsidR="00D1794F" w:rsidRPr="0053463E" w:rsidRDefault="00D1794F" w:rsidP="00550536">
      <w:pPr>
        <w:pStyle w:val="ManualHeading1"/>
        <w:rPr>
          <w:noProof/>
        </w:rPr>
      </w:pPr>
      <w:r w:rsidRPr="00872714">
        <w:rPr>
          <w:noProof/>
        </w:rPr>
        <w:t>5</w:t>
      </w:r>
      <w:r w:rsidRPr="0053463E">
        <w:rPr>
          <w:noProof/>
        </w:rPr>
        <w:t>.</w:t>
      </w:r>
      <w:r w:rsidRPr="0053463E">
        <w:rPr>
          <w:noProof/>
        </w:rPr>
        <w:tab/>
        <w:t>WEITERE ANGABEN</w:t>
      </w:r>
    </w:p>
    <w:p w:rsidR="00D1794F" w:rsidRPr="0053463E" w:rsidRDefault="00D1794F" w:rsidP="00A4693B">
      <w:pPr>
        <w:pStyle w:val="ManualHeading2"/>
        <w:rPr>
          <w:rFonts w:eastAsia="Arial Unicode MS"/>
          <w:noProof/>
          <w:u w:color="000000"/>
          <w:bdr w:val="nil"/>
        </w:rPr>
      </w:pPr>
      <w:r w:rsidRPr="0053463E">
        <w:rPr>
          <w:noProof/>
          <w:u w:color="000000"/>
          <w:bdr w:val="nil"/>
        </w:rPr>
        <w:t>•</w:t>
      </w:r>
      <w:r w:rsidRPr="0053463E">
        <w:rPr>
          <w:noProof/>
        </w:rPr>
        <w:tab/>
      </w:r>
      <w:r w:rsidRPr="0053463E">
        <w:rPr>
          <w:noProof/>
          <w:u w:color="000000"/>
          <w:bdr w:val="nil"/>
        </w:rPr>
        <w:t>Ausführliche Erläuterung einzelner Bestimmungen des Vorschlags</w:t>
      </w:r>
    </w:p>
    <w:p w:rsidR="00D1794F" w:rsidRPr="0053463E" w:rsidRDefault="00450F4F" w:rsidP="00550536">
      <w:pPr>
        <w:pBdr>
          <w:top w:val="nil"/>
          <w:left w:val="nil"/>
          <w:bottom w:val="nil"/>
          <w:right w:val="nil"/>
          <w:between w:val="nil"/>
          <w:bar w:val="nil"/>
        </w:pBdr>
        <w:spacing w:before="0" w:after="240"/>
        <w:rPr>
          <w:noProof/>
        </w:rPr>
      </w:pPr>
      <w:r w:rsidRPr="0053463E">
        <w:rPr>
          <w:noProof/>
        </w:rPr>
        <w:t>Mit dem vorliegenden Vorschlag wird der Anwendungsbereich von Artikel </w:t>
      </w:r>
      <w:r w:rsidRPr="00872714">
        <w:rPr>
          <w:noProof/>
        </w:rPr>
        <w:t>15</w:t>
      </w:r>
      <w:r w:rsidRPr="0053463E">
        <w:rPr>
          <w:noProof/>
        </w:rPr>
        <w:t xml:space="preserve"> Absatz </w:t>
      </w:r>
      <w:r w:rsidRPr="00872714">
        <w:rPr>
          <w:noProof/>
        </w:rPr>
        <w:t>1</w:t>
      </w:r>
      <w:r w:rsidRPr="0053463E">
        <w:rPr>
          <w:noProof/>
        </w:rPr>
        <w:t xml:space="preserve"> Buchstabe d der Verordnung (EU) Nr. </w:t>
      </w:r>
      <w:r w:rsidRPr="00872714">
        <w:rPr>
          <w:noProof/>
        </w:rPr>
        <w:t>389</w:t>
      </w:r>
      <w:r w:rsidRPr="0053463E">
        <w:rPr>
          <w:noProof/>
        </w:rPr>
        <w:t>/</w:t>
      </w:r>
      <w:r w:rsidRPr="00872714">
        <w:rPr>
          <w:noProof/>
        </w:rPr>
        <w:t>2012</w:t>
      </w:r>
      <w:r w:rsidRPr="0053463E">
        <w:rPr>
          <w:noProof/>
        </w:rPr>
        <w:t>, gemäß dem die Mitgliedstaaten verpflichtet sind, die erforderlichen Informationen auszutauschen, wenn die vollständige Zerstörung oder der unwiederbringliche Verlust von einem Verfahren der Steueraussetzung unterstellten verbrauchsteuerpflichtigen Waren eingetreten ist, auf Beförderungen verbrauchersteuerpflichtiger Waren ausgeweitet, die im Gebiet eines Mitgliedstaats in den steuerrechtlich freien Verkehr überführt worden sind und zur Lieferung zu gewerblichen Zwecken in das Gebiet eines anderen Mitgliedstaats verbracht werden.</w:t>
      </w:r>
    </w:p>
    <w:p w:rsidR="002B1460" w:rsidRPr="0053463E" w:rsidRDefault="00A340B8" w:rsidP="00550536">
      <w:pPr>
        <w:pBdr>
          <w:top w:val="nil"/>
          <w:left w:val="nil"/>
          <w:bottom w:val="nil"/>
          <w:right w:val="nil"/>
          <w:between w:val="nil"/>
          <w:bar w:val="nil"/>
        </w:pBdr>
        <w:spacing w:before="0" w:after="240"/>
        <w:rPr>
          <w:noProof/>
        </w:rPr>
      </w:pPr>
      <w:r w:rsidRPr="0053463E">
        <w:rPr>
          <w:noProof/>
        </w:rPr>
        <w:t>Die Verordnung (EG) Nr. </w:t>
      </w:r>
      <w:r w:rsidRPr="00872714">
        <w:rPr>
          <w:noProof/>
        </w:rPr>
        <w:t>684</w:t>
      </w:r>
      <w:r w:rsidRPr="0053463E">
        <w:rPr>
          <w:noProof/>
        </w:rPr>
        <w:t>/</w:t>
      </w:r>
      <w:r w:rsidRPr="00872714">
        <w:rPr>
          <w:noProof/>
        </w:rPr>
        <w:t>2009</w:t>
      </w:r>
      <w:r w:rsidRPr="0053463E">
        <w:rPr>
          <w:noProof/>
        </w:rPr>
        <w:t xml:space="preserve"> der Kommission wird aufgehoben und durch die Delegierte Verordnung (EU) .../... der Kommission [Amt für Veröffentlichungen: Bitte Veröffentlichungsnummer einfügen] ersetzt. Mit dem Vorschlag wird der Verweis auf Anhang II Codeliste </w:t>
      </w:r>
      <w:r w:rsidRPr="00872714">
        <w:rPr>
          <w:noProof/>
        </w:rPr>
        <w:t>11</w:t>
      </w:r>
      <w:r w:rsidRPr="0053463E">
        <w:rPr>
          <w:noProof/>
        </w:rPr>
        <w:t xml:space="preserve"> der Verordnung (EG) Nr. </w:t>
      </w:r>
      <w:r w:rsidRPr="00872714">
        <w:rPr>
          <w:noProof/>
        </w:rPr>
        <w:t>684</w:t>
      </w:r>
      <w:r w:rsidRPr="0053463E">
        <w:rPr>
          <w:noProof/>
        </w:rPr>
        <w:t>/</w:t>
      </w:r>
      <w:r w:rsidRPr="00872714">
        <w:rPr>
          <w:noProof/>
        </w:rPr>
        <w:t>2009</w:t>
      </w:r>
      <w:r w:rsidRPr="0053463E">
        <w:rPr>
          <w:noProof/>
        </w:rPr>
        <w:t xml:space="preserve"> in Artikel </w:t>
      </w:r>
      <w:r w:rsidRPr="00872714">
        <w:rPr>
          <w:noProof/>
        </w:rPr>
        <w:t>19</w:t>
      </w:r>
      <w:r w:rsidRPr="0053463E">
        <w:rPr>
          <w:noProof/>
        </w:rPr>
        <w:t xml:space="preserve"> Absatz </w:t>
      </w:r>
      <w:r w:rsidRPr="00872714">
        <w:rPr>
          <w:noProof/>
        </w:rPr>
        <w:t>2</w:t>
      </w:r>
      <w:r w:rsidRPr="0053463E">
        <w:rPr>
          <w:noProof/>
        </w:rPr>
        <w:t xml:space="preserve"> Buchstabe c der oben Verordnung (EU) Nr. </w:t>
      </w:r>
      <w:r w:rsidRPr="00872714">
        <w:rPr>
          <w:noProof/>
        </w:rPr>
        <w:t>389</w:t>
      </w:r>
      <w:r w:rsidRPr="0053463E">
        <w:rPr>
          <w:noProof/>
        </w:rPr>
        <w:t>/</w:t>
      </w:r>
      <w:r w:rsidRPr="00872714">
        <w:rPr>
          <w:noProof/>
        </w:rPr>
        <w:t>2012</w:t>
      </w:r>
      <w:r w:rsidRPr="0053463E">
        <w:rPr>
          <w:noProof/>
        </w:rPr>
        <w:t xml:space="preserve"> durch den Verweis auf Anhang II Codeliste </w:t>
      </w:r>
      <w:r w:rsidRPr="00872714">
        <w:rPr>
          <w:noProof/>
        </w:rPr>
        <w:t>10</w:t>
      </w:r>
      <w:r w:rsidRPr="0053463E">
        <w:rPr>
          <w:noProof/>
        </w:rPr>
        <w:t xml:space="preserve"> der Delegierten Verordnung (EU) .../... der Kommission [Amt für Veröffentlichungen: Bitte Veröffentlichungsnummer einfügen] ersetzt.</w:t>
      </w:r>
    </w:p>
    <w:p w:rsidR="009D3AA3" w:rsidRPr="0053463E" w:rsidRDefault="002B1460" w:rsidP="00550536">
      <w:pPr>
        <w:pBdr>
          <w:top w:val="nil"/>
          <w:left w:val="nil"/>
          <w:bottom w:val="nil"/>
          <w:right w:val="nil"/>
          <w:between w:val="nil"/>
          <w:bar w:val="nil"/>
        </w:pBdr>
        <w:spacing w:before="0" w:after="240"/>
        <w:rPr>
          <w:noProof/>
        </w:rPr>
      </w:pPr>
      <w:r w:rsidRPr="0053463E">
        <w:rPr>
          <w:noProof/>
        </w:rPr>
        <w:t>Mit dem Vorschlag wird der Anwendungsbereich von Artikel </w:t>
      </w:r>
      <w:r w:rsidRPr="00872714">
        <w:rPr>
          <w:noProof/>
        </w:rPr>
        <w:t>19</w:t>
      </w:r>
      <w:r w:rsidRPr="0053463E">
        <w:rPr>
          <w:noProof/>
        </w:rPr>
        <w:t xml:space="preserve"> Absatz </w:t>
      </w:r>
      <w:r w:rsidRPr="00872714">
        <w:rPr>
          <w:noProof/>
        </w:rPr>
        <w:t>4</w:t>
      </w:r>
      <w:r w:rsidRPr="0053463E">
        <w:rPr>
          <w:noProof/>
        </w:rPr>
        <w:t xml:space="preserve"> Unterabsatz </w:t>
      </w:r>
      <w:r w:rsidRPr="00872714">
        <w:rPr>
          <w:noProof/>
        </w:rPr>
        <w:t>1</w:t>
      </w:r>
      <w:r w:rsidRPr="0053463E">
        <w:rPr>
          <w:noProof/>
        </w:rPr>
        <w:t xml:space="preserve"> der Verordnung (EU) Nr. </w:t>
      </w:r>
      <w:r w:rsidRPr="00872714">
        <w:rPr>
          <w:noProof/>
        </w:rPr>
        <w:t>389</w:t>
      </w:r>
      <w:r w:rsidRPr="0053463E">
        <w:rPr>
          <w:noProof/>
        </w:rPr>
        <w:t>/</w:t>
      </w:r>
      <w:r w:rsidRPr="00872714">
        <w:rPr>
          <w:noProof/>
        </w:rPr>
        <w:t>2012</w:t>
      </w:r>
      <w:r w:rsidRPr="0053463E">
        <w:rPr>
          <w:noProof/>
        </w:rPr>
        <w:t xml:space="preserve">, gemäß dem die Mitgliedstaaten verpflichtet sind, die in den jeweiligen nationalen Verzeichnissen enthaltenen Angaben zu Wirtschaftsbeteiligten, die verbrauchsteuerpflichtige Waren im Rahmen eines Verfahrens der Steueraussetzung zwischen Mitgliedstaaten befördern, über ein Zentralverzeichnis untereinander auszutauschen, auf Beförderungen verbrauchersteuerpflichtiger Waren ausgeweitet, die im Gebiet eines Mitgliedstaats in den steuerrechtlich freien Verkehr überführt worden sind und zur Lieferung zu gewerblichen Zwecken in das Gebiet eines anderen Mitgliedstaats verbracht werden. </w:t>
      </w:r>
    </w:p>
    <w:p w:rsidR="002B1460" w:rsidRPr="0053463E" w:rsidRDefault="001C15BD" w:rsidP="00550536">
      <w:pPr>
        <w:pBdr>
          <w:top w:val="nil"/>
          <w:left w:val="nil"/>
          <w:bottom w:val="nil"/>
          <w:right w:val="nil"/>
          <w:between w:val="nil"/>
          <w:bar w:val="nil"/>
        </w:pBdr>
        <w:spacing w:before="0" w:after="240"/>
        <w:rPr>
          <w:noProof/>
        </w:rPr>
      </w:pPr>
      <w:r w:rsidRPr="0053463E">
        <w:rPr>
          <w:noProof/>
        </w:rPr>
        <w:t>Artikel </w:t>
      </w:r>
      <w:r w:rsidRPr="00872714">
        <w:rPr>
          <w:noProof/>
        </w:rPr>
        <w:t>20</w:t>
      </w:r>
      <w:r w:rsidRPr="0053463E">
        <w:rPr>
          <w:noProof/>
        </w:rPr>
        <w:t xml:space="preserve"> Absatz </w:t>
      </w:r>
      <w:r w:rsidRPr="00872714">
        <w:rPr>
          <w:noProof/>
        </w:rPr>
        <w:t>1</w:t>
      </w:r>
      <w:r w:rsidRPr="0053463E">
        <w:rPr>
          <w:noProof/>
        </w:rPr>
        <w:t xml:space="preserve"> Satz </w:t>
      </w:r>
      <w:r w:rsidRPr="00872714">
        <w:rPr>
          <w:noProof/>
        </w:rPr>
        <w:t>1</w:t>
      </w:r>
      <w:r w:rsidRPr="0053463E">
        <w:rPr>
          <w:noProof/>
        </w:rPr>
        <w:t xml:space="preserve"> der Verordnung (EU) Nr. </w:t>
      </w:r>
      <w:r w:rsidRPr="00872714">
        <w:rPr>
          <w:noProof/>
        </w:rPr>
        <w:t>389</w:t>
      </w:r>
      <w:r w:rsidRPr="0053463E">
        <w:rPr>
          <w:noProof/>
        </w:rPr>
        <w:t>/</w:t>
      </w:r>
      <w:r w:rsidRPr="00872714">
        <w:rPr>
          <w:noProof/>
        </w:rPr>
        <w:t>2012</w:t>
      </w:r>
      <w:r w:rsidRPr="0053463E">
        <w:rPr>
          <w:noProof/>
        </w:rPr>
        <w:t xml:space="preserve"> sieht die Möglichkeit vor, die Gültigkeit der Verbrauchsteuernummern von Wirtschaftsbeteiligten, die an der Beförderung verbrauchsteuerpflichtiger Waren unter Steueraussetzung beteiligt sind, auf elektronischem Weg bestätigen zu lassen. Mit dem vorliegenden Vorschlag wird diese Möglichkeit auf Verbrauchsteuernummern von Wirtschaftsbeteiligten ausgeweitet, die verbrauchsteuerpflichtige Waren befördern, welche im Gebiet eines Mitgliedstaats in den steuerrechtlich freien Verkehr überführt worden sind und zur Lieferung zu gewerblichen Zwecken in das Gebiet eines anderen Mitgliedstaats verbracht werden.</w:t>
      </w:r>
    </w:p>
    <w:p w:rsidR="004B2317" w:rsidRPr="0053463E" w:rsidRDefault="004B2317" w:rsidP="00C0597F">
      <w:pPr>
        <w:pStyle w:val="Statut"/>
        <w:rPr>
          <w:noProof/>
        </w:rPr>
        <w:sectPr w:rsidR="004B2317" w:rsidRPr="0053463E" w:rsidSect="002B2763">
          <w:footerReference w:type="default" r:id="rId10"/>
          <w:footerReference w:type="first" r:id="rId11"/>
          <w:pgSz w:w="11907" w:h="16839"/>
          <w:pgMar w:top="1134" w:right="1417" w:bottom="1134" w:left="1417" w:header="709" w:footer="709" w:gutter="0"/>
          <w:cols w:space="708"/>
          <w:docGrid w:linePitch="360"/>
        </w:sectPr>
      </w:pPr>
    </w:p>
    <w:p w:rsidR="00E3588B" w:rsidRDefault="00E3588B" w:rsidP="00E3588B">
      <w:pPr>
        <w:pStyle w:val="Rfrenceinterinstitutionnelle"/>
        <w:rPr>
          <w:noProof/>
        </w:rPr>
      </w:pPr>
      <w:r w:rsidRPr="00E3588B">
        <w:t>2022/0331 (CNS)</w:t>
      </w:r>
    </w:p>
    <w:p w:rsidR="00D1794F" w:rsidRPr="0053463E" w:rsidRDefault="0053463E" w:rsidP="0053463E">
      <w:pPr>
        <w:pStyle w:val="Statut"/>
        <w:rPr>
          <w:noProof/>
        </w:rPr>
      </w:pPr>
      <w:r w:rsidRPr="0053463E">
        <w:rPr>
          <w:noProof/>
        </w:rPr>
        <w:t>Vorschlag für eine</w:t>
      </w:r>
    </w:p>
    <w:p w:rsidR="00D1794F" w:rsidRPr="0053463E" w:rsidRDefault="0053463E" w:rsidP="0053463E">
      <w:pPr>
        <w:pStyle w:val="Typedudocument"/>
        <w:rPr>
          <w:noProof/>
        </w:rPr>
      </w:pPr>
      <w:r w:rsidRPr="0053463E">
        <w:rPr>
          <w:noProof/>
        </w:rPr>
        <w:t>VERORDNUNG DES RATES</w:t>
      </w:r>
    </w:p>
    <w:p w:rsidR="00D1794F" w:rsidRPr="0053463E" w:rsidRDefault="0053463E" w:rsidP="0053463E">
      <w:pPr>
        <w:pStyle w:val="Titreobjet"/>
        <w:rPr>
          <w:noProof/>
        </w:rPr>
      </w:pPr>
      <w:r w:rsidRPr="0053463E">
        <w:rPr>
          <w:noProof/>
        </w:rPr>
        <w:t>zur Änderung der Verordnung (EU) Nr. </w:t>
      </w:r>
      <w:r w:rsidRPr="00872714">
        <w:rPr>
          <w:noProof/>
        </w:rPr>
        <w:t>389</w:t>
      </w:r>
      <w:r w:rsidRPr="0053463E">
        <w:rPr>
          <w:noProof/>
        </w:rPr>
        <w:t>/</w:t>
      </w:r>
      <w:r w:rsidRPr="00872714">
        <w:rPr>
          <w:noProof/>
        </w:rPr>
        <w:t>2012</w:t>
      </w:r>
      <w:r w:rsidRPr="0053463E">
        <w:rPr>
          <w:noProof/>
        </w:rPr>
        <w:t xml:space="preserve"> in Bezug auf den Austausch von in den elektronischen Verzeichnissen enthaltenen Angaben zu Wirtschaftsbeteiligten, die verbrauchsteuerpflichtige Waren zu gewerblichen Zwecken zwischen Mitgliedstaaten befördern</w:t>
      </w:r>
    </w:p>
    <w:p w:rsidR="00D1794F" w:rsidRPr="0053463E" w:rsidRDefault="00D1794F" w:rsidP="00750517">
      <w:pPr>
        <w:pStyle w:val="Institutionquiagit"/>
        <w:rPr>
          <w:noProof/>
        </w:rPr>
      </w:pPr>
      <w:r w:rsidRPr="0053463E">
        <w:rPr>
          <w:noProof/>
        </w:rPr>
        <w:t>DER RAT DER EUROPÄISCHEN UNION</w:t>
      </w:r>
    </w:p>
    <w:p w:rsidR="00D1794F" w:rsidRPr="0053463E" w:rsidRDefault="00D1794F" w:rsidP="00750517">
      <w:pPr>
        <w:rPr>
          <w:noProof/>
        </w:rPr>
      </w:pPr>
      <w:r w:rsidRPr="0053463E">
        <w:rPr>
          <w:noProof/>
        </w:rPr>
        <w:t>gestützt auf den Vertrag über die Arbeitsweise der Europäischen Union, insbesondere auf Artikel </w:t>
      </w:r>
      <w:r w:rsidRPr="00872714">
        <w:rPr>
          <w:noProof/>
        </w:rPr>
        <w:t>113</w:t>
      </w:r>
      <w:r w:rsidRPr="0053463E">
        <w:rPr>
          <w:noProof/>
        </w:rPr>
        <w:t>,</w:t>
      </w:r>
    </w:p>
    <w:p w:rsidR="00D1794F" w:rsidRPr="0053463E" w:rsidRDefault="00D1794F" w:rsidP="00750517">
      <w:pPr>
        <w:rPr>
          <w:noProof/>
        </w:rPr>
      </w:pPr>
      <w:r w:rsidRPr="0053463E">
        <w:rPr>
          <w:noProof/>
        </w:rPr>
        <w:t>auf Vorschlag der Europäischen Kommission,</w:t>
      </w:r>
    </w:p>
    <w:p w:rsidR="00D1794F" w:rsidRPr="0053463E" w:rsidRDefault="00D1794F" w:rsidP="00750517">
      <w:pPr>
        <w:rPr>
          <w:noProof/>
        </w:rPr>
      </w:pPr>
      <w:r w:rsidRPr="0053463E">
        <w:rPr>
          <w:noProof/>
        </w:rPr>
        <w:t>nach Zuleitung des Entwurfs des Gesetzgebungsakts an die nationalen Parlamente,</w:t>
      </w:r>
    </w:p>
    <w:p w:rsidR="00D1794F" w:rsidRPr="0053463E" w:rsidRDefault="00D1794F" w:rsidP="00750517">
      <w:pPr>
        <w:rPr>
          <w:noProof/>
        </w:rPr>
      </w:pPr>
      <w:r w:rsidRPr="0053463E">
        <w:rPr>
          <w:noProof/>
        </w:rPr>
        <w:t>nach Stellungnahme des Europäischen Parlaments</w:t>
      </w:r>
      <w:r w:rsidRPr="0053463E">
        <w:rPr>
          <w:rStyle w:val="FootnoteReference"/>
          <w:noProof/>
        </w:rPr>
        <w:footnoteReference w:id="7"/>
      </w:r>
      <w:r w:rsidRPr="0053463E">
        <w:rPr>
          <w:noProof/>
        </w:rPr>
        <w:t xml:space="preserve">, </w:t>
      </w:r>
    </w:p>
    <w:p w:rsidR="00D1794F" w:rsidRPr="0053463E" w:rsidRDefault="00D1794F" w:rsidP="00750517">
      <w:pPr>
        <w:rPr>
          <w:noProof/>
        </w:rPr>
      </w:pPr>
      <w:r w:rsidRPr="0053463E">
        <w:rPr>
          <w:noProof/>
        </w:rPr>
        <w:t>nach Stellungnahme des Europäischen Wirtschafts- und Sozialausschusses</w:t>
      </w:r>
      <w:r w:rsidRPr="0053463E">
        <w:rPr>
          <w:rStyle w:val="FootnoteReference"/>
          <w:noProof/>
        </w:rPr>
        <w:footnoteReference w:id="8"/>
      </w:r>
      <w:r w:rsidRPr="0053463E">
        <w:rPr>
          <w:noProof/>
        </w:rPr>
        <w:t xml:space="preserve">, </w:t>
      </w:r>
    </w:p>
    <w:p w:rsidR="00D1794F" w:rsidRPr="0053463E" w:rsidRDefault="00D1794F" w:rsidP="00750517">
      <w:pPr>
        <w:rPr>
          <w:noProof/>
        </w:rPr>
      </w:pPr>
      <w:r w:rsidRPr="0053463E">
        <w:rPr>
          <w:noProof/>
        </w:rPr>
        <w:t>gemäß einem besonderen Gesetzgebungsverfahren,</w:t>
      </w:r>
    </w:p>
    <w:p w:rsidR="00D1794F" w:rsidRPr="0053463E" w:rsidRDefault="00D1794F" w:rsidP="00750517">
      <w:pPr>
        <w:rPr>
          <w:noProof/>
        </w:rPr>
      </w:pPr>
      <w:r w:rsidRPr="0053463E">
        <w:rPr>
          <w:noProof/>
        </w:rPr>
        <w:t>in Erwägung nachstehender Gründe:</w:t>
      </w:r>
    </w:p>
    <w:p w:rsidR="00CD5EC2" w:rsidRPr="0053463E" w:rsidRDefault="007A2098" w:rsidP="007A2098">
      <w:pPr>
        <w:pStyle w:val="ManualConsidrant"/>
        <w:rPr>
          <w:noProof/>
        </w:rPr>
      </w:pPr>
      <w:r w:rsidRPr="007A2098">
        <w:t>(1)</w:t>
      </w:r>
      <w:r w:rsidRPr="007A2098">
        <w:tab/>
      </w:r>
      <w:r w:rsidR="00291566" w:rsidRPr="0053463E">
        <w:rPr>
          <w:noProof/>
        </w:rPr>
        <w:t>Gemäß Artikel </w:t>
      </w:r>
      <w:r w:rsidR="00291566" w:rsidRPr="00872714">
        <w:rPr>
          <w:noProof/>
        </w:rPr>
        <w:t>36</w:t>
      </w:r>
      <w:r w:rsidR="00291566" w:rsidRPr="0053463E">
        <w:rPr>
          <w:noProof/>
        </w:rPr>
        <w:t xml:space="preserve"> der Richtlinie (EU) </w:t>
      </w:r>
      <w:r w:rsidR="00291566" w:rsidRPr="00872714">
        <w:rPr>
          <w:noProof/>
        </w:rPr>
        <w:t>2020</w:t>
      </w:r>
      <w:r w:rsidR="00291566" w:rsidRPr="0053463E">
        <w:rPr>
          <w:noProof/>
        </w:rPr>
        <w:t>/</w:t>
      </w:r>
      <w:r w:rsidR="00291566" w:rsidRPr="00872714">
        <w:rPr>
          <w:noProof/>
        </w:rPr>
        <w:t>262</w:t>
      </w:r>
      <w:r w:rsidR="00291566" w:rsidRPr="0053463E">
        <w:rPr>
          <w:noProof/>
        </w:rPr>
        <w:t xml:space="preserve"> des Rates</w:t>
      </w:r>
      <w:r w:rsidR="00291566" w:rsidRPr="0053463E">
        <w:rPr>
          <w:rStyle w:val="FootnoteReference"/>
          <w:noProof/>
        </w:rPr>
        <w:footnoteReference w:id="9"/>
      </w:r>
      <w:r w:rsidR="00291566" w:rsidRPr="0053463E">
        <w:rPr>
          <w:noProof/>
        </w:rPr>
        <w:t xml:space="preserve"> wird für Beförderungen verbrauchsteuerpflichtiger Waren, die im Gebiet eines Mitgliedstaats in den steuerrechtlich freien Verkehr überführt worden sind und zur Lieferung zu gewerblichen Zwecken in das Gebiet eines anderen Mitgliedstaats verbracht werden, ein vereinfachtes elektronisches Verwaltungsdokument übermittelt. Mit dieser Bestimmung wird die Verwendung des EDV-gestützten Systems zur Überwachung der Beförderung verbrauchsteuerpflichtiger Waren gemäß dem Beschluss (EU) </w:t>
      </w:r>
      <w:r w:rsidR="00291566" w:rsidRPr="00872714">
        <w:rPr>
          <w:noProof/>
        </w:rPr>
        <w:t>2020</w:t>
      </w:r>
      <w:r w:rsidR="00291566" w:rsidRPr="0053463E">
        <w:rPr>
          <w:noProof/>
        </w:rPr>
        <w:t>/</w:t>
      </w:r>
      <w:r w:rsidR="00291566" w:rsidRPr="00872714">
        <w:rPr>
          <w:noProof/>
        </w:rPr>
        <w:t>263</w:t>
      </w:r>
      <w:r w:rsidR="00291566" w:rsidRPr="0053463E">
        <w:rPr>
          <w:noProof/>
        </w:rPr>
        <w:t xml:space="preserve"> des Europäischen Parlaments und des Rates</w:t>
      </w:r>
      <w:r w:rsidR="00291566" w:rsidRPr="0053463E">
        <w:rPr>
          <w:rStyle w:val="FootnoteReference"/>
          <w:noProof/>
        </w:rPr>
        <w:footnoteReference w:id="10"/>
      </w:r>
      <w:r w:rsidR="00291566" w:rsidRPr="0053463E">
        <w:rPr>
          <w:noProof/>
        </w:rPr>
        <w:t xml:space="preserve">, das derzeit für die Überwachung der Beförderung verbrauchsteuerpflichtiger Waren unter Steueraussetzung verwendet wird, auf die Überwachung verbrauchsteuerpflichtiger Waren ausgeweitet, die im Hoheitsgebiet eines Mitgliedstaats in den steuerrechtlich freien Verkehr überführt worden sind und zur Lieferung zu gewerblichen Zwecken in das Hoheitsgebiet eines anderen Mitgliedstaats verbracht werden. Diese Ausweitung der Verwendung des EDV-gestützten System erfolgt ab dem </w:t>
      </w:r>
      <w:r w:rsidR="00291566" w:rsidRPr="00872714">
        <w:rPr>
          <w:noProof/>
        </w:rPr>
        <w:t>13</w:t>
      </w:r>
      <w:r w:rsidR="00291566" w:rsidRPr="0053463E">
        <w:rPr>
          <w:noProof/>
        </w:rPr>
        <w:t xml:space="preserve">. Februar </w:t>
      </w:r>
      <w:r w:rsidR="00291566" w:rsidRPr="00872714">
        <w:rPr>
          <w:noProof/>
        </w:rPr>
        <w:t>2023</w:t>
      </w:r>
      <w:r w:rsidR="00291566" w:rsidRPr="0053463E">
        <w:rPr>
          <w:noProof/>
        </w:rPr>
        <w:t xml:space="preserve">. </w:t>
      </w:r>
    </w:p>
    <w:p w:rsidR="005407CB" w:rsidRPr="0053463E" w:rsidRDefault="007A2098" w:rsidP="007A2098">
      <w:pPr>
        <w:pStyle w:val="ManualConsidrant"/>
        <w:rPr>
          <w:noProof/>
        </w:rPr>
      </w:pPr>
      <w:r w:rsidRPr="007A2098">
        <w:t>(2)</w:t>
      </w:r>
      <w:r w:rsidRPr="007A2098">
        <w:tab/>
      </w:r>
      <w:r w:rsidR="005407CB" w:rsidRPr="0053463E">
        <w:rPr>
          <w:noProof/>
        </w:rPr>
        <w:t>Um der Ausweitung der Verwendung des EDV-gestützten System Rechnung zu tragen, muss der Anwendungsbereich von Artikel </w:t>
      </w:r>
      <w:r w:rsidR="005407CB" w:rsidRPr="00872714">
        <w:rPr>
          <w:noProof/>
        </w:rPr>
        <w:t>15</w:t>
      </w:r>
      <w:r w:rsidR="005407CB" w:rsidRPr="0053463E">
        <w:rPr>
          <w:noProof/>
        </w:rPr>
        <w:t xml:space="preserve"> Absatz </w:t>
      </w:r>
      <w:r w:rsidR="005407CB" w:rsidRPr="00872714">
        <w:rPr>
          <w:noProof/>
        </w:rPr>
        <w:t>1</w:t>
      </w:r>
      <w:r w:rsidR="005407CB" w:rsidRPr="0053463E">
        <w:rPr>
          <w:noProof/>
        </w:rPr>
        <w:t xml:space="preserve"> Buchstabe d, Artikel </w:t>
      </w:r>
      <w:r w:rsidR="005407CB" w:rsidRPr="00872714">
        <w:rPr>
          <w:noProof/>
        </w:rPr>
        <w:t>19</w:t>
      </w:r>
      <w:r w:rsidR="005407CB" w:rsidRPr="0053463E">
        <w:rPr>
          <w:noProof/>
        </w:rPr>
        <w:t xml:space="preserve"> Absatz </w:t>
      </w:r>
      <w:r w:rsidR="005407CB" w:rsidRPr="00872714">
        <w:rPr>
          <w:noProof/>
        </w:rPr>
        <w:t>4</w:t>
      </w:r>
      <w:r w:rsidR="005407CB" w:rsidRPr="0053463E">
        <w:rPr>
          <w:noProof/>
        </w:rPr>
        <w:t xml:space="preserve"> Unterabsatz </w:t>
      </w:r>
      <w:r w:rsidR="005407CB" w:rsidRPr="00872714">
        <w:rPr>
          <w:noProof/>
        </w:rPr>
        <w:t>1</w:t>
      </w:r>
      <w:r w:rsidR="005407CB" w:rsidRPr="0053463E">
        <w:rPr>
          <w:noProof/>
        </w:rPr>
        <w:t xml:space="preserve"> und Artikel </w:t>
      </w:r>
      <w:r w:rsidR="005407CB" w:rsidRPr="00872714">
        <w:rPr>
          <w:noProof/>
        </w:rPr>
        <w:t>20</w:t>
      </w:r>
      <w:r w:rsidR="005407CB" w:rsidRPr="0053463E">
        <w:rPr>
          <w:noProof/>
        </w:rPr>
        <w:t xml:space="preserve"> Absatz </w:t>
      </w:r>
      <w:r w:rsidR="005407CB" w:rsidRPr="00872714">
        <w:rPr>
          <w:noProof/>
        </w:rPr>
        <w:t>1</w:t>
      </w:r>
      <w:r w:rsidR="005407CB" w:rsidRPr="0053463E">
        <w:rPr>
          <w:noProof/>
        </w:rPr>
        <w:t xml:space="preserve"> der Verordnung (EU) Nr. </w:t>
      </w:r>
      <w:r w:rsidR="005407CB" w:rsidRPr="00872714">
        <w:rPr>
          <w:noProof/>
        </w:rPr>
        <w:t>389</w:t>
      </w:r>
      <w:r w:rsidR="005407CB" w:rsidRPr="0053463E">
        <w:rPr>
          <w:noProof/>
        </w:rPr>
        <w:t>/</w:t>
      </w:r>
      <w:r w:rsidR="005407CB" w:rsidRPr="00872714">
        <w:rPr>
          <w:noProof/>
        </w:rPr>
        <w:t>2012</w:t>
      </w:r>
      <w:r w:rsidR="005407CB" w:rsidRPr="0053463E">
        <w:rPr>
          <w:noProof/>
        </w:rPr>
        <w:t xml:space="preserve"> auf alle betroffenen verbrauchsteuerpflichtigen Waren ausgeweitet werden, unabhängig davon, ob sie einer Steueraussetzung unterliegen.</w:t>
      </w:r>
    </w:p>
    <w:p w:rsidR="00670EBE" w:rsidRPr="0053463E" w:rsidRDefault="007A2098" w:rsidP="007A2098">
      <w:pPr>
        <w:pStyle w:val="ManualConsidrant"/>
        <w:rPr>
          <w:noProof/>
          <w:szCs w:val="24"/>
        </w:rPr>
      </w:pPr>
      <w:r w:rsidRPr="007A2098">
        <w:t>(3)</w:t>
      </w:r>
      <w:r w:rsidRPr="007A2098">
        <w:tab/>
      </w:r>
      <w:r w:rsidR="00822D97" w:rsidRPr="0053463E">
        <w:rPr>
          <w:noProof/>
        </w:rPr>
        <w:t>Gemäß Artikel </w:t>
      </w:r>
      <w:r w:rsidR="00822D97" w:rsidRPr="00872714">
        <w:rPr>
          <w:noProof/>
        </w:rPr>
        <w:t>19</w:t>
      </w:r>
      <w:r w:rsidR="00822D97" w:rsidRPr="0053463E">
        <w:rPr>
          <w:noProof/>
        </w:rPr>
        <w:t xml:space="preserve"> Absatz </w:t>
      </w:r>
      <w:r w:rsidR="00822D97" w:rsidRPr="00872714">
        <w:rPr>
          <w:noProof/>
        </w:rPr>
        <w:t>2</w:t>
      </w:r>
      <w:r w:rsidR="00822D97" w:rsidRPr="0053463E">
        <w:rPr>
          <w:noProof/>
        </w:rPr>
        <w:t xml:space="preserve"> Buchstabe c der Verordnung (EU) Nr. </w:t>
      </w:r>
      <w:r w:rsidR="00822D97" w:rsidRPr="00872714">
        <w:rPr>
          <w:noProof/>
        </w:rPr>
        <w:t>389</w:t>
      </w:r>
      <w:r w:rsidR="00822D97" w:rsidRPr="0053463E">
        <w:rPr>
          <w:noProof/>
        </w:rPr>
        <w:t>/</w:t>
      </w:r>
      <w:r w:rsidR="00822D97" w:rsidRPr="00872714">
        <w:rPr>
          <w:noProof/>
        </w:rPr>
        <w:t>2012</w:t>
      </w:r>
      <w:r w:rsidR="00822D97" w:rsidRPr="0053463E">
        <w:rPr>
          <w:noProof/>
        </w:rPr>
        <w:t xml:space="preserve"> sind die Mitgliedstaaten verpflichtet, in den elektronischen Verzeichnissen die Kategorie verbrauchsteuerpflichtiger Waren (CAT) und/oder den Verbrauchsteuer-Produktcode (EPC) der zugelassenen Produkte, der in Anhang II Codeliste </w:t>
      </w:r>
      <w:r w:rsidR="00822D97" w:rsidRPr="00872714">
        <w:rPr>
          <w:noProof/>
        </w:rPr>
        <w:t>11</w:t>
      </w:r>
      <w:r w:rsidR="00822D97" w:rsidRPr="0053463E">
        <w:rPr>
          <w:noProof/>
        </w:rPr>
        <w:t xml:space="preserve"> der Verordnung (EG) Nr. </w:t>
      </w:r>
      <w:r w:rsidR="00822D97" w:rsidRPr="00872714">
        <w:rPr>
          <w:noProof/>
        </w:rPr>
        <w:t>684</w:t>
      </w:r>
      <w:r w:rsidR="00822D97" w:rsidRPr="0053463E">
        <w:rPr>
          <w:noProof/>
        </w:rPr>
        <w:t>/</w:t>
      </w:r>
      <w:r w:rsidR="00822D97" w:rsidRPr="00872714">
        <w:rPr>
          <w:noProof/>
        </w:rPr>
        <w:t>2009</w:t>
      </w:r>
      <w:r w:rsidR="00822D97" w:rsidRPr="0053463E">
        <w:rPr>
          <w:noProof/>
        </w:rPr>
        <w:t xml:space="preserve"> der Kommission</w:t>
      </w:r>
      <w:r w:rsidR="00822D97" w:rsidRPr="0053463E">
        <w:rPr>
          <w:rStyle w:val="FootnoteReference"/>
          <w:noProof/>
        </w:rPr>
        <w:footnoteReference w:id="11"/>
      </w:r>
      <w:r w:rsidR="00822D97" w:rsidRPr="0053463E">
        <w:rPr>
          <w:noProof/>
        </w:rPr>
        <w:t xml:space="preserve"> aufgeführt ist, zu führen. Ab dem </w:t>
      </w:r>
      <w:r w:rsidR="00822D97" w:rsidRPr="00872714">
        <w:rPr>
          <w:noProof/>
        </w:rPr>
        <w:t>13</w:t>
      </w:r>
      <w:r w:rsidR="00822D97" w:rsidRPr="0053463E">
        <w:rPr>
          <w:noProof/>
        </w:rPr>
        <w:t xml:space="preserve">. Februar </w:t>
      </w:r>
      <w:r w:rsidR="00822D97" w:rsidRPr="00872714">
        <w:rPr>
          <w:noProof/>
        </w:rPr>
        <w:t>2023</w:t>
      </w:r>
      <w:r w:rsidR="00822D97" w:rsidRPr="0053463E">
        <w:rPr>
          <w:noProof/>
        </w:rPr>
        <w:t xml:space="preserve"> wird die Verordnung (EG) Nr. </w:t>
      </w:r>
      <w:r w:rsidR="00822D97" w:rsidRPr="00872714">
        <w:rPr>
          <w:noProof/>
        </w:rPr>
        <w:t>684</w:t>
      </w:r>
      <w:r w:rsidR="00822D97" w:rsidRPr="0053463E">
        <w:rPr>
          <w:noProof/>
        </w:rPr>
        <w:t>/</w:t>
      </w:r>
      <w:r w:rsidR="00822D97" w:rsidRPr="00872714">
        <w:rPr>
          <w:noProof/>
        </w:rPr>
        <w:t>2009</w:t>
      </w:r>
      <w:r w:rsidR="00822D97" w:rsidRPr="0053463E">
        <w:rPr>
          <w:noProof/>
        </w:rPr>
        <w:t xml:space="preserve"> der Kommission durch die Delegierte Verordnung (EU) .../... der Kommission [Amt für Veröffentlichungen: Bitte Veröffentlichungsnummer der in der Fußnote genannten Verordnung einfügen]</w:t>
      </w:r>
      <w:r w:rsidR="00822D97" w:rsidRPr="0053463E">
        <w:rPr>
          <w:rStyle w:val="FootnoteReference"/>
          <w:noProof/>
          <w:szCs w:val="24"/>
        </w:rPr>
        <w:footnoteReference w:id="12"/>
      </w:r>
      <w:r w:rsidR="00822D97" w:rsidRPr="0053463E">
        <w:rPr>
          <w:noProof/>
        </w:rPr>
        <w:t xml:space="preserve"> ersetzt. Aus Gründen der Klarheit sollte dieser Ersetzung auch in Artikel </w:t>
      </w:r>
      <w:r w:rsidR="00822D97" w:rsidRPr="00872714">
        <w:rPr>
          <w:noProof/>
        </w:rPr>
        <w:t>19</w:t>
      </w:r>
      <w:r w:rsidR="00822D97" w:rsidRPr="0053463E">
        <w:rPr>
          <w:noProof/>
        </w:rPr>
        <w:t xml:space="preserve"> Absatz </w:t>
      </w:r>
      <w:r w:rsidR="00822D97" w:rsidRPr="00872714">
        <w:rPr>
          <w:noProof/>
        </w:rPr>
        <w:t>2</w:t>
      </w:r>
      <w:r w:rsidR="00822D97" w:rsidRPr="0053463E">
        <w:rPr>
          <w:noProof/>
        </w:rPr>
        <w:t xml:space="preserve"> Buchstabe c der Verordnung (EU) Nr. </w:t>
      </w:r>
      <w:r w:rsidR="00822D97" w:rsidRPr="00872714">
        <w:rPr>
          <w:noProof/>
        </w:rPr>
        <w:t>389</w:t>
      </w:r>
      <w:r w:rsidR="00822D97" w:rsidRPr="0053463E">
        <w:rPr>
          <w:noProof/>
        </w:rPr>
        <w:t>/</w:t>
      </w:r>
      <w:r w:rsidR="00822D97" w:rsidRPr="00872714">
        <w:rPr>
          <w:noProof/>
        </w:rPr>
        <w:t>2012</w:t>
      </w:r>
      <w:r w:rsidR="00822D97" w:rsidRPr="0053463E">
        <w:rPr>
          <w:noProof/>
        </w:rPr>
        <w:t xml:space="preserve"> Rechnung getragen werden.</w:t>
      </w:r>
    </w:p>
    <w:p w:rsidR="00C03D96" w:rsidRPr="0053463E" w:rsidRDefault="007A2098" w:rsidP="007A2098">
      <w:pPr>
        <w:pStyle w:val="ManualConsidrant"/>
        <w:rPr>
          <w:noProof/>
        </w:rPr>
      </w:pPr>
      <w:r w:rsidRPr="007A2098">
        <w:t>(4)</w:t>
      </w:r>
      <w:r w:rsidRPr="007A2098">
        <w:tab/>
      </w:r>
      <w:r w:rsidR="00C03D96" w:rsidRPr="0053463E">
        <w:rPr>
          <w:noProof/>
        </w:rPr>
        <w:t>Da das Ziel dieser Verordnung, den Austausch der Angaben zu regeln, die jeder Mitgliedstaat in seinem elektronischen Verzeichnis über die Wirtschaftsbeteiligten hält, welche im Gebiet eines Mitgliedstaats in den steuerrechtlich freien Verkehr überführte Waren zur Lieferung zu gewerblichen Zwecken in einen anderen Mitgliedstaat verbringen, von den Mitgliedstaaten nicht ausreichend verwirklicht werden kann, sondern vielmehr wegen des Umfangs der Maßnahme – nämlich der Gewährleistung eines harmonisierten Funktionierens des EDV-gestützten Systems in allen Mitgliedstaaten – auf Unionsebene besser zu verwirklichen ist, kann die Union im Einklang mit dem in Artikel </w:t>
      </w:r>
      <w:r w:rsidR="00C03D96" w:rsidRPr="00872714">
        <w:rPr>
          <w:noProof/>
        </w:rPr>
        <w:t>5</w:t>
      </w:r>
      <w:r w:rsidR="00C03D96" w:rsidRPr="0053463E">
        <w:rPr>
          <w:noProof/>
        </w:rPr>
        <w:t xml:space="preserve"> des Vertrags über die Europäische Union verankerten Subsidiaritätsprinzip tätig werden. Entsprechend dem in demselben Artikel genannten Grundsatz der Verhältnismäßigkeit geht diese Verordnung nicht über das für die Erreichung dieses Ziels erforderliche Maß hinaus.</w:t>
      </w:r>
    </w:p>
    <w:p w:rsidR="00E45825" w:rsidRPr="0053463E" w:rsidRDefault="007A2098" w:rsidP="007A2098">
      <w:pPr>
        <w:pStyle w:val="ManualConsidrant"/>
        <w:rPr>
          <w:noProof/>
        </w:rPr>
      </w:pPr>
      <w:r w:rsidRPr="007A2098">
        <w:t>(5)</w:t>
      </w:r>
      <w:r w:rsidRPr="007A2098">
        <w:tab/>
      </w:r>
      <w:r w:rsidR="007A3DCE" w:rsidRPr="0053463E">
        <w:rPr>
          <w:noProof/>
        </w:rPr>
        <w:t>Diese Verordnung steht im Einklang mit den Grundrechten und Grundsätzen, die mit der Charta der Grundrechte der Europäischen Union anerkannt wurden, insbesondere mit dem Recht auf den Schutz personenbezogener Daten. Die Verarbeitung solcher Daten im Rahmen der Verordnung geht nicht über den zum Schutz der berechtigten steuerlichen Interessen der Mitgliedstaaten notwendigen und angemessenen Umfang hinaus.</w:t>
      </w:r>
    </w:p>
    <w:p w:rsidR="007A3DCE" w:rsidRPr="0053463E" w:rsidRDefault="007A2098" w:rsidP="007A2098">
      <w:pPr>
        <w:pStyle w:val="ManualConsidrant"/>
        <w:rPr>
          <w:noProof/>
        </w:rPr>
      </w:pPr>
      <w:r w:rsidRPr="007A2098">
        <w:t>(6)</w:t>
      </w:r>
      <w:r w:rsidRPr="007A2098">
        <w:tab/>
      </w:r>
      <w:r w:rsidR="007A3DCE" w:rsidRPr="0053463E">
        <w:rPr>
          <w:noProof/>
        </w:rPr>
        <w:t>Der Europäische Datenschutzbeauftragte wurde gemäß Artikel </w:t>
      </w:r>
      <w:r w:rsidR="007A3DCE" w:rsidRPr="00872714">
        <w:rPr>
          <w:noProof/>
        </w:rPr>
        <w:t>42</w:t>
      </w:r>
      <w:r w:rsidR="007A3DCE" w:rsidRPr="0053463E">
        <w:rPr>
          <w:noProof/>
        </w:rPr>
        <w:t xml:space="preserve"> Absatz </w:t>
      </w:r>
      <w:r w:rsidR="007A3DCE" w:rsidRPr="00872714">
        <w:rPr>
          <w:noProof/>
        </w:rPr>
        <w:t>1</w:t>
      </w:r>
      <w:r w:rsidR="007A3DCE" w:rsidRPr="0053463E">
        <w:rPr>
          <w:noProof/>
        </w:rPr>
        <w:t xml:space="preserve"> der Verordnung (EU) </w:t>
      </w:r>
      <w:r w:rsidR="007A3DCE" w:rsidRPr="00872714">
        <w:rPr>
          <w:noProof/>
        </w:rPr>
        <w:t>2018</w:t>
      </w:r>
      <w:r w:rsidR="007A3DCE" w:rsidRPr="0053463E">
        <w:rPr>
          <w:noProof/>
        </w:rPr>
        <w:t>/</w:t>
      </w:r>
      <w:r w:rsidR="007A3DCE" w:rsidRPr="00872714">
        <w:rPr>
          <w:noProof/>
        </w:rPr>
        <w:t>1725</w:t>
      </w:r>
      <w:r w:rsidR="007A3DCE" w:rsidRPr="0053463E">
        <w:rPr>
          <w:noProof/>
        </w:rPr>
        <w:t xml:space="preserve"> des Europäischen Parlaments und des Rates</w:t>
      </w:r>
      <w:r w:rsidR="007A3DCE" w:rsidRPr="0053463E">
        <w:rPr>
          <w:rStyle w:val="FootnoteReference"/>
          <w:noProof/>
        </w:rPr>
        <w:footnoteReference w:id="13"/>
      </w:r>
      <w:r w:rsidR="007A3DCE" w:rsidRPr="0053463E">
        <w:rPr>
          <w:noProof/>
        </w:rPr>
        <w:t xml:space="preserve"> angehört.</w:t>
      </w:r>
    </w:p>
    <w:p w:rsidR="007A3DCE" w:rsidRPr="0053463E" w:rsidRDefault="007A2098" w:rsidP="007A2098">
      <w:pPr>
        <w:pStyle w:val="ManualConsidrant"/>
        <w:rPr>
          <w:noProof/>
        </w:rPr>
      </w:pPr>
      <w:r w:rsidRPr="007A2098">
        <w:t>(7)</w:t>
      </w:r>
      <w:r w:rsidRPr="007A2098">
        <w:tab/>
      </w:r>
      <w:r w:rsidR="007A3DCE" w:rsidRPr="0053463E">
        <w:rPr>
          <w:noProof/>
        </w:rPr>
        <w:t>Um den Geltungsbeginn dieser Verordnung mit dem Geltungsbeginn von Kapitel V Abschnitt </w:t>
      </w:r>
      <w:r w:rsidR="007A3DCE" w:rsidRPr="00872714">
        <w:rPr>
          <w:noProof/>
        </w:rPr>
        <w:t>2</w:t>
      </w:r>
      <w:r w:rsidR="007A3DCE" w:rsidRPr="0053463E">
        <w:rPr>
          <w:noProof/>
        </w:rPr>
        <w:t xml:space="preserve"> der Richtlinie (EU) </w:t>
      </w:r>
      <w:r w:rsidR="007A3DCE" w:rsidRPr="00872714">
        <w:rPr>
          <w:noProof/>
        </w:rPr>
        <w:t>2020</w:t>
      </w:r>
      <w:r w:rsidR="007A3DCE" w:rsidRPr="0053463E">
        <w:rPr>
          <w:noProof/>
        </w:rPr>
        <w:t>/</w:t>
      </w:r>
      <w:r w:rsidR="007A3DCE" w:rsidRPr="00872714">
        <w:rPr>
          <w:noProof/>
        </w:rPr>
        <w:t>262</w:t>
      </w:r>
      <w:r w:rsidR="007A3DCE" w:rsidRPr="0053463E">
        <w:rPr>
          <w:noProof/>
        </w:rPr>
        <w:t xml:space="preserve"> in Einklang zu bringen und den Mitgliedstaaten ausreichend Zeit zu geben, sich auf die aus dieser Verordnung resultierenden Änderungen vorzubereiten, sollte diese Verordnung ab dem </w:t>
      </w:r>
      <w:r w:rsidR="007A3DCE" w:rsidRPr="00872714">
        <w:rPr>
          <w:noProof/>
        </w:rPr>
        <w:t>13</w:t>
      </w:r>
      <w:r w:rsidR="007A3DCE" w:rsidRPr="0053463E">
        <w:rPr>
          <w:noProof/>
        </w:rPr>
        <w:t xml:space="preserve">. Februar </w:t>
      </w:r>
      <w:r w:rsidR="007A3DCE" w:rsidRPr="00872714">
        <w:rPr>
          <w:noProof/>
        </w:rPr>
        <w:t>2023</w:t>
      </w:r>
      <w:r w:rsidR="007A3DCE" w:rsidRPr="0053463E">
        <w:rPr>
          <w:noProof/>
        </w:rPr>
        <w:t xml:space="preserve"> gelten.</w:t>
      </w:r>
    </w:p>
    <w:p w:rsidR="00D1794F" w:rsidRPr="0053463E" w:rsidRDefault="007A2098" w:rsidP="007A2098">
      <w:pPr>
        <w:pStyle w:val="ManualConsidrant"/>
        <w:rPr>
          <w:noProof/>
        </w:rPr>
      </w:pPr>
      <w:r w:rsidRPr="007A2098">
        <w:t>(8)</w:t>
      </w:r>
      <w:r w:rsidRPr="007A2098">
        <w:tab/>
      </w:r>
      <w:r w:rsidR="007A3DCE" w:rsidRPr="0053463E">
        <w:rPr>
          <w:noProof/>
        </w:rPr>
        <w:t>Die Verordnung (EU) Nr. </w:t>
      </w:r>
      <w:r w:rsidR="007A3DCE" w:rsidRPr="00872714">
        <w:rPr>
          <w:noProof/>
        </w:rPr>
        <w:t>389</w:t>
      </w:r>
      <w:r w:rsidR="007A3DCE" w:rsidRPr="0053463E">
        <w:rPr>
          <w:noProof/>
        </w:rPr>
        <w:t>/</w:t>
      </w:r>
      <w:r w:rsidR="007A3DCE" w:rsidRPr="00872714">
        <w:rPr>
          <w:noProof/>
        </w:rPr>
        <w:t>2012</w:t>
      </w:r>
      <w:r w:rsidR="007A3DCE" w:rsidRPr="0053463E">
        <w:rPr>
          <w:noProof/>
        </w:rPr>
        <w:t xml:space="preserve"> sollte daher entsprechend geändert werden —</w:t>
      </w:r>
    </w:p>
    <w:p w:rsidR="00BA4B1E" w:rsidRPr="0053463E" w:rsidRDefault="00D1794F" w:rsidP="00E5691A">
      <w:pPr>
        <w:pStyle w:val="Formuledadoption"/>
        <w:rPr>
          <w:noProof/>
        </w:rPr>
      </w:pPr>
      <w:r w:rsidRPr="0053463E">
        <w:rPr>
          <w:noProof/>
        </w:rPr>
        <w:t>HAT FOLGENDE VERORDNUNG ERLASSEN:</w:t>
      </w:r>
    </w:p>
    <w:p w:rsidR="00D1794F" w:rsidRPr="0053463E" w:rsidRDefault="00D1794F" w:rsidP="00750517">
      <w:pPr>
        <w:pStyle w:val="Titrearticle"/>
        <w:rPr>
          <w:noProof/>
        </w:rPr>
      </w:pPr>
      <w:r w:rsidRPr="0053463E">
        <w:rPr>
          <w:noProof/>
        </w:rPr>
        <w:t>Artikel </w:t>
      </w:r>
      <w:r w:rsidRPr="00872714">
        <w:rPr>
          <w:noProof/>
        </w:rPr>
        <w:t>1</w:t>
      </w:r>
    </w:p>
    <w:p w:rsidR="00886B0D" w:rsidRPr="0053463E" w:rsidRDefault="00886B0D" w:rsidP="00886B0D">
      <w:pPr>
        <w:jc w:val="center"/>
        <w:rPr>
          <w:b/>
          <w:noProof/>
        </w:rPr>
      </w:pPr>
      <w:r w:rsidRPr="0053463E">
        <w:rPr>
          <w:b/>
          <w:noProof/>
        </w:rPr>
        <w:t>Änderungen der Verordnung (EU) Nr. </w:t>
      </w:r>
      <w:r w:rsidRPr="00872714">
        <w:rPr>
          <w:b/>
          <w:noProof/>
        </w:rPr>
        <w:t>389</w:t>
      </w:r>
      <w:r w:rsidRPr="0053463E">
        <w:rPr>
          <w:b/>
          <w:noProof/>
        </w:rPr>
        <w:t>/</w:t>
      </w:r>
      <w:r w:rsidRPr="00872714">
        <w:rPr>
          <w:b/>
          <w:noProof/>
        </w:rPr>
        <w:t>2012</w:t>
      </w:r>
    </w:p>
    <w:p w:rsidR="00C82C19" w:rsidRPr="0053463E" w:rsidRDefault="00C82C19" w:rsidP="00B51717">
      <w:pPr>
        <w:rPr>
          <w:noProof/>
        </w:rPr>
      </w:pPr>
      <w:r w:rsidRPr="0053463E">
        <w:rPr>
          <w:noProof/>
        </w:rPr>
        <w:t>Die Verordnung (EU) Nr. </w:t>
      </w:r>
      <w:r w:rsidRPr="00872714">
        <w:rPr>
          <w:noProof/>
        </w:rPr>
        <w:t>389</w:t>
      </w:r>
      <w:r w:rsidRPr="0053463E">
        <w:rPr>
          <w:noProof/>
        </w:rPr>
        <w:t>/</w:t>
      </w:r>
      <w:r w:rsidRPr="00872714">
        <w:rPr>
          <w:noProof/>
        </w:rPr>
        <w:t>2012</w:t>
      </w:r>
      <w:r w:rsidRPr="0053463E">
        <w:rPr>
          <w:noProof/>
        </w:rPr>
        <w:t xml:space="preserve"> wird wie folgt geändert:</w:t>
      </w:r>
    </w:p>
    <w:p w:rsidR="00B51717" w:rsidRPr="0053463E" w:rsidRDefault="00872714" w:rsidP="00872714">
      <w:pPr>
        <w:pStyle w:val="Point0"/>
        <w:rPr>
          <w:noProof/>
        </w:rPr>
      </w:pPr>
      <w:r>
        <w:rPr>
          <w:noProof/>
        </w:rPr>
        <w:t>1.</w:t>
      </w:r>
      <w:r>
        <w:rPr>
          <w:noProof/>
        </w:rPr>
        <w:tab/>
      </w:r>
      <w:r w:rsidR="00FC20DF" w:rsidRPr="0053463E">
        <w:rPr>
          <w:noProof/>
        </w:rPr>
        <w:t>Artikel </w:t>
      </w:r>
      <w:r w:rsidR="00FC20DF" w:rsidRPr="00872714">
        <w:rPr>
          <w:noProof/>
        </w:rPr>
        <w:t>15</w:t>
      </w:r>
      <w:r w:rsidR="00FC20DF" w:rsidRPr="0053463E">
        <w:rPr>
          <w:noProof/>
        </w:rPr>
        <w:t xml:space="preserve"> Absatz </w:t>
      </w:r>
      <w:r w:rsidR="00FC20DF" w:rsidRPr="00872714">
        <w:rPr>
          <w:noProof/>
        </w:rPr>
        <w:t>1</w:t>
      </w:r>
      <w:r w:rsidR="00FC20DF" w:rsidRPr="0053463E">
        <w:rPr>
          <w:noProof/>
        </w:rPr>
        <w:t xml:space="preserve"> Buchstabe d erhält folgende Fassung:</w:t>
      </w:r>
    </w:p>
    <w:p w:rsidR="00B51717" w:rsidRPr="0053463E" w:rsidRDefault="00B51717" w:rsidP="00FC20DF">
      <w:pPr>
        <w:ind w:left="1134" w:hanging="567"/>
        <w:rPr>
          <w:noProof/>
        </w:rPr>
      </w:pPr>
      <w:r w:rsidRPr="0053463E">
        <w:rPr>
          <w:noProof/>
        </w:rPr>
        <w:t>„d)</w:t>
      </w:r>
      <w:r w:rsidRPr="0053463E">
        <w:rPr>
          <w:noProof/>
        </w:rPr>
        <w:tab/>
        <w:t>die vollständige Zerstörung oder der unwiederbringliche Verlust von verbrauchsteuerpflichtigen Waren eingetreten ist,“</w:t>
      </w:r>
    </w:p>
    <w:p w:rsidR="008A3F02" w:rsidRPr="0053463E" w:rsidRDefault="00872714" w:rsidP="00872714">
      <w:pPr>
        <w:pStyle w:val="Point0"/>
        <w:rPr>
          <w:noProof/>
        </w:rPr>
      </w:pPr>
      <w:r>
        <w:rPr>
          <w:noProof/>
        </w:rPr>
        <w:t>2.</w:t>
      </w:r>
      <w:r>
        <w:rPr>
          <w:noProof/>
        </w:rPr>
        <w:tab/>
      </w:r>
      <w:r w:rsidR="00B51717" w:rsidRPr="0053463E">
        <w:rPr>
          <w:noProof/>
        </w:rPr>
        <w:t>Artikel </w:t>
      </w:r>
      <w:r w:rsidR="00B51717" w:rsidRPr="00872714">
        <w:rPr>
          <w:noProof/>
        </w:rPr>
        <w:t>19</w:t>
      </w:r>
      <w:r w:rsidR="00B51717" w:rsidRPr="0053463E">
        <w:rPr>
          <w:noProof/>
        </w:rPr>
        <w:t xml:space="preserve"> wird wie folgt geändert:</w:t>
      </w:r>
    </w:p>
    <w:p w:rsidR="00B51717" w:rsidRPr="0053463E" w:rsidRDefault="00872714" w:rsidP="00872714">
      <w:pPr>
        <w:pStyle w:val="Point0"/>
        <w:rPr>
          <w:noProof/>
        </w:rPr>
      </w:pPr>
      <w:r>
        <w:rPr>
          <w:noProof/>
        </w:rPr>
        <w:t>a)</w:t>
      </w:r>
      <w:r>
        <w:rPr>
          <w:noProof/>
        </w:rPr>
        <w:tab/>
      </w:r>
      <w:r w:rsidR="008A3F02" w:rsidRPr="0053463E">
        <w:rPr>
          <w:noProof/>
        </w:rPr>
        <w:t>Absatz </w:t>
      </w:r>
      <w:r w:rsidR="008A3F02" w:rsidRPr="00872714">
        <w:rPr>
          <w:noProof/>
        </w:rPr>
        <w:t>2</w:t>
      </w:r>
      <w:r w:rsidR="008A3F02" w:rsidRPr="0053463E">
        <w:rPr>
          <w:noProof/>
        </w:rPr>
        <w:t xml:space="preserve"> Buchstabe c erhält folgende Fassung:</w:t>
      </w:r>
    </w:p>
    <w:p w:rsidR="00EA51BB" w:rsidRPr="0053463E" w:rsidRDefault="00B51717" w:rsidP="00337742">
      <w:pPr>
        <w:ind w:left="1440"/>
        <w:rPr>
          <w:noProof/>
        </w:rPr>
      </w:pPr>
      <w:r w:rsidRPr="0053463E">
        <w:rPr>
          <w:noProof/>
        </w:rPr>
        <w:t>„c)</w:t>
      </w:r>
      <w:r w:rsidRPr="0053463E">
        <w:rPr>
          <w:noProof/>
        </w:rPr>
        <w:tab/>
        <w:t>die Kategorie verbrauchsteuerpflichtiger Waren (CAT) und/oder den Verbrauchsteuer-Produktcode (EPC) der zugelassenen Produkte, der in Anhang II Codeliste </w:t>
      </w:r>
      <w:r w:rsidRPr="00872714">
        <w:rPr>
          <w:noProof/>
        </w:rPr>
        <w:t>10</w:t>
      </w:r>
      <w:r w:rsidRPr="0053463E">
        <w:rPr>
          <w:noProof/>
        </w:rPr>
        <w:t xml:space="preserve"> der Delegierten Verordnung (EU) .../... [Amt für Veröffentlichungen: Bitte Veröffentlichungsnummer einfügen]* aufgeführt ist;</w:t>
      </w:r>
    </w:p>
    <w:p w:rsidR="00613689" w:rsidRPr="0053463E" w:rsidRDefault="00EA51BB" w:rsidP="00337742">
      <w:pPr>
        <w:ind w:left="1134" w:firstLine="306"/>
        <w:rPr>
          <w:noProof/>
        </w:rPr>
      </w:pPr>
      <w:r w:rsidRPr="0053463E">
        <w:rPr>
          <w:noProof/>
        </w:rPr>
        <w:t>____________________________________________________________</w:t>
      </w:r>
    </w:p>
    <w:p w:rsidR="00B44D20" w:rsidRPr="0053463E" w:rsidRDefault="00EA51BB" w:rsidP="00337742">
      <w:pPr>
        <w:ind w:left="1701" w:hanging="261"/>
        <w:rPr>
          <w:noProof/>
          <w:sz w:val="20"/>
          <w:szCs w:val="20"/>
        </w:rPr>
      </w:pPr>
      <w:r w:rsidRPr="0053463E">
        <w:rPr>
          <w:noProof/>
          <w:sz w:val="20"/>
          <w:vertAlign w:val="superscript"/>
        </w:rPr>
        <w:t>*</w:t>
      </w:r>
      <w:r w:rsidRPr="0053463E">
        <w:rPr>
          <w:noProof/>
        </w:rPr>
        <w:tab/>
      </w:r>
      <w:r w:rsidRPr="0053463E">
        <w:rPr>
          <w:noProof/>
          <w:sz w:val="20"/>
        </w:rPr>
        <w:t xml:space="preserve">Delegierte Verordnung (EU) .../... der Kommission zur Ergänzung der Richtlinie (EU) </w:t>
      </w:r>
      <w:r w:rsidRPr="00872714">
        <w:rPr>
          <w:noProof/>
          <w:sz w:val="20"/>
        </w:rPr>
        <w:t>2020</w:t>
      </w:r>
      <w:r w:rsidRPr="0053463E">
        <w:rPr>
          <w:noProof/>
          <w:sz w:val="20"/>
        </w:rPr>
        <w:t>/</w:t>
      </w:r>
      <w:r w:rsidRPr="00872714">
        <w:rPr>
          <w:noProof/>
          <w:sz w:val="20"/>
        </w:rPr>
        <w:t>262</w:t>
      </w:r>
      <w:r w:rsidRPr="0053463E">
        <w:rPr>
          <w:noProof/>
          <w:sz w:val="20"/>
        </w:rPr>
        <w:t xml:space="preserve"> des Rates durch Festlegung von Struktur und Inhalt der im Zusammenhang mit der Beförderung verbrauchsteuerpflichtiger Waren ausgetauschten Dokumente und durch Festlegung von Schwellenwerten für Verluste aufgrund der Beschaffenheit der Waren (ABl. L ...) [Amt für Veröffentlichungen: Bitte Nummer und Amtsblattfundstelle einfügen].“</w:t>
      </w:r>
    </w:p>
    <w:p w:rsidR="00B51717" w:rsidRPr="0053463E" w:rsidRDefault="00872714" w:rsidP="00872714">
      <w:pPr>
        <w:pStyle w:val="Point0"/>
        <w:rPr>
          <w:noProof/>
        </w:rPr>
      </w:pPr>
      <w:r>
        <w:rPr>
          <w:noProof/>
        </w:rPr>
        <w:t>b)</w:t>
      </w:r>
      <w:r>
        <w:rPr>
          <w:noProof/>
        </w:rPr>
        <w:tab/>
      </w:r>
      <w:r w:rsidR="00FC20DF" w:rsidRPr="0053463E">
        <w:rPr>
          <w:noProof/>
        </w:rPr>
        <w:t>Absatz </w:t>
      </w:r>
      <w:r w:rsidR="00FC20DF" w:rsidRPr="00872714">
        <w:rPr>
          <w:noProof/>
        </w:rPr>
        <w:t>4</w:t>
      </w:r>
      <w:r w:rsidR="00FC20DF" w:rsidRPr="0053463E">
        <w:rPr>
          <w:noProof/>
        </w:rPr>
        <w:t xml:space="preserve"> Unterabsatz </w:t>
      </w:r>
      <w:r w:rsidR="00FC20DF" w:rsidRPr="00872714">
        <w:rPr>
          <w:noProof/>
        </w:rPr>
        <w:t>1</w:t>
      </w:r>
      <w:r w:rsidR="00FC20DF" w:rsidRPr="0053463E">
        <w:rPr>
          <w:noProof/>
        </w:rPr>
        <w:t xml:space="preserve"> erhält folgende Fassung:</w:t>
      </w:r>
    </w:p>
    <w:p w:rsidR="00B51717" w:rsidRPr="0053463E" w:rsidRDefault="00B51717" w:rsidP="00337742">
      <w:pPr>
        <w:ind w:left="1440"/>
        <w:rPr>
          <w:noProof/>
        </w:rPr>
      </w:pPr>
      <w:r w:rsidRPr="0053463E">
        <w:rPr>
          <w:noProof/>
        </w:rPr>
        <w:t>„Die in Absatz </w:t>
      </w:r>
      <w:r w:rsidRPr="00872714">
        <w:rPr>
          <w:noProof/>
        </w:rPr>
        <w:t>2</w:t>
      </w:r>
      <w:r w:rsidRPr="0053463E">
        <w:rPr>
          <w:noProof/>
        </w:rPr>
        <w:t xml:space="preserve"> dieses Artikels genannten, in den jeweiligen nationalen Verzeichnissen enthaltenen Angaben zu Wirtschaftsbeteiligten, die an Beförderungen verbrauchsteuerpflichtiger Waren gemäß Kapitel IV und Kapitel V Abschnitt </w:t>
      </w:r>
      <w:r w:rsidRPr="00872714">
        <w:rPr>
          <w:noProof/>
        </w:rPr>
        <w:t>2</w:t>
      </w:r>
      <w:r w:rsidRPr="0053463E">
        <w:rPr>
          <w:noProof/>
        </w:rPr>
        <w:t xml:space="preserve"> der Richtlinie (EU) </w:t>
      </w:r>
      <w:r w:rsidRPr="00872714">
        <w:rPr>
          <w:noProof/>
        </w:rPr>
        <w:t>2020</w:t>
      </w:r>
      <w:r w:rsidRPr="0053463E">
        <w:rPr>
          <w:noProof/>
        </w:rPr>
        <w:t>/</w:t>
      </w:r>
      <w:r w:rsidRPr="00872714">
        <w:rPr>
          <w:noProof/>
        </w:rPr>
        <w:t>262</w:t>
      </w:r>
      <w:r w:rsidRPr="0053463E">
        <w:rPr>
          <w:noProof/>
        </w:rPr>
        <w:t xml:space="preserve"> des Rates* beteiligt sind, werden automatisch über ein Zentralverzeichnis untereinander ausgetauscht.</w:t>
      </w:r>
    </w:p>
    <w:p w:rsidR="00581FC5" w:rsidRPr="0053463E" w:rsidRDefault="00581FC5" w:rsidP="0010730C">
      <w:pPr>
        <w:ind w:left="567"/>
        <w:rPr>
          <w:noProof/>
        </w:rPr>
      </w:pPr>
      <w:r w:rsidRPr="0053463E">
        <w:rPr>
          <w:noProof/>
        </w:rPr>
        <w:t>__________________________________________________________________</w:t>
      </w:r>
    </w:p>
    <w:p w:rsidR="00581FC5" w:rsidRPr="0053463E" w:rsidRDefault="005F37DF" w:rsidP="00FC20DF">
      <w:pPr>
        <w:ind w:left="1134" w:hanging="567"/>
        <w:rPr>
          <w:noProof/>
          <w:sz w:val="20"/>
          <w:szCs w:val="20"/>
        </w:rPr>
      </w:pPr>
      <w:r w:rsidRPr="0053463E">
        <w:rPr>
          <w:noProof/>
          <w:sz w:val="20"/>
        </w:rPr>
        <w:t>*</w:t>
      </w:r>
      <w:r w:rsidRPr="0053463E">
        <w:rPr>
          <w:noProof/>
        </w:rPr>
        <w:tab/>
      </w:r>
      <w:r w:rsidRPr="0053463E">
        <w:rPr>
          <w:noProof/>
          <w:sz w:val="20"/>
        </w:rPr>
        <w:t xml:space="preserve">Richtlinie (EU) </w:t>
      </w:r>
      <w:r w:rsidRPr="00872714">
        <w:rPr>
          <w:noProof/>
          <w:sz w:val="20"/>
        </w:rPr>
        <w:t>2020</w:t>
      </w:r>
      <w:r w:rsidRPr="0053463E">
        <w:rPr>
          <w:noProof/>
          <w:sz w:val="20"/>
        </w:rPr>
        <w:t>/</w:t>
      </w:r>
      <w:r w:rsidRPr="00872714">
        <w:rPr>
          <w:noProof/>
          <w:sz w:val="20"/>
        </w:rPr>
        <w:t>262</w:t>
      </w:r>
      <w:r w:rsidRPr="0053463E">
        <w:rPr>
          <w:noProof/>
          <w:sz w:val="20"/>
        </w:rPr>
        <w:t xml:space="preserve"> des Rates vom </w:t>
      </w:r>
      <w:r w:rsidRPr="00872714">
        <w:rPr>
          <w:noProof/>
          <w:sz w:val="20"/>
        </w:rPr>
        <w:t>19</w:t>
      </w:r>
      <w:r w:rsidRPr="0053463E">
        <w:rPr>
          <w:noProof/>
          <w:sz w:val="20"/>
        </w:rPr>
        <w:t xml:space="preserve">. Dezember </w:t>
      </w:r>
      <w:r w:rsidRPr="00872714">
        <w:rPr>
          <w:noProof/>
          <w:sz w:val="20"/>
        </w:rPr>
        <w:t>2019</w:t>
      </w:r>
      <w:r w:rsidRPr="0053463E">
        <w:rPr>
          <w:noProof/>
          <w:sz w:val="20"/>
        </w:rPr>
        <w:t xml:space="preserve"> zur Festlegung des allgemeinen Verbrauchsteuersystems (ABl. L </w:t>
      </w:r>
      <w:r w:rsidRPr="00872714">
        <w:rPr>
          <w:noProof/>
          <w:sz w:val="20"/>
        </w:rPr>
        <w:t>58</w:t>
      </w:r>
      <w:r w:rsidRPr="0053463E">
        <w:rPr>
          <w:noProof/>
          <w:sz w:val="20"/>
        </w:rPr>
        <w:t xml:space="preserve"> vom </w:t>
      </w:r>
      <w:r w:rsidRPr="00872714">
        <w:rPr>
          <w:noProof/>
          <w:sz w:val="20"/>
        </w:rPr>
        <w:t>27</w:t>
      </w:r>
      <w:r w:rsidRPr="0053463E">
        <w:rPr>
          <w:noProof/>
          <w:sz w:val="20"/>
        </w:rPr>
        <w:t>.</w:t>
      </w:r>
      <w:r w:rsidRPr="00872714">
        <w:rPr>
          <w:noProof/>
          <w:sz w:val="20"/>
        </w:rPr>
        <w:t>2</w:t>
      </w:r>
      <w:r w:rsidRPr="0053463E">
        <w:rPr>
          <w:noProof/>
          <w:sz w:val="20"/>
        </w:rPr>
        <w:t>.</w:t>
      </w:r>
      <w:r w:rsidRPr="00872714">
        <w:rPr>
          <w:noProof/>
          <w:sz w:val="20"/>
        </w:rPr>
        <w:t>2020</w:t>
      </w:r>
      <w:r w:rsidRPr="0053463E">
        <w:rPr>
          <w:noProof/>
          <w:sz w:val="20"/>
        </w:rPr>
        <w:t>, S. </w:t>
      </w:r>
      <w:r w:rsidRPr="00872714">
        <w:rPr>
          <w:noProof/>
          <w:sz w:val="20"/>
        </w:rPr>
        <w:t>4</w:t>
      </w:r>
      <w:r w:rsidRPr="0053463E">
        <w:rPr>
          <w:noProof/>
          <w:sz w:val="20"/>
        </w:rPr>
        <w:t>).“</w:t>
      </w:r>
    </w:p>
    <w:p w:rsidR="00D1794F" w:rsidRPr="0053463E" w:rsidRDefault="00872714" w:rsidP="00872714">
      <w:pPr>
        <w:pStyle w:val="Point0"/>
        <w:rPr>
          <w:noProof/>
        </w:rPr>
      </w:pPr>
      <w:r>
        <w:rPr>
          <w:noProof/>
        </w:rPr>
        <w:t>3.</w:t>
      </w:r>
      <w:r>
        <w:rPr>
          <w:noProof/>
        </w:rPr>
        <w:tab/>
      </w:r>
      <w:r w:rsidR="00FC20DF" w:rsidRPr="0053463E">
        <w:rPr>
          <w:noProof/>
        </w:rPr>
        <w:t>Artikel </w:t>
      </w:r>
      <w:r w:rsidR="00FC20DF" w:rsidRPr="00872714">
        <w:rPr>
          <w:noProof/>
        </w:rPr>
        <w:t>20</w:t>
      </w:r>
      <w:r w:rsidR="00FC20DF" w:rsidRPr="0053463E">
        <w:rPr>
          <w:noProof/>
        </w:rPr>
        <w:t xml:space="preserve"> Absatz </w:t>
      </w:r>
      <w:r w:rsidR="00FC20DF" w:rsidRPr="00872714">
        <w:rPr>
          <w:noProof/>
        </w:rPr>
        <w:t>1</w:t>
      </w:r>
      <w:r w:rsidR="00FC20DF" w:rsidRPr="0053463E">
        <w:rPr>
          <w:noProof/>
        </w:rPr>
        <w:t xml:space="preserve"> Satz </w:t>
      </w:r>
      <w:r w:rsidR="00FC20DF" w:rsidRPr="00872714">
        <w:rPr>
          <w:noProof/>
        </w:rPr>
        <w:t>1</w:t>
      </w:r>
      <w:r w:rsidR="00FC20DF" w:rsidRPr="0053463E">
        <w:rPr>
          <w:noProof/>
        </w:rPr>
        <w:t xml:space="preserve"> erhält folgende Fassung:</w:t>
      </w:r>
    </w:p>
    <w:p w:rsidR="00B51717" w:rsidRPr="0053463E" w:rsidRDefault="00B51717" w:rsidP="00FC20DF">
      <w:pPr>
        <w:tabs>
          <w:tab w:val="left" w:pos="1134"/>
        </w:tabs>
        <w:ind w:left="567"/>
        <w:rPr>
          <w:noProof/>
        </w:rPr>
      </w:pPr>
      <w:r w:rsidRPr="0053463E">
        <w:rPr>
          <w:noProof/>
        </w:rPr>
        <w:t>„Die Kommission stellt sicher, dass sich Personen, die an der Beförderung verbrauchsteuerpflichtiger Waren gemäß Kapitel IV und Kapitel V Abschnitt </w:t>
      </w:r>
      <w:r w:rsidRPr="00872714">
        <w:rPr>
          <w:noProof/>
        </w:rPr>
        <w:t>2</w:t>
      </w:r>
      <w:r w:rsidRPr="0053463E">
        <w:rPr>
          <w:noProof/>
        </w:rPr>
        <w:t xml:space="preserve"> der Richtlinie (EU) </w:t>
      </w:r>
      <w:r w:rsidRPr="00872714">
        <w:rPr>
          <w:noProof/>
        </w:rPr>
        <w:t>2020</w:t>
      </w:r>
      <w:r w:rsidRPr="0053463E">
        <w:rPr>
          <w:noProof/>
        </w:rPr>
        <w:t>/</w:t>
      </w:r>
      <w:r w:rsidRPr="00872714">
        <w:rPr>
          <w:noProof/>
        </w:rPr>
        <w:t>262</w:t>
      </w:r>
      <w:r w:rsidRPr="0053463E">
        <w:rPr>
          <w:noProof/>
        </w:rPr>
        <w:t xml:space="preserve"> des Rates beteiligt sind, die Gültigkeit der Verbrauchsteuernummern, die in dem in Artikel </w:t>
      </w:r>
      <w:r w:rsidRPr="00872714">
        <w:rPr>
          <w:noProof/>
        </w:rPr>
        <w:t>19</w:t>
      </w:r>
      <w:r w:rsidRPr="0053463E">
        <w:rPr>
          <w:noProof/>
        </w:rPr>
        <w:t xml:space="preserve"> Absatz </w:t>
      </w:r>
      <w:r w:rsidRPr="00872714">
        <w:rPr>
          <w:noProof/>
        </w:rPr>
        <w:t>4</w:t>
      </w:r>
      <w:r w:rsidRPr="0053463E">
        <w:rPr>
          <w:noProof/>
        </w:rPr>
        <w:t xml:space="preserve"> dieser Verordnung genannten Zentralverzeichnis gespeichert sind, auf elektronischem Weg bestätigen lassen können.“</w:t>
      </w:r>
    </w:p>
    <w:p w:rsidR="00D1794F" w:rsidRPr="0053463E" w:rsidRDefault="00D1794F" w:rsidP="00750517">
      <w:pPr>
        <w:pStyle w:val="Titrearticle"/>
        <w:rPr>
          <w:noProof/>
        </w:rPr>
      </w:pPr>
      <w:r w:rsidRPr="0053463E">
        <w:rPr>
          <w:noProof/>
        </w:rPr>
        <w:t>Artikel </w:t>
      </w:r>
      <w:r w:rsidRPr="00872714">
        <w:rPr>
          <w:noProof/>
        </w:rPr>
        <w:t>2</w:t>
      </w:r>
    </w:p>
    <w:p w:rsidR="00886B0D" w:rsidRPr="0053463E" w:rsidRDefault="00886B0D" w:rsidP="00886B0D">
      <w:pPr>
        <w:jc w:val="center"/>
        <w:rPr>
          <w:b/>
          <w:noProof/>
        </w:rPr>
      </w:pPr>
      <w:r w:rsidRPr="0053463E">
        <w:rPr>
          <w:b/>
          <w:noProof/>
        </w:rPr>
        <w:t>Inkrafttreten</w:t>
      </w:r>
    </w:p>
    <w:p w:rsidR="00D1794F" w:rsidRPr="0053463E" w:rsidRDefault="00D1794F" w:rsidP="00750517">
      <w:pPr>
        <w:rPr>
          <w:noProof/>
        </w:rPr>
      </w:pPr>
      <w:r w:rsidRPr="0053463E">
        <w:rPr>
          <w:noProof/>
        </w:rPr>
        <w:t xml:space="preserve">Diese Verordnung tritt am zwanzigsten Tag nach ihrer Veröffentlichung im </w:t>
      </w:r>
      <w:r w:rsidRPr="0053463E">
        <w:rPr>
          <w:i/>
          <w:iCs/>
          <w:noProof/>
        </w:rPr>
        <w:t>Amtsblatt der Europäischen Union</w:t>
      </w:r>
      <w:r w:rsidRPr="0053463E">
        <w:rPr>
          <w:noProof/>
        </w:rPr>
        <w:t xml:space="preserve"> in Kraft.</w:t>
      </w:r>
    </w:p>
    <w:p w:rsidR="001C15BD" w:rsidRPr="0053463E" w:rsidRDefault="001C15BD" w:rsidP="00750517">
      <w:pPr>
        <w:rPr>
          <w:noProof/>
        </w:rPr>
      </w:pPr>
      <w:r w:rsidRPr="0053463E">
        <w:rPr>
          <w:noProof/>
        </w:rPr>
        <w:t xml:space="preserve">Sie gilt ab dem </w:t>
      </w:r>
      <w:r w:rsidRPr="00872714">
        <w:rPr>
          <w:noProof/>
        </w:rPr>
        <w:t>13</w:t>
      </w:r>
      <w:r w:rsidRPr="0053463E">
        <w:rPr>
          <w:noProof/>
        </w:rPr>
        <w:t xml:space="preserve">. Februar </w:t>
      </w:r>
      <w:r w:rsidRPr="00872714">
        <w:rPr>
          <w:noProof/>
        </w:rPr>
        <w:t>2023</w:t>
      </w:r>
      <w:r w:rsidRPr="0053463E">
        <w:rPr>
          <w:noProof/>
        </w:rPr>
        <w:t>.</w:t>
      </w:r>
    </w:p>
    <w:p w:rsidR="00D1794F" w:rsidRPr="0053463E" w:rsidRDefault="00D1794F" w:rsidP="00A12901">
      <w:pPr>
        <w:pStyle w:val="Applicationdirecte"/>
        <w:rPr>
          <w:noProof/>
        </w:rPr>
      </w:pPr>
      <w:r w:rsidRPr="0053463E">
        <w:rPr>
          <w:noProof/>
        </w:rPr>
        <w:t>Diese Verordnung ist in allen ihren Teilen verbindlich und gilt unmittelbar in jedem Mitgliedstaat.</w:t>
      </w:r>
    </w:p>
    <w:p w:rsidR="00D1794F" w:rsidRPr="0053463E" w:rsidRDefault="00EC53D0" w:rsidP="00047152">
      <w:pPr>
        <w:pStyle w:val="Fait"/>
        <w:rPr>
          <w:noProof/>
        </w:rPr>
      </w:pPr>
      <w:r w:rsidRPr="00EC53D0">
        <w:t xml:space="preserve">Geschehen zu Brüssel am </w:t>
      </w:r>
      <w:r w:rsidRPr="00EC53D0">
        <w:rPr>
          <w:rStyle w:val="Marker"/>
        </w:rPr>
        <w:t>[…]</w:t>
      </w:r>
    </w:p>
    <w:p w:rsidR="00D1794F" w:rsidRPr="0053463E" w:rsidRDefault="00D1794F" w:rsidP="00047152">
      <w:pPr>
        <w:pStyle w:val="Institutionquisigne"/>
        <w:rPr>
          <w:noProof/>
        </w:rPr>
      </w:pPr>
      <w:r w:rsidRPr="0053463E">
        <w:rPr>
          <w:noProof/>
        </w:rPr>
        <w:tab/>
        <w:t>Im Namen des Rates</w:t>
      </w:r>
    </w:p>
    <w:p w:rsidR="00D1794F" w:rsidRPr="0053463E" w:rsidRDefault="00D1794F" w:rsidP="00D1794F">
      <w:pPr>
        <w:pStyle w:val="Personnequisigne"/>
        <w:rPr>
          <w:noProof/>
        </w:rPr>
      </w:pPr>
      <w:r w:rsidRPr="0053463E">
        <w:rPr>
          <w:noProof/>
        </w:rPr>
        <w:tab/>
        <w:t>Der Präsident</w:t>
      </w:r>
    </w:p>
    <w:sectPr w:rsidR="00D1794F" w:rsidRPr="0053463E" w:rsidSect="002B2763">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78F" w:rsidRDefault="00F7678F" w:rsidP="00D1794F">
      <w:pPr>
        <w:spacing w:before="0" w:after="0"/>
      </w:pPr>
      <w:r>
        <w:separator/>
      </w:r>
    </w:p>
  </w:endnote>
  <w:endnote w:type="continuationSeparator" w:id="0">
    <w:p w:rsidR="00F7678F" w:rsidRDefault="00F7678F" w:rsidP="00D179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63E" w:rsidRPr="002B2763" w:rsidRDefault="002B2763" w:rsidP="002B2763">
    <w:pPr>
      <w:pStyle w:val="Footer"/>
      <w:rPr>
        <w:rFonts w:ascii="Arial" w:hAnsi="Arial" w:cs="Arial"/>
        <w:b/>
        <w:sz w:val="48"/>
      </w:rPr>
    </w:pPr>
    <w:r w:rsidRPr="002B2763">
      <w:rPr>
        <w:rFonts w:ascii="Arial" w:hAnsi="Arial" w:cs="Arial"/>
        <w:b/>
        <w:sz w:val="48"/>
      </w:rPr>
      <w:t>DE</w:t>
    </w:r>
    <w:r w:rsidRPr="002B2763">
      <w:rPr>
        <w:rFonts w:ascii="Arial" w:hAnsi="Arial" w:cs="Arial"/>
        <w:b/>
        <w:sz w:val="48"/>
      </w:rPr>
      <w:tab/>
    </w:r>
    <w:r w:rsidRPr="002B2763">
      <w:rPr>
        <w:rFonts w:ascii="Arial" w:hAnsi="Arial" w:cs="Arial"/>
        <w:b/>
        <w:sz w:val="48"/>
      </w:rPr>
      <w:tab/>
    </w:r>
    <w:r w:rsidRPr="002B2763">
      <w:tab/>
    </w:r>
    <w:r w:rsidRPr="002B2763">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763" w:rsidRPr="002B2763" w:rsidRDefault="002B2763" w:rsidP="002B2763">
    <w:pPr>
      <w:pStyle w:val="Footer"/>
      <w:rPr>
        <w:rFonts w:ascii="Arial" w:hAnsi="Arial" w:cs="Arial"/>
        <w:b/>
        <w:sz w:val="48"/>
      </w:rPr>
    </w:pPr>
    <w:r w:rsidRPr="002B2763">
      <w:rPr>
        <w:rFonts w:ascii="Arial" w:hAnsi="Arial" w:cs="Arial"/>
        <w:b/>
        <w:sz w:val="48"/>
      </w:rPr>
      <w:t>DE</w:t>
    </w:r>
    <w:r w:rsidRPr="002B2763">
      <w:rPr>
        <w:rFonts w:ascii="Arial" w:hAnsi="Arial" w:cs="Arial"/>
        <w:b/>
        <w:sz w:val="48"/>
      </w:rPr>
      <w:tab/>
    </w:r>
    <w:r>
      <w:fldChar w:fldCharType="begin"/>
    </w:r>
    <w:r>
      <w:instrText xml:space="preserve"> PAGE  \* MERGEFORMAT </w:instrText>
    </w:r>
    <w:r>
      <w:fldChar w:fldCharType="separate"/>
    </w:r>
    <w:r w:rsidR="00047152">
      <w:rPr>
        <w:noProof/>
      </w:rPr>
      <w:t>9</w:t>
    </w:r>
    <w:r>
      <w:fldChar w:fldCharType="end"/>
    </w:r>
    <w:r>
      <w:tab/>
    </w:r>
    <w:r w:rsidRPr="002B2763">
      <w:tab/>
    </w:r>
    <w:r w:rsidRPr="002B2763">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763" w:rsidRPr="002B2763" w:rsidRDefault="002B2763" w:rsidP="002B2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78F" w:rsidRDefault="00F7678F" w:rsidP="00D1794F">
      <w:pPr>
        <w:spacing w:before="0" w:after="0"/>
      </w:pPr>
      <w:r>
        <w:separator/>
      </w:r>
    </w:p>
  </w:footnote>
  <w:footnote w:type="continuationSeparator" w:id="0">
    <w:p w:rsidR="00F7678F" w:rsidRDefault="00F7678F" w:rsidP="00D1794F">
      <w:pPr>
        <w:spacing w:before="0" w:after="0"/>
      </w:pPr>
      <w:r>
        <w:continuationSeparator/>
      </w:r>
    </w:p>
  </w:footnote>
  <w:footnote w:id="1">
    <w:p w:rsidR="0052794C" w:rsidRPr="008B127C" w:rsidRDefault="0052794C">
      <w:pPr>
        <w:pStyle w:val="FootnoteText"/>
      </w:pPr>
      <w:r>
        <w:rPr>
          <w:rStyle w:val="FootnoteReference"/>
        </w:rPr>
        <w:footnoteRef/>
      </w:r>
      <w:r w:rsidRPr="008B127C">
        <w:tab/>
        <w:t xml:space="preserve">Beschluss (EU) </w:t>
      </w:r>
      <w:r w:rsidRPr="00872714">
        <w:t>2020</w:t>
      </w:r>
      <w:r w:rsidRPr="008B127C">
        <w:t>/</w:t>
      </w:r>
      <w:r w:rsidRPr="00872714">
        <w:t>263</w:t>
      </w:r>
      <w:r w:rsidRPr="008B127C">
        <w:t xml:space="preserve"> des Europäischen Parlaments und des Rates vom </w:t>
      </w:r>
      <w:r w:rsidRPr="00872714">
        <w:t>15</w:t>
      </w:r>
      <w:r w:rsidRPr="008B127C">
        <w:t xml:space="preserve">. Januar </w:t>
      </w:r>
      <w:r w:rsidRPr="00872714">
        <w:t>2020</w:t>
      </w:r>
      <w:r w:rsidRPr="008B127C">
        <w:t xml:space="preserve"> über die Einführung eines EDV-gestützten Systems zur Beförderung und Kontrolle der Beförderung verbrauchsteuerpflichtiger Waren (ABl. L </w:t>
      </w:r>
      <w:r w:rsidRPr="00872714">
        <w:t>58</w:t>
      </w:r>
      <w:r w:rsidRPr="008B127C">
        <w:t xml:space="preserve"> vom </w:t>
      </w:r>
      <w:r w:rsidRPr="00872714">
        <w:t>27</w:t>
      </w:r>
      <w:r w:rsidRPr="008B127C">
        <w:t>.</w:t>
      </w:r>
      <w:r w:rsidRPr="00872714">
        <w:t>2</w:t>
      </w:r>
      <w:r w:rsidRPr="008B127C">
        <w:t>.</w:t>
      </w:r>
      <w:r w:rsidRPr="00872714">
        <w:t>2020</w:t>
      </w:r>
      <w:r w:rsidRPr="008B127C">
        <w:t>, S. </w:t>
      </w:r>
      <w:r w:rsidRPr="00872714">
        <w:t>43</w:t>
      </w:r>
      <w:r w:rsidRPr="008B127C">
        <w:t>).</w:t>
      </w:r>
    </w:p>
  </w:footnote>
  <w:footnote w:id="2">
    <w:p w:rsidR="0052794C" w:rsidRPr="008B127C" w:rsidRDefault="0052794C">
      <w:pPr>
        <w:pStyle w:val="FootnoteText"/>
      </w:pPr>
      <w:r>
        <w:rPr>
          <w:rStyle w:val="FootnoteReference"/>
        </w:rPr>
        <w:footnoteRef/>
      </w:r>
      <w:r w:rsidRPr="008B127C">
        <w:tab/>
        <w:t>Richtlinie </w:t>
      </w:r>
      <w:r w:rsidRPr="00872714">
        <w:t>2008</w:t>
      </w:r>
      <w:r w:rsidRPr="008B127C">
        <w:t>/</w:t>
      </w:r>
      <w:r w:rsidRPr="00872714">
        <w:t>118</w:t>
      </w:r>
      <w:r w:rsidRPr="008B127C">
        <w:t xml:space="preserve">/EG des Rates vom </w:t>
      </w:r>
      <w:r w:rsidRPr="00872714">
        <w:t>16</w:t>
      </w:r>
      <w:r w:rsidRPr="008B127C">
        <w:t xml:space="preserve">. Dezember </w:t>
      </w:r>
      <w:r w:rsidRPr="00872714">
        <w:t>2008</w:t>
      </w:r>
      <w:r w:rsidRPr="008B127C">
        <w:t xml:space="preserve"> über das allgemeine Verbrauchsteuersystem und zur Aufhebung der Richtlinie </w:t>
      </w:r>
      <w:r w:rsidRPr="00872714">
        <w:t>92</w:t>
      </w:r>
      <w:r w:rsidRPr="008B127C">
        <w:t>/</w:t>
      </w:r>
      <w:r w:rsidRPr="00872714">
        <w:t>12</w:t>
      </w:r>
      <w:r w:rsidRPr="008B127C">
        <w:t>/EWG (ABl. L </w:t>
      </w:r>
      <w:r w:rsidRPr="00872714">
        <w:t>9</w:t>
      </w:r>
      <w:r w:rsidRPr="008B127C">
        <w:t xml:space="preserve"> vom </w:t>
      </w:r>
      <w:r w:rsidRPr="00872714">
        <w:t>14</w:t>
      </w:r>
      <w:r w:rsidRPr="008B127C">
        <w:t>.</w:t>
      </w:r>
      <w:r w:rsidRPr="00872714">
        <w:t>1</w:t>
      </w:r>
      <w:r w:rsidRPr="008B127C">
        <w:t>.</w:t>
      </w:r>
      <w:r w:rsidRPr="00872714">
        <w:t>2009</w:t>
      </w:r>
      <w:r w:rsidRPr="008B127C">
        <w:t>, S. </w:t>
      </w:r>
      <w:r w:rsidRPr="00872714">
        <w:t>12</w:t>
      </w:r>
      <w:r w:rsidRPr="008B127C">
        <w:t>).</w:t>
      </w:r>
    </w:p>
  </w:footnote>
  <w:footnote w:id="3">
    <w:p w:rsidR="0052794C" w:rsidRPr="008B127C" w:rsidRDefault="0052794C">
      <w:pPr>
        <w:pStyle w:val="FootnoteText"/>
      </w:pPr>
      <w:r>
        <w:rPr>
          <w:rStyle w:val="FootnoteReference"/>
        </w:rPr>
        <w:footnoteRef/>
      </w:r>
      <w:r w:rsidRPr="008B127C">
        <w:tab/>
        <w:t xml:space="preserve">Richtlinie (EU) </w:t>
      </w:r>
      <w:r w:rsidRPr="00872714">
        <w:t>2020</w:t>
      </w:r>
      <w:r w:rsidRPr="008B127C">
        <w:t>/</w:t>
      </w:r>
      <w:r w:rsidRPr="00872714">
        <w:t>262</w:t>
      </w:r>
      <w:r w:rsidRPr="008B127C">
        <w:t xml:space="preserve"> des Rates vom </w:t>
      </w:r>
      <w:r w:rsidRPr="00872714">
        <w:t>19</w:t>
      </w:r>
      <w:r w:rsidRPr="008B127C">
        <w:t xml:space="preserve">. Dezember </w:t>
      </w:r>
      <w:r w:rsidRPr="00872714">
        <w:t>2019</w:t>
      </w:r>
      <w:r w:rsidRPr="008B127C">
        <w:t xml:space="preserve"> zur Festlegung des allgemeinen Verbrauchsteuersystems (ABl. L </w:t>
      </w:r>
      <w:r w:rsidRPr="00872714">
        <w:t>58</w:t>
      </w:r>
      <w:r w:rsidRPr="008B127C">
        <w:t xml:space="preserve"> vom </w:t>
      </w:r>
      <w:r w:rsidRPr="00872714">
        <w:t>27</w:t>
      </w:r>
      <w:r w:rsidRPr="008B127C">
        <w:t>.</w:t>
      </w:r>
      <w:r w:rsidRPr="00872714">
        <w:t>2</w:t>
      </w:r>
      <w:r w:rsidRPr="008B127C">
        <w:t>.</w:t>
      </w:r>
      <w:r w:rsidRPr="00872714">
        <w:t>2020</w:t>
      </w:r>
      <w:r w:rsidRPr="008B127C">
        <w:t>, S. </w:t>
      </w:r>
      <w:r w:rsidRPr="00872714">
        <w:t>4</w:t>
      </w:r>
      <w:r w:rsidRPr="008B127C">
        <w:t>).</w:t>
      </w:r>
    </w:p>
  </w:footnote>
  <w:footnote w:id="4">
    <w:p w:rsidR="00D506D1" w:rsidRPr="008B127C" w:rsidRDefault="00D506D1">
      <w:pPr>
        <w:pStyle w:val="FootnoteText"/>
      </w:pPr>
      <w:r>
        <w:rPr>
          <w:rStyle w:val="FootnoteReference"/>
        </w:rPr>
        <w:footnoteRef/>
      </w:r>
      <w:r w:rsidRPr="008B127C">
        <w:tab/>
        <w:t>Verordnung (EU) Nr. </w:t>
      </w:r>
      <w:r w:rsidRPr="00872714">
        <w:t>389</w:t>
      </w:r>
      <w:r w:rsidRPr="008B127C">
        <w:t>/</w:t>
      </w:r>
      <w:r w:rsidRPr="00872714">
        <w:t>2012</w:t>
      </w:r>
      <w:r w:rsidRPr="008B127C">
        <w:t xml:space="preserve"> des Rates vom </w:t>
      </w:r>
      <w:r w:rsidRPr="00872714">
        <w:t>2</w:t>
      </w:r>
      <w:r w:rsidRPr="008B127C">
        <w:t xml:space="preserve">. Mai </w:t>
      </w:r>
      <w:r w:rsidRPr="00872714">
        <w:t>2012</w:t>
      </w:r>
      <w:r w:rsidRPr="008B127C">
        <w:t xml:space="preserve"> über die Zusammenarbeit der Verwaltungsbehörden auf dem Gebiet der Verbrauchsteuern und zur Aufhebung von Verordnung (EG) Nr. </w:t>
      </w:r>
      <w:r w:rsidRPr="00872714">
        <w:t>2073</w:t>
      </w:r>
      <w:r w:rsidRPr="008B127C">
        <w:t>/</w:t>
      </w:r>
      <w:r w:rsidRPr="00872714">
        <w:t>2004</w:t>
      </w:r>
      <w:r w:rsidRPr="008B127C">
        <w:t xml:space="preserve"> (ABl. L </w:t>
      </w:r>
      <w:r w:rsidRPr="00872714">
        <w:t>121</w:t>
      </w:r>
      <w:r w:rsidRPr="008B127C">
        <w:t xml:space="preserve"> vom </w:t>
      </w:r>
      <w:r w:rsidRPr="00872714">
        <w:t>8</w:t>
      </w:r>
      <w:r w:rsidRPr="008B127C">
        <w:t>.</w:t>
      </w:r>
      <w:r w:rsidRPr="00872714">
        <w:t>5</w:t>
      </w:r>
      <w:r w:rsidRPr="008B127C">
        <w:t>.</w:t>
      </w:r>
      <w:r w:rsidRPr="00872714">
        <w:t>2012</w:t>
      </w:r>
      <w:r w:rsidRPr="008B127C">
        <w:t>, S. </w:t>
      </w:r>
      <w:r w:rsidRPr="00872714">
        <w:t>1</w:t>
      </w:r>
      <w:r w:rsidRPr="008B127C">
        <w:t>).</w:t>
      </w:r>
    </w:p>
  </w:footnote>
  <w:footnote w:id="5">
    <w:p w:rsidR="00D506D1" w:rsidRPr="008B127C" w:rsidRDefault="00D506D1">
      <w:pPr>
        <w:pStyle w:val="FootnoteText"/>
      </w:pPr>
      <w:r>
        <w:rPr>
          <w:rStyle w:val="FootnoteReference"/>
        </w:rPr>
        <w:footnoteRef/>
      </w:r>
      <w:r w:rsidRPr="008B127C">
        <w:tab/>
        <w:t>Verordnung (EG) Nr. </w:t>
      </w:r>
      <w:r w:rsidRPr="00872714">
        <w:t>684</w:t>
      </w:r>
      <w:r w:rsidRPr="008B127C">
        <w:t>/</w:t>
      </w:r>
      <w:r w:rsidRPr="00872714">
        <w:t>2009</w:t>
      </w:r>
      <w:r w:rsidRPr="008B127C">
        <w:t xml:space="preserve"> der Kommission vom </w:t>
      </w:r>
      <w:r w:rsidRPr="00872714">
        <w:t>24</w:t>
      </w:r>
      <w:r w:rsidRPr="008B127C">
        <w:t xml:space="preserve">. Juli </w:t>
      </w:r>
      <w:r w:rsidRPr="00872714">
        <w:t>2009</w:t>
      </w:r>
      <w:r w:rsidRPr="008B127C">
        <w:t xml:space="preserve"> zur Durchführung der Richtlinie </w:t>
      </w:r>
      <w:r w:rsidRPr="00872714">
        <w:t>2008</w:t>
      </w:r>
      <w:r w:rsidRPr="008B127C">
        <w:t>/</w:t>
      </w:r>
      <w:r w:rsidRPr="00872714">
        <w:t>118</w:t>
      </w:r>
      <w:r w:rsidRPr="008B127C">
        <w:t>/EG des Rates über die EDV-gestützten Verfahren für die Beförderung verbrauchsteuerpflichtiger Waren unter Steueraussetzung (ABl. L </w:t>
      </w:r>
      <w:r w:rsidRPr="00872714">
        <w:t>197</w:t>
      </w:r>
      <w:r w:rsidRPr="008B127C">
        <w:t xml:space="preserve"> vom </w:t>
      </w:r>
      <w:r w:rsidRPr="00872714">
        <w:t>29</w:t>
      </w:r>
      <w:r w:rsidRPr="008B127C">
        <w:t>.</w:t>
      </w:r>
      <w:r w:rsidRPr="00872714">
        <w:t>7</w:t>
      </w:r>
      <w:r w:rsidRPr="008B127C">
        <w:t>.</w:t>
      </w:r>
      <w:r w:rsidRPr="00872714">
        <w:t>2009</w:t>
      </w:r>
      <w:r w:rsidRPr="008B127C">
        <w:t>, S. </w:t>
      </w:r>
      <w:r w:rsidRPr="00872714">
        <w:t>24</w:t>
      </w:r>
      <w:r w:rsidRPr="008B127C">
        <w:t>).</w:t>
      </w:r>
    </w:p>
  </w:footnote>
  <w:footnote w:id="6">
    <w:p w:rsidR="001907DB" w:rsidRPr="008B127C" w:rsidRDefault="001907DB">
      <w:pPr>
        <w:pStyle w:val="FootnoteText"/>
      </w:pPr>
      <w:r>
        <w:rPr>
          <w:rStyle w:val="FootnoteReference"/>
        </w:rPr>
        <w:footnoteRef/>
      </w:r>
      <w:r w:rsidRPr="008B127C">
        <w:tab/>
        <w:t xml:space="preserve">Delegierte Verordnung (EU) .../... der Kommission vom ... zur Ergänzung der Richtlinie (EU) </w:t>
      </w:r>
      <w:r w:rsidRPr="00872714">
        <w:t>2020</w:t>
      </w:r>
      <w:r w:rsidRPr="008B127C">
        <w:t>/</w:t>
      </w:r>
      <w:r w:rsidRPr="00872714">
        <w:t>262</w:t>
      </w:r>
      <w:r w:rsidRPr="008B127C">
        <w:t xml:space="preserve"> des Rates durch Festlegung von Struktur und Inhalt der im Zusammenhang mit der Beförderung verbrauchsteuerpflichtiger Waren ausgetauschten Dokumente und durch Festlegung von Schwellenwerten für Verluste aufgrund der Beschaffenheit der Waren (ABl. L ...) [Amt für Veröffentlichungen: Bitte Nummer und Amtsblattfundstelle einfügen].</w:t>
      </w:r>
    </w:p>
  </w:footnote>
  <w:footnote w:id="7">
    <w:p w:rsidR="00D1794F" w:rsidRPr="008B127C" w:rsidRDefault="00D1794F" w:rsidP="00750517">
      <w:pPr>
        <w:pStyle w:val="FootnoteText"/>
      </w:pPr>
      <w:r>
        <w:rPr>
          <w:rStyle w:val="FootnoteReference"/>
        </w:rPr>
        <w:footnoteRef/>
      </w:r>
      <w:r w:rsidRPr="008B127C">
        <w:tab/>
        <w:t>ABl. C […] vom […], S. […].</w:t>
      </w:r>
      <w:r w:rsidRPr="008B127C">
        <w:tab/>
      </w:r>
    </w:p>
  </w:footnote>
  <w:footnote w:id="8">
    <w:p w:rsidR="00D1794F" w:rsidRPr="008B127C" w:rsidRDefault="00D1794F" w:rsidP="00750517">
      <w:pPr>
        <w:pStyle w:val="FootnoteText"/>
      </w:pPr>
      <w:r>
        <w:rPr>
          <w:rStyle w:val="FootnoteReference"/>
        </w:rPr>
        <w:footnoteRef/>
      </w:r>
      <w:r w:rsidRPr="008B127C">
        <w:tab/>
        <w:t>ABl. C […] vom […], S. […].</w:t>
      </w:r>
    </w:p>
  </w:footnote>
  <w:footnote w:id="9">
    <w:p w:rsidR="005407CB" w:rsidRPr="008B127C" w:rsidRDefault="005407CB" w:rsidP="005407CB">
      <w:pPr>
        <w:pStyle w:val="FootnoteText"/>
      </w:pPr>
      <w:r>
        <w:rPr>
          <w:rStyle w:val="FootnoteReference"/>
        </w:rPr>
        <w:footnoteRef/>
      </w:r>
      <w:r w:rsidRPr="008B127C">
        <w:tab/>
        <w:t xml:space="preserve">Richtlinie (EU) </w:t>
      </w:r>
      <w:r w:rsidRPr="00872714">
        <w:t>2020</w:t>
      </w:r>
      <w:r w:rsidRPr="008B127C">
        <w:t>/</w:t>
      </w:r>
      <w:r w:rsidRPr="00872714">
        <w:t>262</w:t>
      </w:r>
      <w:r w:rsidRPr="008B127C">
        <w:t xml:space="preserve"> des Rates vom </w:t>
      </w:r>
      <w:r w:rsidRPr="00872714">
        <w:t>19</w:t>
      </w:r>
      <w:r w:rsidRPr="008B127C">
        <w:t xml:space="preserve">. Dezember </w:t>
      </w:r>
      <w:r w:rsidRPr="00872714">
        <w:t>2019</w:t>
      </w:r>
      <w:r w:rsidRPr="008B127C">
        <w:t xml:space="preserve"> zur Festlegung des allgemeinen Verbrauchsteuersystems (ABl. L </w:t>
      </w:r>
      <w:r w:rsidRPr="00872714">
        <w:t>58</w:t>
      </w:r>
      <w:r w:rsidRPr="008B127C">
        <w:t xml:space="preserve"> vom </w:t>
      </w:r>
      <w:r w:rsidRPr="00872714">
        <w:t>27</w:t>
      </w:r>
      <w:r w:rsidRPr="008B127C">
        <w:t>.</w:t>
      </w:r>
      <w:r w:rsidRPr="00872714">
        <w:t>2</w:t>
      </w:r>
      <w:r w:rsidRPr="008B127C">
        <w:t>.</w:t>
      </w:r>
      <w:r w:rsidRPr="00872714">
        <w:t>2020</w:t>
      </w:r>
      <w:r w:rsidRPr="008B127C">
        <w:t>, S. </w:t>
      </w:r>
      <w:r w:rsidRPr="00872714">
        <w:t>4</w:t>
      </w:r>
      <w:r w:rsidRPr="008B127C">
        <w:t>).</w:t>
      </w:r>
    </w:p>
  </w:footnote>
  <w:footnote w:id="10">
    <w:p w:rsidR="005E2B2A" w:rsidRPr="008B127C" w:rsidRDefault="005E2B2A" w:rsidP="005E2B2A">
      <w:pPr>
        <w:pStyle w:val="FootnoteText"/>
      </w:pPr>
      <w:r>
        <w:rPr>
          <w:rStyle w:val="FootnoteReference"/>
        </w:rPr>
        <w:footnoteRef/>
      </w:r>
      <w:r w:rsidRPr="008B127C">
        <w:tab/>
        <w:t xml:space="preserve">Beschluss (EU) </w:t>
      </w:r>
      <w:r w:rsidRPr="00872714">
        <w:t>2020</w:t>
      </w:r>
      <w:r w:rsidRPr="008B127C">
        <w:t>/</w:t>
      </w:r>
      <w:r w:rsidRPr="00872714">
        <w:t>263</w:t>
      </w:r>
      <w:r w:rsidRPr="008B127C">
        <w:t xml:space="preserve"> des Europäischen Parlaments und des Rates vom </w:t>
      </w:r>
      <w:r w:rsidRPr="00872714">
        <w:t>15</w:t>
      </w:r>
      <w:r w:rsidRPr="008B127C">
        <w:t xml:space="preserve">. Januar </w:t>
      </w:r>
      <w:r w:rsidRPr="00872714">
        <w:t>2020</w:t>
      </w:r>
      <w:r w:rsidRPr="008B127C">
        <w:t xml:space="preserve"> über die Einführung eines EDV-gestützten Systems zur Beförderung und Kontrolle der Beförderung verbrauchsteuerpflichtiger Waren (ABl. L </w:t>
      </w:r>
      <w:r w:rsidRPr="00872714">
        <w:t>58</w:t>
      </w:r>
      <w:r w:rsidRPr="008B127C">
        <w:t xml:space="preserve"> vom </w:t>
      </w:r>
      <w:r w:rsidRPr="00872714">
        <w:t>27</w:t>
      </w:r>
      <w:r w:rsidRPr="008B127C">
        <w:t>.</w:t>
      </w:r>
      <w:r w:rsidRPr="00872714">
        <w:t>2</w:t>
      </w:r>
      <w:r w:rsidRPr="008B127C">
        <w:t>.</w:t>
      </w:r>
      <w:r w:rsidRPr="00872714">
        <w:t>2020</w:t>
      </w:r>
      <w:r w:rsidRPr="008B127C">
        <w:t>, S. </w:t>
      </w:r>
      <w:r w:rsidRPr="00872714">
        <w:t>43</w:t>
      </w:r>
      <w:r w:rsidRPr="008B127C">
        <w:t>).</w:t>
      </w:r>
    </w:p>
  </w:footnote>
  <w:footnote w:id="11">
    <w:p w:rsidR="00CD7D89" w:rsidRPr="008B127C" w:rsidRDefault="00CD7D89" w:rsidP="00CD7D89">
      <w:pPr>
        <w:pStyle w:val="FootnoteText"/>
        <w:ind w:left="567" w:hanging="567"/>
      </w:pPr>
      <w:r>
        <w:rPr>
          <w:rStyle w:val="FootnoteReference"/>
        </w:rPr>
        <w:footnoteRef/>
      </w:r>
      <w:r w:rsidRPr="008B127C">
        <w:tab/>
        <w:t>Verordnung (EG) Nr. </w:t>
      </w:r>
      <w:r w:rsidRPr="00872714">
        <w:t>684</w:t>
      </w:r>
      <w:r w:rsidRPr="008B127C">
        <w:t>/</w:t>
      </w:r>
      <w:r w:rsidRPr="00872714">
        <w:t>2009</w:t>
      </w:r>
      <w:r w:rsidRPr="008B127C">
        <w:t xml:space="preserve"> der Kommission vom </w:t>
      </w:r>
      <w:r w:rsidRPr="00872714">
        <w:t>24</w:t>
      </w:r>
      <w:r w:rsidRPr="008B127C">
        <w:t xml:space="preserve">. Juli </w:t>
      </w:r>
      <w:r w:rsidRPr="00872714">
        <w:t>2009</w:t>
      </w:r>
      <w:r w:rsidRPr="008B127C">
        <w:t xml:space="preserve"> zur Durchführung der Richtlinie </w:t>
      </w:r>
      <w:r w:rsidRPr="00872714">
        <w:t>2008</w:t>
      </w:r>
      <w:r w:rsidRPr="008B127C">
        <w:t>/</w:t>
      </w:r>
      <w:r w:rsidRPr="00872714">
        <w:t>118</w:t>
      </w:r>
      <w:r w:rsidRPr="008B127C">
        <w:t>/EG des Rates über die EDV-gestützten Verfahren für die Beförderung verbrauchsteuerpflichtiger Waren unter Steueraussetzung (ABl. L </w:t>
      </w:r>
      <w:r w:rsidRPr="00872714">
        <w:t>197</w:t>
      </w:r>
      <w:r w:rsidRPr="008B127C">
        <w:t xml:space="preserve"> vom </w:t>
      </w:r>
      <w:r w:rsidRPr="00872714">
        <w:t>29</w:t>
      </w:r>
      <w:r w:rsidRPr="008B127C">
        <w:t>.</w:t>
      </w:r>
      <w:r w:rsidRPr="00872714">
        <w:t>7</w:t>
      </w:r>
      <w:r w:rsidRPr="008B127C">
        <w:t>.</w:t>
      </w:r>
      <w:r w:rsidRPr="00872714">
        <w:t>2009</w:t>
      </w:r>
      <w:r w:rsidRPr="008B127C">
        <w:t>, S. </w:t>
      </w:r>
      <w:r w:rsidRPr="00872714">
        <w:t>24</w:t>
      </w:r>
      <w:r w:rsidRPr="008B127C">
        <w:t>).</w:t>
      </w:r>
    </w:p>
  </w:footnote>
  <w:footnote w:id="12">
    <w:p w:rsidR="001545CE" w:rsidRPr="008B127C" w:rsidRDefault="001545CE" w:rsidP="00807B6A">
      <w:pPr>
        <w:pStyle w:val="FootnoteText"/>
        <w:ind w:left="567" w:hanging="567"/>
      </w:pPr>
      <w:r>
        <w:rPr>
          <w:rStyle w:val="FootnoteReference"/>
        </w:rPr>
        <w:footnoteRef/>
      </w:r>
      <w:r w:rsidRPr="008B127C">
        <w:tab/>
        <w:t xml:space="preserve">Delegierte Verordnung (EU) .../... der Kommission vom ... zur Ergänzung der Richtlinie (EU) </w:t>
      </w:r>
      <w:r w:rsidRPr="00872714">
        <w:t>2020</w:t>
      </w:r>
      <w:r w:rsidRPr="008B127C">
        <w:t>/</w:t>
      </w:r>
      <w:r w:rsidRPr="00872714">
        <w:t>262</w:t>
      </w:r>
      <w:r w:rsidRPr="008B127C">
        <w:t xml:space="preserve"> des Rates durch Festlegung von Struktur und Inhalt der im Zusammenhang mit der Beförderung verbrauchsteuerpflichtiger Waren ausgetauschten Dokumente und durch Festlegung von Schwellenwerten für Verluste aufgrund der Beschaffenheit der Waren (ABl. L ...) [Amt für Veröffentlichungen: Bitte Nummer und Amtsblattfundstelle einfügen].</w:t>
      </w:r>
    </w:p>
  </w:footnote>
  <w:footnote w:id="13">
    <w:p w:rsidR="007A3DCE" w:rsidRPr="007A3DCE" w:rsidRDefault="007A3DCE" w:rsidP="0010730C">
      <w:pPr>
        <w:pStyle w:val="FootnoteText"/>
        <w:ind w:left="567" w:hanging="567"/>
      </w:pPr>
      <w:r>
        <w:rPr>
          <w:rStyle w:val="FootnoteReference"/>
        </w:rPr>
        <w:footnoteRef/>
      </w:r>
      <w:r w:rsidRPr="008B127C">
        <w:tab/>
        <w:t xml:space="preserve">Verordnung (EU) </w:t>
      </w:r>
      <w:r w:rsidRPr="00872714">
        <w:t>2018</w:t>
      </w:r>
      <w:r w:rsidRPr="008B127C">
        <w:t>/</w:t>
      </w:r>
      <w:r w:rsidRPr="00872714">
        <w:t>1725</w:t>
      </w:r>
      <w:r w:rsidRPr="008B127C">
        <w:t xml:space="preserve"> des Europäischen Parlaments und des Rates vom </w:t>
      </w:r>
      <w:r w:rsidRPr="00872714">
        <w:t>23</w:t>
      </w:r>
      <w:r w:rsidRPr="008B127C">
        <w:t xml:space="preserve">. Oktober </w:t>
      </w:r>
      <w:r w:rsidRPr="00872714">
        <w:t>2018</w:t>
      </w:r>
      <w:r w:rsidRPr="008B127C">
        <w:t xml:space="preserve"> zum Schutz natürlicher Personen bei der Verarbeitung personenbezogener Daten durch die Organe, Einrichtungen und sonstigen Stellen der Union, zum freien Datenverkehr und zur Aufhebung der Verordnung (EG) Nr. </w:t>
      </w:r>
      <w:r w:rsidRPr="00872714">
        <w:t>45</w:t>
      </w:r>
      <w:r w:rsidRPr="008B127C">
        <w:t>/</w:t>
      </w:r>
      <w:r w:rsidRPr="00872714">
        <w:t>2001</w:t>
      </w:r>
      <w:r w:rsidRPr="008B127C">
        <w:t xml:space="preserve"> und des Beschlusses Nr. </w:t>
      </w:r>
      <w:r w:rsidRPr="00872714">
        <w:t>1247</w:t>
      </w:r>
      <w:r w:rsidRPr="008B127C">
        <w:t>/</w:t>
      </w:r>
      <w:r w:rsidRPr="00872714">
        <w:t>2002</w:t>
      </w:r>
      <w:r w:rsidRPr="008B127C">
        <w:t xml:space="preserve">/EG (ABl. </w:t>
      </w:r>
      <w:r>
        <w:t>L </w:t>
      </w:r>
      <w:r w:rsidRPr="00872714">
        <w:t>295</w:t>
      </w:r>
      <w:r>
        <w:t xml:space="preserve"> vom </w:t>
      </w:r>
      <w:r w:rsidRPr="00872714">
        <w:t>21</w:t>
      </w:r>
      <w:r>
        <w:t>.</w:t>
      </w:r>
      <w:r w:rsidRPr="00872714">
        <w:t>11</w:t>
      </w:r>
      <w:r>
        <w:t>.</w:t>
      </w:r>
      <w:r w:rsidRPr="00872714">
        <w:t>2018</w:t>
      </w:r>
      <w:r>
        <w:t>, S. </w:t>
      </w:r>
      <w:r w:rsidRPr="00872714">
        <w:t>39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7A0B07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AE6860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4C29FC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D3EDA60"/>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27853AE"/>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10F0397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EB78FC4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82058D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131078" w:nlCheck="1" w:checkStyle="0"/>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0-13 12:01:32"/>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3F9B1F1F-A6EA-4EC6-84E8-52A8E0618827"/>
    <w:docVar w:name="LW_COVERPAGE_TYPE" w:val="1"/>
    <w:docVar w:name="LW_CROSSREFERENCE" w:val="&lt;UNUSED&gt;"/>
    <w:docVar w:name="LW_DocType" w:val="COM"/>
    <w:docVar w:name="LW_EMISSION" w:val="24.10.2022"/>
    <w:docVar w:name="LW_EMISSION_ISODATE" w:val="2022-10-24"/>
    <w:docVar w:name="LW_EMISSION_LOCATION" w:val="BRX"/>
    <w:docVar w:name="LW_EMISSION_PREFIX" w:val="Brüssel, den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NS"/>
    <w:docVar w:name="LW_REF.II.NEW.CP_NUMBER" w:val="0331"/>
    <w:docVar w:name="LW_REF.II.NEW.CP_YEAR" w:val="2022"/>
    <w:docVar w:name="LW_REF.INST.NEW" w:val="COM"/>
    <w:docVar w:name="LW_REF.INST.NEW_ADOPTED" w:val="final"/>
    <w:docVar w:name="LW_REF.INST.NEW_TEXT" w:val="(2022) 5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U) Nr. 389/2012 in Bezug auf den Austausch von in den elektronischen Verzeichnissen enthaltenen Angaben zu Wirtschaftsbeteiligten, die verbrauchsteuerpflichtige Waren zu gewerblichen Zwecken zwischen Mitgliedstaaten befördern"/>
    <w:docVar w:name="LW_TYPE.DOC.CP" w:val="VERORDNUNG DES RATES"/>
    <w:docVar w:name="LwApiVersions" w:val="LW4CoDe 1.23.2.0; LW 8.0, Build 20211117"/>
  </w:docVars>
  <w:rsids>
    <w:rsidRoot w:val="00D1794F"/>
    <w:rsid w:val="0000356B"/>
    <w:rsid w:val="00010391"/>
    <w:rsid w:val="00014162"/>
    <w:rsid w:val="00014ABE"/>
    <w:rsid w:val="00047152"/>
    <w:rsid w:val="00051058"/>
    <w:rsid w:val="0006690D"/>
    <w:rsid w:val="00095A86"/>
    <w:rsid w:val="000B0CE1"/>
    <w:rsid w:val="000B47AC"/>
    <w:rsid w:val="000B7902"/>
    <w:rsid w:val="000B7A7D"/>
    <w:rsid w:val="000C6E56"/>
    <w:rsid w:val="000D0724"/>
    <w:rsid w:val="000E4C91"/>
    <w:rsid w:val="000E772A"/>
    <w:rsid w:val="000F2F4E"/>
    <w:rsid w:val="000F3228"/>
    <w:rsid w:val="000F4EF2"/>
    <w:rsid w:val="00105DB9"/>
    <w:rsid w:val="0010730C"/>
    <w:rsid w:val="00141B4E"/>
    <w:rsid w:val="00152894"/>
    <w:rsid w:val="001545CE"/>
    <w:rsid w:val="00155EAD"/>
    <w:rsid w:val="00166BA8"/>
    <w:rsid w:val="0018398D"/>
    <w:rsid w:val="001907DB"/>
    <w:rsid w:val="001A03A0"/>
    <w:rsid w:val="001B7EA2"/>
    <w:rsid w:val="001C15BD"/>
    <w:rsid w:val="001C6D8E"/>
    <w:rsid w:val="001E7D43"/>
    <w:rsid w:val="002172F4"/>
    <w:rsid w:val="002242BD"/>
    <w:rsid w:val="00233BA3"/>
    <w:rsid w:val="0023695B"/>
    <w:rsid w:val="002478CD"/>
    <w:rsid w:val="00253735"/>
    <w:rsid w:val="00253739"/>
    <w:rsid w:val="00267DAC"/>
    <w:rsid w:val="0028301A"/>
    <w:rsid w:val="00291566"/>
    <w:rsid w:val="002B1460"/>
    <w:rsid w:val="002B2763"/>
    <w:rsid w:val="002C2FE2"/>
    <w:rsid w:val="002D1ED0"/>
    <w:rsid w:val="002E62C0"/>
    <w:rsid w:val="00306E55"/>
    <w:rsid w:val="0032365A"/>
    <w:rsid w:val="00332659"/>
    <w:rsid w:val="00334CEC"/>
    <w:rsid w:val="00337742"/>
    <w:rsid w:val="003432A1"/>
    <w:rsid w:val="003432B6"/>
    <w:rsid w:val="00345699"/>
    <w:rsid w:val="003502C5"/>
    <w:rsid w:val="003601F9"/>
    <w:rsid w:val="00387A99"/>
    <w:rsid w:val="00390DD7"/>
    <w:rsid w:val="00396ACD"/>
    <w:rsid w:val="003A5995"/>
    <w:rsid w:val="003B6937"/>
    <w:rsid w:val="003C2C53"/>
    <w:rsid w:val="003E0267"/>
    <w:rsid w:val="003F3272"/>
    <w:rsid w:val="003F5D44"/>
    <w:rsid w:val="0040520B"/>
    <w:rsid w:val="004056E5"/>
    <w:rsid w:val="004108B6"/>
    <w:rsid w:val="00432D32"/>
    <w:rsid w:val="00434299"/>
    <w:rsid w:val="00437AA5"/>
    <w:rsid w:val="0044122C"/>
    <w:rsid w:val="004436FD"/>
    <w:rsid w:val="00450F4F"/>
    <w:rsid w:val="00474D84"/>
    <w:rsid w:val="00492396"/>
    <w:rsid w:val="0049268A"/>
    <w:rsid w:val="0049551F"/>
    <w:rsid w:val="004B2317"/>
    <w:rsid w:val="004B6472"/>
    <w:rsid w:val="004C1D6F"/>
    <w:rsid w:val="004C68E8"/>
    <w:rsid w:val="004D1A88"/>
    <w:rsid w:val="004D4502"/>
    <w:rsid w:val="004E19F9"/>
    <w:rsid w:val="004E64E9"/>
    <w:rsid w:val="004F2F69"/>
    <w:rsid w:val="005056B9"/>
    <w:rsid w:val="005130D9"/>
    <w:rsid w:val="005159C6"/>
    <w:rsid w:val="00517205"/>
    <w:rsid w:val="00520E71"/>
    <w:rsid w:val="0052794C"/>
    <w:rsid w:val="0053463E"/>
    <w:rsid w:val="005407CB"/>
    <w:rsid w:val="00541AED"/>
    <w:rsid w:val="00542487"/>
    <w:rsid w:val="00553FD1"/>
    <w:rsid w:val="005732FD"/>
    <w:rsid w:val="00577552"/>
    <w:rsid w:val="00581FC5"/>
    <w:rsid w:val="00582810"/>
    <w:rsid w:val="00594DB8"/>
    <w:rsid w:val="00595540"/>
    <w:rsid w:val="005A0721"/>
    <w:rsid w:val="005B47F1"/>
    <w:rsid w:val="005B4BA7"/>
    <w:rsid w:val="005B5190"/>
    <w:rsid w:val="005B5FA6"/>
    <w:rsid w:val="005D0D6D"/>
    <w:rsid w:val="005E2B2A"/>
    <w:rsid w:val="005E4654"/>
    <w:rsid w:val="005F37DF"/>
    <w:rsid w:val="006023A3"/>
    <w:rsid w:val="00613689"/>
    <w:rsid w:val="00614DEB"/>
    <w:rsid w:val="00633C96"/>
    <w:rsid w:val="0063471E"/>
    <w:rsid w:val="00635201"/>
    <w:rsid w:val="00640500"/>
    <w:rsid w:val="00647346"/>
    <w:rsid w:val="006607B6"/>
    <w:rsid w:val="006648FA"/>
    <w:rsid w:val="006654AB"/>
    <w:rsid w:val="006668FB"/>
    <w:rsid w:val="00670EBE"/>
    <w:rsid w:val="00673994"/>
    <w:rsid w:val="00675E03"/>
    <w:rsid w:val="00681A95"/>
    <w:rsid w:val="006832F3"/>
    <w:rsid w:val="006A3112"/>
    <w:rsid w:val="006B7D53"/>
    <w:rsid w:val="006C40F7"/>
    <w:rsid w:val="006F4A0B"/>
    <w:rsid w:val="006F4FAF"/>
    <w:rsid w:val="006F7EFE"/>
    <w:rsid w:val="00701EC1"/>
    <w:rsid w:val="00715BE6"/>
    <w:rsid w:val="0071704C"/>
    <w:rsid w:val="007172F8"/>
    <w:rsid w:val="0072475D"/>
    <w:rsid w:val="00725797"/>
    <w:rsid w:val="00736C7F"/>
    <w:rsid w:val="007445F5"/>
    <w:rsid w:val="0074798C"/>
    <w:rsid w:val="00751179"/>
    <w:rsid w:val="00756923"/>
    <w:rsid w:val="00756FF6"/>
    <w:rsid w:val="00762157"/>
    <w:rsid w:val="0076583B"/>
    <w:rsid w:val="0077251D"/>
    <w:rsid w:val="007865D0"/>
    <w:rsid w:val="00796EED"/>
    <w:rsid w:val="007A2098"/>
    <w:rsid w:val="007A3DCE"/>
    <w:rsid w:val="007B54A9"/>
    <w:rsid w:val="007C4887"/>
    <w:rsid w:val="007C5E06"/>
    <w:rsid w:val="007D0861"/>
    <w:rsid w:val="007D418C"/>
    <w:rsid w:val="007D6170"/>
    <w:rsid w:val="007D7FC4"/>
    <w:rsid w:val="007E010B"/>
    <w:rsid w:val="00802FC2"/>
    <w:rsid w:val="00805CDF"/>
    <w:rsid w:val="00807B6A"/>
    <w:rsid w:val="00814D09"/>
    <w:rsid w:val="00815761"/>
    <w:rsid w:val="008163F4"/>
    <w:rsid w:val="00820BE8"/>
    <w:rsid w:val="00822D97"/>
    <w:rsid w:val="00825C6A"/>
    <w:rsid w:val="00830A56"/>
    <w:rsid w:val="0083201D"/>
    <w:rsid w:val="00836F19"/>
    <w:rsid w:val="00851043"/>
    <w:rsid w:val="00852F4A"/>
    <w:rsid w:val="00865F3E"/>
    <w:rsid w:val="00866529"/>
    <w:rsid w:val="00872714"/>
    <w:rsid w:val="00876CE2"/>
    <w:rsid w:val="00886B0D"/>
    <w:rsid w:val="008A1AC6"/>
    <w:rsid w:val="008A3F02"/>
    <w:rsid w:val="008B127C"/>
    <w:rsid w:val="008B2A0E"/>
    <w:rsid w:val="008B77A8"/>
    <w:rsid w:val="008D267F"/>
    <w:rsid w:val="008D4567"/>
    <w:rsid w:val="008E2694"/>
    <w:rsid w:val="00903CA4"/>
    <w:rsid w:val="00915D30"/>
    <w:rsid w:val="00926AFC"/>
    <w:rsid w:val="00940731"/>
    <w:rsid w:val="00950E28"/>
    <w:rsid w:val="0095127B"/>
    <w:rsid w:val="00977197"/>
    <w:rsid w:val="00987DFF"/>
    <w:rsid w:val="009957C5"/>
    <w:rsid w:val="009B55FB"/>
    <w:rsid w:val="009B6E28"/>
    <w:rsid w:val="009C65ED"/>
    <w:rsid w:val="009C69C5"/>
    <w:rsid w:val="009D3907"/>
    <w:rsid w:val="009D3AA3"/>
    <w:rsid w:val="009E2776"/>
    <w:rsid w:val="009E390F"/>
    <w:rsid w:val="009F53DE"/>
    <w:rsid w:val="00A00760"/>
    <w:rsid w:val="00A037F9"/>
    <w:rsid w:val="00A03B67"/>
    <w:rsid w:val="00A14950"/>
    <w:rsid w:val="00A30829"/>
    <w:rsid w:val="00A340B8"/>
    <w:rsid w:val="00A45CF0"/>
    <w:rsid w:val="00A552B0"/>
    <w:rsid w:val="00A565C7"/>
    <w:rsid w:val="00A727D0"/>
    <w:rsid w:val="00A94F5A"/>
    <w:rsid w:val="00A966C8"/>
    <w:rsid w:val="00AA6B39"/>
    <w:rsid w:val="00AA7A07"/>
    <w:rsid w:val="00AB5C50"/>
    <w:rsid w:val="00AB7140"/>
    <w:rsid w:val="00AC35F1"/>
    <w:rsid w:val="00AD0AD2"/>
    <w:rsid w:val="00AD386B"/>
    <w:rsid w:val="00AE0DCD"/>
    <w:rsid w:val="00AE11D2"/>
    <w:rsid w:val="00AE1BFD"/>
    <w:rsid w:val="00AE6620"/>
    <w:rsid w:val="00AE6D07"/>
    <w:rsid w:val="00AF7D52"/>
    <w:rsid w:val="00B01340"/>
    <w:rsid w:val="00B047FD"/>
    <w:rsid w:val="00B15D5D"/>
    <w:rsid w:val="00B44D20"/>
    <w:rsid w:val="00B46812"/>
    <w:rsid w:val="00B51717"/>
    <w:rsid w:val="00B555C6"/>
    <w:rsid w:val="00B6213D"/>
    <w:rsid w:val="00B64B09"/>
    <w:rsid w:val="00B65489"/>
    <w:rsid w:val="00B66F22"/>
    <w:rsid w:val="00B76299"/>
    <w:rsid w:val="00B84A46"/>
    <w:rsid w:val="00B933A8"/>
    <w:rsid w:val="00B9671C"/>
    <w:rsid w:val="00BA4B1E"/>
    <w:rsid w:val="00BA6E99"/>
    <w:rsid w:val="00BB028E"/>
    <w:rsid w:val="00BD7A4B"/>
    <w:rsid w:val="00BE63E7"/>
    <w:rsid w:val="00BF51DE"/>
    <w:rsid w:val="00BF58BA"/>
    <w:rsid w:val="00C03D96"/>
    <w:rsid w:val="00C0597F"/>
    <w:rsid w:val="00C12015"/>
    <w:rsid w:val="00C15A56"/>
    <w:rsid w:val="00C22116"/>
    <w:rsid w:val="00C3731F"/>
    <w:rsid w:val="00C520F3"/>
    <w:rsid w:val="00C54B34"/>
    <w:rsid w:val="00C601E9"/>
    <w:rsid w:val="00C60672"/>
    <w:rsid w:val="00C77913"/>
    <w:rsid w:val="00C82C19"/>
    <w:rsid w:val="00C82F9E"/>
    <w:rsid w:val="00C831EA"/>
    <w:rsid w:val="00C83922"/>
    <w:rsid w:val="00CA00D4"/>
    <w:rsid w:val="00CA2E17"/>
    <w:rsid w:val="00CA404F"/>
    <w:rsid w:val="00CA4453"/>
    <w:rsid w:val="00CC1894"/>
    <w:rsid w:val="00CC3F27"/>
    <w:rsid w:val="00CD5EC2"/>
    <w:rsid w:val="00CD7D89"/>
    <w:rsid w:val="00CE70DE"/>
    <w:rsid w:val="00D04048"/>
    <w:rsid w:val="00D06992"/>
    <w:rsid w:val="00D16550"/>
    <w:rsid w:val="00D1794F"/>
    <w:rsid w:val="00D2598B"/>
    <w:rsid w:val="00D506D1"/>
    <w:rsid w:val="00D53712"/>
    <w:rsid w:val="00D62010"/>
    <w:rsid w:val="00D64C34"/>
    <w:rsid w:val="00D661AB"/>
    <w:rsid w:val="00D73FD0"/>
    <w:rsid w:val="00D77451"/>
    <w:rsid w:val="00D81DB0"/>
    <w:rsid w:val="00D86220"/>
    <w:rsid w:val="00DB4B20"/>
    <w:rsid w:val="00DB71F5"/>
    <w:rsid w:val="00DC75EF"/>
    <w:rsid w:val="00DD2CFF"/>
    <w:rsid w:val="00DD44F6"/>
    <w:rsid w:val="00DD59D2"/>
    <w:rsid w:val="00DE19BA"/>
    <w:rsid w:val="00DE44BC"/>
    <w:rsid w:val="00E06A5C"/>
    <w:rsid w:val="00E07235"/>
    <w:rsid w:val="00E11546"/>
    <w:rsid w:val="00E15D3F"/>
    <w:rsid w:val="00E20958"/>
    <w:rsid w:val="00E329DC"/>
    <w:rsid w:val="00E33C9F"/>
    <w:rsid w:val="00E33FE2"/>
    <w:rsid w:val="00E3588B"/>
    <w:rsid w:val="00E366E9"/>
    <w:rsid w:val="00E36793"/>
    <w:rsid w:val="00E45825"/>
    <w:rsid w:val="00E5236F"/>
    <w:rsid w:val="00E5691A"/>
    <w:rsid w:val="00E64FDD"/>
    <w:rsid w:val="00E65EB1"/>
    <w:rsid w:val="00E70E03"/>
    <w:rsid w:val="00E72414"/>
    <w:rsid w:val="00E73E95"/>
    <w:rsid w:val="00E949C8"/>
    <w:rsid w:val="00E979AB"/>
    <w:rsid w:val="00EA1DAB"/>
    <w:rsid w:val="00EA51BB"/>
    <w:rsid w:val="00EB7018"/>
    <w:rsid w:val="00EC39BC"/>
    <w:rsid w:val="00EC53D0"/>
    <w:rsid w:val="00EC5732"/>
    <w:rsid w:val="00ED2217"/>
    <w:rsid w:val="00EE140B"/>
    <w:rsid w:val="00EE1E39"/>
    <w:rsid w:val="00EE7990"/>
    <w:rsid w:val="00F31582"/>
    <w:rsid w:val="00F34381"/>
    <w:rsid w:val="00F422D9"/>
    <w:rsid w:val="00F51F9D"/>
    <w:rsid w:val="00F56EF0"/>
    <w:rsid w:val="00F57D97"/>
    <w:rsid w:val="00F62CC3"/>
    <w:rsid w:val="00F641EA"/>
    <w:rsid w:val="00F64F8C"/>
    <w:rsid w:val="00F7678F"/>
    <w:rsid w:val="00FA10E4"/>
    <w:rsid w:val="00FA23E6"/>
    <w:rsid w:val="00FB1FE8"/>
    <w:rsid w:val="00FB217A"/>
    <w:rsid w:val="00FB55EE"/>
    <w:rsid w:val="00FC20DF"/>
    <w:rsid w:val="00FC2396"/>
    <w:rsid w:val="00FC3319"/>
    <w:rsid w:val="00FC3F39"/>
    <w:rsid w:val="00FD1673"/>
    <w:rsid w:val="00FD4462"/>
    <w:rsid w:val="00FE597F"/>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703A632B-0D27-4D29-B715-3CAE3585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517205"/>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22D97"/>
    <w:pPr>
      <w:numPr>
        <w:numId w:val="1"/>
      </w:numPr>
      <w:contextualSpacing/>
    </w:pPr>
  </w:style>
  <w:style w:type="paragraph" w:styleId="ListBullet2">
    <w:name w:val="List Bullet 2"/>
    <w:basedOn w:val="Normal"/>
    <w:uiPriority w:val="99"/>
    <w:semiHidden/>
    <w:unhideWhenUsed/>
    <w:rsid w:val="00822D97"/>
    <w:pPr>
      <w:numPr>
        <w:numId w:val="2"/>
      </w:numPr>
      <w:contextualSpacing/>
    </w:pPr>
  </w:style>
  <w:style w:type="paragraph" w:styleId="ListBullet3">
    <w:name w:val="List Bullet 3"/>
    <w:basedOn w:val="Normal"/>
    <w:uiPriority w:val="99"/>
    <w:semiHidden/>
    <w:unhideWhenUsed/>
    <w:rsid w:val="00822D97"/>
    <w:pPr>
      <w:numPr>
        <w:numId w:val="3"/>
      </w:numPr>
      <w:contextualSpacing/>
    </w:pPr>
  </w:style>
  <w:style w:type="paragraph" w:styleId="ListBullet4">
    <w:name w:val="List Bullet 4"/>
    <w:basedOn w:val="Normal"/>
    <w:uiPriority w:val="99"/>
    <w:semiHidden/>
    <w:unhideWhenUsed/>
    <w:rsid w:val="00822D97"/>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86652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866529"/>
    <w:rPr>
      <w:b/>
      <w:bCs/>
    </w:rPr>
  </w:style>
  <w:style w:type="character" w:customStyle="1" w:styleId="CommentSubjectChar">
    <w:name w:val="Comment Subject Char"/>
    <w:basedOn w:val="CommentTextChar"/>
    <w:link w:val="CommentSubject"/>
    <w:uiPriority w:val="99"/>
    <w:semiHidden/>
    <w:rsid w:val="00866529"/>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86652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529"/>
    <w:rPr>
      <w:rFonts w:ascii="Segoe UI" w:hAnsi="Segoe UI" w:cs="Segoe UI"/>
      <w:sz w:val="18"/>
      <w:szCs w:val="18"/>
      <w:lang w:val="de-DE"/>
    </w:rPr>
  </w:style>
  <w:style w:type="character" w:styleId="Hyperlink">
    <w:name w:val="Hyperlink"/>
    <w:basedOn w:val="DefaultParagraphFont"/>
    <w:uiPriority w:val="99"/>
    <w:unhideWhenUsed/>
    <w:rsid w:val="00577552"/>
    <w:rPr>
      <w:color w:val="0000FF"/>
      <w:u w:val="single"/>
    </w:rPr>
  </w:style>
  <w:style w:type="character" w:styleId="FollowedHyperlink">
    <w:name w:val="FollowedHyperlink"/>
    <w:basedOn w:val="DefaultParagraphFont"/>
    <w:uiPriority w:val="99"/>
    <w:semiHidden/>
    <w:unhideWhenUsed/>
    <w:rsid w:val="00AE0DCD"/>
    <w:rPr>
      <w:color w:val="800080" w:themeColor="followedHyperlink"/>
      <w:u w:val="single"/>
    </w:rPr>
  </w:style>
  <w:style w:type="paragraph" w:styleId="Revision">
    <w:name w:val="Revision"/>
    <w:hidden/>
    <w:uiPriority w:val="99"/>
    <w:semiHidden/>
    <w:rsid w:val="003A5995"/>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3C2C5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C2C53"/>
    <w:pPr>
      <w:spacing w:after="0"/>
    </w:pPr>
  </w:style>
  <w:style w:type="paragraph" w:styleId="ListNumber">
    <w:name w:val="List Number"/>
    <w:basedOn w:val="Normal"/>
    <w:uiPriority w:val="99"/>
    <w:semiHidden/>
    <w:unhideWhenUsed/>
    <w:rsid w:val="003C2C53"/>
    <w:pPr>
      <w:numPr>
        <w:numId w:val="6"/>
      </w:numPr>
      <w:contextualSpacing/>
    </w:pPr>
  </w:style>
  <w:style w:type="paragraph" w:styleId="ListNumber2">
    <w:name w:val="List Number 2"/>
    <w:basedOn w:val="Normal"/>
    <w:uiPriority w:val="99"/>
    <w:semiHidden/>
    <w:unhideWhenUsed/>
    <w:rsid w:val="003C2C53"/>
    <w:pPr>
      <w:numPr>
        <w:numId w:val="7"/>
      </w:numPr>
      <w:contextualSpacing/>
    </w:pPr>
  </w:style>
  <w:style w:type="paragraph" w:styleId="ListNumber3">
    <w:name w:val="List Number 3"/>
    <w:basedOn w:val="Normal"/>
    <w:uiPriority w:val="99"/>
    <w:semiHidden/>
    <w:unhideWhenUsed/>
    <w:rsid w:val="003C2C53"/>
    <w:pPr>
      <w:numPr>
        <w:numId w:val="8"/>
      </w:numPr>
      <w:contextualSpacing/>
    </w:pPr>
  </w:style>
  <w:style w:type="paragraph" w:styleId="ListNumber4">
    <w:name w:val="List Number 4"/>
    <w:basedOn w:val="Normal"/>
    <w:uiPriority w:val="99"/>
    <w:semiHidden/>
    <w:unhideWhenUsed/>
    <w:rsid w:val="003C2C53"/>
    <w:pPr>
      <w:numPr>
        <w:numId w:val="9"/>
      </w:numPr>
      <w:contextualSpacing/>
    </w:pPr>
  </w:style>
  <w:style w:type="character" w:styleId="Emphasis">
    <w:name w:val="Emphasis"/>
    <w:basedOn w:val="DefaultParagraphFont"/>
    <w:uiPriority w:val="20"/>
    <w:qFormat/>
    <w:rsid w:val="00C03D96"/>
    <w:rPr>
      <w:i/>
      <w:iCs/>
    </w:rPr>
  </w:style>
  <w:style w:type="paragraph" w:styleId="EndnoteText">
    <w:name w:val="endnote text"/>
    <w:basedOn w:val="Normal"/>
    <w:link w:val="EndnoteTextChar"/>
    <w:uiPriority w:val="99"/>
    <w:semiHidden/>
    <w:unhideWhenUsed/>
    <w:rsid w:val="000C6E56"/>
    <w:pPr>
      <w:spacing w:before="0" w:after="0"/>
    </w:pPr>
    <w:rPr>
      <w:sz w:val="20"/>
      <w:szCs w:val="20"/>
    </w:rPr>
  </w:style>
  <w:style w:type="character" w:customStyle="1" w:styleId="EndnoteTextChar">
    <w:name w:val="Endnote Text Char"/>
    <w:basedOn w:val="DefaultParagraphFont"/>
    <w:link w:val="EndnoteText"/>
    <w:uiPriority w:val="99"/>
    <w:semiHidden/>
    <w:rsid w:val="000C6E56"/>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sid w:val="000C6E56"/>
    <w:rPr>
      <w:vertAlign w:val="superscript"/>
    </w:rPr>
  </w:style>
  <w:style w:type="paragraph" w:styleId="Header">
    <w:name w:val="header"/>
    <w:basedOn w:val="Normal"/>
    <w:link w:val="HeaderChar"/>
    <w:uiPriority w:val="99"/>
    <w:unhideWhenUsed/>
    <w:rsid w:val="002B2763"/>
    <w:pPr>
      <w:tabs>
        <w:tab w:val="center" w:pos="4535"/>
        <w:tab w:val="right" w:pos="9071"/>
      </w:tabs>
      <w:spacing w:before="0"/>
    </w:pPr>
  </w:style>
  <w:style w:type="character" w:customStyle="1" w:styleId="HeaderChar">
    <w:name w:val="Header Char"/>
    <w:basedOn w:val="DefaultParagraphFont"/>
    <w:link w:val="Header"/>
    <w:uiPriority w:val="99"/>
    <w:rsid w:val="002B2763"/>
    <w:rPr>
      <w:rFonts w:ascii="Times New Roman" w:hAnsi="Times New Roman" w:cs="Times New Roman"/>
      <w:sz w:val="24"/>
      <w:lang w:val="de-DE"/>
    </w:rPr>
  </w:style>
  <w:style w:type="paragraph" w:styleId="Footer">
    <w:name w:val="footer"/>
    <w:basedOn w:val="Normal"/>
    <w:link w:val="FooterChar"/>
    <w:uiPriority w:val="99"/>
    <w:unhideWhenUsed/>
    <w:rsid w:val="002B276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B2763"/>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2B2763"/>
    <w:pPr>
      <w:tabs>
        <w:tab w:val="center" w:pos="7285"/>
        <w:tab w:val="right" w:pos="14003"/>
      </w:tabs>
      <w:spacing w:before="0"/>
    </w:pPr>
  </w:style>
  <w:style w:type="paragraph" w:customStyle="1" w:styleId="FooterLandscape">
    <w:name w:val="FooterLandscape"/>
    <w:basedOn w:val="Normal"/>
    <w:rsid w:val="002B276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2B276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B2763"/>
    <w:pPr>
      <w:spacing w:before="0"/>
      <w:jc w:val="right"/>
    </w:pPr>
    <w:rPr>
      <w:sz w:val="28"/>
    </w:rPr>
  </w:style>
  <w:style w:type="paragraph" w:customStyle="1" w:styleId="FooterSensitivity">
    <w:name w:val="Footer Sensitivity"/>
    <w:basedOn w:val="Normal"/>
    <w:rsid w:val="002B276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0"/>
      </w:numPr>
    </w:pPr>
  </w:style>
  <w:style w:type="paragraph" w:customStyle="1" w:styleId="Tiret1">
    <w:name w:val="Tiret 1"/>
    <w:basedOn w:val="Point1"/>
    <w:rsid w:val="00517205"/>
    <w:pPr>
      <w:numPr>
        <w:numId w:val="11"/>
      </w:numPr>
    </w:pPr>
  </w:style>
  <w:style w:type="paragraph" w:customStyle="1" w:styleId="Tiret2">
    <w:name w:val="Tiret 2"/>
    <w:basedOn w:val="Point2"/>
    <w:rsid w:val="00517205"/>
    <w:pPr>
      <w:numPr>
        <w:numId w:val="12"/>
      </w:numPr>
    </w:pPr>
  </w:style>
  <w:style w:type="paragraph" w:customStyle="1" w:styleId="Tiret3">
    <w:name w:val="Tiret 3"/>
    <w:basedOn w:val="Point3"/>
    <w:rsid w:val="00517205"/>
    <w:pPr>
      <w:numPr>
        <w:numId w:val="13"/>
      </w:numPr>
    </w:pPr>
  </w:style>
  <w:style w:type="paragraph" w:customStyle="1" w:styleId="Tiret4">
    <w:name w:val="Tiret 4"/>
    <w:basedOn w:val="Point4"/>
    <w:rsid w:val="00517205"/>
    <w:pPr>
      <w:numPr>
        <w:numId w:val="14"/>
      </w:numPr>
    </w:pPr>
  </w:style>
  <w:style w:type="paragraph" w:customStyle="1" w:styleId="Tiret5">
    <w:name w:val="Tiret 5"/>
    <w:basedOn w:val="Point5"/>
    <w:rsid w:val="00517205"/>
    <w:pPr>
      <w:numPr>
        <w:numId w:val="15"/>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6"/>
      </w:numPr>
    </w:pPr>
  </w:style>
  <w:style w:type="paragraph" w:customStyle="1" w:styleId="NumPar2">
    <w:name w:val="NumPar 2"/>
    <w:basedOn w:val="Normal"/>
    <w:next w:val="Text1"/>
    <w:rsid w:val="00517205"/>
    <w:pPr>
      <w:numPr>
        <w:ilvl w:val="1"/>
        <w:numId w:val="16"/>
      </w:numPr>
    </w:pPr>
  </w:style>
  <w:style w:type="paragraph" w:customStyle="1" w:styleId="NumPar3">
    <w:name w:val="NumPar 3"/>
    <w:basedOn w:val="Normal"/>
    <w:next w:val="Text1"/>
    <w:rsid w:val="00517205"/>
    <w:pPr>
      <w:numPr>
        <w:ilvl w:val="2"/>
        <w:numId w:val="16"/>
      </w:numPr>
    </w:pPr>
  </w:style>
  <w:style w:type="paragraph" w:customStyle="1" w:styleId="NumPar4">
    <w:name w:val="NumPar 4"/>
    <w:basedOn w:val="Normal"/>
    <w:next w:val="Text1"/>
    <w:rsid w:val="00517205"/>
    <w:pPr>
      <w:numPr>
        <w:ilvl w:val="3"/>
        <w:numId w:val="16"/>
      </w:numPr>
    </w:pPr>
  </w:style>
  <w:style w:type="paragraph" w:customStyle="1" w:styleId="NumPar5">
    <w:name w:val="NumPar 5"/>
    <w:basedOn w:val="Normal"/>
    <w:next w:val="Text2"/>
    <w:rsid w:val="00517205"/>
    <w:pPr>
      <w:numPr>
        <w:ilvl w:val="4"/>
        <w:numId w:val="16"/>
      </w:numPr>
    </w:pPr>
  </w:style>
  <w:style w:type="paragraph" w:customStyle="1" w:styleId="NumPar6">
    <w:name w:val="NumPar 6"/>
    <w:basedOn w:val="Normal"/>
    <w:next w:val="Text2"/>
    <w:rsid w:val="00517205"/>
    <w:pPr>
      <w:numPr>
        <w:ilvl w:val="5"/>
        <w:numId w:val="16"/>
      </w:numPr>
    </w:pPr>
  </w:style>
  <w:style w:type="paragraph" w:customStyle="1" w:styleId="NumPar7">
    <w:name w:val="NumPar 7"/>
    <w:basedOn w:val="Normal"/>
    <w:next w:val="Text2"/>
    <w:rsid w:val="00517205"/>
    <w:pPr>
      <w:numPr>
        <w:ilvl w:val="6"/>
        <w:numId w:val="16"/>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950E28"/>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8"/>
      </w:numPr>
    </w:pPr>
  </w:style>
  <w:style w:type="paragraph" w:customStyle="1" w:styleId="Point1number">
    <w:name w:val="Point 1 (number)"/>
    <w:basedOn w:val="Normal"/>
    <w:rsid w:val="00517205"/>
    <w:pPr>
      <w:numPr>
        <w:ilvl w:val="2"/>
        <w:numId w:val="18"/>
      </w:numPr>
    </w:pPr>
  </w:style>
  <w:style w:type="paragraph" w:customStyle="1" w:styleId="Point2number">
    <w:name w:val="Point 2 (number)"/>
    <w:basedOn w:val="Normal"/>
    <w:rsid w:val="00517205"/>
    <w:pPr>
      <w:numPr>
        <w:ilvl w:val="4"/>
        <w:numId w:val="18"/>
      </w:numPr>
    </w:pPr>
  </w:style>
  <w:style w:type="paragraph" w:customStyle="1" w:styleId="Point3number">
    <w:name w:val="Point 3 (number)"/>
    <w:basedOn w:val="Normal"/>
    <w:rsid w:val="00517205"/>
    <w:pPr>
      <w:numPr>
        <w:ilvl w:val="6"/>
        <w:numId w:val="18"/>
      </w:numPr>
    </w:pPr>
  </w:style>
  <w:style w:type="paragraph" w:customStyle="1" w:styleId="Point0letter">
    <w:name w:val="Point 0 (letter)"/>
    <w:basedOn w:val="Normal"/>
    <w:rsid w:val="00517205"/>
    <w:pPr>
      <w:numPr>
        <w:ilvl w:val="1"/>
        <w:numId w:val="18"/>
      </w:numPr>
    </w:pPr>
  </w:style>
  <w:style w:type="paragraph" w:customStyle="1" w:styleId="Point1letter">
    <w:name w:val="Point 1 (letter)"/>
    <w:basedOn w:val="Normal"/>
    <w:rsid w:val="00517205"/>
    <w:pPr>
      <w:numPr>
        <w:ilvl w:val="3"/>
        <w:numId w:val="18"/>
      </w:numPr>
    </w:pPr>
  </w:style>
  <w:style w:type="paragraph" w:customStyle="1" w:styleId="Point2letter">
    <w:name w:val="Point 2 (letter)"/>
    <w:basedOn w:val="Normal"/>
    <w:rsid w:val="00517205"/>
    <w:pPr>
      <w:numPr>
        <w:ilvl w:val="5"/>
        <w:numId w:val="18"/>
      </w:numPr>
    </w:pPr>
  </w:style>
  <w:style w:type="paragraph" w:customStyle="1" w:styleId="Point3letter">
    <w:name w:val="Point 3 (letter)"/>
    <w:basedOn w:val="Normal"/>
    <w:rsid w:val="00517205"/>
    <w:pPr>
      <w:numPr>
        <w:ilvl w:val="7"/>
        <w:numId w:val="18"/>
      </w:numPr>
    </w:pPr>
  </w:style>
  <w:style w:type="paragraph" w:customStyle="1" w:styleId="Point4letter">
    <w:name w:val="Point 4 (letter)"/>
    <w:basedOn w:val="Normal"/>
    <w:rsid w:val="00517205"/>
    <w:pPr>
      <w:numPr>
        <w:ilvl w:val="8"/>
        <w:numId w:val="18"/>
      </w:numPr>
    </w:pPr>
  </w:style>
  <w:style w:type="paragraph" w:customStyle="1" w:styleId="Bullet0">
    <w:name w:val="Bullet 0"/>
    <w:basedOn w:val="Normal"/>
    <w:rsid w:val="00517205"/>
    <w:pPr>
      <w:numPr>
        <w:numId w:val="19"/>
      </w:numPr>
    </w:pPr>
  </w:style>
  <w:style w:type="paragraph" w:customStyle="1" w:styleId="Bullet1">
    <w:name w:val="Bullet 1"/>
    <w:basedOn w:val="Normal"/>
    <w:rsid w:val="00517205"/>
    <w:pPr>
      <w:numPr>
        <w:numId w:val="20"/>
      </w:numPr>
    </w:pPr>
  </w:style>
  <w:style w:type="paragraph" w:customStyle="1" w:styleId="Bullet2">
    <w:name w:val="Bullet 2"/>
    <w:basedOn w:val="Normal"/>
    <w:rsid w:val="00517205"/>
    <w:pPr>
      <w:numPr>
        <w:numId w:val="21"/>
      </w:numPr>
    </w:pPr>
  </w:style>
  <w:style w:type="paragraph" w:customStyle="1" w:styleId="Bullet3">
    <w:name w:val="Bullet 3"/>
    <w:basedOn w:val="Normal"/>
    <w:rsid w:val="00517205"/>
    <w:pPr>
      <w:numPr>
        <w:numId w:val="22"/>
      </w:numPr>
    </w:pPr>
  </w:style>
  <w:style w:type="paragraph" w:customStyle="1" w:styleId="Bullet4">
    <w:name w:val="Bullet 4"/>
    <w:basedOn w:val="Normal"/>
    <w:rsid w:val="00517205"/>
    <w:pPr>
      <w:numPr>
        <w:numId w:val="23"/>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4"/>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592633-9DC9-4506-AFE5-3B952A40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224</TotalTime>
  <Pages>10</Pages>
  <Words>2403</Words>
  <Characters>16606</Characters>
  <Application>Microsoft Office Word</Application>
  <DocSecurity>0</DocSecurity>
  <Lines>276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74</cp:revision>
  <dcterms:created xsi:type="dcterms:W3CDTF">2022-09-05T08:37:00Z</dcterms:created>
  <dcterms:modified xsi:type="dcterms:W3CDTF">2022-10-13T10:01:00Z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