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D8658" w14:textId="4094C5AF" w:rsidR="00BD5EB1" w:rsidRPr="002866E5" w:rsidRDefault="00C00460" w:rsidP="00C00460">
      <w:pPr>
        <w:pStyle w:val="Pagedecouverture"/>
        <w:rPr>
          <w:noProof/>
        </w:rPr>
      </w:pPr>
      <w:r>
        <w:rPr>
          <w:noProof/>
        </w:rPr>
        <w:pict w14:anchorId="54F19E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40518937-0B7C-4C35-A989-EC27699843D3" style="width:455.25pt;height:414pt">
            <v:imagedata r:id="rId12" o:title=""/>
          </v:shape>
        </w:pict>
      </w:r>
    </w:p>
    <w:p w14:paraId="67ED8659" w14:textId="77777777" w:rsidR="00716926" w:rsidRPr="002866E5" w:rsidRDefault="00716926" w:rsidP="00716926">
      <w:pPr>
        <w:rPr>
          <w:noProof/>
        </w:rPr>
        <w:sectPr w:rsidR="00716926" w:rsidRPr="002866E5" w:rsidSect="00C00460">
          <w:footerReference w:type="default" r:id="rId13"/>
          <w:pgSz w:w="11907" w:h="16839"/>
          <w:pgMar w:top="1134" w:right="1417" w:bottom="1134" w:left="1417" w:header="709" w:footer="709" w:gutter="0"/>
          <w:pgNumType w:start="0"/>
          <w:cols w:space="720"/>
          <w:docGrid w:linePitch="360"/>
        </w:sectPr>
      </w:pPr>
    </w:p>
    <w:p w14:paraId="67ED865A" w14:textId="77777777" w:rsidR="0037165D" w:rsidRPr="002866E5" w:rsidRDefault="0037165D" w:rsidP="00881943">
      <w:pPr>
        <w:pStyle w:val="Exposdesmotifstitre"/>
        <w:rPr>
          <w:noProof/>
        </w:rPr>
      </w:pPr>
      <w:bookmarkStart w:id="0" w:name="_GoBack"/>
      <w:bookmarkEnd w:id="0"/>
      <w:r w:rsidRPr="002866E5">
        <w:rPr>
          <w:noProof/>
        </w:rPr>
        <w:lastRenderedPageBreak/>
        <w:t>UZASADNIENIE</w:t>
      </w:r>
    </w:p>
    <w:p w14:paraId="67ED865B" w14:textId="77777777" w:rsidR="0037165D" w:rsidRPr="002866E5" w:rsidRDefault="0037165D" w:rsidP="00881943">
      <w:pPr>
        <w:pStyle w:val="ManualHeading1"/>
        <w:rPr>
          <w:noProof/>
        </w:rPr>
      </w:pPr>
      <w:r w:rsidRPr="002866E5">
        <w:rPr>
          <w:noProof/>
        </w:rPr>
        <w:t>1.</w:t>
      </w:r>
      <w:r w:rsidRPr="002866E5">
        <w:rPr>
          <w:noProof/>
        </w:rPr>
        <w:tab/>
        <w:t>KONTEKST WNIOSKU</w:t>
      </w:r>
    </w:p>
    <w:p w14:paraId="67ED865C" w14:textId="1663255D" w:rsidR="0037165D" w:rsidRPr="002866E5" w:rsidRDefault="0037165D" w:rsidP="00881943">
      <w:pPr>
        <w:pStyle w:val="ManualHeading2"/>
        <w:rPr>
          <w:rFonts w:eastAsia="Arial Unicode MS"/>
          <w:noProof/>
        </w:rPr>
      </w:pPr>
      <w:r w:rsidRPr="002866E5">
        <w:rPr>
          <w:noProof/>
          <w:color w:val="000000"/>
          <w:u w:color="000000"/>
          <w:bdr w:val="nil"/>
        </w:rPr>
        <w:t>•</w:t>
      </w:r>
      <w:r w:rsidRPr="002866E5">
        <w:rPr>
          <w:noProof/>
        </w:rPr>
        <w:tab/>
        <w:t>Przyczyny</w:t>
      </w:r>
      <w:r w:rsidR="008B35E8" w:rsidRPr="002866E5">
        <w:rPr>
          <w:noProof/>
        </w:rPr>
        <w:t xml:space="preserve"> i</w:t>
      </w:r>
      <w:r w:rsidR="008B35E8">
        <w:rPr>
          <w:noProof/>
        </w:rPr>
        <w:t> </w:t>
      </w:r>
      <w:r w:rsidR="008B35E8" w:rsidRPr="002866E5">
        <w:rPr>
          <w:noProof/>
        </w:rPr>
        <w:t>cel</w:t>
      </w:r>
      <w:r w:rsidRPr="002866E5">
        <w:rPr>
          <w:noProof/>
        </w:rPr>
        <w:t>e wniosku</w:t>
      </w:r>
    </w:p>
    <w:p w14:paraId="67ED865D" w14:textId="405945EF" w:rsidR="001A77EA" w:rsidRPr="002866E5" w:rsidRDefault="001A77EA" w:rsidP="001A77EA">
      <w:pPr>
        <w:pBdr>
          <w:top w:val="nil"/>
          <w:left w:val="nil"/>
          <w:bottom w:val="nil"/>
          <w:right w:val="nil"/>
          <w:between w:val="nil"/>
          <w:bar w:val="nil"/>
        </w:pBdr>
        <w:spacing w:before="0" w:after="240"/>
        <w:rPr>
          <w:rFonts w:eastAsia="Arial Unicode MS"/>
          <w:noProof/>
        </w:rPr>
      </w:pPr>
      <w:r w:rsidRPr="002866E5">
        <w:rPr>
          <w:noProof/>
        </w:rPr>
        <w:t>Sprzęt</w:t>
      </w:r>
      <w:r w:rsidR="008B35E8" w:rsidRPr="002866E5">
        <w:rPr>
          <w:noProof/>
        </w:rPr>
        <w:t xml:space="preserve"> i</w:t>
      </w:r>
      <w:r w:rsidR="008B35E8">
        <w:rPr>
          <w:noProof/>
        </w:rPr>
        <w:t> </w:t>
      </w:r>
      <w:r w:rsidR="008B35E8" w:rsidRPr="002866E5">
        <w:rPr>
          <w:noProof/>
        </w:rPr>
        <w:t>opr</w:t>
      </w:r>
      <w:r w:rsidRPr="002866E5">
        <w:rPr>
          <w:noProof/>
        </w:rPr>
        <w:t xml:space="preserve">ogramowanie coraz częściej padają celem udanych cyberataków, które </w:t>
      </w:r>
      <w:r w:rsidRPr="008B35E8">
        <w:rPr>
          <w:noProof/>
        </w:rPr>
        <w:t>do</w:t>
      </w:r>
      <w:r w:rsidR="008B35E8" w:rsidRPr="008B35E8">
        <w:rPr>
          <w:noProof/>
        </w:rPr>
        <w:t> </w:t>
      </w:r>
      <w:r w:rsidRPr="008B35E8">
        <w:rPr>
          <w:noProof/>
        </w:rPr>
        <w:t>2</w:t>
      </w:r>
      <w:r w:rsidRPr="002866E5">
        <w:rPr>
          <w:noProof/>
        </w:rPr>
        <w:t>0</w:t>
      </w:r>
      <w:r w:rsidRPr="008B35E8">
        <w:rPr>
          <w:noProof/>
        </w:rPr>
        <w:t>21</w:t>
      </w:r>
      <w:r w:rsidR="008B35E8" w:rsidRPr="008B35E8">
        <w:rPr>
          <w:noProof/>
        </w:rPr>
        <w:t> </w:t>
      </w:r>
      <w:r w:rsidRPr="008B35E8">
        <w:rPr>
          <w:noProof/>
        </w:rPr>
        <w:t>r.</w:t>
      </w:r>
      <w:r w:rsidRPr="002866E5">
        <w:rPr>
          <w:noProof/>
        </w:rPr>
        <w:t xml:space="preserve"> doprowadziły do szacowanego globalnego rocznego kosztu cyberprzestępczości</w:t>
      </w:r>
      <w:r w:rsidR="008B35E8" w:rsidRPr="002866E5">
        <w:rPr>
          <w:noProof/>
        </w:rPr>
        <w:t xml:space="preserve"> w</w:t>
      </w:r>
      <w:r w:rsidR="008B35E8">
        <w:rPr>
          <w:noProof/>
        </w:rPr>
        <w:t> </w:t>
      </w:r>
      <w:r w:rsidR="008B35E8" w:rsidRPr="002866E5">
        <w:rPr>
          <w:noProof/>
        </w:rPr>
        <w:t>wys</w:t>
      </w:r>
      <w:r w:rsidRPr="002866E5">
        <w:rPr>
          <w:noProof/>
        </w:rPr>
        <w:t>okości 5,5 bln EUR</w:t>
      </w:r>
      <w:r w:rsidR="008B35E8" w:rsidRPr="002866E5">
        <w:rPr>
          <w:noProof/>
        </w:rPr>
        <w:t>. Z</w:t>
      </w:r>
      <w:r w:rsidR="008B35E8">
        <w:rPr>
          <w:noProof/>
        </w:rPr>
        <w:t> </w:t>
      </w:r>
      <w:r w:rsidR="008B35E8" w:rsidRPr="002866E5">
        <w:rPr>
          <w:noProof/>
        </w:rPr>
        <w:t>tak</w:t>
      </w:r>
      <w:r w:rsidRPr="002866E5">
        <w:rPr>
          <w:noProof/>
        </w:rPr>
        <w:t>imi produktami wiążą się dwa główne problemy zwiększające koszty dla użytkowników</w:t>
      </w:r>
      <w:r w:rsidR="008B35E8" w:rsidRPr="002866E5">
        <w:rPr>
          <w:noProof/>
        </w:rPr>
        <w:t xml:space="preserve"> i</w:t>
      </w:r>
      <w:r w:rsidR="008B35E8">
        <w:rPr>
          <w:noProof/>
        </w:rPr>
        <w:t> </w:t>
      </w:r>
      <w:r w:rsidR="008B35E8" w:rsidRPr="002866E5">
        <w:rPr>
          <w:noProof/>
        </w:rPr>
        <w:t>spo</w:t>
      </w:r>
      <w:r w:rsidRPr="002866E5">
        <w:rPr>
          <w:noProof/>
        </w:rPr>
        <w:t>łeczeństwa: 1) niski poziom cyberbezpieczeństwa, który przejawia się</w:t>
      </w:r>
      <w:r w:rsidR="008B35E8" w:rsidRPr="002866E5">
        <w:rPr>
          <w:noProof/>
        </w:rPr>
        <w:t xml:space="preserve"> w</w:t>
      </w:r>
      <w:r w:rsidR="008B35E8">
        <w:rPr>
          <w:noProof/>
        </w:rPr>
        <w:t> </w:t>
      </w:r>
      <w:r w:rsidR="008B35E8" w:rsidRPr="002866E5">
        <w:rPr>
          <w:noProof/>
        </w:rPr>
        <w:t>pow</w:t>
      </w:r>
      <w:r w:rsidRPr="002866E5">
        <w:rPr>
          <w:noProof/>
        </w:rPr>
        <w:t>szechnych podatnościach oraz niewystarczającym</w:t>
      </w:r>
      <w:r w:rsidR="008B35E8" w:rsidRPr="002866E5">
        <w:rPr>
          <w:noProof/>
        </w:rPr>
        <w:t xml:space="preserve"> i</w:t>
      </w:r>
      <w:r w:rsidR="008B35E8">
        <w:rPr>
          <w:noProof/>
        </w:rPr>
        <w:t> </w:t>
      </w:r>
      <w:r w:rsidR="008B35E8" w:rsidRPr="002866E5">
        <w:rPr>
          <w:noProof/>
        </w:rPr>
        <w:t>nie</w:t>
      </w:r>
      <w:r w:rsidRPr="002866E5">
        <w:rPr>
          <w:noProof/>
        </w:rPr>
        <w:t>spójnym dostarczaniu aktualizacji zabezpieczeń</w:t>
      </w:r>
      <w:r w:rsidR="008B35E8" w:rsidRPr="002866E5">
        <w:rPr>
          <w:noProof/>
        </w:rPr>
        <w:t xml:space="preserve"> w</w:t>
      </w:r>
      <w:r w:rsidR="008B35E8">
        <w:rPr>
          <w:noProof/>
        </w:rPr>
        <w:t> </w:t>
      </w:r>
      <w:r w:rsidR="008B35E8" w:rsidRPr="002866E5">
        <w:rPr>
          <w:noProof/>
        </w:rPr>
        <w:t>cel</w:t>
      </w:r>
      <w:r w:rsidRPr="002866E5">
        <w:rPr>
          <w:noProof/>
        </w:rPr>
        <w:t>u wyeliminowania tych podatności, oraz 2) niedostateczne zrozumienie</w:t>
      </w:r>
      <w:r w:rsidR="008B35E8" w:rsidRPr="002866E5">
        <w:rPr>
          <w:noProof/>
        </w:rPr>
        <w:t xml:space="preserve"> i</w:t>
      </w:r>
      <w:r w:rsidR="008B35E8">
        <w:rPr>
          <w:noProof/>
        </w:rPr>
        <w:t> </w:t>
      </w:r>
      <w:r w:rsidR="008B35E8" w:rsidRPr="002866E5">
        <w:rPr>
          <w:noProof/>
        </w:rPr>
        <w:t>dos</w:t>
      </w:r>
      <w:r w:rsidRPr="002866E5">
        <w:rPr>
          <w:noProof/>
        </w:rPr>
        <w:t>tęp do informacji przez użytkowników, co uniemożliwia im wybór produktów</w:t>
      </w:r>
      <w:r w:rsidR="008B35E8" w:rsidRPr="002866E5">
        <w:rPr>
          <w:noProof/>
        </w:rPr>
        <w:t xml:space="preserve"> o</w:t>
      </w:r>
      <w:r w:rsidR="008B35E8">
        <w:rPr>
          <w:noProof/>
        </w:rPr>
        <w:t> </w:t>
      </w:r>
      <w:r w:rsidR="008B35E8" w:rsidRPr="002866E5">
        <w:rPr>
          <w:noProof/>
        </w:rPr>
        <w:t>odp</w:t>
      </w:r>
      <w:r w:rsidRPr="002866E5">
        <w:rPr>
          <w:noProof/>
        </w:rPr>
        <w:t>owiednich właściwościach</w:t>
      </w:r>
      <w:r w:rsidR="008B35E8" w:rsidRPr="002866E5">
        <w:rPr>
          <w:noProof/>
        </w:rPr>
        <w:t xml:space="preserve"> w</w:t>
      </w:r>
      <w:r w:rsidR="008B35E8">
        <w:rPr>
          <w:noProof/>
        </w:rPr>
        <w:t> </w:t>
      </w:r>
      <w:r w:rsidR="008B35E8" w:rsidRPr="002866E5">
        <w:rPr>
          <w:noProof/>
        </w:rPr>
        <w:t>zak</w:t>
      </w:r>
      <w:r w:rsidRPr="002866E5">
        <w:rPr>
          <w:noProof/>
        </w:rPr>
        <w:t>resie cyberbezpieczeństwa lub korzystanie</w:t>
      </w:r>
      <w:r w:rsidR="008B35E8" w:rsidRPr="002866E5">
        <w:rPr>
          <w:noProof/>
        </w:rPr>
        <w:t xml:space="preserve"> z</w:t>
      </w:r>
      <w:r w:rsidR="008B35E8">
        <w:rPr>
          <w:noProof/>
        </w:rPr>
        <w:t> </w:t>
      </w:r>
      <w:r w:rsidR="008B35E8" w:rsidRPr="002866E5">
        <w:rPr>
          <w:noProof/>
        </w:rPr>
        <w:t>nic</w:t>
      </w:r>
      <w:r w:rsidRPr="002866E5">
        <w:rPr>
          <w:noProof/>
        </w:rPr>
        <w:t>h</w:t>
      </w:r>
      <w:r w:rsidR="008B35E8" w:rsidRPr="002866E5">
        <w:rPr>
          <w:noProof/>
        </w:rPr>
        <w:t xml:space="preserve"> w</w:t>
      </w:r>
      <w:r w:rsidR="008B35E8">
        <w:rPr>
          <w:noProof/>
        </w:rPr>
        <w:t> </w:t>
      </w:r>
      <w:r w:rsidR="008B35E8" w:rsidRPr="002866E5">
        <w:rPr>
          <w:noProof/>
        </w:rPr>
        <w:t>spo</w:t>
      </w:r>
      <w:r w:rsidRPr="002866E5">
        <w:rPr>
          <w:noProof/>
        </w:rPr>
        <w:t>sób bezpieczny</w:t>
      </w:r>
      <w:r w:rsidR="008B35E8" w:rsidRPr="002866E5">
        <w:rPr>
          <w:noProof/>
        </w:rPr>
        <w:t>. W</w:t>
      </w:r>
      <w:r w:rsidR="008B35E8">
        <w:rPr>
          <w:noProof/>
        </w:rPr>
        <w:t> </w:t>
      </w:r>
      <w:r w:rsidR="008B35E8" w:rsidRPr="002866E5">
        <w:rPr>
          <w:noProof/>
        </w:rPr>
        <w:t>śro</w:t>
      </w:r>
      <w:r w:rsidRPr="002866E5">
        <w:rPr>
          <w:noProof/>
        </w:rPr>
        <w:t>dowisku połączonym</w:t>
      </w:r>
      <w:r w:rsidR="008B35E8" w:rsidRPr="002866E5">
        <w:rPr>
          <w:noProof/>
        </w:rPr>
        <w:t xml:space="preserve"> z</w:t>
      </w:r>
      <w:r w:rsidR="008B35E8">
        <w:rPr>
          <w:noProof/>
        </w:rPr>
        <w:t> </w:t>
      </w:r>
      <w:r w:rsidR="008B35E8" w:rsidRPr="002866E5">
        <w:rPr>
          <w:noProof/>
        </w:rPr>
        <w:t>sie</w:t>
      </w:r>
      <w:r w:rsidRPr="002866E5">
        <w:rPr>
          <w:noProof/>
        </w:rPr>
        <w:t>cią cyberincydent dotyczący jednego produktu może mieć wpływ na całą organizację lub cały łańcuch dostaw</w:t>
      </w:r>
      <w:r w:rsidR="008B35E8" w:rsidRPr="002866E5">
        <w:rPr>
          <w:noProof/>
        </w:rPr>
        <w:t xml:space="preserve"> i</w:t>
      </w:r>
      <w:r w:rsidR="008B35E8">
        <w:rPr>
          <w:noProof/>
        </w:rPr>
        <w:t> </w:t>
      </w:r>
      <w:r w:rsidR="008B35E8" w:rsidRPr="002866E5">
        <w:rPr>
          <w:noProof/>
        </w:rPr>
        <w:t>czę</w:t>
      </w:r>
      <w:r w:rsidRPr="002866E5">
        <w:rPr>
          <w:noProof/>
        </w:rPr>
        <w:t>sto</w:t>
      </w:r>
      <w:r w:rsidR="008B35E8" w:rsidRPr="002866E5">
        <w:rPr>
          <w:noProof/>
        </w:rPr>
        <w:t xml:space="preserve"> w</w:t>
      </w:r>
      <w:r w:rsidR="008B35E8">
        <w:rPr>
          <w:noProof/>
        </w:rPr>
        <w:t> </w:t>
      </w:r>
      <w:r w:rsidR="008B35E8" w:rsidRPr="002866E5">
        <w:rPr>
          <w:noProof/>
        </w:rPr>
        <w:t>cią</w:t>
      </w:r>
      <w:r w:rsidRPr="002866E5">
        <w:rPr>
          <w:noProof/>
        </w:rPr>
        <w:t>gu kilku minut rozprzestrzenia się poza granice rynku wewnętrznego. Może to prowadzić do poważnych zakłóceń</w:t>
      </w:r>
      <w:r w:rsidR="008B35E8" w:rsidRPr="002866E5">
        <w:rPr>
          <w:noProof/>
        </w:rPr>
        <w:t xml:space="preserve"> w</w:t>
      </w:r>
      <w:r w:rsidR="008B35E8">
        <w:rPr>
          <w:noProof/>
        </w:rPr>
        <w:t> </w:t>
      </w:r>
      <w:r w:rsidR="008B35E8" w:rsidRPr="002866E5">
        <w:rPr>
          <w:noProof/>
        </w:rPr>
        <w:t>dzi</w:t>
      </w:r>
      <w:r w:rsidRPr="002866E5">
        <w:rPr>
          <w:noProof/>
        </w:rPr>
        <w:t>ałalności gospodarczej</w:t>
      </w:r>
      <w:r w:rsidR="008B35E8" w:rsidRPr="002866E5">
        <w:rPr>
          <w:noProof/>
        </w:rPr>
        <w:t xml:space="preserve"> i</w:t>
      </w:r>
      <w:r w:rsidR="008B35E8">
        <w:rPr>
          <w:noProof/>
        </w:rPr>
        <w:t> </w:t>
      </w:r>
      <w:r w:rsidR="008B35E8" w:rsidRPr="002866E5">
        <w:rPr>
          <w:noProof/>
        </w:rPr>
        <w:t>spo</w:t>
      </w:r>
      <w:r w:rsidRPr="002866E5">
        <w:rPr>
          <w:noProof/>
        </w:rPr>
        <w:t>łecznej,</w:t>
      </w:r>
      <w:r w:rsidR="008B35E8" w:rsidRPr="002866E5">
        <w:rPr>
          <w:noProof/>
        </w:rPr>
        <w:t xml:space="preserve"> a</w:t>
      </w:r>
      <w:r w:rsidR="008B35E8">
        <w:rPr>
          <w:noProof/>
        </w:rPr>
        <w:t> </w:t>
      </w:r>
      <w:r w:rsidR="008B35E8" w:rsidRPr="002866E5">
        <w:rPr>
          <w:noProof/>
        </w:rPr>
        <w:t>naw</w:t>
      </w:r>
      <w:r w:rsidRPr="002866E5">
        <w:rPr>
          <w:noProof/>
        </w:rPr>
        <w:t>et zagrażać życiu.</w:t>
      </w:r>
    </w:p>
    <w:p w14:paraId="67ED865E" w14:textId="4B0D1635" w:rsidR="001A77EA" w:rsidRPr="002866E5" w:rsidRDefault="001A77EA" w:rsidP="001A77EA">
      <w:pPr>
        <w:pBdr>
          <w:top w:val="nil"/>
          <w:left w:val="nil"/>
          <w:bottom w:val="nil"/>
          <w:right w:val="nil"/>
          <w:between w:val="nil"/>
          <w:bar w:val="nil"/>
        </w:pBdr>
        <w:spacing w:before="0" w:after="240"/>
        <w:rPr>
          <w:rFonts w:eastAsia="Arial Unicode MS"/>
          <w:noProof/>
        </w:rPr>
      </w:pPr>
      <w:r w:rsidRPr="002866E5">
        <w:rPr>
          <w:noProof/>
        </w:rPr>
        <w:t>Cyberbezpieczeństwo produktów</w:t>
      </w:r>
      <w:r w:rsidR="008B35E8" w:rsidRPr="002866E5">
        <w:rPr>
          <w:noProof/>
        </w:rPr>
        <w:t xml:space="preserve"> z</w:t>
      </w:r>
      <w:r w:rsidR="008B35E8">
        <w:rPr>
          <w:noProof/>
        </w:rPr>
        <w:t> </w:t>
      </w:r>
      <w:r w:rsidR="008B35E8" w:rsidRPr="002866E5">
        <w:rPr>
          <w:noProof/>
        </w:rPr>
        <w:t>ele</w:t>
      </w:r>
      <w:r w:rsidRPr="002866E5">
        <w:rPr>
          <w:noProof/>
        </w:rPr>
        <w:t>mentami cyfrowymi ma wyraźny wymiar transgraniczny, ponieważ produkty wytwarzane</w:t>
      </w:r>
      <w:r w:rsidR="008B35E8" w:rsidRPr="002866E5">
        <w:rPr>
          <w:noProof/>
        </w:rPr>
        <w:t xml:space="preserve"> w</w:t>
      </w:r>
      <w:r w:rsidR="008B35E8">
        <w:rPr>
          <w:noProof/>
        </w:rPr>
        <w:t> </w:t>
      </w:r>
      <w:r w:rsidR="008B35E8" w:rsidRPr="002866E5">
        <w:rPr>
          <w:noProof/>
        </w:rPr>
        <w:t>jed</w:t>
      </w:r>
      <w:r w:rsidRPr="002866E5">
        <w:rPr>
          <w:noProof/>
        </w:rPr>
        <w:t>nym państwie są często wykorzystywane na całym rynku wewnętrznym. Ponadto incydenty początkowo dotyczące pojedynczego podmiotu lub jednego państwa członkowskiego często</w:t>
      </w:r>
      <w:r w:rsidR="008B35E8" w:rsidRPr="002866E5">
        <w:rPr>
          <w:noProof/>
        </w:rPr>
        <w:t xml:space="preserve"> w</w:t>
      </w:r>
      <w:r w:rsidR="008B35E8">
        <w:rPr>
          <w:noProof/>
        </w:rPr>
        <w:t> </w:t>
      </w:r>
      <w:r w:rsidR="008B35E8" w:rsidRPr="002866E5">
        <w:rPr>
          <w:noProof/>
        </w:rPr>
        <w:t>cią</w:t>
      </w:r>
      <w:r w:rsidRPr="002866E5">
        <w:rPr>
          <w:noProof/>
        </w:rPr>
        <w:t>gu kilku minut rozprzestrzeniają się na cały rynek wewnętrzny.</w:t>
      </w:r>
    </w:p>
    <w:p w14:paraId="67ED865F" w14:textId="76197823" w:rsidR="003F28B4" w:rsidRPr="002866E5" w:rsidRDefault="001A77EA" w:rsidP="003F28B4">
      <w:pPr>
        <w:tabs>
          <w:tab w:val="left" w:pos="2302"/>
        </w:tabs>
        <w:rPr>
          <w:rFonts w:eastAsia="Calibri"/>
          <w:noProof/>
          <w:szCs w:val="24"/>
        </w:rPr>
      </w:pPr>
      <w:r w:rsidRPr="002866E5">
        <w:rPr>
          <w:noProof/>
        </w:rPr>
        <w:t>Chociaż obowiązujące przepisy dotyczące rynku wewnętrznego mają zastosowanie do niektórych produktów</w:t>
      </w:r>
      <w:r w:rsidR="008B35E8" w:rsidRPr="002866E5">
        <w:rPr>
          <w:noProof/>
        </w:rPr>
        <w:t xml:space="preserve"> z</w:t>
      </w:r>
      <w:r w:rsidR="008B35E8">
        <w:rPr>
          <w:noProof/>
        </w:rPr>
        <w:t> </w:t>
      </w:r>
      <w:r w:rsidR="008B35E8" w:rsidRPr="002866E5">
        <w:rPr>
          <w:noProof/>
        </w:rPr>
        <w:t>ele</w:t>
      </w:r>
      <w:r w:rsidRPr="002866E5">
        <w:rPr>
          <w:noProof/>
        </w:rPr>
        <w:t>mentami cyfrowymi, większość sprzętu</w:t>
      </w:r>
      <w:r w:rsidR="008B35E8" w:rsidRPr="002866E5">
        <w:rPr>
          <w:noProof/>
        </w:rPr>
        <w:t xml:space="preserve"> i</w:t>
      </w:r>
      <w:r w:rsidR="008B35E8">
        <w:rPr>
          <w:noProof/>
        </w:rPr>
        <w:t> </w:t>
      </w:r>
      <w:r w:rsidR="008B35E8" w:rsidRPr="002866E5">
        <w:rPr>
          <w:noProof/>
        </w:rPr>
        <w:t>opr</w:t>
      </w:r>
      <w:r w:rsidRPr="002866E5">
        <w:rPr>
          <w:noProof/>
        </w:rPr>
        <w:t>ogramowania nie jest obecnie objęta żadnymi przepisami UE regulującymi ich cyberbezpieczeństwo</w:t>
      </w:r>
      <w:r w:rsidR="008B35E8" w:rsidRPr="002866E5">
        <w:rPr>
          <w:noProof/>
        </w:rPr>
        <w:t>. W</w:t>
      </w:r>
      <w:r w:rsidR="008B35E8">
        <w:rPr>
          <w:noProof/>
        </w:rPr>
        <w:t> </w:t>
      </w:r>
      <w:r w:rsidR="008B35E8" w:rsidRPr="002866E5">
        <w:rPr>
          <w:noProof/>
        </w:rPr>
        <w:t>szc</w:t>
      </w:r>
      <w:r w:rsidRPr="002866E5">
        <w:rPr>
          <w:noProof/>
        </w:rPr>
        <w:t>zególności obecne ramy prawne UE nie odnoszą się do cyberbezpieczeństwa oprogramowania niewbudowanego, nawet jeśli naruszenia bezpieczeństwa</w:t>
      </w:r>
      <w:r w:rsidR="008B35E8" w:rsidRPr="002866E5">
        <w:rPr>
          <w:noProof/>
        </w:rPr>
        <w:t xml:space="preserve"> w</w:t>
      </w:r>
      <w:r w:rsidR="008B35E8">
        <w:rPr>
          <w:noProof/>
        </w:rPr>
        <w:t> </w:t>
      </w:r>
      <w:r w:rsidR="008B35E8" w:rsidRPr="002866E5">
        <w:rPr>
          <w:noProof/>
        </w:rPr>
        <w:t>wyn</w:t>
      </w:r>
      <w:r w:rsidRPr="002866E5">
        <w:rPr>
          <w:noProof/>
        </w:rPr>
        <w:t>iku cyberataku</w:t>
      </w:r>
      <w:r w:rsidR="008B35E8" w:rsidRPr="002866E5">
        <w:rPr>
          <w:noProof/>
        </w:rPr>
        <w:t xml:space="preserve"> w</w:t>
      </w:r>
      <w:r w:rsidR="008B35E8">
        <w:rPr>
          <w:noProof/>
        </w:rPr>
        <w:t> </w:t>
      </w:r>
      <w:r w:rsidR="008B35E8" w:rsidRPr="002866E5">
        <w:rPr>
          <w:noProof/>
        </w:rPr>
        <w:t>cor</w:t>
      </w:r>
      <w:r w:rsidRPr="002866E5">
        <w:rPr>
          <w:noProof/>
        </w:rPr>
        <w:t>az większym stopniu są wymierzone</w:t>
      </w:r>
      <w:r w:rsidR="008B35E8" w:rsidRPr="002866E5">
        <w:rPr>
          <w:noProof/>
        </w:rPr>
        <w:t xml:space="preserve"> w</w:t>
      </w:r>
      <w:r w:rsidR="008B35E8">
        <w:rPr>
          <w:noProof/>
        </w:rPr>
        <w:t> </w:t>
      </w:r>
      <w:r w:rsidR="008B35E8" w:rsidRPr="002866E5">
        <w:rPr>
          <w:noProof/>
        </w:rPr>
        <w:t>pod</w:t>
      </w:r>
      <w:r w:rsidRPr="002866E5">
        <w:rPr>
          <w:noProof/>
        </w:rPr>
        <w:t>atności tych produktów, co powoduje znaczne koszty społeczne</w:t>
      </w:r>
      <w:r w:rsidR="008B35E8" w:rsidRPr="002866E5">
        <w:rPr>
          <w:noProof/>
        </w:rPr>
        <w:t xml:space="preserve"> i</w:t>
      </w:r>
      <w:r w:rsidR="008B35E8">
        <w:rPr>
          <w:noProof/>
        </w:rPr>
        <w:t> </w:t>
      </w:r>
      <w:r w:rsidR="008B35E8" w:rsidRPr="002866E5">
        <w:rPr>
          <w:noProof/>
        </w:rPr>
        <w:t>gos</w:t>
      </w:r>
      <w:r w:rsidRPr="002866E5">
        <w:rPr>
          <w:noProof/>
        </w:rPr>
        <w:t>podarcze. Jest wiele przykładów istotnych cyberataków będących wynikiem nieoptymalnego bezpieczeństwa produktu, takich jak robak oprogramowania szantażującego WannaCry, który wykorzystał podatność Windows i</w:t>
      </w:r>
      <w:r w:rsidR="008B35E8" w:rsidRPr="002866E5">
        <w:rPr>
          <w:noProof/>
        </w:rPr>
        <w:t xml:space="preserve"> w</w:t>
      </w:r>
      <w:r w:rsidR="008B35E8">
        <w:rPr>
          <w:noProof/>
        </w:rPr>
        <w:t> </w:t>
      </w:r>
      <w:r w:rsidR="008B35E8" w:rsidRPr="002866E5">
        <w:rPr>
          <w:noProof/>
        </w:rPr>
        <w:t>2</w:t>
      </w:r>
      <w:r w:rsidRPr="002866E5">
        <w:rPr>
          <w:noProof/>
        </w:rPr>
        <w:t>0</w:t>
      </w:r>
      <w:r w:rsidRPr="008B35E8">
        <w:rPr>
          <w:noProof/>
        </w:rPr>
        <w:t>17</w:t>
      </w:r>
      <w:r w:rsidR="008B35E8" w:rsidRPr="008B35E8">
        <w:rPr>
          <w:noProof/>
        </w:rPr>
        <w:t> </w:t>
      </w:r>
      <w:r w:rsidRPr="008B35E8">
        <w:rPr>
          <w:noProof/>
        </w:rPr>
        <w:t>r.</w:t>
      </w:r>
      <w:r w:rsidRPr="002866E5">
        <w:rPr>
          <w:noProof/>
        </w:rPr>
        <w:t xml:space="preserve"> zainfekował 200 000 komputerów</w:t>
      </w:r>
      <w:r w:rsidR="008B35E8" w:rsidRPr="002866E5">
        <w:rPr>
          <w:noProof/>
        </w:rPr>
        <w:t xml:space="preserve"> w</w:t>
      </w:r>
      <w:r w:rsidR="008B35E8">
        <w:rPr>
          <w:noProof/>
        </w:rPr>
        <w:t> </w:t>
      </w:r>
      <w:r w:rsidR="008B35E8" w:rsidRPr="002866E5">
        <w:rPr>
          <w:noProof/>
        </w:rPr>
        <w:t>1</w:t>
      </w:r>
      <w:r w:rsidRPr="002866E5">
        <w:rPr>
          <w:noProof/>
        </w:rPr>
        <w:t>50 krajach, powodując szkody</w:t>
      </w:r>
      <w:r w:rsidR="008B35E8" w:rsidRPr="002866E5">
        <w:rPr>
          <w:noProof/>
        </w:rPr>
        <w:t xml:space="preserve"> o</w:t>
      </w:r>
      <w:r w:rsidR="008B35E8">
        <w:rPr>
          <w:noProof/>
        </w:rPr>
        <w:t> </w:t>
      </w:r>
      <w:r w:rsidR="008B35E8" w:rsidRPr="002866E5">
        <w:rPr>
          <w:noProof/>
        </w:rPr>
        <w:t>war</w:t>
      </w:r>
      <w:r w:rsidRPr="002866E5">
        <w:rPr>
          <w:noProof/>
        </w:rPr>
        <w:t>tości miliardów USD, atak na łańcuch dostaw Kaseya VSA, podczas którego użyto oprogramowania zarządzającego siecią Kaseya do zaatakowania ponad 1 000 przedsiębiorstw</w:t>
      </w:r>
      <w:r w:rsidR="008B35E8" w:rsidRPr="002866E5">
        <w:rPr>
          <w:noProof/>
        </w:rPr>
        <w:t xml:space="preserve"> i</w:t>
      </w:r>
      <w:r w:rsidR="008B35E8">
        <w:rPr>
          <w:noProof/>
        </w:rPr>
        <w:t> </w:t>
      </w:r>
      <w:r w:rsidR="008B35E8" w:rsidRPr="002866E5">
        <w:rPr>
          <w:noProof/>
        </w:rPr>
        <w:t>zmu</w:t>
      </w:r>
      <w:r w:rsidRPr="002866E5">
        <w:rPr>
          <w:noProof/>
        </w:rPr>
        <w:t>szenia sieci supermarketów do zamknięcia wszystkich należących do niej 500 sklepów</w:t>
      </w:r>
      <w:r w:rsidR="008B35E8" w:rsidRPr="002866E5">
        <w:rPr>
          <w:noProof/>
        </w:rPr>
        <w:t xml:space="preserve"> w</w:t>
      </w:r>
      <w:r w:rsidR="008B35E8">
        <w:rPr>
          <w:noProof/>
        </w:rPr>
        <w:t> </w:t>
      </w:r>
      <w:r w:rsidR="008B35E8" w:rsidRPr="002866E5">
        <w:rPr>
          <w:noProof/>
        </w:rPr>
        <w:t>cał</w:t>
      </w:r>
      <w:r w:rsidRPr="002866E5">
        <w:rPr>
          <w:noProof/>
        </w:rPr>
        <w:t>ej Szwecji, lub liczne incydenty hakowania aplikacji bankowych</w:t>
      </w:r>
      <w:r w:rsidR="008B35E8" w:rsidRPr="002866E5">
        <w:rPr>
          <w:noProof/>
        </w:rPr>
        <w:t xml:space="preserve"> w</w:t>
      </w:r>
      <w:r w:rsidR="008B35E8">
        <w:rPr>
          <w:noProof/>
        </w:rPr>
        <w:t> </w:t>
      </w:r>
      <w:r w:rsidR="008B35E8" w:rsidRPr="002866E5">
        <w:rPr>
          <w:noProof/>
        </w:rPr>
        <w:t>cel</w:t>
      </w:r>
      <w:r w:rsidRPr="002866E5">
        <w:rPr>
          <w:noProof/>
        </w:rPr>
        <w:t>u kradzieży środków pieniężnych od nieświadomych konsumentów.</w:t>
      </w:r>
    </w:p>
    <w:p w14:paraId="67ED8660" w14:textId="677C8E56" w:rsidR="0037165D" w:rsidRPr="002866E5" w:rsidRDefault="001A77EA" w:rsidP="00881943">
      <w:pPr>
        <w:pBdr>
          <w:top w:val="nil"/>
          <w:left w:val="nil"/>
          <w:bottom w:val="nil"/>
          <w:right w:val="nil"/>
          <w:between w:val="nil"/>
          <w:bar w:val="nil"/>
        </w:pBdr>
        <w:spacing w:before="0" w:after="240"/>
        <w:rPr>
          <w:rFonts w:eastAsia="Arial Unicode MS"/>
          <w:noProof/>
        </w:rPr>
      </w:pPr>
      <w:r w:rsidRPr="002866E5">
        <w:rPr>
          <w:noProof/>
        </w:rPr>
        <w:t>Wskazano dwa główne cele służące zapewnieniu prawidłowego funkcjonowania rynku wewnętrznego: 1) stworzenie warunków dla rozwoju bezpiecznych produktów</w:t>
      </w:r>
      <w:r w:rsidR="008B35E8" w:rsidRPr="002866E5">
        <w:rPr>
          <w:noProof/>
        </w:rPr>
        <w:t xml:space="preserve"> z</w:t>
      </w:r>
      <w:r w:rsidR="008B35E8">
        <w:rPr>
          <w:noProof/>
        </w:rPr>
        <w:t> </w:t>
      </w:r>
      <w:r w:rsidR="008B35E8" w:rsidRPr="002866E5">
        <w:rPr>
          <w:noProof/>
        </w:rPr>
        <w:t>ele</w:t>
      </w:r>
      <w:r w:rsidRPr="002866E5">
        <w:rPr>
          <w:noProof/>
        </w:rPr>
        <w:t>mentami cyfrowymi przez zapewnienie, aby sprzęt</w:t>
      </w:r>
      <w:r w:rsidR="008B35E8" w:rsidRPr="002866E5">
        <w:rPr>
          <w:noProof/>
        </w:rPr>
        <w:t xml:space="preserve"> i</w:t>
      </w:r>
      <w:r w:rsidR="008B35E8">
        <w:rPr>
          <w:noProof/>
        </w:rPr>
        <w:t> </w:t>
      </w:r>
      <w:r w:rsidR="008B35E8" w:rsidRPr="002866E5">
        <w:rPr>
          <w:noProof/>
        </w:rPr>
        <w:t>opr</w:t>
      </w:r>
      <w:r w:rsidRPr="002866E5">
        <w:rPr>
          <w:noProof/>
        </w:rPr>
        <w:t>ogramowanie były wprowadzane do obrotu</w:t>
      </w:r>
      <w:r w:rsidR="008B35E8" w:rsidRPr="002866E5">
        <w:rPr>
          <w:noProof/>
        </w:rPr>
        <w:t xml:space="preserve"> z</w:t>
      </w:r>
      <w:r w:rsidR="008B35E8">
        <w:rPr>
          <w:noProof/>
        </w:rPr>
        <w:t> </w:t>
      </w:r>
      <w:r w:rsidR="008B35E8" w:rsidRPr="002866E5">
        <w:rPr>
          <w:noProof/>
        </w:rPr>
        <w:t>mni</w:t>
      </w:r>
      <w:r w:rsidRPr="002866E5">
        <w:rPr>
          <w:noProof/>
        </w:rPr>
        <w:t>ejszą liczbą podatności,</w:t>
      </w:r>
      <w:r w:rsidR="008B35E8" w:rsidRPr="002866E5">
        <w:rPr>
          <w:noProof/>
        </w:rPr>
        <w:t xml:space="preserve"> a</w:t>
      </w:r>
      <w:r w:rsidR="008B35E8">
        <w:rPr>
          <w:noProof/>
        </w:rPr>
        <w:t> </w:t>
      </w:r>
      <w:r w:rsidR="008B35E8" w:rsidRPr="002866E5">
        <w:rPr>
          <w:noProof/>
        </w:rPr>
        <w:t>tak</w:t>
      </w:r>
      <w:r w:rsidRPr="002866E5">
        <w:rPr>
          <w:noProof/>
        </w:rPr>
        <w:t>że aby producenci poważnie traktowali bezpieczeństwo</w:t>
      </w:r>
      <w:r w:rsidR="008B35E8" w:rsidRPr="002866E5">
        <w:rPr>
          <w:noProof/>
        </w:rPr>
        <w:t xml:space="preserve"> w</w:t>
      </w:r>
      <w:r w:rsidR="008B35E8">
        <w:rPr>
          <w:noProof/>
        </w:rPr>
        <w:t> </w:t>
      </w:r>
      <w:r w:rsidR="008B35E8" w:rsidRPr="002866E5">
        <w:rPr>
          <w:noProof/>
        </w:rPr>
        <w:t>cał</w:t>
      </w:r>
      <w:r w:rsidRPr="002866E5">
        <w:rPr>
          <w:noProof/>
        </w:rPr>
        <w:t>ym cyklu życia produktu, oraz 2) stworzenie warunków umożliwiających użytkownikom uwzględnianie cyberbezpieczeństwa przy wyborze produktów</w:t>
      </w:r>
      <w:r w:rsidR="008B35E8" w:rsidRPr="002866E5">
        <w:rPr>
          <w:noProof/>
        </w:rPr>
        <w:t xml:space="preserve"> z</w:t>
      </w:r>
      <w:r w:rsidR="008B35E8">
        <w:rPr>
          <w:noProof/>
        </w:rPr>
        <w:t> </w:t>
      </w:r>
      <w:r w:rsidR="008B35E8" w:rsidRPr="002866E5">
        <w:rPr>
          <w:noProof/>
        </w:rPr>
        <w:t>ele</w:t>
      </w:r>
      <w:r w:rsidRPr="002866E5">
        <w:rPr>
          <w:noProof/>
        </w:rPr>
        <w:t>mentami cyfrowymi</w:t>
      </w:r>
      <w:r w:rsidR="008B35E8" w:rsidRPr="002866E5">
        <w:rPr>
          <w:noProof/>
        </w:rPr>
        <w:t xml:space="preserve"> i</w:t>
      </w:r>
      <w:r w:rsidR="008B35E8">
        <w:rPr>
          <w:noProof/>
        </w:rPr>
        <w:t> </w:t>
      </w:r>
      <w:r w:rsidR="008B35E8" w:rsidRPr="002866E5">
        <w:rPr>
          <w:noProof/>
        </w:rPr>
        <w:t>kor</w:t>
      </w:r>
      <w:r w:rsidRPr="002866E5">
        <w:rPr>
          <w:noProof/>
        </w:rPr>
        <w:t>zystaniu</w:t>
      </w:r>
      <w:r w:rsidR="008B35E8" w:rsidRPr="002866E5">
        <w:rPr>
          <w:noProof/>
        </w:rPr>
        <w:t xml:space="preserve"> z</w:t>
      </w:r>
      <w:r w:rsidR="008B35E8">
        <w:rPr>
          <w:noProof/>
        </w:rPr>
        <w:t> </w:t>
      </w:r>
      <w:r w:rsidR="008B35E8" w:rsidRPr="002866E5">
        <w:rPr>
          <w:noProof/>
        </w:rPr>
        <w:t>nic</w:t>
      </w:r>
      <w:r w:rsidRPr="002866E5">
        <w:rPr>
          <w:noProof/>
        </w:rPr>
        <w:t>h. Określono cztery cele szczegółowe: (i) zapewnienie, aby producenci poprawiali bezpieczeństwo produktów</w:t>
      </w:r>
      <w:r w:rsidR="008B35E8" w:rsidRPr="002866E5">
        <w:rPr>
          <w:noProof/>
        </w:rPr>
        <w:t xml:space="preserve"> z</w:t>
      </w:r>
      <w:r w:rsidR="008B35E8">
        <w:rPr>
          <w:noProof/>
        </w:rPr>
        <w:t> </w:t>
      </w:r>
      <w:r w:rsidR="008B35E8" w:rsidRPr="002866E5">
        <w:rPr>
          <w:noProof/>
        </w:rPr>
        <w:t>ele</w:t>
      </w:r>
      <w:r w:rsidRPr="002866E5">
        <w:rPr>
          <w:noProof/>
        </w:rPr>
        <w:t>mentami cyfrowymi, począwszy od etapu projektowania</w:t>
      </w:r>
      <w:r w:rsidR="008B35E8" w:rsidRPr="002866E5">
        <w:rPr>
          <w:noProof/>
        </w:rPr>
        <w:t xml:space="preserve"> i</w:t>
      </w:r>
      <w:r w:rsidR="008B35E8">
        <w:rPr>
          <w:noProof/>
        </w:rPr>
        <w:t> </w:t>
      </w:r>
      <w:r w:rsidR="008B35E8" w:rsidRPr="002866E5">
        <w:rPr>
          <w:noProof/>
        </w:rPr>
        <w:t>opr</w:t>
      </w:r>
      <w:r w:rsidRPr="002866E5">
        <w:rPr>
          <w:noProof/>
        </w:rPr>
        <w:t>acowywania oraz przez cały cykl życia; (ii) zapewnienie spójnych ram cyberbezpieczeństwa, ułatwiających producentom sprzętu</w:t>
      </w:r>
      <w:r w:rsidR="008B35E8" w:rsidRPr="002866E5">
        <w:rPr>
          <w:noProof/>
        </w:rPr>
        <w:t xml:space="preserve"> i</w:t>
      </w:r>
      <w:r w:rsidR="008B35E8">
        <w:rPr>
          <w:noProof/>
        </w:rPr>
        <w:t> </w:t>
      </w:r>
      <w:r w:rsidR="008B35E8" w:rsidRPr="002866E5">
        <w:rPr>
          <w:noProof/>
        </w:rPr>
        <w:t>opr</w:t>
      </w:r>
      <w:r w:rsidRPr="002866E5">
        <w:rPr>
          <w:noProof/>
        </w:rPr>
        <w:t xml:space="preserve">ogramowania przestrzeganie </w:t>
      </w:r>
      <w:r w:rsidRPr="002866E5">
        <w:rPr>
          <w:noProof/>
        </w:rPr>
        <w:lastRenderedPageBreak/>
        <w:t>przepisów; (iii) zwiększenie przejrzystości zabezpieczeń produktów</w:t>
      </w:r>
      <w:r w:rsidR="008B35E8" w:rsidRPr="002866E5">
        <w:rPr>
          <w:noProof/>
        </w:rPr>
        <w:t xml:space="preserve"> z</w:t>
      </w:r>
      <w:r w:rsidR="008B35E8">
        <w:rPr>
          <w:noProof/>
        </w:rPr>
        <w:t> </w:t>
      </w:r>
      <w:r w:rsidR="008B35E8" w:rsidRPr="002866E5">
        <w:rPr>
          <w:noProof/>
        </w:rPr>
        <w:t>ele</w:t>
      </w:r>
      <w:r w:rsidRPr="002866E5">
        <w:rPr>
          <w:noProof/>
        </w:rPr>
        <w:t>mentami cyfrowymi oraz (iv) umożliwienie przedsiębiorstwom</w:t>
      </w:r>
      <w:r w:rsidR="008B35E8" w:rsidRPr="002866E5">
        <w:rPr>
          <w:noProof/>
        </w:rPr>
        <w:t xml:space="preserve"> i</w:t>
      </w:r>
      <w:r w:rsidR="008B35E8">
        <w:rPr>
          <w:noProof/>
        </w:rPr>
        <w:t> </w:t>
      </w:r>
      <w:r w:rsidR="008B35E8" w:rsidRPr="002866E5">
        <w:rPr>
          <w:noProof/>
        </w:rPr>
        <w:t>kon</w:t>
      </w:r>
      <w:r w:rsidRPr="002866E5">
        <w:rPr>
          <w:noProof/>
        </w:rPr>
        <w:t>sumentom bezpiecznego korzystania</w:t>
      </w:r>
      <w:r w:rsidR="008B35E8" w:rsidRPr="002866E5">
        <w:rPr>
          <w:noProof/>
        </w:rPr>
        <w:t xml:space="preserve"> z</w:t>
      </w:r>
      <w:r w:rsidR="008B35E8">
        <w:rPr>
          <w:noProof/>
        </w:rPr>
        <w:t> </w:t>
      </w:r>
      <w:r w:rsidR="008B35E8" w:rsidRPr="002866E5">
        <w:rPr>
          <w:noProof/>
        </w:rPr>
        <w:t>pro</w:t>
      </w:r>
      <w:r w:rsidRPr="002866E5">
        <w:rPr>
          <w:noProof/>
        </w:rPr>
        <w:t>duktów</w:t>
      </w:r>
      <w:r w:rsidR="008B35E8" w:rsidRPr="002866E5">
        <w:rPr>
          <w:noProof/>
        </w:rPr>
        <w:t xml:space="preserve"> z</w:t>
      </w:r>
      <w:r w:rsidR="008B35E8">
        <w:rPr>
          <w:noProof/>
        </w:rPr>
        <w:t> </w:t>
      </w:r>
      <w:r w:rsidR="008B35E8" w:rsidRPr="002866E5">
        <w:rPr>
          <w:noProof/>
        </w:rPr>
        <w:t>ele</w:t>
      </w:r>
      <w:r w:rsidRPr="002866E5">
        <w:rPr>
          <w:noProof/>
        </w:rPr>
        <w:t>mentami cyfrowymi.</w:t>
      </w:r>
    </w:p>
    <w:p w14:paraId="67ED8661" w14:textId="43F1DED6" w:rsidR="003F28B4" w:rsidRPr="002866E5" w:rsidRDefault="003F28B4" w:rsidP="001A77EA">
      <w:pPr>
        <w:pBdr>
          <w:top w:val="nil"/>
          <w:left w:val="nil"/>
          <w:bottom w:val="nil"/>
          <w:right w:val="nil"/>
          <w:between w:val="nil"/>
          <w:bar w:val="nil"/>
        </w:pBdr>
        <w:spacing w:before="0" w:after="240"/>
        <w:rPr>
          <w:rFonts w:eastAsia="Arial Unicode MS"/>
          <w:noProof/>
        </w:rPr>
      </w:pPr>
      <w:r w:rsidRPr="002866E5">
        <w:rPr>
          <w:noProof/>
        </w:rPr>
        <w:t>Wyraźnie transgraniczny charakter cyberbezpieczeństwa</w:t>
      </w:r>
      <w:r w:rsidR="008B35E8" w:rsidRPr="002866E5">
        <w:rPr>
          <w:noProof/>
        </w:rPr>
        <w:t xml:space="preserve"> i</w:t>
      </w:r>
      <w:r w:rsidR="008B35E8">
        <w:rPr>
          <w:noProof/>
        </w:rPr>
        <w:t> </w:t>
      </w:r>
      <w:r w:rsidR="008B35E8" w:rsidRPr="002866E5">
        <w:rPr>
          <w:noProof/>
        </w:rPr>
        <w:t>cor</w:t>
      </w:r>
      <w:r w:rsidRPr="002866E5">
        <w:rPr>
          <w:noProof/>
        </w:rPr>
        <w:t>az częstsze incydenty, których skutki uboczne są odczuwalne</w:t>
      </w:r>
      <w:r w:rsidR="008B35E8" w:rsidRPr="002866E5">
        <w:rPr>
          <w:noProof/>
        </w:rPr>
        <w:t xml:space="preserve"> w</w:t>
      </w:r>
      <w:r w:rsidR="008B35E8">
        <w:rPr>
          <w:noProof/>
        </w:rPr>
        <w:t> </w:t>
      </w:r>
      <w:r w:rsidR="008B35E8" w:rsidRPr="002866E5">
        <w:rPr>
          <w:noProof/>
        </w:rPr>
        <w:t>inn</w:t>
      </w:r>
      <w:r w:rsidRPr="002866E5">
        <w:rPr>
          <w:noProof/>
        </w:rPr>
        <w:t>ych krajach oraz dotykają inne sektory</w:t>
      </w:r>
      <w:r w:rsidR="008B35E8" w:rsidRPr="002866E5">
        <w:rPr>
          <w:noProof/>
        </w:rPr>
        <w:t xml:space="preserve"> i</w:t>
      </w:r>
      <w:r w:rsidR="008B35E8">
        <w:rPr>
          <w:noProof/>
        </w:rPr>
        <w:t> </w:t>
      </w:r>
      <w:r w:rsidR="008B35E8" w:rsidRPr="002866E5">
        <w:rPr>
          <w:noProof/>
        </w:rPr>
        <w:t>pro</w:t>
      </w:r>
      <w:r w:rsidRPr="002866E5">
        <w:rPr>
          <w:noProof/>
        </w:rPr>
        <w:t>dukty, oznaczają, że państwa członkowskie nie są</w:t>
      </w:r>
      <w:r w:rsidR="008B35E8" w:rsidRPr="002866E5">
        <w:rPr>
          <w:noProof/>
        </w:rPr>
        <w:t xml:space="preserve"> w</w:t>
      </w:r>
      <w:r w:rsidR="008B35E8">
        <w:rPr>
          <w:noProof/>
        </w:rPr>
        <w:t> </w:t>
      </w:r>
      <w:r w:rsidR="008B35E8" w:rsidRPr="002866E5">
        <w:rPr>
          <w:noProof/>
        </w:rPr>
        <w:t>sta</w:t>
      </w:r>
      <w:r w:rsidRPr="002866E5">
        <w:rPr>
          <w:noProof/>
        </w:rPr>
        <w:t>nie skutecznie osiągnąć wspomnianych celów samodzielnie. Biorąc pod uwagę globalny charakter rynków produktów</w:t>
      </w:r>
      <w:r w:rsidR="008B35E8" w:rsidRPr="002866E5">
        <w:rPr>
          <w:noProof/>
        </w:rPr>
        <w:t xml:space="preserve"> z</w:t>
      </w:r>
      <w:r w:rsidR="008B35E8">
        <w:rPr>
          <w:noProof/>
        </w:rPr>
        <w:t> </w:t>
      </w:r>
      <w:r w:rsidR="008B35E8" w:rsidRPr="002866E5">
        <w:rPr>
          <w:noProof/>
        </w:rPr>
        <w:t>ele</w:t>
      </w:r>
      <w:r w:rsidRPr="002866E5">
        <w:rPr>
          <w:noProof/>
        </w:rPr>
        <w:t>mentami cyfrowymi, państwa członkowskie stoją</w:t>
      </w:r>
      <w:r w:rsidR="008B35E8" w:rsidRPr="002866E5">
        <w:rPr>
          <w:noProof/>
        </w:rPr>
        <w:t xml:space="preserve"> w</w:t>
      </w:r>
      <w:r w:rsidR="008B35E8">
        <w:rPr>
          <w:noProof/>
        </w:rPr>
        <w:t> </w:t>
      </w:r>
      <w:r w:rsidR="008B35E8" w:rsidRPr="002866E5">
        <w:rPr>
          <w:noProof/>
        </w:rPr>
        <w:t>obl</w:t>
      </w:r>
      <w:r w:rsidRPr="002866E5">
        <w:rPr>
          <w:noProof/>
        </w:rPr>
        <w:t>iczu takiego samego ryzyka</w:t>
      </w:r>
      <w:r w:rsidR="008B35E8" w:rsidRPr="002866E5">
        <w:rPr>
          <w:noProof/>
        </w:rPr>
        <w:t xml:space="preserve"> w</w:t>
      </w:r>
      <w:r w:rsidR="008B35E8">
        <w:rPr>
          <w:noProof/>
        </w:rPr>
        <w:t> </w:t>
      </w:r>
      <w:r w:rsidR="008B35E8" w:rsidRPr="002866E5">
        <w:rPr>
          <w:noProof/>
        </w:rPr>
        <w:t>prz</w:t>
      </w:r>
      <w:r w:rsidRPr="002866E5">
        <w:rPr>
          <w:noProof/>
        </w:rPr>
        <w:t>ypadku tego samego produktu</w:t>
      </w:r>
      <w:r w:rsidR="008B35E8" w:rsidRPr="002866E5">
        <w:rPr>
          <w:noProof/>
        </w:rPr>
        <w:t xml:space="preserve"> z</w:t>
      </w:r>
      <w:r w:rsidR="008B35E8">
        <w:rPr>
          <w:noProof/>
        </w:rPr>
        <w:t> </w:t>
      </w:r>
      <w:r w:rsidR="008B35E8" w:rsidRPr="002866E5">
        <w:rPr>
          <w:noProof/>
        </w:rPr>
        <w:t>ele</w:t>
      </w:r>
      <w:r w:rsidRPr="002866E5">
        <w:rPr>
          <w:noProof/>
        </w:rPr>
        <w:t>mentami cyfrowymi na swoim terytorium. Pojawiające się rozdrobione ramy potencjalnie rozbieżnych przepisów krajowych mogą zakłócić otwarty</w:t>
      </w:r>
      <w:r w:rsidR="008B35E8" w:rsidRPr="002866E5">
        <w:rPr>
          <w:noProof/>
        </w:rPr>
        <w:t xml:space="preserve"> i</w:t>
      </w:r>
      <w:r w:rsidR="008B35E8">
        <w:rPr>
          <w:noProof/>
        </w:rPr>
        <w:t> </w:t>
      </w:r>
      <w:r w:rsidR="008B35E8" w:rsidRPr="002866E5">
        <w:rPr>
          <w:noProof/>
        </w:rPr>
        <w:t>kon</w:t>
      </w:r>
      <w:r w:rsidRPr="002866E5">
        <w:rPr>
          <w:noProof/>
        </w:rPr>
        <w:t>kurencyjny jednolity rynek produktów</w:t>
      </w:r>
      <w:r w:rsidR="008B35E8" w:rsidRPr="002866E5">
        <w:rPr>
          <w:noProof/>
        </w:rPr>
        <w:t xml:space="preserve"> z</w:t>
      </w:r>
      <w:r w:rsidR="008B35E8">
        <w:rPr>
          <w:noProof/>
        </w:rPr>
        <w:t> </w:t>
      </w:r>
      <w:r w:rsidR="008B35E8" w:rsidRPr="002866E5">
        <w:rPr>
          <w:noProof/>
        </w:rPr>
        <w:t>ele</w:t>
      </w:r>
      <w:r w:rsidRPr="002866E5">
        <w:rPr>
          <w:noProof/>
        </w:rPr>
        <w:t>mentami cyfrowymi. Wspólne działanie na szczeblu UE jest zatem konieczne, aby wzbudzić większe zaufanie użytkowników</w:t>
      </w:r>
      <w:r w:rsidR="008B35E8" w:rsidRPr="002866E5">
        <w:rPr>
          <w:noProof/>
        </w:rPr>
        <w:t xml:space="preserve"> i</w:t>
      </w:r>
      <w:r w:rsidR="008B35E8">
        <w:rPr>
          <w:noProof/>
        </w:rPr>
        <w:t> </w:t>
      </w:r>
      <w:r w:rsidR="008B35E8" w:rsidRPr="002866E5">
        <w:rPr>
          <w:noProof/>
        </w:rPr>
        <w:t>pop</w:t>
      </w:r>
      <w:r w:rsidRPr="002866E5">
        <w:rPr>
          <w:noProof/>
        </w:rPr>
        <w:t>rawić atrakcyjność unijnych produktów</w:t>
      </w:r>
      <w:r w:rsidR="008B35E8" w:rsidRPr="002866E5">
        <w:rPr>
          <w:noProof/>
        </w:rPr>
        <w:t xml:space="preserve"> z</w:t>
      </w:r>
      <w:r w:rsidR="008B35E8">
        <w:rPr>
          <w:noProof/>
        </w:rPr>
        <w:t> </w:t>
      </w:r>
      <w:r w:rsidR="008B35E8" w:rsidRPr="002866E5">
        <w:rPr>
          <w:noProof/>
        </w:rPr>
        <w:t>ele</w:t>
      </w:r>
      <w:r w:rsidRPr="002866E5">
        <w:rPr>
          <w:noProof/>
        </w:rPr>
        <w:t>mentami cyfrowymi. Przyniosłoby to również korzyści rynkowi wewnętrznemu, gdyż zapewniłoby pewność prawa</w:t>
      </w:r>
      <w:r w:rsidR="008B35E8" w:rsidRPr="002866E5">
        <w:rPr>
          <w:noProof/>
        </w:rPr>
        <w:t xml:space="preserve"> i</w:t>
      </w:r>
      <w:r w:rsidR="008B35E8">
        <w:rPr>
          <w:noProof/>
        </w:rPr>
        <w:t> </w:t>
      </w:r>
      <w:r w:rsidR="008B35E8" w:rsidRPr="002866E5">
        <w:rPr>
          <w:noProof/>
        </w:rPr>
        <w:t>rów</w:t>
      </w:r>
      <w:r w:rsidRPr="002866E5">
        <w:rPr>
          <w:noProof/>
        </w:rPr>
        <w:t>ne warunki działania sprzedawcom produktów</w:t>
      </w:r>
      <w:r w:rsidR="008B35E8" w:rsidRPr="002866E5">
        <w:rPr>
          <w:noProof/>
        </w:rPr>
        <w:t xml:space="preserve"> z</w:t>
      </w:r>
      <w:r w:rsidR="008B35E8">
        <w:rPr>
          <w:noProof/>
        </w:rPr>
        <w:t> </w:t>
      </w:r>
      <w:r w:rsidR="008B35E8" w:rsidRPr="002866E5">
        <w:rPr>
          <w:noProof/>
        </w:rPr>
        <w:t>ele</w:t>
      </w:r>
      <w:r w:rsidRPr="002866E5">
        <w:rPr>
          <w:noProof/>
        </w:rPr>
        <w:t>mentami cyfrowymi, co podkreślono również</w:t>
      </w:r>
      <w:r w:rsidR="008B35E8" w:rsidRPr="002866E5">
        <w:rPr>
          <w:noProof/>
        </w:rPr>
        <w:t xml:space="preserve"> w</w:t>
      </w:r>
      <w:r w:rsidR="008B35E8">
        <w:rPr>
          <w:noProof/>
        </w:rPr>
        <w:t> </w:t>
      </w:r>
      <w:r w:rsidR="008B35E8" w:rsidRPr="002866E5">
        <w:rPr>
          <w:noProof/>
        </w:rPr>
        <w:t>spr</w:t>
      </w:r>
      <w:r w:rsidRPr="002866E5">
        <w:rPr>
          <w:noProof/>
        </w:rPr>
        <w:t>awozdaniu końcowym Konferencji</w:t>
      </w:r>
      <w:r w:rsidR="008B35E8" w:rsidRPr="002866E5">
        <w:rPr>
          <w:noProof/>
        </w:rPr>
        <w:t xml:space="preserve"> w</w:t>
      </w:r>
      <w:r w:rsidR="008B35E8">
        <w:rPr>
          <w:noProof/>
        </w:rPr>
        <w:t> </w:t>
      </w:r>
      <w:r w:rsidR="008B35E8" w:rsidRPr="002866E5">
        <w:rPr>
          <w:noProof/>
        </w:rPr>
        <w:t>spr</w:t>
      </w:r>
      <w:r w:rsidRPr="002866E5">
        <w:rPr>
          <w:noProof/>
        </w:rPr>
        <w:t>awie przyszłości Europy,</w:t>
      </w:r>
      <w:r w:rsidR="008B35E8" w:rsidRPr="002866E5">
        <w:rPr>
          <w:noProof/>
        </w:rPr>
        <w:t xml:space="preserve"> w</w:t>
      </w:r>
      <w:r w:rsidR="008B35E8">
        <w:rPr>
          <w:noProof/>
        </w:rPr>
        <w:t> </w:t>
      </w:r>
      <w:r w:rsidR="008B35E8" w:rsidRPr="002866E5">
        <w:rPr>
          <w:noProof/>
        </w:rPr>
        <w:t>któ</w:t>
      </w:r>
      <w:r w:rsidRPr="002866E5">
        <w:rPr>
          <w:noProof/>
        </w:rPr>
        <w:t>rym obywatele wzywają do zwiększenia roli UE</w:t>
      </w:r>
      <w:r w:rsidR="008B35E8" w:rsidRPr="002866E5">
        <w:rPr>
          <w:noProof/>
        </w:rPr>
        <w:t xml:space="preserve"> w</w:t>
      </w:r>
      <w:r w:rsidR="008B35E8">
        <w:rPr>
          <w:noProof/>
        </w:rPr>
        <w:t> </w:t>
      </w:r>
      <w:r w:rsidR="008B35E8" w:rsidRPr="002866E5">
        <w:rPr>
          <w:noProof/>
        </w:rPr>
        <w:t>prz</w:t>
      </w:r>
      <w:r w:rsidRPr="002866E5">
        <w:rPr>
          <w:noProof/>
        </w:rPr>
        <w:t>eciwdziałaniu zagrożeniom cyberbezpieczeństwa.</w:t>
      </w:r>
    </w:p>
    <w:p w14:paraId="67ED8662" w14:textId="39F5D734" w:rsidR="0037165D" w:rsidRPr="002866E5" w:rsidRDefault="0037165D" w:rsidP="00881943">
      <w:pPr>
        <w:pStyle w:val="ManualHeading2"/>
        <w:rPr>
          <w:rFonts w:eastAsia="Arial Unicode MS"/>
          <w:noProof/>
          <w:color w:val="000000"/>
          <w:u w:color="000000"/>
          <w:bdr w:val="nil"/>
        </w:rPr>
      </w:pPr>
      <w:r w:rsidRPr="002866E5">
        <w:rPr>
          <w:noProof/>
          <w:color w:val="000000"/>
          <w:u w:color="000000"/>
          <w:bdr w:val="nil"/>
        </w:rPr>
        <w:t>•</w:t>
      </w:r>
      <w:r w:rsidRPr="002866E5">
        <w:rPr>
          <w:noProof/>
        </w:rPr>
        <w:tab/>
        <w:t>Wzajemne powiązania</w:t>
      </w:r>
      <w:r w:rsidR="008B35E8" w:rsidRPr="002866E5">
        <w:rPr>
          <w:noProof/>
        </w:rPr>
        <w:t xml:space="preserve"> z</w:t>
      </w:r>
      <w:r w:rsidR="008B35E8">
        <w:rPr>
          <w:noProof/>
        </w:rPr>
        <w:t> </w:t>
      </w:r>
      <w:r w:rsidR="008B35E8" w:rsidRPr="002866E5">
        <w:rPr>
          <w:noProof/>
        </w:rPr>
        <w:t>prz</w:t>
      </w:r>
      <w:r w:rsidRPr="002866E5">
        <w:rPr>
          <w:noProof/>
        </w:rPr>
        <w:t>episami obowiązującymi</w:t>
      </w:r>
      <w:r w:rsidR="008B35E8" w:rsidRPr="002866E5">
        <w:rPr>
          <w:noProof/>
        </w:rPr>
        <w:t xml:space="preserve"> w</w:t>
      </w:r>
      <w:r w:rsidR="008B35E8">
        <w:rPr>
          <w:noProof/>
        </w:rPr>
        <w:t> </w:t>
      </w:r>
      <w:r w:rsidR="008B35E8" w:rsidRPr="002866E5">
        <w:rPr>
          <w:noProof/>
        </w:rPr>
        <w:t>tej</w:t>
      </w:r>
      <w:r w:rsidRPr="002866E5">
        <w:rPr>
          <w:noProof/>
        </w:rPr>
        <w:t xml:space="preserve"> dziedzinie polityki</w:t>
      </w:r>
    </w:p>
    <w:p w14:paraId="67ED8663" w14:textId="4C974F36" w:rsidR="000952F0" w:rsidRPr="002866E5" w:rsidRDefault="000952F0" w:rsidP="000952F0">
      <w:pPr>
        <w:rPr>
          <w:rFonts w:eastAsia="Calibri"/>
          <w:noProof/>
          <w:szCs w:val="24"/>
        </w:rPr>
      </w:pPr>
      <w:r w:rsidRPr="002866E5">
        <w:rPr>
          <w:noProof/>
        </w:rPr>
        <w:t>Na ramy UE składa się szereg horyzontalnych aktów prawnych, które obejmują niektóre aspekty związane</w:t>
      </w:r>
      <w:r w:rsidR="008B35E8" w:rsidRPr="002866E5">
        <w:rPr>
          <w:noProof/>
        </w:rPr>
        <w:t xml:space="preserve"> z</w:t>
      </w:r>
      <w:r w:rsidR="008B35E8">
        <w:rPr>
          <w:noProof/>
        </w:rPr>
        <w:t> </w:t>
      </w:r>
      <w:r w:rsidR="008B35E8" w:rsidRPr="002866E5">
        <w:rPr>
          <w:noProof/>
        </w:rPr>
        <w:t>cyb</w:t>
      </w:r>
      <w:r w:rsidRPr="002866E5">
        <w:rPr>
          <w:noProof/>
        </w:rPr>
        <w:t>erbezpieczeństwem</w:t>
      </w:r>
      <w:r w:rsidR="008B35E8" w:rsidRPr="002866E5">
        <w:rPr>
          <w:noProof/>
        </w:rPr>
        <w:t xml:space="preserve"> z</w:t>
      </w:r>
      <w:r w:rsidR="008B35E8">
        <w:rPr>
          <w:noProof/>
        </w:rPr>
        <w:t> </w:t>
      </w:r>
      <w:r w:rsidR="008B35E8" w:rsidRPr="002866E5">
        <w:rPr>
          <w:noProof/>
        </w:rPr>
        <w:t>róż</w:t>
      </w:r>
      <w:r w:rsidRPr="002866E5">
        <w:rPr>
          <w:noProof/>
        </w:rPr>
        <w:t>nych punktów widzenia</w:t>
      </w:r>
      <w:r w:rsidRPr="002866E5">
        <w:rPr>
          <w:b/>
          <w:noProof/>
        </w:rPr>
        <w:t xml:space="preserve"> </w:t>
      </w:r>
      <w:r w:rsidRPr="002866E5">
        <w:rPr>
          <w:noProof/>
        </w:rPr>
        <w:t>(produkty, usługi, zarządzanie kryzysowe</w:t>
      </w:r>
      <w:r w:rsidR="008B35E8" w:rsidRPr="002866E5">
        <w:rPr>
          <w:noProof/>
        </w:rPr>
        <w:t xml:space="preserve"> i</w:t>
      </w:r>
      <w:r w:rsidR="008B35E8">
        <w:rPr>
          <w:noProof/>
        </w:rPr>
        <w:t> </w:t>
      </w:r>
      <w:r w:rsidR="008B35E8" w:rsidRPr="002866E5">
        <w:rPr>
          <w:noProof/>
        </w:rPr>
        <w:t>prz</w:t>
      </w:r>
      <w:r w:rsidRPr="002866E5">
        <w:rPr>
          <w:noProof/>
        </w:rPr>
        <w:t>estępstwa). W 20</w:t>
      </w:r>
      <w:r w:rsidRPr="008B35E8">
        <w:rPr>
          <w:noProof/>
        </w:rPr>
        <w:t>13</w:t>
      </w:r>
      <w:r w:rsidR="008B35E8" w:rsidRPr="008B35E8">
        <w:rPr>
          <w:noProof/>
        </w:rPr>
        <w:t> </w:t>
      </w:r>
      <w:r w:rsidRPr="008B35E8">
        <w:rPr>
          <w:noProof/>
        </w:rPr>
        <w:t>r.</w:t>
      </w:r>
      <w:r w:rsidRPr="002866E5">
        <w:rPr>
          <w:noProof/>
        </w:rPr>
        <w:t xml:space="preserve"> weszła</w:t>
      </w:r>
      <w:r w:rsidR="008B35E8" w:rsidRPr="002866E5">
        <w:rPr>
          <w:noProof/>
        </w:rPr>
        <w:t xml:space="preserve"> w</w:t>
      </w:r>
      <w:r w:rsidR="008B35E8">
        <w:rPr>
          <w:noProof/>
        </w:rPr>
        <w:t> </w:t>
      </w:r>
      <w:r w:rsidR="008B35E8" w:rsidRPr="002866E5">
        <w:rPr>
          <w:noProof/>
        </w:rPr>
        <w:t>życ</w:t>
      </w:r>
      <w:r w:rsidRPr="002866E5">
        <w:rPr>
          <w:noProof/>
        </w:rPr>
        <w:t>ie dyrektywa dotycząca ataków na systemy informatyczne</w:t>
      </w:r>
      <w:r w:rsidRPr="002866E5">
        <w:rPr>
          <w:rStyle w:val="FootnoteReference"/>
          <w:rFonts w:eastAsia="Calibri"/>
          <w:noProof/>
          <w:szCs w:val="24"/>
        </w:rPr>
        <w:footnoteReference w:id="2"/>
      </w:r>
      <w:r w:rsidRPr="002866E5">
        <w:rPr>
          <w:noProof/>
        </w:rPr>
        <w:t>, którą ujednolicono podejście do kryminalizacji</w:t>
      </w:r>
      <w:r w:rsidR="008B35E8" w:rsidRPr="002866E5">
        <w:rPr>
          <w:noProof/>
        </w:rPr>
        <w:t xml:space="preserve"> i</w:t>
      </w:r>
      <w:r w:rsidR="008B35E8">
        <w:rPr>
          <w:noProof/>
        </w:rPr>
        <w:t> </w:t>
      </w:r>
      <w:r w:rsidR="008B35E8" w:rsidRPr="002866E5">
        <w:rPr>
          <w:noProof/>
        </w:rPr>
        <w:t>kar</w:t>
      </w:r>
      <w:r w:rsidRPr="002866E5">
        <w:rPr>
          <w:noProof/>
        </w:rPr>
        <w:t xml:space="preserve"> za szereg przestępstw przeciwko systemom informatycznym</w:t>
      </w:r>
      <w:r w:rsidR="008B35E8" w:rsidRPr="002866E5">
        <w:rPr>
          <w:noProof/>
        </w:rPr>
        <w:t>. W</w:t>
      </w:r>
      <w:r w:rsidR="008B35E8">
        <w:rPr>
          <w:noProof/>
        </w:rPr>
        <w:t> </w:t>
      </w:r>
      <w:r w:rsidR="008B35E8" w:rsidRPr="002866E5">
        <w:rPr>
          <w:noProof/>
        </w:rPr>
        <w:t>sie</w:t>
      </w:r>
      <w:r w:rsidRPr="002866E5">
        <w:rPr>
          <w:noProof/>
        </w:rPr>
        <w:t>rpniu 20</w:t>
      </w:r>
      <w:r w:rsidRPr="008B35E8">
        <w:rPr>
          <w:noProof/>
        </w:rPr>
        <w:t>16</w:t>
      </w:r>
      <w:r w:rsidR="008B35E8" w:rsidRPr="008B35E8">
        <w:rPr>
          <w:noProof/>
        </w:rPr>
        <w:t> </w:t>
      </w:r>
      <w:r w:rsidRPr="008B35E8">
        <w:rPr>
          <w:noProof/>
        </w:rPr>
        <w:t>r.</w:t>
      </w:r>
      <w:r w:rsidRPr="002866E5">
        <w:rPr>
          <w:noProof/>
        </w:rPr>
        <w:t xml:space="preserve"> weszła</w:t>
      </w:r>
      <w:r w:rsidR="008B35E8" w:rsidRPr="002866E5">
        <w:rPr>
          <w:noProof/>
        </w:rPr>
        <w:t xml:space="preserve"> w</w:t>
      </w:r>
      <w:r w:rsidR="008B35E8">
        <w:rPr>
          <w:noProof/>
        </w:rPr>
        <w:t> </w:t>
      </w:r>
      <w:r w:rsidR="008B35E8" w:rsidRPr="002866E5">
        <w:rPr>
          <w:noProof/>
        </w:rPr>
        <w:t>życ</w:t>
      </w:r>
      <w:r w:rsidRPr="002866E5">
        <w:rPr>
          <w:noProof/>
        </w:rPr>
        <w:t>ie dyrektywa (UE) 2016/1148</w:t>
      </w:r>
      <w:r w:rsidR="008B35E8" w:rsidRPr="002866E5">
        <w:rPr>
          <w:noProof/>
        </w:rPr>
        <w:t xml:space="preserve"> w</w:t>
      </w:r>
      <w:r w:rsidR="008B35E8">
        <w:rPr>
          <w:noProof/>
        </w:rPr>
        <w:t> </w:t>
      </w:r>
      <w:r w:rsidR="008B35E8" w:rsidRPr="002866E5">
        <w:rPr>
          <w:noProof/>
        </w:rPr>
        <w:t>spr</w:t>
      </w:r>
      <w:r w:rsidRPr="002866E5">
        <w:rPr>
          <w:noProof/>
        </w:rPr>
        <w:t>awie bezpieczeństwa sieci</w:t>
      </w:r>
      <w:r w:rsidR="008B35E8" w:rsidRPr="002866E5">
        <w:rPr>
          <w:noProof/>
        </w:rPr>
        <w:t xml:space="preserve"> i</w:t>
      </w:r>
      <w:r w:rsidR="008B35E8">
        <w:rPr>
          <w:noProof/>
        </w:rPr>
        <w:t> </w:t>
      </w:r>
      <w:r w:rsidR="008B35E8" w:rsidRPr="002866E5">
        <w:rPr>
          <w:noProof/>
        </w:rPr>
        <w:t>sys</w:t>
      </w:r>
      <w:r w:rsidRPr="002866E5">
        <w:rPr>
          <w:noProof/>
        </w:rPr>
        <w:t>temów informatycznych („dyrektywa</w:t>
      </w:r>
      <w:r w:rsidR="008B35E8" w:rsidRPr="002866E5">
        <w:rPr>
          <w:noProof/>
        </w:rPr>
        <w:t xml:space="preserve"> w</w:t>
      </w:r>
      <w:r w:rsidR="008B35E8">
        <w:rPr>
          <w:noProof/>
        </w:rPr>
        <w:t> </w:t>
      </w:r>
      <w:r w:rsidR="008B35E8" w:rsidRPr="002866E5">
        <w:rPr>
          <w:noProof/>
        </w:rPr>
        <w:t>spr</w:t>
      </w:r>
      <w:r w:rsidRPr="002866E5">
        <w:rPr>
          <w:noProof/>
        </w:rPr>
        <w:t>awie bezpieczeństwa sieci</w:t>
      </w:r>
      <w:r w:rsidR="008B35E8" w:rsidRPr="002866E5">
        <w:rPr>
          <w:noProof/>
        </w:rPr>
        <w:t xml:space="preserve"> i</w:t>
      </w:r>
      <w:r w:rsidR="008B35E8">
        <w:rPr>
          <w:noProof/>
        </w:rPr>
        <w:t> </w:t>
      </w:r>
      <w:r w:rsidR="008B35E8" w:rsidRPr="002866E5">
        <w:rPr>
          <w:noProof/>
        </w:rPr>
        <w:t>inf</w:t>
      </w:r>
      <w:r w:rsidRPr="002866E5">
        <w:rPr>
          <w:noProof/>
        </w:rPr>
        <w:t>ormacji”)</w:t>
      </w:r>
      <w:r w:rsidRPr="002866E5">
        <w:rPr>
          <w:rStyle w:val="FootnoteReference"/>
          <w:noProof/>
        </w:rPr>
        <w:footnoteReference w:id="3"/>
      </w:r>
      <w:r w:rsidRPr="002866E5">
        <w:rPr>
          <w:noProof/>
        </w:rPr>
        <w:t>, która stanowiła pierwszy akt prawny</w:t>
      </w:r>
      <w:r w:rsidR="008B35E8" w:rsidRPr="002866E5">
        <w:rPr>
          <w:noProof/>
        </w:rPr>
        <w:t xml:space="preserve"> w</w:t>
      </w:r>
      <w:r w:rsidR="008B35E8">
        <w:rPr>
          <w:noProof/>
        </w:rPr>
        <w:t> </w:t>
      </w:r>
      <w:r w:rsidR="008B35E8" w:rsidRPr="002866E5">
        <w:rPr>
          <w:noProof/>
        </w:rPr>
        <w:t>ogó</w:t>
      </w:r>
      <w:r w:rsidRPr="002866E5">
        <w:rPr>
          <w:noProof/>
        </w:rPr>
        <w:t>lnounijnych przepisach dotyczących cyberbezpieczeństwa. Trwa proces rewizji tej dyrektywy –</w:t>
      </w:r>
      <w:r w:rsidR="008B35E8" w:rsidRPr="002866E5">
        <w:rPr>
          <w:noProof/>
        </w:rPr>
        <w:t xml:space="preserve"> w</w:t>
      </w:r>
      <w:r w:rsidR="008B35E8">
        <w:rPr>
          <w:noProof/>
        </w:rPr>
        <w:t> </w:t>
      </w:r>
      <w:r w:rsidR="008B35E8" w:rsidRPr="002866E5">
        <w:rPr>
          <w:noProof/>
        </w:rPr>
        <w:t>zmi</w:t>
      </w:r>
      <w:r w:rsidRPr="002866E5">
        <w:rPr>
          <w:noProof/>
        </w:rPr>
        <w:t>enionej dyrektywie [dyrektywie XXX/XXXX (NIS 2)] podniesiony zostanie wspólny unijny poziom ambicji. W 20</w:t>
      </w:r>
      <w:r w:rsidRPr="008B35E8">
        <w:rPr>
          <w:noProof/>
        </w:rPr>
        <w:t>19</w:t>
      </w:r>
      <w:r w:rsidR="008B35E8" w:rsidRPr="008B35E8">
        <w:rPr>
          <w:noProof/>
        </w:rPr>
        <w:t> </w:t>
      </w:r>
      <w:r w:rsidRPr="008B35E8">
        <w:rPr>
          <w:noProof/>
        </w:rPr>
        <w:t>r.</w:t>
      </w:r>
      <w:r w:rsidRPr="002866E5">
        <w:rPr>
          <w:noProof/>
        </w:rPr>
        <w:t xml:space="preserve"> wszedł</w:t>
      </w:r>
      <w:r w:rsidR="008B35E8" w:rsidRPr="002866E5">
        <w:rPr>
          <w:noProof/>
        </w:rPr>
        <w:t xml:space="preserve"> w</w:t>
      </w:r>
      <w:r w:rsidR="008B35E8">
        <w:rPr>
          <w:noProof/>
        </w:rPr>
        <w:t> </w:t>
      </w:r>
      <w:r w:rsidR="008B35E8" w:rsidRPr="002866E5">
        <w:rPr>
          <w:noProof/>
        </w:rPr>
        <w:t>życ</w:t>
      </w:r>
      <w:r w:rsidRPr="002866E5">
        <w:rPr>
          <w:noProof/>
        </w:rPr>
        <w:t>ie unijny akt</w:t>
      </w:r>
      <w:r w:rsidR="008B35E8" w:rsidRPr="002866E5">
        <w:rPr>
          <w:noProof/>
        </w:rPr>
        <w:t xml:space="preserve"> o</w:t>
      </w:r>
      <w:r w:rsidR="008B35E8">
        <w:rPr>
          <w:noProof/>
        </w:rPr>
        <w:t> </w:t>
      </w:r>
      <w:r w:rsidR="008B35E8" w:rsidRPr="002866E5">
        <w:rPr>
          <w:noProof/>
        </w:rPr>
        <w:t>cyb</w:t>
      </w:r>
      <w:r w:rsidRPr="002866E5">
        <w:rPr>
          <w:noProof/>
        </w:rPr>
        <w:t>erbezpieczeństwie</w:t>
      </w:r>
      <w:r w:rsidRPr="002866E5">
        <w:rPr>
          <w:rStyle w:val="FootnoteReference"/>
          <w:rFonts w:eastAsia="Calibri"/>
          <w:noProof/>
          <w:szCs w:val="24"/>
        </w:rPr>
        <w:footnoteReference w:id="4"/>
      </w:r>
      <w:r w:rsidRPr="002866E5">
        <w:rPr>
          <w:noProof/>
        </w:rPr>
        <w:t>, którego celem jest zwiększenie bezpieczeństwa produktów ICT, usług ICT</w:t>
      </w:r>
      <w:r w:rsidR="008B35E8" w:rsidRPr="002866E5">
        <w:rPr>
          <w:noProof/>
        </w:rPr>
        <w:t xml:space="preserve"> i</w:t>
      </w:r>
      <w:r w:rsidR="008B35E8">
        <w:rPr>
          <w:noProof/>
        </w:rPr>
        <w:t> </w:t>
      </w:r>
      <w:r w:rsidR="008B35E8" w:rsidRPr="002866E5">
        <w:rPr>
          <w:noProof/>
        </w:rPr>
        <w:t>pro</w:t>
      </w:r>
      <w:r w:rsidRPr="002866E5">
        <w:rPr>
          <w:noProof/>
        </w:rPr>
        <w:t>cesów ICT przez wprowadzenie dobrowolnych europejskich ram certyfikacji cyberbezpieczeństwa</w:t>
      </w:r>
      <w:r w:rsidRPr="002866E5">
        <w:rPr>
          <w:rStyle w:val="FootnoteReference"/>
          <w:rFonts w:eastAsia="Calibri"/>
          <w:noProof/>
          <w:szCs w:val="24"/>
        </w:rPr>
        <w:footnoteReference w:id="5"/>
      </w:r>
      <w:r w:rsidRPr="002866E5">
        <w:rPr>
          <w:noProof/>
        </w:rPr>
        <w:t>.</w:t>
      </w:r>
    </w:p>
    <w:p w14:paraId="67ED8664" w14:textId="0AAD80F2" w:rsidR="0037165D" w:rsidRPr="002866E5" w:rsidRDefault="000952F0" w:rsidP="000952F0">
      <w:pPr>
        <w:rPr>
          <w:rFonts w:eastAsia="Arial Unicode MS"/>
          <w:noProof/>
        </w:rPr>
      </w:pPr>
      <w:r w:rsidRPr="002866E5">
        <w:rPr>
          <w:noProof/>
        </w:rPr>
        <w:t>O zapewnieniu cyberbezpieczeństwa całego łańcucha dostaw można mówić tylko wówczas, gdy wszystkie jego elementy są cyberbezpieczne</w:t>
      </w:r>
      <w:r w:rsidR="008B35E8" w:rsidRPr="002866E5">
        <w:rPr>
          <w:noProof/>
        </w:rPr>
        <w:t>. W</w:t>
      </w:r>
      <w:r w:rsidR="008B35E8">
        <w:rPr>
          <w:noProof/>
        </w:rPr>
        <w:t> </w:t>
      </w:r>
      <w:r w:rsidR="008B35E8" w:rsidRPr="002866E5">
        <w:rPr>
          <w:noProof/>
        </w:rPr>
        <w:t>wyż</w:t>
      </w:r>
      <w:r w:rsidRPr="002866E5">
        <w:rPr>
          <w:noProof/>
        </w:rPr>
        <w:t xml:space="preserve">ej wymienionych przepisach UE </w:t>
      </w:r>
      <w:r w:rsidRPr="002866E5">
        <w:rPr>
          <w:noProof/>
        </w:rPr>
        <w:lastRenderedPageBreak/>
        <w:t>występują jednak znaczące luki</w:t>
      </w:r>
      <w:r w:rsidR="008B35E8" w:rsidRPr="002866E5">
        <w:rPr>
          <w:noProof/>
        </w:rPr>
        <w:t xml:space="preserve"> w</w:t>
      </w:r>
      <w:r w:rsidR="008B35E8">
        <w:rPr>
          <w:noProof/>
        </w:rPr>
        <w:t> </w:t>
      </w:r>
      <w:r w:rsidR="008B35E8" w:rsidRPr="002866E5">
        <w:rPr>
          <w:noProof/>
        </w:rPr>
        <w:t>tym</w:t>
      </w:r>
      <w:r w:rsidRPr="002866E5">
        <w:rPr>
          <w:noProof/>
        </w:rPr>
        <w:t xml:space="preserve"> zakresie, ponieważ nie obejmują one obowiązkowych wymogów dotyczących bezpieczeństwa produktów</w:t>
      </w:r>
      <w:r w:rsidR="008B35E8" w:rsidRPr="002866E5">
        <w:rPr>
          <w:noProof/>
        </w:rPr>
        <w:t xml:space="preserve"> z</w:t>
      </w:r>
      <w:r w:rsidR="008B35E8">
        <w:rPr>
          <w:noProof/>
        </w:rPr>
        <w:t> </w:t>
      </w:r>
      <w:r w:rsidR="008B35E8" w:rsidRPr="002866E5">
        <w:rPr>
          <w:noProof/>
        </w:rPr>
        <w:t>ele</w:t>
      </w:r>
      <w:r w:rsidRPr="002866E5">
        <w:rPr>
          <w:noProof/>
        </w:rPr>
        <w:t>mentami cyfrowymi.</w:t>
      </w:r>
    </w:p>
    <w:p w14:paraId="67ED8665" w14:textId="05C90B16" w:rsidR="00DB0F58" w:rsidRPr="002866E5" w:rsidRDefault="00DB0F58" w:rsidP="000952F0">
      <w:pPr>
        <w:rPr>
          <w:rFonts w:eastAsia="Arial Unicode MS"/>
          <w:noProof/>
        </w:rPr>
      </w:pPr>
      <w:r w:rsidRPr="002866E5">
        <w:rPr>
          <w:noProof/>
        </w:rPr>
        <w:t>Chociaż proponowany akt dotyczący cyberodporności obejmuje produkty</w:t>
      </w:r>
      <w:r w:rsidR="008B35E8" w:rsidRPr="002866E5">
        <w:rPr>
          <w:noProof/>
        </w:rPr>
        <w:t xml:space="preserve"> z</w:t>
      </w:r>
      <w:r w:rsidR="008B35E8">
        <w:rPr>
          <w:noProof/>
        </w:rPr>
        <w:t> </w:t>
      </w:r>
      <w:r w:rsidR="008B35E8" w:rsidRPr="002866E5">
        <w:rPr>
          <w:noProof/>
        </w:rPr>
        <w:t>ele</w:t>
      </w:r>
      <w:r w:rsidRPr="002866E5">
        <w:rPr>
          <w:noProof/>
        </w:rPr>
        <w:t>mentami cyfrowymi wprowadzane do obrotu, celem dyrektywy [dyrektywy XXX/XXX (NIS 2)] jest zapewnienie wysokiego poziomu cyberbezpieczeństwa usług świadczonych przez podmioty niezbędne</w:t>
      </w:r>
      <w:r w:rsidR="008B35E8" w:rsidRPr="002866E5">
        <w:rPr>
          <w:noProof/>
        </w:rPr>
        <w:t xml:space="preserve"> i</w:t>
      </w:r>
      <w:r w:rsidR="008B35E8">
        <w:rPr>
          <w:noProof/>
        </w:rPr>
        <w:t> </w:t>
      </w:r>
      <w:r w:rsidR="008B35E8" w:rsidRPr="002866E5">
        <w:rPr>
          <w:noProof/>
        </w:rPr>
        <w:t>ist</w:t>
      </w:r>
      <w:r w:rsidRPr="002866E5">
        <w:rPr>
          <w:noProof/>
        </w:rPr>
        <w:t>otne</w:t>
      </w:r>
      <w:r w:rsidR="008B35E8" w:rsidRPr="002866E5">
        <w:rPr>
          <w:noProof/>
        </w:rPr>
        <w:t>. W</w:t>
      </w:r>
      <w:r w:rsidR="008B35E8">
        <w:rPr>
          <w:noProof/>
        </w:rPr>
        <w:t> </w:t>
      </w:r>
      <w:r w:rsidR="008B35E8" w:rsidRPr="002866E5">
        <w:rPr>
          <w:noProof/>
        </w:rPr>
        <w:t>dyr</w:t>
      </w:r>
      <w:r w:rsidRPr="002866E5">
        <w:rPr>
          <w:noProof/>
        </w:rPr>
        <w:t>ektywie [dyrektywie XXX/XXXX (NIS 2)] zobowiązano państwa członkowskie do zapewnienia, aby podmioty niezbędne</w:t>
      </w:r>
      <w:r w:rsidR="008B35E8" w:rsidRPr="002866E5">
        <w:rPr>
          <w:noProof/>
        </w:rPr>
        <w:t xml:space="preserve"> i</w:t>
      </w:r>
      <w:r w:rsidR="008B35E8">
        <w:rPr>
          <w:noProof/>
        </w:rPr>
        <w:t> </w:t>
      </w:r>
      <w:r w:rsidR="008B35E8" w:rsidRPr="002866E5">
        <w:rPr>
          <w:noProof/>
        </w:rPr>
        <w:t>ist</w:t>
      </w:r>
      <w:r w:rsidRPr="002866E5">
        <w:rPr>
          <w:noProof/>
        </w:rPr>
        <w:t>otne objęte zakresem jej stosowania, takie jak świadczeniodawcy opieki zdrowotnej lub dostawcy usług</w:t>
      </w:r>
      <w:r w:rsidR="008B35E8" w:rsidRPr="002866E5">
        <w:rPr>
          <w:noProof/>
        </w:rPr>
        <w:t xml:space="preserve"> w</w:t>
      </w:r>
      <w:r w:rsidR="008B35E8">
        <w:rPr>
          <w:noProof/>
        </w:rPr>
        <w:t> </w:t>
      </w:r>
      <w:r w:rsidR="008B35E8" w:rsidRPr="002866E5">
        <w:rPr>
          <w:noProof/>
        </w:rPr>
        <w:t>chm</w:t>
      </w:r>
      <w:r w:rsidRPr="002866E5">
        <w:rPr>
          <w:noProof/>
        </w:rPr>
        <w:t>urze oraz podmioty administracji publicznej, wprowadzały odpowiednie</w:t>
      </w:r>
      <w:r w:rsidR="008B35E8" w:rsidRPr="002866E5">
        <w:rPr>
          <w:noProof/>
        </w:rPr>
        <w:t xml:space="preserve"> i</w:t>
      </w:r>
      <w:r w:rsidR="008B35E8">
        <w:rPr>
          <w:noProof/>
        </w:rPr>
        <w:t> </w:t>
      </w:r>
      <w:r w:rsidR="008B35E8" w:rsidRPr="002866E5">
        <w:rPr>
          <w:noProof/>
        </w:rPr>
        <w:t>pro</w:t>
      </w:r>
      <w:r w:rsidRPr="002866E5">
        <w:rPr>
          <w:noProof/>
        </w:rPr>
        <w:t>porcjonalne środki techniczne, operacyjne</w:t>
      </w:r>
      <w:r w:rsidR="008B35E8" w:rsidRPr="002866E5">
        <w:rPr>
          <w:noProof/>
        </w:rPr>
        <w:t xml:space="preserve"> i</w:t>
      </w:r>
      <w:r w:rsidR="008B35E8">
        <w:rPr>
          <w:noProof/>
        </w:rPr>
        <w:t> </w:t>
      </w:r>
      <w:r w:rsidR="008B35E8" w:rsidRPr="002866E5">
        <w:rPr>
          <w:noProof/>
        </w:rPr>
        <w:t>org</w:t>
      </w:r>
      <w:r w:rsidRPr="002866E5">
        <w:rPr>
          <w:noProof/>
        </w:rPr>
        <w:t>anizacyjne</w:t>
      </w:r>
      <w:r w:rsidR="008B35E8" w:rsidRPr="002866E5">
        <w:rPr>
          <w:noProof/>
        </w:rPr>
        <w:t xml:space="preserve"> w</w:t>
      </w:r>
      <w:r w:rsidR="008B35E8">
        <w:rPr>
          <w:noProof/>
        </w:rPr>
        <w:t> </w:t>
      </w:r>
      <w:r w:rsidR="008B35E8" w:rsidRPr="002866E5">
        <w:rPr>
          <w:noProof/>
        </w:rPr>
        <w:t>zak</w:t>
      </w:r>
      <w:r w:rsidRPr="002866E5">
        <w:rPr>
          <w:noProof/>
        </w:rPr>
        <w:t>resie cyberbezpieczeństwa. Środki te obejmują między innymi wymóg zapewnienia bezpieczeństwa</w:t>
      </w:r>
      <w:r w:rsidR="008B35E8" w:rsidRPr="002866E5">
        <w:rPr>
          <w:noProof/>
        </w:rPr>
        <w:t xml:space="preserve"> w</w:t>
      </w:r>
      <w:r w:rsidR="008B35E8">
        <w:rPr>
          <w:noProof/>
        </w:rPr>
        <w:t> </w:t>
      </w:r>
      <w:r w:rsidR="008B35E8" w:rsidRPr="002866E5">
        <w:rPr>
          <w:noProof/>
        </w:rPr>
        <w:t>pro</w:t>
      </w:r>
      <w:r w:rsidRPr="002866E5">
        <w:rPr>
          <w:noProof/>
        </w:rPr>
        <w:t>cesie nabywania, rozwoju</w:t>
      </w:r>
      <w:r w:rsidR="008B35E8" w:rsidRPr="002866E5">
        <w:rPr>
          <w:noProof/>
        </w:rPr>
        <w:t xml:space="preserve"> i</w:t>
      </w:r>
      <w:r w:rsidR="008B35E8">
        <w:rPr>
          <w:noProof/>
        </w:rPr>
        <w:t> </w:t>
      </w:r>
      <w:r w:rsidR="008B35E8" w:rsidRPr="002866E5">
        <w:rPr>
          <w:noProof/>
        </w:rPr>
        <w:t>utr</w:t>
      </w:r>
      <w:r w:rsidRPr="002866E5">
        <w:rPr>
          <w:noProof/>
        </w:rPr>
        <w:t>zymania sieci</w:t>
      </w:r>
      <w:r w:rsidR="008B35E8" w:rsidRPr="002866E5">
        <w:rPr>
          <w:noProof/>
        </w:rPr>
        <w:t xml:space="preserve"> i</w:t>
      </w:r>
      <w:r w:rsidR="008B35E8">
        <w:rPr>
          <w:noProof/>
        </w:rPr>
        <w:t> </w:t>
      </w:r>
      <w:r w:rsidR="008B35E8" w:rsidRPr="002866E5">
        <w:rPr>
          <w:noProof/>
        </w:rPr>
        <w:t>sys</w:t>
      </w:r>
      <w:r w:rsidRPr="002866E5">
        <w:rPr>
          <w:noProof/>
        </w:rPr>
        <w:t>temów informatycznych,</w:t>
      </w:r>
      <w:r w:rsidR="008B35E8" w:rsidRPr="002866E5">
        <w:rPr>
          <w:noProof/>
        </w:rPr>
        <w:t xml:space="preserve"> w</w:t>
      </w:r>
      <w:r w:rsidR="008B35E8">
        <w:rPr>
          <w:noProof/>
        </w:rPr>
        <w:t> </w:t>
      </w:r>
      <w:r w:rsidR="008B35E8" w:rsidRPr="002866E5">
        <w:rPr>
          <w:noProof/>
        </w:rPr>
        <w:t>tym</w:t>
      </w:r>
      <w:r w:rsidRPr="002866E5">
        <w:rPr>
          <w:noProof/>
        </w:rPr>
        <w:t xml:space="preserve"> postępowanie</w:t>
      </w:r>
      <w:r w:rsidR="008B35E8" w:rsidRPr="002866E5">
        <w:rPr>
          <w:noProof/>
        </w:rPr>
        <w:t xml:space="preserve"> w</w:t>
      </w:r>
      <w:r w:rsidR="008B35E8">
        <w:rPr>
          <w:noProof/>
        </w:rPr>
        <w:t> </w:t>
      </w:r>
      <w:r w:rsidR="008B35E8" w:rsidRPr="002866E5">
        <w:rPr>
          <w:noProof/>
        </w:rPr>
        <w:t>prz</w:t>
      </w:r>
      <w:r w:rsidRPr="002866E5">
        <w:rPr>
          <w:noProof/>
        </w:rPr>
        <w:t>ypadku wykrycia podatności</w:t>
      </w:r>
      <w:r w:rsidR="008B35E8" w:rsidRPr="002866E5">
        <w:rPr>
          <w:noProof/>
        </w:rPr>
        <w:t xml:space="preserve"> i</w:t>
      </w:r>
      <w:r w:rsidR="008B35E8">
        <w:rPr>
          <w:noProof/>
        </w:rPr>
        <w:t> </w:t>
      </w:r>
      <w:r w:rsidR="008B35E8" w:rsidRPr="002866E5">
        <w:rPr>
          <w:noProof/>
        </w:rPr>
        <w:t>ich</w:t>
      </w:r>
      <w:r w:rsidRPr="002866E5">
        <w:rPr>
          <w:noProof/>
        </w:rPr>
        <w:t xml:space="preserve"> ujawnianie</w:t>
      </w:r>
      <w:r w:rsidR="008B35E8" w:rsidRPr="002866E5">
        <w:rPr>
          <w:noProof/>
        </w:rPr>
        <w:t>. W</w:t>
      </w:r>
      <w:r w:rsidR="008B35E8">
        <w:rPr>
          <w:noProof/>
        </w:rPr>
        <w:t> </w:t>
      </w:r>
      <w:r w:rsidR="008B35E8" w:rsidRPr="002866E5">
        <w:rPr>
          <w:noProof/>
        </w:rPr>
        <w:t>dyr</w:t>
      </w:r>
      <w:r w:rsidRPr="002866E5">
        <w:rPr>
          <w:noProof/>
        </w:rPr>
        <w:t>ektywie [dyrektywie XXX/XXXX (NIS 2)] zobowiązano Komisję do przyjęcia aktów wykonawczych określających wymogi techniczne</w:t>
      </w:r>
      <w:r w:rsidR="008B35E8" w:rsidRPr="002866E5">
        <w:rPr>
          <w:noProof/>
        </w:rPr>
        <w:t xml:space="preserve"> i</w:t>
      </w:r>
      <w:r w:rsidR="008B35E8">
        <w:rPr>
          <w:noProof/>
        </w:rPr>
        <w:t> </w:t>
      </w:r>
      <w:r w:rsidR="008B35E8" w:rsidRPr="002866E5">
        <w:rPr>
          <w:noProof/>
        </w:rPr>
        <w:t>met</w:t>
      </w:r>
      <w:r w:rsidRPr="002866E5">
        <w:rPr>
          <w:noProof/>
        </w:rPr>
        <w:t>odyczne dotyczące tych środków</w:t>
      </w:r>
      <w:r w:rsidR="008B35E8" w:rsidRPr="002866E5">
        <w:rPr>
          <w:noProof/>
        </w:rPr>
        <w:t xml:space="preserve"> w</w:t>
      </w:r>
      <w:r w:rsidR="008B35E8">
        <w:rPr>
          <w:noProof/>
        </w:rPr>
        <w:t> </w:t>
      </w:r>
      <w:r w:rsidR="008B35E8" w:rsidRPr="002866E5">
        <w:rPr>
          <w:noProof/>
        </w:rPr>
        <w:t>ter</w:t>
      </w:r>
      <w:r w:rsidRPr="002866E5">
        <w:rPr>
          <w:noProof/>
        </w:rPr>
        <w:t>minie 21 miesięcy od daty wejścia</w:t>
      </w:r>
      <w:r w:rsidR="008B35E8" w:rsidRPr="002866E5">
        <w:rPr>
          <w:noProof/>
        </w:rPr>
        <w:t xml:space="preserve"> w</w:t>
      </w:r>
      <w:r w:rsidR="008B35E8">
        <w:rPr>
          <w:noProof/>
        </w:rPr>
        <w:t> </w:t>
      </w:r>
      <w:r w:rsidR="008B35E8" w:rsidRPr="002866E5">
        <w:rPr>
          <w:noProof/>
        </w:rPr>
        <w:t>życ</w:t>
      </w:r>
      <w:r w:rsidRPr="002866E5">
        <w:rPr>
          <w:noProof/>
        </w:rPr>
        <w:t>ie tej dyrektywy</w:t>
      </w:r>
      <w:r w:rsidR="008B35E8" w:rsidRPr="002866E5">
        <w:rPr>
          <w:noProof/>
        </w:rPr>
        <w:t xml:space="preserve"> w</w:t>
      </w:r>
      <w:r w:rsidR="008B35E8">
        <w:rPr>
          <w:noProof/>
        </w:rPr>
        <w:t> </w:t>
      </w:r>
      <w:r w:rsidR="008B35E8" w:rsidRPr="002866E5">
        <w:rPr>
          <w:noProof/>
        </w:rPr>
        <w:t>odn</w:t>
      </w:r>
      <w:r w:rsidRPr="002866E5">
        <w:rPr>
          <w:noProof/>
        </w:rPr>
        <w:t>iesieniu do niektórych rodzajów podmiotów, takich jak dostawcy usług</w:t>
      </w:r>
      <w:r w:rsidR="008B35E8" w:rsidRPr="002866E5">
        <w:rPr>
          <w:noProof/>
        </w:rPr>
        <w:t xml:space="preserve"> w</w:t>
      </w:r>
      <w:r w:rsidR="008B35E8">
        <w:rPr>
          <w:noProof/>
        </w:rPr>
        <w:t> </w:t>
      </w:r>
      <w:r w:rsidR="008B35E8" w:rsidRPr="002866E5">
        <w:rPr>
          <w:noProof/>
        </w:rPr>
        <w:t>chm</w:t>
      </w:r>
      <w:r w:rsidRPr="002866E5">
        <w:rPr>
          <w:noProof/>
        </w:rPr>
        <w:t>urze</w:t>
      </w:r>
      <w:r w:rsidR="008B35E8" w:rsidRPr="002866E5">
        <w:rPr>
          <w:noProof/>
        </w:rPr>
        <w:t>. W</w:t>
      </w:r>
      <w:r w:rsidR="008B35E8">
        <w:rPr>
          <w:noProof/>
        </w:rPr>
        <w:t> </w:t>
      </w:r>
      <w:r w:rsidR="008B35E8" w:rsidRPr="002866E5">
        <w:rPr>
          <w:noProof/>
        </w:rPr>
        <w:t>odn</w:t>
      </w:r>
      <w:r w:rsidRPr="002866E5">
        <w:rPr>
          <w:noProof/>
        </w:rPr>
        <w:t>iesieniu do wszystkich innych podmiotów Komisja może przyjąć akt wykonawczy określający wymogi techniczne</w:t>
      </w:r>
      <w:r w:rsidR="008B35E8" w:rsidRPr="002866E5">
        <w:rPr>
          <w:noProof/>
        </w:rPr>
        <w:t xml:space="preserve"> i</w:t>
      </w:r>
      <w:r w:rsidR="008B35E8">
        <w:rPr>
          <w:noProof/>
        </w:rPr>
        <w:t> </w:t>
      </w:r>
      <w:r w:rsidR="008B35E8" w:rsidRPr="002866E5">
        <w:rPr>
          <w:noProof/>
        </w:rPr>
        <w:t>met</w:t>
      </w:r>
      <w:r w:rsidRPr="002866E5">
        <w:rPr>
          <w:noProof/>
        </w:rPr>
        <w:t>odyczne, jak również wymogi sektorowe. Ramy te zapewnią wdrożenie specyfikacji technicznych</w:t>
      </w:r>
      <w:r w:rsidR="008B35E8" w:rsidRPr="002866E5">
        <w:rPr>
          <w:noProof/>
        </w:rPr>
        <w:t xml:space="preserve"> i</w:t>
      </w:r>
      <w:r w:rsidR="008B35E8">
        <w:rPr>
          <w:noProof/>
        </w:rPr>
        <w:t> </w:t>
      </w:r>
      <w:r w:rsidR="008B35E8" w:rsidRPr="002866E5">
        <w:rPr>
          <w:noProof/>
        </w:rPr>
        <w:t>śro</w:t>
      </w:r>
      <w:r w:rsidRPr="002866E5">
        <w:rPr>
          <w:noProof/>
        </w:rPr>
        <w:t>dków podobnych do zasadniczych wymogów cyberbezpieczeństwa określonych</w:t>
      </w:r>
      <w:r w:rsidR="008B35E8" w:rsidRPr="002866E5">
        <w:rPr>
          <w:noProof/>
        </w:rPr>
        <w:t xml:space="preserve"> w</w:t>
      </w:r>
      <w:r w:rsidR="008B35E8">
        <w:rPr>
          <w:noProof/>
        </w:rPr>
        <w:t> </w:t>
      </w:r>
      <w:r w:rsidR="008B35E8" w:rsidRPr="002866E5">
        <w:rPr>
          <w:noProof/>
        </w:rPr>
        <w:t>akc</w:t>
      </w:r>
      <w:r w:rsidRPr="002866E5">
        <w:rPr>
          <w:noProof/>
        </w:rPr>
        <w:t>ie dotyczącym cyberodporności również</w:t>
      </w:r>
      <w:r w:rsidR="008B35E8" w:rsidRPr="002866E5">
        <w:rPr>
          <w:noProof/>
        </w:rPr>
        <w:t xml:space="preserve"> w</w:t>
      </w:r>
      <w:r w:rsidR="008B35E8">
        <w:rPr>
          <w:noProof/>
        </w:rPr>
        <w:t> </w:t>
      </w:r>
      <w:r w:rsidR="008B35E8" w:rsidRPr="002866E5">
        <w:rPr>
          <w:noProof/>
        </w:rPr>
        <w:t>odn</w:t>
      </w:r>
      <w:r w:rsidRPr="002866E5">
        <w:rPr>
          <w:noProof/>
        </w:rPr>
        <w:t>iesieniu do projektowania, opracowywania</w:t>
      </w:r>
      <w:r w:rsidR="008B35E8" w:rsidRPr="002866E5">
        <w:rPr>
          <w:noProof/>
        </w:rPr>
        <w:t xml:space="preserve"> i</w:t>
      </w:r>
      <w:r w:rsidR="008B35E8">
        <w:rPr>
          <w:noProof/>
        </w:rPr>
        <w:t> </w:t>
      </w:r>
      <w:r w:rsidR="008B35E8" w:rsidRPr="002866E5">
        <w:rPr>
          <w:noProof/>
        </w:rPr>
        <w:t>pos</w:t>
      </w:r>
      <w:r w:rsidRPr="002866E5">
        <w:rPr>
          <w:noProof/>
        </w:rPr>
        <w:t>tępowania</w:t>
      </w:r>
      <w:r w:rsidR="008B35E8" w:rsidRPr="002866E5">
        <w:rPr>
          <w:noProof/>
        </w:rPr>
        <w:t xml:space="preserve"> w</w:t>
      </w:r>
      <w:r w:rsidR="008B35E8">
        <w:rPr>
          <w:noProof/>
        </w:rPr>
        <w:t> </w:t>
      </w:r>
      <w:r w:rsidR="008B35E8" w:rsidRPr="002866E5">
        <w:rPr>
          <w:noProof/>
        </w:rPr>
        <w:t>prz</w:t>
      </w:r>
      <w:r w:rsidRPr="002866E5">
        <w:rPr>
          <w:noProof/>
        </w:rPr>
        <w:t>ypadku wykrycia podatności oprogramowania dostarczanego jako usługa (oprogramowanie jako usługa). Może to być na przykład środek zapewniający wysoki poziom cyberbezpieczeństwa</w:t>
      </w:r>
      <w:r w:rsidR="008B35E8" w:rsidRPr="002866E5">
        <w:rPr>
          <w:noProof/>
        </w:rPr>
        <w:t xml:space="preserve"> w</w:t>
      </w:r>
      <w:r w:rsidR="008B35E8">
        <w:rPr>
          <w:noProof/>
        </w:rPr>
        <w:t> </w:t>
      </w:r>
      <w:r w:rsidR="008B35E8" w:rsidRPr="002866E5">
        <w:rPr>
          <w:noProof/>
        </w:rPr>
        <w:t>tak</w:t>
      </w:r>
      <w:r w:rsidRPr="002866E5">
        <w:rPr>
          <w:noProof/>
        </w:rPr>
        <w:t>ich przypadkach jak systemy elektronicznej dokumentacji medycznej (EHR),</w:t>
      </w:r>
      <w:r w:rsidR="008B35E8" w:rsidRPr="002866E5">
        <w:rPr>
          <w:noProof/>
        </w:rPr>
        <w:t xml:space="preserve"> w</w:t>
      </w:r>
      <w:r w:rsidR="008B35E8">
        <w:rPr>
          <w:noProof/>
        </w:rPr>
        <w:t> </w:t>
      </w:r>
      <w:r w:rsidR="008B35E8" w:rsidRPr="002866E5">
        <w:rPr>
          <w:noProof/>
        </w:rPr>
        <w:t>tym</w:t>
      </w:r>
      <w:r w:rsidRPr="002866E5">
        <w:rPr>
          <w:noProof/>
        </w:rPr>
        <w:t xml:space="preserve"> gdy są dostarczane</w:t>
      </w:r>
      <w:r w:rsidR="008B35E8" w:rsidRPr="002866E5">
        <w:rPr>
          <w:noProof/>
        </w:rPr>
        <w:t xml:space="preserve"> w</w:t>
      </w:r>
      <w:r w:rsidR="008B35E8">
        <w:rPr>
          <w:noProof/>
        </w:rPr>
        <w:t> </w:t>
      </w:r>
      <w:r w:rsidR="008B35E8" w:rsidRPr="002866E5">
        <w:rPr>
          <w:noProof/>
        </w:rPr>
        <w:t>pos</w:t>
      </w:r>
      <w:r w:rsidRPr="002866E5">
        <w:rPr>
          <w:noProof/>
        </w:rPr>
        <w:t>taci oprogramowania jako usługa (SaaS) lub opracowywane</w:t>
      </w:r>
      <w:r w:rsidR="008B35E8" w:rsidRPr="002866E5">
        <w:rPr>
          <w:noProof/>
        </w:rPr>
        <w:t xml:space="preserve"> w</w:t>
      </w:r>
      <w:r w:rsidR="008B35E8">
        <w:rPr>
          <w:noProof/>
        </w:rPr>
        <w:t> </w:t>
      </w:r>
      <w:r w:rsidR="008B35E8" w:rsidRPr="002866E5">
        <w:rPr>
          <w:noProof/>
        </w:rPr>
        <w:t>ram</w:t>
      </w:r>
      <w:r w:rsidRPr="002866E5">
        <w:rPr>
          <w:noProof/>
        </w:rPr>
        <w:t>ach instytucji zdrowia publicznego (wewnętrznie), zgodnie</w:t>
      </w:r>
      <w:r w:rsidR="008B35E8" w:rsidRPr="002866E5">
        <w:rPr>
          <w:noProof/>
        </w:rPr>
        <w:t xml:space="preserve"> z</w:t>
      </w:r>
      <w:r w:rsidR="008B35E8">
        <w:rPr>
          <w:noProof/>
        </w:rPr>
        <w:t> </w:t>
      </w:r>
      <w:r w:rsidR="008B35E8" w:rsidRPr="002866E5">
        <w:rPr>
          <w:noProof/>
        </w:rPr>
        <w:t>pro</w:t>
      </w:r>
      <w:r w:rsidRPr="002866E5">
        <w:rPr>
          <w:noProof/>
        </w:rPr>
        <w:t>ponowanym [rozporządzeniem</w:t>
      </w:r>
      <w:r w:rsidR="008B35E8" w:rsidRPr="002866E5">
        <w:rPr>
          <w:noProof/>
        </w:rPr>
        <w:t xml:space="preserve"> w</w:t>
      </w:r>
      <w:r w:rsidR="008B35E8">
        <w:rPr>
          <w:noProof/>
        </w:rPr>
        <w:t> </w:t>
      </w:r>
      <w:r w:rsidR="008B35E8" w:rsidRPr="002866E5">
        <w:rPr>
          <w:noProof/>
        </w:rPr>
        <w:t>spr</w:t>
      </w:r>
      <w:r w:rsidRPr="002866E5">
        <w:rPr>
          <w:noProof/>
        </w:rPr>
        <w:t>awie europejskiej przestrzeni danych dotyczących zdrowia].</w:t>
      </w:r>
    </w:p>
    <w:p w14:paraId="67ED8666" w14:textId="4BBB66D2" w:rsidR="0037165D" w:rsidRPr="002866E5" w:rsidRDefault="0037165D" w:rsidP="00881943">
      <w:pPr>
        <w:pStyle w:val="ManualHeading2"/>
        <w:rPr>
          <w:rFonts w:eastAsia="Arial Unicode MS"/>
          <w:noProof/>
        </w:rPr>
      </w:pPr>
      <w:r w:rsidRPr="002866E5">
        <w:rPr>
          <w:noProof/>
          <w:color w:val="000000"/>
          <w:u w:color="000000"/>
          <w:bdr w:val="nil"/>
        </w:rPr>
        <w:t>•</w:t>
      </w:r>
      <w:r w:rsidRPr="002866E5">
        <w:rPr>
          <w:noProof/>
        </w:rPr>
        <w:tab/>
        <w:t>Wzajemne powiązania</w:t>
      </w:r>
      <w:r w:rsidR="008B35E8" w:rsidRPr="002866E5">
        <w:rPr>
          <w:noProof/>
        </w:rPr>
        <w:t xml:space="preserve"> z</w:t>
      </w:r>
      <w:r w:rsidR="008B35E8">
        <w:rPr>
          <w:noProof/>
        </w:rPr>
        <w:t> </w:t>
      </w:r>
      <w:r w:rsidR="008B35E8" w:rsidRPr="002866E5">
        <w:rPr>
          <w:noProof/>
        </w:rPr>
        <w:t>inn</w:t>
      </w:r>
      <w:r w:rsidRPr="002866E5">
        <w:rPr>
          <w:noProof/>
        </w:rPr>
        <w:t>ymi politykami Unii</w:t>
      </w:r>
    </w:p>
    <w:p w14:paraId="67ED8667" w14:textId="5B97225D" w:rsidR="0037165D" w:rsidRPr="002866E5" w:rsidRDefault="000952F0" w:rsidP="00881943">
      <w:pPr>
        <w:pBdr>
          <w:top w:val="nil"/>
          <w:left w:val="nil"/>
          <w:bottom w:val="nil"/>
          <w:right w:val="nil"/>
          <w:between w:val="nil"/>
          <w:bar w:val="nil"/>
        </w:pBdr>
        <w:spacing w:before="0" w:after="240"/>
        <w:rPr>
          <w:rFonts w:eastAsia="Arial Unicode MS"/>
          <w:noProof/>
        </w:rPr>
      </w:pPr>
      <w:r w:rsidRPr="002866E5">
        <w:rPr>
          <w:noProof/>
        </w:rPr>
        <w:t>Jak określono</w:t>
      </w:r>
      <w:r w:rsidR="008B35E8" w:rsidRPr="002866E5">
        <w:rPr>
          <w:noProof/>
        </w:rPr>
        <w:t xml:space="preserve"> w</w:t>
      </w:r>
      <w:r w:rsidR="008B35E8">
        <w:rPr>
          <w:noProof/>
        </w:rPr>
        <w:t> </w:t>
      </w:r>
      <w:r w:rsidR="008B35E8" w:rsidRPr="002866E5">
        <w:rPr>
          <w:noProof/>
        </w:rPr>
        <w:t>kom</w:t>
      </w:r>
      <w:r w:rsidRPr="002866E5">
        <w:rPr>
          <w:noProof/>
        </w:rPr>
        <w:t>unikacie zatytułowanym „Kształtowanie cyfrowej przyszłości Europy”</w:t>
      </w:r>
      <w:r w:rsidRPr="002866E5">
        <w:rPr>
          <w:rStyle w:val="FootnoteReference"/>
          <w:noProof/>
        </w:rPr>
        <w:footnoteReference w:id="6"/>
      </w:r>
      <w:r w:rsidRPr="002866E5">
        <w:rPr>
          <w:noProof/>
        </w:rPr>
        <w:t>, Unia musi wykorzystać wszystkie możliwości, jakie daje epoka cyfrowa,</w:t>
      </w:r>
      <w:r w:rsidR="008B35E8" w:rsidRPr="002866E5">
        <w:rPr>
          <w:noProof/>
        </w:rPr>
        <w:t xml:space="preserve"> a</w:t>
      </w:r>
      <w:r w:rsidR="008B35E8">
        <w:rPr>
          <w:noProof/>
        </w:rPr>
        <w:t> </w:t>
      </w:r>
      <w:r w:rsidR="008B35E8" w:rsidRPr="002866E5">
        <w:rPr>
          <w:noProof/>
        </w:rPr>
        <w:t>tak</w:t>
      </w:r>
      <w:r w:rsidRPr="002866E5">
        <w:rPr>
          <w:noProof/>
        </w:rPr>
        <w:t>że wzmocnić swoje zdolności przemysłowe</w:t>
      </w:r>
      <w:r w:rsidR="008B35E8" w:rsidRPr="002866E5">
        <w:rPr>
          <w:noProof/>
        </w:rPr>
        <w:t xml:space="preserve"> i</w:t>
      </w:r>
      <w:r w:rsidR="008B35E8">
        <w:rPr>
          <w:noProof/>
        </w:rPr>
        <w:t> </w:t>
      </w:r>
      <w:r w:rsidR="008B35E8" w:rsidRPr="002866E5">
        <w:rPr>
          <w:noProof/>
        </w:rPr>
        <w:t>inn</w:t>
      </w:r>
      <w:r w:rsidRPr="002866E5">
        <w:rPr>
          <w:noProof/>
        </w:rPr>
        <w:t>owacyjne,</w:t>
      </w:r>
      <w:r w:rsidR="008B35E8" w:rsidRPr="002866E5">
        <w:rPr>
          <w:noProof/>
        </w:rPr>
        <w:t xml:space="preserve"> w</w:t>
      </w:r>
      <w:r w:rsidR="008B35E8">
        <w:rPr>
          <w:noProof/>
        </w:rPr>
        <w:t> </w:t>
      </w:r>
      <w:r w:rsidR="008B35E8" w:rsidRPr="002866E5">
        <w:rPr>
          <w:noProof/>
        </w:rPr>
        <w:t>gra</w:t>
      </w:r>
      <w:r w:rsidRPr="002866E5">
        <w:rPr>
          <w:noProof/>
        </w:rPr>
        <w:t>nicach bezpieczeństwa</w:t>
      </w:r>
      <w:r w:rsidR="008B35E8" w:rsidRPr="002866E5">
        <w:rPr>
          <w:noProof/>
        </w:rPr>
        <w:t xml:space="preserve"> i</w:t>
      </w:r>
      <w:r w:rsidR="008B35E8">
        <w:rPr>
          <w:noProof/>
        </w:rPr>
        <w:t> </w:t>
      </w:r>
      <w:r w:rsidR="008B35E8" w:rsidRPr="002866E5">
        <w:rPr>
          <w:noProof/>
        </w:rPr>
        <w:t>nor</w:t>
      </w:r>
      <w:r w:rsidRPr="002866E5">
        <w:rPr>
          <w:noProof/>
        </w:rPr>
        <w:t>m etycznych</w:t>
      </w:r>
      <w:r w:rsidR="008B35E8" w:rsidRPr="002866E5">
        <w:rPr>
          <w:noProof/>
        </w:rPr>
        <w:t>. W</w:t>
      </w:r>
      <w:r w:rsidR="008B35E8">
        <w:rPr>
          <w:noProof/>
        </w:rPr>
        <w:t> </w:t>
      </w:r>
      <w:r w:rsidR="008B35E8" w:rsidRPr="002866E5">
        <w:rPr>
          <w:noProof/>
        </w:rPr>
        <w:t>eur</w:t>
      </w:r>
      <w:r w:rsidRPr="002866E5">
        <w:rPr>
          <w:noProof/>
        </w:rPr>
        <w:t>opejskiej strategii</w:t>
      </w:r>
      <w:r w:rsidR="008B35E8" w:rsidRPr="002866E5">
        <w:rPr>
          <w:noProof/>
        </w:rPr>
        <w:t xml:space="preserve"> w</w:t>
      </w:r>
      <w:r w:rsidR="008B35E8">
        <w:rPr>
          <w:noProof/>
        </w:rPr>
        <w:t> </w:t>
      </w:r>
      <w:r w:rsidR="008B35E8" w:rsidRPr="002866E5">
        <w:rPr>
          <w:noProof/>
        </w:rPr>
        <w:t>zak</w:t>
      </w:r>
      <w:r w:rsidRPr="002866E5">
        <w:rPr>
          <w:noProof/>
        </w:rPr>
        <w:t>resie danych wskazano cztery filary – ochronę danych, prawa podstawowe, bezpieczeństwo</w:t>
      </w:r>
      <w:r w:rsidR="008B35E8" w:rsidRPr="002866E5">
        <w:rPr>
          <w:noProof/>
        </w:rPr>
        <w:t xml:space="preserve"> i</w:t>
      </w:r>
      <w:r w:rsidR="008B35E8">
        <w:rPr>
          <w:noProof/>
        </w:rPr>
        <w:t> </w:t>
      </w:r>
      <w:r w:rsidR="008B35E8" w:rsidRPr="002866E5">
        <w:rPr>
          <w:noProof/>
        </w:rPr>
        <w:t>cyb</w:t>
      </w:r>
      <w:r w:rsidRPr="002866E5">
        <w:rPr>
          <w:noProof/>
        </w:rPr>
        <w:t>erbezpieczeństwo – jako podstawowe warunki wstępne istnienia społeczeństwa posiadającego mocną pozycję dzięki korzystaniu</w:t>
      </w:r>
      <w:r w:rsidR="008B35E8" w:rsidRPr="002866E5">
        <w:rPr>
          <w:noProof/>
        </w:rPr>
        <w:t xml:space="preserve"> z</w:t>
      </w:r>
      <w:r w:rsidR="008B35E8">
        <w:rPr>
          <w:noProof/>
        </w:rPr>
        <w:t> </w:t>
      </w:r>
      <w:r w:rsidR="008B35E8" w:rsidRPr="002866E5">
        <w:rPr>
          <w:noProof/>
        </w:rPr>
        <w:t>dan</w:t>
      </w:r>
      <w:r w:rsidRPr="002866E5">
        <w:rPr>
          <w:noProof/>
        </w:rPr>
        <w:t>ych.</w:t>
      </w:r>
    </w:p>
    <w:p w14:paraId="67ED8668" w14:textId="05C642CA" w:rsidR="004C098E" w:rsidRPr="002866E5" w:rsidRDefault="009C408C" w:rsidP="00881943">
      <w:pPr>
        <w:pBdr>
          <w:top w:val="nil"/>
          <w:left w:val="nil"/>
          <w:bottom w:val="nil"/>
          <w:right w:val="nil"/>
          <w:between w:val="nil"/>
          <w:bar w:val="nil"/>
        </w:pBdr>
        <w:spacing w:before="0" w:after="240"/>
        <w:rPr>
          <w:rFonts w:eastAsia="Calibri"/>
          <w:noProof/>
          <w:szCs w:val="24"/>
        </w:rPr>
      </w:pPr>
      <w:r w:rsidRPr="002866E5">
        <w:rPr>
          <w:noProof/>
        </w:rPr>
        <w:t>Obecne ramy UE</w:t>
      </w:r>
      <w:r w:rsidRPr="002866E5">
        <w:rPr>
          <w:rStyle w:val="FootnoteReference"/>
          <w:noProof/>
        </w:rPr>
        <w:footnoteReference w:id="7"/>
      </w:r>
      <w:r w:rsidRPr="002866E5">
        <w:rPr>
          <w:noProof/>
        </w:rPr>
        <w:t xml:space="preserve"> mające zastosowanie do produktów, które mogą również zawierać elementy cyfrowe, obejmują szereg aktów prawnych,</w:t>
      </w:r>
      <w:r w:rsidR="008B35E8" w:rsidRPr="002866E5">
        <w:rPr>
          <w:noProof/>
        </w:rPr>
        <w:t xml:space="preserve"> w</w:t>
      </w:r>
      <w:r w:rsidR="008B35E8">
        <w:rPr>
          <w:noProof/>
        </w:rPr>
        <w:t> </w:t>
      </w:r>
      <w:r w:rsidR="008B35E8" w:rsidRPr="002866E5">
        <w:rPr>
          <w:noProof/>
        </w:rPr>
        <w:t>tym</w:t>
      </w:r>
      <w:r w:rsidRPr="002866E5">
        <w:rPr>
          <w:noProof/>
        </w:rPr>
        <w:t xml:space="preserve"> przepisy UE dotyczące konkretnych produktów, obejmujące aspekty związane</w:t>
      </w:r>
      <w:r w:rsidR="008B35E8" w:rsidRPr="002866E5">
        <w:rPr>
          <w:noProof/>
        </w:rPr>
        <w:t xml:space="preserve"> z</w:t>
      </w:r>
      <w:r w:rsidR="008B35E8">
        <w:rPr>
          <w:noProof/>
        </w:rPr>
        <w:t> </w:t>
      </w:r>
      <w:r w:rsidR="008B35E8" w:rsidRPr="002866E5">
        <w:rPr>
          <w:noProof/>
        </w:rPr>
        <w:t>bez</w:t>
      </w:r>
      <w:r w:rsidRPr="002866E5">
        <w:rPr>
          <w:noProof/>
        </w:rPr>
        <w:t>pieczeństwem oraz ogólne przepisy dotyczące odpowiedzialności za produkty. Niniejszy wniosek jest spójny</w:t>
      </w:r>
      <w:r w:rsidR="008B35E8" w:rsidRPr="002866E5">
        <w:rPr>
          <w:noProof/>
        </w:rPr>
        <w:t xml:space="preserve"> z</w:t>
      </w:r>
      <w:r w:rsidR="008B35E8">
        <w:rPr>
          <w:noProof/>
        </w:rPr>
        <w:t> </w:t>
      </w:r>
      <w:r w:rsidR="008B35E8" w:rsidRPr="002866E5">
        <w:rPr>
          <w:noProof/>
        </w:rPr>
        <w:t>obe</w:t>
      </w:r>
      <w:r w:rsidRPr="002866E5">
        <w:rPr>
          <w:noProof/>
        </w:rPr>
        <w:t>cnymi unijnymi ramami regulacyjnymi dotyczącymi produktów,</w:t>
      </w:r>
      <w:r w:rsidR="008B35E8" w:rsidRPr="002866E5">
        <w:rPr>
          <w:noProof/>
        </w:rPr>
        <w:t xml:space="preserve"> a</w:t>
      </w:r>
      <w:r w:rsidR="008B35E8">
        <w:rPr>
          <w:noProof/>
        </w:rPr>
        <w:t> </w:t>
      </w:r>
      <w:r w:rsidR="008B35E8" w:rsidRPr="002866E5">
        <w:rPr>
          <w:noProof/>
        </w:rPr>
        <w:t>tak</w:t>
      </w:r>
      <w:r w:rsidRPr="002866E5">
        <w:rPr>
          <w:noProof/>
        </w:rPr>
        <w:t>że</w:t>
      </w:r>
      <w:r w:rsidR="008B35E8" w:rsidRPr="002866E5">
        <w:rPr>
          <w:noProof/>
        </w:rPr>
        <w:t xml:space="preserve"> z</w:t>
      </w:r>
      <w:r w:rsidR="008B35E8">
        <w:rPr>
          <w:noProof/>
        </w:rPr>
        <w:t> </w:t>
      </w:r>
      <w:r w:rsidR="008B35E8" w:rsidRPr="002866E5">
        <w:rPr>
          <w:noProof/>
        </w:rPr>
        <w:t>nie</w:t>
      </w:r>
      <w:r w:rsidRPr="002866E5">
        <w:rPr>
          <w:noProof/>
        </w:rPr>
        <w:t xml:space="preserve">dawno </w:t>
      </w:r>
      <w:r w:rsidRPr="002866E5">
        <w:rPr>
          <w:noProof/>
        </w:rPr>
        <w:lastRenderedPageBreak/>
        <w:t>przedstawionymi wnioskami ustawodawczymi, jak np. wniosek Komisji dotyczący rozporządzenia [rozporządzenia</w:t>
      </w:r>
      <w:r w:rsidR="008B35E8" w:rsidRPr="002866E5">
        <w:rPr>
          <w:noProof/>
        </w:rPr>
        <w:t xml:space="preserve"> w</w:t>
      </w:r>
      <w:r w:rsidR="008B35E8">
        <w:rPr>
          <w:noProof/>
        </w:rPr>
        <w:t> </w:t>
      </w:r>
      <w:r w:rsidR="008B35E8" w:rsidRPr="002866E5">
        <w:rPr>
          <w:noProof/>
        </w:rPr>
        <w:t>spr</w:t>
      </w:r>
      <w:r w:rsidRPr="002866E5">
        <w:rPr>
          <w:noProof/>
        </w:rPr>
        <w:t>awie sztucznej inteligencji]</w:t>
      </w:r>
      <w:r w:rsidRPr="002866E5">
        <w:rPr>
          <w:rStyle w:val="FootnoteReference"/>
          <w:noProof/>
        </w:rPr>
        <w:footnoteReference w:id="8"/>
      </w:r>
      <w:r w:rsidRPr="002866E5">
        <w:rPr>
          <w:noProof/>
        </w:rPr>
        <w:t>.</w:t>
      </w:r>
    </w:p>
    <w:p w14:paraId="67ED8669" w14:textId="0D11CA9D" w:rsidR="004C098E" w:rsidRPr="002866E5" w:rsidRDefault="004C098E" w:rsidP="004C098E">
      <w:pPr>
        <w:pBdr>
          <w:top w:val="nil"/>
          <w:left w:val="nil"/>
          <w:bottom w:val="nil"/>
          <w:right w:val="nil"/>
          <w:between w:val="nil"/>
          <w:bar w:val="nil"/>
        </w:pBdr>
        <w:spacing w:before="0" w:after="240"/>
        <w:rPr>
          <w:rFonts w:eastAsia="Calibri"/>
          <w:noProof/>
          <w:szCs w:val="24"/>
        </w:rPr>
      </w:pPr>
      <w:r w:rsidRPr="002866E5">
        <w:rPr>
          <w:noProof/>
        </w:rPr>
        <w:t>Proponowane rozporządzenie miałoby zastosowanie do wszystkich urządzeń radiowych objętych zakresem stosowania rozporządzenia delegowanego Komisji (UE) 2022/30. Ponadto wymogi określone</w:t>
      </w:r>
      <w:r w:rsidR="008B35E8" w:rsidRPr="002866E5">
        <w:rPr>
          <w:noProof/>
        </w:rPr>
        <w:t xml:space="preserve"> w</w:t>
      </w:r>
      <w:r w:rsidR="008B35E8">
        <w:rPr>
          <w:noProof/>
        </w:rPr>
        <w:t> </w:t>
      </w:r>
      <w:r w:rsidR="008B35E8" w:rsidRPr="002866E5">
        <w:rPr>
          <w:noProof/>
        </w:rPr>
        <w:t>pro</w:t>
      </w:r>
      <w:r w:rsidRPr="002866E5">
        <w:rPr>
          <w:noProof/>
        </w:rPr>
        <w:t>ponowanym rozporządzeniu obejmują wszystkie elementy zasadniczych wymagań,</w:t>
      </w:r>
      <w:r w:rsidR="008B35E8" w:rsidRPr="002866E5">
        <w:rPr>
          <w:noProof/>
        </w:rPr>
        <w:t xml:space="preserve"> o</w:t>
      </w:r>
      <w:r w:rsidR="008B35E8">
        <w:rPr>
          <w:noProof/>
        </w:rPr>
        <w:t> </w:t>
      </w:r>
      <w:r w:rsidR="008B35E8" w:rsidRPr="002866E5">
        <w:rPr>
          <w:noProof/>
        </w:rPr>
        <w:t>któ</w:t>
      </w:r>
      <w:r w:rsidRPr="002866E5">
        <w:rPr>
          <w:noProof/>
        </w:rPr>
        <w:t>rych mowa</w:t>
      </w:r>
      <w:r w:rsidR="008B35E8" w:rsidRPr="002866E5">
        <w:rPr>
          <w:noProof/>
        </w:rPr>
        <w:t xml:space="preserve"> w</w:t>
      </w:r>
      <w:r w:rsidR="008B35E8">
        <w:rPr>
          <w:noProof/>
        </w:rPr>
        <w:t> </w:t>
      </w:r>
      <w:r w:rsidR="008B35E8" w:rsidRPr="008B35E8">
        <w:rPr>
          <w:noProof/>
        </w:rPr>
        <w:t>art</w:t>
      </w:r>
      <w:r w:rsidRPr="008B35E8">
        <w:rPr>
          <w:noProof/>
        </w:rPr>
        <w:t>.</w:t>
      </w:r>
      <w:r w:rsidR="008B35E8" w:rsidRPr="008B35E8">
        <w:rPr>
          <w:noProof/>
        </w:rPr>
        <w:t> </w:t>
      </w:r>
      <w:r w:rsidRPr="008B35E8">
        <w:rPr>
          <w:noProof/>
        </w:rPr>
        <w:t>3</w:t>
      </w:r>
      <w:r w:rsidRPr="002866E5">
        <w:rPr>
          <w:noProof/>
        </w:rPr>
        <w:t xml:space="preserve"> </w:t>
      </w:r>
      <w:r w:rsidRPr="008B35E8">
        <w:rPr>
          <w:noProof/>
        </w:rPr>
        <w:t>ust.</w:t>
      </w:r>
      <w:r w:rsidR="008B35E8" w:rsidRPr="008B35E8">
        <w:rPr>
          <w:noProof/>
        </w:rPr>
        <w:t> </w:t>
      </w:r>
      <w:r w:rsidRPr="008B35E8">
        <w:rPr>
          <w:noProof/>
        </w:rPr>
        <w:t>3</w:t>
      </w:r>
      <w:r w:rsidRPr="002866E5">
        <w:rPr>
          <w:noProof/>
        </w:rPr>
        <w:t xml:space="preserve"> </w:t>
      </w:r>
      <w:r w:rsidRPr="008B35E8">
        <w:rPr>
          <w:noProof/>
        </w:rPr>
        <w:t>lit.</w:t>
      </w:r>
      <w:r w:rsidR="008B35E8" w:rsidRPr="008B35E8">
        <w:rPr>
          <w:noProof/>
        </w:rPr>
        <w:t> </w:t>
      </w:r>
      <w:r w:rsidRPr="008B35E8">
        <w:rPr>
          <w:noProof/>
        </w:rPr>
        <w:t>d)</w:t>
      </w:r>
      <w:r w:rsidRPr="002866E5">
        <w:rPr>
          <w:noProof/>
        </w:rPr>
        <w:t>, e) i f) dyrektywy 2014/53/UE,</w:t>
      </w:r>
      <w:r w:rsidR="008B35E8" w:rsidRPr="002866E5">
        <w:rPr>
          <w:noProof/>
        </w:rPr>
        <w:t xml:space="preserve"> w</w:t>
      </w:r>
      <w:r w:rsidR="008B35E8">
        <w:rPr>
          <w:noProof/>
        </w:rPr>
        <w:t> </w:t>
      </w:r>
      <w:r w:rsidR="008B35E8" w:rsidRPr="002866E5">
        <w:rPr>
          <w:noProof/>
        </w:rPr>
        <w:t>tym</w:t>
      </w:r>
      <w:r w:rsidRPr="002866E5">
        <w:rPr>
          <w:noProof/>
        </w:rPr>
        <w:t xml:space="preserve"> główne elementy określone w [decyzji wykonawczej Komisji XXX/2022</w:t>
      </w:r>
      <w:r w:rsidR="008B35E8" w:rsidRPr="002866E5">
        <w:rPr>
          <w:noProof/>
        </w:rPr>
        <w:t xml:space="preserve"> w</w:t>
      </w:r>
      <w:r w:rsidR="008B35E8">
        <w:rPr>
          <w:noProof/>
        </w:rPr>
        <w:t> </w:t>
      </w:r>
      <w:r w:rsidR="008B35E8" w:rsidRPr="002866E5">
        <w:rPr>
          <w:noProof/>
        </w:rPr>
        <w:t>spr</w:t>
      </w:r>
      <w:r w:rsidRPr="002866E5">
        <w:rPr>
          <w:noProof/>
        </w:rPr>
        <w:t>awie wniosku</w:t>
      </w:r>
      <w:r w:rsidR="008B35E8" w:rsidRPr="002866E5">
        <w:rPr>
          <w:noProof/>
        </w:rPr>
        <w:t xml:space="preserve"> o</w:t>
      </w:r>
      <w:r w:rsidR="008B35E8">
        <w:rPr>
          <w:noProof/>
        </w:rPr>
        <w:t> </w:t>
      </w:r>
      <w:r w:rsidR="008B35E8" w:rsidRPr="002866E5">
        <w:rPr>
          <w:noProof/>
        </w:rPr>
        <w:t>nor</w:t>
      </w:r>
      <w:r w:rsidRPr="002866E5">
        <w:rPr>
          <w:noProof/>
        </w:rPr>
        <w:t>malizację do europejskich organizacji normalizacyjnych] wydanej na podstawie tego rozporządzenia delegowanego. Aby uniknąć nakładania się przepisów, przewiduje się, że Komisja uchyli lub zmieni wspomniane rozporządzenie delegowane</w:t>
      </w:r>
      <w:r w:rsidR="008B35E8" w:rsidRPr="002866E5">
        <w:rPr>
          <w:noProof/>
        </w:rPr>
        <w:t xml:space="preserve"> w</w:t>
      </w:r>
      <w:r w:rsidR="008B35E8">
        <w:rPr>
          <w:noProof/>
        </w:rPr>
        <w:t> </w:t>
      </w:r>
      <w:r w:rsidR="008B35E8" w:rsidRPr="002866E5">
        <w:rPr>
          <w:noProof/>
        </w:rPr>
        <w:t>odn</w:t>
      </w:r>
      <w:r w:rsidRPr="002866E5">
        <w:rPr>
          <w:noProof/>
        </w:rPr>
        <w:t xml:space="preserve">iesieniu do urządzeń radiowych objętych proponowanym rozporządzeniem, tak aby to nowe rozporządzenie miało do nich zastosowanie, gdy zacznie obowiązywać. </w:t>
      </w:r>
    </w:p>
    <w:p w14:paraId="67ED866A" w14:textId="78F2A272" w:rsidR="009C408C" w:rsidRPr="002866E5" w:rsidRDefault="004C098E" w:rsidP="00881943">
      <w:pPr>
        <w:pBdr>
          <w:top w:val="nil"/>
          <w:left w:val="nil"/>
          <w:bottom w:val="nil"/>
          <w:right w:val="nil"/>
          <w:between w:val="nil"/>
          <w:bar w:val="nil"/>
        </w:pBdr>
        <w:spacing w:before="0" w:after="240"/>
        <w:rPr>
          <w:rFonts w:eastAsia="Arial Unicode MS"/>
          <w:noProof/>
        </w:rPr>
      </w:pPr>
      <w:r w:rsidRPr="002866E5">
        <w:rPr>
          <w:noProof/>
        </w:rPr>
        <w:t>Ponadto, aby uniknąć powielania prac, przewiduje się, że Komisja</w:t>
      </w:r>
      <w:r w:rsidR="008B35E8" w:rsidRPr="002866E5">
        <w:rPr>
          <w:noProof/>
        </w:rPr>
        <w:t xml:space="preserve"> i</w:t>
      </w:r>
      <w:r w:rsidR="008B35E8">
        <w:rPr>
          <w:noProof/>
        </w:rPr>
        <w:t> </w:t>
      </w:r>
      <w:r w:rsidR="008B35E8" w:rsidRPr="002866E5">
        <w:rPr>
          <w:noProof/>
        </w:rPr>
        <w:t>eur</w:t>
      </w:r>
      <w:r w:rsidRPr="002866E5">
        <w:rPr>
          <w:noProof/>
        </w:rPr>
        <w:t>opejskie organizacje normalizacyjne uwzględnią prace normalizacyjne przeprowadzone</w:t>
      </w:r>
      <w:r w:rsidR="008B35E8" w:rsidRPr="002866E5">
        <w:rPr>
          <w:noProof/>
        </w:rPr>
        <w:t xml:space="preserve"> w</w:t>
      </w:r>
      <w:r w:rsidR="008B35E8">
        <w:rPr>
          <w:noProof/>
        </w:rPr>
        <w:t> </w:t>
      </w:r>
      <w:r w:rsidR="008B35E8" w:rsidRPr="002866E5">
        <w:rPr>
          <w:noProof/>
        </w:rPr>
        <w:t>kon</w:t>
      </w:r>
      <w:r w:rsidRPr="002866E5">
        <w:rPr>
          <w:noProof/>
        </w:rPr>
        <w:t>tekście decyzji wykonawczej Komisji C(2022) 5637</w:t>
      </w:r>
      <w:r w:rsidR="008B35E8" w:rsidRPr="002866E5">
        <w:rPr>
          <w:noProof/>
        </w:rPr>
        <w:t xml:space="preserve"> w</w:t>
      </w:r>
      <w:r w:rsidR="008B35E8">
        <w:rPr>
          <w:noProof/>
        </w:rPr>
        <w:t> </w:t>
      </w:r>
      <w:r w:rsidR="008B35E8" w:rsidRPr="002866E5">
        <w:rPr>
          <w:noProof/>
        </w:rPr>
        <w:t>spr</w:t>
      </w:r>
      <w:r w:rsidRPr="002866E5">
        <w:rPr>
          <w:noProof/>
        </w:rPr>
        <w:t>awie wniosku</w:t>
      </w:r>
      <w:r w:rsidR="008B35E8" w:rsidRPr="002866E5">
        <w:rPr>
          <w:noProof/>
        </w:rPr>
        <w:t xml:space="preserve"> o</w:t>
      </w:r>
      <w:r w:rsidR="008B35E8">
        <w:rPr>
          <w:noProof/>
        </w:rPr>
        <w:t> </w:t>
      </w:r>
      <w:r w:rsidR="008B35E8" w:rsidRPr="002866E5">
        <w:rPr>
          <w:noProof/>
        </w:rPr>
        <w:t>nor</w:t>
      </w:r>
      <w:r w:rsidRPr="002866E5">
        <w:rPr>
          <w:noProof/>
        </w:rPr>
        <w:t>malizację odnośnie do rozporządzenia delegowanego (UE) 2022/30 dotyczącego dyrektywy</w:t>
      </w:r>
      <w:r w:rsidR="008B35E8" w:rsidRPr="002866E5">
        <w:rPr>
          <w:noProof/>
        </w:rPr>
        <w:t xml:space="preserve"> w</w:t>
      </w:r>
      <w:r w:rsidR="008B35E8">
        <w:rPr>
          <w:noProof/>
        </w:rPr>
        <w:t> </w:t>
      </w:r>
      <w:r w:rsidR="008B35E8" w:rsidRPr="002866E5">
        <w:rPr>
          <w:noProof/>
        </w:rPr>
        <w:t>spr</w:t>
      </w:r>
      <w:r w:rsidRPr="002866E5">
        <w:rPr>
          <w:noProof/>
        </w:rPr>
        <w:t>awie urządzeń radiowych przy przygotowywaniu</w:t>
      </w:r>
      <w:r w:rsidR="008B35E8" w:rsidRPr="002866E5">
        <w:rPr>
          <w:noProof/>
        </w:rPr>
        <w:t xml:space="preserve"> i</w:t>
      </w:r>
      <w:r w:rsidR="008B35E8">
        <w:rPr>
          <w:noProof/>
        </w:rPr>
        <w:t> </w:t>
      </w:r>
      <w:r w:rsidR="008B35E8" w:rsidRPr="002866E5">
        <w:rPr>
          <w:noProof/>
        </w:rPr>
        <w:t>opr</w:t>
      </w:r>
      <w:r w:rsidRPr="002866E5">
        <w:rPr>
          <w:noProof/>
        </w:rPr>
        <w:t>acowywaniu norm zharmonizowanych</w:t>
      </w:r>
      <w:r w:rsidR="008B35E8" w:rsidRPr="002866E5">
        <w:rPr>
          <w:noProof/>
        </w:rPr>
        <w:t xml:space="preserve"> w</w:t>
      </w:r>
      <w:r w:rsidR="008B35E8">
        <w:rPr>
          <w:noProof/>
        </w:rPr>
        <w:t> </w:t>
      </w:r>
      <w:r w:rsidR="008B35E8" w:rsidRPr="002866E5">
        <w:rPr>
          <w:noProof/>
        </w:rPr>
        <w:t>cel</w:t>
      </w:r>
      <w:r w:rsidRPr="002866E5">
        <w:rPr>
          <w:noProof/>
        </w:rPr>
        <w:t>u ułatwienia wykonania niniejszego rozporządzenia.</w:t>
      </w:r>
    </w:p>
    <w:p w14:paraId="67ED866B" w14:textId="77777777" w:rsidR="0037165D" w:rsidRPr="002866E5" w:rsidRDefault="0037165D" w:rsidP="00881943">
      <w:pPr>
        <w:pStyle w:val="ManualHeading1"/>
        <w:rPr>
          <w:noProof/>
        </w:rPr>
      </w:pPr>
      <w:r w:rsidRPr="002866E5">
        <w:rPr>
          <w:noProof/>
        </w:rPr>
        <w:t>2.</w:t>
      </w:r>
      <w:r w:rsidRPr="002866E5">
        <w:rPr>
          <w:noProof/>
        </w:rPr>
        <w:tab/>
        <w:t>PODSTAWA PRAWNA, POMOCNICZOŚĆ I PROPORCJONALNOŚĆ</w:t>
      </w:r>
    </w:p>
    <w:p w14:paraId="67ED866C" w14:textId="77777777" w:rsidR="0037165D" w:rsidRPr="002866E5" w:rsidRDefault="0037165D" w:rsidP="00881943">
      <w:pPr>
        <w:pStyle w:val="ManualHeading2"/>
        <w:rPr>
          <w:rFonts w:eastAsia="Arial Unicode MS"/>
          <w:noProof/>
          <w:u w:color="000000"/>
          <w:bdr w:val="nil"/>
        </w:rPr>
      </w:pPr>
      <w:r w:rsidRPr="002866E5">
        <w:rPr>
          <w:noProof/>
          <w:u w:color="000000"/>
          <w:bdr w:val="nil"/>
        </w:rPr>
        <w:t>•</w:t>
      </w:r>
      <w:r w:rsidRPr="002866E5">
        <w:rPr>
          <w:noProof/>
        </w:rPr>
        <w:tab/>
      </w:r>
      <w:r w:rsidRPr="002866E5">
        <w:rPr>
          <w:noProof/>
          <w:u w:color="000000"/>
          <w:bdr w:val="nil"/>
        </w:rPr>
        <w:t>Podstawa prawna</w:t>
      </w:r>
    </w:p>
    <w:p w14:paraId="67ED866D" w14:textId="6859DF5F" w:rsidR="00336206" w:rsidRPr="002866E5" w:rsidRDefault="003F28B4" w:rsidP="00881943">
      <w:pPr>
        <w:pBdr>
          <w:top w:val="nil"/>
          <w:left w:val="nil"/>
          <w:bottom w:val="nil"/>
          <w:right w:val="nil"/>
          <w:between w:val="nil"/>
          <w:bar w:val="nil"/>
        </w:pBdr>
        <w:spacing w:before="0" w:after="240"/>
        <w:rPr>
          <w:rFonts w:eastAsia="Calibri"/>
          <w:noProof/>
          <w:szCs w:val="24"/>
        </w:rPr>
      </w:pPr>
      <w:r w:rsidRPr="002866E5">
        <w:rPr>
          <w:noProof/>
        </w:rPr>
        <w:t xml:space="preserve">Podstawę prawną niniejszego wniosku stanowi </w:t>
      </w:r>
      <w:r w:rsidRPr="008B35E8">
        <w:rPr>
          <w:noProof/>
        </w:rPr>
        <w:t>art.</w:t>
      </w:r>
      <w:r w:rsidR="008B35E8" w:rsidRPr="008B35E8">
        <w:rPr>
          <w:noProof/>
        </w:rPr>
        <w:t> </w:t>
      </w:r>
      <w:r w:rsidRPr="008B35E8">
        <w:rPr>
          <w:noProof/>
        </w:rPr>
        <w:t>1</w:t>
      </w:r>
      <w:r w:rsidRPr="002866E5">
        <w:rPr>
          <w:noProof/>
        </w:rPr>
        <w:t>14 Traktatu</w:t>
      </w:r>
      <w:r w:rsidR="008B35E8" w:rsidRPr="002866E5">
        <w:rPr>
          <w:noProof/>
        </w:rPr>
        <w:t xml:space="preserve"> o</w:t>
      </w:r>
      <w:r w:rsidR="008B35E8">
        <w:rPr>
          <w:noProof/>
        </w:rPr>
        <w:t> </w:t>
      </w:r>
      <w:r w:rsidR="008B35E8" w:rsidRPr="002866E5">
        <w:rPr>
          <w:noProof/>
        </w:rPr>
        <w:t>fun</w:t>
      </w:r>
      <w:r w:rsidRPr="002866E5">
        <w:rPr>
          <w:noProof/>
        </w:rPr>
        <w:t>kcjonowaniu Unii Europejskiej (TFUE),</w:t>
      </w:r>
      <w:r w:rsidR="008B35E8" w:rsidRPr="002866E5">
        <w:rPr>
          <w:noProof/>
        </w:rPr>
        <w:t xml:space="preserve"> w</w:t>
      </w:r>
      <w:r w:rsidR="008B35E8">
        <w:rPr>
          <w:noProof/>
        </w:rPr>
        <w:t> </w:t>
      </w:r>
      <w:r w:rsidR="008B35E8" w:rsidRPr="002866E5">
        <w:rPr>
          <w:noProof/>
        </w:rPr>
        <w:t>któ</w:t>
      </w:r>
      <w:r w:rsidRPr="002866E5">
        <w:rPr>
          <w:noProof/>
        </w:rPr>
        <w:t>rym przewidziano przyjęcie środków mających na celu zapewnienie ustanowienia</w:t>
      </w:r>
      <w:r w:rsidR="008B35E8" w:rsidRPr="002866E5">
        <w:rPr>
          <w:noProof/>
        </w:rPr>
        <w:t xml:space="preserve"> i</w:t>
      </w:r>
      <w:r w:rsidR="008B35E8">
        <w:rPr>
          <w:noProof/>
        </w:rPr>
        <w:t> </w:t>
      </w:r>
      <w:r w:rsidR="008B35E8" w:rsidRPr="002866E5">
        <w:rPr>
          <w:noProof/>
        </w:rPr>
        <w:t>fun</w:t>
      </w:r>
      <w:r w:rsidRPr="002866E5">
        <w:rPr>
          <w:noProof/>
        </w:rPr>
        <w:t>kcjonowania rynku wewnętrznego. Celem wniosku jest ujednolicenie wymogów cyberbezpieczeństwa</w:t>
      </w:r>
      <w:r w:rsidR="008B35E8" w:rsidRPr="002866E5">
        <w:rPr>
          <w:noProof/>
        </w:rPr>
        <w:t xml:space="preserve"> w</w:t>
      </w:r>
      <w:r w:rsidR="008B35E8">
        <w:rPr>
          <w:noProof/>
        </w:rPr>
        <w:t> </w:t>
      </w:r>
      <w:r w:rsidR="008B35E8" w:rsidRPr="002866E5">
        <w:rPr>
          <w:noProof/>
        </w:rPr>
        <w:t>odn</w:t>
      </w:r>
      <w:r w:rsidRPr="002866E5">
        <w:rPr>
          <w:noProof/>
        </w:rPr>
        <w:t>iesieniu do produktów</w:t>
      </w:r>
      <w:r w:rsidR="008B35E8" w:rsidRPr="002866E5">
        <w:rPr>
          <w:noProof/>
        </w:rPr>
        <w:t xml:space="preserve"> z</w:t>
      </w:r>
      <w:r w:rsidR="008B35E8">
        <w:rPr>
          <w:noProof/>
        </w:rPr>
        <w:t> </w:t>
      </w:r>
      <w:r w:rsidR="008B35E8" w:rsidRPr="002866E5">
        <w:rPr>
          <w:noProof/>
        </w:rPr>
        <w:t>ele</w:t>
      </w:r>
      <w:r w:rsidRPr="002866E5">
        <w:rPr>
          <w:noProof/>
        </w:rPr>
        <w:t>mentami cyfrowymi we wszystkich państwach członkowskich oraz usunięcie przeszkód</w:t>
      </w:r>
      <w:r w:rsidR="008B35E8" w:rsidRPr="002866E5">
        <w:rPr>
          <w:noProof/>
        </w:rPr>
        <w:t xml:space="preserve"> w</w:t>
      </w:r>
      <w:r w:rsidR="008B35E8">
        <w:rPr>
          <w:noProof/>
        </w:rPr>
        <w:t> </w:t>
      </w:r>
      <w:r w:rsidR="008B35E8" w:rsidRPr="002866E5">
        <w:rPr>
          <w:noProof/>
        </w:rPr>
        <w:t>swo</w:t>
      </w:r>
      <w:r w:rsidRPr="002866E5">
        <w:rPr>
          <w:noProof/>
        </w:rPr>
        <w:t>bodnym przepływie towarów.</w:t>
      </w:r>
    </w:p>
    <w:p w14:paraId="67ED866E" w14:textId="70DA7555" w:rsidR="00C112CE" w:rsidRPr="002866E5" w:rsidRDefault="003F28B4" w:rsidP="00754710">
      <w:pPr>
        <w:rPr>
          <w:rFonts w:eastAsia="Calibri"/>
          <w:noProof/>
          <w:szCs w:val="24"/>
        </w:rPr>
      </w:pPr>
      <w:r w:rsidRPr="002866E5">
        <w:rPr>
          <w:noProof/>
        </w:rPr>
        <w:t>Art. 114 TFUE może być stosowany jako podstawa prawna, aby zapobiegać występowaniu takich przeszkód wynikających</w:t>
      </w:r>
      <w:r w:rsidR="008B35E8" w:rsidRPr="002866E5">
        <w:rPr>
          <w:noProof/>
        </w:rPr>
        <w:t xml:space="preserve"> z</w:t>
      </w:r>
      <w:r w:rsidR="008B35E8">
        <w:rPr>
          <w:noProof/>
        </w:rPr>
        <w:t> </w:t>
      </w:r>
      <w:r w:rsidR="008B35E8" w:rsidRPr="002866E5">
        <w:rPr>
          <w:noProof/>
        </w:rPr>
        <w:t>nie</w:t>
      </w:r>
      <w:r w:rsidRPr="002866E5">
        <w:rPr>
          <w:noProof/>
        </w:rPr>
        <w:t>jednolitego rozwoju ustawodawstw krajowych</w:t>
      </w:r>
      <w:r w:rsidR="008B35E8" w:rsidRPr="002866E5">
        <w:rPr>
          <w:noProof/>
        </w:rPr>
        <w:t xml:space="preserve"> i</w:t>
      </w:r>
      <w:r w:rsidR="008B35E8">
        <w:rPr>
          <w:noProof/>
        </w:rPr>
        <w:t> </w:t>
      </w:r>
      <w:r w:rsidR="008B35E8" w:rsidRPr="002866E5">
        <w:rPr>
          <w:noProof/>
        </w:rPr>
        <w:t>roz</w:t>
      </w:r>
      <w:r w:rsidRPr="002866E5">
        <w:rPr>
          <w:noProof/>
        </w:rPr>
        <w:t>bieżnych podejść do rozwiązania problemu braku pewności prawa</w:t>
      </w:r>
      <w:r w:rsidR="008B35E8" w:rsidRPr="002866E5">
        <w:rPr>
          <w:noProof/>
        </w:rPr>
        <w:t xml:space="preserve"> i</w:t>
      </w:r>
      <w:r w:rsidR="008B35E8">
        <w:rPr>
          <w:noProof/>
        </w:rPr>
        <w:t> </w:t>
      </w:r>
      <w:r w:rsidR="008B35E8" w:rsidRPr="002866E5">
        <w:rPr>
          <w:noProof/>
        </w:rPr>
        <w:t>luk w</w:t>
      </w:r>
      <w:r w:rsidR="008B35E8">
        <w:rPr>
          <w:noProof/>
        </w:rPr>
        <w:t> </w:t>
      </w:r>
      <w:r w:rsidR="008B35E8" w:rsidRPr="002866E5">
        <w:rPr>
          <w:noProof/>
        </w:rPr>
        <w:t>ist</w:t>
      </w:r>
      <w:r w:rsidRPr="002866E5">
        <w:rPr>
          <w:noProof/>
        </w:rPr>
        <w:t>niejących ramach prawnych</w:t>
      </w:r>
      <w:r w:rsidRPr="002866E5">
        <w:rPr>
          <w:rStyle w:val="FootnoteReference"/>
          <w:noProof/>
        </w:rPr>
        <w:footnoteReference w:id="9"/>
      </w:r>
      <w:r w:rsidRPr="002866E5">
        <w:rPr>
          <w:noProof/>
        </w:rPr>
        <w:t xml:space="preserve">. Ponadto Trybunał Sprawiedliwości uznał, że niejednolite stosowanie wymagań technicznych może stanowić ważną przesłankę do zastosowania </w:t>
      </w:r>
      <w:r w:rsidRPr="008B35E8">
        <w:rPr>
          <w:noProof/>
        </w:rPr>
        <w:t>art.</w:t>
      </w:r>
      <w:r w:rsidR="008B35E8" w:rsidRPr="008B35E8">
        <w:rPr>
          <w:noProof/>
        </w:rPr>
        <w:t> </w:t>
      </w:r>
      <w:r w:rsidRPr="008B35E8">
        <w:rPr>
          <w:noProof/>
        </w:rPr>
        <w:t>1</w:t>
      </w:r>
      <w:r w:rsidRPr="002866E5">
        <w:rPr>
          <w:noProof/>
        </w:rPr>
        <w:t>14 TFUE</w:t>
      </w:r>
      <w:r w:rsidRPr="002866E5">
        <w:rPr>
          <w:rStyle w:val="FootnoteReference"/>
          <w:noProof/>
        </w:rPr>
        <w:footnoteReference w:id="10"/>
      </w:r>
      <w:r w:rsidRPr="002866E5">
        <w:rPr>
          <w:noProof/>
        </w:rPr>
        <w:t xml:space="preserve">. </w:t>
      </w:r>
    </w:p>
    <w:p w14:paraId="67ED866F" w14:textId="3F65069F" w:rsidR="00C03715" w:rsidRPr="002866E5" w:rsidRDefault="00C112CE" w:rsidP="00C03715">
      <w:pPr>
        <w:rPr>
          <w:rFonts w:eastAsia="Calibri"/>
          <w:noProof/>
          <w:szCs w:val="24"/>
        </w:rPr>
      </w:pPr>
      <w:r w:rsidRPr="002866E5">
        <w:rPr>
          <w:noProof/>
        </w:rPr>
        <w:t>Obecne ramy prawne UE mające zastosowanie do produktów</w:t>
      </w:r>
      <w:r w:rsidR="008B35E8" w:rsidRPr="002866E5">
        <w:rPr>
          <w:noProof/>
        </w:rPr>
        <w:t xml:space="preserve"> z</w:t>
      </w:r>
      <w:r w:rsidR="008B35E8">
        <w:rPr>
          <w:noProof/>
        </w:rPr>
        <w:t> </w:t>
      </w:r>
      <w:r w:rsidR="008B35E8" w:rsidRPr="002866E5">
        <w:rPr>
          <w:noProof/>
        </w:rPr>
        <w:t>ele</w:t>
      </w:r>
      <w:r w:rsidRPr="002866E5">
        <w:rPr>
          <w:noProof/>
        </w:rPr>
        <w:t xml:space="preserve">mentami cyfrowymi opierają się na </w:t>
      </w:r>
      <w:r w:rsidRPr="008B35E8">
        <w:rPr>
          <w:noProof/>
        </w:rPr>
        <w:t>art.</w:t>
      </w:r>
      <w:r w:rsidR="008B35E8" w:rsidRPr="008B35E8">
        <w:rPr>
          <w:noProof/>
        </w:rPr>
        <w:t> </w:t>
      </w:r>
      <w:r w:rsidRPr="008B35E8">
        <w:rPr>
          <w:noProof/>
        </w:rPr>
        <w:t>1</w:t>
      </w:r>
      <w:r w:rsidRPr="002866E5">
        <w:rPr>
          <w:noProof/>
        </w:rPr>
        <w:t>14 TFUE</w:t>
      </w:r>
      <w:r w:rsidR="008B35E8" w:rsidRPr="002866E5">
        <w:rPr>
          <w:noProof/>
        </w:rPr>
        <w:t xml:space="preserve"> i</w:t>
      </w:r>
      <w:r w:rsidR="008B35E8">
        <w:rPr>
          <w:noProof/>
        </w:rPr>
        <w:t> </w:t>
      </w:r>
      <w:r w:rsidR="008B35E8" w:rsidRPr="002866E5">
        <w:rPr>
          <w:noProof/>
        </w:rPr>
        <w:t>obe</w:t>
      </w:r>
      <w:r w:rsidRPr="002866E5">
        <w:rPr>
          <w:noProof/>
        </w:rPr>
        <w:t>jmują szereg aktów prawnych,</w:t>
      </w:r>
      <w:r w:rsidR="008B35E8" w:rsidRPr="002866E5">
        <w:rPr>
          <w:noProof/>
        </w:rPr>
        <w:t xml:space="preserve"> w</w:t>
      </w:r>
      <w:r w:rsidR="008B35E8">
        <w:rPr>
          <w:noProof/>
        </w:rPr>
        <w:t> </w:t>
      </w:r>
      <w:r w:rsidR="008B35E8" w:rsidRPr="002866E5">
        <w:rPr>
          <w:noProof/>
        </w:rPr>
        <w:t>tym</w:t>
      </w:r>
      <w:r w:rsidRPr="002866E5">
        <w:rPr>
          <w:noProof/>
        </w:rPr>
        <w:t xml:space="preserve"> przepisy dotyczące konkretnych produktów</w:t>
      </w:r>
      <w:r w:rsidR="008B35E8" w:rsidRPr="002866E5">
        <w:rPr>
          <w:noProof/>
        </w:rPr>
        <w:t xml:space="preserve"> i</w:t>
      </w:r>
      <w:r w:rsidR="008B35E8">
        <w:rPr>
          <w:noProof/>
        </w:rPr>
        <w:t> </w:t>
      </w:r>
      <w:r w:rsidR="008B35E8" w:rsidRPr="002866E5">
        <w:rPr>
          <w:noProof/>
        </w:rPr>
        <w:t>obe</w:t>
      </w:r>
      <w:r w:rsidRPr="002866E5">
        <w:rPr>
          <w:noProof/>
        </w:rPr>
        <w:t>jmujące aspekty związane</w:t>
      </w:r>
      <w:r w:rsidR="008B35E8" w:rsidRPr="002866E5">
        <w:rPr>
          <w:noProof/>
        </w:rPr>
        <w:t xml:space="preserve"> z</w:t>
      </w:r>
      <w:r w:rsidR="008B35E8">
        <w:rPr>
          <w:noProof/>
        </w:rPr>
        <w:t> </w:t>
      </w:r>
      <w:r w:rsidR="008B35E8" w:rsidRPr="002866E5">
        <w:rPr>
          <w:noProof/>
        </w:rPr>
        <w:t>bez</w:t>
      </w:r>
      <w:r w:rsidRPr="002866E5">
        <w:rPr>
          <w:noProof/>
        </w:rPr>
        <w:t>pieczeństwem czy ogólne przepisy dotyczące odpowiedzialności za produkty. Obejmują one jednak tylko niektóre aspekty związane</w:t>
      </w:r>
      <w:r w:rsidR="008B35E8" w:rsidRPr="002866E5">
        <w:rPr>
          <w:noProof/>
        </w:rPr>
        <w:t xml:space="preserve"> z</w:t>
      </w:r>
      <w:r w:rsidR="008B35E8">
        <w:rPr>
          <w:noProof/>
        </w:rPr>
        <w:t> </w:t>
      </w:r>
      <w:r w:rsidR="008B35E8" w:rsidRPr="002866E5">
        <w:rPr>
          <w:noProof/>
        </w:rPr>
        <w:t>cyb</w:t>
      </w:r>
      <w:r w:rsidRPr="002866E5">
        <w:rPr>
          <w:noProof/>
        </w:rPr>
        <w:t>erbezpieczeństwem materialnych produktów cyfrowych i,</w:t>
      </w:r>
      <w:r w:rsidR="008B35E8" w:rsidRPr="002866E5">
        <w:rPr>
          <w:noProof/>
        </w:rPr>
        <w:t xml:space="preserve"> w</w:t>
      </w:r>
      <w:r w:rsidR="008B35E8">
        <w:rPr>
          <w:noProof/>
        </w:rPr>
        <w:t> </w:t>
      </w:r>
      <w:r w:rsidR="008B35E8" w:rsidRPr="002866E5">
        <w:rPr>
          <w:noProof/>
        </w:rPr>
        <w:t>sto</w:t>
      </w:r>
      <w:r w:rsidRPr="002866E5">
        <w:rPr>
          <w:noProof/>
        </w:rPr>
        <w:t xml:space="preserve">sownych przypadkach, oprogramowania wbudowanego w te produkty. Na szczeblu </w:t>
      </w:r>
      <w:r w:rsidRPr="002866E5">
        <w:rPr>
          <w:noProof/>
        </w:rPr>
        <w:lastRenderedPageBreak/>
        <w:t>krajowym państwa członkowskie zaczynają wprowadzać środki krajowe, którymi nakładają na sprzedawców produktów cyfrowych wymóg zwiększenia cyberbezpieczeństwa</w:t>
      </w:r>
      <w:r w:rsidRPr="002866E5">
        <w:rPr>
          <w:rStyle w:val="FootnoteReference"/>
          <w:noProof/>
        </w:rPr>
        <w:footnoteReference w:id="11"/>
      </w:r>
      <w:r w:rsidRPr="002866E5">
        <w:rPr>
          <w:noProof/>
        </w:rPr>
        <w:t>. Jednocześnie cyberbezpieczeństwo produktów cyfrowych ma szczególnie wyraźny wymiar transgraniczny, ponieważ produkty wytwarzane</w:t>
      </w:r>
      <w:r w:rsidR="008B35E8" w:rsidRPr="002866E5">
        <w:rPr>
          <w:noProof/>
        </w:rPr>
        <w:t xml:space="preserve"> w</w:t>
      </w:r>
      <w:r w:rsidR="008B35E8">
        <w:rPr>
          <w:noProof/>
        </w:rPr>
        <w:t> </w:t>
      </w:r>
      <w:r w:rsidR="008B35E8" w:rsidRPr="002866E5">
        <w:rPr>
          <w:noProof/>
        </w:rPr>
        <w:t>jed</w:t>
      </w:r>
      <w:r w:rsidRPr="002866E5">
        <w:rPr>
          <w:noProof/>
        </w:rPr>
        <w:t>nym państwie są często wykorzystywane przez organizacje</w:t>
      </w:r>
      <w:r w:rsidR="008B35E8" w:rsidRPr="002866E5">
        <w:rPr>
          <w:noProof/>
        </w:rPr>
        <w:t xml:space="preserve"> i</w:t>
      </w:r>
      <w:r w:rsidR="008B35E8">
        <w:rPr>
          <w:noProof/>
        </w:rPr>
        <w:t> </w:t>
      </w:r>
      <w:r w:rsidR="008B35E8" w:rsidRPr="002866E5">
        <w:rPr>
          <w:noProof/>
        </w:rPr>
        <w:t>kon</w:t>
      </w:r>
      <w:r w:rsidRPr="002866E5">
        <w:rPr>
          <w:noProof/>
        </w:rPr>
        <w:t>sumentów na całym rynku wewnętrznym. Incydenty, które początkowo dotyczą jednego podmiotu lub państwa członkowskiego, często</w:t>
      </w:r>
      <w:r w:rsidR="008B35E8" w:rsidRPr="002866E5">
        <w:rPr>
          <w:noProof/>
        </w:rPr>
        <w:t xml:space="preserve"> w</w:t>
      </w:r>
      <w:r w:rsidR="008B35E8">
        <w:rPr>
          <w:noProof/>
        </w:rPr>
        <w:t> </w:t>
      </w:r>
      <w:r w:rsidR="008B35E8" w:rsidRPr="002866E5">
        <w:rPr>
          <w:noProof/>
        </w:rPr>
        <w:t>cią</w:t>
      </w:r>
      <w:r w:rsidRPr="002866E5">
        <w:rPr>
          <w:noProof/>
        </w:rPr>
        <w:t>gu kilku minut rozprzestrzeniają się na inne organizacje, sektory</w:t>
      </w:r>
      <w:r w:rsidR="008B35E8" w:rsidRPr="002866E5">
        <w:rPr>
          <w:noProof/>
        </w:rPr>
        <w:t xml:space="preserve"> i</w:t>
      </w:r>
      <w:r w:rsidR="008B35E8">
        <w:rPr>
          <w:noProof/>
        </w:rPr>
        <w:t> </w:t>
      </w:r>
      <w:r w:rsidR="008B35E8" w:rsidRPr="002866E5">
        <w:rPr>
          <w:noProof/>
        </w:rPr>
        <w:t>pań</w:t>
      </w:r>
      <w:r w:rsidRPr="002866E5">
        <w:rPr>
          <w:noProof/>
        </w:rPr>
        <w:t>stwa członkowskie.</w:t>
      </w:r>
    </w:p>
    <w:p w14:paraId="67ED8670" w14:textId="31EE7DE7" w:rsidR="00C03715" w:rsidRPr="002866E5" w:rsidRDefault="00C03715" w:rsidP="00C03715">
      <w:pPr>
        <w:rPr>
          <w:rFonts w:eastAsia="Calibri"/>
          <w:noProof/>
          <w:szCs w:val="24"/>
        </w:rPr>
      </w:pPr>
      <w:r w:rsidRPr="002866E5">
        <w:rPr>
          <w:noProof/>
        </w:rPr>
        <w:t>Różne akty przyjęte dotychczas na szczeblu unijnym</w:t>
      </w:r>
      <w:r w:rsidR="008B35E8" w:rsidRPr="002866E5">
        <w:rPr>
          <w:noProof/>
        </w:rPr>
        <w:t xml:space="preserve"> i</w:t>
      </w:r>
      <w:r w:rsidR="008B35E8">
        <w:rPr>
          <w:noProof/>
        </w:rPr>
        <w:t> </w:t>
      </w:r>
      <w:r w:rsidR="008B35E8" w:rsidRPr="002866E5">
        <w:rPr>
          <w:noProof/>
        </w:rPr>
        <w:t>kra</w:t>
      </w:r>
      <w:r w:rsidRPr="002866E5">
        <w:rPr>
          <w:noProof/>
        </w:rPr>
        <w:t>jowym oraz różne unijne</w:t>
      </w:r>
      <w:r w:rsidR="008B35E8" w:rsidRPr="002866E5">
        <w:rPr>
          <w:noProof/>
        </w:rPr>
        <w:t xml:space="preserve"> i</w:t>
      </w:r>
      <w:r w:rsidR="008B35E8">
        <w:rPr>
          <w:noProof/>
        </w:rPr>
        <w:t> </w:t>
      </w:r>
      <w:r w:rsidR="008B35E8" w:rsidRPr="002866E5">
        <w:rPr>
          <w:noProof/>
        </w:rPr>
        <w:t>kra</w:t>
      </w:r>
      <w:r w:rsidRPr="002866E5">
        <w:rPr>
          <w:noProof/>
        </w:rPr>
        <w:t>jowe inicjatywy jedynie częściowo rozwiązują stwierdzone problemy</w:t>
      </w:r>
      <w:r w:rsidR="008B35E8" w:rsidRPr="002866E5">
        <w:rPr>
          <w:noProof/>
        </w:rPr>
        <w:t xml:space="preserve"> i</w:t>
      </w:r>
      <w:r w:rsidR="008B35E8">
        <w:rPr>
          <w:noProof/>
        </w:rPr>
        <w:t> </w:t>
      </w:r>
      <w:r w:rsidR="008B35E8" w:rsidRPr="002866E5">
        <w:rPr>
          <w:noProof/>
        </w:rPr>
        <w:t>stw</w:t>
      </w:r>
      <w:r w:rsidRPr="002866E5">
        <w:rPr>
          <w:noProof/>
        </w:rPr>
        <w:t>arzają ryzyko niejednolitego rozwoju ustawodawstwa na rynku wewnętrznym, co pogłębia brak pewności prawa po stronie zarówno sprzedawców, jak</w:t>
      </w:r>
      <w:r w:rsidR="008B35E8" w:rsidRPr="002866E5">
        <w:rPr>
          <w:noProof/>
        </w:rPr>
        <w:t xml:space="preserve"> i</w:t>
      </w:r>
      <w:r w:rsidR="008B35E8">
        <w:rPr>
          <w:noProof/>
        </w:rPr>
        <w:t> </w:t>
      </w:r>
      <w:r w:rsidR="008B35E8" w:rsidRPr="002866E5">
        <w:rPr>
          <w:noProof/>
        </w:rPr>
        <w:t>uży</w:t>
      </w:r>
      <w:r w:rsidRPr="002866E5">
        <w:rPr>
          <w:noProof/>
        </w:rPr>
        <w:t>tkowników tych produktów,</w:t>
      </w:r>
      <w:r w:rsidR="008B35E8" w:rsidRPr="002866E5">
        <w:rPr>
          <w:noProof/>
        </w:rPr>
        <w:t xml:space="preserve"> a</w:t>
      </w:r>
      <w:r w:rsidR="008B35E8">
        <w:rPr>
          <w:noProof/>
        </w:rPr>
        <w:t> </w:t>
      </w:r>
      <w:r w:rsidR="008B35E8" w:rsidRPr="002866E5">
        <w:rPr>
          <w:noProof/>
        </w:rPr>
        <w:t>tak</w:t>
      </w:r>
      <w:r w:rsidRPr="002866E5">
        <w:rPr>
          <w:noProof/>
        </w:rPr>
        <w:t>że wiąże się</w:t>
      </w:r>
      <w:r w:rsidR="008B35E8" w:rsidRPr="002866E5">
        <w:rPr>
          <w:noProof/>
        </w:rPr>
        <w:t xml:space="preserve"> z</w:t>
      </w:r>
      <w:r w:rsidR="008B35E8">
        <w:rPr>
          <w:noProof/>
        </w:rPr>
        <w:t> </w:t>
      </w:r>
      <w:r w:rsidR="008B35E8" w:rsidRPr="002866E5">
        <w:rPr>
          <w:noProof/>
        </w:rPr>
        <w:t>nak</w:t>
      </w:r>
      <w:r w:rsidRPr="002866E5">
        <w:rPr>
          <w:noProof/>
        </w:rPr>
        <w:t>ładaniem na przedsiębiorstwa niepotrzebnych obciążeń związanych</w:t>
      </w:r>
      <w:r w:rsidR="008B35E8" w:rsidRPr="002866E5">
        <w:rPr>
          <w:noProof/>
        </w:rPr>
        <w:t xml:space="preserve"> z</w:t>
      </w:r>
      <w:r w:rsidR="008B35E8">
        <w:rPr>
          <w:noProof/>
        </w:rPr>
        <w:t> </w:t>
      </w:r>
      <w:r w:rsidR="008B35E8" w:rsidRPr="002866E5">
        <w:rPr>
          <w:noProof/>
        </w:rPr>
        <w:t>prz</w:t>
      </w:r>
      <w:r w:rsidRPr="002866E5">
        <w:rPr>
          <w:noProof/>
        </w:rPr>
        <w:t>estrzeganiem szeregu wymogów dotyczących podobnych rodzajów produktów.</w:t>
      </w:r>
    </w:p>
    <w:p w14:paraId="67ED8671" w14:textId="1B90669B" w:rsidR="003F28B4" w:rsidRPr="002866E5" w:rsidRDefault="00336206" w:rsidP="00754710">
      <w:pPr>
        <w:rPr>
          <w:rFonts w:eastAsia="Calibri"/>
          <w:noProof/>
          <w:szCs w:val="24"/>
        </w:rPr>
      </w:pPr>
      <w:r w:rsidRPr="002866E5">
        <w:rPr>
          <w:noProof/>
        </w:rPr>
        <w:t>Proponowane rozporządzenie może się przyczynić do ujednolicenia</w:t>
      </w:r>
      <w:r w:rsidR="008B35E8" w:rsidRPr="002866E5">
        <w:rPr>
          <w:noProof/>
        </w:rPr>
        <w:t xml:space="preserve"> i</w:t>
      </w:r>
      <w:r w:rsidR="008B35E8">
        <w:rPr>
          <w:noProof/>
        </w:rPr>
        <w:t> </w:t>
      </w:r>
      <w:r w:rsidR="008B35E8" w:rsidRPr="002866E5">
        <w:rPr>
          <w:noProof/>
        </w:rPr>
        <w:t>usp</w:t>
      </w:r>
      <w:r w:rsidRPr="002866E5">
        <w:rPr>
          <w:noProof/>
        </w:rPr>
        <w:t>rawnienia otoczenia regulacyjnego UE przez wprowadzenie wymogów cyberbezpieczeństwa</w:t>
      </w:r>
      <w:r w:rsidR="008B35E8" w:rsidRPr="002866E5">
        <w:rPr>
          <w:noProof/>
        </w:rPr>
        <w:t xml:space="preserve"> w</w:t>
      </w:r>
      <w:r w:rsidR="008B35E8">
        <w:rPr>
          <w:noProof/>
        </w:rPr>
        <w:t> </w:t>
      </w:r>
      <w:r w:rsidR="008B35E8" w:rsidRPr="002866E5">
        <w:rPr>
          <w:noProof/>
        </w:rPr>
        <w:t>odn</w:t>
      </w:r>
      <w:r w:rsidRPr="002866E5">
        <w:rPr>
          <w:noProof/>
        </w:rPr>
        <w:t>iesieniu do produktów</w:t>
      </w:r>
      <w:r w:rsidR="008B35E8" w:rsidRPr="002866E5">
        <w:rPr>
          <w:noProof/>
        </w:rPr>
        <w:t xml:space="preserve"> z</w:t>
      </w:r>
      <w:r w:rsidR="008B35E8">
        <w:rPr>
          <w:noProof/>
        </w:rPr>
        <w:t> </w:t>
      </w:r>
      <w:r w:rsidR="008B35E8" w:rsidRPr="002866E5">
        <w:rPr>
          <w:noProof/>
        </w:rPr>
        <w:t>ele</w:t>
      </w:r>
      <w:r w:rsidRPr="002866E5">
        <w:rPr>
          <w:noProof/>
        </w:rPr>
        <w:t>mentami cyfrowymi,</w:t>
      </w:r>
      <w:r w:rsidR="008B35E8" w:rsidRPr="002866E5">
        <w:rPr>
          <w:noProof/>
        </w:rPr>
        <w:t xml:space="preserve"> a</w:t>
      </w:r>
      <w:r w:rsidR="008B35E8">
        <w:rPr>
          <w:noProof/>
        </w:rPr>
        <w:t> </w:t>
      </w:r>
      <w:r w:rsidR="008B35E8" w:rsidRPr="002866E5">
        <w:rPr>
          <w:noProof/>
        </w:rPr>
        <w:t>tak</w:t>
      </w:r>
      <w:r w:rsidRPr="002866E5">
        <w:rPr>
          <w:noProof/>
        </w:rPr>
        <w:t>że do uniknięcia nakładania się wymogów wynikających</w:t>
      </w:r>
      <w:r w:rsidR="008B35E8" w:rsidRPr="002866E5">
        <w:rPr>
          <w:noProof/>
        </w:rPr>
        <w:t xml:space="preserve"> z</w:t>
      </w:r>
      <w:r w:rsidR="008B35E8">
        <w:rPr>
          <w:noProof/>
        </w:rPr>
        <w:t> </w:t>
      </w:r>
      <w:r w:rsidR="008B35E8" w:rsidRPr="002866E5">
        <w:rPr>
          <w:noProof/>
        </w:rPr>
        <w:t>róż</w:t>
      </w:r>
      <w:r w:rsidRPr="002866E5">
        <w:rPr>
          <w:noProof/>
        </w:rPr>
        <w:t>nych aktów prawnych. To</w:t>
      </w:r>
      <w:r w:rsidR="008B35E8" w:rsidRPr="002866E5">
        <w:rPr>
          <w:noProof/>
        </w:rPr>
        <w:t xml:space="preserve"> z</w:t>
      </w:r>
      <w:r w:rsidR="008B35E8">
        <w:rPr>
          <w:noProof/>
        </w:rPr>
        <w:t> </w:t>
      </w:r>
      <w:r w:rsidR="008B35E8" w:rsidRPr="002866E5">
        <w:rPr>
          <w:noProof/>
        </w:rPr>
        <w:t>kol</w:t>
      </w:r>
      <w:r w:rsidRPr="002866E5">
        <w:rPr>
          <w:noProof/>
        </w:rPr>
        <w:t>ei może zagwarantować większą pewność prawa podmiotom gospodarczym</w:t>
      </w:r>
      <w:r w:rsidR="008B35E8" w:rsidRPr="002866E5">
        <w:rPr>
          <w:noProof/>
        </w:rPr>
        <w:t xml:space="preserve"> i</w:t>
      </w:r>
      <w:r w:rsidR="008B35E8">
        <w:rPr>
          <w:noProof/>
        </w:rPr>
        <w:t> </w:t>
      </w:r>
      <w:r w:rsidR="008B35E8" w:rsidRPr="002866E5">
        <w:rPr>
          <w:noProof/>
        </w:rPr>
        <w:t>uży</w:t>
      </w:r>
      <w:r w:rsidRPr="002866E5">
        <w:rPr>
          <w:noProof/>
        </w:rPr>
        <w:t>tkownikom</w:t>
      </w:r>
      <w:r w:rsidR="008B35E8" w:rsidRPr="002866E5">
        <w:rPr>
          <w:noProof/>
        </w:rPr>
        <w:t xml:space="preserve"> w</w:t>
      </w:r>
      <w:r w:rsidR="008B35E8">
        <w:rPr>
          <w:noProof/>
        </w:rPr>
        <w:t> </w:t>
      </w:r>
      <w:r w:rsidR="008B35E8" w:rsidRPr="002866E5">
        <w:rPr>
          <w:noProof/>
        </w:rPr>
        <w:t>cał</w:t>
      </w:r>
      <w:r w:rsidRPr="002866E5">
        <w:rPr>
          <w:noProof/>
        </w:rPr>
        <w:t>ej Unii,</w:t>
      </w:r>
      <w:r w:rsidR="008B35E8" w:rsidRPr="002866E5">
        <w:rPr>
          <w:noProof/>
        </w:rPr>
        <w:t xml:space="preserve"> a</w:t>
      </w:r>
      <w:r w:rsidR="008B35E8">
        <w:rPr>
          <w:noProof/>
        </w:rPr>
        <w:t> </w:t>
      </w:r>
      <w:r w:rsidR="008B35E8" w:rsidRPr="002866E5">
        <w:rPr>
          <w:noProof/>
        </w:rPr>
        <w:t>tak</w:t>
      </w:r>
      <w:r w:rsidRPr="002866E5">
        <w:rPr>
          <w:noProof/>
        </w:rPr>
        <w:t>że umożliwić lepszą harmonizację jednolitego rynku europejskiego, co przełoży się na dogodniejsze warunki dla podmiotów chcących wejść na rynek UE.</w:t>
      </w:r>
    </w:p>
    <w:p w14:paraId="67ED8672" w14:textId="77777777" w:rsidR="0037165D" w:rsidRPr="002866E5" w:rsidRDefault="0037165D" w:rsidP="00881943">
      <w:pPr>
        <w:pStyle w:val="ManualHeading2"/>
        <w:rPr>
          <w:rFonts w:eastAsia="Arial Unicode MS"/>
          <w:noProof/>
          <w:u w:color="000000"/>
          <w:bdr w:val="nil"/>
        </w:rPr>
      </w:pPr>
      <w:r w:rsidRPr="002866E5">
        <w:rPr>
          <w:noProof/>
          <w:u w:color="000000"/>
          <w:bdr w:val="nil"/>
        </w:rPr>
        <w:t>•</w:t>
      </w:r>
      <w:r w:rsidRPr="002866E5">
        <w:rPr>
          <w:noProof/>
        </w:rPr>
        <w:tab/>
      </w:r>
      <w:r w:rsidRPr="002866E5">
        <w:rPr>
          <w:noProof/>
          <w:u w:color="000000"/>
          <w:bdr w:val="nil"/>
        </w:rPr>
        <w:t xml:space="preserve">Pomocniczość (w przypadku kompetencji niewyłącznych) </w:t>
      </w:r>
    </w:p>
    <w:p w14:paraId="67ED8673" w14:textId="04568150" w:rsidR="00336206" w:rsidRPr="002866E5" w:rsidRDefault="00336206" w:rsidP="00336206">
      <w:pPr>
        <w:rPr>
          <w:rFonts w:eastAsia="Calibri"/>
          <w:noProof/>
          <w:szCs w:val="24"/>
        </w:rPr>
      </w:pPr>
      <w:r w:rsidRPr="002866E5">
        <w:rPr>
          <w:noProof/>
        </w:rPr>
        <w:t>Wyraźnie transgraniczny charakter cyberbezpieczeństwa</w:t>
      </w:r>
      <w:r w:rsidR="008B35E8" w:rsidRPr="002866E5">
        <w:rPr>
          <w:noProof/>
        </w:rPr>
        <w:t xml:space="preserve"> w</w:t>
      </w:r>
      <w:r w:rsidR="008B35E8">
        <w:rPr>
          <w:noProof/>
        </w:rPr>
        <w:t> </w:t>
      </w:r>
      <w:r w:rsidR="008B35E8" w:rsidRPr="002866E5">
        <w:rPr>
          <w:noProof/>
        </w:rPr>
        <w:t>uję</w:t>
      </w:r>
      <w:r w:rsidRPr="002866E5">
        <w:rPr>
          <w:noProof/>
        </w:rPr>
        <w:t>ciu ogólnym</w:t>
      </w:r>
      <w:r w:rsidR="008B35E8" w:rsidRPr="002866E5">
        <w:rPr>
          <w:noProof/>
        </w:rPr>
        <w:t xml:space="preserve"> i</w:t>
      </w:r>
      <w:r w:rsidR="008B35E8">
        <w:rPr>
          <w:noProof/>
        </w:rPr>
        <w:t> </w:t>
      </w:r>
      <w:r w:rsidR="008B35E8" w:rsidRPr="002866E5">
        <w:rPr>
          <w:noProof/>
        </w:rPr>
        <w:t>ros</w:t>
      </w:r>
      <w:r w:rsidRPr="002866E5">
        <w:rPr>
          <w:noProof/>
        </w:rPr>
        <w:t>nąca liczba zagrożeń</w:t>
      </w:r>
      <w:r w:rsidR="008B35E8" w:rsidRPr="002866E5">
        <w:rPr>
          <w:noProof/>
        </w:rPr>
        <w:t xml:space="preserve"> i</w:t>
      </w:r>
      <w:r w:rsidR="008B35E8">
        <w:rPr>
          <w:noProof/>
        </w:rPr>
        <w:t> </w:t>
      </w:r>
      <w:r w:rsidR="008B35E8" w:rsidRPr="002866E5">
        <w:rPr>
          <w:noProof/>
        </w:rPr>
        <w:t>inc</w:t>
      </w:r>
      <w:r w:rsidRPr="002866E5">
        <w:rPr>
          <w:noProof/>
        </w:rPr>
        <w:t>ydentów, których skutki uboczne są odczuwalne</w:t>
      </w:r>
      <w:r w:rsidR="008B35E8" w:rsidRPr="002866E5">
        <w:rPr>
          <w:noProof/>
        </w:rPr>
        <w:t xml:space="preserve"> w</w:t>
      </w:r>
      <w:r w:rsidR="008B35E8">
        <w:rPr>
          <w:noProof/>
        </w:rPr>
        <w:t> </w:t>
      </w:r>
      <w:r w:rsidR="008B35E8" w:rsidRPr="002866E5">
        <w:rPr>
          <w:noProof/>
        </w:rPr>
        <w:t>inn</w:t>
      </w:r>
      <w:r w:rsidRPr="002866E5">
        <w:rPr>
          <w:noProof/>
        </w:rPr>
        <w:t>ych krajach oraz dotykają inne sektory</w:t>
      </w:r>
      <w:r w:rsidR="008B35E8" w:rsidRPr="002866E5">
        <w:rPr>
          <w:noProof/>
        </w:rPr>
        <w:t xml:space="preserve"> i</w:t>
      </w:r>
      <w:r w:rsidR="008B35E8">
        <w:rPr>
          <w:noProof/>
        </w:rPr>
        <w:t> </w:t>
      </w:r>
      <w:r w:rsidR="008B35E8" w:rsidRPr="002866E5">
        <w:rPr>
          <w:noProof/>
        </w:rPr>
        <w:t>pro</w:t>
      </w:r>
      <w:r w:rsidRPr="002866E5">
        <w:rPr>
          <w:noProof/>
        </w:rPr>
        <w:t>dukty, oznaczają, że państwa członkowskie nie są</w:t>
      </w:r>
      <w:r w:rsidR="008B35E8" w:rsidRPr="002866E5">
        <w:rPr>
          <w:noProof/>
        </w:rPr>
        <w:t xml:space="preserve"> w</w:t>
      </w:r>
      <w:r w:rsidR="008B35E8">
        <w:rPr>
          <w:noProof/>
        </w:rPr>
        <w:t> </w:t>
      </w:r>
      <w:r w:rsidR="008B35E8" w:rsidRPr="002866E5">
        <w:rPr>
          <w:noProof/>
        </w:rPr>
        <w:t>sta</w:t>
      </w:r>
      <w:r w:rsidRPr="002866E5">
        <w:rPr>
          <w:noProof/>
        </w:rPr>
        <w:t>nie skutecznie osiągnąć celów niniejszego wniosku samodzielnie. Krajowe podejścia do rozwiązywania tych problemów,</w:t>
      </w:r>
      <w:r w:rsidR="008B35E8" w:rsidRPr="002866E5">
        <w:rPr>
          <w:noProof/>
        </w:rPr>
        <w:t xml:space="preserve"> w</w:t>
      </w:r>
      <w:r w:rsidR="008B35E8">
        <w:rPr>
          <w:noProof/>
        </w:rPr>
        <w:t> </w:t>
      </w:r>
      <w:r w:rsidR="008B35E8" w:rsidRPr="002866E5">
        <w:rPr>
          <w:noProof/>
        </w:rPr>
        <w:t>szc</w:t>
      </w:r>
      <w:r w:rsidRPr="002866E5">
        <w:rPr>
          <w:noProof/>
        </w:rPr>
        <w:t>zególności podejścia zakładające wprowadzanie obowiązkowych wymogów, pogłębią brak pewności prawa</w:t>
      </w:r>
      <w:r w:rsidR="008B35E8" w:rsidRPr="002866E5">
        <w:rPr>
          <w:noProof/>
        </w:rPr>
        <w:t xml:space="preserve"> i</w:t>
      </w:r>
      <w:r w:rsidR="008B35E8">
        <w:rPr>
          <w:noProof/>
        </w:rPr>
        <w:t> </w:t>
      </w:r>
      <w:r w:rsidR="008B35E8" w:rsidRPr="002866E5">
        <w:rPr>
          <w:noProof/>
        </w:rPr>
        <w:t>stw</w:t>
      </w:r>
      <w:r w:rsidRPr="002866E5">
        <w:rPr>
          <w:noProof/>
        </w:rPr>
        <w:t>orzą dodatkowe bariery prawne. Przedsiębiorstwa mogą stracić możliwość płynnej ekspansji na inne państwa członkowskie, co pozbawi użytkowników korzyści płynących</w:t>
      </w:r>
      <w:r w:rsidR="008B35E8" w:rsidRPr="002866E5">
        <w:rPr>
          <w:noProof/>
        </w:rPr>
        <w:t xml:space="preserve"> z</w:t>
      </w:r>
      <w:r w:rsidR="008B35E8">
        <w:rPr>
          <w:noProof/>
        </w:rPr>
        <w:t> </w:t>
      </w:r>
      <w:r w:rsidR="008B35E8" w:rsidRPr="002866E5">
        <w:rPr>
          <w:noProof/>
        </w:rPr>
        <w:t>ofe</w:t>
      </w:r>
      <w:r w:rsidRPr="002866E5">
        <w:rPr>
          <w:noProof/>
        </w:rPr>
        <w:t xml:space="preserve">rowanych przez nie produktów. </w:t>
      </w:r>
    </w:p>
    <w:p w14:paraId="67ED8674" w14:textId="44F27C9B" w:rsidR="0037165D" w:rsidRPr="002866E5" w:rsidRDefault="00336206" w:rsidP="005E6D4B">
      <w:pPr>
        <w:rPr>
          <w:rFonts w:eastAsia="Calibri"/>
          <w:noProof/>
          <w:szCs w:val="24"/>
        </w:rPr>
      </w:pPr>
      <w:r w:rsidRPr="002866E5">
        <w:rPr>
          <w:noProof/>
        </w:rPr>
        <w:t>Wspólne działanie na szczeblu UE jest zatem konieczne, aby wzbudzić większe zaufanie użytkowników</w:t>
      </w:r>
      <w:r w:rsidR="008B35E8" w:rsidRPr="002866E5">
        <w:rPr>
          <w:noProof/>
        </w:rPr>
        <w:t xml:space="preserve"> i</w:t>
      </w:r>
      <w:r w:rsidR="008B35E8">
        <w:rPr>
          <w:noProof/>
        </w:rPr>
        <w:t> </w:t>
      </w:r>
      <w:r w:rsidR="008B35E8" w:rsidRPr="002866E5">
        <w:rPr>
          <w:noProof/>
        </w:rPr>
        <w:t>pop</w:t>
      </w:r>
      <w:r w:rsidRPr="002866E5">
        <w:rPr>
          <w:noProof/>
        </w:rPr>
        <w:t>rawić atrakcyjność unijnych produktów</w:t>
      </w:r>
      <w:r w:rsidR="008B35E8" w:rsidRPr="002866E5">
        <w:rPr>
          <w:noProof/>
        </w:rPr>
        <w:t xml:space="preserve"> z</w:t>
      </w:r>
      <w:r w:rsidR="008B35E8">
        <w:rPr>
          <w:noProof/>
        </w:rPr>
        <w:t> </w:t>
      </w:r>
      <w:r w:rsidR="008B35E8" w:rsidRPr="002866E5">
        <w:rPr>
          <w:noProof/>
        </w:rPr>
        <w:t>ele</w:t>
      </w:r>
      <w:r w:rsidRPr="002866E5">
        <w:rPr>
          <w:noProof/>
        </w:rPr>
        <w:t>mentami cyfrowymi. Przyniosłoby to również korzyści jednolitemu rynkowi cyfrowemu</w:t>
      </w:r>
      <w:r w:rsidR="008B35E8" w:rsidRPr="002866E5">
        <w:rPr>
          <w:noProof/>
        </w:rPr>
        <w:t xml:space="preserve"> i</w:t>
      </w:r>
      <w:r w:rsidR="008B35E8">
        <w:rPr>
          <w:noProof/>
        </w:rPr>
        <w:t> </w:t>
      </w:r>
      <w:r w:rsidR="008B35E8" w:rsidRPr="002866E5">
        <w:rPr>
          <w:noProof/>
        </w:rPr>
        <w:t>cał</w:t>
      </w:r>
      <w:r w:rsidRPr="002866E5">
        <w:rPr>
          <w:noProof/>
        </w:rPr>
        <w:t>emu rynkowi wewnętrznemu, gdyż zapewniłoby pewność prawa</w:t>
      </w:r>
      <w:r w:rsidR="008B35E8" w:rsidRPr="002866E5">
        <w:rPr>
          <w:noProof/>
        </w:rPr>
        <w:t xml:space="preserve"> i</w:t>
      </w:r>
      <w:r w:rsidR="008B35E8">
        <w:rPr>
          <w:noProof/>
        </w:rPr>
        <w:t> </w:t>
      </w:r>
      <w:r w:rsidR="008B35E8" w:rsidRPr="002866E5">
        <w:rPr>
          <w:noProof/>
        </w:rPr>
        <w:t>rów</w:t>
      </w:r>
      <w:r w:rsidRPr="002866E5">
        <w:rPr>
          <w:noProof/>
        </w:rPr>
        <w:t>ne warunki działania producentom produktów</w:t>
      </w:r>
      <w:r w:rsidR="008B35E8" w:rsidRPr="002866E5">
        <w:rPr>
          <w:noProof/>
        </w:rPr>
        <w:t xml:space="preserve"> z</w:t>
      </w:r>
      <w:r w:rsidR="008B35E8">
        <w:rPr>
          <w:noProof/>
        </w:rPr>
        <w:t> </w:t>
      </w:r>
      <w:r w:rsidR="008B35E8" w:rsidRPr="002866E5">
        <w:rPr>
          <w:noProof/>
        </w:rPr>
        <w:t>ele</w:t>
      </w:r>
      <w:r w:rsidRPr="002866E5">
        <w:rPr>
          <w:noProof/>
        </w:rPr>
        <w:t>mentami cyfrowymi.</w:t>
      </w:r>
    </w:p>
    <w:p w14:paraId="67ED8675" w14:textId="09C5A87B" w:rsidR="00336206" w:rsidRPr="002866E5" w:rsidRDefault="00336206" w:rsidP="00881943">
      <w:pPr>
        <w:pBdr>
          <w:top w:val="nil"/>
          <w:left w:val="nil"/>
          <w:bottom w:val="nil"/>
          <w:right w:val="nil"/>
          <w:between w:val="nil"/>
          <w:bar w:val="nil"/>
        </w:pBdr>
        <w:spacing w:before="0" w:after="240"/>
        <w:rPr>
          <w:rFonts w:eastAsia="Arial Unicode MS"/>
          <w:noProof/>
        </w:rPr>
      </w:pPr>
      <w:r w:rsidRPr="002866E5">
        <w:rPr>
          <w:noProof/>
        </w:rPr>
        <w:t>Ponadto</w:t>
      </w:r>
      <w:r w:rsidR="008B35E8" w:rsidRPr="002866E5">
        <w:rPr>
          <w:noProof/>
        </w:rPr>
        <w:t xml:space="preserve"> w</w:t>
      </w:r>
      <w:r w:rsidR="008B35E8">
        <w:rPr>
          <w:noProof/>
        </w:rPr>
        <w:t> </w:t>
      </w:r>
      <w:r w:rsidR="008B35E8" w:rsidRPr="002866E5">
        <w:rPr>
          <w:noProof/>
        </w:rPr>
        <w:t>kon</w:t>
      </w:r>
      <w:r w:rsidRPr="002866E5">
        <w:rPr>
          <w:noProof/>
        </w:rPr>
        <w:t>kluzjach Rady</w:t>
      </w:r>
      <w:r w:rsidR="008B35E8" w:rsidRPr="002866E5">
        <w:rPr>
          <w:noProof/>
        </w:rPr>
        <w:t xml:space="preserve"> z</w:t>
      </w:r>
      <w:r w:rsidR="008B35E8">
        <w:rPr>
          <w:noProof/>
        </w:rPr>
        <w:t> </w:t>
      </w:r>
      <w:r w:rsidR="008B35E8" w:rsidRPr="002866E5">
        <w:rPr>
          <w:noProof/>
        </w:rPr>
        <w:t>dni</w:t>
      </w:r>
      <w:r w:rsidRPr="002866E5">
        <w:rPr>
          <w:noProof/>
        </w:rPr>
        <w:t>a 23 maja 20</w:t>
      </w:r>
      <w:r w:rsidRPr="008B35E8">
        <w:rPr>
          <w:noProof/>
        </w:rPr>
        <w:t>22</w:t>
      </w:r>
      <w:r w:rsidR="008B35E8" w:rsidRPr="008B35E8">
        <w:rPr>
          <w:noProof/>
        </w:rPr>
        <w:t> </w:t>
      </w:r>
      <w:r w:rsidRPr="008B35E8">
        <w:rPr>
          <w:noProof/>
        </w:rPr>
        <w:t>r.</w:t>
      </w:r>
      <w:r w:rsidR="008B35E8" w:rsidRPr="002866E5">
        <w:rPr>
          <w:noProof/>
        </w:rPr>
        <w:t xml:space="preserve"> o</w:t>
      </w:r>
      <w:r w:rsidR="008B35E8">
        <w:rPr>
          <w:noProof/>
        </w:rPr>
        <w:t> </w:t>
      </w:r>
      <w:r w:rsidR="008B35E8" w:rsidRPr="002866E5">
        <w:rPr>
          <w:noProof/>
        </w:rPr>
        <w:t>roz</w:t>
      </w:r>
      <w:r w:rsidRPr="002866E5">
        <w:rPr>
          <w:noProof/>
        </w:rPr>
        <w:t>wijaniu pozycji Unii Europejskiej</w:t>
      </w:r>
      <w:r w:rsidR="008B35E8" w:rsidRPr="002866E5">
        <w:rPr>
          <w:noProof/>
        </w:rPr>
        <w:t xml:space="preserve"> w</w:t>
      </w:r>
      <w:r w:rsidR="008B35E8">
        <w:rPr>
          <w:noProof/>
        </w:rPr>
        <w:t> </w:t>
      </w:r>
      <w:r w:rsidR="008B35E8" w:rsidRPr="002866E5">
        <w:rPr>
          <w:noProof/>
        </w:rPr>
        <w:t>kwe</w:t>
      </w:r>
      <w:r w:rsidRPr="002866E5">
        <w:rPr>
          <w:noProof/>
        </w:rPr>
        <w:t>stiach cyberprzestrzeni wezwano Komisję do zaproponowania do końca 20</w:t>
      </w:r>
      <w:r w:rsidRPr="008B35E8">
        <w:rPr>
          <w:noProof/>
        </w:rPr>
        <w:t>22</w:t>
      </w:r>
      <w:r w:rsidR="008B35E8" w:rsidRPr="008B35E8">
        <w:rPr>
          <w:noProof/>
        </w:rPr>
        <w:t> </w:t>
      </w:r>
      <w:r w:rsidRPr="008B35E8">
        <w:rPr>
          <w:noProof/>
        </w:rPr>
        <w:t>r.</w:t>
      </w:r>
      <w:r w:rsidRPr="002866E5">
        <w:rPr>
          <w:noProof/>
        </w:rPr>
        <w:t xml:space="preserve"> wspólnych wymogów cyberbezpieczeństwa</w:t>
      </w:r>
      <w:r w:rsidR="008B35E8" w:rsidRPr="002866E5">
        <w:rPr>
          <w:noProof/>
        </w:rPr>
        <w:t xml:space="preserve"> w</w:t>
      </w:r>
      <w:r w:rsidR="008B35E8">
        <w:rPr>
          <w:noProof/>
        </w:rPr>
        <w:t> </w:t>
      </w:r>
      <w:r w:rsidR="008B35E8" w:rsidRPr="002866E5">
        <w:rPr>
          <w:noProof/>
        </w:rPr>
        <w:t>odn</w:t>
      </w:r>
      <w:r w:rsidRPr="002866E5">
        <w:rPr>
          <w:noProof/>
        </w:rPr>
        <w:t>iesieniu do urządzeń podłączonych do internetu.</w:t>
      </w:r>
    </w:p>
    <w:p w14:paraId="67ED8676" w14:textId="77777777" w:rsidR="0037165D" w:rsidRPr="002866E5" w:rsidRDefault="0037165D" w:rsidP="00881943">
      <w:pPr>
        <w:pStyle w:val="ManualHeading2"/>
        <w:rPr>
          <w:rFonts w:eastAsia="Arial Unicode MS"/>
          <w:noProof/>
          <w:u w:color="000000"/>
          <w:bdr w:val="nil"/>
        </w:rPr>
      </w:pPr>
      <w:r w:rsidRPr="002866E5">
        <w:rPr>
          <w:noProof/>
          <w:u w:color="000000"/>
          <w:bdr w:val="nil"/>
        </w:rPr>
        <w:lastRenderedPageBreak/>
        <w:t>•</w:t>
      </w:r>
      <w:r w:rsidRPr="002866E5">
        <w:rPr>
          <w:noProof/>
        </w:rPr>
        <w:tab/>
      </w:r>
      <w:r w:rsidRPr="002866E5">
        <w:rPr>
          <w:noProof/>
          <w:u w:color="000000"/>
          <w:bdr w:val="nil"/>
        </w:rPr>
        <w:t>Proporcjonalność</w:t>
      </w:r>
    </w:p>
    <w:p w14:paraId="67ED8677" w14:textId="47BF3EDF" w:rsidR="001D60A9" w:rsidRPr="002866E5" w:rsidRDefault="002C3072" w:rsidP="00754710">
      <w:pPr>
        <w:rPr>
          <w:rFonts w:eastAsia="Arial Unicode MS"/>
          <w:noProof/>
        </w:rPr>
      </w:pPr>
      <w:r w:rsidRPr="002866E5">
        <w:rPr>
          <w:noProof/>
        </w:rPr>
        <w:t>Jeżeli chodzi</w:t>
      </w:r>
      <w:r w:rsidR="008B35E8" w:rsidRPr="002866E5">
        <w:rPr>
          <w:noProof/>
        </w:rPr>
        <w:t xml:space="preserve"> o</w:t>
      </w:r>
      <w:r w:rsidR="008B35E8">
        <w:rPr>
          <w:noProof/>
        </w:rPr>
        <w:t> </w:t>
      </w:r>
      <w:r w:rsidR="008B35E8" w:rsidRPr="002866E5">
        <w:rPr>
          <w:noProof/>
        </w:rPr>
        <w:t>pro</w:t>
      </w:r>
      <w:r w:rsidRPr="002866E5">
        <w:rPr>
          <w:noProof/>
        </w:rPr>
        <w:t>porcjonalność proponowanego rozporządzenia, środki przewidziane</w:t>
      </w:r>
      <w:r w:rsidR="008B35E8" w:rsidRPr="002866E5">
        <w:rPr>
          <w:noProof/>
        </w:rPr>
        <w:t xml:space="preserve"> w</w:t>
      </w:r>
      <w:r w:rsidR="008B35E8">
        <w:rPr>
          <w:noProof/>
        </w:rPr>
        <w:t> </w:t>
      </w:r>
      <w:r w:rsidR="008B35E8" w:rsidRPr="002866E5">
        <w:rPr>
          <w:noProof/>
        </w:rPr>
        <w:t>roz</w:t>
      </w:r>
      <w:r w:rsidRPr="002866E5">
        <w:rPr>
          <w:noProof/>
        </w:rPr>
        <w:t>ważanych wariantach strategicznych nie wykraczałyby poza to, co jest konieczne do osiągnięcia celów ogólnych</w:t>
      </w:r>
      <w:r w:rsidR="008B35E8" w:rsidRPr="002866E5">
        <w:rPr>
          <w:noProof/>
        </w:rPr>
        <w:t xml:space="preserve"> i</w:t>
      </w:r>
      <w:r w:rsidR="008B35E8">
        <w:rPr>
          <w:noProof/>
        </w:rPr>
        <w:t> </w:t>
      </w:r>
      <w:r w:rsidR="008B35E8" w:rsidRPr="002866E5">
        <w:rPr>
          <w:noProof/>
        </w:rPr>
        <w:t>szc</w:t>
      </w:r>
      <w:r w:rsidRPr="002866E5">
        <w:rPr>
          <w:noProof/>
        </w:rPr>
        <w:t>zegółowych,</w:t>
      </w:r>
      <w:r w:rsidR="008B35E8" w:rsidRPr="002866E5">
        <w:rPr>
          <w:noProof/>
        </w:rPr>
        <w:t xml:space="preserve"> i</w:t>
      </w:r>
      <w:r w:rsidR="008B35E8">
        <w:rPr>
          <w:noProof/>
        </w:rPr>
        <w:t> </w:t>
      </w:r>
      <w:r w:rsidR="008B35E8" w:rsidRPr="002866E5">
        <w:rPr>
          <w:noProof/>
        </w:rPr>
        <w:t>nie</w:t>
      </w:r>
      <w:r w:rsidRPr="002866E5">
        <w:rPr>
          <w:noProof/>
        </w:rPr>
        <w:t xml:space="preserve"> wiązałyby się</w:t>
      </w:r>
      <w:r w:rsidR="008B35E8" w:rsidRPr="002866E5">
        <w:rPr>
          <w:noProof/>
        </w:rPr>
        <w:t xml:space="preserve"> z</w:t>
      </w:r>
      <w:r w:rsidR="008B35E8">
        <w:rPr>
          <w:noProof/>
        </w:rPr>
        <w:t> </w:t>
      </w:r>
      <w:r w:rsidR="008B35E8" w:rsidRPr="002866E5">
        <w:rPr>
          <w:noProof/>
        </w:rPr>
        <w:t>nie</w:t>
      </w:r>
      <w:r w:rsidRPr="002866E5">
        <w:rPr>
          <w:noProof/>
        </w:rPr>
        <w:t>proporcjonalnymi kosztami. Dokładniej rzecz ujmując, rozważana interwencja zapewniłaby zabezpieczenie produktów</w:t>
      </w:r>
      <w:r w:rsidR="008B35E8" w:rsidRPr="002866E5">
        <w:rPr>
          <w:noProof/>
        </w:rPr>
        <w:t xml:space="preserve"> z</w:t>
      </w:r>
      <w:r w:rsidR="008B35E8">
        <w:rPr>
          <w:noProof/>
        </w:rPr>
        <w:t> </w:t>
      </w:r>
      <w:r w:rsidR="008B35E8" w:rsidRPr="002866E5">
        <w:rPr>
          <w:noProof/>
        </w:rPr>
        <w:t>ele</w:t>
      </w:r>
      <w:r w:rsidRPr="002866E5">
        <w:rPr>
          <w:noProof/>
        </w:rPr>
        <w:t>mentami cyfrowymi</w:t>
      </w:r>
      <w:r w:rsidR="008B35E8" w:rsidRPr="002866E5">
        <w:rPr>
          <w:noProof/>
        </w:rPr>
        <w:t xml:space="preserve"> w</w:t>
      </w:r>
      <w:r w:rsidR="008B35E8">
        <w:rPr>
          <w:noProof/>
        </w:rPr>
        <w:t> </w:t>
      </w:r>
      <w:r w:rsidR="008B35E8" w:rsidRPr="002866E5">
        <w:rPr>
          <w:noProof/>
        </w:rPr>
        <w:t>cał</w:t>
      </w:r>
      <w:r w:rsidRPr="002866E5">
        <w:rPr>
          <w:noProof/>
        </w:rPr>
        <w:t>ym ich cyklu życia</w:t>
      </w:r>
      <w:r w:rsidR="008B35E8" w:rsidRPr="002866E5">
        <w:rPr>
          <w:noProof/>
        </w:rPr>
        <w:t xml:space="preserve"> i</w:t>
      </w:r>
      <w:r w:rsidR="008B35E8">
        <w:rPr>
          <w:noProof/>
        </w:rPr>
        <w:t> </w:t>
      </w:r>
      <w:r w:rsidR="008B35E8" w:rsidRPr="002866E5">
        <w:rPr>
          <w:noProof/>
        </w:rPr>
        <w:t>w</w:t>
      </w:r>
      <w:r w:rsidR="008B35E8">
        <w:rPr>
          <w:noProof/>
        </w:rPr>
        <w:t> </w:t>
      </w:r>
      <w:r w:rsidR="008B35E8" w:rsidRPr="002866E5">
        <w:rPr>
          <w:noProof/>
        </w:rPr>
        <w:t>spo</w:t>
      </w:r>
      <w:r w:rsidRPr="002866E5">
        <w:rPr>
          <w:noProof/>
        </w:rPr>
        <w:t>sób proporcjonalny do występującego ryzyka dzięki ukierunkowanym na osiągnięcie celów</w:t>
      </w:r>
      <w:r w:rsidR="008B35E8" w:rsidRPr="002866E5">
        <w:rPr>
          <w:noProof/>
        </w:rPr>
        <w:t xml:space="preserve"> i</w:t>
      </w:r>
      <w:r w:rsidR="008B35E8">
        <w:rPr>
          <w:noProof/>
        </w:rPr>
        <w:t> </w:t>
      </w:r>
      <w:r w:rsidR="008B35E8" w:rsidRPr="002866E5">
        <w:rPr>
          <w:noProof/>
        </w:rPr>
        <w:t>neu</w:t>
      </w:r>
      <w:r w:rsidRPr="002866E5">
        <w:rPr>
          <w:noProof/>
        </w:rPr>
        <w:t>tralnym pod względem technologicznym wymogom, które pozostają rozsądne</w:t>
      </w:r>
      <w:r w:rsidR="008B35E8" w:rsidRPr="002866E5">
        <w:rPr>
          <w:noProof/>
        </w:rPr>
        <w:t xml:space="preserve"> i</w:t>
      </w:r>
      <w:r w:rsidR="008B35E8">
        <w:rPr>
          <w:noProof/>
        </w:rPr>
        <w:t> </w:t>
      </w:r>
      <w:r w:rsidR="008B35E8" w:rsidRPr="002866E5">
        <w:rPr>
          <w:noProof/>
        </w:rPr>
        <w:t>zas</w:t>
      </w:r>
      <w:r w:rsidRPr="002866E5">
        <w:rPr>
          <w:noProof/>
        </w:rPr>
        <w:t xml:space="preserve">adniczo odpowiadają interesom zaangażowanych podmiotów. </w:t>
      </w:r>
    </w:p>
    <w:p w14:paraId="67ED8678" w14:textId="4A8142F7" w:rsidR="00EA4247" w:rsidRPr="002866E5" w:rsidRDefault="001D60A9" w:rsidP="00D602E1">
      <w:pPr>
        <w:rPr>
          <w:rFonts w:eastAsia="Calibri"/>
          <w:noProof/>
          <w:szCs w:val="24"/>
        </w:rPr>
      </w:pPr>
      <w:r w:rsidRPr="002866E5">
        <w:rPr>
          <w:noProof/>
        </w:rPr>
        <w:t>Zasadnicze wymogi cyberbezpieczeństwa zawarte we wniosku opierają się na powszechnie stosowanych normach,</w:t>
      </w:r>
      <w:r w:rsidR="008B35E8" w:rsidRPr="002866E5">
        <w:rPr>
          <w:noProof/>
        </w:rPr>
        <w:t xml:space="preserve"> a</w:t>
      </w:r>
      <w:r w:rsidR="008B35E8">
        <w:rPr>
          <w:noProof/>
        </w:rPr>
        <w:t> </w:t>
      </w:r>
      <w:r w:rsidR="008B35E8" w:rsidRPr="002866E5">
        <w:rPr>
          <w:noProof/>
        </w:rPr>
        <w:t>pon</w:t>
      </w:r>
      <w:r w:rsidRPr="002866E5">
        <w:rPr>
          <w:noProof/>
        </w:rPr>
        <w:t>adto</w:t>
      </w:r>
      <w:r w:rsidR="008B35E8" w:rsidRPr="002866E5">
        <w:rPr>
          <w:noProof/>
        </w:rPr>
        <w:t xml:space="preserve"> w</w:t>
      </w:r>
      <w:r w:rsidR="008B35E8">
        <w:rPr>
          <w:noProof/>
        </w:rPr>
        <w:t> </w:t>
      </w:r>
      <w:r w:rsidR="008B35E8" w:rsidRPr="002866E5">
        <w:rPr>
          <w:noProof/>
        </w:rPr>
        <w:t>póź</w:t>
      </w:r>
      <w:r w:rsidRPr="002866E5">
        <w:rPr>
          <w:noProof/>
        </w:rPr>
        <w:t>niejszym procesie normalizacyjnym uwzględniono by specyfikę techniczną przedmiotowych produktów. Oznacza to, że tam gdzie jest to konieczne</w:t>
      </w:r>
      <w:r w:rsidR="008B35E8" w:rsidRPr="002866E5">
        <w:rPr>
          <w:noProof/>
        </w:rPr>
        <w:t xml:space="preserve"> z</w:t>
      </w:r>
      <w:r w:rsidR="008B35E8">
        <w:rPr>
          <w:noProof/>
        </w:rPr>
        <w:t> </w:t>
      </w:r>
      <w:r w:rsidR="008B35E8" w:rsidRPr="002866E5">
        <w:rPr>
          <w:noProof/>
        </w:rPr>
        <w:t>uwa</w:t>
      </w:r>
      <w:r w:rsidRPr="002866E5">
        <w:rPr>
          <w:noProof/>
        </w:rPr>
        <w:t>gi na dany poziom ryzyka, środki kontroli bezpieczeństwa zostałyby dostosowane. Ponadto planowane przepisy horyzontalne przewidują ocenę przez stronę trzecią jedynie</w:t>
      </w:r>
      <w:r w:rsidR="008B35E8" w:rsidRPr="002866E5">
        <w:rPr>
          <w:noProof/>
        </w:rPr>
        <w:t xml:space="preserve"> w</w:t>
      </w:r>
      <w:r w:rsidR="008B35E8">
        <w:rPr>
          <w:noProof/>
        </w:rPr>
        <w:t> </w:t>
      </w:r>
      <w:r w:rsidR="008B35E8" w:rsidRPr="002866E5">
        <w:rPr>
          <w:noProof/>
        </w:rPr>
        <w:t>prz</w:t>
      </w:r>
      <w:r w:rsidRPr="002866E5">
        <w:rPr>
          <w:noProof/>
        </w:rPr>
        <w:t>ypadku produktów krytycznych. Obejmuje to jedynie wąski fragment rynku produktów</w:t>
      </w:r>
      <w:r w:rsidR="008B35E8" w:rsidRPr="002866E5">
        <w:rPr>
          <w:noProof/>
        </w:rPr>
        <w:t xml:space="preserve"> z</w:t>
      </w:r>
      <w:r w:rsidR="008B35E8">
        <w:rPr>
          <w:noProof/>
        </w:rPr>
        <w:t> </w:t>
      </w:r>
      <w:r w:rsidR="008B35E8" w:rsidRPr="002866E5">
        <w:rPr>
          <w:noProof/>
        </w:rPr>
        <w:t>ele</w:t>
      </w:r>
      <w:r w:rsidRPr="002866E5">
        <w:rPr>
          <w:noProof/>
        </w:rPr>
        <w:t xml:space="preserve">mentami cyfrowymi. Wpływ na MŚP będzie zależał od ich obecności na rynku tych konkretnych kategorii produktów. </w:t>
      </w:r>
    </w:p>
    <w:p w14:paraId="67ED8679" w14:textId="30B28923" w:rsidR="001D60A9" w:rsidRPr="002866E5" w:rsidRDefault="001D60A9" w:rsidP="00754710">
      <w:pPr>
        <w:rPr>
          <w:rFonts w:eastAsia="Arial Unicode MS"/>
          <w:noProof/>
        </w:rPr>
      </w:pPr>
      <w:r w:rsidRPr="002866E5">
        <w:rPr>
          <w:noProof/>
        </w:rPr>
        <w:t>Jeżeli chodzi</w:t>
      </w:r>
      <w:r w:rsidR="008B35E8" w:rsidRPr="002866E5">
        <w:rPr>
          <w:noProof/>
        </w:rPr>
        <w:t xml:space="preserve"> o</w:t>
      </w:r>
      <w:r w:rsidR="008B35E8">
        <w:rPr>
          <w:noProof/>
        </w:rPr>
        <w:t> </w:t>
      </w:r>
      <w:r w:rsidR="008B35E8" w:rsidRPr="002866E5">
        <w:rPr>
          <w:noProof/>
        </w:rPr>
        <w:t>pro</w:t>
      </w:r>
      <w:r w:rsidRPr="002866E5">
        <w:rPr>
          <w:noProof/>
        </w:rPr>
        <w:t>porcjonalność kosztów oceny zgodności, przy ustalaniu wysokości pobieranych opłat jednostki notyfikowane przeprowadzające takie oceny jako strona trzecia brałyby pod uwagę wielkość przedsiębiorstwa. Przewidziano również rozsądny okres przejściowy wynoszący 24 miesiące na przygotowanie się do wdrożenia, co powinno zapewnić właściwym rynkom czas na przygotowanie się przy jednoczesnym wskazaniu jasnego kierunku inwestycji</w:t>
      </w:r>
      <w:r w:rsidR="008B35E8" w:rsidRPr="002866E5">
        <w:rPr>
          <w:noProof/>
        </w:rPr>
        <w:t xml:space="preserve"> w</w:t>
      </w:r>
      <w:r w:rsidR="008B35E8">
        <w:rPr>
          <w:noProof/>
        </w:rPr>
        <w:t> </w:t>
      </w:r>
      <w:r w:rsidR="008B35E8" w:rsidRPr="002866E5">
        <w:rPr>
          <w:noProof/>
        </w:rPr>
        <w:t>bad</w:t>
      </w:r>
      <w:r w:rsidRPr="002866E5">
        <w:rPr>
          <w:noProof/>
        </w:rPr>
        <w:t>ania</w:t>
      </w:r>
      <w:r w:rsidR="008B35E8" w:rsidRPr="002866E5">
        <w:rPr>
          <w:noProof/>
        </w:rPr>
        <w:t xml:space="preserve"> i</w:t>
      </w:r>
      <w:r w:rsidR="008B35E8">
        <w:rPr>
          <w:noProof/>
        </w:rPr>
        <w:t> </w:t>
      </w:r>
      <w:r w:rsidR="008B35E8" w:rsidRPr="002866E5">
        <w:rPr>
          <w:noProof/>
        </w:rPr>
        <w:t>roz</w:t>
      </w:r>
      <w:r w:rsidRPr="002866E5">
        <w:rPr>
          <w:noProof/>
        </w:rPr>
        <w:t>wój. Wszelkie koszty przestrzegania przepisów ponoszone przez przedsiębiorstwa zostałyby zrównoważone korzyściami płynącymi</w:t>
      </w:r>
      <w:r w:rsidR="008B35E8" w:rsidRPr="002866E5">
        <w:rPr>
          <w:noProof/>
        </w:rPr>
        <w:t xml:space="preserve"> z</w:t>
      </w:r>
      <w:r w:rsidR="008B35E8">
        <w:rPr>
          <w:noProof/>
        </w:rPr>
        <w:t> </w:t>
      </w:r>
      <w:r w:rsidR="008B35E8" w:rsidRPr="002866E5">
        <w:rPr>
          <w:noProof/>
        </w:rPr>
        <w:t>wyż</w:t>
      </w:r>
      <w:r w:rsidRPr="002866E5">
        <w:rPr>
          <w:noProof/>
        </w:rPr>
        <w:t>szego poziomu bezpieczeństwa produktów</w:t>
      </w:r>
      <w:r w:rsidR="008B35E8" w:rsidRPr="002866E5">
        <w:rPr>
          <w:noProof/>
        </w:rPr>
        <w:t xml:space="preserve"> z</w:t>
      </w:r>
      <w:r w:rsidR="008B35E8">
        <w:rPr>
          <w:noProof/>
        </w:rPr>
        <w:t> </w:t>
      </w:r>
      <w:r w:rsidR="008B35E8" w:rsidRPr="002866E5">
        <w:rPr>
          <w:noProof/>
        </w:rPr>
        <w:t>ele</w:t>
      </w:r>
      <w:r w:rsidRPr="002866E5">
        <w:rPr>
          <w:noProof/>
        </w:rPr>
        <w:t>mentami cyfrowymi,</w:t>
      </w:r>
      <w:r w:rsidR="008B35E8" w:rsidRPr="002866E5">
        <w:rPr>
          <w:noProof/>
        </w:rPr>
        <w:t xml:space="preserve"> a</w:t>
      </w:r>
      <w:r w:rsidR="008B35E8">
        <w:rPr>
          <w:noProof/>
        </w:rPr>
        <w:t> </w:t>
      </w:r>
      <w:r w:rsidR="008B35E8" w:rsidRPr="002866E5">
        <w:rPr>
          <w:noProof/>
        </w:rPr>
        <w:t>ost</w:t>
      </w:r>
      <w:r w:rsidRPr="002866E5">
        <w:rPr>
          <w:noProof/>
        </w:rPr>
        <w:t>atecznie wzrostem zaufania użytkowników do tych produktów.</w:t>
      </w:r>
    </w:p>
    <w:p w14:paraId="67ED867A" w14:textId="77777777" w:rsidR="0037165D" w:rsidRPr="002866E5" w:rsidRDefault="0037165D" w:rsidP="00881943">
      <w:pPr>
        <w:pStyle w:val="ManualHeading2"/>
        <w:rPr>
          <w:rFonts w:eastAsia="Arial Unicode MS"/>
          <w:noProof/>
          <w:u w:color="000000"/>
          <w:bdr w:val="nil"/>
        </w:rPr>
      </w:pPr>
      <w:r w:rsidRPr="002866E5">
        <w:rPr>
          <w:noProof/>
          <w:u w:color="000000"/>
          <w:bdr w:val="nil"/>
        </w:rPr>
        <w:t>•</w:t>
      </w:r>
      <w:r w:rsidRPr="002866E5">
        <w:rPr>
          <w:noProof/>
        </w:rPr>
        <w:tab/>
      </w:r>
      <w:r w:rsidRPr="002866E5">
        <w:rPr>
          <w:noProof/>
          <w:u w:color="000000"/>
          <w:bdr w:val="nil"/>
        </w:rPr>
        <w:t>Wybór instrumentu</w:t>
      </w:r>
    </w:p>
    <w:p w14:paraId="67ED867B" w14:textId="57AAE9C6" w:rsidR="0037165D" w:rsidRPr="002866E5" w:rsidRDefault="002C3072" w:rsidP="00881943">
      <w:pPr>
        <w:pBdr>
          <w:top w:val="nil"/>
          <w:left w:val="nil"/>
          <w:bottom w:val="nil"/>
          <w:right w:val="nil"/>
          <w:between w:val="nil"/>
          <w:bar w:val="nil"/>
        </w:pBdr>
        <w:spacing w:before="0" w:after="240"/>
        <w:rPr>
          <w:rFonts w:eastAsia="Arial Unicode MS"/>
          <w:noProof/>
        </w:rPr>
      </w:pPr>
      <w:r w:rsidRPr="002866E5">
        <w:rPr>
          <w:noProof/>
        </w:rPr>
        <w:t>Interwencja regulacyjna wymaga przyjęcia rozporządzenia,</w:t>
      </w:r>
      <w:r w:rsidR="008B35E8" w:rsidRPr="002866E5">
        <w:rPr>
          <w:noProof/>
        </w:rPr>
        <w:t xml:space="preserve"> a</w:t>
      </w:r>
      <w:r w:rsidR="008B35E8">
        <w:rPr>
          <w:noProof/>
        </w:rPr>
        <w:t> </w:t>
      </w:r>
      <w:r w:rsidR="008B35E8" w:rsidRPr="002866E5">
        <w:rPr>
          <w:noProof/>
        </w:rPr>
        <w:t>nie</w:t>
      </w:r>
      <w:r w:rsidRPr="002866E5">
        <w:rPr>
          <w:noProof/>
        </w:rPr>
        <w:t xml:space="preserve"> dyrektywy. Wynika to</w:t>
      </w:r>
      <w:r w:rsidR="008B35E8" w:rsidRPr="002866E5">
        <w:rPr>
          <w:noProof/>
        </w:rPr>
        <w:t xml:space="preserve"> z</w:t>
      </w:r>
      <w:r w:rsidR="008B35E8">
        <w:rPr>
          <w:noProof/>
        </w:rPr>
        <w:t> </w:t>
      </w:r>
      <w:r w:rsidR="008B35E8" w:rsidRPr="002866E5">
        <w:rPr>
          <w:noProof/>
        </w:rPr>
        <w:t>fak</w:t>
      </w:r>
      <w:r w:rsidRPr="002866E5">
        <w:rPr>
          <w:noProof/>
        </w:rPr>
        <w:t>tu, że</w:t>
      </w:r>
      <w:r w:rsidR="008B35E8" w:rsidRPr="002866E5">
        <w:rPr>
          <w:noProof/>
        </w:rPr>
        <w:t xml:space="preserve"> w</w:t>
      </w:r>
      <w:r w:rsidR="008B35E8">
        <w:rPr>
          <w:noProof/>
        </w:rPr>
        <w:t> </w:t>
      </w:r>
      <w:r w:rsidR="008B35E8" w:rsidRPr="002866E5">
        <w:rPr>
          <w:noProof/>
        </w:rPr>
        <w:t>prz</w:t>
      </w:r>
      <w:r w:rsidRPr="002866E5">
        <w:rPr>
          <w:noProof/>
        </w:rPr>
        <w:t>ypadku tego konkretnego rodzaju przepisów dotyczących produktów rozporządzenie umożliwia skuteczniejsze rozwiązanie zidentyfikowanych problemów</w:t>
      </w:r>
      <w:r w:rsidR="008B35E8" w:rsidRPr="002866E5">
        <w:rPr>
          <w:noProof/>
        </w:rPr>
        <w:t xml:space="preserve"> i</w:t>
      </w:r>
      <w:r w:rsidR="008B35E8">
        <w:rPr>
          <w:noProof/>
        </w:rPr>
        <w:t> </w:t>
      </w:r>
      <w:r w:rsidR="008B35E8" w:rsidRPr="002866E5">
        <w:rPr>
          <w:noProof/>
        </w:rPr>
        <w:t>osi</w:t>
      </w:r>
      <w:r w:rsidRPr="002866E5">
        <w:rPr>
          <w:noProof/>
        </w:rPr>
        <w:t>ągnięcie wyznaczonych celów, ponieważ jest to interwencja warunkująca wprowadzanie na rynek wewnętrzny bardzo szerokiej kategorii produktów. Proces transpozycji</w:t>
      </w:r>
      <w:r w:rsidR="008B35E8" w:rsidRPr="002866E5">
        <w:rPr>
          <w:noProof/>
        </w:rPr>
        <w:t xml:space="preserve"> w</w:t>
      </w:r>
      <w:r w:rsidR="008B35E8">
        <w:rPr>
          <w:noProof/>
        </w:rPr>
        <w:t> </w:t>
      </w:r>
      <w:r w:rsidR="008B35E8" w:rsidRPr="002866E5">
        <w:rPr>
          <w:noProof/>
        </w:rPr>
        <w:t>prz</w:t>
      </w:r>
      <w:r w:rsidRPr="002866E5">
        <w:rPr>
          <w:noProof/>
        </w:rPr>
        <w:t>ypadku dyrektywy</w:t>
      </w:r>
      <w:r w:rsidR="008B35E8" w:rsidRPr="002866E5">
        <w:rPr>
          <w:noProof/>
        </w:rPr>
        <w:t xml:space="preserve"> w</w:t>
      </w:r>
      <w:r w:rsidR="008B35E8">
        <w:rPr>
          <w:noProof/>
        </w:rPr>
        <w:t> </w:t>
      </w:r>
      <w:r w:rsidR="008B35E8" w:rsidRPr="002866E5">
        <w:rPr>
          <w:noProof/>
        </w:rPr>
        <w:t>odn</w:t>
      </w:r>
      <w:r w:rsidRPr="002866E5">
        <w:rPr>
          <w:noProof/>
        </w:rPr>
        <w:t>iesieniu do takiej interwencji mógłby pozostawić zbyt dużą swobodę uznania na szczeblu krajowym, potencjalnie prowadząc do braku jednolitości niektórych zasadniczych wymogów cyberbezpieczeństwa, braku pewności prawa, dalszej fragmentacji lub nawet dyskryminacji</w:t>
      </w:r>
      <w:r w:rsidR="008B35E8" w:rsidRPr="002866E5">
        <w:rPr>
          <w:noProof/>
        </w:rPr>
        <w:t xml:space="preserve"> w</w:t>
      </w:r>
      <w:r w:rsidR="008B35E8">
        <w:rPr>
          <w:noProof/>
        </w:rPr>
        <w:t> </w:t>
      </w:r>
      <w:r w:rsidR="008B35E8" w:rsidRPr="002866E5">
        <w:rPr>
          <w:noProof/>
        </w:rPr>
        <w:t>wym</w:t>
      </w:r>
      <w:r w:rsidRPr="002866E5">
        <w:rPr>
          <w:noProof/>
        </w:rPr>
        <w:t>iarze transgranicznym, tym bardziej biorąc pod uwagę fakt, że produkty objęte tą interwencją mogą mieć wielorakie przeznaczenie lub zastosowanie oraz że producenci mogą produkować wiele kategorii takich produktów.</w:t>
      </w:r>
    </w:p>
    <w:p w14:paraId="67ED867C" w14:textId="77777777" w:rsidR="0037165D" w:rsidRPr="002866E5" w:rsidRDefault="0037165D" w:rsidP="00881943">
      <w:pPr>
        <w:pStyle w:val="ManualHeading1"/>
        <w:rPr>
          <w:noProof/>
        </w:rPr>
      </w:pPr>
      <w:r w:rsidRPr="002866E5">
        <w:rPr>
          <w:noProof/>
        </w:rPr>
        <w:t>3.</w:t>
      </w:r>
      <w:r w:rsidRPr="002866E5">
        <w:rPr>
          <w:noProof/>
        </w:rPr>
        <w:tab/>
        <w:t xml:space="preserve">WYNIKI OCEN </w:t>
      </w:r>
      <w:r w:rsidRPr="002866E5">
        <w:rPr>
          <w:i/>
          <w:iCs/>
          <w:noProof/>
        </w:rPr>
        <w:t>EX POST</w:t>
      </w:r>
      <w:r w:rsidRPr="002866E5">
        <w:rPr>
          <w:noProof/>
        </w:rPr>
        <w:t>, KONSULTACJI Z ZAINTERESOWANYMI STRONAMI I OCEN SKUTKÓW</w:t>
      </w:r>
    </w:p>
    <w:p w14:paraId="67ED867D" w14:textId="4D1E0D07" w:rsidR="0037165D" w:rsidRPr="002866E5" w:rsidRDefault="0037165D" w:rsidP="00881943">
      <w:pPr>
        <w:pStyle w:val="ManualHeading2"/>
        <w:rPr>
          <w:rFonts w:eastAsia="Arial Unicode MS"/>
          <w:noProof/>
          <w:u w:color="000000"/>
          <w:bdr w:val="nil"/>
        </w:rPr>
      </w:pPr>
      <w:r w:rsidRPr="002866E5">
        <w:rPr>
          <w:noProof/>
          <w:u w:color="000000"/>
          <w:bdr w:val="nil"/>
        </w:rPr>
        <w:t>•</w:t>
      </w:r>
      <w:r w:rsidRPr="002866E5">
        <w:rPr>
          <w:noProof/>
        </w:rPr>
        <w:tab/>
      </w:r>
      <w:r w:rsidRPr="002866E5">
        <w:rPr>
          <w:noProof/>
          <w:u w:color="000000"/>
          <w:bdr w:val="nil"/>
        </w:rPr>
        <w:t>Konsultacje</w:t>
      </w:r>
      <w:r w:rsidR="008B35E8" w:rsidRPr="002866E5">
        <w:rPr>
          <w:noProof/>
          <w:u w:color="000000"/>
          <w:bdr w:val="nil"/>
        </w:rPr>
        <w:t xml:space="preserve"> z</w:t>
      </w:r>
      <w:r w:rsidR="008B35E8">
        <w:rPr>
          <w:noProof/>
          <w:u w:color="000000"/>
          <w:bdr w:val="nil"/>
        </w:rPr>
        <w:t> </w:t>
      </w:r>
      <w:r w:rsidR="008B35E8" w:rsidRPr="002866E5">
        <w:rPr>
          <w:noProof/>
          <w:u w:color="000000"/>
          <w:bdr w:val="nil"/>
        </w:rPr>
        <w:t>zai</w:t>
      </w:r>
      <w:r w:rsidRPr="002866E5">
        <w:rPr>
          <w:noProof/>
          <w:u w:color="000000"/>
          <w:bdr w:val="nil"/>
        </w:rPr>
        <w:t>nteresowanymi stronami</w:t>
      </w:r>
    </w:p>
    <w:p w14:paraId="67ED867E" w14:textId="1FF2EC5F" w:rsidR="001E1DDC" w:rsidRPr="002866E5" w:rsidRDefault="0057640F" w:rsidP="00881943">
      <w:pPr>
        <w:pBdr>
          <w:top w:val="nil"/>
          <w:left w:val="nil"/>
          <w:bottom w:val="nil"/>
          <w:right w:val="nil"/>
          <w:between w:val="nil"/>
          <w:bar w:val="nil"/>
        </w:pBdr>
        <w:spacing w:before="0" w:after="240"/>
        <w:rPr>
          <w:rFonts w:eastAsia="Arial Unicode MS"/>
          <w:noProof/>
        </w:rPr>
      </w:pPr>
      <w:r w:rsidRPr="002866E5">
        <w:rPr>
          <w:noProof/>
        </w:rPr>
        <w:t>Komisja przeprowadziła konsultacje</w:t>
      </w:r>
      <w:r w:rsidR="008B35E8" w:rsidRPr="002866E5">
        <w:rPr>
          <w:noProof/>
        </w:rPr>
        <w:t xml:space="preserve"> z</w:t>
      </w:r>
      <w:r w:rsidR="008B35E8">
        <w:rPr>
          <w:noProof/>
        </w:rPr>
        <w:t> </w:t>
      </w:r>
      <w:r w:rsidR="008B35E8" w:rsidRPr="002866E5">
        <w:rPr>
          <w:noProof/>
        </w:rPr>
        <w:t>wie</w:t>
      </w:r>
      <w:r w:rsidRPr="002866E5">
        <w:rPr>
          <w:noProof/>
        </w:rPr>
        <w:t>loma zainteresowanymi stronami. Zaproszono państwa członkowskie</w:t>
      </w:r>
      <w:r w:rsidR="008B35E8" w:rsidRPr="002866E5">
        <w:rPr>
          <w:noProof/>
        </w:rPr>
        <w:t xml:space="preserve"> i</w:t>
      </w:r>
      <w:r w:rsidR="008B35E8">
        <w:rPr>
          <w:noProof/>
        </w:rPr>
        <w:t> </w:t>
      </w:r>
      <w:r w:rsidR="008B35E8" w:rsidRPr="002866E5">
        <w:rPr>
          <w:noProof/>
        </w:rPr>
        <w:t>zai</w:t>
      </w:r>
      <w:r w:rsidRPr="002866E5">
        <w:rPr>
          <w:noProof/>
        </w:rPr>
        <w:t>nteresowane strony do udziału</w:t>
      </w:r>
      <w:r w:rsidR="008B35E8" w:rsidRPr="002866E5">
        <w:rPr>
          <w:noProof/>
        </w:rPr>
        <w:t xml:space="preserve"> w</w:t>
      </w:r>
      <w:r w:rsidR="008B35E8">
        <w:rPr>
          <w:noProof/>
        </w:rPr>
        <w:t> </w:t>
      </w:r>
      <w:r w:rsidR="008B35E8" w:rsidRPr="002866E5">
        <w:rPr>
          <w:noProof/>
        </w:rPr>
        <w:t>otw</w:t>
      </w:r>
      <w:r w:rsidRPr="002866E5">
        <w:rPr>
          <w:noProof/>
        </w:rPr>
        <w:t>artych konsultacjach publicznych oraz</w:t>
      </w:r>
      <w:r w:rsidR="008B35E8" w:rsidRPr="002866E5">
        <w:rPr>
          <w:noProof/>
        </w:rPr>
        <w:t xml:space="preserve"> w</w:t>
      </w:r>
      <w:r w:rsidR="008B35E8">
        <w:rPr>
          <w:noProof/>
        </w:rPr>
        <w:t> </w:t>
      </w:r>
      <w:r w:rsidR="008B35E8" w:rsidRPr="002866E5">
        <w:rPr>
          <w:noProof/>
        </w:rPr>
        <w:t>ank</w:t>
      </w:r>
      <w:r w:rsidRPr="002866E5">
        <w:rPr>
          <w:noProof/>
        </w:rPr>
        <w:t>ietach</w:t>
      </w:r>
      <w:r w:rsidR="008B35E8" w:rsidRPr="002866E5">
        <w:rPr>
          <w:noProof/>
        </w:rPr>
        <w:t xml:space="preserve"> i</w:t>
      </w:r>
      <w:r w:rsidR="008B35E8">
        <w:rPr>
          <w:noProof/>
        </w:rPr>
        <w:t> </w:t>
      </w:r>
      <w:r w:rsidR="008B35E8" w:rsidRPr="002866E5">
        <w:rPr>
          <w:noProof/>
        </w:rPr>
        <w:t>war</w:t>
      </w:r>
      <w:r w:rsidRPr="002866E5">
        <w:rPr>
          <w:noProof/>
        </w:rPr>
        <w:t>sztatach zorganizowanych</w:t>
      </w:r>
      <w:r w:rsidR="008B35E8" w:rsidRPr="002866E5">
        <w:rPr>
          <w:noProof/>
        </w:rPr>
        <w:t xml:space="preserve"> w</w:t>
      </w:r>
      <w:r w:rsidR="008B35E8">
        <w:rPr>
          <w:noProof/>
        </w:rPr>
        <w:t> </w:t>
      </w:r>
      <w:r w:rsidR="008B35E8" w:rsidRPr="002866E5">
        <w:rPr>
          <w:noProof/>
        </w:rPr>
        <w:t>kon</w:t>
      </w:r>
      <w:r w:rsidRPr="002866E5">
        <w:rPr>
          <w:noProof/>
        </w:rPr>
        <w:t>tekście badania przeprowadzonego przez konsorcjum wspierające prace przygotowawcze Komisji</w:t>
      </w:r>
      <w:r w:rsidR="008B35E8" w:rsidRPr="002866E5">
        <w:rPr>
          <w:noProof/>
        </w:rPr>
        <w:t xml:space="preserve"> w</w:t>
      </w:r>
      <w:r w:rsidR="008B35E8">
        <w:rPr>
          <w:noProof/>
        </w:rPr>
        <w:t> </w:t>
      </w:r>
      <w:r w:rsidR="008B35E8" w:rsidRPr="002866E5">
        <w:rPr>
          <w:noProof/>
        </w:rPr>
        <w:t>zak</w:t>
      </w:r>
      <w:r w:rsidRPr="002866E5">
        <w:rPr>
          <w:noProof/>
        </w:rPr>
        <w:t>resie oceny skutków</w:t>
      </w:r>
      <w:r w:rsidR="008B35E8" w:rsidRPr="002866E5">
        <w:rPr>
          <w:noProof/>
        </w:rPr>
        <w:t xml:space="preserve"> w</w:t>
      </w:r>
      <w:r w:rsidR="008B35E8">
        <w:rPr>
          <w:noProof/>
        </w:rPr>
        <w:t> </w:t>
      </w:r>
      <w:r w:rsidR="008B35E8" w:rsidRPr="002866E5">
        <w:rPr>
          <w:noProof/>
        </w:rPr>
        <w:t>skł</w:t>
      </w:r>
      <w:r w:rsidRPr="002866E5">
        <w:rPr>
          <w:noProof/>
        </w:rPr>
        <w:t xml:space="preserve">adzie: Wavestone, Centrum Studiów nad Polityką Europejską (CEPS) </w:t>
      </w:r>
      <w:r w:rsidRPr="002866E5">
        <w:rPr>
          <w:noProof/>
        </w:rPr>
        <w:lastRenderedPageBreak/>
        <w:t>oraz ICF. Przeprowadzono konsultacje między innymi</w:t>
      </w:r>
      <w:r w:rsidR="008B35E8" w:rsidRPr="002866E5">
        <w:rPr>
          <w:noProof/>
        </w:rPr>
        <w:t xml:space="preserve"> z</w:t>
      </w:r>
      <w:r w:rsidR="008B35E8">
        <w:rPr>
          <w:noProof/>
        </w:rPr>
        <w:t> </w:t>
      </w:r>
      <w:r w:rsidR="008B35E8" w:rsidRPr="002866E5">
        <w:rPr>
          <w:noProof/>
        </w:rPr>
        <w:t>nas</w:t>
      </w:r>
      <w:r w:rsidRPr="002866E5">
        <w:rPr>
          <w:noProof/>
        </w:rPr>
        <w:t>tępującymi zainteresowanymi stronami: krajowymi organami nadzoru rynku, organami unijnymi zajmującymi się cyberbezpieczeństwem, producentami sprzętu</w:t>
      </w:r>
      <w:r w:rsidR="008B35E8" w:rsidRPr="002866E5">
        <w:rPr>
          <w:noProof/>
        </w:rPr>
        <w:t xml:space="preserve"> i</w:t>
      </w:r>
      <w:r w:rsidR="008B35E8">
        <w:rPr>
          <w:noProof/>
        </w:rPr>
        <w:t> </w:t>
      </w:r>
      <w:r w:rsidR="008B35E8" w:rsidRPr="002866E5">
        <w:rPr>
          <w:noProof/>
        </w:rPr>
        <w:t>opr</w:t>
      </w:r>
      <w:r w:rsidRPr="002866E5">
        <w:rPr>
          <w:noProof/>
        </w:rPr>
        <w:t>ogramowania, importerami</w:t>
      </w:r>
      <w:r w:rsidR="008B35E8" w:rsidRPr="002866E5">
        <w:rPr>
          <w:noProof/>
        </w:rPr>
        <w:t xml:space="preserve"> i</w:t>
      </w:r>
      <w:r w:rsidR="008B35E8">
        <w:rPr>
          <w:noProof/>
        </w:rPr>
        <w:t> </w:t>
      </w:r>
      <w:r w:rsidR="008B35E8" w:rsidRPr="002866E5">
        <w:rPr>
          <w:noProof/>
        </w:rPr>
        <w:t>dys</w:t>
      </w:r>
      <w:r w:rsidRPr="002866E5">
        <w:rPr>
          <w:noProof/>
        </w:rPr>
        <w:t>trybutorami sprzętu</w:t>
      </w:r>
      <w:r w:rsidR="008B35E8" w:rsidRPr="002866E5">
        <w:rPr>
          <w:noProof/>
        </w:rPr>
        <w:t xml:space="preserve"> i</w:t>
      </w:r>
      <w:r w:rsidR="008B35E8">
        <w:rPr>
          <w:noProof/>
        </w:rPr>
        <w:t> </w:t>
      </w:r>
      <w:r w:rsidR="008B35E8" w:rsidRPr="002866E5">
        <w:rPr>
          <w:noProof/>
        </w:rPr>
        <w:t>opr</w:t>
      </w:r>
      <w:r w:rsidRPr="002866E5">
        <w:rPr>
          <w:noProof/>
        </w:rPr>
        <w:t>ogramowania, stowarzyszeniami branżowymi, organizacjami konsumenckimi</w:t>
      </w:r>
      <w:r w:rsidR="008B35E8" w:rsidRPr="002866E5">
        <w:rPr>
          <w:noProof/>
        </w:rPr>
        <w:t xml:space="preserve"> i</w:t>
      </w:r>
      <w:r w:rsidR="008B35E8">
        <w:rPr>
          <w:noProof/>
        </w:rPr>
        <w:t> </w:t>
      </w:r>
      <w:r w:rsidR="008B35E8" w:rsidRPr="002866E5">
        <w:rPr>
          <w:noProof/>
        </w:rPr>
        <w:t>uży</w:t>
      </w:r>
      <w:r w:rsidRPr="002866E5">
        <w:rPr>
          <w:noProof/>
        </w:rPr>
        <w:t>tkownikami produktów</w:t>
      </w:r>
      <w:r w:rsidR="008B35E8" w:rsidRPr="002866E5">
        <w:rPr>
          <w:noProof/>
        </w:rPr>
        <w:t xml:space="preserve"> z</w:t>
      </w:r>
      <w:r w:rsidR="008B35E8">
        <w:rPr>
          <w:noProof/>
        </w:rPr>
        <w:t> </w:t>
      </w:r>
      <w:r w:rsidR="008B35E8" w:rsidRPr="002866E5">
        <w:rPr>
          <w:noProof/>
        </w:rPr>
        <w:t>ele</w:t>
      </w:r>
      <w:r w:rsidRPr="002866E5">
        <w:rPr>
          <w:noProof/>
        </w:rPr>
        <w:t>mentami cyfrowymi</w:t>
      </w:r>
      <w:r w:rsidR="008B35E8" w:rsidRPr="002866E5">
        <w:rPr>
          <w:noProof/>
        </w:rPr>
        <w:t xml:space="preserve"> i</w:t>
      </w:r>
      <w:r w:rsidR="008B35E8">
        <w:rPr>
          <w:noProof/>
        </w:rPr>
        <w:t> </w:t>
      </w:r>
      <w:r w:rsidR="008B35E8" w:rsidRPr="002866E5">
        <w:rPr>
          <w:noProof/>
        </w:rPr>
        <w:t>oby</w:t>
      </w:r>
      <w:r w:rsidRPr="002866E5">
        <w:rPr>
          <w:noProof/>
        </w:rPr>
        <w:t>watelami, badaczami</w:t>
      </w:r>
      <w:r w:rsidR="008B35E8" w:rsidRPr="002866E5">
        <w:rPr>
          <w:noProof/>
        </w:rPr>
        <w:t xml:space="preserve"> i</w:t>
      </w:r>
      <w:r w:rsidR="008B35E8">
        <w:rPr>
          <w:noProof/>
        </w:rPr>
        <w:t> </w:t>
      </w:r>
      <w:r w:rsidR="008B35E8" w:rsidRPr="002866E5">
        <w:rPr>
          <w:noProof/>
        </w:rPr>
        <w:t>śro</w:t>
      </w:r>
      <w:r w:rsidRPr="002866E5">
        <w:rPr>
          <w:noProof/>
        </w:rPr>
        <w:t>dowiskiem akademickim, jednostkami notyfikowanymi</w:t>
      </w:r>
      <w:r w:rsidR="008B35E8" w:rsidRPr="002866E5">
        <w:rPr>
          <w:noProof/>
        </w:rPr>
        <w:t xml:space="preserve"> i</w:t>
      </w:r>
      <w:r w:rsidR="008B35E8">
        <w:rPr>
          <w:noProof/>
        </w:rPr>
        <w:t> </w:t>
      </w:r>
      <w:r w:rsidR="008B35E8" w:rsidRPr="002866E5">
        <w:rPr>
          <w:noProof/>
        </w:rPr>
        <w:t>jed</w:t>
      </w:r>
      <w:r w:rsidRPr="002866E5">
        <w:rPr>
          <w:noProof/>
        </w:rPr>
        <w:t>nostkami akredytującymi oraz specjalistami</w:t>
      </w:r>
      <w:r w:rsidR="008B35E8" w:rsidRPr="002866E5">
        <w:rPr>
          <w:noProof/>
        </w:rPr>
        <w:t xml:space="preserve"> z</w:t>
      </w:r>
      <w:r w:rsidR="008B35E8">
        <w:rPr>
          <w:noProof/>
        </w:rPr>
        <w:t> </w:t>
      </w:r>
      <w:r w:rsidR="008B35E8" w:rsidRPr="002866E5">
        <w:rPr>
          <w:noProof/>
        </w:rPr>
        <w:t>bra</w:t>
      </w:r>
      <w:r w:rsidRPr="002866E5">
        <w:rPr>
          <w:noProof/>
        </w:rPr>
        <w:t>nży cyberbezpieczeństwa.</w:t>
      </w:r>
    </w:p>
    <w:p w14:paraId="67ED867F" w14:textId="77777777" w:rsidR="00EE069E" w:rsidRPr="002866E5" w:rsidRDefault="00EE069E" w:rsidP="00881943">
      <w:pPr>
        <w:pBdr>
          <w:top w:val="nil"/>
          <w:left w:val="nil"/>
          <w:bottom w:val="nil"/>
          <w:right w:val="nil"/>
          <w:between w:val="nil"/>
          <w:bar w:val="nil"/>
        </w:pBdr>
        <w:spacing w:before="0" w:after="240"/>
        <w:rPr>
          <w:rFonts w:eastAsia="Arial Unicode MS"/>
          <w:noProof/>
          <w:szCs w:val="24"/>
        </w:rPr>
      </w:pPr>
      <w:r w:rsidRPr="002866E5">
        <w:rPr>
          <w:noProof/>
        </w:rPr>
        <w:t>Konsultacje obejmowały:</w:t>
      </w:r>
    </w:p>
    <w:p w14:paraId="67ED8680" w14:textId="6D4C4C5C" w:rsidR="00EE069E" w:rsidRPr="002866E5" w:rsidRDefault="00EE069E" w:rsidP="000F7F4C">
      <w:pPr>
        <w:pStyle w:val="Bullet1"/>
        <w:numPr>
          <w:ilvl w:val="0"/>
          <w:numId w:val="45"/>
        </w:numPr>
        <w:rPr>
          <w:noProof/>
        </w:rPr>
      </w:pPr>
      <w:r w:rsidRPr="002866E5">
        <w:rPr>
          <w:noProof/>
        </w:rPr>
        <w:t>pierwsze badanie przeprowadzone przez konsorcjum</w:t>
      </w:r>
      <w:r w:rsidR="008B35E8" w:rsidRPr="002866E5">
        <w:rPr>
          <w:noProof/>
        </w:rPr>
        <w:t xml:space="preserve"> w</w:t>
      </w:r>
      <w:r w:rsidR="008B35E8">
        <w:rPr>
          <w:noProof/>
        </w:rPr>
        <w:t> </w:t>
      </w:r>
      <w:r w:rsidR="008B35E8" w:rsidRPr="002866E5">
        <w:rPr>
          <w:noProof/>
        </w:rPr>
        <w:t>skł</w:t>
      </w:r>
      <w:r w:rsidRPr="002866E5">
        <w:rPr>
          <w:noProof/>
        </w:rPr>
        <w:t>adzie ICF, Wavestone, Carsa i CEPS, opublikowane</w:t>
      </w:r>
      <w:r w:rsidR="008B35E8" w:rsidRPr="002866E5">
        <w:rPr>
          <w:noProof/>
        </w:rPr>
        <w:t xml:space="preserve"> w</w:t>
      </w:r>
      <w:r w:rsidR="008B35E8">
        <w:rPr>
          <w:noProof/>
        </w:rPr>
        <w:t> </w:t>
      </w:r>
      <w:r w:rsidR="008B35E8" w:rsidRPr="002866E5">
        <w:rPr>
          <w:noProof/>
        </w:rPr>
        <w:t>gru</w:t>
      </w:r>
      <w:r w:rsidRPr="002866E5">
        <w:rPr>
          <w:noProof/>
        </w:rPr>
        <w:t>dniu 20</w:t>
      </w:r>
      <w:r w:rsidRPr="008B35E8">
        <w:rPr>
          <w:noProof/>
        </w:rPr>
        <w:t>21</w:t>
      </w:r>
      <w:r w:rsidR="008B35E8" w:rsidRPr="008B35E8">
        <w:rPr>
          <w:noProof/>
        </w:rPr>
        <w:t> </w:t>
      </w:r>
      <w:r w:rsidRPr="008B35E8">
        <w:rPr>
          <w:noProof/>
        </w:rPr>
        <w:t>r.</w:t>
      </w:r>
      <w:r w:rsidRPr="002866E5">
        <w:rPr>
          <w:rStyle w:val="FootnoteReference"/>
          <w:noProof/>
        </w:rPr>
        <w:footnoteReference w:id="12"/>
      </w:r>
      <w:r w:rsidRPr="002866E5">
        <w:rPr>
          <w:noProof/>
        </w:rPr>
        <w:t>,</w:t>
      </w:r>
      <w:r w:rsidR="008B35E8" w:rsidRPr="002866E5">
        <w:rPr>
          <w:noProof/>
        </w:rPr>
        <w:t xml:space="preserve"> w</w:t>
      </w:r>
      <w:r w:rsidR="008B35E8">
        <w:rPr>
          <w:noProof/>
        </w:rPr>
        <w:t> </w:t>
      </w:r>
      <w:r w:rsidR="008B35E8" w:rsidRPr="002866E5">
        <w:rPr>
          <w:noProof/>
        </w:rPr>
        <w:t>któ</w:t>
      </w:r>
      <w:r w:rsidRPr="002866E5">
        <w:rPr>
          <w:noProof/>
        </w:rPr>
        <w:t>rym zidentyfikowano szereg niedoskonałości rynku</w:t>
      </w:r>
      <w:r w:rsidR="008B35E8" w:rsidRPr="002866E5">
        <w:rPr>
          <w:noProof/>
        </w:rPr>
        <w:t xml:space="preserve"> i</w:t>
      </w:r>
      <w:r w:rsidR="008B35E8">
        <w:rPr>
          <w:noProof/>
        </w:rPr>
        <w:t> </w:t>
      </w:r>
      <w:r w:rsidR="008B35E8" w:rsidRPr="002866E5">
        <w:rPr>
          <w:noProof/>
        </w:rPr>
        <w:t>oce</w:t>
      </w:r>
      <w:r w:rsidRPr="002866E5">
        <w:rPr>
          <w:noProof/>
        </w:rPr>
        <w:t>niono możliwość interwencji regulacyjnej;</w:t>
      </w:r>
    </w:p>
    <w:p w14:paraId="67ED8681" w14:textId="3D096E6F" w:rsidR="00EE069E" w:rsidRPr="002866E5" w:rsidRDefault="00EE069E" w:rsidP="005E6D4B">
      <w:pPr>
        <w:pStyle w:val="Bullet1"/>
        <w:rPr>
          <w:noProof/>
        </w:rPr>
      </w:pPr>
      <w:r w:rsidRPr="002866E5">
        <w:rPr>
          <w:noProof/>
        </w:rPr>
        <w:t>otwarte konsultacje publiczne</w:t>
      </w:r>
      <w:r w:rsidR="008B35E8" w:rsidRPr="002866E5">
        <w:rPr>
          <w:noProof/>
        </w:rPr>
        <w:t xml:space="preserve"> z</w:t>
      </w:r>
      <w:r w:rsidR="008B35E8">
        <w:rPr>
          <w:noProof/>
        </w:rPr>
        <w:t> </w:t>
      </w:r>
      <w:r w:rsidR="008B35E8" w:rsidRPr="002866E5">
        <w:rPr>
          <w:noProof/>
        </w:rPr>
        <w:t>udz</w:t>
      </w:r>
      <w:r w:rsidRPr="002866E5">
        <w:rPr>
          <w:noProof/>
        </w:rPr>
        <w:t>iałem obywateli, zainteresowanych stron</w:t>
      </w:r>
      <w:r w:rsidR="008B35E8" w:rsidRPr="002866E5">
        <w:rPr>
          <w:noProof/>
        </w:rPr>
        <w:t xml:space="preserve"> i</w:t>
      </w:r>
      <w:r w:rsidR="008B35E8">
        <w:rPr>
          <w:noProof/>
        </w:rPr>
        <w:t> </w:t>
      </w:r>
      <w:r w:rsidR="008B35E8" w:rsidRPr="002866E5">
        <w:rPr>
          <w:noProof/>
        </w:rPr>
        <w:t>eks</w:t>
      </w:r>
      <w:r w:rsidRPr="002866E5">
        <w:rPr>
          <w:noProof/>
        </w:rPr>
        <w:t>pertów</w:t>
      </w:r>
      <w:r w:rsidR="008B35E8" w:rsidRPr="002866E5">
        <w:rPr>
          <w:noProof/>
        </w:rPr>
        <w:t xml:space="preserve"> w</w:t>
      </w:r>
      <w:r w:rsidR="008B35E8">
        <w:rPr>
          <w:noProof/>
        </w:rPr>
        <w:t> </w:t>
      </w:r>
      <w:r w:rsidR="008B35E8" w:rsidRPr="002866E5">
        <w:rPr>
          <w:noProof/>
        </w:rPr>
        <w:t>dzi</w:t>
      </w:r>
      <w:r w:rsidRPr="002866E5">
        <w:rPr>
          <w:noProof/>
        </w:rPr>
        <w:t>edzinie cyberbezpieczeństwa,</w:t>
      </w:r>
      <w:r w:rsidR="008B35E8" w:rsidRPr="002866E5">
        <w:rPr>
          <w:noProof/>
        </w:rPr>
        <w:t xml:space="preserve"> w</w:t>
      </w:r>
      <w:r w:rsidR="008B35E8">
        <w:rPr>
          <w:noProof/>
        </w:rPr>
        <w:t> </w:t>
      </w:r>
      <w:r w:rsidR="008B35E8" w:rsidRPr="002866E5">
        <w:rPr>
          <w:noProof/>
        </w:rPr>
        <w:t>któ</w:t>
      </w:r>
      <w:r w:rsidRPr="002866E5">
        <w:rPr>
          <w:noProof/>
        </w:rPr>
        <w:t>rych otrzymano 176 odpowiedzi</w:t>
      </w:r>
      <w:r w:rsidR="008B35E8" w:rsidRPr="002866E5">
        <w:rPr>
          <w:noProof/>
        </w:rPr>
        <w:t xml:space="preserve"> i</w:t>
      </w:r>
      <w:r w:rsidR="008B35E8">
        <w:rPr>
          <w:noProof/>
        </w:rPr>
        <w:t> </w:t>
      </w:r>
      <w:r w:rsidR="008B35E8" w:rsidRPr="002866E5">
        <w:rPr>
          <w:noProof/>
        </w:rPr>
        <w:t>dzi</w:t>
      </w:r>
      <w:r w:rsidRPr="002866E5">
        <w:rPr>
          <w:noProof/>
        </w:rPr>
        <w:t>ęki którym udało się zgromadzić różne opinie</w:t>
      </w:r>
      <w:r w:rsidR="008B35E8" w:rsidRPr="002866E5">
        <w:rPr>
          <w:noProof/>
        </w:rPr>
        <w:t xml:space="preserve"> i</w:t>
      </w:r>
      <w:r w:rsidR="008B35E8">
        <w:rPr>
          <w:noProof/>
        </w:rPr>
        <w:t> </w:t>
      </w:r>
      <w:r w:rsidR="008B35E8" w:rsidRPr="002866E5">
        <w:rPr>
          <w:noProof/>
        </w:rPr>
        <w:t>doś</w:t>
      </w:r>
      <w:r w:rsidRPr="002866E5">
        <w:rPr>
          <w:noProof/>
        </w:rPr>
        <w:t xml:space="preserve">wiadczenia wszystkich grup zainteresowanych stron; </w:t>
      </w:r>
    </w:p>
    <w:p w14:paraId="67ED8682" w14:textId="65FD7283" w:rsidR="00EE069E" w:rsidRPr="002866E5" w:rsidRDefault="00EE069E" w:rsidP="005E6D4B">
      <w:pPr>
        <w:pStyle w:val="Bullet1"/>
        <w:rPr>
          <w:noProof/>
        </w:rPr>
      </w:pPr>
      <w:r w:rsidRPr="002866E5">
        <w:rPr>
          <w:noProof/>
        </w:rPr>
        <w:t>warsztaty zorganizowane</w:t>
      </w:r>
      <w:r w:rsidR="008B35E8" w:rsidRPr="002866E5">
        <w:rPr>
          <w:noProof/>
        </w:rPr>
        <w:t xml:space="preserve"> w</w:t>
      </w:r>
      <w:r w:rsidR="008B35E8">
        <w:rPr>
          <w:noProof/>
        </w:rPr>
        <w:t> </w:t>
      </w:r>
      <w:r w:rsidR="008B35E8" w:rsidRPr="002866E5">
        <w:rPr>
          <w:noProof/>
        </w:rPr>
        <w:t>ram</w:t>
      </w:r>
      <w:r w:rsidRPr="002866E5">
        <w:rPr>
          <w:noProof/>
        </w:rPr>
        <w:t>ach badania wspierającego prace przygotowawcze Komisji nad aktem dotyczącym cyberodporności,</w:t>
      </w:r>
      <w:r w:rsidR="008B35E8" w:rsidRPr="002866E5">
        <w:rPr>
          <w:noProof/>
        </w:rPr>
        <w:t xml:space="preserve"> w</w:t>
      </w:r>
      <w:r w:rsidR="008B35E8">
        <w:rPr>
          <w:noProof/>
        </w:rPr>
        <w:t> </w:t>
      </w:r>
      <w:r w:rsidR="008B35E8" w:rsidRPr="002866E5">
        <w:rPr>
          <w:noProof/>
        </w:rPr>
        <w:t>któ</w:t>
      </w:r>
      <w:r w:rsidRPr="002866E5">
        <w:rPr>
          <w:noProof/>
        </w:rPr>
        <w:t xml:space="preserve">rych wzięło udział około 100 przedstawicieli ze wszystkich 27 państw członkowskich reprezentujących różne zainteresowane strony; </w:t>
      </w:r>
    </w:p>
    <w:p w14:paraId="67ED8683" w14:textId="73D17991" w:rsidR="00EE069E" w:rsidRPr="002866E5" w:rsidRDefault="00EE069E" w:rsidP="005E6D4B">
      <w:pPr>
        <w:pStyle w:val="Bullet1"/>
        <w:rPr>
          <w:noProof/>
        </w:rPr>
      </w:pPr>
      <w:r w:rsidRPr="002866E5">
        <w:rPr>
          <w:noProof/>
        </w:rPr>
        <w:t>rozmowy ze specjalistami, które pozwoliły lepiej zrozumieć obecne wyzwania</w:t>
      </w:r>
      <w:r w:rsidR="008B35E8" w:rsidRPr="002866E5">
        <w:rPr>
          <w:noProof/>
        </w:rPr>
        <w:t xml:space="preserve"> w</w:t>
      </w:r>
      <w:r w:rsidR="008B35E8">
        <w:rPr>
          <w:noProof/>
        </w:rPr>
        <w:t> </w:t>
      </w:r>
      <w:r w:rsidR="008B35E8" w:rsidRPr="002866E5">
        <w:rPr>
          <w:noProof/>
        </w:rPr>
        <w:t>zak</w:t>
      </w:r>
      <w:r w:rsidRPr="002866E5">
        <w:rPr>
          <w:noProof/>
        </w:rPr>
        <w:t>resie cyberbezpieczeństwa związane</w:t>
      </w:r>
      <w:r w:rsidR="008B35E8" w:rsidRPr="002866E5">
        <w:rPr>
          <w:noProof/>
        </w:rPr>
        <w:t xml:space="preserve"> z</w:t>
      </w:r>
      <w:r w:rsidR="008B35E8">
        <w:rPr>
          <w:noProof/>
        </w:rPr>
        <w:t> </w:t>
      </w:r>
      <w:r w:rsidR="008B35E8" w:rsidRPr="002866E5">
        <w:rPr>
          <w:noProof/>
        </w:rPr>
        <w:t>pro</w:t>
      </w:r>
      <w:r w:rsidRPr="002866E5">
        <w:rPr>
          <w:noProof/>
        </w:rPr>
        <w:t>duktami</w:t>
      </w:r>
      <w:r w:rsidR="008B35E8" w:rsidRPr="002866E5">
        <w:rPr>
          <w:noProof/>
        </w:rPr>
        <w:t xml:space="preserve"> z</w:t>
      </w:r>
      <w:r w:rsidR="008B35E8">
        <w:rPr>
          <w:noProof/>
        </w:rPr>
        <w:t> </w:t>
      </w:r>
      <w:r w:rsidR="008B35E8" w:rsidRPr="002866E5">
        <w:rPr>
          <w:noProof/>
        </w:rPr>
        <w:t>ele</w:t>
      </w:r>
      <w:r w:rsidRPr="002866E5">
        <w:rPr>
          <w:noProof/>
        </w:rPr>
        <w:t>mentami cyfrowymi oraz omówić warianty strategiczne dotyczące potencjalnej interwencji regulacyjnej;</w:t>
      </w:r>
    </w:p>
    <w:p w14:paraId="67ED8684" w14:textId="5837F267" w:rsidR="00EE069E" w:rsidRPr="002866E5" w:rsidRDefault="00EE069E" w:rsidP="005E6D4B">
      <w:pPr>
        <w:pStyle w:val="Bullet1"/>
        <w:rPr>
          <w:noProof/>
        </w:rPr>
      </w:pPr>
      <w:r w:rsidRPr="002866E5">
        <w:rPr>
          <w:noProof/>
        </w:rPr>
        <w:t>dwustronne rozmowy</w:t>
      </w:r>
      <w:r w:rsidR="008B35E8" w:rsidRPr="002866E5">
        <w:rPr>
          <w:noProof/>
        </w:rPr>
        <w:t xml:space="preserve"> z</w:t>
      </w:r>
      <w:r w:rsidR="008B35E8">
        <w:rPr>
          <w:noProof/>
        </w:rPr>
        <w:t> </w:t>
      </w:r>
      <w:r w:rsidR="008B35E8" w:rsidRPr="002866E5">
        <w:rPr>
          <w:noProof/>
        </w:rPr>
        <w:t>kra</w:t>
      </w:r>
      <w:r w:rsidRPr="002866E5">
        <w:rPr>
          <w:noProof/>
        </w:rPr>
        <w:t>jowymi organami ds. cyberbezpieczeństwa, sektorem prywatnym</w:t>
      </w:r>
      <w:r w:rsidR="008B35E8" w:rsidRPr="002866E5">
        <w:rPr>
          <w:noProof/>
        </w:rPr>
        <w:t xml:space="preserve"> i</w:t>
      </w:r>
      <w:r w:rsidR="008B35E8">
        <w:rPr>
          <w:noProof/>
        </w:rPr>
        <w:t> </w:t>
      </w:r>
      <w:r w:rsidR="008B35E8" w:rsidRPr="002866E5">
        <w:rPr>
          <w:noProof/>
        </w:rPr>
        <w:t>org</w:t>
      </w:r>
      <w:r w:rsidRPr="002866E5">
        <w:rPr>
          <w:noProof/>
        </w:rPr>
        <w:t>anizacjami konsumenckimi;</w:t>
      </w:r>
    </w:p>
    <w:p w14:paraId="67ED8685" w14:textId="77777777" w:rsidR="00471805" w:rsidRPr="002866E5" w:rsidRDefault="00471805" w:rsidP="005E6D4B">
      <w:pPr>
        <w:pStyle w:val="Bullet1"/>
        <w:rPr>
          <w:noProof/>
        </w:rPr>
      </w:pPr>
      <w:r w:rsidRPr="002866E5">
        <w:rPr>
          <w:noProof/>
        </w:rPr>
        <w:t>ukierunkowane działania informacyjne skierowane do głównych zainteresowanych stron będących MŚP.</w:t>
      </w:r>
    </w:p>
    <w:p w14:paraId="67ED8686" w14:textId="08B6F602" w:rsidR="0037165D" w:rsidRPr="002866E5" w:rsidRDefault="0037165D" w:rsidP="00881943">
      <w:pPr>
        <w:pStyle w:val="ManualHeading2"/>
        <w:rPr>
          <w:rFonts w:eastAsia="Arial Unicode MS"/>
          <w:noProof/>
          <w:u w:color="000000"/>
          <w:bdr w:val="nil"/>
        </w:rPr>
      </w:pPr>
      <w:r w:rsidRPr="002866E5">
        <w:rPr>
          <w:noProof/>
          <w:u w:color="000000"/>
          <w:bdr w:val="nil"/>
        </w:rPr>
        <w:t>•</w:t>
      </w:r>
      <w:r w:rsidRPr="002866E5">
        <w:rPr>
          <w:noProof/>
        </w:rPr>
        <w:tab/>
      </w:r>
      <w:r w:rsidRPr="002866E5">
        <w:rPr>
          <w:noProof/>
          <w:u w:color="000000"/>
          <w:bdr w:val="nil"/>
        </w:rPr>
        <w:t>Gromadzenie</w:t>
      </w:r>
      <w:r w:rsidR="008B35E8" w:rsidRPr="002866E5">
        <w:rPr>
          <w:noProof/>
          <w:u w:color="000000"/>
          <w:bdr w:val="nil"/>
        </w:rPr>
        <w:t xml:space="preserve"> i</w:t>
      </w:r>
      <w:r w:rsidR="008B35E8">
        <w:rPr>
          <w:noProof/>
          <w:u w:color="000000"/>
          <w:bdr w:val="nil"/>
        </w:rPr>
        <w:t> </w:t>
      </w:r>
      <w:r w:rsidR="008B35E8" w:rsidRPr="002866E5">
        <w:rPr>
          <w:noProof/>
          <w:u w:color="000000"/>
          <w:bdr w:val="nil"/>
        </w:rPr>
        <w:t>wyk</w:t>
      </w:r>
      <w:r w:rsidRPr="002866E5">
        <w:rPr>
          <w:noProof/>
          <w:u w:color="000000"/>
          <w:bdr w:val="nil"/>
        </w:rPr>
        <w:t>orzystanie wiedzy eksperckiej</w:t>
      </w:r>
    </w:p>
    <w:p w14:paraId="67ED8687" w14:textId="7194AC41" w:rsidR="001E1DDC" w:rsidRPr="002866E5" w:rsidRDefault="002F0E9F" w:rsidP="00754710">
      <w:pPr>
        <w:pBdr>
          <w:top w:val="nil"/>
          <w:left w:val="nil"/>
          <w:bottom w:val="nil"/>
          <w:right w:val="nil"/>
          <w:between w:val="nil"/>
          <w:bar w:val="nil"/>
        </w:pBdr>
        <w:spacing w:before="0" w:after="240"/>
        <w:rPr>
          <w:rFonts w:eastAsia="Calibri"/>
          <w:noProof/>
          <w:szCs w:val="24"/>
        </w:rPr>
      </w:pPr>
      <w:r w:rsidRPr="002866E5">
        <w:rPr>
          <w:noProof/>
        </w:rPr>
        <w:t xml:space="preserve">Celem konsultacji było uzyskanie informacji na temat pięciu głównych kryteriów oceny opartych na </w:t>
      </w:r>
      <w:hyperlink r:id="rId14">
        <w:r w:rsidRPr="002866E5">
          <w:rPr>
            <w:noProof/>
            <w:color w:val="0000FF"/>
            <w:u w:val="single"/>
          </w:rPr>
          <w:t>wytycznych UE dotyczących lepszego stanowienia prawa</w:t>
        </w:r>
      </w:hyperlink>
      <w:r w:rsidRPr="002866E5">
        <w:rPr>
          <w:noProof/>
        </w:rPr>
        <w:t xml:space="preserve"> (skuteczność, efektywność, adekwatność, spójność, wartość dodana UE),</w:t>
      </w:r>
      <w:r w:rsidR="008B35E8" w:rsidRPr="002866E5">
        <w:rPr>
          <w:noProof/>
        </w:rPr>
        <w:t xml:space="preserve"> a</w:t>
      </w:r>
      <w:r w:rsidR="008B35E8">
        <w:rPr>
          <w:noProof/>
        </w:rPr>
        <w:t> </w:t>
      </w:r>
      <w:r w:rsidR="008B35E8" w:rsidRPr="002866E5">
        <w:rPr>
          <w:noProof/>
        </w:rPr>
        <w:t>tak</w:t>
      </w:r>
      <w:r w:rsidRPr="002866E5">
        <w:rPr>
          <w:noProof/>
        </w:rPr>
        <w:t>że potencjalnych przyszłych skutków możliwych wariantów. Wykonawca nie tylko dotarł do zainteresowanych stron, na które proponowane rozporządzenie miałoby bezpośredni wpływ, ale także przeprowadził konsultacje</w:t>
      </w:r>
      <w:r w:rsidR="008B35E8" w:rsidRPr="002866E5">
        <w:rPr>
          <w:noProof/>
        </w:rPr>
        <w:t xml:space="preserve"> z</w:t>
      </w:r>
      <w:r w:rsidR="008B35E8">
        <w:rPr>
          <w:noProof/>
        </w:rPr>
        <w:t> </w:t>
      </w:r>
      <w:r w:rsidR="008B35E8" w:rsidRPr="002866E5">
        <w:rPr>
          <w:noProof/>
        </w:rPr>
        <w:t>sze</w:t>
      </w:r>
      <w:r w:rsidRPr="002866E5">
        <w:rPr>
          <w:noProof/>
        </w:rPr>
        <w:t>rokim gronem ekspertów</w:t>
      </w:r>
      <w:r w:rsidR="008B35E8" w:rsidRPr="002866E5">
        <w:rPr>
          <w:noProof/>
        </w:rPr>
        <w:t xml:space="preserve"> w</w:t>
      </w:r>
      <w:r w:rsidR="008B35E8">
        <w:rPr>
          <w:noProof/>
        </w:rPr>
        <w:t> </w:t>
      </w:r>
      <w:r w:rsidR="008B35E8" w:rsidRPr="002866E5">
        <w:rPr>
          <w:noProof/>
        </w:rPr>
        <w:t>dzi</w:t>
      </w:r>
      <w:r w:rsidRPr="002866E5">
        <w:rPr>
          <w:noProof/>
        </w:rPr>
        <w:t>edzinie cyberbezpieczeństwa.</w:t>
      </w:r>
    </w:p>
    <w:p w14:paraId="67ED8688" w14:textId="77777777" w:rsidR="0037165D" w:rsidRPr="002866E5" w:rsidRDefault="00D13273" w:rsidP="00881943">
      <w:pPr>
        <w:pStyle w:val="ManualHeading2"/>
        <w:rPr>
          <w:rFonts w:eastAsia="Arial Unicode MS"/>
          <w:noProof/>
          <w:u w:color="000000"/>
          <w:bdr w:val="nil"/>
        </w:rPr>
      </w:pPr>
      <w:r w:rsidRPr="002866E5">
        <w:rPr>
          <w:noProof/>
        </w:rPr>
        <w:t xml:space="preserve"> </w:t>
      </w:r>
      <w:r w:rsidRPr="002866E5">
        <w:rPr>
          <w:noProof/>
          <w:u w:color="000000"/>
          <w:bdr w:val="nil"/>
        </w:rPr>
        <w:t>•</w:t>
      </w:r>
      <w:r w:rsidRPr="002866E5">
        <w:rPr>
          <w:noProof/>
        </w:rPr>
        <w:tab/>
      </w:r>
      <w:r w:rsidRPr="002866E5">
        <w:rPr>
          <w:noProof/>
          <w:u w:color="000000"/>
          <w:bdr w:val="nil"/>
        </w:rPr>
        <w:t>Ocena skutków</w:t>
      </w:r>
    </w:p>
    <w:p w14:paraId="67ED8689" w14:textId="7832AA90" w:rsidR="0037165D" w:rsidRPr="002866E5" w:rsidRDefault="0030588C" w:rsidP="00881943">
      <w:pPr>
        <w:pBdr>
          <w:top w:val="nil"/>
          <w:left w:val="nil"/>
          <w:bottom w:val="nil"/>
          <w:right w:val="nil"/>
          <w:between w:val="nil"/>
          <w:bar w:val="nil"/>
        </w:pBdr>
        <w:spacing w:before="0" w:after="240"/>
        <w:rPr>
          <w:rFonts w:eastAsia="Arial Unicode MS"/>
          <w:noProof/>
        </w:rPr>
      </w:pPr>
      <w:r w:rsidRPr="002866E5">
        <w:rPr>
          <w:noProof/>
        </w:rPr>
        <w:t>Komisja przeprowadziła ocenę skutków</w:t>
      </w:r>
      <w:r w:rsidR="008B35E8" w:rsidRPr="002866E5">
        <w:rPr>
          <w:noProof/>
        </w:rPr>
        <w:t xml:space="preserve"> w</w:t>
      </w:r>
      <w:r w:rsidR="008B35E8">
        <w:rPr>
          <w:noProof/>
        </w:rPr>
        <w:t> </w:t>
      </w:r>
      <w:r w:rsidR="008B35E8" w:rsidRPr="002866E5">
        <w:rPr>
          <w:noProof/>
        </w:rPr>
        <w:t>odn</w:t>
      </w:r>
      <w:r w:rsidRPr="002866E5">
        <w:rPr>
          <w:noProof/>
        </w:rPr>
        <w:t>iesieniu do niniejszego wniosku, która została zbadana przez działającą przy Komisji Radę ds. Kontroli Regulacyjnej</w:t>
      </w:r>
      <w:r w:rsidR="008B35E8" w:rsidRPr="002866E5">
        <w:rPr>
          <w:noProof/>
        </w:rPr>
        <w:t>. W</w:t>
      </w:r>
      <w:r w:rsidR="008B35E8">
        <w:rPr>
          <w:noProof/>
        </w:rPr>
        <w:t> </w:t>
      </w:r>
      <w:r w:rsidR="008B35E8" w:rsidRPr="002866E5">
        <w:rPr>
          <w:noProof/>
        </w:rPr>
        <w:t>dni</w:t>
      </w:r>
      <w:r w:rsidRPr="002866E5">
        <w:rPr>
          <w:noProof/>
        </w:rPr>
        <w:t>u 6 lipca 20</w:t>
      </w:r>
      <w:r w:rsidRPr="008B35E8">
        <w:rPr>
          <w:noProof/>
        </w:rPr>
        <w:t>22</w:t>
      </w:r>
      <w:r w:rsidR="008B35E8" w:rsidRPr="008B35E8">
        <w:rPr>
          <w:noProof/>
        </w:rPr>
        <w:t> </w:t>
      </w:r>
      <w:r w:rsidRPr="008B35E8">
        <w:rPr>
          <w:noProof/>
        </w:rPr>
        <w:t>r.</w:t>
      </w:r>
      <w:r w:rsidRPr="002866E5">
        <w:rPr>
          <w:noProof/>
        </w:rPr>
        <w:t xml:space="preserve"> </w:t>
      </w:r>
      <w:r w:rsidRPr="002866E5">
        <w:rPr>
          <w:noProof/>
        </w:rPr>
        <w:lastRenderedPageBreak/>
        <w:t>odbyło się spotkanie</w:t>
      </w:r>
      <w:r w:rsidR="008B35E8" w:rsidRPr="002866E5">
        <w:rPr>
          <w:noProof/>
        </w:rPr>
        <w:t xml:space="preserve"> z</w:t>
      </w:r>
      <w:r w:rsidR="008B35E8">
        <w:rPr>
          <w:noProof/>
        </w:rPr>
        <w:t> </w:t>
      </w:r>
      <w:r w:rsidR="008B35E8" w:rsidRPr="002866E5">
        <w:rPr>
          <w:noProof/>
        </w:rPr>
        <w:t>Rad</w:t>
      </w:r>
      <w:r w:rsidRPr="002866E5">
        <w:rPr>
          <w:noProof/>
        </w:rPr>
        <w:t>ą ds. Kontroli Regulacyjnej, po którym Rada wydała pozytywną opinię. Ocenę skutków dostosowano tak, aby uwzględnić</w:t>
      </w:r>
      <w:r w:rsidR="008B35E8" w:rsidRPr="002866E5">
        <w:rPr>
          <w:noProof/>
        </w:rPr>
        <w:t xml:space="preserve"> w</w:t>
      </w:r>
      <w:r w:rsidR="008B35E8">
        <w:rPr>
          <w:noProof/>
        </w:rPr>
        <w:t> </w:t>
      </w:r>
      <w:r w:rsidR="008B35E8" w:rsidRPr="002866E5">
        <w:rPr>
          <w:noProof/>
        </w:rPr>
        <w:t>nie</w:t>
      </w:r>
      <w:r w:rsidRPr="002866E5">
        <w:rPr>
          <w:noProof/>
        </w:rPr>
        <w:t>j zalecenia</w:t>
      </w:r>
      <w:r w:rsidR="008B35E8" w:rsidRPr="002866E5">
        <w:rPr>
          <w:noProof/>
        </w:rPr>
        <w:t xml:space="preserve"> i</w:t>
      </w:r>
      <w:r w:rsidR="008B35E8">
        <w:rPr>
          <w:noProof/>
        </w:rPr>
        <w:t> </w:t>
      </w:r>
      <w:r w:rsidR="008B35E8" w:rsidRPr="002866E5">
        <w:rPr>
          <w:noProof/>
        </w:rPr>
        <w:t>uwa</w:t>
      </w:r>
      <w:r w:rsidRPr="002866E5">
        <w:rPr>
          <w:noProof/>
        </w:rPr>
        <w:t>gi Rady.</w:t>
      </w:r>
    </w:p>
    <w:p w14:paraId="67ED868A" w14:textId="77777777" w:rsidR="00D418C3" w:rsidRPr="002866E5" w:rsidRDefault="00D418C3" w:rsidP="00881943">
      <w:pPr>
        <w:pBdr>
          <w:top w:val="nil"/>
          <w:left w:val="nil"/>
          <w:bottom w:val="nil"/>
          <w:right w:val="nil"/>
          <w:between w:val="nil"/>
          <w:bar w:val="nil"/>
        </w:pBdr>
        <w:spacing w:before="0" w:after="240"/>
        <w:rPr>
          <w:rFonts w:eastAsia="Arial Unicode MS"/>
          <w:noProof/>
        </w:rPr>
      </w:pPr>
      <w:r w:rsidRPr="002866E5">
        <w:rPr>
          <w:noProof/>
        </w:rPr>
        <w:t>Komisja przeanalizowała różne warianty strategiczne osiągnięcia ogólnego celu niniejszego wniosku:</w:t>
      </w:r>
    </w:p>
    <w:p w14:paraId="67ED868B" w14:textId="23A399D0" w:rsidR="007E368E" w:rsidRPr="002866E5" w:rsidRDefault="007E368E" w:rsidP="005E6D4B">
      <w:pPr>
        <w:pStyle w:val="Bullet1"/>
        <w:rPr>
          <w:noProof/>
        </w:rPr>
      </w:pPr>
      <w:r w:rsidRPr="002866E5">
        <w:rPr>
          <w:noProof/>
        </w:rPr>
        <w:t>Podejście oparte na prawie miękkim</w:t>
      </w:r>
      <w:r w:rsidR="008B35E8" w:rsidRPr="002866E5">
        <w:rPr>
          <w:noProof/>
        </w:rPr>
        <w:t xml:space="preserve"> i</w:t>
      </w:r>
      <w:r w:rsidR="008B35E8">
        <w:rPr>
          <w:noProof/>
        </w:rPr>
        <w:t> </w:t>
      </w:r>
      <w:r w:rsidR="008B35E8" w:rsidRPr="002866E5">
        <w:rPr>
          <w:noProof/>
        </w:rPr>
        <w:t>śro</w:t>
      </w:r>
      <w:r w:rsidRPr="002866E5">
        <w:rPr>
          <w:noProof/>
        </w:rPr>
        <w:t>dki dobrowolne (wariant 1):</w:t>
      </w:r>
      <w:r w:rsidR="008B35E8" w:rsidRPr="002866E5">
        <w:rPr>
          <w:noProof/>
        </w:rPr>
        <w:t xml:space="preserve"> w</w:t>
      </w:r>
      <w:r w:rsidR="008B35E8">
        <w:rPr>
          <w:noProof/>
        </w:rPr>
        <w:t> </w:t>
      </w:r>
      <w:r w:rsidR="008B35E8" w:rsidRPr="002866E5">
        <w:rPr>
          <w:noProof/>
        </w:rPr>
        <w:t>prz</w:t>
      </w:r>
      <w:r w:rsidRPr="002866E5">
        <w:rPr>
          <w:noProof/>
        </w:rPr>
        <w:t>ypadku tego wariantu nie zakłada się interwencji regulacyjnej</w:t>
      </w:r>
      <w:r w:rsidR="008B35E8" w:rsidRPr="002866E5">
        <w:rPr>
          <w:noProof/>
        </w:rPr>
        <w:t xml:space="preserve"> o</w:t>
      </w:r>
      <w:r w:rsidR="008B35E8">
        <w:rPr>
          <w:noProof/>
        </w:rPr>
        <w:t> </w:t>
      </w:r>
      <w:r w:rsidR="008B35E8" w:rsidRPr="002866E5">
        <w:rPr>
          <w:noProof/>
        </w:rPr>
        <w:t>cha</w:t>
      </w:r>
      <w:r w:rsidRPr="002866E5">
        <w:rPr>
          <w:noProof/>
        </w:rPr>
        <w:t>rakterze obowiązkowym. Zamiast tego Komisja wydawałaby komunikaty, wytyczne, zalecenia</w:t>
      </w:r>
      <w:r w:rsidR="008B35E8" w:rsidRPr="002866E5">
        <w:rPr>
          <w:noProof/>
        </w:rPr>
        <w:t xml:space="preserve"> i</w:t>
      </w:r>
      <w:r w:rsidR="008B35E8">
        <w:rPr>
          <w:noProof/>
        </w:rPr>
        <w:t> </w:t>
      </w:r>
      <w:r w:rsidR="008B35E8" w:rsidRPr="002866E5">
        <w:rPr>
          <w:noProof/>
        </w:rPr>
        <w:t>pot</w:t>
      </w:r>
      <w:r w:rsidRPr="002866E5">
        <w:rPr>
          <w:noProof/>
        </w:rPr>
        <w:t>encjalne kodeksy postępowania</w:t>
      </w:r>
      <w:r w:rsidR="008B35E8" w:rsidRPr="002866E5">
        <w:rPr>
          <w:noProof/>
        </w:rPr>
        <w:t xml:space="preserve"> w</w:t>
      </w:r>
      <w:r w:rsidR="008B35E8">
        <w:rPr>
          <w:noProof/>
        </w:rPr>
        <w:t> </w:t>
      </w:r>
      <w:r w:rsidR="008B35E8" w:rsidRPr="002866E5">
        <w:rPr>
          <w:noProof/>
        </w:rPr>
        <w:t>cel</w:t>
      </w:r>
      <w:r w:rsidRPr="002866E5">
        <w:rPr>
          <w:noProof/>
        </w:rPr>
        <w:t>u zachęcania do stosowania środków dobrowolnych. Systemy krajowe, dobrowolne lub obowiązkowe, byłyby nadal opracowywane, aby zrekompensować brak unijnych przepisów horyzontalnych.</w:t>
      </w:r>
    </w:p>
    <w:p w14:paraId="67ED868C" w14:textId="713D3B3E" w:rsidR="007E368E" w:rsidRPr="002866E5" w:rsidRDefault="007E368E" w:rsidP="005E6D4B">
      <w:pPr>
        <w:pStyle w:val="Bullet1"/>
        <w:rPr>
          <w:noProof/>
        </w:rPr>
      </w:pPr>
      <w:r w:rsidRPr="002866E5">
        <w:rPr>
          <w:noProof/>
        </w:rPr>
        <w:t xml:space="preserve">Interwencja regulacyjna </w:t>
      </w:r>
      <w:r w:rsidRPr="002866E5">
        <w:rPr>
          <w:i/>
          <w:iCs/>
          <w:noProof/>
        </w:rPr>
        <w:t>ad hoc</w:t>
      </w:r>
      <w:r w:rsidRPr="002866E5">
        <w:rPr>
          <w:noProof/>
        </w:rPr>
        <w:t xml:space="preserve"> dotycząca cyberbezpieczeństwa materialnych produktów</w:t>
      </w:r>
      <w:r w:rsidR="008B35E8" w:rsidRPr="002866E5">
        <w:rPr>
          <w:noProof/>
        </w:rPr>
        <w:t xml:space="preserve"> z</w:t>
      </w:r>
      <w:r w:rsidR="008B35E8">
        <w:rPr>
          <w:noProof/>
        </w:rPr>
        <w:t> </w:t>
      </w:r>
      <w:r w:rsidR="008B35E8" w:rsidRPr="002866E5">
        <w:rPr>
          <w:noProof/>
        </w:rPr>
        <w:t>ele</w:t>
      </w:r>
      <w:r w:rsidRPr="002866E5">
        <w:rPr>
          <w:noProof/>
        </w:rPr>
        <w:t>mentami cyfrowymi</w:t>
      </w:r>
      <w:r w:rsidR="008B35E8" w:rsidRPr="002866E5">
        <w:rPr>
          <w:noProof/>
        </w:rPr>
        <w:t xml:space="preserve"> i</w:t>
      </w:r>
      <w:r w:rsidR="008B35E8">
        <w:rPr>
          <w:noProof/>
        </w:rPr>
        <w:t> </w:t>
      </w:r>
      <w:r w:rsidR="008B35E8" w:rsidRPr="002866E5">
        <w:rPr>
          <w:noProof/>
        </w:rPr>
        <w:t>odp</w:t>
      </w:r>
      <w:r w:rsidRPr="002866E5">
        <w:rPr>
          <w:noProof/>
        </w:rPr>
        <w:t>owiedniego oprogramowania wbudowanego (wariant 2): wariant ten wiązałby się</w:t>
      </w:r>
      <w:r w:rsidR="008B35E8" w:rsidRPr="002866E5">
        <w:rPr>
          <w:noProof/>
        </w:rPr>
        <w:t xml:space="preserve"> z</w:t>
      </w:r>
      <w:r w:rsidR="008B35E8">
        <w:rPr>
          <w:noProof/>
        </w:rPr>
        <w:t> </w:t>
      </w:r>
      <w:r w:rsidR="008B35E8" w:rsidRPr="002866E5">
        <w:rPr>
          <w:noProof/>
        </w:rPr>
        <w:t>int</w:t>
      </w:r>
      <w:r w:rsidRPr="002866E5">
        <w:rPr>
          <w:noProof/>
        </w:rPr>
        <w:t xml:space="preserve">erwencją regulacyjną </w:t>
      </w:r>
      <w:r w:rsidRPr="002866E5">
        <w:rPr>
          <w:i/>
          <w:iCs/>
          <w:noProof/>
        </w:rPr>
        <w:t>ad hoc</w:t>
      </w:r>
      <w:r w:rsidRPr="002866E5">
        <w:rPr>
          <w:noProof/>
        </w:rPr>
        <w:t xml:space="preserve"> dotyczącą konkretnych produktów, która ograniczałaby się do dodania lub zmiany wymogów cyberbezpieczeństwa</w:t>
      </w:r>
      <w:r w:rsidR="008B35E8" w:rsidRPr="002866E5">
        <w:rPr>
          <w:noProof/>
        </w:rPr>
        <w:t xml:space="preserve"> w</w:t>
      </w:r>
      <w:r w:rsidR="008B35E8">
        <w:rPr>
          <w:noProof/>
        </w:rPr>
        <w:t> </w:t>
      </w:r>
      <w:r w:rsidR="008B35E8" w:rsidRPr="002866E5">
        <w:rPr>
          <w:noProof/>
        </w:rPr>
        <w:t>już</w:t>
      </w:r>
      <w:r w:rsidRPr="002866E5">
        <w:rPr>
          <w:noProof/>
        </w:rPr>
        <w:t xml:space="preserve"> istniejących przepisach lub wprowadzenia nowych przepisów</w:t>
      </w:r>
      <w:r w:rsidR="008B35E8" w:rsidRPr="002866E5">
        <w:rPr>
          <w:noProof/>
        </w:rPr>
        <w:t xml:space="preserve"> w</w:t>
      </w:r>
      <w:r w:rsidR="008B35E8">
        <w:rPr>
          <w:noProof/>
        </w:rPr>
        <w:t> </w:t>
      </w:r>
      <w:r w:rsidR="008B35E8" w:rsidRPr="002866E5">
        <w:rPr>
          <w:noProof/>
        </w:rPr>
        <w:t>mia</w:t>
      </w:r>
      <w:r w:rsidRPr="002866E5">
        <w:rPr>
          <w:noProof/>
        </w:rPr>
        <w:t>rę pojawiania się nowych zagrożeń,</w:t>
      </w:r>
      <w:r w:rsidR="008B35E8" w:rsidRPr="002866E5">
        <w:rPr>
          <w:noProof/>
        </w:rPr>
        <w:t xml:space="preserve"> w</w:t>
      </w:r>
      <w:r w:rsidR="008B35E8">
        <w:rPr>
          <w:noProof/>
        </w:rPr>
        <w:t> </w:t>
      </w:r>
      <w:r w:rsidR="008B35E8" w:rsidRPr="002866E5">
        <w:rPr>
          <w:noProof/>
        </w:rPr>
        <w:t>tym</w:t>
      </w:r>
      <w:r w:rsidRPr="002866E5">
        <w:rPr>
          <w:noProof/>
        </w:rPr>
        <w:t xml:space="preserve"> potencjalnie dotyczących oprogramowania niewbudowanego. </w:t>
      </w:r>
    </w:p>
    <w:p w14:paraId="67ED868D" w14:textId="21221029" w:rsidR="00016D22" w:rsidRPr="002866E5" w:rsidRDefault="00016D22" w:rsidP="00754710">
      <w:pPr>
        <w:rPr>
          <w:noProof/>
          <w:szCs w:val="24"/>
        </w:rPr>
      </w:pPr>
      <w:r w:rsidRPr="002866E5">
        <w:rPr>
          <w:noProof/>
        </w:rPr>
        <w:t>Warianty 3</w:t>
      </w:r>
      <w:r w:rsidR="008B35E8" w:rsidRPr="002866E5">
        <w:rPr>
          <w:noProof/>
        </w:rPr>
        <w:t xml:space="preserve"> i</w:t>
      </w:r>
      <w:r w:rsidR="008B35E8">
        <w:rPr>
          <w:noProof/>
        </w:rPr>
        <w:t> </w:t>
      </w:r>
      <w:r w:rsidR="008B35E8" w:rsidRPr="002866E5">
        <w:rPr>
          <w:noProof/>
        </w:rPr>
        <w:t>4</w:t>
      </w:r>
      <w:r w:rsidRPr="002866E5">
        <w:rPr>
          <w:noProof/>
        </w:rPr>
        <w:t xml:space="preserve"> wiążą się</w:t>
      </w:r>
      <w:r w:rsidR="008B35E8" w:rsidRPr="002866E5">
        <w:rPr>
          <w:noProof/>
        </w:rPr>
        <w:t xml:space="preserve"> z</w:t>
      </w:r>
      <w:r w:rsidR="008B35E8">
        <w:rPr>
          <w:noProof/>
        </w:rPr>
        <w:t> </w:t>
      </w:r>
      <w:r w:rsidR="008B35E8" w:rsidRPr="002866E5">
        <w:rPr>
          <w:noProof/>
        </w:rPr>
        <w:t>hor</w:t>
      </w:r>
      <w:r w:rsidRPr="002866E5">
        <w:rPr>
          <w:noProof/>
        </w:rPr>
        <w:t>yzontalną interwencją regulacyjną</w:t>
      </w:r>
      <w:r w:rsidR="008B35E8" w:rsidRPr="002866E5">
        <w:rPr>
          <w:noProof/>
        </w:rPr>
        <w:t xml:space="preserve"> o</w:t>
      </w:r>
      <w:r w:rsidR="008B35E8">
        <w:rPr>
          <w:noProof/>
        </w:rPr>
        <w:t> </w:t>
      </w:r>
      <w:r w:rsidR="008B35E8" w:rsidRPr="002866E5">
        <w:rPr>
          <w:noProof/>
        </w:rPr>
        <w:t>róż</w:t>
      </w:r>
      <w:r w:rsidRPr="002866E5">
        <w:rPr>
          <w:noProof/>
        </w:rPr>
        <w:t>nym zakresie,</w:t>
      </w:r>
      <w:r w:rsidR="008B35E8" w:rsidRPr="002866E5">
        <w:rPr>
          <w:noProof/>
        </w:rPr>
        <w:t xml:space="preserve"> w</w:t>
      </w:r>
      <w:r w:rsidR="008B35E8">
        <w:rPr>
          <w:noProof/>
        </w:rPr>
        <w:t> </w:t>
      </w:r>
      <w:r w:rsidR="008B35E8" w:rsidRPr="002866E5">
        <w:rPr>
          <w:noProof/>
        </w:rPr>
        <w:t>duż</w:t>
      </w:r>
      <w:r w:rsidRPr="002866E5">
        <w:rPr>
          <w:noProof/>
        </w:rPr>
        <w:t>ej mierze zgodną</w:t>
      </w:r>
      <w:r w:rsidR="008B35E8" w:rsidRPr="002866E5">
        <w:rPr>
          <w:noProof/>
        </w:rPr>
        <w:t xml:space="preserve"> z</w:t>
      </w:r>
      <w:r w:rsidR="008B35E8">
        <w:rPr>
          <w:noProof/>
        </w:rPr>
        <w:t> </w:t>
      </w:r>
      <w:r w:rsidR="008B35E8" w:rsidRPr="002866E5">
        <w:rPr>
          <w:noProof/>
        </w:rPr>
        <w:t>now</w:t>
      </w:r>
      <w:r w:rsidRPr="002866E5">
        <w:rPr>
          <w:noProof/>
        </w:rPr>
        <w:t>ymi ramami prawnymi</w:t>
      </w:r>
      <w:r w:rsidR="008B35E8" w:rsidRPr="002866E5">
        <w:rPr>
          <w:noProof/>
        </w:rPr>
        <w:t>. W</w:t>
      </w:r>
      <w:r w:rsidR="008B35E8">
        <w:rPr>
          <w:noProof/>
        </w:rPr>
        <w:t> </w:t>
      </w:r>
      <w:r w:rsidR="008B35E8" w:rsidRPr="002866E5">
        <w:rPr>
          <w:noProof/>
        </w:rPr>
        <w:t>ram</w:t>
      </w:r>
      <w:r w:rsidRPr="002866E5">
        <w:rPr>
          <w:noProof/>
        </w:rPr>
        <w:t>ach tych określono zasadnicze wymogi jako warunek wprowadzania niektórych produktów na rynek wewnętrzny</w:t>
      </w:r>
      <w:r w:rsidR="008B35E8" w:rsidRPr="002866E5">
        <w:rPr>
          <w:noProof/>
        </w:rPr>
        <w:t>. W</w:t>
      </w:r>
      <w:r w:rsidR="008B35E8">
        <w:rPr>
          <w:noProof/>
        </w:rPr>
        <w:t> </w:t>
      </w:r>
      <w:r w:rsidR="008B35E8" w:rsidRPr="002866E5">
        <w:rPr>
          <w:noProof/>
        </w:rPr>
        <w:t>now</w:t>
      </w:r>
      <w:r w:rsidRPr="002866E5">
        <w:rPr>
          <w:noProof/>
        </w:rPr>
        <w:t>ych ramach prawnych zazwyczaj przewiduje się również ocenę zgodności – proces przeprowadzany przez producenta</w:t>
      </w:r>
      <w:r w:rsidR="008B35E8" w:rsidRPr="002866E5">
        <w:rPr>
          <w:noProof/>
        </w:rPr>
        <w:t xml:space="preserve"> w</w:t>
      </w:r>
      <w:r w:rsidR="008B35E8">
        <w:rPr>
          <w:noProof/>
        </w:rPr>
        <w:t> </w:t>
      </w:r>
      <w:r w:rsidR="008B35E8" w:rsidRPr="002866E5">
        <w:rPr>
          <w:noProof/>
        </w:rPr>
        <w:t>cel</w:t>
      </w:r>
      <w:r w:rsidRPr="002866E5">
        <w:rPr>
          <w:noProof/>
        </w:rPr>
        <w:t xml:space="preserve">u wykazania, czy spełniono określone wymogi dotyczące produktu. </w:t>
      </w:r>
    </w:p>
    <w:p w14:paraId="67ED868E" w14:textId="294A1A9F" w:rsidR="007E368E" w:rsidRPr="002866E5" w:rsidRDefault="007E368E" w:rsidP="005E6D4B">
      <w:pPr>
        <w:pStyle w:val="Bullet1"/>
        <w:rPr>
          <w:noProof/>
        </w:rPr>
      </w:pPr>
      <w:r w:rsidRPr="002866E5">
        <w:rPr>
          <w:noProof/>
        </w:rPr>
        <w:t>Podejście mieszane,</w:t>
      </w:r>
      <w:r w:rsidR="008B35E8" w:rsidRPr="002866E5">
        <w:rPr>
          <w:noProof/>
        </w:rPr>
        <w:t xml:space="preserve"> w</w:t>
      </w:r>
      <w:r w:rsidR="008B35E8">
        <w:rPr>
          <w:noProof/>
        </w:rPr>
        <w:t> </w:t>
      </w:r>
      <w:r w:rsidR="008B35E8" w:rsidRPr="002866E5">
        <w:rPr>
          <w:noProof/>
        </w:rPr>
        <w:t>tym</w:t>
      </w:r>
      <w:r w:rsidRPr="002866E5">
        <w:rPr>
          <w:noProof/>
        </w:rPr>
        <w:t xml:space="preserve"> horyzontalne przepisy bezwzględnie obowiązujące dotyczące cyberbezpieczeństwa materialnych produktów</w:t>
      </w:r>
      <w:r w:rsidR="008B35E8" w:rsidRPr="002866E5">
        <w:rPr>
          <w:noProof/>
        </w:rPr>
        <w:t xml:space="preserve"> z</w:t>
      </w:r>
      <w:r w:rsidR="008B35E8">
        <w:rPr>
          <w:noProof/>
        </w:rPr>
        <w:t> </w:t>
      </w:r>
      <w:r w:rsidR="008B35E8" w:rsidRPr="002866E5">
        <w:rPr>
          <w:noProof/>
        </w:rPr>
        <w:t>ele</w:t>
      </w:r>
      <w:r w:rsidRPr="002866E5">
        <w:rPr>
          <w:noProof/>
        </w:rPr>
        <w:t>mentami cyfrowymi</w:t>
      </w:r>
      <w:r w:rsidR="008B35E8" w:rsidRPr="002866E5">
        <w:rPr>
          <w:noProof/>
        </w:rPr>
        <w:t xml:space="preserve"> i</w:t>
      </w:r>
      <w:r w:rsidR="008B35E8">
        <w:rPr>
          <w:noProof/>
        </w:rPr>
        <w:t> </w:t>
      </w:r>
      <w:r w:rsidR="008B35E8" w:rsidRPr="002866E5">
        <w:rPr>
          <w:noProof/>
        </w:rPr>
        <w:t>odp</w:t>
      </w:r>
      <w:r w:rsidRPr="002866E5">
        <w:rPr>
          <w:noProof/>
        </w:rPr>
        <w:t>owiedniego oprogramowania wbudowanego,</w:t>
      </w:r>
      <w:r w:rsidR="008B35E8" w:rsidRPr="002866E5">
        <w:rPr>
          <w:noProof/>
        </w:rPr>
        <w:t xml:space="preserve"> a</w:t>
      </w:r>
      <w:r w:rsidR="008B35E8">
        <w:rPr>
          <w:noProof/>
        </w:rPr>
        <w:t> </w:t>
      </w:r>
      <w:r w:rsidR="008B35E8" w:rsidRPr="002866E5">
        <w:rPr>
          <w:noProof/>
        </w:rPr>
        <w:t>tak</w:t>
      </w:r>
      <w:r w:rsidRPr="002866E5">
        <w:rPr>
          <w:noProof/>
        </w:rPr>
        <w:t>że podejście stopniowe do oprogramowania niewbudowanego (wariant 3): wariant ten zakładałby przyjęcie rozporządzenia wprowadzającego horyzontalne wymogi cyberbezpieczeństwa</w:t>
      </w:r>
      <w:r w:rsidR="008B35E8" w:rsidRPr="002866E5">
        <w:rPr>
          <w:noProof/>
        </w:rPr>
        <w:t xml:space="preserve"> w</w:t>
      </w:r>
      <w:r w:rsidR="008B35E8">
        <w:rPr>
          <w:noProof/>
        </w:rPr>
        <w:t> </w:t>
      </w:r>
      <w:r w:rsidR="008B35E8" w:rsidRPr="002866E5">
        <w:rPr>
          <w:noProof/>
        </w:rPr>
        <w:t>odn</w:t>
      </w:r>
      <w:r w:rsidRPr="002866E5">
        <w:rPr>
          <w:noProof/>
        </w:rPr>
        <w:t>iesieniu do wszystkich materialnych produktów</w:t>
      </w:r>
      <w:r w:rsidR="008B35E8" w:rsidRPr="002866E5">
        <w:rPr>
          <w:noProof/>
        </w:rPr>
        <w:t xml:space="preserve"> z</w:t>
      </w:r>
      <w:r w:rsidR="008B35E8">
        <w:rPr>
          <w:noProof/>
        </w:rPr>
        <w:t> </w:t>
      </w:r>
      <w:r w:rsidR="008B35E8" w:rsidRPr="002866E5">
        <w:rPr>
          <w:noProof/>
        </w:rPr>
        <w:t>ele</w:t>
      </w:r>
      <w:r w:rsidRPr="002866E5">
        <w:rPr>
          <w:noProof/>
        </w:rPr>
        <w:t>mentami cyfrowymi</w:t>
      </w:r>
      <w:r w:rsidR="008B35E8" w:rsidRPr="002866E5">
        <w:rPr>
          <w:noProof/>
        </w:rPr>
        <w:t xml:space="preserve"> i</w:t>
      </w:r>
      <w:r w:rsidR="008B35E8">
        <w:rPr>
          <w:noProof/>
        </w:rPr>
        <w:t> </w:t>
      </w:r>
      <w:r w:rsidR="008B35E8" w:rsidRPr="002866E5">
        <w:rPr>
          <w:noProof/>
        </w:rPr>
        <w:t>wbu</w:t>
      </w:r>
      <w:r w:rsidRPr="002866E5">
        <w:rPr>
          <w:noProof/>
        </w:rPr>
        <w:t>dowanego</w:t>
      </w:r>
      <w:r w:rsidR="008B35E8" w:rsidRPr="002866E5">
        <w:rPr>
          <w:noProof/>
        </w:rPr>
        <w:t xml:space="preserve"> w</w:t>
      </w:r>
      <w:r w:rsidR="008B35E8">
        <w:rPr>
          <w:noProof/>
        </w:rPr>
        <w:t> </w:t>
      </w:r>
      <w:r w:rsidR="008B35E8" w:rsidRPr="002866E5">
        <w:rPr>
          <w:noProof/>
        </w:rPr>
        <w:t>nie</w:t>
      </w:r>
      <w:r w:rsidRPr="002866E5">
        <w:rPr>
          <w:noProof/>
        </w:rPr>
        <w:t xml:space="preserve"> oprogramowania jako warunek wprowadzenia do obrotu</w:t>
      </w:r>
      <w:r w:rsidR="008B35E8" w:rsidRPr="002866E5">
        <w:rPr>
          <w:noProof/>
        </w:rPr>
        <w:t xml:space="preserve"> i</w:t>
      </w:r>
      <w:r w:rsidR="008B35E8">
        <w:rPr>
          <w:noProof/>
        </w:rPr>
        <w:t> </w:t>
      </w:r>
      <w:r w:rsidR="008B35E8" w:rsidRPr="002866E5">
        <w:rPr>
          <w:noProof/>
        </w:rPr>
        <w:t>obe</w:t>
      </w:r>
      <w:r w:rsidRPr="002866E5">
        <w:rPr>
          <w:noProof/>
        </w:rPr>
        <w:t>jmowałby dwa podwarianty</w:t>
      </w:r>
      <w:r w:rsidR="008B35E8" w:rsidRPr="002866E5">
        <w:rPr>
          <w:noProof/>
        </w:rPr>
        <w:t xml:space="preserve"> z</w:t>
      </w:r>
      <w:r w:rsidR="008B35E8">
        <w:rPr>
          <w:noProof/>
        </w:rPr>
        <w:t> </w:t>
      </w:r>
      <w:r w:rsidR="008B35E8" w:rsidRPr="002866E5">
        <w:rPr>
          <w:noProof/>
        </w:rPr>
        <w:t>obo</w:t>
      </w:r>
      <w:r w:rsidRPr="002866E5">
        <w:rPr>
          <w:noProof/>
        </w:rPr>
        <w:t>wiązkową oceną przeprowadzoną przez stronę trzecią</w:t>
      </w:r>
      <w:r w:rsidR="008B35E8" w:rsidRPr="002866E5">
        <w:rPr>
          <w:noProof/>
        </w:rPr>
        <w:t xml:space="preserve"> i</w:t>
      </w:r>
      <w:r w:rsidR="008B35E8">
        <w:rPr>
          <w:noProof/>
        </w:rPr>
        <w:t> </w:t>
      </w:r>
      <w:r w:rsidR="008B35E8" w:rsidRPr="002866E5">
        <w:rPr>
          <w:noProof/>
        </w:rPr>
        <w:t>bez</w:t>
      </w:r>
      <w:r w:rsidRPr="002866E5">
        <w:rPr>
          <w:noProof/>
        </w:rPr>
        <w:t xml:space="preserve"> takiej oceny (3(i)</w:t>
      </w:r>
      <w:r w:rsidR="008B35E8" w:rsidRPr="002866E5">
        <w:rPr>
          <w:noProof/>
        </w:rPr>
        <w:t xml:space="preserve"> i</w:t>
      </w:r>
      <w:r w:rsidR="008B35E8">
        <w:rPr>
          <w:noProof/>
        </w:rPr>
        <w:t> </w:t>
      </w:r>
      <w:r w:rsidR="008B35E8" w:rsidRPr="002866E5">
        <w:rPr>
          <w:noProof/>
        </w:rPr>
        <w:t>3</w:t>
      </w:r>
      <w:r w:rsidRPr="002866E5">
        <w:rPr>
          <w:noProof/>
        </w:rPr>
        <w:t xml:space="preserve">(ii)). Oprogramowanie niewbudowane nie byłoby uregulowane. </w:t>
      </w:r>
    </w:p>
    <w:p w14:paraId="67ED868F" w14:textId="1F2D18D7" w:rsidR="007E368E" w:rsidRPr="002866E5" w:rsidRDefault="007E368E" w:rsidP="005E6D4B">
      <w:pPr>
        <w:pStyle w:val="Bullet1"/>
        <w:rPr>
          <w:noProof/>
        </w:rPr>
      </w:pPr>
      <w:r w:rsidRPr="002866E5">
        <w:rPr>
          <w:noProof/>
        </w:rPr>
        <w:t>Horyzontalna interwencja regulacyjna wprowadzająca wymogi cyberbezpieczeństwa</w:t>
      </w:r>
      <w:r w:rsidR="008B35E8" w:rsidRPr="002866E5">
        <w:rPr>
          <w:noProof/>
        </w:rPr>
        <w:t xml:space="preserve"> w</w:t>
      </w:r>
      <w:r w:rsidR="008B35E8">
        <w:rPr>
          <w:noProof/>
        </w:rPr>
        <w:t> </w:t>
      </w:r>
      <w:r w:rsidR="008B35E8" w:rsidRPr="002866E5">
        <w:rPr>
          <w:noProof/>
        </w:rPr>
        <w:t>odn</w:t>
      </w:r>
      <w:r w:rsidRPr="002866E5">
        <w:rPr>
          <w:noProof/>
        </w:rPr>
        <w:t>iesieniu do szerokiego zakresu materialnych</w:t>
      </w:r>
      <w:r w:rsidR="008B35E8" w:rsidRPr="002866E5">
        <w:rPr>
          <w:noProof/>
        </w:rPr>
        <w:t xml:space="preserve"> i</w:t>
      </w:r>
      <w:r w:rsidR="008B35E8">
        <w:rPr>
          <w:noProof/>
        </w:rPr>
        <w:t> </w:t>
      </w:r>
      <w:r w:rsidR="008B35E8" w:rsidRPr="002866E5">
        <w:rPr>
          <w:noProof/>
        </w:rPr>
        <w:t>nie</w:t>
      </w:r>
      <w:r w:rsidRPr="002866E5">
        <w:rPr>
          <w:noProof/>
        </w:rPr>
        <w:t>materialnych produktów</w:t>
      </w:r>
      <w:r w:rsidR="008B35E8" w:rsidRPr="002866E5">
        <w:rPr>
          <w:noProof/>
        </w:rPr>
        <w:t xml:space="preserve"> z</w:t>
      </w:r>
      <w:r w:rsidR="008B35E8">
        <w:rPr>
          <w:noProof/>
        </w:rPr>
        <w:t> </w:t>
      </w:r>
      <w:r w:rsidR="008B35E8" w:rsidRPr="002866E5">
        <w:rPr>
          <w:noProof/>
        </w:rPr>
        <w:t>ele</w:t>
      </w:r>
      <w:r w:rsidRPr="002866E5">
        <w:rPr>
          <w:noProof/>
        </w:rPr>
        <w:t>mentami cyfrowymi,</w:t>
      </w:r>
      <w:r w:rsidR="008B35E8" w:rsidRPr="002866E5">
        <w:rPr>
          <w:noProof/>
        </w:rPr>
        <w:t xml:space="preserve"> w</w:t>
      </w:r>
      <w:r w:rsidR="008B35E8">
        <w:rPr>
          <w:noProof/>
        </w:rPr>
        <w:t> </w:t>
      </w:r>
      <w:r w:rsidR="008B35E8" w:rsidRPr="002866E5">
        <w:rPr>
          <w:noProof/>
        </w:rPr>
        <w:t>tym</w:t>
      </w:r>
      <w:r w:rsidRPr="002866E5">
        <w:rPr>
          <w:noProof/>
        </w:rPr>
        <w:t xml:space="preserve"> oprogramowania niewbudowanego (wariant 4): wariant ten przypomina wariant 3,</w:t>
      </w:r>
      <w:r w:rsidR="008B35E8" w:rsidRPr="002866E5">
        <w:rPr>
          <w:noProof/>
        </w:rPr>
        <w:t xml:space="preserve"> z</w:t>
      </w:r>
      <w:r w:rsidR="008B35E8">
        <w:rPr>
          <w:noProof/>
        </w:rPr>
        <w:t> </w:t>
      </w:r>
      <w:r w:rsidR="008B35E8" w:rsidRPr="002866E5">
        <w:rPr>
          <w:noProof/>
        </w:rPr>
        <w:t>wyj</w:t>
      </w:r>
      <w:r w:rsidRPr="002866E5">
        <w:rPr>
          <w:noProof/>
        </w:rPr>
        <w:t>ątkiem zakresu. Wariant 4 zakładałby uwzględnienie oprogramowania niewbudowanego (z dwoma podwariantami obejmującymi odpowiednio tylko krytyczne (4a) lub całe oprogramowanie (4b))</w:t>
      </w:r>
      <w:r w:rsidR="008B35E8" w:rsidRPr="002866E5">
        <w:rPr>
          <w:noProof/>
        </w:rPr>
        <w:t xml:space="preserve"> w</w:t>
      </w:r>
      <w:r w:rsidR="008B35E8">
        <w:rPr>
          <w:noProof/>
        </w:rPr>
        <w:t> </w:t>
      </w:r>
      <w:r w:rsidR="008B35E8" w:rsidRPr="002866E5">
        <w:rPr>
          <w:noProof/>
        </w:rPr>
        <w:t>zak</w:t>
      </w:r>
      <w:r w:rsidRPr="002866E5">
        <w:rPr>
          <w:noProof/>
        </w:rPr>
        <w:t>resie stosowania potencjalnego rozporządzenia</w:t>
      </w:r>
      <w:r w:rsidR="008B35E8" w:rsidRPr="002866E5">
        <w:rPr>
          <w:noProof/>
        </w:rPr>
        <w:t>. W</w:t>
      </w:r>
      <w:r w:rsidR="008B35E8">
        <w:rPr>
          <w:noProof/>
        </w:rPr>
        <w:t> </w:t>
      </w:r>
      <w:r w:rsidR="008B35E8" w:rsidRPr="002866E5">
        <w:rPr>
          <w:noProof/>
        </w:rPr>
        <w:t>prz</w:t>
      </w:r>
      <w:r w:rsidRPr="002866E5">
        <w:rPr>
          <w:noProof/>
        </w:rPr>
        <w:t>ypadku każdego</w:t>
      </w:r>
      <w:r w:rsidR="008B35E8" w:rsidRPr="002866E5">
        <w:rPr>
          <w:noProof/>
        </w:rPr>
        <w:t xml:space="preserve"> z</w:t>
      </w:r>
      <w:r w:rsidR="008B35E8">
        <w:rPr>
          <w:noProof/>
        </w:rPr>
        <w:t> </w:t>
      </w:r>
      <w:r w:rsidR="008B35E8" w:rsidRPr="002866E5">
        <w:rPr>
          <w:noProof/>
        </w:rPr>
        <w:t>pod</w:t>
      </w:r>
      <w:r w:rsidRPr="002866E5">
        <w:rPr>
          <w:noProof/>
        </w:rPr>
        <w:t>wariantów rozważono by te same podwarianty związane</w:t>
      </w:r>
      <w:r w:rsidR="008B35E8" w:rsidRPr="002866E5">
        <w:rPr>
          <w:noProof/>
        </w:rPr>
        <w:t xml:space="preserve"> z</w:t>
      </w:r>
      <w:r w:rsidR="008B35E8">
        <w:rPr>
          <w:noProof/>
        </w:rPr>
        <w:t> </w:t>
      </w:r>
      <w:r w:rsidR="008B35E8" w:rsidRPr="002866E5">
        <w:rPr>
          <w:noProof/>
        </w:rPr>
        <w:t>oce</w:t>
      </w:r>
      <w:r w:rsidRPr="002866E5">
        <w:rPr>
          <w:noProof/>
        </w:rPr>
        <w:t>ną zgodności, co</w:t>
      </w:r>
      <w:r w:rsidR="008B35E8" w:rsidRPr="002866E5">
        <w:rPr>
          <w:noProof/>
        </w:rPr>
        <w:t xml:space="preserve"> w</w:t>
      </w:r>
      <w:r w:rsidR="008B35E8">
        <w:rPr>
          <w:noProof/>
        </w:rPr>
        <w:t> </w:t>
      </w:r>
      <w:r w:rsidR="008B35E8" w:rsidRPr="002866E5">
        <w:rPr>
          <w:noProof/>
        </w:rPr>
        <w:t>prz</w:t>
      </w:r>
      <w:r w:rsidRPr="002866E5">
        <w:rPr>
          <w:noProof/>
        </w:rPr>
        <w:t xml:space="preserve">ypadku wariantu 3. </w:t>
      </w:r>
    </w:p>
    <w:p w14:paraId="67ED8690" w14:textId="53DBC65F" w:rsidR="00D13273" w:rsidRPr="002866E5" w:rsidRDefault="00016D22" w:rsidP="00CF3410">
      <w:pPr>
        <w:pBdr>
          <w:top w:val="nil"/>
          <w:left w:val="nil"/>
          <w:bottom w:val="nil"/>
          <w:right w:val="nil"/>
          <w:between w:val="nil"/>
          <w:bar w:val="nil"/>
        </w:pBdr>
        <w:rPr>
          <w:rFonts w:eastAsia="Calibri"/>
          <w:noProof/>
          <w:szCs w:val="24"/>
        </w:rPr>
      </w:pPr>
      <w:r w:rsidRPr="002866E5">
        <w:rPr>
          <w:noProof/>
        </w:rPr>
        <w:t>Wariant 4 (w tym podwarianty obejmujące całe oprogramowanie</w:t>
      </w:r>
      <w:r w:rsidR="008B35E8" w:rsidRPr="002866E5">
        <w:rPr>
          <w:noProof/>
        </w:rPr>
        <w:t xml:space="preserve"> i</w:t>
      </w:r>
      <w:r w:rsidR="008B35E8">
        <w:rPr>
          <w:noProof/>
        </w:rPr>
        <w:t> </w:t>
      </w:r>
      <w:r w:rsidR="008B35E8" w:rsidRPr="002866E5">
        <w:rPr>
          <w:noProof/>
        </w:rPr>
        <w:t>zak</w:t>
      </w:r>
      <w:r w:rsidRPr="002866E5">
        <w:rPr>
          <w:noProof/>
        </w:rPr>
        <w:t>ładające obowiązkową ocenę przez stronę trzecią</w:t>
      </w:r>
      <w:r w:rsidR="008B35E8" w:rsidRPr="002866E5">
        <w:rPr>
          <w:noProof/>
        </w:rPr>
        <w:t xml:space="preserve"> w</w:t>
      </w:r>
      <w:r w:rsidR="008B35E8">
        <w:rPr>
          <w:noProof/>
        </w:rPr>
        <w:t> </w:t>
      </w:r>
      <w:r w:rsidR="008B35E8" w:rsidRPr="002866E5">
        <w:rPr>
          <w:noProof/>
        </w:rPr>
        <w:t>prz</w:t>
      </w:r>
      <w:r w:rsidRPr="002866E5">
        <w:rPr>
          <w:noProof/>
        </w:rPr>
        <w:t xml:space="preserve">ypadku produktów krytycznych) okazał się wariantem preferowanym na podstawie oceny skuteczności względem celów szczegółowych oraz </w:t>
      </w:r>
      <w:r w:rsidRPr="002866E5">
        <w:rPr>
          <w:noProof/>
        </w:rPr>
        <w:lastRenderedPageBreak/>
        <w:t>efektywności kosztów</w:t>
      </w:r>
      <w:r w:rsidR="008B35E8" w:rsidRPr="002866E5">
        <w:rPr>
          <w:noProof/>
        </w:rPr>
        <w:t xml:space="preserve"> w</w:t>
      </w:r>
      <w:r w:rsidR="008B35E8">
        <w:rPr>
          <w:noProof/>
        </w:rPr>
        <w:t> </w:t>
      </w:r>
      <w:r w:rsidR="008B35E8" w:rsidRPr="002866E5">
        <w:rPr>
          <w:noProof/>
        </w:rPr>
        <w:t>sto</w:t>
      </w:r>
      <w:r w:rsidRPr="002866E5">
        <w:rPr>
          <w:noProof/>
        </w:rPr>
        <w:t>sunku do korzyści. Wariant ten zapewnił określenie szczegółowych horyzontalnych wymogów cyberbezpieczeństwa</w:t>
      </w:r>
      <w:r w:rsidR="008B35E8" w:rsidRPr="002866E5">
        <w:rPr>
          <w:noProof/>
        </w:rPr>
        <w:t xml:space="preserve"> w</w:t>
      </w:r>
      <w:r w:rsidR="008B35E8">
        <w:rPr>
          <w:noProof/>
        </w:rPr>
        <w:t> </w:t>
      </w:r>
      <w:r w:rsidR="008B35E8" w:rsidRPr="002866E5">
        <w:rPr>
          <w:noProof/>
        </w:rPr>
        <w:t>odn</w:t>
      </w:r>
      <w:r w:rsidRPr="002866E5">
        <w:rPr>
          <w:noProof/>
        </w:rPr>
        <w:t>iesieniu do wszystkich produktów</w:t>
      </w:r>
      <w:r w:rsidR="008B35E8" w:rsidRPr="002866E5">
        <w:rPr>
          <w:noProof/>
        </w:rPr>
        <w:t xml:space="preserve"> z</w:t>
      </w:r>
      <w:r w:rsidR="008B35E8">
        <w:rPr>
          <w:noProof/>
        </w:rPr>
        <w:t> </w:t>
      </w:r>
      <w:r w:rsidR="008B35E8" w:rsidRPr="002866E5">
        <w:rPr>
          <w:noProof/>
        </w:rPr>
        <w:t>ele</w:t>
      </w:r>
      <w:r w:rsidRPr="002866E5">
        <w:rPr>
          <w:noProof/>
        </w:rPr>
        <w:t>mentami cyfrowymi wprowadzanych do obrotu lub udostępnianych na rynku wewnętrznym</w:t>
      </w:r>
      <w:r w:rsidR="008B35E8" w:rsidRPr="002866E5">
        <w:rPr>
          <w:noProof/>
        </w:rPr>
        <w:t xml:space="preserve"> i</w:t>
      </w:r>
      <w:r w:rsidR="008B35E8">
        <w:rPr>
          <w:noProof/>
        </w:rPr>
        <w:t> </w:t>
      </w:r>
      <w:r w:rsidR="008B35E8" w:rsidRPr="002866E5">
        <w:rPr>
          <w:noProof/>
        </w:rPr>
        <w:t>jes</w:t>
      </w:r>
      <w:r w:rsidRPr="002866E5">
        <w:rPr>
          <w:noProof/>
        </w:rPr>
        <w:t>t jedynym wariantem obejmującym cały cyfrowy łańcuch dostaw. Taka interwencja regulacyjna obejmowałaby również oprogramowanie niewbudowane, często narażone na podatności,</w:t>
      </w:r>
      <w:r w:rsidR="008B35E8" w:rsidRPr="002866E5">
        <w:rPr>
          <w:noProof/>
        </w:rPr>
        <w:t xml:space="preserve"> a</w:t>
      </w:r>
      <w:r w:rsidR="008B35E8">
        <w:rPr>
          <w:noProof/>
        </w:rPr>
        <w:t> </w:t>
      </w:r>
      <w:r w:rsidR="008B35E8" w:rsidRPr="002866E5">
        <w:rPr>
          <w:noProof/>
        </w:rPr>
        <w:t>tym</w:t>
      </w:r>
      <w:r w:rsidRPr="002866E5">
        <w:rPr>
          <w:noProof/>
        </w:rPr>
        <w:t xml:space="preserve"> samym zapewniłaby spójne podejście do wszystkich produktów</w:t>
      </w:r>
      <w:r w:rsidR="008B35E8" w:rsidRPr="002866E5">
        <w:rPr>
          <w:noProof/>
        </w:rPr>
        <w:t xml:space="preserve"> z</w:t>
      </w:r>
      <w:r w:rsidR="008B35E8">
        <w:rPr>
          <w:noProof/>
        </w:rPr>
        <w:t> </w:t>
      </w:r>
      <w:r w:rsidR="008B35E8" w:rsidRPr="002866E5">
        <w:rPr>
          <w:noProof/>
        </w:rPr>
        <w:t>ele</w:t>
      </w:r>
      <w:r w:rsidRPr="002866E5">
        <w:rPr>
          <w:noProof/>
        </w:rPr>
        <w:t>mentami cyfrowymi</w:t>
      </w:r>
      <w:r w:rsidR="008B35E8" w:rsidRPr="002866E5">
        <w:rPr>
          <w:noProof/>
        </w:rPr>
        <w:t xml:space="preserve"> z</w:t>
      </w:r>
      <w:r w:rsidR="008B35E8">
        <w:rPr>
          <w:noProof/>
        </w:rPr>
        <w:t> </w:t>
      </w:r>
      <w:r w:rsidR="008B35E8" w:rsidRPr="002866E5">
        <w:rPr>
          <w:noProof/>
        </w:rPr>
        <w:t>wyr</w:t>
      </w:r>
      <w:r w:rsidRPr="002866E5">
        <w:rPr>
          <w:noProof/>
        </w:rPr>
        <w:t>aźnym podziałem odpowiedzialności różnych podmiotów gospodarczych.</w:t>
      </w:r>
    </w:p>
    <w:p w14:paraId="67ED8691" w14:textId="3B5A1690" w:rsidR="00CA4860" w:rsidRPr="002866E5" w:rsidRDefault="00CA4860" w:rsidP="00754710">
      <w:pPr>
        <w:rPr>
          <w:rFonts w:eastAsia="Calibri"/>
          <w:noProof/>
          <w:szCs w:val="24"/>
        </w:rPr>
      </w:pPr>
      <w:r w:rsidRPr="002866E5">
        <w:rPr>
          <w:noProof/>
        </w:rPr>
        <w:t>Ten wariant strategiczny wnosi również wartość dodaną, ponieważ obejmuje aspekty dotyczące dochowania należytej staranności</w:t>
      </w:r>
      <w:r w:rsidR="008B35E8" w:rsidRPr="002866E5">
        <w:rPr>
          <w:noProof/>
        </w:rPr>
        <w:t xml:space="preserve"> i</w:t>
      </w:r>
      <w:r w:rsidR="008B35E8">
        <w:rPr>
          <w:noProof/>
        </w:rPr>
        <w:t> </w:t>
      </w:r>
      <w:r w:rsidR="008B35E8" w:rsidRPr="002866E5">
        <w:rPr>
          <w:noProof/>
        </w:rPr>
        <w:t>cał</w:t>
      </w:r>
      <w:r w:rsidRPr="002866E5">
        <w:rPr>
          <w:noProof/>
        </w:rPr>
        <w:t>ego cyklu życia po wprowadzeniu do obrotu produktów</w:t>
      </w:r>
      <w:r w:rsidR="008B35E8" w:rsidRPr="002866E5">
        <w:rPr>
          <w:noProof/>
        </w:rPr>
        <w:t xml:space="preserve"> z</w:t>
      </w:r>
      <w:r w:rsidR="008B35E8">
        <w:rPr>
          <w:noProof/>
        </w:rPr>
        <w:t> </w:t>
      </w:r>
      <w:r w:rsidR="008B35E8" w:rsidRPr="002866E5">
        <w:rPr>
          <w:noProof/>
        </w:rPr>
        <w:t>ele</w:t>
      </w:r>
      <w:r w:rsidRPr="002866E5">
        <w:rPr>
          <w:noProof/>
        </w:rPr>
        <w:t>mentami cyfrowymi, aby zapewnić między innymi odpowiednie informacje na temat wsparcia</w:t>
      </w:r>
      <w:r w:rsidR="008B35E8" w:rsidRPr="002866E5">
        <w:rPr>
          <w:noProof/>
        </w:rPr>
        <w:t xml:space="preserve"> w</w:t>
      </w:r>
      <w:r w:rsidR="008B35E8">
        <w:rPr>
          <w:noProof/>
        </w:rPr>
        <w:t> </w:t>
      </w:r>
      <w:r w:rsidR="008B35E8" w:rsidRPr="002866E5">
        <w:rPr>
          <w:noProof/>
        </w:rPr>
        <w:t>zak</w:t>
      </w:r>
      <w:r w:rsidRPr="002866E5">
        <w:rPr>
          <w:noProof/>
        </w:rPr>
        <w:t>resie zabezpieczeń</w:t>
      </w:r>
      <w:r w:rsidR="008B35E8" w:rsidRPr="002866E5">
        <w:rPr>
          <w:noProof/>
        </w:rPr>
        <w:t xml:space="preserve"> i</w:t>
      </w:r>
      <w:r w:rsidR="008B35E8">
        <w:rPr>
          <w:noProof/>
        </w:rPr>
        <w:t> </w:t>
      </w:r>
      <w:r w:rsidR="008B35E8" w:rsidRPr="002866E5">
        <w:rPr>
          <w:noProof/>
        </w:rPr>
        <w:t>zap</w:t>
      </w:r>
      <w:r w:rsidRPr="002866E5">
        <w:rPr>
          <w:noProof/>
        </w:rPr>
        <w:t>ewnienia aktualizacji zabezpieczeń. Ten wariant strategiczny byłby również najskuteczniejszym uzupełnieniem niedawnego przeglądu ram prawnych dotyczących bezpieczeństwa sieci</w:t>
      </w:r>
      <w:r w:rsidR="008B35E8" w:rsidRPr="002866E5">
        <w:rPr>
          <w:noProof/>
        </w:rPr>
        <w:t xml:space="preserve"> i</w:t>
      </w:r>
      <w:r w:rsidR="008B35E8">
        <w:rPr>
          <w:noProof/>
        </w:rPr>
        <w:t> </w:t>
      </w:r>
      <w:r w:rsidR="008B35E8" w:rsidRPr="002866E5">
        <w:rPr>
          <w:noProof/>
        </w:rPr>
        <w:t>sys</w:t>
      </w:r>
      <w:r w:rsidRPr="002866E5">
        <w:rPr>
          <w:noProof/>
        </w:rPr>
        <w:t>temów informatycznych dzięki zapewnieniu warunków wstępnych wzmocnienia bezpieczeństwa łańcucha dostaw.</w:t>
      </w:r>
    </w:p>
    <w:p w14:paraId="67ED8692" w14:textId="34D620B7" w:rsidR="00DB3DCD" w:rsidRPr="002866E5" w:rsidRDefault="00DB3DCD" w:rsidP="00DB3DCD">
      <w:pPr>
        <w:rPr>
          <w:rFonts w:eastAsia="Times New Roman"/>
          <w:noProof/>
          <w:szCs w:val="24"/>
        </w:rPr>
      </w:pPr>
      <w:r w:rsidRPr="002866E5">
        <w:rPr>
          <w:noProof/>
        </w:rPr>
        <w:t>Preferowany wariant może przynieść znaczące korzyści dla poszczególnych zainteresowanych stron</w:t>
      </w:r>
      <w:r w:rsidR="008B35E8" w:rsidRPr="002866E5">
        <w:rPr>
          <w:noProof/>
        </w:rPr>
        <w:t>. W</w:t>
      </w:r>
      <w:r w:rsidR="008B35E8">
        <w:rPr>
          <w:noProof/>
        </w:rPr>
        <w:t> </w:t>
      </w:r>
      <w:r w:rsidR="008B35E8" w:rsidRPr="002866E5">
        <w:rPr>
          <w:noProof/>
        </w:rPr>
        <w:t>prz</w:t>
      </w:r>
      <w:r w:rsidRPr="002866E5">
        <w:rPr>
          <w:noProof/>
        </w:rPr>
        <w:t>ypadku przedsiębiorstw pozwoli on zapobiec rozbieżnym przepisom dotyczącym bezpieczeństwa produktów</w:t>
      </w:r>
      <w:r w:rsidR="008B35E8" w:rsidRPr="002866E5">
        <w:rPr>
          <w:noProof/>
        </w:rPr>
        <w:t xml:space="preserve"> z</w:t>
      </w:r>
      <w:r w:rsidR="008B35E8">
        <w:rPr>
          <w:noProof/>
        </w:rPr>
        <w:t> </w:t>
      </w:r>
      <w:r w:rsidR="008B35E8" w:rsidRPr="002866E5">
        <w:rPr>
          <w:noProof/>
        </w:rPr>
        <w:t>ele</w:t>
      </w:r>
      <w:r w:rsidRPr="002866E5">
        <w:rPr>
          <w:noProof/>
        </w:rPr>
        <w:t>mentami cyfrowymi oraz obniżyć koszty przestrzegania związanych</w:t>
      </w:r>
      <w:r w:rsidR="008B35E8" w:rsidRPr="002866E5">
        <w:rPr>
          <w:noProof/>
        </w:rPr>
        <w:t xml:space="preserve"> z</w:t>
      </w:r>
      <w:r w:rsidR="008B35E8">
        <w:rPr>
          <w:noProof/>
        </w:rPr>
        <w:t> </w:t>
      </w:r>
      <w:r w:rsidR="008B35E8" w:rsidRPr="002866E5">
        <w:rPr>
          <w:noProof/>
        </w:rPr>
        <w:t>nim</w:t>
      </w:r>
      <w:r w:rsidRPr="002866E5">
        <w:rPr>
          <w:noProof/>
        </w:rPr>
        <w:t>i przepisów dotyczących cyberbezpieczeństwa. Może się on przyczynić do zmniejszenia liczby cyberincydentów, obniżenia kosztów postępowania</w:t>
      </w:r>
      <w:r w:rsidR="008B35E8" w:rsidRPr="002866E5">
        <w:rPr>
          <w:noProof/>
        </w:rPr>
        <w:t xml:space="preserve"> w</w:t>
      </w:r>
      <w:r w:rsidR="008B35E8">
        <w:rPr>
          <w:noProof/>
        </w:rPr>
        <w:t> </w:t>
      </w:r>
      <w:r w:rsidR="008B35E8" w:rsidRPr="002866E5">
        <w:rPr>
          <w:noProof/>
        </w:rPr>
        <w:t>prz</w:t>
      </w:r>
      <w:r w:rsidRPr="002866E5">
        <w:rPr>
          <w:noProof/>
        </w:rPr>
        <w:t>ypadku incydentu oraz uniknięcia nadszarpnięcia reputacji</w:t>
      </w:r>
      <w:r w:rsidR="008B35E8" w:rsidRPr="002866E5">
        <w:rPr>
          <w:noProof/>
        </w:rPr>
        <w:t>. W</w:t>
      </w:r>
      <w:r w:rsidR="008B35E8">
        <w:rPr>
          <w:noProof/>
        </w:rPr>
        <w:t> </w:t>
      </w:r>
      <w:r w:rsidR="008B35E8" w:rsidRPr="002866E5">
        <w:rPr>
          <w:noProof/>
        </w:rPr>
        <w:t>prz</w:t>
      </w:r>
      <w:r w:rsidRPr="002866E5">
        <w:rPr>
          <w:noProof/>
        </w:rPr>
        <w:t>ypadku całej UE szacuje się, że inicjatywa może doprowadzić do obniżenia kosztów związanych</w:t>
      </w:r>
      <w:r w:rsidR="008B35E8" w:rsidRPr="002866E5">
        <w:rPr>
          <w:noProof/>
        </w:rPr>
        <w:t xml:space="preserve"> z</w:t>
      </w:r>
      <w:r w:rsidR="008B35E8">
        <w:rPr>
          <w:noProof/>
        </w:rPr>
        <w:t> </w:t>
      </w:r>
      <w:r w:rsidR="008B35E8" w:rsidRPr="002866E5">
        <w:rPr>
          <w:noProof/>
        </w:rPr>
        <w:t>inc</w:t>
      </w:r>
      <w:r w:rsidRPr="002866E5">
        <w:rPr>
          <w:noProof/>
        </w:rPr>
        <w:t>ydentami dotyczącymi przedsiębiorstw</w:t>
      </w:r>
      <w:r w:rsidR="008B35E8" w:rsidRPr="002866E5">
        <w:rPr>
          <w:noProof/>
        </w:rPr>
        <w:t xml:space="preserve"> o</w:t>
      </w:r>
      <w:r w:rsidR="008B35E8">
        <w:rPr>
          <w:noProof/>
        </w:rPr>
        <w:t> </w:t>
      </w:r>
      <w:r w:rsidR="008B35E8" w:rsidRPr="002866E5">
        <w:rPr>
          <w:noProof/>
        </w:rPr>
        <w:t>oko</w:t>
      </w:r>
      <w:r w:rsidRPr="002866E5">
        <w:rPr>
          <w:noProof/>
        </w:rPr>
        <w:t>ło 180–290 mld EUR rocznie. Inicjatywa może spowodować wzrost obrotu ze względu na coraz większy popyt na produkty</w:t>
      </w:r>
      <w:r w:rsidR="008B35E8" w:rsidRPr="002866E5">
        <w:rPr>
          <w:noProof/>
        </w:rPr>
        <w:t xml:space="preserve"> z</w:t>
      </w:r>
      <w:r w:rsidR="008B35E8">
        <w:rPr>
          <w:noProof/>
        </w:rPr>
        <w:t> </w:t>
      </w:r>
      <w:r w:rsidR="008B35E8" w:rsidRPr="002866E5">
        <w:rPr>
          <w:noProof/>
        </w:rPr>
        <w:t>ele</w:t>
      </w:r>
      <w:r w:rsidRPr="002866E5">
        <w:rPr>
          <w:noProof/>
        </w:rPr>
        <w:t>mentami cyfrowymi. Może poprawić światową reputację przedsiębiorstw, co spowodowałoby wzrost popytu również spoza UE. Jeżeli chodzi</w:t>
      </w:r>
      <w:r w:rsidR="008B35E8" w:rsidRPr="002866E5">
        <w:rPr>
          <w:noProof/>
        </w:rPr>
        <w:t xml:space="preserve"> o</w:t>
      </w:r>
      <w:r w:rsidR="008B35E8">
        <w:rPr>
          <w:noProof/>
        </w:rPr>
        <w:t> </w:t>
      </w:r>
      <w:r w:rsidR="008B35E8" w:rsidRPr="002866E5">
        <w:rPr>
          <w:noProof/>
        </w:rPr>
        <w:t>uży</w:t>
      </w:r>
      <w:r w:rsidRPr="002866E5">
        <w:rPr>
          <w:noProof/>
        </w:rPr>
        <w:t>tkowników, preferowany wariant może zwiększyć przejrzystość zabezpieczeń</w:t>
      </w:r>
      <w:r w:rsidR="008B35E8" w:rsidRPr="002866E5">
        <w:rPr>
          <w:noProof/>
        </w:rPr>
        <w:t xml:space="preserve"> i</w:t>
      </w:r>
      <w:r w:rsidR="008B35E8">
        <w:rPr>
          <w:noProof/>
        </w:rPr>
        <w:t> </w:t>
      </w:r>
      <w:r w:rsidR="008B35E8" w:rsidRPr="002866E5">
        <w:rPr>
          <w:noProof/>
        </w:rPr>
        <w:t>uła</w:t>
      </w:r>
      <w:r w:rsidRPr="002866E5">
        <w:rPr>
          <w:noProof/>
        </w:rPr>
        <w:t>twić korzystanie</w:t>
      </w:r>
      <w:r w:rsidR="008B35E8" w:rsidRPr="002866E5">
        <w:rPr>
          <w:noProof/>
        </w:rPr>
        <w:t xml:space="preserve"> z</w:t>
      </w:r>
      <w:r w:rsidR="008B35E8">
        <w:rPr>
          <w:noProof/>
        </w:rPr>
        <w:t> </w:t>
      </w:r>
      <w:r w:rsidR="008B35E8" w:rsidRPr="002866E5">
        <w:rPr>
          <w:noProof/>
        </w:rPr>
        <w:t>pro</w:t>
      </w:r>
      <w:r w:rsidRPr="002866E5">
        <w:rPr>
          <w:noProof/>
        </w:rPr>
        <w:t>duktów</w:t>
      </w:r>
      <w:r w:rsidR="008B35E8" w:rsidRPr="002866E5">
        <w:rPr>
          <w:noProof/>
        </w:rPr>
        <w:t xml:space="preserve"> z</w:t>
      </w:r>
      <w:r w:rsidR="008B35E8">
        <w:rPr>
          <w:noProof/>
        </w:rPr>
        <w:t> </w:t>
      </w:r>
      <w:r w:rsidR="008B35E8" w:rsidRPr="002866E5">
        <w:rPr>
          <w:noProof/>
        </w:rPr>
        <w:t>ele</w:t>
      </w:r>
      <w:r w:rsidRPr="002866E5">
        <w:rPr>
          <w:noProof/>
        </w:rPr>
        <w:t>mentami cyfrowymi. Konsumenci</w:t>
      </w:r>
      <w:r w:rsidR="008B35E8" w:rsidRPr="002866E5">
        <w:rPr>
          <w:noProof/>
        </w:rPr>
        <w:t xml:space="preserve"> i</w:t>
      </w:r>
      <w:r w:rsidR="008B35E8">
        <w:rPr>
          <w:noProof/>
        </w:rPr>
        <w:t> </w:t>
      </w:r>
      <w:r w:rsidR="008B35E8" w:rsidRPr="002866E5">
        <w:rPr>
          <w:noProof/>
        </w:rPr>
        <w:t>oby</w:t>
      </w:r>
      <w:r w:rsidRPr="002866E5">
        <w:rPr>
          <w:noProof/>
        </w:rPr>
        <w:t>watele odniosą także korzyść polegającą na lepszej ochronie ich praw podstawowych, takich jak prywatność</w:t>
      </w:r>
      <w:r w:rsidR="008B35E8" w:rsidRPr="002866E5">
        <w:rPr>
          <w:noProof/>
        </w:rPr>
        <w:t xml:space="preserve"> i</w:t>
      </w:r>
      <w:r w:rsidR="008B35E8">
        <w:rPr>
          <w:noProof/>
        </w:rPr>
        <w:t> </w:t>
      </w:r>
      <w:r w:rsidR="008B35E8" w:rsidRPr="002866E5">
        <w:rPr>
          <w:noProof/>
        </w:rPr>
        <w:t>och</w:t>
      </w:r>
      <w:r w:rsidRPr="002866E5">
        <w:rPr>
          <w:noProof/>
        </w:rPr>
        <w:t xml:space="preserve">rona danych. </w:t>
      </w:r>
    </w:p>
    <w:p w14:paraId="67ED8693" w14:textId="311845B2" w:rsidR="00DB3DCD" w:rsidRPr="002866E5" w:rsidRDefault="00DB3DCD" w:rsidP="00754710">
      <w:pPr>
        <w:pBdr>
          <w:top w:val="nil"/>
          <w:left w:val="nil"/>
          <w:bottom w:val="nil"/>
          <w:right w:val="nil"/>
          <w:between w:val="nil"/>
          <w:bar w:val="nil"/>
        </w:pBdr>
        <w:spacing w:after="240"/>
        <w:rPr>
          <w:rFonts w:eastAsia="Arial Unicode MS"/>
          <w:noProof/>
        </w:rPr>
      </w:pPr>
      <w:r w:rsidRPr="002866E5">
        <w:rPr>
          <w:noProof/>
        </w:rPr>
        <w:t>Zapytani</w:t>
      </w:r>
      <w:r w:rsidR="008B35E8" w:rsidRPr="002866E5">
        <w:rPr>
          <w:noProof/>
        </w:rPr>
        <w:t xml:space="preserve"> o</w:t>
      </w:r>
      <w:r w:rsidR="008B35E8">
        <w:rPr>
          <w:noProof/>
        </w:rPr>
        <w:t> </w:t>
      </w:r>
      <w:r w:rsidR="008B35E8" w:rsidRPr="002866E5">
        <w:rPr>
          <w:noProof/>
        </w:rPr>
        <w:t>oce</w:t>
      </w:r>
      <w:r w:rsidRPr="002866E5">
        <w:rPr>
          <w:noProof/>
        </w:rPr>
        <w:t>nę skuteczności interwencji politycznych respondenci biorący udział</w:t>
      </w:r>
      <w:r w:rsidR="008B35E8" w:rsidRPr="002866E5">
        <w:rPr>
          <w:noProof/>
        </w:rPr>
        <w:t xml:space="preserve"> w</w:t>
      </w:r>
      <w:r w:rsidR="008B35E8">
        <w:rPr>
          <w:noProof/>
        </w:rPr>
        <w:t> </w:t>
      </w:r>
      <w:r w:rsidR="008B35E8" w:rsidRPr="002866E5">
        <w:rPr>
          <w:noProof/>
        </w:rPr>
        <w:t>kon</w:t>
      </w:r>
      <w:r w:rsidRPr="002866E5">
        <w:rPr>
          <w:noProof/>
        </w:rPr>
        <w:t>sultacjach publicznych zgodzili się, że wariant 4 byłby najskuteczniejszym środkiem (4,08</w:t>
      </w:r>
      <w:r w:rsidR="008B35E8" w:rsidRPr="002866E5">
        <w:rPr>
          <w:noProof/>
        </w:rPr>
        <w:t xml:space="preserve"> w</w:t>
      </w:r>
      <w:r w:rsidR="008B35E8">
        <w:rPr>
          <w:noProof/>
        </w:rPr>
        <w:t> </w:t>
      </w:r>
      <w:r w:rsidR="008B35E8" w:rsidRPr="002866E5">
        <w:rPr>
          <w:noProof/>
        </w:rPr>
        <w:t>ska</w:t>
      </w:r>
      <w:r w:rsidRPr="002866E5">
        <w:rPr>
          <w:noProof/>
        </w:rPr>
        <w:t xml:space="preserve">li </w:t>
      </w:r>
      <w:r w:rsidRPr="008B35E8">
        <w:rPr>
          <w:noProof/>
        </w:rPr>
        <w:t>od</w:t>
      </w:r>
      <w:r w:rsidR="008B35E8" w:rsidRPr="008B35E8">
        <w:rPr>
          <w:noProof/>
        </w:rPr>
        <w:t> </w:t>
      </w:r>
      <w:r w:rsidRPr="008B35E8">
        <w:rPr>
          <w:noProof/>
        </w:rPr>
        <w:t>1</w:t>
      </w:r>
      <w:r w:rsidRPr="002866E5">
        <w:rPr>
          <w:noProof/>
        </w:rPr>
        <w:t xml:space="preserve"> </w:t>
      </w:r>
      <w:r w:rsidRPr="008B35E8">
        <w:rPr>
          <w:noProof/>
        </w:rPr>
        <w:t>do</w:t>
      </w:r>
      <w:r w:rsidR="008B35E8" w:rsidRPr="008B35E8">
        <w:rPr>
          <w:noProof/>
        </w:rPr>
        <w:t> </w:t>
      </w:r>
      <w:r w:rsidRPr="008B35E8">
        <w:rPr>
          <w:noProof/>
        </w:rPr>
        <w:t>5</w:t>
      </w:r>
      <w:r w:rsidRPr="002866E5">
        <w:rPr>
          <w:noProof/>
        </w:rPr>
        <w:t>). Do respondentów tych należą organizacje konsumenckie (5,00), respondenci określający się jako użytkownicy (4,22), jednostki notyfikowane (4,17), organy nadzoru rynku (5,00) oraz producenci produktów</w:t>
      </w:r>
      <w:r w:rsidR="008B35E8" w:rsidRPr="002866E5">
        <w:rPr>
          <w:noProof/>
        </w:rPr>
        <w:t xml:space="preserve"> z</w:t>
      </w:r>
      <w:r w:rsidR="008B35E8">
        <w:rPr>
          <w:noProof/>
        </w:rPr>
        <w:t> </w:t>
      </w:r>
      <w:r w:rsidR="008B35E8" w:rsidRPr="002866E5">
        <w:rPr>
          <w:noProof/>
        </w:rPr>
        <w:t>ele</w:t>
      </w:r>
      <w:r w:rsidRPr="002866E5">
        <w:rPr>
          <w:noProof/>
        </w:rPr>
        <w:t>mentami cyfrowymi (3,85),</w:t>
      </w:r>
      <w:r w:rsidR="008B35E8" w:rsidRPr="002866E5">
        <w:rPr>
          <w:noProof/>
        </w:rPr>
        <w:t xml:space="preserve"> w</w:t>
      </w:r>
      <w:r w:rsidR="008B35E8">
        <w:rPr>
          <w:noProof/>
        </w:rPr>
        <w:t> </w:t>
      </w:r>
      <w:r w:rsidR="008B35E8" w:rsidRPr="002866E5">
        <w:rPr>
          <w:noProof/>
        </w:rPr>
        <w:t>tym</w:t>
      </w:r>
      <w:r w:rsidRPr="002866E5">
        <w:rPr>
          <w:noProof/>
        </w:rPr>
        <w:t xml:space="preserve"> mali</w:t>
      </w:r>
      <w:r w:rsidR="008B35E8" w:rsidRPr="002866E5">
        <w:rPr>
          <w:noProof/>
        </w:rPr>
        <w:t xml:space="preserve"> i</w:t>
      </w:r>
      <w:r w:rsidR="008B35E8">
        <w:rPr>
          <w:noProof/>
        </w:rPr>
        <w:t> </w:t>
      </w:r>
      <w:r w:rsidR="008B35E8" w:rsidRPr="002866E5">
        <w:rPr>
          <w:noProof/>
        </w:rPr>
        <w:t>śre</w:t>
      </w:r>
      <w:r w:rsidRPr="002866E5">
        <w:rPr>
          <w:noProof/>
        </w:rPr>
        <w:t>dni producenci (4,05).</w:t>
      </w:r>
    </w:p>
    <w:p w14:paraId="67ED8694" w14:textId="28A82619" w:rsidR="0037165D" w:rsidRPr="002866E5" w:rsidRDefault="0037165D" w:rsidP="00881943">
      <w:pPr>
        <w:pStyle w:val="ManualHeading2"/>
        <w:rPr>
          <w:rFonts w:eastAsia="Arial Unicode MS"/>
          <w:noProof/>
          <w:u w:color="000000"/>
          <w:bdr w:val="nil"/>
        </w:rPr>
      </w:pPr>
      <w:r w:rsidRPr="002866E5">
        <w:rPr>
          <w:noProof/>
          <w:u w:color="000000"/>
          <w:bdr w:val="nil"/>
        </w:rPr>
        <w:t>•</w:t>
      </w:r>
      <w:r w:rsidRPr="002866E5">
        <w:rPr>
          <w:noProof/>
        </w:rPr>
        <w:tab/>
      </w:r>
      <w:r w:rsidRPr="002866E5">
        <w:rPr>
          <w:noProof/>
          <w:u w:color="000000"/>
          <w:bdr w:val="nil"/>
        </w:rPr>
        <w:t>Sprawność regulacyjna</w:t>
      </w:r>
      <w:r w:rsidR="008B35E8" w:rsidRPr="002866E5">
        <w:rPr>
          <w:noProof/>
          <w:u w:color="000000"/>
          <w:bdr w:val="nil"/>
        </w:rPr>
        <w:t xml:space="preserve"> i</w:t>
      </w:r>
      <w:r w:rsidR="008B35E8">
        <w:rPr>
          <w:noProof/>
          <w:u w:color="000000"/>
          <w:bdr w:val="nil"/>
        </w:rPr>
        <w:t> </w:t>
      </w:r>
      <w:r w:rsidR="008B35E8" w:rsidRPr="002866E5">
        <w:rPr>
          <w:noProof/>
          <w:u w:color="000000"/>
          <w:bdr w:val="nil"/>
        </w:rPr>
        <w:t>upr</w:t>
      </w:r>
      <w:r w:rsidRPr="002866E5">
        <w:rPr>
          <w:noProof/>
          <w:u w:color="000000"/>
          <w:bdr w:val="nil"/>
        </w:rPr>
        <w:t>oszczenie</w:t>
      </w:r>
    </w:p>
    <w:p w14:paraId="67ED8695" w14:textId="7318CA25" w:rsidR="0037165D" w:rsidRPr="002866E5" w:rsidRDefault="00CA4860" w:rsidP="00881943">
      <w:pPr>
        <w:pBdr>
          <w:top w:val="nil"/>
          <w:left w:val="nil"/>
          <w:bottom w:val="nil"/>
          <w:right w:val="nil"/>
          <w:between w:val="nil"/>
          <w:bar w:val="nil"/>
        </w:pBdr>
        <w:spacing w:before="0" w:after="240"/>
        <w:rPr>
          <w:rFonts w:eastAsia="Arial Unicode MS"/>
          <w:noProof/>
        </w:rPr>
      </w:pPr>
      <w:r w:rsidRPr="002866E5">
        <w:rPr>
          <w:noProof/>
        </w:rPr>
        <w:t>W niniejszym wniosku ustanawia się wymogi, które będą miały zastosowanie do producentów sprzętu</w:t>
      </w:r>
      <w:r w:rsidR="008B35E8" w:rsidRPr="002866E5">
        <w:rPr>
          <w:noProof/>
        </w:rPr>
        <w:t xml:space="preserve"> i</w:t>
      </w:r>
      <w:r w:rsidR="008B35E8">
        <w:rPr>
          <w:noProof/>
        </w:rPr>
        <w:t> </w:t>
      </w:r>
      <w:r w:rsidR="008B35E8" w:rsidRPr="002866E5">
        <w:rPr>
          <w:noProof/>
        </w:rPr>
        <w:t>opr</w:t>
      </w:r>
      <w:r w:rsidRPr="002866E5">
        <w:rPr>
          <w:noProof/>
        </w:rPr>
        <w:t>ogramowania. Istnieje potrzeba zapewnienia pewności prawa</w:t>
      </w:r>
      <w:r w:rsidR="008B35E8" w:rsidRPr="002866E5">
        <w:rPr>
          <w:noProof/>
        </w:rPr>
        <w:t xml:space="preserve"> i</w:t>
      </w:r>
      <w:r w:rsidR="008B35E8">
        <w:rPr>
          <w:noProof/>
        </w:rPr>
        <w:t> </w:t>
      </w:r>
      <w:r w:rsidR="008B35E8" w:rsidRPr="002866E5">
        <w:rPr>
          <w:noProof/>
        </w:rPr>
        <w:t>uni</w:t>
      </w:r>
      <w:r w:rsidRPr="002866E5">
        <w:rPr>
          <w:noProof/>
        </w:rPr>
        <w:t>knięcia dalszej fragmentacji wymogów cyberbezpieczeństwa dotyczących konkretnych produktów na rynku wewnętrznym, czego dowodem jest szerokie poparcie różnych zainteresowanych stron dla interwencji horyzontalnej. Wniosek doprowadzi do zminimalizowania obciążenia regulacyjnego nałożonego na producentów na mocy kilku aktów prawnych dotyczących bezpieczeństwa produktów. Dostosowanie do nowych ram prawnych oznacza lepsze funkcjonowanie interwencji</w:t>
      </w:r>
      <w:r w:rsidR="008B35E8" w:rsidRPr="002866E5">
        <w:rPr>
          <w:noProof/>
        </w:rPr>
        <w:t xml:space="preserve"> i</w:t>
      </w:r>
      <w:r w:rsidR="008B35E8">
        <w:rPr>
          <w:noProof/>
        </w:rPr>
        <w:t> </w:t>
      </w:r>
      <w:r w:rsidR="008B35E8" w:rsidRPr="002866E5">
        <w:rPr>
          <w:noProof/>
        </w:rPr>
        <w:t>jej</w:t>
      </w:r>
      <w:r w:rsidRPr="002866E5">
        <w:rPr>
          <w:noProof/>
        </w:rPr>
        <w:t xml:space="preserve"> egzekwowanie. Niniejszy wniosek usprawnia proces dotyczący procedur zabezpieczających dzięki zaangażowaniu producentów</w:t>
      </w:r>
      <w:r w:rsidR="008B35E8" w:rsidRPr="002866E5">
        <w:rPr>
          <w:noProof/>
        </w:rPr>
        <w:t xml:space="preserve"> i</w:t>
      </w:r>
      <w:r w:rsidR="008B35E8">
        <w:rPr>
          <w:noProof/>
        </w:rPr>
        <w:t> </w:t>
      </w:r>
      <w:r w:rsidR="008B35E8" w:rsidRPr="002866E5">
        <w:rPr>
          <w:noProof/>
        </w:rPr>
        <w:t>pań</w:t>
      </w:r>
      <w:r w:rsidRPr="002866E5">
        <w:rPr>
          <w:noProof/>
        </w:rPr>
        <w:t>stw członkowskich przed powiadomieniem Komisji. Znaczna część producentów objętych zakresem wniosku jest już zaznajomiona</w:t>
      </w:r>
      <w:r w:rsidR="008B35E8" w:rsidRPr="002866E5">
        <w:rPr>
          <w:noProof/>
        </w:rPr>
        <w:t xml:space="preserve"> z</w:t>
      </w:r>
      <w:r w:rsidR="008B35E8">
        <w:rPr>
          <w:noProof/>
        </w:rPr>
        <w:t> </w:t>
      </w:r>
      <w:r w:rsidR="008B35E8" w:rsidRPr="002866E5">
        <w:rPr>
          <w:noProof/>
        </w:rPr>
        <w:t>fun</w:t>
      </w:r>
      <w:r w:rsidRPr="002866E5">
        <w:rPr>
          <w:noProof/>
        </w:rPr>
        <w:t>kcjonowaniem nowych ram prawnych, co przyczyni się do ich zrozumienia</w:t>
      </w:r>
      <w:r w:rsidR="008B35E8" w:rsidRPr="002866E5">
        <w:rPr>
          <w:noProof/>
        </w:rPr>
        <w:t xml:space="preserve"> i</w:t>
      </w:r>
      <w:r w:rsidR="008B35E8">
        <w:rPr>
          <w:noProof/>
        </w:rPr>
        <w:t> </w:t>
      </w:r>
      <w:r w:rsidR="008B35E8" w:rsidRPr="002866E5">
        <w:rPr>
          <w:noProof/>
        </w:rPr>
        <w:t>wdr</w:t>
      </w:r>
      <w:r w:rsidRPr="002866E5">
        <w:rPr>
          <w:noProof/>
        </w:rPr>
        <w:t>ożenia. Jeżeli chodzi</w:t>
      </w:r>
      <w:r w:rsidR="008B35E8" w:rsidRPr="002866E5">
        <w:rPr>
          <w:noProof/>
        </w:rPr>
        <w:t xml:space="preserve"> o</w:t>
      </w:r>
      <w:r w:rsidR="008B35E8">
        <w:rPr>
          <w:noProof/>
        </w:rPr>
        <w:t> </w:t>
      </w:r>
      <w:r w:rsidR="008B35E8" w:rsidRPr="002866E5">
        <w:rPr>
          <w:noProof/>
        </w:rPr>
        <w:t>kon</w:t>
      </w:r>
      <w:r w:rsidRPr="002866E5">
        <w:rPr>
          <w:noProof/>
        </w:rPr>
        <w:t>sumentów</w:t>
      </w:r>
      <w:r w:rsidR="008B35E8" w:rsidRPr="002866E5">
        <w:rPr>
          <w:noProof/>
        </w:rPr>
        <w:t xml:space="preserve"> </w:t>
      </w:r>
      <w:r w:rsidR="008B35E8" w:rsidRPr="002866E5">
        <w:rPr>
          <w:noProof/>
        </w:rPr>
        <w:lastRenderedPageBreak/>
        <w:t>i</w:t>
      </w:r>
      <w:r w:rsidR="008B35E8">
        <w:rPr>
          <w:noProof/>
        </w:rPr>
        <w:t> </w:t>
      </w:r>
      <w:r w:rsidR="008B35E8" w:rsidRPr="002866E5">
        <w:rPr>
          <w:noProof/>
        </w:rPr>
        <w:t>prz</w:t>
      </w:r>
      <w:r w:rsidRPr="002866E5">
        <w:rPr>
          <w:noProof/>
        </w:rPr>
        <w:t>edsiębiorstwa, wniosek będzie zwiększał zaufanie do produktów</w:t>
      </w:r>
      <w:r w:rsidR="008B35E8" w:rsidRPr="002866E5">
        <w:rPr>
          <w:noProof/>
        </w:rPr>
        <w:t xml:space="preserve"> z</w:t>
      </w:r>
      <w:r w:rsidR="008B35E8">
        <w:rPr>
          <w:noProof/>
        </w:rPr>
        <w:t> </w:t>
      </w:r>
      <w:r w:rsidR="008B35E8" w:rsidRPr="002866E5">
        <w:rPr>
          <w:noProof/>
        </w:rPr>
        <w:t>ele</w:t>
      </w:r>
      <w:r w:rsidRPr="002866E5">
        <w:rPr>
          <w:noProof/>
        </w:rPr>
        <w:t xml:space="preserve">mentami cyfrowymi. </w:t>
      </w:r>
    </w:p>
    <w:p w14:paraId="67ED8696" w14:textId="77777777" w:rsidR="0037165D" w:rsidRPr="002866E5" w:rsidRDefault="0037165D" w:rsidP="00881943">
      <w:pPr>
        <w:pStyle w:val="ManualHeading2"/>
        <w:rPr>
          <w:rFonts w:eastAsia="Arial Unicode MS"/>
          <w:noProof/>
          <w:u w:color="000000"/>
          <w:bdr w:val="nil"/>
        </w:rPr>
      </w:pPr>
      <w:r w:rsidRPr="002866E5">
        <w:rPr>
          <w:noProof/>
          <w:u w:color="000000"/>
          <w:bdr w:val="nil"/>
        </w:rPr>
        <w:t>•</w:t>
      </w:r>
      <w:r w:rsidRPr="002866E5">
        <w:rPr>
          <w:noProof/>
        </w:rPr>
        <w:tab/>
      </w:r>
      <w:r w:rsidRPr="002866E5">
        <w:rPr>
          <w:noProof/>
          <w:u w:color="000000"/>
          <w:bdr w:val="nil"/>
        </w:rPr>
        <w:t>Prawa podstawowe</w:t>
      </w:r>
    </w:p>
    <w:p w14:paraId="67ED8697" w14:textId="7F531951" w:rsidR="0037165D" w:rsidRPr="002866E5" w:rsidRDefault="00D418C3" w:rsidP="005E6D4B">
      <w:pPr>
        <w:rPr>
          <w:rFonts w:eastAsia="Arial Unicode MS"/>
          <w:noProof/>
        </w:rPr>
      </w:pPr>
      <w:r w:rsidRPr="002866E5">
        <w:rPr>
          <w:noProof/>
        </w:rPr>
        <w:t>Oczekuje się, że wszystkie warianty strategiczne</w:t>
      </w:r>
      <w:r w:rsidR="008B35E8" w:rsidRPr="002866E5">
        <w:rPr>
          <w:noProof/>
        </w:rPr>
        <w:t xml:space="preserve"> w</w:t>
      </w:r>
      <w:r w:rsidR="008B35E8">
        <w:rPr>
          <w:noProof/>
        </w:rPr>
        <w:t> </w:t>
      </w:r>
      <w:r w:rsidR="008B35E8" w:rsidRPr="002866E5">
        <w:rPr>
          <w:noProof/>
        </w:rPr>
        <w:t>pew</w:t>
      </w:r>
      <w:r w:rsidRPr="002866E5">
        <w:rPr>
          <w:noProof/>
        </w:rPr>
        <w:t>nym stopniu poprawią ochronę podstawowych praw</w:t>
      </w:r>
      <w:r w:rsidR="008B35E8" w:rsidRPr="002866E5">
        <w:rPr>
          <w:noProof/>
        </w:rPr>
        <w:t xml:space="preserve"> i</w:t>
      </w:r>
      <w:r w:rsidR="008B35E8">
        <w:rPr>
          <w:noProof/>
        </w:rPr>
        <w:t> </w:t>
      </w:r>
      <w:r w:rsidR="008B35E8" w:rsidRPr="002866E5">
        <w:rPr>
          <w:noProof/>
        </w:rPr>
        <w:t>wol</w:t>
      </w:r>
      <w:r w:rsidRPr="002866E5">
        <w:rPr>
          <w:noProof/>
        </w:rPr>
        <w:t>ności, takich jak prywatność, ochrona danych osobowych, wolność prowadzenia działalności gospodarczej oraz ochrona własności lub godności</w:t>
      </w:r>
      <w:r w:rsidR="008B35E8" w:rsidRPr="002866E5">
        <w:rPr>
          <w:noProof/>
        </w:rPr>
        <w:t xml:space="preserve"> i</w:t>
      </w:r>
      <w:r w:rsidR="008B35E8">
        <w:rPr>
          <w:noProof/>
        </w:rPr>
        <w:t> </w:t>
      </w:r>
      <w:r w:rsidR="008B35E8" w:rsidRPr="002866E5">
        <w:rPr>
          <w:noProof/>
        </w:rPr>
        <w:t>int</w:t>
      </w:r>
      <w:r w:rsidRPr="002866E5">
        <w:rPr>
          <w:noProof/>
        </w:rPr>
        <w:t>egralności osoby</w:t>
      </w:r>
      <w:r w:rsidR="008B35E8" w:rsidRPr="002866E5">
        <w:rPr>
          <w:noProof/>
        </w:rPr>
        <w:t>. W</w:t>
      </w:r>
      <w:r w:rsidR="008B35E8">
        <w:rPr>
          <w:noProof/>
        </w:rPr>
        <w:t> </w:t>
      </w:r>
      <w:r w:rsidR="008B35E8" w:rsidRPr="002866E5">
        <w:rPr>
          <w:noProof/>
        </w:rPr>
        <w:t>szc</w:t>
      </w:r>
      <w:r w:rsidRPr="002866E5">
        <w:rPr>
          <w:noProof/>
        </w:rPr>
        <w:t>zególności preferowany wariant strategiczny 4, obejmujący horyzontalną interwencję regulacyjną</w:t>
      </w:r>
      <w:r w:rsidR="008B35E8" w:rsidRPr="002866E5">
        <w:rPr>
          <w:noProof/>
        </w:rPr>
        <w:t xml:space="preserve"> i</w:t>
      </w:r>
      <w:r w:rsidR="008B35E8">
        <w:rPr>
          <w:noProof/>
        </w:rPr>
        <w:t> </w:t>
      </w:r>
      <w:r w:rsidR="008B35E8" w:rsidRPr="002866E5">
        <w:rPr>
          <w:noProof/>
        </w:rPr>
        <w:t>sze</w:t>
      </w:r>
      <w:r w:rsidRPr="002866E5">
        <w:rPr>
          <w:noProof/>
        </w:rPr>
        <w:t>roki zakres polityki, byłby najskuteczniejszy</w:t>
      </w:r>
      <w:r w:rsidR="008B35E8" w:rsidRPr="002866E5">
        <w:rPr>
          <w:noProof/>
        </w:rPr>
        <w:t xml:space="preserve"> w</w:t>
      </w:r>
      <w:r w:rsidR="008B35E8">
        <w:rPr>
          <w:noProof/>
        </w:rPr>
        <w:t> </w:t>
      </w:r>
      <w:r w:rsidR="008B35E8" w:rsidRPr="002866E5">
        <w:rPr>
          <w:noProof/>
        </w:rPr>
        <w:t>tym</w:t>
      </w:r>
      <w:r w:rsidRPr="002866E5">
        <w:rPr>
          <w:noProof/>
        </w:rPr>
        <w:t xml:space="preserve"> względzie, ponieważ jest bardziej prawdopodobne, że przyczyni się do zmniejszenia liczby</w:t>
      </w:r>
      <w:r w:rsidR="008B35E8" w:rsidRPr="002866E5">
        <w:rPr>
          <w:noProof/>
        </w:rPr>
        <w:t xml:space="preserve"> i</w:t>
      </w:r>
      <w:r w:rsidR="008B35E8">
        <w:rPr>
          <w:noProof/>
        </w:rPr>
        <w:t> </w:t>
      </w:r>
      <w:r w:rsidR="008B35E8" w:rsidRPr="002866E5">
        <w:rPr>
          <w:noProof/>
        </w:rPr>
        <w:t>dot</w:t>
      </w:r>
      <w:r w:rsidRPr="002866E5">
        <w:rPr>
          <w:noProof/>
        </w:rPr>
        <w:t>kliwości incydentów,</w:t>
      </w:r>
      <w:r w:rsidR="008B35E8" w:rsidRPr="002866E5">
        <w:rPr>
          <w:noProof/>
        </w:rPr>
        <w:t xml:space="preserve"> w</w:t>
      </w:r>
      <w:r w:rsidR="008B35E8">
        <w:rPr>
          <w:noProof/>
        </w:rPr>
        <w:t> </w:t>
      </w:r>
      <w:r w:rsidR="008B35E8" w:rsidRPr="002866E5">
        <w:rPr>
          <w:noProof/>
        </w:rPr>
        <w:t>tym</w:t>
      </w:r>
      <w:r w:rsidRPr="002866E5">
        <w:rPr>
          <w:noProof/>
        </w:rPr>
        <w:t xml:space="preserve"> naruszeń ochrony danych osobowych. Wariant ten może również zwiększyć pewność prawa</w:t>
      </w:r>
      <w:r w:rsidR="008B35E8" w:rsidRPr="002866E5">
        <w:rPr>
          <w:noProof/>
        </w:rPr>
        <w:t xml:space="preserve"> i</w:t>
      </w:r>
      <w:r w:rsidR="008B35E8">
        <w:rPr>
          <w:noProof/>
        </w:rPr>
        <w:t> </w:t>
      </w:r>
      <w:r w:rsidR="008B35E8" w:rsidRPr="002866E5">
        <w:rPr>
          <w:noProof/>
        </w:rPr>
        <w:t>zap</w:t>
      </w:r>
      <w:r w:rsidRPr="002866E5">
        <w:rPr>
          <w:noProof/>
        </w:rPr>
        <w:t>ewnić równe warunki działania podmiotom gospodarczym,</w:t>
      </w:r>
      <w:r w:rsidR="008B35E8" w:rsidRPr="002866E5">
        <w:rPr>
          <w:noProof/>
        </w:rPr>
        <w:t xml:space="preserve"> a</w:t>
      </w:r>
      <w:r w:rsidR="008B35E8">
        <w:rPr>
          <w:noProof/>
        </w:rPr>
        <w:t> </w:t>
      </w:r>
      <w:r w:rsidR="008B35E8" w:rsidRPr="002866E5">
        <w:rPr>
          <w:noProof/>
        </w:rPr>
        <w:t>tak</w:t>
      </w:r>
      <w:r w:rsidRPr="002866E5">
        <w:rPr>
          <w:noProof/>
        </w:rPr>
        <w:t>że zwiększyć zaufanie użytkowników</w:t>
      </w:r>
      <w:r w:rsidR="008B35E8" w:rsidRPr="002866E5">
        <w:rPr>
          <w:noProof/>
        </w:rPr>
        <w:t xml:space="preserve"> i</w:t>
      </w:r>
      <w:r w:rsidR="008B35E8">
        <w:rPr>
          <w:noProof/>
        </w:rPr>
        <w:t> </w:t>
      </w:r>
      <w:r w:rsidR="008B35E8" w:rsidRPr="002866E5">
        <w:rPr>
          <w:noProof/>
        </w:rPr>
        <w:t>pop</w:t>
      </w:r>
      <w:r w:rsidRPr="002866E5">
        <w:rPr>
          <w:noProof/>
        </w:rPr>
        <w:t>rawić atrakcyjność unijnych produktów</w:t>
      </w:r>
      <w:r w:rsidR="008B35E8" w:rsidRPr="002866E5">
        <w:rPr>
          <w:noProof/>
        </w:rPr>
        <w:t xml:space="preserve"> z</w:t>
      </w:r>
      <w:r w:rsidR="008B35E8">
        <w:rPr>
          <w:noProof/>
        </w:rPr>
        <w:t> </w:t>
      </w:r>
      <w:r w:rsidR="008B35E8" w:rsidRPr="002866E5">
        <w:rPr>
          <w:noProof/>
        </w:rPr>
        <w:t>ele</w:t>
      </w:r>
      <w:r w:rsidRPr="002866E5">
        <w:rPr>
          <w:noProof/>
        </w:rPr>
        <w:t>mentami cyfrowymi ogółem, zapewniając tym samym ochronę własności</w:t>
      </w:r>
      <w:r w:rsidR="008B35E8" w:rsidRPr="002866E5">
        <w:rPr>
          <w:noProof/>
        </w:rPr>
        <w:t xml:space="preserve"> i</w:t>
      </w:r>
      <w:r w:rsidR="008B35E8">
        <w:rPr>
          <w:noProof/>
        </w:rPr>
        <w:t> </w:t>
      </w:r>
      <w:r w:rsidR="008B35E8" w:rsidRPr="002866E5">
        <w:rPr>
          <w:noProof/>
        </w:rPr>
        <w:t>pop</w:t>
      </w:r>
      <w:r w:rsidRPr="002866E5">
        <w:rPr>
          <w:noProof/>
        </w:rPr>
        <w:t>rawę warunków prowadzenia działalności gospodarczej przez podmioty gospodarcze.</w:t>
      </w:r>
    </w:p>
    <w:p w14:paraId="67ED8698" w14:textId="2301F01F" w:rsidR="00D418C3" w:rsidRPr="002866E5" w:rsidRDefault="00D418C3" w:rsidP="00881943">
      <w:pPr>
        <w:pBdr>
          <w:top w:val="nil"/>
          <w:left w:val="nil"/>
          <w:bottom w:val="nil"/>
          <w:right w:val="nil"/>
          <w:between w:val="nil"/>
          <w:bar w:val="nil"/>
        </w:pBdr>
        <w:spacing w:before="0" w:after="240"/>
        <w:rPr>
          <w:rFonts w:eastAsia="Calibri"/>
          <w:noProof/>
          <w:szCs w:val="24"/>
        </w:rPr>
      </w:pPr>
      <w:r w:rsidRPr="002866E5">
        <w:rPr>
          <w:noProof/>
        </w:rPr>
        <w:t>Horyzontalne wymogi cyberbezpieczeństwa poprawią bezpieczeństwo danych osobowych przez ochronę poufności, integralności</w:t>
      </w:r>
      <w:r w:rsidR="008B35E8" w:rsidRPr="002866E5">
        <w:rPr>
          <w:noProof/>
        </w:rPr>
        <w:t xml:space="preserve"> i</w:t>
      </w:r>
      <w:r w:rsidR="008B35E8">
        <w:rPr>
          <w:noProof/>
        </w:rPr>
        <w:t> </w:t>
      </w:r>
      <w:r w:rsidR="008B35E8" w:rsidRPr="002866E5">
        <w:rPr>
          <w:noProof/>
        </w:rPr>
        <w:t>dos</w:t>
      </w:r>
      <w:r w:rsidRPr="002866E5">
        <w:rPr>
          <w:noProof/>
        </w:rPr>
        <w:t>tępności informacji</w:t>
      </w:r>
      <w:r w:rsidR="008B35E8" w:rsidRPr="002866E5">
        <w:rPr>
          <w:noProof/>
        </w:rPr>
        <w:t xml:space="preserve"> w</w:t>
      </w:r>
      <w:r w:rsidR="008B35E8">
        <w:rPr>
          <w:noProof/>
        </w:rPr>
        <w:t> </w:t>
      </w:r>
      <w:r w:rsidR="008B35E8" w:rsidRPr="002866E5">
        <w:rPr>
          <w:noProof/>
        </w:rPr>
        <w:t>pro</w:t>
      </w:r>
      <w:r w:rsidRPr="002866E5">
        <w:rPr>
          <w:noProof/>
        </w:rPr>
        <w:t>duktach</w:t>
      </w:r>
      <w:r w:rsidR="008B35E8" w:rsidRPr="002866E5">
        <w:rPr>
          <w:noProof/>
        </w:rPr>
        <w:t xml:space="preserve"> z</w:t>
      </w:r>
      <w:r w:rsidR="008B35E8">
        <w:rPr>
          <w:noProof/>
        </w:rPr>
        <w:t> </w:t>
      </w:r>
      <w:r w:rsidR="008B35E8" w:rsidRPr="002866E5">
        <w:rPr>
          <w:noProof/>
        </w:rPr>
        <w:t>ele</w:t>
      </w:r>
      <w:r w:rsidRPr="002866E5">
        <w:rPr>
          <w:noProof/>
        </w:rPr>
        <w:t>mentami cyfrowymi. Zgodność</w:t>
      </w:r>
      <w:r w:rsidR="008B35E8" w:rsidRPr="002866E5">
        <w:rPr>
          <w:noProof/>
        </w:rPr>
        <w:t xml:space="preserve"> z</w:t>
      </w:r>
      <w:r w:rsidR="008B35E8">
        <w:rPr>
          <w:noProof/>
        </w:rPr>
        <w:t> </w:t>
      </w:r>
      <w:r w:rsidR="008B35E8" w:rsidRPr="002866E5">
        <w:rPr>
          <w:noProof/>
        </w:rPr>
        <w:t>tym</w:t>
      </w:r>
      <w:r w:rsidRPr="002866E5">
        <w:rPr>
          <w:noProof/>
        </w:rPr>
        <w:t>i wymogami ułatwi przestrzeganie wymogu</w:t>
      </w:r>
      <w:r w:rsidR="008B35E8" w:rsidRPr="002866E5">
        <w:rPr>
          <w:noProof/>
        </w:rPr>
        <w:t xml:space="preserve"> w</w:t>
      </w:r>
      <w:r w:rsidR="008B35E8">
        <w:rPr>
          <w:noProof/>
        </w:rPr>
        <w:t> </w:t>
      </w:r>
      <w:r w:rsidR="008B35E8" w:rsidRPr="002866E5">
        <w:rPr>
          <w:noProof/>
        </w:rPr>
        <w:t>zak</w:t>
      </w:r>
      <w:r w:rsidRPr="002866E5">
        <w:rPr>
          <w:noProof/>
        </w:rPr>
        <w:t>resie bezpieczeństwa przetwarzania danych osobowych wynikającego</w:t>
      </w:r>
      <w:r w:rsidR="008B35E8" w:rsidRPr="002866E5">
        <w:rPr>
          <w:noProof/>
        </w:rPr>
        <w:t xml:space="preserve"> z</w:t>
      </w:r>
      <w:r w:rsidR="008B35E8">
        <w:rPr>
          <w:noProof/>
        </w:rPr>
        <w:t> </w:t>
      </w:r>
      <w:r w:rsidR="008B35E8" w:rsidRPr="002866E5">
        <w:rPr>
          <w:noProof/>
        </w:rPr>
        <w:t>roz</w:t>
      </w:r>
      <w:r w:rsidRPr="002866E5">
        <w:rPr>
          <w:noProof/>
        </w:rPr>
        <w:t>porządzenia (UE) 2016/679 (ogólne rozporządzenie</w:t>
      </w:r>
      <w:r w:rsidR="008B35E8" w:rsidRPr="002866E5">
        <w:rPr>
          <w:noProof/>
        </w:rPr>
        <w:t xml:space="preserve"> o</w:t>
      </w:r>
      <w:r w:rsidR="008B35E8">
        <w:rPr>
          <w:noProof/>
        </w:rPr>
        <w:t> </w:t>
      </w:r>
      <w:r w:rsidR="008B35E8" w:rsidRPr="002866E5">
        <w:rPr>
          <w:noProof/>
        </w:rPr>
        <w:t>och</w:t>
      </w:r>
      <w:r w:rsidRPr="002866E5">
        <w:rPr>
          <w:noProof/>
        </w:rPr>
        <w:t>ronie danych, RODO)</w:t>
      </w:r>
      <w:r w:rsidRPr="002866E5">
        <w:rPr>
          <w:rStyle w:val="FootnoteReference"/>
          <w:noProof/>
        </w:rPr>
        <w:footnoteReference w:id="13"/>
      </w:r>
      <w:r w:rsidRPr="002866E5">
        <w:rPr>
          <w:noProof/>
        </w:rPr>
        <w:t>. Niniejszy wniosek zwiększy przejrzystość</w:t>
      </w:r>
      <w:r w:rsidR="008B35E8" w:rsidRPr="002866E5">
        <w:rPr>
          <w:noProof/>
        </w:rPr>
        <w:t xml:space="preserve"> i</w:t>
      </w:r>
      <w:r w:rsidR="008B35E8">
        <w:rPr>
          <w:noProof/>
        </w:rPr>
        <w:t> </w:t>
      </w:r>
      <w:r w:rsidR="008B35E8" w:rsidRPr="002866E5">
        <w:rPr>
          <w:noProof/>
        </w:rPr>
        <w:t>pop</w:t>
      </w:r>
      <w:r w:rsidRPr="002866E5">
        <w:rPr>
          <w:noProof/>
        </w:rPr>
        <w:t>rawi informowanie użytkowników,</w:t>
      </w:r>
      <w:r w:rsidR="008B35E8" w:rsidRPr="002866E5">
        <w:rPr>
          <w:noProof/>
        </w:rPr>
        <w:t xml:space="preserve"> w</w:t>
      </w:r>
      <w:r w:rsidR="008B35E8">
        <w:rPr>
          <w:noProof/>
        </w:rPr>
        <w:t> </w:t>
      </w:r>
      <w:r w:rsidR="008B35E8" w:rsidRPr="002866E5">
        <w:rPr>
          <w:noProof/>
        </w:rPr>
        <w:t>tym</w:t>
      </w:r>
      <w:r w:rsidRPr="002866E5">
        <w:rPr>
          <w:noProof/>
        </w:rPr>
        <w:t xml:space="preserve"> użytkowników</w:t>
      </w:r>
      <w:r w:rsidR="008B35E8" w:rsidRPr="002866E5">
        <w:rPr>
          <w:noProof/>
        </w:rPr>
        <w:t xml:space="preserve"> o</w:t>
      </w:r>
      <w:r w:rsidR="008B35E8">
        <w:rPr>
          <w:noProof/>
        </w:rPr>
        <w:t> </w:t>
      </w:r>
      <w:r w:rsidR="008B35E8" w:rsidRPr="002866E5">
        <w:rPr>
          <w:noProof/>
        </w:rPr>
        <w:t>pot</w:t>
      </w:r>
      <w:r w:rsidRPr="002866E5">
        <w:rPr>
          <w:noProof/>
        </w:rPr>
        <w:t>encjalnie mniejszych umiejętnościach</w:t>
      </w:r>
      <w:r w:rsidR="008B35E8" w:rsidRPr="002866E5">
        <w:rPr>
          <w:noProof/>
        </w:rPr>
        <w:t xml:space="preserve"> w</w:t>
      </w:r>
      <w:r w:rsidR="008B35E8">
        <w:rPr>
          <w:noProof/>
        </w:rPr>
        <w:t> </w:t>
      </w:r>
      <w:r w:rsidR="008B35E8" w:rsidRPr="002866E5">
        <w:rPr>
          <w:noProof/>
        </w:rPr>
        <w:t>dzi</w:t>
      </w:r>
      <w:r w:rsidRPr="002866E5">
        <w:rPr>
          <w:noProof/>
        </w:rPr>
        <w:t>edzinie cyberbezpieczeństwa. Użytkownicy będą również lepiej poinformowani</w:t>
      </w:r>
      <w:r w:rsidR="008B35E8" w:rsidRPr="002866E5">
        <w:rPr>
          <w:noProof/>
        </w:rPr>
        <w:t xml:space="preserve"> o</w:t>
      </w:r>
      <w:r w:rsidR="008B35E8">
        <w:rPr>
          <w:noProof/>
        </w:rPr>
        <w:t> </w:t>
      </w:r>
      <w:r w:rsidR="008B35E8" w:rsidRPr="002866E5">
        <w:rPr>
          <w:noProof/>
        </w:rPr>
        <w:t>zag</w:t>
      </w:r>
      <w:r w:rsidRPr="002866E5">
        <w:rPr>
          <w:noProof/>
        </w:rPr>
        <w:t>rożeniach, możliwościach</w:t>
      </w:r>
      <w:r w:rsidR="008B35E8" w:rsidRPr="002866E5">
        <w:rPr>
          <w:noProof/>
        </w:rPr>
        <w:t xml:space="preserve"> i</w:t>
      </w:r>
      <w:r w:rsidR="008B35E8">
        <w:rPr>
          <w:noProof/>
        </w:rPr>
        <w:t> </w:t>
      </w:r>
      <w:r w:rsidR="008B35E8" w:rsidRPr="002866E5">
        <w:rPr>
          <w:noProof/>
        </w:rPr>
        <w:t>ogr</w:t>
      </w:r>
      <w:r w:rsidRPr="002866E5">
        <w:rPr>
          <w:noProof/>
        </w:rPr>
        <w:t>aniczeniach związanych</w:t>
      </w:r>
      <w:r w:rsidR="008B35E8" w:rsidRPr="002866E5">
        <w:rPr>
          <w:noProof/>
        </w:rPr>
        <w:t xml:space="preserve"> z</w:t>
      </w:r>
      <w:r w:rsidR="008B35E8">
        <w:rPr>
          <w:noProof/>
        </w:rPr>
        <w:t> </w:t>
      </w:r>
      <w:r w:rsidR="008B35E8" w:rsidRPr="002866E5">
        <w:rPr>
          <w:noProof/>
        </w:rPr>
        <w:t>pro</w:t>
      </w:r>
      <w:r w:rsidRPr="002866E5">
        <w:rPr>
          <w:noProof/>
        </w:rPr>
        <w:t>duktami</w:t>
      </w:r>
      <w:r w:rsidR="008B35E8" w:rsidRPr="002866E5">
        <w:rPr>
          <w:noProof/>
        </w:rPr>
        <w:t xml:space="preserve"> z</w:t>
      </w:r>
      <w:r w:rsidR="008B35E8">
        <w:rPr>
          <w:noProof/>
        </w:rPr>
        <w:t> </w:t>
      </w:r>
      <w:r w:rsidR="008B35E8" w:rsidRPr="002866E5">
        <w:rPr>
          <w:noProof/>
        </w:rPr>
        <w:t>ele</w:t>
      </w:r>
      <w:r w:rsidRPr="002866E5">
        <w:rPr>
          <w:noProof/>
        </w:rPr>
        <w:t>mentami cyfrowymi, co sprawi, że będą lepiej przygotowani do wdrożenia niezbędnych środków zapobiegawczych</w:t>
      </w:r>
      <w:r w:rsidR="008B35E8" w:rsidRPr="002866E5">
        <w:rPr>
          <w:noProof/>
        </w:rPr>
        <w:t xml:space="preserve"> i</w:t>
      </w:r>
      <w:r w:rsidR="008B35E8">
        <w:rPr>
          <w:noProof/>
        </w:rPr>
        <w:t> </w:t>
      </w:r>
      <w:r w:rsidR="008B35E8" w:rsidRPr="002866E5">
        <w:rPr>
          <w:noProof/>
        </w:rPr>
        <w:t>łag</w:t>
      </w:r>
      <w:r w:rsidRPr="002866E5">
        <w:rPr>
          <w:noProof/>
        </w:rPr>
        <w:t>odzących</w:t>
      </w:r>
      <w:r w:rsidR="008B35E8" w:rsidRPr="002866E5">
        <w:rPr>
          <w:noProof/>
        </w:rPr>
        <w:t xml:space="preserve"> w</w:t>
      </w:r>
      <w:r w:rsidR="008B35E8">
        <w:rPr>
          <w:noProof/>
        </w:rPr>
        <w:t> </w:t>
      </w:r>
      <w:r w:rsidR="008B35E8" w:rsidRPr="002866E5">
        <w:rPr>
          <w:noProof/>
        </w:rPr>
        <w:t>cel</w:t>
      </w:r>
      <w:r w:rsidRPr="002866E5">
        <w:rPr>
          <w:noProof/>
        </w:rPr>
        <w:t>u ograniczenia ryzyka szczątkowego.</w:t>
      </w:r>
    </w:p>
    <w:p w14:paraId="67ED8699" w14:textId="77777777" w:rsidR="0037165D" w:rsidRPr="002866E5" w:rsidRDefault="0037165D" w:rsidP="00881943">
      <w:pPr>
        <w:pStyle w:val="ManualHeading1"/>
        <w:rPr>
          <w:noProof/>
        </w:rPr>
      </w:pPr>
      <w:r w:rsidRPr="002866E5">
        <w:rPr>
          <w:noProof/>
        </w:rPr>
        <w:t>4.</w:t>
      </w:r>
      <w:r w:rsidRPr="002866E5">
        <w:rPr>
          <w:noProof/>
        </w:rPr>
        <w:tab/>
        <w:t>WPŁYW NA BUDŻET</w:t>
      </w:r>
    </w:p>
    <w:p w14:paraId="67ED869A" w14:textId="30DC7E67" w:rsidR="0037165D" w:rsidRPr="002866E5" w:rsidRDefault="0011199D" w:rsidP="005E6D4B">
      <w:pPr>
        <w:rPr>
          <w:noProof/>
          <w:szCs w:val="24"/>
        </w:rPr>
      </w:pPr>
      <w:r w:rsidRPr="002866E5">
        <w:rPr>
          <w:noProof/>
        </w:rPr>
        <w:t>Aby zrealizować zadania przydzielone Agencji Unii Europejskiej ds. Cyberbezpieczeństwa (ENISA) na mocy niniejszego rozporządzenia, ENISA będzie musiała ponownie przydzielić zasoby ludzkie odpowiadające około 4,5 EPC. Komisja będzie musiała przydzielić zasoby odpowiadające 7 EPC, aby wywiązać się ze swoich obowiązków związanych</w:t>
      </w:r>
      <w:r w:rsidR="008B35E8" w:rsidRPr="002866E5">
        <w:rPr>
          <w:noProof/>
        </w:rPr>
        <w:t xml:space="preserve"> z</w:t>
      </w:r>
      <w:r w:rsidR="008B35E8">
        <w:rPr>
          <w:noProof/>
        </w:rPr>
        <w:t> </w:t>
      </w:r>
      <w:r w:rsidR="008B35E8" w:rsidRPr="002866E5">
        <w:rPr>
          <w:noProof/>
        </w:rPr>
        <w:t>egz</w:t>
      </w:r>
      <w:r w:rsidRPr="002866E5">
        <w:rPr>
          <w:noProof/>
        </w:rPr>
        <w:t>ekwowaniem przepisów wynikających</w:t>
      </w:r>
      <w:r w:rsidR="008B35E8" w:rsidRPr="002866E5">
        <w:rPr>
          <w:noProof/>
        </w:rPr>
        <w:t xml:space="preserve"> z</w:t>
      </w:r>
      <w:r w:rsidR="008B35E8">
        <w:rPr>
          <w:noProof/>
        </w:rPr>
        <w:t> </w:t>
      </w:r>
      <w:r w:rsidR="008B35E8" w:rsidRPr="002866E5">
        <w:rPr>
          <w:noProof/>
        </w:rPr>
        <w:t>nin</w:t>
      </w:r>
      <w:r w:rsidRPr="002866E5">
        <w:rPr>
          <w:noProof/>
        </w:rPr>
        <w:t xml:space="preserve">iejszego rozporządzenia. </w:t>
      </w:r>
    </w:p>
    <w:p w14:paraId="67ED869B" w14:textId="164BDE7D" w:rsidR="006C7631" w:rsidRPr="002866E5" w:rsidRDefault="006C7631" w:rsidP="00881943">
      <w:pPr>
        <w:pBdr>
          <w:top w:val="nil"/>
          <w:left w:val="nil"/>
          <w:bottom w:val="nil"/>
          <w:right w:val="nil"/>
          <w:between w:val="nil"/>
          <w:bar w:val="nil"/>
        </w:pBdr>
        <w:spacing w:before="0" w:after="240"/>
        <w:rPr>
          <w:rFonts w:eastAsia="Arial Unicode MS"/>
          <w:noProof/>
        </w:rPr>
      </w:pPr>
      <w:r w:rsidRPr="002866E5">
        <w:rPr>
          <w:i/>
          <w:noProof/>
        </w:rPr>
        <w:t>Szczegółowy przegląd odnośnych kosztów znajduje się</w:t>
      </w:r>
      <w:r w:rsidR="008B35E8" w:rsidRPr="002866E5">
        <w:rPr>
          <w:i/>
          <w:noProof/>
        </w:rPr>
        <w:t xml:space="preserve"> w</w:t>
      </w:r>
      <w:r w:rsidR="008B35E8">
        <w:rPr>
          <w:i/>
          <w:noProof/>
        </w:rPr>
        <w:t> </w:t>
      </w:r>
      <w:r w:rsidR="008B35E8" w:rsidRPr="002866E5">
        <w:rPr>
          <w:i/>
          <w:noProof/>
        </w:rPr>
        <w:t>oce</w:t>
      </w:r>
      <w:r w:rsidRPr="002866E5">
        <w:rPr>
          <w:i/>
          <w:noProof/>
        </w:rPr>
        <w:t xml:space="preserve">nie skutków finansowych regulacji dołączonej do niniejszego wniosku. </w:t>
      </w:r>
    </w:p>
    <w:p w14:paraId="67ED869C" w14:textId="77777777" w:rsidR="0037165D" w:rsidRPr="002866E5" w:rsidRDefault="0037165D" w:rsidP="00881943">
      <w:pPr>
        <w:pStyle w:val="ManualHeading1"/>
        <w:rPr>
          <w:noProof/>
        </w:rPr>
      </w:pPr>
      <w:r w:rsidRPr="002866E5">
        <w:rPr>
          <w:noProof/>
        </w:rPr>
        <w:t>5.</w:t>
      </w:r>
      <w:r w:rsidRPr="002866E5">
        <w:rPr>
          <w:noProof/>
        </w:rPr>
        <w:tab/>
        <w:t>ELEMENTY FAKULTATYWNE</w:t>
      </w:r>
    </w:p>
    <w:p w14:paraId="67ED869D" w14:textId="5A613FEE" w:rsidR="0037165D" w:rsidRPr="002866E5" w:rsidRDefault="0037165D" w:rsidP="00881943">
      <w:pPr>
        <w:pStyle w:val="ManualHeading2"/>
        <w:rPr>
          <w:rFonts w:eastAsia="Arial Unicode MS"/>
          <w:noProof/>
          <w:u w:color="000000"/>
          <w:bdr w:val="nil"/>
        </w:rPr>
      </w:pPr>
      <w:r w:rsidRPr="002866E5">
        <w:rPr>
          <w:noProof/>
          <w:u w:color="000000"/>
          <w:bdr w:val="nil"/>
        </w:rPr>
        <w:t>•</w:t>
      </w:r>
      <w:r w:rsidRPr="002866E5">
        <w:rPr>
          <w:noProof/>
        </w:rPr>
        <w:tab/>
      </w:r>
      <w:r w:rsidRPr="002866E5">
        <w:rPr>
          <w:noProof/>
          <w:u w:color="000000"/>
          <w:bdr w:val="nil"/>
        </w:rPr>
        <w:t>Plany wdrożenia</w:t>
      </w:r>
      <w:r w:rsidR="008B35E8" w:rsidRPr="002866E5">
        <w:rPr>
          <w:noProof/>
          <w:u w:color="000000"/>
          <w:bdr w:val="nil"/>
        </w:rPr>
        <w:t xml:space="preserve"> i</w:t>
      </w:r>
      <w:r w:rsidR="008B35E8">
        <w:rPr>
          <w:noProof/>
          <w:u w:color="000000"/>
          <w:bdr w:val="nil"/>
        </w:rPr>
        <w:t> </w:t>
      </w:r>
      <w:r w:rsidR="008B35E8" w:rsidRPr="002866E5">
        <w:rPr>
          <w:noProof/>
          <w:u w:color="000000"/>
          <w:bdr w:val="nil"/>
        </w:rPr>
        <w:t>mon</w:t>
      </w:r>
      <w:r w:rsidRPr="002866E5">
        <w:rPr>
          <w:noProof/>
          <w:u w:color="000000"/>
          <w:bdr w:val="nil"/>
        </w:rPr>
        <w:t>itorowanie, ocena</w:t>
      </w:r>
      <w:r w:rsidR="008B35E8" w:rsidRPr="002866E5">
        <w:rPr>
          <w:noProof/>
          <w:u w:color="000000"/>
          <w:bdr w:val="nil"/>
        </w:rPr>
        <w:t xml:space="preserve"> i</w:t>
      </w:r>
      <w:r w:rsidR="008B35E8">
        <w:rPr>
          <w:noProof/>
          <w:u w:color="000000"/>
          <w:bdr w:val="nil"/>
        </w:rPr>
        <w:t> </w:t>
      </w:r>
      <w:r w:rsidR="008B35E8" w:rsidRPr="002866E5">
        <w:rPr>
          <w:noProof/>
          <w:u w:color="000000"/>
          <w:bdr w:val="nil"/>
        </w:rPr>
        <w:t>spr</w:t>
      </w:r>
      <w:r w:rsidRPr="002866E5">
        <w:rPr>
          <w:noProof/>
          <w:u w:color="000000"/>
          <w:bdr w:val="nil"/>
        </w:rPr>
        <w:t>awozdania</w:t>
      </w:r>
    </w:p>
    <w:p w14:paraId="67ED869E" w14:textId="07EC6CF1" w:rsidR="00623677" w:rsidRPr="002866E5" w:rsidRDefault="005F65A0" w:rsidP="00754710">
      <w:pPr>
        <w:rPr>
          <w:noProof/>
        </w:rPr>
      </w:pPr>
      <w:r w:rsidRPr="002866E5">
        <w:rPr>
          <w:noProof/>
        </w:rPr>
        <w:t>Komisja będzie monitorować wdrażanie</w:t>
      </w:r>
      <w:r w:rsidR="008B35E8" w:rsidRPr="002866E5">
        <w:rPr>
          <w:noProof/>
        </w:rPr>
        <w:t xml:space="preserve"> i</w:t>
      </w:r>
      <w:r w:rsidR="008B35E8">
        <w:rPr>
          <w:noProof/>
        </w:rPr>
        <w:t> </w:t>
      </w:r>
      <w:r w:rsidR="008B35E8" w:rsidRPr="002866E5">
        <w:rPr>
          <w:noProof/>
        </w:rPr>
        <w:t>sto</w:t>
      </w:r>
      <w:r w:rsidRPr="002866E5">
        <w:rPr>
          <w:noProof/>
        </w:rPr>
        <w:t>sowanie tych nowych przepisów oraz zgodność</w:t>
      </w:r>
      <w:r w:rsidR="008B35E8" w:rsidRPr="002866E5">
        <w:rPr>
          <w:noProof/>
        </w:rPr>
        <w:t xml:space="preserve"> z</w:t>
      </w:r>
      <w:r w:rsidR="008B35E8">
        <w:rPr>
          <w:noProof/>
        </w:rPr>
        <w:t> </w:t>
      </w:r>
      <w:r w:rsidR="008B35E8" w:rsidRPr="002866E5">
        <w:rPr>
          <w:noProof/>
        </w:rPr>
        <w:t>nim</w:t>
      </w:r>
      <w:r w:rsidRPr="002866E5">
        <w:rPr>
          <w:noProof/>
        </w:rPr>
        <w:t>i</w:t>
      </w:r>
      <w:r w:rsidR="008B35E8" w:rsidRPr="002866E5">
        <w:rPr>
          <w:noProof/>
        </w:rPr>
        <w:t xml:space="preserve"> w</w:t>
      </w:r>
      <w:r w:rsidR="008B35E8">
        <w:rPr>
          <w:noProof/>
        </w:rPr>
        <w:t> </w:t>
      </w:r>
      <w:r w:rsidR="008B35E8" w:rsidRPr="002866E5">
        <w:rPr>
          <w:noProof/>
        </w:rPr>
        <w:t>cel</w:t>
      </w:r>
      <w:r w:rsidRPr="002866E5">
        <w:rPr>
          <w:noProof/>
        </w:rPr>
        <w:t>u oceny ich skuteczności</w:t>
      </w:r>
      <w:r w:rsidR="008B35E8" w:rsidRPr="002866E5">
        <w:rPr>
          <w:noProof/>
        </w:rPr>
        <w:t>. W</w:t>
      </w:r>
      <w:r w:rsidR="008B35E8">
        <w:rPr>
          <w:noProof/>
        </w:rPr>
        <w:t> </w:t>
      </w:r>
      <w:r w:rsidR="008B35E8" w:rsidRPr="002866E5">
        <w:rPr>
          <w:noProof/>
        </w:rPr>
        <w:t>roz</w:t>
      </w:r>
      <w:r w:rsidRPr="002866E5">
        <w:rPr>
          <w:noProof/>
        </w:rPr>
        <w:t>porządzeniu Komisja zostanie wezwana do dokonania oceny</w:t>
      </w:r>
      <w:r w:rsidR="008B35E8" w:rsidRPr="002866E5">
        <w:rPr>
          <w:noProof/>
        </w:rPr>
        <w:t xml:space="preserve"> i</w:t>
      </w:r>
      <w:r w:rsidR="008B35E8">
        <w:rPr>
          <w:noProof/>
        </w:rPr>
        <w:t> </w:t>
      </w:r>
      <w:r w:rsidR="008B35E8" w:rsidRPr="002866E5">
        <w:rPr>
          <w:noProof/>
        </w:rPr>
        <w:t>prz</w:t>
      </w:r>
      <w:r w:rsidRPr="002866E5">
        <w:rPr>
          <w:noProof/>
        </w:rPr>
        <w:t>eglądu oraz przedłożenia publicznego sprawozdania</w:t>
      </w:r>
      <w:r w:rsidR="008B35E8" w:rsidRPr="002866E5">
        <w:rPr>
          <w:noProof/>
        </w:rPr>
        <w:t xml:space="preserve"> w</w:t>
      </w:r>
      <w:r w:rsidR="008B35E8">
        <w:rPr>
          <w:noProof/>
        </w:rPr>
        <w:t> </w:t>
      </w:r>
      <w:r w:rsidR="008B35E8" w:rsidRPr="002866E5">
        <w:rPr>
          <w:noProof/>
        </w:rPr>
        <w:t>tym</w:t>
      </w:r>
      <w:r w:rsidRPr="002866E5">
        <w:rPr>
          <w:noProof/>
        </w:rPr>
        <w:t xml:space="preserve"> zakresie </w:t>
      </w:r>
      <w:r w:rsidRPr="002866E5">
        <w:rPr>
          <w:noProof/>
        </w:rPr>
        <w:lastRenderedPageBreak/>
        <w:t>Parlamentowi Europejskiemu</w:t>
      </w:r>
      <w:r w:rsidR="008B35E8" w:rsidRPr="002866E5">
        <w:rPr>
          <w:noProof/>
        </w:rPr>
        <w:t xml:space="preserve"> i</w:t>
      </w:r>
      <w:r w:rsidR="008B35E8">
        <w:rPr>
          <w:noProof/>
        </w:rPr>
        <w:t> </w:t>
      </w:r>
      <w:r w:rsidR="008B35E8" w:rsidRPr="002866E5">
        <w:rPr>
          <w:noProof/>
        </w:rPr>
        <w:t>Rad</w:t>
      </w:r>
      <w:r w:rsidRPr="002866E5">
        <w:rPr>
          <w:noProof/>
        </w:rPr>
        <w:t>zie przed upływem 36 miesięcy od daty rozpoczęcia stosowania,</w:t>
      </w:r>
      <w:r w:rsidR="008B35E8" w:rsidRPr="002866E5">
        <w:rPr>
          <w:noProof/>
        </w:rPr>
        <w:t xml:space="preserve"> a</w:t>
      </w:r>
      <w:r w:rsidR="008B35E8">
        <w:rPr>
          <w:noProof/>
        </w:rPr>
        <w:t> </w:t>
      </w:r>
      <w:r w:rsidR="008B35E8" w:rsidRPr="002866E5">
        <w:rPr>
          <w:noProof/>
        </w:rPr>
        <w:t>nas</w:t>
      </w:r>
      <w:r w:rsidRPr="002866E5">
        <w:rPr>
          <w:noProof/>
        </w:rPr>
        <w:t xml:space="preserve">tępnie co cztery lata. </w:t>
      </w:r>
    </w:p>
    <w:p w14:paraId="67ED869F" w14:textId="77777777" w:rsidR="00623677" w:rsidRPr="002866E5" w:rsidRDefault="00623677" w:rsidP="00754710">
      <w:pPr>
        <w:pStyle w:val="Text1"/>
        <w:rPr>
          <w:noProof/>
        </w:rPr>
      </w:pPr>
    </w:p>
    <w:p w14:paraId="67ED86A0" w14:textId="77777777" w:rsidR="0037165D" w:rsidRPr="002866E5" w:rsidRDefault="0037165D" w:rsidP="00881943">
      <w:pPr>
        <w:pStyle w:val="ManualHeading2"/>
        <w:rPr>
          <w:rFonts w:eastAsia="Arial Unicode MS"/>
          <w:noProof/>
          <w:u w:color="000000"/>
          <w:bdr w:val="nil"/>
        </w:rPr>
      </w:pPr>
      <w:r w:rsidRPr="002866E5">
        <w:rPr>
          <w:noProof/>
          <w:u w:color="000000"/>
          <w:bdr w:val="nil"/>
        </w:rPr>
        <w:t>•</w:t>
      </w:r>
      <w:r w:rsidRPr="002866E5">
        <w:rPr>
          <w:noProof/>
        </w:rPr>
        <w:tab/>
      </w:r>
      <w:r w:rsidRPr="002866E5">
        <w:rPr>
          <w:noProof/>
          <w:u w:color="000000"/>
          <w:bdr w:val="nil"/>
        </w:rPr>
        <w:t>Szczegółowe objaśnienia poszczególnych przepisów wniosku</w:t>
      </w:r>
    </w:p>
    <w:p w14:paraId="67ED86A1" w14:textId="77777777" w:rsidR="00623677" w:rsidRPr="002866E5" w:rsidRDefault="00B04BE8" w:rsidP="00754710">
      <w:pPr>
        <w:pStyle w:val="Text1"/>
        <w:ind w:left="0"/>
        <w:rPr>
          <w:noProof/>
          <w:u w:val="single"/>
        </w:rPr>
      </w:pPr>
      <w:r w:rsidRPr="002866E5">
        <w:rPr>
          <w:noProof/>
          <w:u w:val="single"/>
        </w:rPr>
        <w:t>Przepisy ogólne (rozdział I)</w:t>
      </w:r>
    </w:p>
    <w:p w14:paraId="67ED86A2" w14:textId="674C40D9" w:rsidR="003D0741" w:rsidRPr="002866E5" w:rsidRDefault="003D0741" w:rsidP="00F52FD9">
      <w:pPr>
        <w:rPr>
          <w:noProof/>
        </w:rPr>
      </w:pPr>
      <w:r w:rsidRPr="002866E5">
        <w:rPr>
          <w:noProof/>
        </w:rPr>
        <w:t>Rozporządzeniem, którego dotyczy niniejszy wniosek, ustanawia się: a) przepisy dotyczące wprowadzania do obrotu produktów</w:t>
      </w:r>
      <w:r w:rsidR="008B35E8" w:rsidRPr="002866E5">
        <w:rPr>
          <w:noProof/>
        </w:rPr>
        <w:t xml:space="preserve"> z</w:t>
      </w:r>
      <w:r w:rsidR="008B35E8">
        <w:rPr>
          <w:noProof/>
        </w:rPr>
        <w:t> </w:t>
      </w:r>
      <w:r w:rsidR="008B35E8" w:rsidRPr="002866E5">
        <w:rPr>
          <w:noProof/>
        </w:rPr>
        <w:t>ele</w:t>
      </w:r>
      <w:r w:rsidRPr="002866E5">
        <w:rPr>
          <w:noProof/>
        </w:rPr>
        <w:t>mentami cyfrowymi</w:t>
      </w:r>
      <w:r w:rsidR="008B35E8" w:rsidRPr="002866E5">
        <w:rPr>
          <w:noProof/>
        </w:rPr>
        <w:t xml:space="preserve"> w</w:t>
      </w:r>
      <w:r w:rsidR="008B35E8">
        <w:rPr>
          <w:noProof/>
        </w:rPr>
        <w:t> </w:t>
      </w:r>
      <w:r w:rsidR="008B35E8" w:rsidRPr="002866E5">
        <w:rPr>
          <w:noProof/>
        </w:rPr>
        <w:t>cel</w:t>
      </w:r>
      <w:r w:rsidRPr="002866E5">
        <w:rPr>
          <w:noProof/>
        </w:rPr>
        <w:t>u zapewnienia cyberbezpieczeństwa takich produktów; b) zasadnicze wymogi dotyczące projektowania, opracowywania</w:t>
      </w:r>
      <w:r w:rsidR="008B35E8" w:rsidRPr="002866E5">
        <w:rPr>
          <w:noProof/>
        </w:rPr>
        <w:t xml:space="preserve"> i</w:t>
      </w:r>
      <w:r w:rsidR="008B35E8">
        <w:rPr>
          <w:noProof/>
        </w:rPr>
        <w:t> </w:t>
      </w:r>
      <w:r w:rsidR="008B35E8" w:rsidRPr="002866E5">
        <w:rPr>
          <w:noProof/>
        </w:rPr>
        <w:t>pro</w:t>
      </w:r>
      <w:r w:rsidRPr="002866E5">
        <w:rPr>
          <w:noProof/>
        </w:rPr>
        <w:t>dukcji produktów</w:t>
      </w:r>
      <w:r w:rsidR="008B35E8" w:rsidRPr="002866E5">
        <w:rPr>
          <w:noProof/>
        </w:rPr>
        <w:t xml:space="preserve"> z</w:t>
      </w:r>
      <w:r w:rsidR="008B35E8">
        <w:rPr>
          <w:noProof/>
        </w:rPr>
        <w:t> </w:t>
      </w:r>
      <w:r w:rsidR="008B35E8" w:rsidRPr="002866E5">
        <w:rPr>
          <w:noProof/>
        </w:rPr>
        <w:t>ele</w:t>
      </w:r>
      <w:r w:rsidRPr="002866E5">
        <w:rPr>
          <w:noProof/>
        </w:rPr>
        <w:t>mentami cyfrowymi oraz obowiązki podmiotów gospodarczych</w:t>
      </w:r>
      <w:r w:rsidR="008B35E8" w:rsidRPr="002866E5">
        <w:rPr>
          <w:noProof/>
        </w:rPr>
        <w:t xml:space="preserve"> w</w:t>
      </w:r>
      <w:r w:rsidR="008B35E8">
        <w:rPr>
          <w:noProof/>
        </w:rPr>
        <w:t> </w:t>
      </w:r>
      <w:r w:rsidR="008B35E8" w:rsidRPr="002866E5">
        <w:rPr>
          <w:noProof/>
        </w:rPr>
        <w:t>odn</w:t>
      </w:r>
      <w:r w:rsidRPr="002866E5">
        <w:rPr>
          <w:noProof/>
        </w:rPr>
        <w:t>iesieniu do tych produktów</w:t>
      </w:r>
      <w:r w:rsidR="008B35E8" w:rsidRPr="002866E5">
        <w:rPr>
          <w:noProof/>
        </w:rPr>
        <w:t xml:space="preserve"> w</w:t>
      </w:r>
      <w:r w:rsidR="008B35E8">
        <w:rPr>
          <w:noProof/>
        </w:rPr>
        <w:t> </w:t>
      </w:r>
      <w:r w:rsidR="008B35E8" w:rsidRPr="002866E5">
        <w:rPr>
          <w:noProof/>
        </w:rPr>
        <w:t>zak</w:t>
      </w:r>
      <w:r w:rsidRPr="002866E5">
        <w:rPr>
          <w:noProof/>
        </w:rPr>
        <w:t>resie cyberbezpieczeństwa; c) zasadnicze wymogi dotyczące procedur postępowania</w:t>
      </w:r>
      <w:r w:rsidR="008B35E8" w:rsidRPr="002866E5">
        <w:rPr>
          <w:noProof/>
        </w:rPr>
        <w:t xml:space="preserve"> w</w:t>
      </w:r>
      <w:r w:rsidR="008B35E8">
        <w:rPr>
          <w:noProof/>
        </w:rPr>
        <w:t> </w:t>
      </w:r>
      <w:r w:rsidR="008B35E8" w:rsidRPr="002866E5">
        <w:rPr>
          <w:noProof/>
        </w:rPr>
        <w:t>prz</w:t>
      </w:r>
      <w:r w:rsidRPr="002866E5">
        <w:rPr>
          <w:noProof/>
        </w:rPr>
        <w:t>ypadku wykrycia podatności wprowadzonych przez producentów</w:t>
      </w:r>
      <w:r w:rsidR="008B35E8" w:rsidRPr="002866E5">
        <w:rPr>
          <w:noProof/>
        </w:rPr>
        <w:t xml:space="preserve"> w</w:t>
      </w:r>
      <w:r w:rsidR="008B35E8">
        <w:rPr>
          <w:noProof/>
        </w:rPr>
        <w:t> </w:t>
      </w:r>
      <w:r w:rsidR="008B35E8" w:rsidRPr="002866E5">
        <w:rPr>
          <w:noProof/>
        </w:rPr>
        <w:t>cel</w:t>
      </w:r>
      <w:r w:rsidRPr="002866E5">
        <w:rPr>
          <w:noProof/>
        </w:rPr>
        <w:t>u zapewnienia cyberbezpieczeństwa produktów</w:t>
      </w:r>
      <w:r w:rsidR="008B35E8" w:rsidRPr="002866E5">
        <w:rPr>
          <w:noProof/>
        </w:rPr>
        <w:t xml:space="preserve"> z</w:t>
      </w:r>
      <w:r w:rsidR="008B35E8">
        <w:rPr>
          <w:noProof/>
        </w:rPr>
        <w:t> </w:t>
      </w:r>
      <w:r w:rsidR="008B35E8" w:rsidRPr="002866E5">
        <w:rPr>
          <w:noProof/>
        </w:rPr>
        <w:t>ele</w:t>
      </w:r>
      <w:r w:rsidRPr="002866E5">
        <w:rPr>
          <w:noProof/>
        </w:rPr>
        <w:t>mentami cyfrowymi</w:t>
      </w:r>
      <w:r w:rsidR="008B35E8" w:rsidRPr="002866E5">
        <w:rPr>
          <w:noProof/>
        </w:rPr>
        <w:t xml:space="preserve"> w</w:t>
      </w:r>
      <w:r w:rsidR="008B35E8">
        <w:rPr>
          <w:noProof/>
        </w:rPr>
        <w:t> </w:t>
      </w:r>
      <w:r w:rsidR="008B35E8" w:rsidRPr="002866E5">
        <w:rPr>
          <w:noProof/>
        </w:rPr>
        <w:t>cał</w:t>
      </w:r>
      <w:r w:rsidRPr="002866E5">
        <w:rPr>
          <w:noProof/>
        </w:rPr>
        <w:t>ym cyklu życia oraz obowiązki podmiotów gospodarczych</w:t>
      </w:r>
      <w:r w:rsidR="008B35E8" w:rsidRPr="002866E5">
        <w:rPr>
          <w:noProof/>
        </w:rPr>
        <w:t xml:space="preserve"> w</w:t>
      </w:r>
      <w:r w:rsidR="008B35E8">
        <w:rPr>
          <w:noProof/>
        </w:rPr>
        <w:t> </w:t>
      </w:r>
      <w:r w:rsidR="008B35E8" w:rsidRPr="002866E5">
        <w:rPr>
          <w:noProof/>
        </w:rPr>
        <w:t>odn</w:t>
      </w:r>
      <w:r w:rsidRPr="002866E5">
        <w:rPr>
          <w:noProof/>
        </w:rPr>
        <w:t>iesieniu do tych procedur; d) przepisy dotyczące nadzoru rynku</w:t>
      </w:r>
      <w:r w:rsidR="008B35E8" w:rsidRPr="002866E5">
        <w:rPr>
          <w:noProof/>
        </w:rPr>
        <w:t xml:space="preserve"> i</w:t>
      </w:r>
      <w:r w:rsidR="008B35E8">
        <w:rPr>
          <w:noProof/>
        </w:rPr>
        <w:t> </w:t>
      </w:r>
      <w:r w:rsidR="008B35E8" w:rsidRPr="002866E5">
        <w:rPr>
          <w:noProof/>
        </w:rPr>
        <w:t>egz</w:t>
      </w:r>
      <w:r w:rsidRPr="002866E5">
        <w:rPr>
          <w:noProof/>
        </w:rPr>
        <w:t>ekwowania wyżej wymienionych przepisów</w:t>
      </w:r>
      <w:r w:rsidR="008B35E8" w:rsidRPr="002866E5">
        <w:rPr>
          <w:noProof/>
        </w:rPr>
        <w:t xml:space="preserve"> i</w:t>
      </w:r>
      <w:r w:rsidR="008B35E8">
        <w:rPr>
          <w:noProof/>
        </w:rPr>
        <w:t> </w:t>
      </w:r>
      <w:r w:rsidR="008B35E8" w:rsidRPr="002866E5">
        <w:rPr>
          <w:noProof/>
        </w:rPr>
        <w:t>wym</w:t>
      </w:r>
      <w:r w:rsidRPr="002866E5">
        <w:rPr>
          <w:noProof/>
        </w:rPr>
        <w:t>ogów.</w:t>
      </w:r>
    </w:p>
    <w:p w14:paraId="67ED86A3" w14:textId="38FAA7CE" w:rsidR="003D0741" w:rsidRPr="002866E5" w:rsidRDefault="003D0741" w:rsidP="00754710">
      <w:pPr>
        <w:rPr>
          <w:noProof/>
        </w:rPr>
      </w:pPr>
      <w:r w:rsidRPr="002866E5">
        <w:rPr>
          <w:noProof/>
        </w:rPr>
        <w:t>Proponowane rozporządzenie będzie miało zastosowanie do wszystkich produktów</w:t>
      </w:r>
      <w:r w:rsidR="008B35E8" w:rsidRPr="002866E5">
        <w:rPr>
          <w:noProof/>
        </w:rPr>
        <w:t xml:space="preserve"> z</w:t>
      </w:r>
      <w:r w:rsidR="008B35E8">
        <w:rPr>
          <w:noProof/>
        </w:rPr>
        <w:t> </w:t>
      </w:r>
      <w:r w:rsidR="008B35E8" w:rsidRPr="002866E5">
        <w:rPr>
          <w:noProof/>
        </w:rPr>
        <w:t>ele</w:t>
      </w:r>
      <w:r w:rsidRPr="002866E5">
        <w:rPr>
          <w:noProof/>
        </w:rPr>
        <w:t>mentami cyfrowymi, których przeznaczenie</w:t>
      </w:r>
      <w:r w:rsidR="008B35E8" w:rsidRPr="002866E5">
        <w:rPr>
          <w:noProof/>
        </w:rPr>
        <w:t xml:space="preserve"> i</w:t>
      </w:r>
      <w:r w:rsidR="008B35E8">
        <w:rPr>
          <w:noProof/>
        </w:rPr>
        <w:t> </w:t>
      </w:r>
      <w:r w:rsidR="008B35E8" w:rsidRPr="002866E5">
        <w:rPr>
          <w:noProof/>
        </w:rPr>
        <w:t>rac</w:t>
      </w:r>
      <w:r w:rsidRPr="002866E5">
        <w:rPr>
          <w:noProof/>
        </w:rPr>
        <w:t>jonalnie przewidywalne wykorzystanie obejmuje bezpośrednie lub pośrednie logiczne lub fizyczne połączenie danych</w:t>
      </w:r>
      <w:r w:rsidR="008B35E8" w:rsidRPr="002866E5">
        <w:rPr>
          <w:noProof/>
        </w:rPr>
        <w:t xml:space="preserve"> z</w:t>
      </w:r>
      <w:r w:rsidR="008B35E8">
        <w:rPr>
          <w:noProof/>
        </w:rPr>
        <w:t> </w:t>
      </w:r>
      <w:r w:rsidR="008B35E8" w:rsidRPr="002866E5">
        <w:rPr>
          <w:noProof/>
        </w:rPr>
        <w:t>urz</w:t>
      </w:r>
      <w:r w:rsidRPr="002866E5">
        <w:rPr>
          <w:noProof/>
        </w:rPr>
        <w:t xml:space="preserve">ądzeniem lub siecią. </w:t>
      </w:r>
    </w:p>
    <w:p w14:paraId="67ED86A4" w14:textId="58E0A2C6" w:rsidR="003D0741" w:rsidRPr="002866E5" w:rsidRDefault="003D0741" w:rsidP="003D0741">
      <w:pPr>
        <w:rPr>
          <w:noProof/>
        </w:rPr>
      </w:pPr>
      <w:r w:rsidRPr="002866E5">
        <w:rPr>
          <w:noProof/>
        </w:rPr>
        <w:t>Proponowane rozporządzenie nie będzie miało zastosowania do produktów</w:t>
      </w:r>
      <w:r w:rsidR="008B35E8" w:rsidRPr="002866E5">
        <w:rPr>
          <w:noProof/>
        </w:rPr>
        <w:t xml:space="preserve"> z</w:t>
      </w:r>
      <w:r w:rsidR="008B35E8">
        <w:rPr>
          <w:noProof/>
        </w:rPr>
        <w:t> </w:t>
      </w:r>
      <w:r w:rsidR="008B35E8" w:rsidRPr="002866E5">
        <w:rPr>
          <w:noProof/>
        </w:rPr>
        <w:t>ele</w:t>
      </w:r>
      <w:r w:rsidRPr="002866E5">
        <w:rPr>
          <w:noProof/>
        </w:rPr>
        <w:t>mentami cyfrowymi objętych zakresem rozporządzenia (UE) 2017/745 [tj. do wyrobów medycznych stosowanych</w:t>
      </w:r>
      <w:r w:rsidR="008B35E8" w:rsidRPr="002866E5">
        <w:rPr>
          <w:noProof/>
        </w:rPr>
        <w:t xml:space="preserve"> u</w:t>
      </w:r>
      <w:r w:rsidR="008B35E8">
        <w:rPr>
          <w:noProof/>
        </w:rPr>
        <w:t> </w:t>
      </w:r>
      <w:r w:rsidR="008B35E8" w:rsidRPr="002866E5">
        <w:rPr>
          <w:noProof/>
        </w:rPr>
        <w:t>lud</w:t>
      </w:r>
      <w:r w:rsidRPr="002866E5">
        <w:rPr>
          <w:noProof/>
        </w:rPr>
        <w:t xml:space="preserve">zi oraz wyposażenia takich wyrobów] oraz rozporządzenia (UE) 2017/746 [tj. do wyrobów medycznych do diagnostyki </w:t>
      </w:r>
      <w:r w:rsidRPr="002866E5">
        <w:rPr>
          <w:i/>
          <w:iCs/>
          <w:noProof/>
        </w:rPr>
        <w:t>in vitro</w:t>
      </w:r>
      <w:r w:rsidRPr="002866E5">
        <w:rPr>
          <w:noProof/>
        </w:rPr>
        <w:t xml:space="preserve"> stosowanych</w:t>
      </w:r>
      <w:r w:rsidR="008B35E8" w:rsidRPr="002866E5">
        <w:rPr>
          <w:noProof/>
        </w:rPr>
        <w:t xml:space="preserve"> u</w:t>
      </w:r>
      <w:r w:rsidR="008B35E8">
        <w:rPr>
          <w:noProof/>
        </w:rPr>
        <w:t> </w:t>
      </w:r>
      <w:r w:rsidR="008B35E8" w:rsidRPr="002866E5">
        <w:rPr>
          <w:noProof/>
        </w:rPr>
        <w:t>lud</w:t>
      </w:r>
      <w:r w:rsidRPr="002866E5">
        <w:rPr>
          <w:noProof/>
        </w:rPr>
        <w:t>zi oraz wyposażenia takich wyrobów], ponieważ oba te rozporządzenia zawierają wymogi dotyczące wyrobów,</w:t>
      </w:r>
      <w:r w:rsidR="008B35E8" w:rsidRPr="002866E5">
        <w:rPr>
          <w:noProof/>
        </w:rPr>
        <w:t xml:space="preserve"> w</w:t>
      </w:r>
      <w:r w:rsidR="008B35E8">
        <w:rPr>
          <w:noProof/>
        </w:rPr>
        <w:t> </w:t>
      </w:r>
      <w:r w:rsidR="008B35E8" w:rsidRPr="002866E5">
        <w:rPr>
          <w:noProof/>
        </w:rPr>
        <w:t>tym</w:t>
      </w:r>
      <w:r w:rsidRPr="002866E5">
        <w:rPr>
          <w:noProof/>
        </w:rPr>
        <w:t xml:space="preserve"> dotyczące oprogramowania</w:t>
      </w:r>
      <w:r w:rsidR="008B35E8" w:rsidRPr="002866E5">
        <w:rPr>
          <w:noProof/>
        </w:rPr>
        <w:t xml:space="preserve"> i</w:t>
      </w:r>
      <w:r w:rsidR="008B35E8">
        <w:rPr>
          <w:noProof/>
        </w:rPr>
        <w:t> </w:t>
      </w:r>
      <w:r w:rsidR="008B35E8" w:rsidRPr="002866E5">
        <w:rPr>
          <w:noProof/>
        </w:rPr>
        <w:t>ogó</w:t>
      </w:r>
      <w:r w:rsidRPr="002866E5">
        <w:rPr>
          <w:noProof/>
        </w:rPr>
        <w:t>lnych obowiązków producentów, obejmujące cały cykl życia produktów,</w:t>
      </w:r>
      <w:r w:rsidR="008B35E8" w:rsidRPr="002866E5">
        <w:rPr>
          <w:noProof/>
        </w:rPr>
        <w:t xml:space="preserve"> a</w:t>
      </w:r>
      <w:r w:rsidR="008B35E8">
        <w:rPr>
          <w:noProof/>
        </w:rPr>
        <w:t> </w:t>
      </w:r>
      <w:r w:rsidR="008B35E8" w:rsidRPr="002866E5">
        <w:rPr>
          <w:noProof/>
        </w:rPr>
        <w:t>tak</w:t>
      </w:r>
      <w:r w:rsidRPr="002866E5">
        <w:rPr>
          <w:noProof/>
        </w:rPr>
        <w:t>że procedury oceny zgodności. Niniejsze rozporządzenie nie będzie miało zastosowania do produktów</w:t>
      </w:r>
      <w:r w:rsidR="008B35E8" w:rsidRPr="002866E5">
        <w:rPr>
          <w:noProof/>
        </w:rPr>
        <w:t xml:space="preserve"> z</w:t>
      </w:r>
      <w:r w:rsidR="008B35E8">
        <w:rPr>
          <w:noProof/>
        </w:rPr>
        <w:t> </w:t>
      </w:r>
      <w:r w:rsidR="008B35E8" w:rsidRPr="002866E5">
        <w:rPr>
          <w:noProof/>
        </w:rPr>
        <w:t>ele</w:t>
      </w:r>
      <w:r w:rsidRPr="002866E5">
        <w:rPr>
          <w:noProof/>
        </w:rPr>
        <w:t>mentami cyfrowymi, które zostały certyfikowane zgodnie</w:t>
      </w:r>
      <w:r w:rsidR="008B35E8" w:rsidRPr="002866E5">
        <w:rPr>
          <w:noProof/>
        </w:rPr>
        <w:t xml:space="preserve"> z</w:t>
      </w:r>
      <w:r w:rsidR="008B35E8">
        <w:rPr>
          <w:noProof/>
        </w:rPr>
        <w:t> </w:t>
      </w:r>
      <w:r w:rsidR="008B35E8" w:rsidRPr="002866E5">
        <w:rPr>
          <w:noProof/>
        </w:rPr>
        <w:t>roz</w:t>
      </w:r>
      <w:r w:rsidRPr="002866E5">
        <w:rPr>
          <w:noProof/>
        </w:rPr>
        <w:t>porządzeniem (UE) 2018/1139 [w sprawie wysokiego jednolitego poziomu bezpieczeństwa lotnictwa cywilnego], ani do produktów, do których stosuje się rozporządzenie (UE) 2019/2144 [w sprawie wymogów dotyczących homologacji typu pojazdów silnikowych</w:t>
      </w:r>
      <w:r w:rsidR="008B35E8" w:rsidRPr="002866E5">
        <w:rPr>
          <w:noProof/>
        </w:rPr>
        <w:t xml:space="preserve"> i</w:t>
      </w:r>
      <w:r w:rsidR="008B35E8">
        <w:rPr>
          <w:noProof/>
        </w:rPr>
        <w:t> </w:t>
      </w:r>
      <w:r w:rsidR="008B35E8" w:rsidRPr="002866E5">
        <w:rPr>
          <w:noProof/>
        </w:rPr>
        <w:t>ich</w:t>
      </w:r>
      <w:r w:rsidRPr="002866E5">
        <w:rPr>
          <w:noProof/>
        </w:rPr>
        <w:t xml:space="preserve"> przyczep oraz układów, komponentów</w:t>
      </w:r>
      <w:r w:rsidR="008B35E8" w:rsidRPr="002866E5">
        <w:rPr>
          <w:noProof/>
        </w:rPr>
        <w:t xml:space="preserve"> i</w:t>
      </w:r>
      <w:r w:rsidR="008B35E8">
        <w:rPr>
          <w:noProof/>
        </w:rPr>
        <w:t> </w:t>
      </w:r>
      <w:r w:rsidR="008B35E8" w:rsidRPr="002866E5">
        <w:rPr>
          <w:noProof/>
        </w:rPr>
        <w:t>odd</w:t>
      </w:r>
      <w:r w:rsidRPr="002866E5">
        <w:rPr>
          <w:noProof/>
        </w:rPr>
        <w:t>zielnych zespołów technicznych przeznaczonych do tych pojazdów].</w:t>
      </w:r>
    </w:p>
    <w:p w14:paraId="67ED86A5" w14:textId="4A5BF36A" w:rsidR="001F1987" w:rsidRPr="002866E5" w:rsidRDefault="00441988" w:rsidP="0027065F">
      <w:pPr>
        <w:rPr>
          <w:noProof/>
        </w:rPr>
      </w:pPr>
      <w:r w:rsidRPr="002866E5">
        <w:rPr>
          <w:noProof/>
        </w:rPr>
        <w:t>Produkty krytyczne</w:t>
      </w:r>
      <w:r w:rsidR="008B35E8" w:rsidRPr="002866E5">
        <w:rPr>
          <w:noProof/>
        </w:rPr>
        <w:t xml:space="preserve"> z</w:t>
      </w:r>
      <w:r w:rsidR="008B35E8">
        <w:rPr>
          <w:noProof/>
        </w:rPr>
        <w:t> </w:t>
      </w:r>
      <w:r w:rsidR="008B35E8" w:rsidRPr="002866E5">
        <w:rPr>
          <w:noProof/>
        </w:rPr>
        <w:t>ele</w:t>
      </w:r>
      <w:r w:rsidRPr="002866E5">
        <w:rPr>
          <w:noProof/>
        </w:rPr>
        <w:t>mentami cyfrowymi podlegają szczególnym procedurom oceny zgodności i są podzielone na klasy I i II, jak określono</w:t>
      </w:r>
      <w:r w:rsidR="008B35E8" w:rsidRPr="002866E5">
        <w:rPr>
          <w:noProof/>
        </w:rPr>
        <w:t xml:space="preserve"> w</w:t>
      </w:r>
      <w:r w:rsidR="008B35E8">
        <w:rPr>
          <w:noProof/>
        </w:rPr>
        <w:t> </w:t>
      </w:r>
      <w:r w:rsidR="008B35E8" w:rsidRPr="002866E5">
        <w:rPr>
          <w:noProof/>
        </w:rPr>
        <w:t>zał</w:t>
      </w:r>
      <w:r w:rsidRPr="002866E5">
        <w:rPr>
          <w:noProof/>
        </w:rPr>
        <w:t>ączniku III, które odzwierciedlają ich poziom ryzyka</w:t>
      </w:r>
      <w:r w:rsidR="008B35E8" w:rsidRPr="002866E5">
        <w:rPr>
          <w:noProof/>
        </w:rPr>
        <w:t xml:space="preserve"> w</w:t>
      </w:r>
      <w:r w:rsidR="008B35E8">
        <w:rPr>
          <w:noProof/>
        </w:rPr>
        <w:t> </w:t>
      </w:r>
      <w:r w:rsidR="008B35E8" w:rsidRPr="002866E5">
        <w:rPr>
          <w:noProof/>
        </w:rPr>
        <w:t>cyb</w:t>
      </w:r>
      <w:r w:rsidRPr="002866E5">
        <w:rPr>
          <w:noProof/>
        </w:rPr>
        <w:t>erprzestrzeni, przy czym klasa II oznacza większe ryzyko. Produkt</w:t>
      </w:r>
      <w:r w:rsidR="008B35E8" w:rsidRPr="002866E5">
        <w:rPr>
          <w:noProof/>
        </w:rPr>
        <w:t xml:space="preserve"> z</w:t>
      </w:r>
      <w:r w:rsidR="008B35E8">
        <w:rPr>
          <w:noProof/>
        </w:rPr>
        <w:t> </w:t>
      </w:r>
      <w:r w:rsidR="008B35E8" w:rsidRPr="002866E5">
        <w:rPr>
          <w:noProof/>
        </w:rPr>
        <w:t>ele</w:t>
      </w:r>
      <w:r w:rsidRPr="002866E5">
        <w:rPr>
          <w:noProof/>
        </w:rPr>
        <w:t>mentami cyfrowymi uznaje się za krytyczny</w:t>
      </w:r>
      <w:r w:rsidR="008B35E8" w:rsidRPr="002866E5">
        <w:rPr>
          <w:noProof/>
        </w:rPr>
        <w:t xml:space="preserve"> i</w:t>
      </w:r>
      <w:r w:rsidR="008B35E8">
        <w:rPr>
          <w:noProof/>
        </w:rPr>
        <w:t> </w:t>
      </w:r>
      <w:r w:rsidR="008B35E8" w:rsidRPr="002866E5">
        <w:rPr>
          <w:noProof/>
        </w:rPr>
        <w:t>w</w:t>
      </w:r>
      <w:r w:rsidR="008B35E8">
        <w:rPr>
          <w:noProof/>
        </w:rPr>
        <w:t> </w:t>
      </w:r>
      <w:r w:rsidR="008B35E8" w:rsidRPr="002866E5">
        <w:rPr>
          <w:noProof/>
        </w:rPr>
        <w:t>zwi</w:t>
      </w:r>
      <w:r w:rsidRPr="002866E5">
        <w:rPr>
          <w:noProof/>
        </w:rPr>
        <w:t>ązku</w:t>
      </w:r>
      <w:r w:rsidR="008B35E8" w:rsidRPr="002866E5">
        <w:rPr>
          <w:noProof/>
        </w:rPr>
        <w:t xml:space="preserve"> z</w:t>
      </w:r>
      <w:r w:rsidR="008B35E8">
        <w:rPr>
          <w:noProof/>
        </w:rPr>
        <w:t> </w:t>
      </w:r>
      <w:r w:rsidR="008B35E8" w:rsidRPr="002866E5">
        <w:rPr>
          <w:noProof/>
        </w:rPr>
        <w:t>tym</w:t>
      </w:r>
      <w:r w:rsidRPr="002866E5">
        <w:rPr>
          <w:noProof/>
        </w:rPr>
        <w:t xml:space="preserve"> uwzględnia się go</w:t>
      </w:r>
      <w:r w:rsidR="008B35E8" w:rsidRPr="002866E5">
        <w:rPr>
          <w:noProof/>
        </w:rPr>
        <w:t xml:space="preserve"> w</w:t>
      </w:r>
      <w:r w:rsidR="008B35E8">
        <w:rPr>
          <w:noProof/>
        </w:rPr>
        <w:t> </w:t>
      </w:r>
      <w:r w:rsidR="008B35E8" w:rsidRPr="002866E5">
        <w:rPr>
          <w:noProof/>
        </w:rPr>
        <w:t>zał</w:t>
      </w:r>
      <w:r w:rsidRPr="002866E5">
        <w:rPr>
          <w:noProof/>
        </w:rPr>
        <w:t>ączniku III, biorąc pod uwagę wpływ potencjalnych podatności takiego produktu wpływających na cyberbezpieczeństwo. Przy określaniu ryzyka</w:t>
      </w:r>
      <w:r w:rsidR="008B35E8" w:rsidRPr="002866E5">
        <w:rPr>
          <w:noProof/>
        </w:rPr>
        <w:t xml:space="preserve"> w</w:t>
      </w:r>
      <w:r w:rsidR="008B35E8">
        <w:rPr>
          <w:noProof/>
        </w:rPr>
        <w:t> </w:t>
      </w:r>
      <w:r w:rsidR="008B35E8" w:rsidRPr="002866E5">
        <w:rPr>
          <w:noProof/>
        </w:rPr>
        <w:t>cyb</w:t>
      </w:r>
      <w:r w:rsidRPr="002866E5">
        <w:rPr>
          <w:noProof/>
        </w:rPr>
        <w:t>erprzestrzeni uwzględnia się związane</w:t>
      </w:r>
      <w:r w:rsidR="008B35E8" w:rsidRPr="002866E5">
        <w:rPr>
          <w:noProof/>
        </w:rPr>
        <w:t xml:space="preserve"> z</w:t>
      </w:r>
      <w:r w:rsidR="008B35E8">
        <w:rPr>
          <w:noProof/>
        </w:rPr>
        <w:t> </w:t>
      </w:r>
      <w:r w:rsidR="008B35E8" w:rsidRPr="002866E5">
        <w:rPr>
          <w:noProof/>
        </w:rPr>
        <w:t>cyb</w:t>
      </w:r>
      <w:r w:rsidRPr="002866E5">
        <w:rPr>
          <w:noProof/>
        </w:rPr>
        <w:t>erbezpieczeństwem funkcje produktu</w:t>
      </w:r>
      <w:r w:rsidR="008B35E8" w:rsidRPr="002866E5">
        <w:rPr>
          <w:noProof/>
        </w:rPr>
        <w:t xml:space="preserve"> z</w:t>
      </w:r>
      <w:r w:rsidR="008B35E8">
        <w:rPr>
          <w:noProof/>
        </w:rPr>
        <w:t> </w:t>
      </w:r>
      <w:r w:rsidR="008B35E8" w:rsidRPr="002866E5">
        <w:rPr>
          <w:noProof/>
        </w:rPr>
        <w:t>ele</w:t>
      </w:r>
      <w:r w:rsidRPr="002866E5">
        <w:rPr>
          <w:noProof/>
        </w:rPr>
        <w:t xml:space="preserve">mentami cyfrowymi oraz jego przeznaczenie we wrażliwych środowiskach, takich jak otoczenie przemysłowe. </w:t>
      </w:r>
    </w:p>
    <w:p w14:paraId="67ED86A6" w14:textId="10B08374" w:rsidR="001F1987" w:rsidRPr="002866E5" w:rsidRDefault="001F1987" w:rsidP="001F1987">
      <w:pPr>
        <w:rPr>
          <w:noProof/>
        </w:rPr>
      </w:pPr>
      <w:r w:rsidRPr="002866E5">
        <w:rPr>
          <w:noProof/>
        </w:rPr>
        <w:t>Komisja jest również uprawniona do przyjmowania aktów delegowanych</w:t>
      </w:r>
      <w:r w:rsidR="008B35E8" w:rsidRPr="002866E5">
        <w:rPr>
          <w:noProof/>
        </w:rPr>
        <w:t xml:space="preserve"> w</w:t>
      </w:r>
      <w:r w:rsidR="008B35E8">
        <w:rPr>
          <w:noProof/>
        </w:rPr>
        <w:t> </w:t>
      </w:r>
      <w:r w:rsidR="008B35E8" w:rsidRPr="002866E5">
        <w:rPr>
          <w:noProof/>
        </w:rPr>
        <w:t>cel</w:t>
      </w:r>
      <w:r w:rsidRPr="002866E5">
        <w:rPr>
          <w:noProof/>
        </w:rPr>
        <w:t>u uzupełnienia niniejszego rozporządzenia przez określenie kategorii produktów wysoce krytycznych</w:t>
      </w:r>
      <w:r w:rsidR="008B35E8" w:rsidRPr="002866E5">
        <w:rPr>
          <w:noProof/>
        </w:rPr>
        <w:t xml:space="preserve"> z</w:t>
      </w:r>
      <w:r w:rsidR="008B35E8">
        <w:rPr>
          <w:noProof/>
        </w:rPr>
        <w:t> </w:t>
      </w:r>
      <w:r w:rsidR="008B35E8" w:rsidRPr="002866E5">
        <w:rPr>
          <w:noProof/>
        </w:rPr>
        <w:t>ele</w:t>
      </w:r>
      <w:r w:rsidRPr="002866E5">
        <w:rPr>
          <w:noProof/>
        </w:rPr>
        <w:t>mentami cyfrowymi,</w:t>
      </w:r>
      <w:r w:rsidR="008B35E8" w:rsidRPr="002866E5">
        <w:rPr>
          <w:noProof/>
        </w:rPr>
        <w:t xml:space="preserve"> w</w:t>
      </w:r>
      <w:r w:rsidR="008B35E8">
        <w:rPr>
          <w:noProof/>
        </w:rPr>
        <w:t> </w:t>
      </w:r>
      <w:r w:rsidR="008B35E8" w:rsidRPr="002866E5">
        <w:rPr>
          <w:noProof/>
        </w:rPr>
        <w:t>odn</w:t>
      </w:r>
      <w:r w:rsidRPr="002866E5">
        <w:rPr>
          <w:noProof/>
        </w:rPr>
        <w:t>iesieniu do których producenci mają obowiązek uzyskać europejski certyfikat cyberbezpieczeństwa</w:t>
      </w:r>
      <w:r w:rsidR="008B35E8" w:rsidRPr="002866E5">
        <w:rPr>
          <w:noProof/>
        </w:rPr>
        <w:t xml:space="preserve"> w</w:t>
      </w:r>
      <w:r w:rsidR="008B35E8">
        <w:rPr>
          <w:noProof/>
        </w:rPr>
        <w:t> </w:t>
      </w:r>
      <w:r w:rsidR="008B35E8" w:rsidRPr="002866E5">
        <w:rPr>
          <w:noProof/>
        </w:rPr>
        <w:t>ram</w:t>
      </w:r>
      <w:r w:rsidRPr="002866E5">
        <w:rPr>
          <w:noProof/>
        </w:rPr>
        <w:t>ach europejskiego programu certyfikacji cyberbezpieczeństwa, aby wykazać zgodność</w:t>
      </w:r>
      <w:r w:rsidR="008B35E8" w:rsidRPr="002866E5">
        <w:rPr>
          <w:noProof/>
        </w:rPr>
        <w:t xml:space="preserve"> z</w:t>
      </w:r>
      <w:r w:rsidR="008B35E8">
        <w:rPr>
          <w:noProof/>
        </w:rPr>
        <w:t> </w:t>
      </w:r>
      <w:r w:rsidR="008B35E8" w:rsidRPr="002866E5">
        <w:rPr>
          <w:noProof/>
        </w:rPr>
        <w:t>zas</w:t>
      </w:r>
      <w:r w:rsidRPr="002866E5">
        <w:rPr>
          <w:noProof/>
        </w:rPr>
        <w:t>adniczymi wymogami określonymi</w:t>
      </w:r>
      <w:r w:rsidR="008B35E8" w:rsidRPr="002866E5">
        <w:rPr>
          <w:noProof/>
        </w:rPr>
        <w:t xml:space="preserve"> w</w:t>
      </w:r>
      <w:r w:rsidR="008B35E8">
        <w:rPr>
          <w:noProof/>
        </w:rPr>
        <w:t> </w:t>
      </w:r>
      <w:r w:rsidR="008B35E8" w:rsidRPr="002866E5">
        <w:rPr>
          <w:noProof/>
        </w:rPr>
        <w:t>zał</w:t>
      </w:r>
      <w:r w:rsidRPr="002866E5">
        <w:rPr>
          <w:noProof/>
        </w:rPr>
        <w:t>ączniku I lub jego częściach. Przy określaniu takich kategorii produktów wysoce krytycznych</w:t>
      </w:r>
      <w:r w:rsidR="008B35E8" w:rsidRPr="002866E5">
        <w:rPr>
          <w:noProof/>
        </w:rPr>
        <w:t xml:space="preserve"> z</w:t>
      </w:r>
      <w:r w:rsidR="008B35E8">
        <w:rPr>
          <w:noProof/>
        </w:rPr>
        <w:t> </w:t>
      </w:r>
      <w:r w:rsidR="008B35E8" w:rsidRPr="002866E5">
        <w:rPr>
          <w:noProof/>
        </w:rPr>
        <w:t>ele</w:t>
      </w:r>
      <w:r w:rsidRPr="002866E5">
        <w:rPr>
          <w:noProof/>
        </w:rPr>
        <w:t>mentami cyfrowymi Komisja uwzględnia poziom ryzyka</w:t>
      </w:r>
      <w:r w:rsidR="008B35E8" w:rsidRPr="002866E5">
        <w:rPr>
          <w:noProof/>
        </w:rPr>
        <w:t xml:space="preserve"> w</w:t>
      </w:r>
      <w:r w:rsidR="008B35E8">
        <w:rPr>
          <w:noProof/>
        </w:rPr>
        <w:t> </w:t>
      </w:r>
      <w:r w:rsidR="008B35E8" w:rsidRPr="002866E5">
        <w:rPr>
          <w:noProof/>
        </w:rPr>
        <w:t>cyb</w:t>
      </w:r>
      <w:r w:rsidRPr="002866E5">
        <w:rPr>
          <w:noProof/>
        </w:rPr>
        <w:t xml:space="preserve">erprzestrzeni </w:t>
      </w:r>
      <w:r w:rsidRPr="002866E5">
        <w:rPr>
          <w:noProof/>
        </w:rPr>
        <w:lastRenderedPageBreak/>
        <w:t>związanego</w:t>
      </w:r>
      <w:r w:rsidR="008B35E8" w:rsidRPr="002866E5">
        <w:rPr>
          <w:noProof/>
        </w:rPr>
        <w:t xml:space="preserve"> z</w:t>
      </w:r>
      <w:r w:rsidR="008B35E8">
        <w:rPr>
          <w:noProof/>
        </w:rPr>
        <w:t> </w:t>
      </w:r>
      <w:r w:rsidR="008B35E8" w:rsidRPr="002866E5">
        <w:rPr>
          <w:noProof/>
        </w:rPr>
        <w:t>kat</w:t>
      </w:r>
      <w:r w:rsidRPr="002866E5">
        <w:rPr>
          <w:noProof/>
        </w:rPr>
        <w:t>egorią produktów</w:t>
      </w:r>
      <w:r w:rsidR="008B35E8" w:rsidRPr="002866E5">
        <w:rPr>
          <w:noProof/>
        </w:rPr>
        <w:t xml:space="preserve"> z</w:t>
      </w:r>
      <w:r w:rsidR="008B35E8">
        <w:rPr>
          <w:noProof/>
        </w:rPr>
        <w:t> </w:t>
      </w:r>
      <w:r w:rsidR="008B35E8" w:rsidRPr="002866E5">
        <w:rPr>
          <w:noProof/>
        </w:rPr>
        <w:t>ele</w:t>
      </w:r>
      <w:r w:rsidRPr="002866E5">
        <w:rPr>
          <w:noProof/>
        </w:rPr>
        <w:t>mentami cyfrowymi</w:t>
      </w:r>
      <w:r w:rsidR="008B35E8" w:rsidRPr="002866E5">
        <w:rPr>
          <w:noProof/>
        </w:rPr>
        <w:t xml:space="preserve"> w</w:t>
      </w:r>
      <w:r w:rsidR="008B35E8">
        <w:rPr>
          <w:noProof/>
        </w:rPr>
        <w:t> </w:t>
      </w:r>
      <w:r w:rsidR="008B35E8" w:rsidRPr="002866E5">
        <w:rPr>
          <w:noProof/>
        </w:rPr>
        <w:t>świ</w:t>
      </w:r>
      <w:r w:rsidRPr="002866E5">
        <w:rPr>
          <w:noProof/>
        </w:rPr>
        <w:t>etle co najmniej jednego kryterium branego pod uwagę przy sporządzaniu wykazu produktów krytycznych</w:t>
      </w:r>
      <w:r w:rsidR="008B35E8" w:rsidRPr="002866E5">
        <w:rPr>
          <w:noProof/>
        </w:rPr>
        <w:t xml:space="preserve"> z</w:t>
      </w:r>
      <w:r w:rsidR="008B35E8">
        <w:rPr>
          <w:noProof/>
        </w:rPr>
        <w:t> </w:t>
      </w:r>
      <w:r w:rsidR="008B35E8" w:rsidRPr="002866E5">
        <w:rPr>
          <w:noProof/>
        </w:rPr>
        <w:t>ele</w:t>
      </w:r>
      <w:r w:rsidRPr="002866E5">
        <w:rPr>
          <w:noProof/>
        </w:rPr>
        <w:t>mentami cyfrowymi zawartego</w:t>
      </w:r>
      <w:r w:rsidR="008B35E8" w:rsidRPr="002866E5">
        <w:rPr>
          <w:noProof/>
        </w:rPr>
        <w:t xml:space="preserve"> w</w:t>
      </w:r>
      <w:r w:rsidR="008B35E8">
        <w:rPr>
          <w:noProof/>
        </w:rPr>
        <w:t> </w:t>
      </w:r>
      <w:r w:rsidR="008B35E8" w:rsidRPr="002866E5">
        <w:rPr>
          <w:noProof/>
        </w:rPr>
        <w:t>zał</w:t>
      </w:r>
      <w:r w:rsidRPr="002866E5">
        <w:rPr>
          <w:noProof/>
        </w:rPr>
        <w:t>ączniku III,</w:t>
      </w:r>
      <w:r w:rsidR="008B35E8" w:rsidRPr="002866E5">
        <w:rPr>
          <w:noProof/>
        </w:rPr>
        <w:t xml:space="preserve"> a</w:t>
      </w:r>
      <w:r w:rsidR="008B35E8">
        <w:rPr>
          <w:noProof/>
        </w:rPr>
        <w:t> </w:t>
      </w:r>
      <w:r w:rsidR="008B35E8" w:rsidRPr="002866E5">
        <w:rPr>
          <w:noProof/>
        </w:rPr>
        <w:t>tak</w:t>
      </w:r>
      <w:r w:rsidRPr="002866E5">
        <w:rPr>
          <w:noProof/>
        </w:rPr>
        <w:t>że</w:t>
      </w:r>
      <w:r w:rsidR="008B35E8" w:rsidRPr="002866E5">
        <w:rPr>
          <w:noProof/>
        </w:rPr>
        <w:t xml:space="preserve"> w</w:t>
      </w:r>
      <w:r w:rsidR="008B35E8">
        <w:rPr>
          <w:noProof/>
        </w:rPr>
        <w:t> </w:t>
      </w:r>
      <w:r w:rsidR="008B35E8" w:rsidRPr="002866E5">
        <w:rPr>
          <w:noProof/>
        </w:rPr>
        <w:t>kon</w:t>
      </w:r>
      <w:r w:rsidRPr="002866E5">
        <w:rPr>
          <w:noProof/>
        </w:rPr>
        <w:t>tekście oceny, czy ta kategoria produktów jest wykorzystywana przez podmioty niezbędne takie jak podmioty,</w:t>
      </w:r>
      <w:r w:rsidR="008B35E8" w:rsidRPr="002866E5">
        <w:rPr>
          <w:noProof/>
        </w:rPr>
        <w:t xml:space="preserve"> o</w:t>
      </w:r>
      <w:r w:rsidR="008B35E8">
        <w:rPr>
          <w:noProof/>
        </w:rPr>
        <w:t> </w:t>
      </w:r>
      <w:r w:rsidR="008B35E8" w:rsidRPr="002866E5">
        <w:rPr>
          <w:noProof/>
        </w:rPr>
        <w:t>któ</w:t>
      </w:r>
      <w:r w:rsidRPr="002866E5">
        <w:rPr>
          <w:noProof/>
        </w:rPr>
        <w:t>rych mowa</w:t>
      </w:r>
      <w:r w:rsidR="008B35E8" w:rsidRPr="002866E5">
        <w:rPr>
          <w:noProof/>
        </w:rPr>
        <w:t xml:space="preserve"> w</w:t>
      </w:r>
      <w:r w:rsidR="008B35E8">
        <w:rPr>
          <w:noProof/>
        </w:rPr>
        <w:t> </w:t>
      </w:r>
      <w:r w:rsidR="008B35E8" w:rsidRPr="002866E5">
        <w:rPr>
          <w:noProof/>
        </w:rPr>
        <w:t>zał</w:t>
      </w:r>
      <w:r w:rsidRPr="002866E5">
        <w:rPr>
          <w:noProof/>
        </w:rPr>
        <w:t>ączniku [załączniku I] do dyrektywy [dyrektywy XXX/XXXX (NIS 2)], czy wspomniane podmioty polegają na tej kategorii produktów lub czy będzie ona miała potencjalne przyszłe znaczenie dla działalności tych podmiotów, bądź czy jest ona istotna dla odporności całego łańcucha dostaw produktów</w:t>
      </w:r>
      <w:r w:rsidR="008B35E8" w:rsidRPr="002866E5">
        <w:rPr>
          <w:noProof/>
        </w:rPr>
        <w:t xml:space="preserve"> z</w:t>
      </w:r>
      <w:r w:rsidR="008B35E8">
        <w:rPr>
          <w:noProof/>
        </w:rPr>
        <w:t> </w:t>
      </w:r>
      <w:r w:rsidR="008B35E8" w:rsidRPr="002866E5">
        <w:rPr>
          <w:noProof/>
        </w:rPr>
        <w:t>ele</w:t>
      </w:r>
      <w:r w:rsidRPr="002866E5">
        <w:rPr>
          <w:noProof/>
        </w:rPr>
        <w:t>mentami cyfrowymi na zdarzenia powodujące zakłócenia.</w:t>
      </w:r>
    </w:p>
    <w:p w14:paraId="67ED86A7" w14:textId="77777777" w:rsidR="00441988" w:rsidRPr="002866E5" w:rsidRDefault="000F57F3" w:rsidP="003D0741">
      <w:pPr>
        <w:rPr>
          <w:noProof/>
          <w:u w:val="single"/>
        </w:rPr>
      </w:pPr>
      <w:r w:rsidRPr="002866E5">
        <w:rPr>
          <w:noProof/>
          <w:u w:val="single"/>
        </w:rPr>
        <w:t>Obowiązki podmiotów gospodarczych (rozdział II)</w:t>
      </w:r>
    </w:p>
    <w:p w14:paraId="67ED86A8" w14:textId="610B9C39" w:rsidR="000F57F3" w:rsidRPr="002866E5" w:rsidRDefault="000F57F3" w:rsidP="003D0741">
      <w:pPr>
        <w:rPr>
          <w:noProof/>
        </w:rPr>
      </w:pPr>
      <w:r w:rsidRPr="002866E5">
        <w:rPr>
          <w:noProof/>
        </w:rPr>
        <w:t>Wniosek obejmuje obowiązki producentów, importerów</w:t>
      </w:r>
      <w:r w:rsidR="008B35E8" w:rsidRPr="002866E5">
        <w:rPr>
          <w:noProof/>
        </w:rPr>
        <w:t xml:space="preserve"> i</w:t>
      </w:r>
      <w:r w:rsidR="008B35E8">
        <w:rPr>
          <w:noProof/>
        </w:rPr>
        <w:t> </w:t>
      </w:r>
      <w:r w:rsidR="008B35E8" w:rsidRPr="002866E5">
        <w:rPr>
          <w:noProof/>
        </w:rPr>
        <w:t>dys</w:t>
      </w:r>
      <w:r w:rsidRPr="002866E5">
        <w:rPr>
          <w:noProof/>
        </w:rPr>
        <w:t>trybutorów na podstawie przepisów odniesienia przewidzianych</w:t>
      </w:r>
      <w:r w:rsidR="008B35E8" w:rsidRPr="002866E5">
        <w:rPr>
          <w:noProof/>
        </w:rPr>
        <w:t xml:space="preserve"> w</w:t>
      </w:r>
      <w:r w:rsidR="008B35E8">
        <w:rPr>
          <w:noProof/>
        </w:rPr>
        <w:t> </w:t>
      </w:r>
      <w:r w:rsidR="008B35E8" w:rsidRPr="002866E5">
        <w:rPr>
          <w:noProof/>
        </w:rPr>
        <w:t>dec</w:t>
      </w:r>
      <w:r w:rsidRPr="002866E5">
        <w:rPr>
          <w:noProof/>
        </w:rPr>
        <w:t>yzji 768/2008/WE. Zgodnie</w:t>
      </w:r>
      <w:r w:rsidR="008B35E8" w:rsidRPr="002866E5">
        <w:rPr>
          <w:noProof/>
        </w:rPr>
        <w:t xml:space="preserve"> z</w:t>
      </w:r>
      <w:r w:rsidR="008B35E8">
        <w:rPr>
          <w:noProof/>
        </w:rPr>
        <w:t> </w:t>
      </w:r>
      <w:r w:rsidR="008B35E8" w:rsidRPr="002866E5">
        <w:rPr>
          <w:noProof/>
        </w:rPr>
        <w:t>zas</w:t>
      </w:r>
      <w:r w:rsidRPr="002866E5">
        <w:rPr>
          <w:noProof/>
        </w:rPr>
        <w:t>adniczymi wymogami cyberbezpieczeństwa</w:t>
      </w:r>
      <w:r w:rsidR="008B35E8" w:rsidRPr="002866E5">
        <w:rPr>
          <w:noProof/>
        </w:rPr>
        <w:t xml:space="preserve"> i</w:t>
      </w:r>
      <w:r w:rsidR="008B35E8">
        <w:rPr>
          <w:noProof/>
        </w:rPr>
        <w:t> </w:t>
      </w:r>
      <w:r w:rsidR="008B35E8" w:rsidRPr="002866E5">
        <w:rPr>
          <w:noProof/>
        </w:rPr>
        <w:t>obo</w:t>
      </w:r>
      <w:r w:rsidRPr="002866E5">
        <w:rPr>
          <w:noProof/>
        </w:rPr>
        <w:t>wiązkami</w:t>
      </w:r>
      <w:r w:rsidR="008B35E8" w:rsidRPr="002866E5">
        <w:rPr>
          <w:noProof/>
        </w:rPr>
        <w:t xml:space="preserve"> w</w:t>
      </w:r>
      <w:r w:rsidR="008B35E8">
        <w:rPr>
          <w:noProof/>
        </w:rPr>
        <w:t> </w:t>
      </w:r>
      <w:r w:rsidR="008B35E8" w:rsidRPr="002866E5">
        <w:rPr>
          <w:noProof/>
        </w:rPr>
        <w:t>tym</w:t>
      </w:r>
      <w:r w:rsidRPr="002866E5">
        <w:rPr>
          <w:noProof/>
        </w:rPr>
        <w:t xml:space="preserve"> zakresie wszystkie produkty</w:t>
      </w:r>
      <w:r w:rsidR="008B35E8" w:rsidRPr="002866E5">
        <w:rPr>
          <w:noProof/>
        </w:rPr>
        <w:t xml:space="preserve"> z</w:t>
      </w:r>
      <w:r w:rsidR="008B35E8">
        <w:rPr>
          <w:noProof/>
        </w:rPr>
        <w:t> </w:t>
      </w:r>
      <w:r w:rsidR="008B35E8" w:rsidRPr="002866E5">
        <w:rPr>
          <w:noProof/>
        </w:rPr>
        <w:t>ele</w:t>
      </w:r>
      <w:r w:rsidRPr="002866E5">
        <w:rPr>
          <w:noProof/>
        </w:rPr>
        <w:t>mentami cyfrowymi udostępnia się na rynku wyłącznie wówczas, gdy – jeżeli są należycie dostarczane, prawidłowo zainstalowane, utrzymywane</w:t>
      </w:r>
      <w:r w:rsidR="008B35E8" w:rsidRPr="002866E5">
        <w:rPr>
          <w:noProof/>
        </w:rPr>
        <w:t xml:space="preserve"> i</w:t>
      </w:r>
      <w:r w:rsidR="008B35E8">
        <w:rPr>
          <w:noProof/>
        </w:rPr>
        <w:t> </w:t>
      </w:r>
      <w:r w:rsidR="008B35E8" w:rsidRPr="002866E5">
        <w:rPr>
          <w:noProof/>
        </w:rPr>
        <w:t>wyk</w:t>
      </w:r>
      <w:r w:rsidRPr="002866E5">
        <w:rPr>
          <w:noProof/>
        </w:rPr>
        <w:t>orzystywane zgodnie</w:t>
      </w:r>
      <w:r w:rsidR="008B35E8" w:rsidRPr="002866E5">
        <w:rPr>
          <w:noProof/>
        </w:rPr>
        <w:t xml:space="preserve"> z</w:t>
      </w:r>
      <w:r w:rsidR="008B35E8">
        <w:rPr>
          <w:noProof/>
        </w:rPr>
        <w:t> </w:t>
      </w:r>
      <w:r w:rsidR="008B35E8" w:rsidRPr="002866E5">
        <w:rPr>
          <w:noProof/>
        </w:rPr>
        <w:t>ich</w:t>
      </w:r>
      <w:r w:rsidRPr="002866E5">
        <w:rPr>
          <w:noProof/>
        </w:rPr>
        <w:t xml:space="preserve"> przeznaczeniem lub</w:t>
      </w:r>
      <w:r w:rsidR="008B35E8" w:rsidRPr="002866E5">
        <w:rPr>
          <w:noProof/>
        </w:rPr>
        <w:t xml:space="preserve"> w</w:t>
      </w:r>
      <w:r w:rsidR="008B35E8">
        <w:rPr>
          <w:noProof/>
        </w:rPr>
        <w:t> </w:t>
      </w:r>
      <w:r w:rsidR="008B35E8" w:rsidRPr="002866E5">
        <w:rPr>
          <w:noProof/>
        </w:rPr>
        <w:t>war</w:t>
      </w:r>
      <w:r w:rsidRPr="002866E5">
        <w:rPr>
          <w:noProof/>
        </w:rPr>
        <w:t>unkach, które można racjonalnie przewidzieć – spełniają zasadnicze wymogi cyberbezpieczeństwa określone</w:t>
      </w:r>
      <w:r w:rsidR="008B35E8" w:rsidRPr="002866E5">
        <w:rPr>
          <w:noProof/>
        </w:rPr>
        <w:t xml:space="preserve"> w</w:t>
      </w:r>
      <w:r w:rsidR="008B35E8">
        <w:rPr>
          <w:noProof/>
        </w:rPr>
        <w:t> </w:t>
      </w:r>
      <w:r w:rsidR="008B35E8" w:rsidRPr="002866E5">
        <w:rPr>
          <w:noProof/>
        </w:rPr>
        <w:t>nin</w:t>
      </w:r>
      <w:r w:rsidRPr="002866E5">
        <w:rPr>
          <w:noProof/>
        </w:rPr>
        <w:t xml:space="preserve">iejszym rozporządzeniu. </w:t>
      </w:r>
    </w:p>
    <w:p w14:paraId="67ED86A9" w14:textId="4398C3CF" w:rsidR="000F57F3" w:rsidRPr="002866E5" w:rsidRDefault="000F57F3" w:rsidP="000F57F3">
      <w:pPr>
        <w:rPr>
          <w:rFonts w:eastAsia="Calibri"/>
          <w:noProof/>
          <w:szCs w:val="24"/>
        </w:rPr>
      </w:pPr>
      <w:r w:rsidRPr="002866E5">
        <w:rPr>
          <w:noProof/>
        </w:rPr>
        <w:t>Zgodnie</w:t>
      </w:r>
      <w:r w:rsidR="008B35E8" w:rsidRPr="002866E5">
        <w:rPr>
          <w:noProof/>
        </w:rPr>
        <w:t xml:space="preserve"> z</w:t>
      </w:r>
      <w:r w:rsidR="008B35E8">
        <w:rPr>
          <w:noProof/>
        </w:rPr>
        <w:t> </w:t>
      </w:r>
      <w:r w:rsidR="008B35E8" w:rsidRPr="002866E5">
        <w:rPr>
          <w:noProof/>
        </w:rPr>
        <w:t>zas</w:t>
      </w:r>
      <w:r w:rsidRPr="002866E5">
        <w:rPr>
          <w:noProof/>
        </w:rPr>
        <w:t>adniczymi wymogami</w:t>
      </w:r>
      <w:r w:rsidR="008B35E8" w:rsidRPr="002866E5">
        <w:rPr>
          <w:noProof/>
        </w:rPr>
        <w:t xml:space="preserve"> i</w:t>
      </w:r>
      <w:r w:rsidR="008B35E8">
        <w:rPr>
          <w:noProof/>
        </w:rPr>
        <w:t> </w:t>
      </w:r>
      <w:r w:rsidR="008B35E8" w:rsidRPr="002866E5">
        <w:rPr>
          <w:noProof/>
        </w:rPr>
        <w:t>obo</w:t>
      </w:r>
      <w:r w:rsidRPr="002866E5">
        <w:rPr>
          <w:noProof/>
        </w:rPr>
        <w:t>wiązkami producenci będą zobowiązani do uwzględnienia kwestii cyberbezpieczeństwa</w:t>
      </w:r>
      <w:r w:rsidR="008B35E8" w:rsidRPr="002866E5">
        <w:rPr>
          <w:noProof/>
        </w:rPr>
        <w:t xml:space="preserve"> w</w:t>
      </w:r>
      <w:r w:rsidR="008B35E8">
        <w:rPr>
          <w:noProof/>
        </w:rPr>
        <w:t> </w:t>
      </w:r>
      <w:r w:rsidR="008B35E8" w:rsidRPr="002866E5">
        <w:rPr>
          <w:noProof/>
        </w:rPr>
        <w:t>pro</w:t>
      </w:r>
      <w:r w:rsidRPr="002866E5">
        <w:rPr>
          <w:noProof/>
        </w:rPr>
        <w:t>jektowaniu, opracowywaniu</w:t>
      </w:r>
      <w:r w:rsidR="008B35E8" w:rsidRPr="002866E5">
        <w:rPr>
          <w:noProof/>
        </w:rPr>
        <w:t xml:space="preserve"> i</w:t>
      </w:r>
      <w:r w:rsidR="008B35E8">
        <w:rPr>
          <w:noProof/>
        </w:rPr>
        <w:t> </w:t>
      </w:r>
      <w:r w:rsidR="008B35E8" w:rsidRPr="002866E5">
        <w:rPr>
          <w:noProof/>
        </w:rPr>
        <w:t>pro</w:t>
      </w:r>
      <w:r w:rsidRPr="002866E5">
        <w:rPr>
          <w:noProof/>
        </w:rPr>
        <w:t>dukcji produktów</w:t>
      </w:r>
      <w:r w:rsidR="008B35E8" w:rsidRPr="002866E5">
        <w:rPr>
          <w:noProof/>
        </w:rPr>
        <w:t xml:space="preserve"> z</w:t>
      </w:r>
      <w:r w:rsidR="008B35E8">
        <w:rPr>
          <w:noProof/>
        </w:rPr>
        <w:t> </w:t>
      </w:r>
      <w:r w:rsidR="008B35E8" w:rsidRPr="002866E5">
        <w:rPr>
          <w:noProof/>
        </w:rPr>
        <w:t>ele</w:t>
      </w:r>
      <w:r w:rsidRPr="002866E5">
        <w:rPr>
          <w:noProof/>
        </w:rPr>
        <w:t>mentami cyfrowymi, do zachowania należytej staranności</w:t>
      </w:r>
      <w:r w:rsidR="008B35E8" w:rsidRPr="002866E5">
        <w:rPr>
          <w:noProof/>
        </w:rPr>
        <w:t xml:space="preserve"> w</w:t>
      </w:r>
      <w:r w:rsidR="008B35E8">
        <w:rPr>
          <w:noProof/>
        </w:rPr>
        <w:t> </w:t>
      </w:r>
      <w:r w:rsidR="008B35E8" w:rsidRPr="002866E5">
        <w:rPr>
          <w:noProof/>
        </w:rPr>
        <w:t>odn</w:t>
      </w:r>
      <w:r w:rsidRPr="002866E5">
        <w:rPr>
          <w:noProof/>
        </w:rPr>
        <w:t>iesieniu do aspektów bezpieczeństwa przy projektowaniu</w:t>
      </w:r>
      <w:r w:rsidR="008B35E8" w:rsidRPr="002866E5">
        <w:rPr>
          <w:noProof/>
        </w:rPr>
        <w:t xml:space="preserve"> i</w:t>
      </w:r>
      <w:r w:rsidR="008B35E8">
        <w:rPr>
          <w:noProof/>
        </w:rPr>
        <w:t> </w:t>
      </w:r>
      <w:r w:rsidR="008B35E8" w:rsidRPr="002866E5">
        <w:rPr>
          <w:noProof/>
        </w:rPr>
        <w:t>opr</w:t>
      </w:r>
      <w:r w:rsidRPr="002866E5">
        <w:rPr>
          <w:noProof/>
        </w:rPr>
        <w:t>acowywaniu swoich produktów, do zachowania przejrzystości</w:t>
      </w:r>
      <w:r w:rsidR="008B35E8" w:rsidRPr="002866E5">
        <w:rPr>
          <w:noProof/>
        </w:rPr>
        <w:t xml:space="preserve"> w</w:t>
      </w:r>
      <w:r w:rsidR="008B35E8">
        <w:rPr>
          <w:noProof/>
        </w:rPr>
        <w:t> </w:t>
      </w:r>
      <w:r w:rsidR="008B35E8" w:rsidRPr="002866E5">
        <w:rPr>
          <w:noProof/>
        </w:rPr>
        <w:t>odn</w:t>
      </w:r>
      <w:r w:rsidRPr="002866E5">
        <w:rPr>
          <w:noProof/>
        </w:rPr>
        <w:t>iesieniu do aspektów cyberbezpieczeństwa, które należy podać do wiadomości klientów, do zapewnienia wsparcia</w:t>
      </w:r>
      <w:r w:rsidR="008B35E8" w:rsidRPr="002866E5">
        <w:rPr>
          <w:noProof/>
        </w:rPr>
        <w:t xml:space="preserve"> w</w:t>
      </w:r>
      <w:r w:rsidR="008B35E8">
        <w:rPr>
          <w:noProof/>
        </w:rPr>
        <w:t> </w:t>
      </w:r>
      <w:r w:rsidR="008B35E8" w:rsidRPr="002866E5">
        <w:rPr>
          <w:noProof/>
        </w:rPr>
        <w:t>zak</w:t>
      </w:r>
      <w:r w:rsidRPr="002866E5">
        <w:rPr>
          <w:noProof/>
        </w:rPr>
        <w:t>resie zabezpieczeń (aktualizacji)</w:t>
      </w:r>
      <w:r w:rsidR="008B35E8" w:rsidRPr="002866E5">
        <w:rPr>
          <w:noProof/>
        </w:rPr>
        <w:t xml:space="preserve"> w</w:t>
      </w:r>
      <w:r w:rsidR="008B35E8">
        <w:rPr>
          <w:noProof/>
        </w:rPr>
        <w:t> </w:t>
      </w:r>
      <w:r w:rsidR="008B35E8" w:rsidRPr="002866E5">
        <w:rPr>
          <w:noProof/>
        </w:rPr>
        <w:t>spo</w:t>
      </w:r>
      <w:r w:rsidRPr="002866E5">
        <w:rPr>
          <w:noProof/>
        </w:rPr>
        <w:t>sób proporcjonalny oraz do spełnienia wymogów dotyczących postępowania</w:t>
      </w:r>
      <w:r w:rsidR="008B35E8" w:rsidRPr="002866E5">
        <w:rPr>
          <w:noProof/>
        </w:rPr>
        <w:t xml:space="preserve"> w</w:t>
      </w:r>
      <w:r w:rsidR="008B35E8">
        <w:rPr>
          <w:noProof/>
        </w:rPr>
        <w:t> </w:t>
      </w:r>
      <w:r w:rsidR="008B35E8" w:rsidRPr="002866E5">
        <w:rPr>
          <w:noProof/>
        </w:rPr>
        <w:t>prz</w:t>
      </w:r>
      <w:r w:rsidRPr="002866E5">
        <w:rPr>
          <w:noProof/>
        </w:rPr>
        <w:t xml:space="preserve">ypadku wykrycia podatności. </w:t>
      </w:r>
    </w:p>
    <w:p w14:paraId="67ED86AA" w14:textId="3DC5E9A4" w:rsidR="00C14A2D" w:rsidRPr="002866E5" w:rsidRDefault="00CB5516" w:rsidP="00C14A2D">
      <w:pPr>
        <w:rPr>
          <w:rFonts w:eastAsia="Calibri"/>
          <w:noProof/>
          <w:szCs w:val="24"/>
        </w:rPr>
      </w:pPr>
      <w:r w:rsidRPr="002866E5">
        <w:rPr>
          <w:noProof/>
        </w:rPr>
        <w:t>Zostaną ustanowione obowiązki dla podmiotów gospodarczych, począwszy od producentów, aż po dystrybutorów</w:t>
      </w:r>
      <w:r w:rsidR="008B35E8" w:rsidRPr="002866E5">
        <w:rPr>
          <w:noProof/>
        </w:rPr>
        <w:t xml:space="preserve"> i</w:t>
      </w:r>
      <w:r w:rsidR="008B35E8">
        <w:rPr>
          <w:noProof/>
        </w:rPr>
        <w:t> </w:t>
      </w:r>
      <w:r w:rsidR="008B35E8" w:rsidRPr="002866E5">
        <w:rPr>
          <w:noProof/>
        </w:rPr>
        <w:t>imp</w:t>
      </w:r>
      <w:r w:rsidRPr="002866E5">
        <w:rPr>
          <w:noProof/>
        </w:rPr>
        <w:t>orterów,</w:t>
      </w:r>
      <w:r w:rsidR="008B35E8" w:rsidRPr="002866E5">
        <w:rPr>
          <w:noProof/>
        </w:rPr>
        <w:t xml:space="preserve"> w</w:t>
      </w:r>
      <w:r w:rsidR="008B35E8">
        <w:rPr>
          <w:noProof/>
        </w:rPr>
        <w:t> </w:t>
      </w:r>
      <w:r w:rsidR="008B35E8" w:rsidRPr="002866E5">
        <w:rPr>
          <w:noProof/>
        </w:rPr>
        <w:t>odn</w:t>
      </w:r>
      <w:r w:rsidRPr="002866E5">
        <w:rPr>
          <w:noProof/>
        </w:rPr>
        <w:t>iesieniu do wprowadzania do obrotu produktów</w:t>
      </w:r>
      <w:r w:rsidR="008B35E8" w:rsidRPr="002866E5">
        <w:rPr>
          <w:noProof/>
        </w:rPr>
        <w:t xml:space="preserve"> z</w:t>
      </w:r>
      <w:r w:rsidR="008B35E8">
        <w:rPr>
          <w:noProof/>
        </w:rPr>
        <w:t> </w:t>
      </w:r>
      <w:r w:rsidR="008B35E8" w:rsidRPr="002866E5">
        <w:rPr>
          <w:noProof/>
        </w:rPr>
        <w:t>ele</w:t>
      </w:r>
      <w:r w:rsidRPr="002866E5">
        <w:rPr>
          <w:noProof/>
        </w:rPr>
        <w:t>mentami cyfrowymi, stosownie do ich roli</w:t>
      </w:r>
      <w:r w:rsidR="008B35E8" w:rsidRPr="002866E5">
        <w:rPr>
          <w:noProof/>
        </w:rPr>
        <w:t xml:space="preserve"> i</w:t>
      </w:r>
      <w:r w:rsidR="008B35E8">
        <w:rPr>
          <w:noProof/>
        </w:rPr>
        <w:t> </w:t>
      </w:r>
      <w:r w:rsidR="008B35E8" w:rsidRPr="002866E5">
        <w:rPr>
          <w:noProof/>
        </w:rPr>
        <w:t>zad</w:t>
      </w:r>
      <w:r w:rsidRPr="002866E5">
        <w:rPr>
          <w:noProof/>
        </w:rPr>
        <w:t>ań</w:t>
      </w:r>
      <w:r w:rsidR="008B35E8" w:rsidRPr="002866E5">
        <w:rPr>
          <w:noProof/>
        </w:rPr>
        <w:t xml:space="preserve"> w</w:t>
      </w:r>
      <w:r w:rsidR="008B35E8">
        <w:rPr>
          <w:noProof/>
        </w:rPr>
        <w:t> </w:t>
      </w:r>
      <w:r w:rsidR="008B35E8" w:rsidRPr="002866E5">
        <w:rPr>
          <w:noProof/>
        </w:rPr>
        <w:t>łań</w:t>
      </w:r>
      <w:r w:rsidRPr="002866E5">
        <w:rPr>
          <w:noProof/>
        </w:rPr>
        <w:t xml:space="preserve">cuchu dostaw. </w:t>
      </w:r>
    </w:p>
    <w:p w14:paraId="67ED86AB" w14:textId="4F59191C" w:rsidR="00C14A2D" w:rsidRPr="002866E5" w:rsidRDefault="00D45FC5" w:rsidP="000F57F3">
      <w:pPr>
        <w:rPr>
          <w:rFonts w:eastAsia="Calibri"/>
          <w:noProof/>
          <w:szCs w:val="24"/>
          <w:u w:val="single"/>
        </w:rPr>
      </w:pPr>
      <w:r w:rsidRPr="002866E5">
        <w:rPr>
          <w:noProof/>
          <w:u w:val="single"/>
        </w:rPr>
        <w:t>Zgodność produktu</w:t>
      </w:r>
      <w:r w:rsidR="008B35E8" w:rsidRPr="002866E5">
        <w:rPr>
          <w:noProof/>
          <w:u w:val="single"/>
        </w:rPr>
        <w:t xml:space="preserve"> z</w:t>
      </w:r>
      <w:r w:rsidR="008B35E8">
        <w:rPr>
          <w:noProof/>
          <w:u w:val="single"/>
        </w:rPr>
        <w:t> </w:t>
      </w:r>
      <w:r w:rsidR="008B35E8" w:rsidRPr="002866E5">
        <w:rPr>
          <w:noProof/>
          <w:u w:val="single"/>
        </w:rPr>
        <w:t>ele</w:t>
      </w:r>
      <w:r w:rsidRPr="002866E5">
        <w:rPr>
          <w:noProof/>
          <w:u w:val="single"/>
        </w:rPr>
        <w:t>mentami cyfrowymi (rozdział III)</w:t>
      </w:r>
    </w:p>
    <w:p w14:paraId="67ED86AC" w14:textId="2B0ECE54" w:rsidR="00837BB2" w:rsidRPr="002866E5" w:rsidRDefault="00837BB2" w:rsidP="00837BB2">
      <w:pPr>
        <w:rPr>
          <w:noProof/>
        </w:rPr>
      </w:pPr>
      <w:r w:rsidRPr="002866E5">
        <w:rPr>
          <w:noProof/>
        </w:rPr>
        <w:t>W przypadku produktów</w:t>
      </w:r>
      <w:r w:rsidR="008B35E8" w:rsidRPr="002866E5">
        <w:rPr>
          <w:noProof/>
        </w:rPr>
        <w:t xml:space="preserve"> z</w:t>
      </w:r>
      <w:r w:rsidR="008B35E8">
        <w:rPr>
          <w:noProof/>
        </w:rPr>
        <w:t> </w:t>
      </w:r>
      <w:r w:rsidR="008B35E8" w:rsidRPr="002866E5">
        <w:rPr>
          <w:noProof/>
        </w:rPr>
        <w:t>ele</w:t>
      </w:r>
      <w:r w:rsidRPr="002866E5">
        <w:rPr>
          <w:noProof/>
        </w:rPr>
        <w:t>mentami cyfrowymi spełniających normy zharmonizowane lub części norm zharmonizowanych, do których odniesienie opublikowano</w:t>
      </w:r>
      <w:r w:rsidR="008B35E8" w:rsidRPr="002866E5">
        <w:rPr>
          <w:noProof/>
        </w:rPr>
        <w:t xml:space="preserve"> w</w:t>
      </w:r>
      <w:r w:rsidR="008B35E8">
        <w:rPr>
          <w:noProof/>
        </w:rPr>
        <w:t> </w:t>
      </w:r>
      <w:r w:rsidR="008B35E8" w:rsidRPr="002866E5">
        <w:rPr>
          <w:i/>
          <w:noProof/>
        </w:rPr>
        <w:t>Dzi</w:t>
      </w:r>
      <w:r w:rsidRPr="002866E5">
        <w:rPr>
          <w:i/>
          <w:noProof/>
        </w:rPr>
        <w:t>enniku Urzędowym Unii Europejskiej</w:t>
      </w:r>
      <w:r w:rsidRPr="002866E5">
        <w:rPr>
          <w:noProof/>
        </w:rPr>
        <w:t>, zakłada się, że spełniają one zasadnicze wymogi określone</w:t>
      </w:r>
      <w:r w:rsidR="008B35E8" w:rsidRPr="002866E5">
        <w:rPr>
          <w:noProof/>
        </w:rPr>
        <w:t xml:space="preserve"> w</w:t>
      </w:r>
      <w:r w:rsidR="008B35E8">
        <w:rPr>
          <w:noProof/>
        </w:rPr>
        <w:t> </w:t>
      </w:r>
      <w:r w:rsidR="008B35E8" w:rsidRPr="002866E5">
        <w:rPr>
          <w:noProof/>
        </w:rPr>
        <w:t>roz</w:t>
      </w:r>
      <w:r w:rsidRPr="002866E5">
        <w:rPr>
          <w:noProof/>
        </w:rPr>
        <w:t>porządzeniu, którego dotyczy niniejszy wniosek</w:t>
      </w:r>
      <w:r w:rsidR="008B35E8" w:rsidRPr="002866E5">
        <w:rPr>
          <w:noProof/>
        </w:rPr>
        <w:t>. W</w:t>
      </w:r>
      <w:r w:rsidR="008B35E8">
        <w:rPr>
          <w:noProof/>
        </w:rPr>
        <w:t> </w:t>
      </w:r>
      <w:r w:rsidR="008B35E8" w:rsidRPr="002866E5">
        <w:rPr>
          <w:noProof/>
        </w:rPr>
        <w:t>prz</w:t>
      </w:r>
      <w:r w:rsidRPr="002866E5">
        <w:rPr>
          <w:noProof/>
        </w:rPr>
        <w:t>ypadku gdy normy zharmonizowane nie istnieją lub są niewystarczające lub jeżeli występują nieuzasadnione opóźnienia</w:t>
      </w:r>
      <w:r w:rsidR="008B35E8" w:rsidRPr="002866E5">
        <w:rPr>
          <w:noProof/>
        </w:rPr>
        <w:t xml:space="preserve"> w</w:t>
      </w:r>
      <w:r w:rsidR="008B35E8">
        <w:rPr>
          <w:noProof/>
        </w:rPr>
        <w:t> </w:t>
      </w:r>
      <w:r w:rsidR="008B35E8" w:rsidRPr="002866E5">
        <w:rPr>
          <w:noProof/>
        </w:rPr>
        <w:t>pro</w:t>
      </w:r>
      <w:r w:rsidRPr="002866E5">
        <w:rPr>
          <w:noProof/>
        </w:rPr>
        <w:t>cedurze normalizacji, lub jeżeli wniosek Komisji nie zostanie zaakceptowany przez europejskie organizacje normalizacyjne, Komisja może –</w:t>
      </w:r>
      <w:r w:rsidR="008B35E8" w:rsidRPr="002866E5">
        <w:rPr>
          <w:noProof/>
        </w:rPr>
        <w:t xml:space="preserve"> w</w:t>
      </w:r>
      <w:r w:rsidR="008B35E8">
        <w:rPr>
          <w:noProof/>
        </w:rPr>
        <w:t> </w:t>
      </w:r>
      <w:r w:rsidR="008B35E8" w:rsidRPr="002866E5">
        <w:rPr>
          <w:noProof/>
        </w:rPr>
        <w:t>dro</w:t>
      </w:r>
      <w:r w:rsidRPr="002866E5">
        <w:rPr>
          <w:noProof/>
        </w:rPr>
        <w:t xml:space="preserve">dze aktów wykonawczych – przyjąć wspólne specyfikacje. </w:t>
      </w:r>
    </w:p>
    <w:p w14:paraId="67ED86AD" w14:textId="39753584" w:rsidR="00837BB2" w:rsidRPr="002866E5" w:rsidRDefault="00837BB2" w:rsidP="00837BB2">
      <w:pPr>
        <w:rPr>
          <w:noProof/>
        </w:rPr>
      </w:pPr>
      <w:r w:rsidRPr="002866E5">
        <w:rPr>
          <w:noProof/>
        </w:rPr>
        <w:t>Ponadto produkty</w:t>
      </w:r>
      <w:r w:rsidR="008B35E8" w:rsidRPr="002866E5">
        <w:rPr>
          <w:noProof/>
        </w:rPr>
        <w:t xml:space="preserve"> z</w:t>
      </w:r>
      <w:r w:rsidR="008B35E8">
        <w:rPr>
          <w:noProof/>
        </w:rPr>
        <w:t> </w:t>
      </w:r>
      <w:r w:rsidR="008B35E8" w:rsidRPr="002866E5">
        <w:rPr>
          <w:noProof/>
        </w:rPr>
        <w:t>ele</w:t>
      </w:r>
      <w:r w:rsidRPr="002866E5">
        <w:rPr>
          <w:noProof/>
        </w:rPr>
        <w:t>mentami cyfrowymi, które uzyskały certyfikację lub</w:t>
      </w:r>
      <w:r w:rsidR="008B35E8" w:rsidRPr="002866E5">
        <w:rPr>
          <w:noProof/>
        </w:rPr>
        <w:t xml:space="preserve"> w</w:t>
      </w:r>
      <w:r w:rsidR="008B35E8">
        <w:rPr>
          <w:noProof/>
        </w:rPr>
        <w:t> </w:t>
      </w:r>
      <w:r w:rsidR="008B35E8" w:rsidRPr="002866E5">
        <w:rPr>
          <w:noProof/>
        </w:rPr>
        <w:t>odn</w:t>
      </w:r>
      <w:r w:rsidRPr="002866E5">
        <w:rPr>
          <w:noProof/>
        </w:rPr>
        <w:t>iesieniu do których wydano unijną deklarację zgodności bądź certyfikat</w:t>
      </w:r>
      <w:r w:rsidR="008B35E8" w:rsidRPr="002866E5">
        <w:rPr>
          <w:noProof/>
        </w:rPr>
        <w:t xml:space="preserve"> w</w:t>
      </w:r>
      <w:r w:rsidR="008B35E8">
        <w:rPr>
          <w:noProof/>
        </w:rPr>
        <w:t> </w:t>
      </w:r>
      <w:r w:rsidR="008B35E8" w:rsidRPr="002866E5">
        <w:rPr>
          <w:noProof/>
        </w:rPr>
        <w:t>ram</w:t>
      </w:r>
      <w:r w:rsidRPr="002866E5">
        <w:rPr>
          <w:noProof/>
        </w:rPr>
        <w:t>ach europejskiego programu certyfikacji cyberbezpieczeństwa zgodnie</w:t>
      </w:r>
      <w:r w:rsidR="008B35E8" w:rsidRPr="002866E5">
        <w:rPr>
          <w:noProof/>
        </w:rPr>
        <w:t xml:space="preserve"> z</w:t>
      </w:r>
      <w:r w:rsidR="008B35E8">
        <w:rPr>
          <w:noProof/>
        </w:rPr>
        <w:t> </w:t>
      </w:r>
      <w:r w:rsidR="008B35E8" w:rsidRPr="002866E5">
        <w:rPr>
          <w:noProof/>
        </w:rPr>
        <w:t>roz</w:t>
      </w:r>
      <w:r w:rsidRPr="002866E5">
        <w:rPr>
          <w:noProof/>
        </w:rPr>
        <w:t>porządzeniem Parlamentu Europejskiego</w:t>
      </w:r>
      <w:r w:rsidR="008B35E8" w:rsidRPr="002866E5">
        <w:rPr>
          <w:noProof/>
        </w:rPr>
        <w:t xml:space="preserve"> i</w:t>
      </w:r>
      <w:r w:rsidR="008B35E8">
        <w:rPr>
          <w:noProof/>
        </w:rPr>
        <w:t> </w:t>
      </w:r>
      <w:r w:rsidR="008B35E8" w:rsidRPr="002866E5">
        <w:rPr>
          <w:noProof/>
        </w:rPr>
        <w:t>Rad</w:t>
      </w:r>
      <w:r w:rsidRPr="002866E5">
        <w:rPr>
          <w:noProof/>
        </w:rPr>
        <w:t>y (UE) 2019/881</w:t>
      </w:r>
      <w:r w:rsidR="008B35E8" w:rsidRPr="002866E5">
        <w:rPr>
          <w:noProof/>
        </w:rPr>
        <w:t xml:space="preserve"> i</w:t>
      </w:r>
      <w:r w:rsidR="008B35E8">
        <w:rPr>
          <w:noProof/>
        </w:rPr>
        <w:t> </w:t>
      </w:r>
      <w:r w:rsidR="008B35E8" w:rsidRPr="002866E5">
        <w:rPr>
          <w:noProof/>
        </w:rPr>
        <w:t>w</w:t>
      </w:r>
      <w:r w:rsidR="008B35E8">
        <w:rPr>
          <w:noProof/>
        </w:rPr>
        <w:t> </w:t>
      </w:r>
      <w:r w:rsidR="008B35E8" w:rsidRPr="002866E5">
        <w:rPr>
          <w:noProof/>
        </w:rPr>
        <w:t>prz</w:t>
      </w:r>
      <w:r w:rsidRPr="002866E5">
        <w:rPr>
          <w:noProof/>
        </w:rPr>
        <w:t>ypadku których Komisja określiła</w:t>
      </w:r>
      <w:r w:rsidR="008B35E8" w:rsidRPr="002866E5">
        <w:rPr>
          <w:noProof/>
        </w:rPr>
        <w:t xml:space="preserve"> w</w:t>
      </w:r>
      <w:r w:rsidR="008B35E8">
        <w:rPr>
          <w:noProof/>
        </w:rPr>
        <w:t> </w:t>
      </w:r>
      <w:r w:rsidR="008B35E8" w:rsidRPr="002866E5">
        <w:rPr>
          <w:noProof/>
        </w:rPr>
        <w:t>akc</w:t>
      </w:r>
      <w:r w:rsidRPr="002866E5">
        <w:rPr>
          <w:noProof/>
        </w:rPr>
        <w:t>ie wykonawczym, że mogą zapewnić domniemanie zgodności</w:t>
      </w:r>
      <w:r w:rsidR="008B35E8" w:rsidRPr="002866E5">
        <w:rPr>
          <w:noProof/>
        </w:rPr>
        <w:t xml:space="preserve"> z</w:t>
      </w:r>
      <w:r w:rsidR="008B35E8">
        <w:rPr>
          <w:noProof/>
        </w:rPr>
        <w:t> </w:t>
      </w:r>
      <w:r w:rsidR="008B35E8" w:rsidRPr="002866E5">
        <w:rPr>
          <w:noProof/>
        </w:rPr>
        <w:t>nin</w:t>
      </w:r>
      <w:r w:rsidRPr="002866E5">
        <w:rPr>
          <w:noProof/>
        </w:rPr>
        <w:t>iejszym rozporządzeniem, uznaje się za zgodne</w:t>
      </w:r>
      <w:r w:rsidR="008B35E8" w:rsidRPr="002866E5">
        <w:rPr>
          <w:noProof/>
        </w:rPr>
        <w:t xml:space="preserve"> z</w:t>
      </w:r>
      <w:r w:rsidR="008B35E8">
        <w:rPr>
          <w:noProof/>
        </w:rPr>
        <w:t> </w:t>
      </w:r>
      <w:r w:rsidR="008B35E8" w:rsidRPr="002866E5">
        <w:rPr>
          <w:noProof/>
        </w:rPr>
        <w:t>zas</w:t>
      </w:r>
      <w:r w:rsidRPr="002866E5">
        <w:rPr>
          <w:noProof/>
        </w:rPr>
        <w:t>adniczymi wymogami określonymi</w:t>
      </w:r>
      <w:r w:rsidR="008B35E8" w:rsidRPr="002866E5">
        <w:rPr>
          <w:noProof/>
        </w:rPr>
        <w:t xml:space="preserve"> w</w:t>
      </w:r>
      <w:r w:rsidR="008B35E8">
        <w:rPr>
          <w:noProof/>
        </w:rPr>
        <w:t> </w:t>
      </w:r>
      <w:r w:rsidR="008B35E8" w:rsidRPr="002866E5">
        <w:rPr>
          <w:noProof/>
        </w:rPr>
        <w:t>nin</w:t>
      </w:r>
      <w:r w:rsidRPr="002866E5">
        <w:rPr>
          <w:noProof/>
        </w:rPr>
        <w:t>iejszym rozporządzeniu lub jego częściach</w:t>
      </w:r>
      <w:r w:rsidR="008B35E8" w:rsidRPr="002866E5">
        <w:rPr>
          <w:noProof/>
        </w:rPr>
        <w:t xml:space="preserve"> w</w:t>
      </w:r>
      <w:r w:rsidR="008B35E8">
        <w:rPr>
          <w:noProof/>
        </w:rPr>
        <w:t> </w:t>
      </w:r>
      <w:r w:rsidR="008B35E8" w:rsidRPr="002866E5">
        <w:rPr>
          <w:noProof/>
        </w:rPr>
        <w:t>zak</w:t>
      </w:r>
      <w:r w:rsidRPr="002866E5">
        <w:rPr>
          <w:noProof/>
        </w:rPr>
        <w:t>resie,</w:t>
      </w:r>
      <w:r w:rsidR="008B35E8" w:rsidRPr="002866E5">
        <w:rPr>
          <w:noProof/>
        </w:rPr>
        <w:t xml:space="preserve"> w</w:t>
      </w:r>
      <w:r w:rsidR="008B35E8">
        <w:rPr>
          <w:noProof/>
        </w:rPr>
        <w:t> </w:t>
      </w:r>
      <w:r w:rsidR="008B35E8" w:rsidRPr="002866E5">
        <w:rPr>
          <w:noProof/>
        </w:rPr>
        <w:t>jak</w:t>
      </w:r>
      <w:r w:rsidRPr="002866E5">
        <w:rPr>
          <w:noProof/>
        </w:rPr>
        <w:t xml:space="preserve">im unijna deklaracja zgodności bądź certyfikat cyberbezpieczeństwa lub ich części obejmują te wymogi. </w:t>
      </w:r>
    </w:p>
    <w:p w14:paraId="67ED86AE" w14:textId="6DC4BF20" w:rsidR="003760CA" w:rsidRPr="002866E5" w:rsidRDefault="003760CA" w:rsidP="00837BB2">
      <w:pPr>
        <w:rPr>
          <w:noProof/>
        </w:rPr>
      </w:pPr>
      <w:r w:rsidRPr="002866E5">
        <w:rPr>
          <w:noProof/>
        </w:rPr>
        <w:t>Aby uniknąć nałożenia na producentów nadmiernego obciążenia administracyjnego,</w:t>
      </w:r>
      <w:r w:rsidR="008B35E8" w:rsidRPr="002866E5">
        <w:rPr>
          <w:noProof/>
        </w:rPr>
        <w:t xml:space="preserve"> w</w:t>
      </w:r>
      <w:r w:rsidR="008B35E8">
        <w:rPr>
          <w:noProof/>
        </w:rPr>
        <w:t> </w:t>
      </w:r>
      <w:r w:rsidR="008B35E8" w:rsidRPr="002866E5">
        <w:rPr>
          <w:noProof/>
        </w:rPr>
        <w:t>sto</w:t>
      </w:r>
      <w:r w:rsidRPr="002866E5">
        <w:rPr>
          <w:noProof/>
        </w:rPr>
        <w:t xml:space="preserve">sownych przypadkach Komisja powinna określić, czy certyfikat cyberbezpieczeństwa </w:t>
      </w:r>
      <w:r w:rsidRPr="002866E5">
        <w:rPr>
          <w:noProof/>
        </w:rPr>
        <w:lastRenderedPageBreak/>
        <w:t>wydany</w:t>
      </w:r>
      <w:r w:rsidR="008B35E8" w:rsidRPr="002866E5">
        <w:rPr>
          <w:noProof/>
        </w:rPr>
        <w:t xml:space="preserve"> w</w:t>
      </w:r>
      <w:r w:rsidR="008B35E8">
        <w:rPr>
          <w:noProof/>
        </w:rPr>
        <w:t> </w:t>
      </w:r>
      <w:r w:rsidR="008B35E8" w:rsidRPr="002866E5">
        <w:rPr>
          <w:noProof/>
        </w:rPr>
        <w:t>ram</w:t>
      </w:r>
      <w:r w:rsidRPr="002866E5">
        <w:rPr>
          <w:noProof/>
        </w:rPr>
        <w:t>ach takiego europejskiego programu certyfikacji cyberbezpieczeństwa zwalnia producentów</w:t>
      </w:r>
      <w:r w:rsidR="008B35E8" w:rsidRPr="002866E5">
        <w:rPr>
          <w:noProof/>
        </w:rPr>
        <w:t xml:space="preserve"> z</w:t>
      </w:r>
      <w:r w:rsidR="008B35E8">
        <w:rPr>
          <w:noProof/>
        </w:rPr>
        <w:t> </w:t>
      </w:r>
      <w:r w:rsidR="008B35E8" w:rsidRPr="002866E5">
        <w:rPr>
          <w:noProof/>
        </w:rPr>
        <w:t>obo</w:t>
      </w:r>
      <w:r w:rsidRPr="002866E5">
        <w:rPr>
          <w:noProof/>
        </w:rPr>
        <w:t>wiązku przeprowadzenia oceny zgodności przez stronę trzecią, jak przewidziano</w:t>
      </w:r>
      <w:r w:rsidR="008B35E8" w:rsidRPr="002866E5">
        <w:rPr>
          <w:noProof/>
        </w:rPr>
        <w:t xml:space="preserve"> w</w:t>
      </w:r>
      <w:r w:rsidR="008B35E8">
        <w:rPr>
          <w:noProof/>
        </w:rPr>
        <w:t> </w:t>
      </w:r>
      <w:r w:rsidR="008B35E8" w:rsidRPr="002866E5">
        <w:rPr>
          <w:noProof/>
        </w:rPr>
        <w:t>nin</w:t>
      </w:r>
      <w:r w:rsidRPr="002866E5">
        <w:rPr>
          <w:noProof/>
        </w:rPr>
        <w:t>iejszym rozporządzeniu</w:t>
      </w:r>
      <w:r w:rsidR="008B35E8" w:rsidRPr="002866E5">
        <w:rPr>
          <w:noProof/>
        </w:rPr>
        <w:t xml:space="preserve"> w</w:t>
      </w:r>
      <w:r w:rsidR="008B35E8">
        <w:rPr>
          <w:noProof/>
        </w:rPr>
        <w:t> </w:t>
      </w:r>
      <w:r w:rsidR="008B35E8" w:rsidRPr="002866E5">
        <w:rPr>
          <w:noProof/>
        </w:rPr>
        <w:t>odn</w:t>
      </w:r>
      <w:r w:rsidRPr="002866E5">
        <w:rPr>
          <w:noProof/>
        </w:rPr>
        <w:t xml:space="preserve">iesieniu do odpowiednich wymogów. </w:t>
      </w:r>
    </w:p>
    <w:p w14:paraId="67ED86AF" w14:textId="039C7D1F" w:rsidR="00FC5FA0" w:rsidRPr="002866E5" w:rsidRDefault="00A8702E" w:rsidP="00FC5FA0">
      <w:pPr>
        <w:rPr>
          <w:noProof/>
        </w:rPr>
      </w:pPr>
      <w:r w:rsidRPr="002866E5">
        <w:rPr>
          <w:noProof/>
        </w:rPr>
        <w:t>Producent dokonuje oceny zgodności produktu</w:t>
      </w:r>
      <w:r w:rsidR="008B35E8" w:rsidRPr="002866E5">
        <w:rPr>
          <w:noProof/>
        </w:rPr>
        <w:t xml:space="preserve"> z</w:t>
      </w:r>
      <w:r w:rsidR="008B35E8">
        <w:rPr>
          <w:noProof/>
        </w:rPr>
        <w:t> </w:t>
      </w:r>
      <w:r w:rsidR="008B35E8" w:rsidRPr="002866E5">
        <w:rPr>
          <w:noProof/>
        </w:rPr>
        <w:t>ele</w:t>
      </w:r>
      <w:r w:rsidRPr="002866E5">
        <w:rPr>
          <w:noProof/>
        </w:rPr>
        <w:t>mentami cyfrowymi</w:t>
      </w:r>
      <w:r w:rsidR="008B35E8" w:rsidRPr="002866E5">
        <w:rPr>
          <w:noProof/>
        </w:rPr>
        <w:t xml:space="preserve"> i</w:t>
      </w:r>
      <w:r w:rsidR="008B35E8">
        <w:rPr>
          <w:noProof/>
        </w:rPr>
        <w:t> </w:t>
      </w:r>
      <w:r w:rsidR="008B35E8" w:rsidRPr="002866E5">
        <w:rPr>
          <w:noProof/>
        </w:rPr>
        <w:t>swo</w:t>
      </w:r>
      <w:r w:rsidRPr="002866E5">
        <w:rPr>
          <w:noProof/>
        </w:rPr>
        <w:t>imi własnymi procedurami postępowania</w:t>
      </w:r>
      <w:r w:rsidR="008B35E8" w:rsidRPr="002866E5">
        <w:rPr>
          <w:noProof/>
        </w:rPr>
        <w:t xml:space="preserve"> w</w:t>
      </w:r>
      <w:r w:rsidR="008B35E8">
        <w:rPr>
          <w:noProof/>
        </w:rPr>
        <w:t> </w:t>
      </w:r>
      <w:r w:rsidR="008B35E8" w:rsidRPr="002866E5">
        <w:rPr>
          <w:noProof/>
        </w:rPr>
        <w:t>prz</w:t>
      </w:r>
      <w:r w:rsidRPr="002866E5">
        <w:rPr>
          <w:noProof/>
        </w:rPr>
        <w:t>ypadku wykrycia podatności</w:t>
      </w:r>
      <w:r w:rsidR="008B35E8" w:rsidRPr="002866E5">
        <w:rPr>
          <w:noProof/>
        </w:rPr>
        <w:t xml:space="preserve"> w</w:t>
      </w:r>
      <w:r w:rsidR="008B35E8">
        <w:rPr>
          <w:noProof/>
        </w:rPr>
        <w:t> </w:t>
      </w:r>
      <w:r w:rsidR="008B35E8" w:rsidRPr="002866E5">
        <w:rPr>
          <w:noProof/>
        </w:rPr>
        <w:t>cel</w:t>
      </w:r>
      <w:r w:rsidRPr="002866E5">
        <w:rPr>
          <w:noProof/>
        </w:rPr>
        <w:t>u wykazania zgodności</w:t>
      </w:r>
      <w:r w:rsidR="008B35E8" w:rsidRPr="002866E5">
        <w:rPr>
          <w:noProof/>
        </w:rPr>
        <w:t xml:space="preserve"> z</w:t>
      </w:r>
      <w:r w:rsidR="008B35E8">
        <w:rPr>
          <w:noProof/>
        </w:rPr>
        <w:t> </w:t>
      </w:r>
      <w:r w:rsidR="008B35E8" w:rsidRPr="002866E5">
        <w:rPr>
          <w:noProof/>
        </w:rPr>
        <w:t>zas</w:t>
      </w:r>
      <w:r w:rsidRPr="002866E5">
        <w:rPr>
          <w:noProof/>
        </w:rPr>
        <w:t>adniczymi wymogami określonymi</w:t>
      </w:r>
      <w:r w:rsidR="008B35E8" w:rsidRPr="002866E5">
        <w:rPr>
          <w:noProof/>
        </w:rPr>
        <w:t xml:space="preserve"> w</w:t>
      </w:r>
      <w:r w:rsidR="008B35E8">
        <w:rPr>
          <w:noProof/>
        </w:rPr>
        <w:t> </w:t>
      </w:r>
      <w:r w:rsidR="008B35E8" w:rsidRPr="002866E5">
        <w:rPr>
          <w:noProof/>
        </w:rPr>
        <w:t>zał</w:t>
      </w:r>
      <w:r w:rsidRPr="002866E5">
        <w:rPr>
          <w:noProof/>
        </w:rPr>
        <w:t>ączniku I, stosując jedną</w:t>
      </w:r>
      <w:r w:rsidR="008B35E8" w:rsidRPr="002866E5">
        <w:rPr>
          <w:noProof/>
        </w:rPr>
        <w:t xml:space="preserve"> z</w:t>
      </w:r>
      <w:r w:rsidR="008B35E8">
        <w:rPr>
          <w:noProof/>
        </w:rPr>
        <w:t> </w:t>
      </w:r>
      <w:r w:rsidR="008B35E8" w:rsidRPr="002866E5">
        <w:rPr>
          <w:noProof/>
        </w:rPr>
        <w:t>pro</w:t>
      </w:r>
      <w:r w:rsidRPr="002866E5">
        <w:rPr>
          <w:noProof/>
        </w:rPr>
        <w:t>cedur określonych</w:t>
      </w:r>
      <w:r w:rsidR="008B35E8" w:rsidRPr="002866E5">
        <w:rPr>
          <w:noProof/>
        </w:rPr>
        <w:t xml:space="preserve"> w</w:t>
      </w:r>
      <w:r w:rsidR="008B35E8">
        <w:rPr>
          <w:noProof/>
        </w:rPr>
        <w:t> </w:t>
      </w:r>
      <w:r w:rsidR="008B35E8" w:rsidRPr="002866E5">
        <w:rPr>
          <w:noProof/>
        </w:rPr>
        <w:t>zał</w:t>
      </w:r>
      <w:r w:rsidRPr="002866E5">
        <w:rPr>
          <w:noProof/>
        </w:rPr>
        <w:t xml:space="preserve">ączniku VI. Producenci produktów krytycznych klasy I i II stosują odpowiednie moduły niezbędne do osiągnięcia zgodności. Producenci produktów krytycznych klasy II muszą zaangażować stronę trzecią do oceny zgodności. </w:t>
      </w:r>
    </w:p>
    <w:p w14:paraId="67ED86B0" w14:textId="77777777" w:rsidR="006D7644" w:rsidRPr="002866E5" w:rsidRDefault="00901B86" w:rsidP="00754710">
      <w:pPr>
        <w:rPr>
          <w:noProof/>
          <w:u w:val="single"/>
        </w:rPr>
      </w:pPr>
      <w:r w:rsidRPr="002866E5">
        <w:rPr>
          <w:noProof/>
          <w:u w:val="single"/>
        </w:rPr>
        <w:t>Notyfikacja jednostek oceniających zgodność (rozdział IV)</w:t>
      </w:r>
    </w:p>
    <w:p w14:paraId="67ED86B1" w14:textId="540FFEB5" w:rsidR="00B8309A" w:rsidRPr="002866E5" w:rsidRDefault="004D6632" w:rsidP="004D6632">
      <w:pPr>
        <w:rPr>
          <w:noProof/>
        </w:rPr>
      </w:pPr>
      <w:r w:rsidRPr="002866E5">
        <w:rPr>
          <w:noProof/>
        </w:rPr>
        <w:t>Prawidłowe funkcjonowanie jednostek notyfikowanych ma zasadnicze znaczenie dla zagwarantowania wysokiego cyberbezpieczeństwa oraz zaufania wszystkich zainteresowanych stron do systemu nowego podejścia. Dlatego też, zgodnie</w:t>
      </w:r>
      <w:r w:rsidR="008B35E8" w:rsidRPr="002866E5">
        <w:rPr>
          <w:noProof/>
        </w:rPr>
        <w:t xml:space="preserve"> z</w:t>
      </w:r>
      <w:r w:rsidR="008B35E8">
        <w:rPr>
          <w:noProof/>
        </w:rPr>
        <w:t> </w:t>
      </w:r>
      <w:r w:rsidR="008B35E8" w:rsidRPr="002866E5">
        <w:rPr>
          <w:noProof/>
        </w:rPr>
        <w:t>dec</w:t>
      </w:r>
      <w:r w:rsidRPr="002866E5">
        <w:rPr>
          <w:noProof/>
        </w:rPr>
        <w:t>yzją 768/2008/WE, we wniosku określono wymogi dotyczące organów krajowych odpowiedzialnych za jednostki oceniające zgodność (jednostki notyfikowane)</w:t>
      </w:r>
      <w:r w:rsidR="008B35E8" w:rsidRPr="002866E5">
        <w:rPr>
          <w:noProof/>
        </w:rPr>
        <w:t>. W</w:t>
      </w:r>
      <w:r w:rsidR="008B35E8">
        <w:rPr>
          <w:noProof/>
        </w:rPr>
        <w:t> </w:t>
      </w:r>
      <w:r w:rsidR="008B35E8" w:rsidRPr="002866E5">
        <w:rPr>
          <w:noProof/>
        </w:rPr>
        <w:t>zwi</w:t>
      </w:r>
      <w:r w:rsidRPr="002866E5">
        <w:rPr>
          <w:noProof/>
        </w:rPr>
        <w:t>ązku</w:t>
      </w:r>
      <w:r w:rsidR="008B35E8" w:rsidRPr="002866E5">
        <w:rPr>
          <w:noProof/>
        </w:rPr>
        <w:t xml:space="preserve"> z</w:t>
      </w:r>
      <w:r w:rsidR="008B35E8">
        <w:rPr>
          <w:noProof/>
        </w:rPr>
        <w:t> </w:t>
      </w:r>
      <w:r w:rsidR="008B35E8" w:rsidRPr="002866E5">
        <w:rPr>
          <w:noProof/>
        </w:rPr>
        <w:t>tym</w:t>
      </w:r>
      <w:r w:rsidRPr="002866E5">
        <w:rPr>
          <w:noProof/>
        </w:rPr>
        <w:t xml:space="preserve"> ostateczną odpowiedzialność za wyznaczanie</w:t>
      </w:r>
      <w:r w:rsidR="008B35E8" w:rsidRPr="002866E5">
        <w:rPr>
          <w:noProof/>
        </w:rPr>
        <w:t xml:space="preserve"> i</w:t>
      </w:r>
      <w:r w:rsidR="008B35E8">
        <w:rPr>
          <w:noProof/>
        </w:rPr>
        <w:t> </w:t>
      </w:r>
      <w:r w:rsidR="008B35E8" w:rsidRPr="002866E5">
        <w:rPr>
          <w:noProof/>
        </w:rPr>
        <w:t>mon</w:t>
      </w:r>
      <w:r w:rsidRPr="002866E5">
        <w:rPr>
          <w:noProof/>
        </w:rPr>
        <w:t>itorowanie jednostek notyfikowanych ponoszą państwa członkowskie. Państwa członkowskie wyznaczają organ notyfikujący, który odpowiada za opracowanie</w:t>
      </w:r>
      <w:r w:rsidR="008B35E8" w:rsidRPr="002866E5">
        <w:rPr>
          <w:noProof/>
        </w:rPr>
        <w:t xml:space="preserve"> i</w:t>
      </w:r>
      <w:r w:rsidR="008B35E8">
        <w:rPr>
          <w:noProof/>
        </w:rPr>
        <w:t> </w:t>
      </w:r>
      <w:r w:rsidR="008B35E8" w:rsidRPr="002866E5">
        <w:rPr>
          <w:noProof/>
        </w:rPr>
        <w:t>sto</w:t>
      </w:r>
      <w:r w:rsidRPr="002866E5">
        <w:rPr>
          <w:noProof/>
        </w:rPr>
        <w:t>sowanie procedur koniecznych do oceny</w:t>
      </w:r>
      <w:r w:rsidR="008B35E8" w:rsidRPr="002866E5">
        <w:rPr>
          <w:noProof/>
        </w:rPr>
        <w:t xml:space="preserve"> i</w:t>
      </w:r>
      <w:r w:rsidR="008B35E8">
        <w:rPr>
          <w:noProof/>
        </w:rPr>
        <w:t> </w:t>
      </w:r>
      <w:r w:rsidR="008B35E8" w:rsidRPr="002866E5">
        <w:rPr>
          <w:noProof/>
        </w:rPr>
        <w:t>not</w:t>
      </w:r>
      <w:r w:rsidRPr="002866E5">
        <w:rPr>
          <w:noProof/>
        </w:rPr>
        <w:t>yfikowania jednostek oceniających zgodność oraz do monitorowania jednostek notyfikowanych.</w:t>
      </w:r>
    </w:p>
    <w:p w14:paraId="67ED86B2" w14:textId="2987103D" w:rsidR="00253D1F" w:rsidRPr="002866E5" w:rsidRDefault="00253D1F" w:rsidP="005E260B">
      <w:pPr>
        <w:rPr>
          <w:noProof/>
          <w:u w:val="single"/>
        </w:rPr>
      </w:pPr>
      <w:r w:rsidRPr="002866E5">
        <w:rPr>
          <w:noProof/>
          <w:u w:val="single"/>
        </w:rPr>
        <w:t>Nadzór rynku</w:t>
      </w:r>
      <w:r w:rsidR="008B35E8" w:rsidRPr="002866E5">
        <w:rPr>
          <w:noProof/>
          <w:u w:val="single"/>
        </w:rPr>
        <w:t xml:space="preserve"> i</w:t>
      </w:r>
      <w:r w:rsidR="008B35E8">
        <w:rPr>
          <w:noProof/>
          <w:u w:val="single"/>
        </w:rPr>
        <w:t> </w:t>
      </w:r>
      <w:r w:rsidR="008B35E8" w:rsidRPr="002866E5">
        <w:rPr>
          <w:noProof/>
          <w:u w:val="single"/>
        </w:rPr>
        <w:t>egz</w:t>
      </w:r>
      <w:r w:rsidRPr="002866E5">
        <w:rPr>
          <w:noProof/>
          <w:u w:val="single"/>
        </w:rPr>
        <w:t>ekwowanie przepisów (rozdział V)</w:t>
      </w:r>
    </w:p>
    <w:p w14:paraId="67ED86B3" w14:textId="045E904C" w:rsidR="00EE6706" w:rsidRPr="002866E5" w:rsidRDefault="00EE6706" w:rsidP="005E260B">
      <w:pPr>
        <w:rPr>
          <w:noProof/>
        </w:rPr>
      </w:pPr>
      <w:r w:rsidRPr="002866E5">
        <w:rPr>
          <w:noProof/>
        </w:rPr>
        <w:t>Zgodnie</w:t>
      </w:r>
      <w:r w:rsidR="008B35E8" w:rsidRPr="002866E5">
        <w:rPr>
          <w:noProof/>
        </w:rPr>
        <w:t xml:space="preserve"> z</w:t>
      </w:r>
      <w:r w:rsidR="008B35E8">
        <w:rPr>
          <w:noProof/>
        </w:rPr>
        <w:t> </w:t>
      </w:r>
      <w:r w:rsidR="008B35E8" w:rsidRPr="002866E5">
        <w:rPr>
          <w:noProof/>
        </w:rPr>
        <w:t>roz</w:t>
      </w:r>
      <w:r w:rsidRPr="002866E5">
        <w:rPr>
          <w:noProof/>
        </w:rPr>
        <w:t>porządzeniem (UE) 2019/1020 nadzór rynku na terytorium danego państwa członkowskiego sprawują krajowe organy nadzoru rynku. Państwa członkowskie mogą wyznaczyć do pełnienia funkcji organu nadzoru rynku dowolny istniejący lub nowy organ,</w:t>
      </w:r>
      <w:r w:rsidR="008B35E8" w:rsidRPr="002866E5">
        <w:rPr>
          <w:noProof/>
        </w:rPr>
        <w:t xml:space="preserve"> w</w:t>
      </w:r>
      <w:r w:rsidR="008B35E8">
        <w:rPr>
          <w:noProof/>
        </w:rPr>
        <w:t> </w:t>
      </w:r>
      <w:r w:rsidR="008B35E8" w:rsidRPr="002866E5">
        <w:rPr>
          <w:noProof/>
        </w:rPr>
        <w:t>tym</w:t>
      </w:r>
      <w:r w:rsidRPr="002866E5">
        <w:rPr>
          <w:noProof/>
        </w:rPr>
        <w:t xml:space="preserve"> ustanowione właściwe organy krajowe,</w:t>
      </w:r>
      <w:r w:rsidR="008B35E8" w:rsidRPr="002866E5">
        <w:rPr>
          <w:noProof/>
        </w:rPr>
        <w:t xml:space="preserve"> o</w:t>
      </w:r>
      <w:r w:rsidR="008B35E8">
        <w:rPr>
          <w:noProof/>
        </w:rPr>
        <w:t> </w:t>
      </w:r>
      <w:r w:rsidR="008B35E8" w:rsidRPr="002866E5">
        <w:rPr>
          <w:noProof/>
        </w:rPr>
        <w:t>któ</w:t>
      </w:r>
      <w:r w:rsidRPr="002866E5">
        <w:rPr>
          <w:noProof/>
        </w:rPr>
        <w:t>rych mowa</w:t>
      </w:r>
      <w:r w:rsidR="008B35E8" w:rsidRPr="002866E5">
        <w:rPr>
          <w:noProof/>
        </w:rPr>
        <w:t xml:space="preserve"> w</w:t>
      </w:r>
      <w:r w:rsidR="008B35E8">
        <w:rPr>
          <w:noProof/>
        </w:rPr>
        <w:t> </w:t>
      </w:r>
      <w:r w:rsidR="008B35E8" w:rsidRPr="002866E5">
        <w:rPr>
          <w:noProof/>
        </w:rPr>
        <w:t>art</w:t>
      </w:r>
      <w:r w:rsidRPr="002866E5">
        <w:rPr>
          <w:noProof/>
        </w:rPr>
        <w:t>. [art. X] dyrektywy [dyrektywy XXX/XXXX (NIS 2)], lub wyznaczone krajowe organy ds. certyfikacji cyberbezpieczeństwa,</w:t>
      </w:r>
      <w:r w:rsidR="008B35E8" w:rsidRPr="002866E5">
        <w:rPr>
          <w:noProof/>
        </w:rPr>
        <w:t xml:space="preserve"> o</w:t>
      </w:r>
      <w:r w:rsidR="008B35E8">
        <w:rPr>
          <w:noProof/>
        </w:rPr>
        <w:t> </w:t>
      </w:r>
      <w:r w:rsidR="008B35E8" w:rsidRPr="002866E5">
        <w:rPr>
          <w:noProof/>
        </w:rPr>
        <w:t>któ</w:t>
      </w:r>
      <w:r w:rsidRPr="002866E5">
        <w:rPr>
          <w:noProof/>
        </w:rPr>
        <w:t>rych mowa</w:t>
      </w:r>
      <w:r w:rsidR="008B35E8" w:rsidRPr="002866E5">
        <w:rPr>
          <w:noProof/>
        </w:rPr>
        <w:t xml:space="preserve"> w</w:t>
      </w:r>
      <w:r w:rsidR="008B35E8">
        <w:rPr>
          <w:noProof/>
        </w:rPr>
        <w:t> </w:t>
      </w:r>
      <w:r w:rsidR="008B35E8" w:rsidRPr="008B35E8">
        <w:rPr>
          <w:noProof/>
        </w:rPr>
        <w:t>art</w:t>
      </w:r>
      <w:r w:rsidRPr="008B35E8">
        <w:rPr>
          <w:noProof/>
        </w:rPr>
        <w:t>.</w:t>
      </w:r>
      <w:r w:rsidR="008B35E8" w:rsidRPr="008B35E8">
        <w:rPr>
          <w:noProof/>
        </w:rPr>
        <w:t> </w:t>
      </w:r>
      <w:r w:rsidRPr="008B35E8">
        <w:rPr>
          <w:noProof/>
        </w:rPr>
        <w:t>5</w:t>
      </w:r>
      <w:r w:rsidRPr="002866E5">
        <w:rPr>
          <w:noProof/>
        </w:rPr>
        <w:t>8 rozporządzenia (UE) 2019/881. Podmioty gospodarcze powinny</w:t>
      </w:r>
      <w:r w:rsidR="008B35E8" w:rsidRPr="002866E5">
        <w:rPr>
          <w:noProof/>
        </w:rPr>
        <w:t xml:space="preserve"> w</w:t>
      </w:r>
      <w:r w:rsidR="008B35E8">
        <w:rPr>
          <w:noProof/>
        </w:rPr>
        <w:t> </w:t>
      </w:r>
      <w:r w:rsidR="008B35E8" w:rsidRPr="002866E5">
        <w:rPr>
          <w:noProof/>
        </w:rPr>
        <w:t>peł</w:t>
      </w:r>
      <w:r w:rsidRPr="002866E5">
        <w:rPr>
          <w:noProof/>
        </w:rPr>
        <w:t>ni współpracować</w:t>
      </w:r>
      <w:r w:rsidR="008B35E8" w:rsidRPr="002866E5">
        <w:rPr>
          <w:noProof/>
        </w:rPr>
        <w:t xml:space="preserve"> z</w:t>
      </w:r>
      <w:r w:rsidR="008B35E8">
        <w:rPr>
          <w:noProof/>
        </w:rPr>
        <w:t> </w:t>
      </w:r>
      <w:r w:rsidR="008B35E8" w:rsidRPr="002866E5">
        <w:rPr>
          <w:noProof/>
        </w:rPr>
        <w:t>org</w:t>
      </w:r>
      <w:r w:rsidRPr="002866E5">
        <w:rPr>
          <w:noProof/>
        </w:rPr>
        <w:t>anami nadzoru rynku</w:t>
      </w:r>
      <w:r w:rsidR="008B35E8" w:rsidRPr="002866E5">
        <w:rPr>
          <w:noProof/>
        </w:rPr>
        <w:t xml:space="preserve"> i</w:t>
      </w:r>
      <w:r w:rsidR="008B35E8">
        <w:rPr>
          <w:noProof/>
        </w:rPr>
        <w:t> </w:t>
      </w:r>
      <w:r w:rsidR="008B35E8" w:rsidRPr="002866E5">
        <w:rPr>
          <w:noProof/>
        </w:rPr>
        <w:t>inn</w:t>
      </w:r>
      <w:r w:rsidRPr="002866E5">
        <w:rPr>
          <w:noProof/>
        </w:rPr>
        <w:t xml:space="preserve">ymi właściwymi organami. </w:t>
      </w:r>
    </w:p>
    <w:p w14:paraId="67ED86B4" w14:textId="4F546444" w:rsidR="005E260B" w:rsidRPr="002866E5" w:rsidRDefault="005E260B" w:rsidP="005E260B">
      <w:pPr>
        <w:rPr>
          <w:noProof/>
          <w:u w:val="single"/>
        </w:rPr>
      </w:pPr>
      <w:r w:rsidRPr="002866E5">
        <w:rPr>
          <w:noProof/>
          <w:u w:val="single"/>
        </w:rPr>
        <w:t>Przekazane uprawnienia</w:t>
      </w:r>
      <w:r w:rsidR="008B35E8" w:rsidRPr="002866E5">
        <w:rPr>
          <w:noProof/>
          <w:u w:val="single"/>
        </w:rPr>
        <w:t xml:space="preserve"> i</w:t>
      </w:r>
      <w:r w:rsidR="008B35E8">
        <w:rPr>
          <w:noProof/>
          <w:u w:val="single"/>
        </w:rPr>
        <w:t> </w:t>
      </w:r>
      <w:r w:rsidR="008B35E8" w:rsidRPr="002866E5">
        <w:rPr>
          <w:noProof/>
          <w:u w:val="single"/>
        </w:rPr>
        <w:t>pro</w:t>
      </w:r>
      <w:r w:rsidRPr="002866E5">
        <w:rPr>
          <w:noProof/>
          <w:u w:val="single"/>
        </w:rPr>
        <w:t>cedury komitetowe (rozdział VI)</w:t>
      </w:r>
    </w:p>
    <w:p w14:paraId="67ED86B5" w14:textId="7B7440DE" w:rsidR="006C6C90" w:rsidRPr="002866E5" w:rsidRDefault="006C6C90" w:rsidP="004D6632">
      <w:pPr>
        <w:rPr>
          <w:noProof/>
        </w:rPr>
      </w:pPr>
      <w:r w:rsidRPr="002866E5">
        <w:rPr>
          <w:noProof/>
        </w:rPr>
        <w:t>Aby zapewnić możliwość dostosowania ram regulacyjnych</w:t>
      </w:r>
      <w:r w:rsidR="008B35E8" w:rsidRPr="002866E5">
        <w:rPr>
          <w:noProof/>
        </w:rPr>
        <w:t xml:space="preserve"> w</w:t>
      </w:r>
      <w:r w:rsidR="008B35E8">
        <w:rPr>
          <w:noProof/>
        </w:rPr>
        <w:t> </w:t>
      </w:r>
      <w:r w:rsidR="008B35E8" w:rsidRPr="002866E5">
        <w:rPr>
          <w:noProof/>
        </w:rPr>
        <w:t>sto</w:t>
      </w:r>
      <w:r w:rsidRPr="002866E5">
        <w:rPr>
          <w:noProof/>
        </w:rPr>
        <w:t xml:space="preserve">sownych przypadkach, przekazuje się Komisji uprawnienia do przyjmowania na podstawie </w:t>
      </w:r>
      <w:r w:rsidRPr="008B35E8">
        <w:rPr>
          <w:noProof/>
        </w:rPr>
        <w:t>art.</w:t>
      </w:r>
      <w:r w:rsidR="008B35E8" w:rsidRPr="008B35E8">
        <w:rPr>
          <w:noProof/>
        </w:rPr>
        <w:t> </w:t>
      </w:r>
      <w:r w:rsidRPr="008B35E8">
        <w:rPr>
          <w:noProof/>
        </w:rPr>
        <w:t>2</w:t>
      </w:r>
      <w:r w:rsidRPr="002866E5">
        <w:rPr>
          <w:noProof/>
        </w:rPr>
        <w:t>90 TFUE aktów</w:t>
      </w:r>
      <w:r w:rsidR="008B35E8" w:rsidRPr="002866E5">
        <w:rPr>
          <w:noProof/>
        </w:rPr>
        <w:t xml:space="preserve"> w</w:t>
      </w:r>
      <w:r w:rsidR="008B35E8">
        <w:rPr>
          <w:noProof/>
        </w:rPr>
        <w:t> </w:t>
      </w:r>
      <w:r w:rsidR="008B35E8" w:rsidRPr="002866E5">
        <w:rPr>
          <w:noProof/>
        </w:rPr>
        <w:t>cel</w:t>
      </w:r>
      <w:r w:rsidRPr="002866E5">
        <w:rPr>
          <w:noProof/>
        </w:rPr>
        <w:t>u aktualizacji wykazu produktów krytycznych klasy I i II oraz określenia definicji tych produktów; określenia, czy konieczne jest ograniczenie lub wyłączenie</w:t>
      </w:r>
      <w:r w:rsidR="008B35E8" w:rsidRPr="002866E5">
        <w:rPr>
          <w:noProof/>
        </w:rPr>
        <w:t xml:space="preserve"> w</w:t>
      </w:r>
      <w:r w:rsidR="008B35E8">
        <w:rPr>
          <w:noProof/>
        </w:rPr>
        <w:t> </w:t>
      </w:r>
      <w:r w:rsidR="008B35E8" w:rsidRPr="002866E5">
        <w:rPr>
          <w:noProof/>
        </w:rPr>
        <w:t>odn</w:t>
      </w:r>
      <w:r w:rsidRPr="002866E5">
        <w:rPr>
          <w:noProof/>
        </w:rPr>
        <w:t>iesieniu do produktów</w:t>
      </w:r>
      <w:r w:rsidR="008B35E8" w:rsidRPr="002866E5">
        <w:rPr>
          <w:noProof/>
        </w:rPr>
        <w:t xml:space="preserve"> z</w:t>
      </w:r>
      <w:r w:rsidR="008B35E8">
        <w:rPr>
          <w:noProof/>
        </w:rPr>
        <w:t> </w:t>
      </w:r>
      <w:r w:rsidR="008B35E8" w:rsidRPr="002866E5">
        <w:rPr>
          <w:noProof/>
        </w:rPr>
        <w:t>ele</w:t>
      </w:r>
      <w:r w:rsidRPr="002866E5">
        <w:rPr>
          <w:noProof/>
        </w:rPr>
        <w:t>mentami cyfrowymi objętych innymi przepisami unijnymi określającymi wymogi zapewniające taki sam poziom ochrony jak niniejsze rozporządzenie; wprowadzenia obowiązku certyfikacji niektórych produktów wysoce krytycznych</w:t>
      </w:r>
      <w:r w:rsidR="008B35E8" w:rsidRPr="002866E5">
        <w:rPr>
          <w:noProof/>
        </w:rPr>
        <w:t xml:space="preserve"> z</w:t>
      </w:r>
      <w:r w:rsidR="008B35E8">
        <w:rPr>
          <w:noProof/>
        </w:rPr>
        <w:t> </w:t>
      </w:r>
      <w:r w:rsidR="008B35E8" w:rsidRPr="002866E5">
        <w:rPr>
          <w:noProof/>
        </w:rPr>
        <w:t>ele</w:t>
      </w:r>
      <w:r w:rsidRPr="002866E5">
        <w:rPr>
          <w:noProof/>
        </w:rPr>
        <w:t>mentami cyfrowymi</w:t>
      </w:r>
      <w:r w:rsidR="008B35E8" w:rsidRPr="002866E5">
        <w:rPr>
          <w:noProof/>
        </w:rPr>
        <w:t xml:space="preserve"> w</w:t>
      </w:r>
      <w:r w:rsidR="008B35E8">
        <w:rPr>
          <w:noProof/>
        </w:rPr>
        <w:t> </w:t>
      </w:r>
      <w:r w:rsidR="008B35E8" w:rsidRPr="002866E5">
        <w:rPr>
          <w:noProof/>
        </w:rPr>
        <w:t>opa</w:t>
      </w:r>
      <w:r w:rsidRPr="002866E5">
        <w:rPr>
          <w:noProof/>
        </w:rPr>
        <w:t>rciu</w:t>
      </w:r>
      <w:r w:rsidR="008B35E8" w:rsidRPr="002866E5">
        <w:rPr>
          <w:noProof/>
        </w:rPr>
        <w:t xml:space="preserve"> o</w:t>
      </w:r>
      <w:r w:rsidR="008B35E8">
        <w:rPr>
          <w:noProof/>
        </w:rPr>
        <w:t> </w:t>
      </w:r>
      <w:r w:rsidR="008B35E8" w:rsidRPr="002866E5">
        <w:rPr>
          <w:noProof/>
        </w:rPr>
        <w:t>kry</w:t>
      </w:r>
      <w:r w:rsidRPr="002866E5">
        <w:rPr>
          <w:noProof/>
        </w:rPr>
        <w:t>teria określone</w:t>
      </w:r>
      <w:r w:rsidR="008B35E8" w:rsidRPr="002866E5">
        <w:rPr>
          <w:noProof/>
        </w:rPr>
        <w:t xml:space="preserve"> w</w:t>
      </w:r>
      <w:r w:rsidR="008B35E8">
        <w:rPr>
          <w:noProof/>
        </w:rPr>
        <w:t> </w:t>
      </w:r>
      <w:r w:rsidR="008B35E8" w:rsidRPr="002866E5">
        <w:rPr>
          <w:noProof/>
        </w:rPr>
        <w:t>nin</w:t>
      </w:r>
      <w:r w:rsidRPr="002866E5">
        <w:rPr>
          <w:noProof/>
        </w:rPr>
        <w:t>iejszym rozporządzeniu; określenia minimalnego zakresu deklaracji zgodności UE oraz uzupełnienia elementów, które należy uwzględnić</w:t>
      </w:r>
      <w:r w:rsidR="008B35E8" w:rsidRPr="002866E5">
        <w:rPr>
          <w:noProof/>
        </w:rPr>
        <w:t xml:space="preserve"> w</w:t>
      </w:r>
      <w:r w:rsidR="008B35E8">
        <w:rPr>
          <w:noProof/>
        </w:rPr>
        <w:t> </w:t>
      </w:r>
      <w:r w:rsidR="008B35E8" w:rsidRPr="002866E5">
        <w:rPr>
          <w:noProof/>
        </w:rPr>
        <w:t>dok</w:t>
      </w:r>
      <w:r w:rsidRPr="002866E5">
        <w:rPr>
          <w:noProof/>
        </w:rPr>
        <w:t>umentacji technicznej.</w:t>
      </w:r>
    </w:p>
    <w:p w14:paraId="67ED86B6" w14:textId="6D9B351C" w:rsidR="006A5147" w:rsidRPr="002866E5" w:rsidRDefault="006A5147" w:rsidP="004D6632">
      <w:pPr>
        <w:rPr>
          <w:noProof/>
        </w:rPr>
      </w:pPr>
      <w:r w:rsidRPr="002866E5">
        <w:rPr>
          <w:noProof/>
        </w:rPr>
        <w:t>Komisja jest również uprawniona do przyjmowania aktów wykonawczych</w:t>
      </w:r>
      <w:r w:rsidR="008B35E8" w:rsidRPr="002866E5">
        <w:rPr>
          <w:noProof/>
        </w:rPr>
        <w:t xml:space="preserve"> w</w:t>
      </w:r>
      <w:r w:rsidR="008B35E8">
        <w:rPr>
          <w:noProof/>
        </w:rPr>
        <w:t> </w:t>
      </w:r>
      <w:r w:rsidR="008B35E8" w:rsidRPr="002866E5">
        <w:rPr>
          <w:noProof/>
        </w:rPr>
        <w:t>cel</w:t>
      </w:r>
      <w:r w:rsidRPr="002866E5">
        <w:rPr>
          <w:noProof/>
        </w:rPr>
        <w:t>u: określenia formatu lub elementów dotyczących obowiązków</w:t>
      </w:r>
      <w:r w:rsidR="008B35E8" w:rsidRPr="002866E5">
        <w:rPr>
          <w:noProof/>
        </w:rPr>
        <w:t xml:space="preserve"> w</w:t>
      </w:r>
      <w:r w:rsidR="008B35E8">
        <w:rPr>
          <w:noProof/>
        </w:rPr>
        <w:t> </w:t>
      </w:r>
      <w:r w:rsidR="008B35E8" w:rsidRPr="002866E5">
        <w:rPr>
          <w:noProof/>
        </w:rPr>
        <w:t>zak</w:t>
      </w:r>
      <w:r w:rsidRPr="002866E5">
        <w:rPr>
          <w:noProof/>
        </w:rPr>
        <w:t>resie zgłaszania incydentów oraz zestawienia podstawowych materiałów do produkcji oprogramowania; określania europejskich programów certyfikacji cyberbezpieczeństwa, które można stosować</w:t>
      </w:r>
      <w:r w:rsidR="008B35E8" w:rsidRPr="002866E5">
        <w:rPr>
          <w:noProof/>
        </w:rPr>
        <w:t xml:space="preserve"> w</w:t>
      </w:r>
      <w:r w:rsidR="008B35E8">
        <w:rPr>
          <w:noProof/>
        </w:rPr>
        <w:t> </w:t>
      </w:r>
      <w:r w:rsidR="008B35E8" w:rsidRPr="002866E5">
        <w:rPr>
          <w:noProof/>
        </w:rPr>
        <w:t>cel</w:t>
      </w:r>
      <w:r w:rsidRPr="002866E5">
        <w:rPr>
          <w:noProof/>
        </w:rPr>
        <w:t>u wykazania zgodności</w:t>
      </w:r>
      <w:r w:rsidR="008B35E8" w:rsidRPr="002866E5">
        <w:rPr>
          <w:noProof/>
        </w:rPr>
        <w:t xml:space="preserve"> z</w:t>
      </w:r>
      <w:r w:rsidR="008B35E8">
        <w:rPr>
          <w:noProof/>
        </w:rPr>
        <w:t> </w:t>
      </w:r>
      <w:r w:rsidR="008B35E8" w:rsidRPr="002866E5">
        <w:rPr>
          <w:noProof/>
        </w:rPr>
        <w:t>zas</w:t>
      </w:r>
      <w:r w:rsidRPr="002866E5">
        <w:rPr>
          <w:noProof/>
        </w:rPr>
        <w:t>adniczymi wymogami lub ich częściami określonymi</w:t>
      </w:r>
      <w:r w:rsidR="008B35E8" w:rsidRPr="002866E5">
        <w:rPr>
          <w:noProof/>
        </w:rPr>
        <w:t xml:space="preserve"> w</w:t>
      </w:r>
      <w:r w:rsidR="008B35E8">
        <w:rPr>
          <w:noProof/>
        </w:rPr>
        <w:t> </w:t>
      </w:r>
      <w:r w:rsidR="008B35E8" w:rsidRPr="002866E5">
        <w:rPr>
          <w:noProof/>
        </w:rPr>
        <w:t>nin</w:t>
      </w:r>
      <w:r w:rsidRPr="002866E5">
        <w:rPr>
          <w:noProof/>
        </w:rPr>
        <w:t xml:space="preserve">iejszym rozporządzeniu; przyjęcia wspólnych specyfikacji; ustanowienia specyfikacji technicznych dotyczących umieszczania oznakowania CE; przyjęcia na poziomie Unii środków </w:t>
      </w:r>
      <w:r w:rsidRPr="002866E5">
        <w:rPr>
          <w:noProof/>
        </w:rPr>
        <w:lastRenderedPageBreak/>
        <w:t>naprawczych lub ograniczających</w:t>
      </w:r>
      <w:r w:rsidR="008B35E8" w:rsidRPr="002866E5">
        <w:rPr>
          <w:noProof/>
        </w:rPr>
        <w:t xml:space="preserve"> w</w:t>
      </w:r>
      <w:r w:rsidR="008B35E8">
        <w:rPr>
          <w:noProof/>
        </w:rPr>
        <w:t> </w:t>
      </w:r>
      <w:r w:rsidR="008B35E8" w:rsidRPr="002866E5">
        <w:rPr>
          <w:noProof/>
        </w:rPr>
        <w:t>wyj</w:t>
      </w:r>
      <w:r w:rsidRPr="002866E5">
        <w:rPr>
          <w:noProof/>
        </w:rPr>
        <w:t>ątkowych okolicznościach, które uzasadniają niezwłoczną interwencję</w:t>
      </w:r>
      <w:r w:rsidR="008B35E8" w:rsidRPr="002866E5">
        <w:rPr>
          <w:noProof/>
        </w:rPr>
        <w:t xml:space="preserve"> w</w:t>
      </w:r>
      <w:r w:rsidR="008B35E8">
        <w:rPr>
          <w:noProof/>
        </w:rPr>
        <w:t> </w:t>
      </w:r>
      <w:r w:rsidR="008B35E8" w:rsidRPr="002866E5">
        <w:rPr>
          <w:noProof/>
        </w:rPr>
        <w:t>cel</w:t>
      </w:r>
      <w:r w:rsidRPr="002866E5">
        <w:rPr>
          <w:noProof/>
        </w:rPr>
        <w:t>u utrzymania prawidłowego funkcjonowania rynku wewnętrznego.</w:t>
      </w:r>
    </w:p>
    <w:p w14:paraId="67ED86B7" w14:textId="2B65C6EF" w:rsidR="00BB61F2" w:rsidRPr="002866E5" w:rsidRDefault="00D5783F" w:rsidP="00BB61F2">
      <w:pPr>
        <w:rPr>
          <w:noProof/>
          <w:u w:val="single"/>
        </w:rPr>
      </w:pPr>
      <w:r w:rsidRPr="002866E5">
        <w:rPr>
          <w:noProof/>
          <w:u w:val="single"/>
        </w:rPr>
        <w:t>Poufność</w:t>
      </w:r>
      <w:r w:rsidR="008B35E8" w:rsidRPr="002866E5">
        <w:rPr>
          <w:noProof/>
          <w:u w:val="single"/>
        </w:rPr>
        <w:t xml:space="preserve"> i</w:t>
      </w:r>
      <w:r w:rsidR="008B35E8">
        <w:rPr>
          <w:noProof/>
          <w:u w:val="single"/>
        </w:rPr>
        <w:t> </w:t>
      </w:r>
      <w:r w:rsidR="008B35E8" w:rsidRPr="002866E5">
        <w:rPr>
          <w:noProof/>
          <w:u w:val="single"/>
        </w:rPr>
        <w:t>kar</w:t>
      </w:r>
      <w:r w:rsidRPr="002866E5">
        <w:rPr>
          <w:noProof/>
          <w:u w:val="single"/>
        </w:rPr>
        <w:t>y (rozdział VII)</w:t>
      </w:r>
    </w:p>
    <w:p w14:paraId="67ED86B8" w14:textId="268E9142" w:rsidR="00A66D68" w:rsidRPr="002866E5" w:rsidRDefault="00A66D68" w:rsidP="00BB61F2">
      <w:pPr>
        <w:rPr>
          <w:noProof/>
        </w:rPr>
      </w:pPr>
      <w:r w:rsidRPr="002866E5">
        <w:rPr>
          <w:noProof/>
        </w:rPr>
        <w:t>Wszystkie strony stosujące niniejsze rozporządzenie powinny przestrzegać zasady poufności informacji</w:t>
      </w:r>
      <w:r w:rsidR="008B35E8" w:rsidRPr="002866E5">
        <w:rPr>
          <w:noProof/>
        </w:rPr>
        <w:t xml:space="preserve"> i</w:t>
      </w:r>
      <w:r w:rsidR="008B35E8">
        <w:rPr>
          <w:noProof/>
        </w:rPr>
        <w:t> </w:t>
      </w:r>
      <w:r w:rsidR="008B35E8" w:rsidRPr="002866E5">
        <w:rPr>
          <w:noProof/>
        </w:rPr>
        <w:t>dan</w:t>
      </w:r>
      <w:r w:rsidRPr="002866E5">
        <w:rPr>
          <w:noProof/>
        </w:rPr>
        <w:t>ych uzyskanych podczas wykonywania swoich zadań.</w:t>
      </w:r>
    </w:p>
    <w:p w14:paraId="67ED86B9" w14:textId="1FB20F21" w:rsidR="00BB61F2" w:rsidRPr="002866E5" w:rsidRDefault="00BB61F2" w:rsidP="00BB61F2">
      <w:pPr>
        <w:rPr>
          <w:noProof/>
        </w:rPr>
      </w:pPr>
      <w:r w:rsidRPr="002866E5">
        <w:rPr>
          <w:noProof/>
        </w:rPr>
        <w:t>Aby zapewnić skuteczne egzekwowanie obowiązków przewidzianych</w:t>
      </w:r>
      <w:r w:rsidR="008B35E8" w:rsidRPr="002866E5">
        <w:rPr>
          <w:noProof/>
        </w:rPr>
        <w:t xml:space="preserve"> w</w:t>
      </w:r>
      <w:r w:rsidR="008B35E8">
        <w:rPr>
          <w:noProof/>
        </w:rPr>
        <w:t> </w:t>
      </w:r>
      <w:r w:rsidR="008B35E8" w:rsidRPr="002866E5">
        <w:rPr>
          <w:noProof/>
        </w:rPr>
        <w:t>nin</w:t>
      </w:r>
      <w:r w:rsidRPr="002866E5">
        <w:rPr>
          <w:noProof/>
        </w:rPr>
        <w:t>iejszym rozporządzeniu, każdy organ nadzoru rynku powinien być uprawniony do nakładania lub żądania nałożenia administracyjnych kar pieniężnych. Podobnie</w:t>
      </w:r>
      <w:r w:rsidR="008B35E8" w:rsidRPr="002866E5">
        <w:rPr>
          <w:noProof/>
        </w:rPr>
        <w:t xml:space="preserve"> w</w:t>
      </w:r>
      <w:r w:rsidR="008B35E8">
        <w:rPr>
          <w:noProof/>
        </w:rPr>
        <w:t> </w:t>
      </w:r>
      <w:r w:rsidR="008B35E8" w:rsidRPr="002866E5">
        <w:rPr>
          <w:noProof/>
        </w:rPr>
        <w:t>nin</w:t>
      </w:r>
      <w:r w:rsidRPr="002866E5">
        <w:rPr>
          <w:noProof/>
        </w:rPr>
        <w:t>iejszym rozporządzeniu określono maksymalne poziomy administracyjnych kar pieniężnych, które powinno się przewidzieć</w:t>
      </w:r>
      <w:r w:rsidR="008B35E8" w:rsidRPr="002866E5">
        <w:rPr>
          <w:noProof/>
        </w:rPr>
        <w:t xml:space="preserve"> w</w:t>
      </w:r>
      <w:r w:rsidR="008B35E8">
        <w:rPr>
          <w:noProof/>
        </w:rPr>
        <w:t> </w:t>
      </w:r>
      <w:r w:rsidR="008B35E8" w:rsidRPr="002866E5">
        <w:rPr>
          <w:noProof/>
        </w:rPr>
        <w:t>prz</w:t>
      </w:r>
      <w:r w:rsidRPr="002866E5">
        <w:rPr>
          <w:noProof/>
        </w:rPr>
        <w:t>episach krajowych za nieprzestrzeganie obowiązków określonych</w:t>
      </w:r>
      <w:r w:rsidR="008B35E8" w:rsidRPr="002866E5">
        <w:rPr>
          <w:noProof/>
        </w:rPr>
        <w:t xml:space="preserve"> w</w:t>
      </w:r>
      <w:r w:rsidR="008B35E8">
        <w:rPr>
          <w:noProof/>
        </w:rPr>
        <w:t> </w:t>
      </w:r>
      <w:r w:rsidR="008B35E8" w:rsidRPr="002866E5">
        <w:rPr>
          <w:noProof/>
        </w:rPr>
        <w:t>nin</w:t>
      </w:r>
      <w:r w:rsidRPr="002866E5">
        <w:rPr>
          <w:noProof/>
        </w:rPr>
        <w:t>iejszym rozporządzeniu.</w:t>
      </w:r>
    </w:p>
    <w:p w14:paraId="67ED86BA" w14:textId="0EDE7970" w:rsidR="0053665E" w:rsidRPr="002866E5" w:rsidRDefault="00002158" w:rsidP="004D6632">
      <w:pPr>
        <w:rPr>
          <w:noProof/>
          <w:u w:val="single"/>
        </w:rPr>
      </w:pPr>
      <w:r w:rsidRPr="002866E5">
        <w:rPr>
          <w:noProof/>
          <w:u w:val="single"/>
        </w:rPr>
        <w:t>Przepisy przejściowe</w:t>
      </w:r>
      <w:r w:rsidR="008B35E8" w:rsidRPr="002866E5">
        <w:rPr>
          <w:noProof/>
          <w:u w:val="single"/>
        </w:rPr>
        <w:t xml:space="preserve"> i</w:t>
      </w:r>
      <w:r w:rsidR="008B35E8">
        <w:rPr>
          <w:noProof/>
          <w:u w:val="single"/>
        </w:rPr>
        <w:t> </w:t>
      </w:r>
      <w:r w:rsidR="008B35E8" w:rsidRPr="002866E5">
        <w:rPr>
          <w:noProof/>
          <w:u w:val="single"/>
        </w:rPr>
        <w:t>koń</w:t>
      </w:r>
      <w:r w:rsidRPr="002866E5">
        <w:rPr>
          <w:noProof/>
          <w:u w:val="single"/>
        </w:rPr>
        <w:t>cowe (rozdział VIII)</w:t>
      </w:r>
    </w:p>
    <w:p w14:paraId="67ED86BB" w14:textId="534C9B9A" w:rsidR="00002158" w:rsidRPr="002866E5" w:rsidRDefault="002F5F5E" w:rsidP="004D6632">
      <w:pPr>
        <w:rPr>
          <w:noProof/>
        </w:rPr>
      </w:pPr>
      <w:r w:rsidRPr="002866E5">
        <w:rPr>
          <w:noProof/>
        </w:rPr>
        <w:t>Aby dać producentom, jednostkom notyfikowanym</w:t>
      </w:r>
      <w:r w:rsidR="008B35E8" w:rsidRPr="002866E5">
        <w:rPr>
          <w:noProof/>
        </w:rPr>
        <w:t xml:space="preserve"> i</w:t>
      </w:r>
      <w:r w:rsidR="008B35E8">
        <w:rPr>
          <w:noProof/>
        </w:rPr>
        <w:t> </w:t>
      </w:r>
      <w:r w:rsidR="008B35E8" w:rsidRPr="002866E5">
        <w:rPr>
          <w:noProof/>
        </w:rPr>
        <w:t>pań</w:t>
      </w:r>
      <w:r w:rsidRPr="002866E5">
        <w:rPr>
          <w:noProof/>
        </w:rPr>
        <w:t>stwom członkowskim czas na dostosowanie się do nowych wymogów, proponowane rozporządzenie zacznie być stosowane [24 miesięcy] po wejściu</w:t>
      </w:r>
      <w:r w:rsidR="008B35E8" w:rsidRPr="002866E5">
        <w:rPr>
          <w:noProof/>
        </w:rPr>
        <w:t xml:space="preserve"> w</w:t>
      </w:r>
      <w:r w:rsidR="008B35E8">
        <w:rPr>
          <w:noProof/>
        </w:rPr>
        <w:t> </w:t>
      </w:r>
      <w:r w:rsidR="008B35E8" w:rsidRPr="002866E5">
        <w:rPr>
          <w:noProof/>
        </w:rPr>
        <w:t>życ</w:t>
      </w:r>
      <w:r w:rsidRPr="002866E5">
        <w:rPr>
          <w:noProof/>
        </w:rPr>
        <w:t>ie,</w:t>
      </w:r>
      <w:r w:rsidR="008B35E8" w:rsidRPr="002866E5">
        <w:rPr>
          <w:noProof/>
        </w:rPr>
        <w:t xml:space="preserve"> z</w:t>
      </w:r>
      <w:r w:rsidR="008B35E8">
        <w:rPr>
          <w:noProof/>
        </w:rPr>
        <w:t> </w:t>
      </w:r>
      <w:r w:rsidR="008B35E8" w:rsidRPr="002866E5">
        <w:rPr>
          <w:noProof/>
        </w:rPr>
        <w:t>wyj</w:t>
      </w:r>
      <w:r w:rsidRPr="002866E5">
        <w:rPr>
          <w:noProof/>
        </w:rPr>
        <w:t>ątkiem obowiązków</w:t>
      </w:r>
      <w:r w:rsidR="008B35E8" w:rsidRPr="002866E5">
        <w:rPr>
          <w:noProof/>
        </w:rPr>
        <w:t xml:space="preserve"> w</w:t>
      </w:r>
      <w:r w:rsidR="008B35E8">
        <w:rPr>
          <w:noProof/>
        </w:rPr>
        <w:t> </w:t>
      </w:r>
      <w:r w:rsidR="008B35E8" w:rsidRPr="002866E5">
        <w:rPr>
          <w:noProof/>
        </w:rPr>
        <w:t>zak</w:t>
      </w:r>
      <w:r w:rsidRPr="002866E5">
        <w:rPr>
          <w:noProof/>
        </w:rPr>
        <w:t>resie zgłaszania incydentów nałożonych na producentów, które zaczną mieć zastosowanie [12 miesięcy] po wejściu</w:t>
      </w:r>
      <w:r w:rsidR="008B35E8" w:rsidRPr="002866E5">
        <w:rPr>
          <w:noProof/>
        </w:rPr>
        <w:t xml:space="preserve"> w</w:t>
      </w:r>
      <w:r w:rsidR="008B35E8">
        <w:rPr>
          <w:noProof/>
        </w:rPr>
        <w:t> </w:t>
      </w:r>
      <w:r w:rsidR="008B35E8" w:rsidRPr="002866E5">
        <w:rPr>
          <w:noProof/>
        </w:rPr>
        <w:t>życ</w:t>
      </w:r>
      <w:r w:rsidRPr="002866E5">
        <w:rPr>
          <w:noProof/>
        </w:rPr>
        <w:t>ie.</w:t>
      </w:r>
    </w:p>
    <w:p w14:paraId="67ED86BC" w14:textId="77777777" w:rsidR="00E45B83" w:rsidRPr="002866E5" w:rsidRDefault="00F17548">
      <w:pPr>
        <w:spacing w:before="0" w:after="200" w:line="276" w:lineRule="auto"/>
        <w:jc w:val="left"/>
        <w:rPr>
          <w:noProof/>
        </w:rPr>
        <w:sectPr w:rsidR="00E45B83" w:rsidRPr="002866E5" w:rsidSect="00C00460">
          <w:footerReference w:type="default" r:id="rId15"/>
          <w:footerReference w:type="first" r:id="rId16"/>
          <w:footnotePr>
            <w:numRestart w:val="eachSect"/>
          </w:footnotePr>
          <w:pgSz w:w="11907" w:h="16839"/>
          <w:pgMar w:top="1134" w:right="1417" w:bottom="1134" w:left="1417" w:header="709" w:footer="709" w:gutter="0"/>
          <w:cols w:space="708"/>
          <w:docGrid w:linePitch="360"/>
        </w:sectPr>
      </w:pPr>
      <w:r w:rsidRPr="002866E5">
        <w:rPr>
          <w:noProof/>
        </w:rPr>
        <w:br w:type="page"/>
      </w:r>
    </w:p>
    <w:p w14:paraId="67ED86BD" w14:textId="0D027DA5" w:rsidR="008474D6" w:rsidRPr="002866E5" w:rsidRDefault="009D5C7E" w:rsidP="009D5C7E">
      <w:pPr>
        <w:pStyle w:val="Rfrenceinterinstitutionnelle"/>
        <w:rPr>
          <w:noProof/>
        </w:rPr>
      </w:pPr>
      <w:r w:rsidRPr="009D5C7E">
        <w:lastRenderedPageBreak/>
        <w:t>2022/0272 (COD)</w:t>
      </w:r>
    </w:p>
    <w:p w14:paraId="67ED86BE" w14:textId="3C37C260" w:rsidR="0037165D" w:rsidRPr="002866E5" w:rsidRDefault="008837DD" w:rsidP="008837DD">
      <w:pPr>
        <w:pStyle w:val="Statut"/>
        <w:rPr>
          <w:noProof/>
        </w:rPr>
      </w:pPr>
      <w:r w:rsidRPr="008837DD">
        <w:rPr>
          <w:noProof/>
        </w:rPr>
        <w:t>Wniosek</w:t>
      </w:r>
    </w:p>
    <w:p w14:paraId="67ED86BF" w14:textId="2BA3826F" w:rsidR="0037165D" w:rsidRPr="002866E5" w:rsidRDefault="008837DD" w:rsidP="008837DD">
      <w:pPr>
        <w:pStyle w:val="Typedudocument"/>
        <w:rPr>
          <w:noProof/>
        </w:rPr>
      </w:pPr>
      <w:r w:rsidRPr="008837DD">
        <w:rPr>
          <w:noProof/>
        </w:rPr>
        <w:t>ROZPORZĄDZENIE PARLAMENTU EUROPEJSKIEGO I RADY</w:t>
      </w:r>
    </w:p>
    <w:p w14:paraId="67ED86C0" w14:textId="4C500928" w:rsidR="0037165D" w:rsidRPr="002866E5" w:rsidRDefault="008837DD" w:rsidP="008837DD">
      <w:pPr>
        <w:pStyle w:val="Titreobjet"/>
        <w:rPr>
          <w:noProof/>
        </w:rPr>
      </w:pPr>
      <w:r w:rsidRPr="008837DD">
        <w:rPr>
          <w:noProof/>
        </w:rPr>
        <w:t>w sprawie horyzontalnych wymogów cyberbezpieczeństwa w odniesieniu do produktów z elementami cyfrowymi i zmieniające rozporządzenie (UE) 2019/1020</w:t>
      </w:r>
    </w:p>
    <w:p w14:paraId="67ED86C1" w14:textId="7460241D" w:rsidR="0037165D" w:rsidRPr="002866E5" w:rsidRDefault="008837DD" w:rsidP="008837DD">
      <w:pPr>
        <w:pStyle w:val="IntrtEEE"/>
        <w:rPr>
          <w:noProof/>
        </w:rPr>
      </w:pPr>
      <w:r w:rsidRPr="008837DD">
        <w:rPr>
          <w:noProof/>
        </w:rPr>
        <w:t>(Tekst mający znaczenie dla EOG)</w:t>
      </w:r>
    </w:p>
    <w:p w14:paraId="67ED86C2" w14:textId="77777777" w:rsidR="0037165D" w:rsidRPr="002866E5" w:rsidRDefault="0037165D" w:rsidP="00881943">
      <w:pPr>
        <w:pStyle w:val="Institutionquiagit"/>
        <w:rPr>
          <w:noProof/>
        </w:rPr>
      </w:pPr>
      <w:r w:rsidRPr="002866E5">
        <w:rPr>
          <w:noProof/>
        </w:rPr>
        <w:t>PARLAMENT EUROPEJSKI I RADA UNII EUROPEJSKIEJ,</w:t>
      </w:r>
    </w:p>
    <w:p w14:paraId="67ED86C3" w14:textId="5E98AB4E" w:rsidR="0037165D" w:rsidRPr="002866E5" w:rsidRDefault="0037165D" w:rsidP="00881943">
      <w:pPr>
        <w:rPr>
          <w:noProof/>
        </w:rPr>
      </w:pPr>
      <w:r w:rsidRPr="002866E5">
        <w:rPr>
          <w:noProof/>
        </w:rPr>
        <w:t>uwzględniając Traktat</w:t>
      </w:r>
      <w:r w:rsidR="008B35E8" w:rsidRPr="002866E5">
        <w:rPr>
          <w:noProof/>
        </w:rPr>
        <w:t xml:space="preserve"> o</w:t>
      </w:r>
      <w:r w:rsidR="008B35E8">
        <w:rPr>
          <w:noProof/>
        </w:rPr>
        <w:t> </w:t>
      </w:r>
      <w:r w:rsidR="008B35E8" w:rsidRPr="002866E5">
        <w:rPr>
          <w:noProof/>
        </w:rPr>
        <w:t>fun</w:t>
      </w:r>
      <w:r w:rsidRPr="002866E5">
        <w:rPr>
          <w:noProof/>
        </w:rPr>
        <w:t>kcjonowaniu Unii Europejskiej,</w:t>
      </w:r>
      <w:r w:rsidR="008B35E8" w:rsidRPr="002866E5">
        <w:rPr>
          <w:noProof/>
        </w:rPr>
        <w:t xml:space="preserve"> w</w:t>
      </w:r>
      <w:r w:rsidR="008B35E8">
        <w:rPr>
          <w:noProof/>
        </w:rPr>
        <w:t> </w:t>
      </w:r>
      <w:r w:rsidR="008B35E8" w:rsidRPr="002866E5">
        <w:rPr>
          <w:noProof/>
        </w:rPr>
        <w:t>szc</w:t>
      </w:r>
      <w:r w:rsidRPr="002866E5">
        <w:rPr>
          <w:noProof/>
        </w:rPr>
        <w:t xml:space="preserve">zególności jego </w:t>
      </w:r>
      <w:r w:rsidRPr="008B35E8">
        <w:rPr>
          <w:noProof/>
        </w:rPr>
        <w:t>art.</w:t>
      </w:r>
      <w:r w:rsidR="008B35E8" w:rsidRPr="008B35E8">
        <w:rPr>
          <w:noProof/>
        </w:rPr>
        <w:t> </w:t>
      </w:r>
      <w:r w:rsidRPr="008B35E8">
        <w:rPr>
          <w:noProof/>
        </w:rPr>
        <w:t>1</w:t>
      </w:r>
      <w:r w:rsidRPr="002866E5">
        <w:rPr>
          <w:noProof/>
        </w:rPr>
        <w:t>14,</w:t>
      </w:r>
    </w:p>
    <w:p w14:paraId="67ED86C4" w14:textId="77777777" w:rsidR="0037165D" w:rsidRPr="002866E5" w:rsidRDefault="0037165D" w:rsidP="00881943">
      <w:pPr>
        <w:rPr>
          <w:noProof/>
        </w:rPr>
      </w:pPr>
      <w:r w:rsidRPr="002866E5">
        <w:rPr>
          <w:noProof/>
        </w:rPr>
        <w:t>uwzględniając wniosek Komisji Europejskiej,</w:t>
      </w:r>
    </w:p>
    <w:p w14:paraId="67ED86C5" w14:textId="77777777" w:rsidR="0037165D" w:rsidRPr="002866E5" w:rsidRDefault="0037165D" w:rsidP="00881943">
      <w:pPr>
        <w:rPr>
          <w:noProof/>
        </w:rPr>
      </w:pPr>
      <w:r w:rsidRPr="002866E5">
        <w:rPr>
          <w:noProof/>
        </w:rPr>
        <w:t>po przekazaniu projektu aktu ustawodawczego parlamentom narodowym,</w:t>
      </w:r>
    </w:p>
    <w:p w14:paraId="67ED86C6" w14:textId="77777777" w:rsidR="0037165D" w:rsidRPr="002866E5" w:rsidRDefault="0037165D" w:rsidP="00881943">
      <w:pPr>
        <w:rPr>
          <w:noProof/>
        </w:rPr>
      </w:pPr>
      <w:r w:rsidRPr="002866E5">
        <w:rPr>
          <w:noProof/>
        </w:rPr>
        <w:t>uwzględniając opinię Europejskiego Komitetu Ekonomiczno-Społecznego</w:t>
      </w:r>
      <w:r w:rsidRPr="002866E5">
        <w:rPr>
          <w:rStyle w:val="FootnoteReference"/>
          <w:noProof/>
        </w:rPr>
        <w:footnoteReference w:id="14"/>
      </w:r>
      <w:r w:rsidRPr="002866E5">
        <w:rPr>
          <w:noProof/>
        </w:rPr>
        <w:t xml:space="preserve">, </w:t>
      </w:r>
    </w:p>
    <w:p w14:paraId="67ED86C7" w14:textId="77777777" w:rsidR="0037165D" w:rsidRPr="002866E5" w:rsidRDefault="0037165D" w:rsidP="00881943">
      <w:pPr>
        <w:rPr>
          <w:noProof/>
        </w:rPr>
      </w:pPr>
      <w:r w:rsidRPr="002866E5">
        <w:rPr>
          <w:noProof/>
        </w:rPr>
        <w:t>uwzględniając opinię Komitetu Regionów</w:t>
      </w:r>
      <w:r w:rsidRPr="002866E5">
        <w:rPr>
          <w:rStyle w:val="FootnoteReference"/>
          <w:noProof/>
        </w:rPr>
        <w:footnoteReference w:id="15"/>
      </w:r>
      <w:r w:rsidRPr="002866E5">
        <w:rPr>
          <w:noProof/>
        </w:rPr>
        <w:t xml:space="preserve">, </w:t>
      </w:r>
    </w:p>
    <w:p w14:paraId="67ED86C8" w14:textId="77777777" w:rsidR="0037165D" w:rsidRPr="002866E5" w:rsidRDefault="0037165D" w:rsidP="00881943">
      <w:pPr>
        <w:rPr>
          <w:noProof/>
        </w:rPr>
      </w:pPr>
      <w:r w:rsidRPr="002866E5">
        <w:rPr>
          <w:noProof/>
        </w:rPr>
        <w:t>stanowiąc zgodnie ze zwykłą procedurą ustawodawczą,</w:t>
      </w:r>
    </w:p>
    <w:p w14:paraId="67ED86C9" w14:textId="77777777" w:rsidR="0037165D" w:rsidRPr="002866E5" w:rsidRDefault="0037165D" w:rsidP="00881943">
      <w:pPr>
        <w:rPr>
          <w:noProof/>
        </w:rPr>
      </w:pPr>
      <w:r w:rsidRPr="002866E5">
        <w:rPr>
          <w:noProof/>
        </w:rPr>
        <w:t>a także mając na uwadze, co następuje:</w:t>
      </w:r>
    </w:p>
    <w:p w14:paraId="67ED86CA" w14:textId="223BA998" w:rsidR="002010CB" w:rsidRPr="002866E5" w:rsidRDefault="00B4087C" w:rsidP="00B4087C">
      <w:pPr>
        <w:pStyle w:val="ManualConsidrant"/>
        <w:rPr>
          <w:noProof/>
        </w:rPr>
      </w:pPr>
      <w:r w:rsidRPr="00B4087C">
        <w:t>(1)</w:t>
      </w:r>
      <w:r w:rsidRPr="00B4087C">
        <w:tab/>
      </w:r>
      <w:r w:rsidR="005F0F9A" w:rsidRPr="002866E5">
        <w:rPr>
          <w:noProof/>
        </w:rPr>
        <w:t>Należy koniecznie poprawić funkcjonowanie rynku wewnętrznego przez ustanowienie jednolitych ram prawnych</w:t>
      </w:r>
      <w:r w:rsidR="008B35E8" w:rsidRPr="002866E5">
        <w:rPr>
          <w:noProof/>
        </w:rPr>
        <w:t xml:space="preserve"> w</w:t>
      </w:r>
      <w:r w:rsidR="008B35E8">
        <w:rPr>
          <w:noProof/>
        </w:rPr>
        <w:t> </w:t>
      </w:r>
      <w:r w:rsidR="008B35E8" w:rsidRPr="002866E5">
        <w:rPr>
          <w:noProof/>
        </w:rPr>
        <w:t>zak</w:t>
      </w:r>
      <w:r w:rsidR="005F0F9A" w:rsidRPr="002866E5">
        <w:rPr>
          <w:noProof/>
        </w:rPr>
        <w:t>resie zasadniczych wymogów cyberbezpieczeństwa dotyczących wprowadzania produktów</w:t>
      </w:r>
      <w:r w:rsidR="008B35E8" w:rsidRPr="002866E5">
        <w:rPr>
          <w:noProof/>
        </w:rPr>
        <w:t xml:space="preserve"> z</w:t>
      </w:r>
      <w:r w:rsidR="008B35E8">
        <w:rPr>
          <w:noProof/>
        </w:rPr>
        <w:t> </w:t>
      </w:r>
      <w:r w:rsidR="008B35E8" w:rsidRPr="002866E5">
        <w:rPr>
          <w:noProof/>
        </w:rPr>
        <w:t>ele</w:t>
      </w:r>
      <w:r w:rsidR="005F0F9A" w:rsidRPr="002866E5">
        <w:rPr>
          <w:noProof/>
        </w:rPr>
        <w:t>mentami cyfrowymi na rynek unijny. Należy rozwiązać dwa główne problemy, które zwiększają koszty dla użytkowników</w:t>
      </w:r>
      <w:r w:rsidR="008B35E8" w:rsidRPr="002866E5">
        <w:rPr>
          <w:noProof/>
        </w:rPr>
        <w:t xml:space="preserve"> i</w:t>
      </w:r>
      <w:r w:rsidR="008B35E8">
        <w:rPr>
          <w:noProof/>
        </w:rPr>
        <w:t> </w:t>
      </w:r>
      <w:r w:rsidR="008B35E8" w:rsidRPr="002866E5">
        <w:rPr>
          <w:noProof/>
        </w:rPr>
        <w:t>spo</w:t>
      </w:r>
      <w:r w:rsidR="005F0F9A" w:rsidRPr="002866E5">
        <w:rPr>
          <w:noProof/>
        </w:rPr>
        <w:t>łeczeństwa: niski poziom cyberbezpieczeństwa produktów</w:t>
      </w:r>
      <w:r w:rsidR="008B35E8" w:rsidRPr="002866E5">
        <w:rPr>
          <w:noProof/>
        </w:rPr>
        <w:t xml:space="preserve"> z</w:t>
      </w:r>
      <w:r w:rsidR="008B35E8">
        <w:rPr>
          <w:noProof/>
        </w:rPr>
        <w:t> </w:t>
      </w:r>
      <w:r w:rsidR="008B35E8" w:rsidRPr="002866E5">
        <w:rPr>
          <w:noProof/>
        </w:rPr>
        <w:t>ele</w:t>
      </w:r>
      <w:r w:rsidR="005F0F9A" w:rsidRPr="002866E5">
        <w:rPr>
          <w:noProof/>
        </w:rPr>
        <w:t>mentami cyfrowymi, który przejawia się</w:t>
      </w:r>
      <w:r w:rsidR="008B35E8" w:rsidRPr="002866E5">
        <w:rPr>
          <w:noProof/>
        </w:rPr>
        <w:t xml:space="preserve"> w</w:t>
      </w:r>
      <w:r w:rsidR="008B35E8">
        <w:rPr>
          <w:noProof/>
        </w:rPr>
        <w:t> </w:t>
      </w:r>
      <w:r w:rsidR="008B35E8" w:rsidRPr="002866E5">
        <w:rPr>
          <w:noProof/>
        </w:rPr>
        <w:t>pow</w:t>
      </w:r>
      <w:r w:rsidR="005F0F9A" w:rsidRPr="002866E5">
        <w:rPr>
          <w:noProof/>
        </w:rPr>
        <w:t>szechnych podatnościach oraz niewystarczającym</w:t>
      </w:r>
      <w:r w:rsidR="008B35E8" w:rsidRPr="002866E5">
        <w:rPr>
          <w:noProof/>
        </w:rPr>
        <w:t xml:space="preserve"> i</w:t>
      </w:r>
      <w:r w:rsidR="008B35E8">
        <w:rPr>
          <w:noProof/>
        </w:rPr>
        <w:t> </w:t>
      </w:r>
      <w:r w:rsidR="008B35E8" w:rsidRPr="002866E5">
        <w:rPr>
          <w:noProof/>
        </w:rPr>
        <w:t>nie</w:t>
      </w:r>
      <w:r w:rsidR="005F0F9A" w:rsidRPr="002866E5">
        <w:rPr>
          <w:noProof/>
        </w:rPr>
        <w:t>spójnym dostarczaniu aktualizacji zabezpieczeń</w:t>
      </w:r>
      <w:r w:rsidR="008B35E8" w:rsidRPr="002866E5">
        <w:rPr>
          <w:noProof/>
        </w:rPr>
        <w:t xml:space="preserve"> w</w:t>
      </w:r>
      <w:r w:rsidR="008B35E8">
        <w:rPr>
          <w:noProof/>
        </w:rPr>
        <w:t> </w:t>
      </w:r>
      <w:r w:rsidR="008B35E8" w:rsidRPr="002866E5">
        <w:rPr>
          <w:noProof/>
        </w:rPr>
        <w:t>cel</w:t>
      </w:r>
      <w:r w:rsidR="005F0F9A" w:rsidRPr="002866E5">
        <w:rPr>
          <w:noProof/>
        </w:rPr>
        <w:t>u wyeliminowania tych podatności, oraz niedostateczne zrozumienie</w:t>
      </w:r>
      <w:r w:rsidR="008B35E8" w:rsidRPr="002866E5">
        <w:rPr>
          <w:noProof/>
        </w:rPr>
        <w:t xml:space="preserve"> i</w:t>
      </w:r>
      <w:r w:rsidR="008B35E8">
        <w:rPr>
          <w:noProof/>
        </w:rPr>
        <w:t> </w:t>
      </w:r>
      <w:r w:rsidR="008B35E8" w:rsidRPr="002866E5">
        <w:rPr>
          <w:noProof/>
        </w:rPr>
        <w:t>dos</w:t>
      </w:r>
      <w:r w:rsidR="005F0F9A" w:rsidRPr="002866E5">
        <w:rPr>
          <w:noProof/>
        </w:rPr>
        <w:t>tęp do informacji przez użytkowników, co uniemożliwia im wybór produktów</w:t>
      </w:r>
      <w:r w:rsidR="008B35E8" w:rsidRPr="002866E5">
        <w:rPr>
          <w:noProof/>
        </w:rPr>
        <w:t xml:space="preserve"> o</w:t>
      </w:r>
      <w:r w:rsidR="008B35E8">
        <w:rPr>
          <w:noProof/>
        </w:rPr>
        <w:t> </w:t>
      </w:r>
      <w:r w:rsidR="008B35E8" w:rsidRPr="002866E5">
        <w:rPr>
          <w:noProof/>
        </w:rPr>
        <w:t>odp</w:t>
      </w:r>
      <w:r w:rsidR="005F0F9A" w:rsidRPr="002866E5">
        <w:rPr>
          <w:noProof/>
        </w:rPr>
        <w:t>owiednich właściwościach</w:t>
      </w:r>
      <w:r w:rsidR="008B35E8" w:rsidRPr="002866E5">
        <w:rPr>
          <w:noProof/>
        </w:rPr>
        <w:t xml:space="preserve"> w</w:t>
      </w:r>
      <w:r w:rsidR="008B35E8">
        <w:rPr>
          <w:noProof/>
        </w:rPr>
        <w:t> </w:t>
      </w:r>
      <w:r w:rsidR="008B35E8" w:rsidRPr="002866E5">
        <w:rPr>
          <w:noProof/>
        </w:rPr>
        <w:t>zak</w:t>
      </w:r>
      <w:r w:rsidR="005F0F9A" w:rsidRPr="002866E5">
        <w:rPr>
          <w:noProof/>
        </w:rPr>
        <w:t>resie cyberbezpieczeństwa lub korzystanie</w:t>
      </w:r>
      <w:r w:rsidR="008B35E8" w:rsidRPr="002866E5">
        <w:rPr>
          <w:noProof/>
        </w:rPr>
        <w:t xml:space="preserve"> z</w:t>
      </w:r>
      <w:r w:rsidR="008B35E8">
        <w:rPr>
          <w:noProof/>
        </w:rPr>
        <w:t> </w:t>
      </w:r>
      <w:r w:rsidR="008B35E8" w:rsidRPr="002866E5">
        <w:rPr>
          <w:noProof/>
        </w:rPr>
        <w:t>nic</w:t>
      </w:r>
      <w:r w:rsidR="005F0F9A" w:rsidRPr="002866E5">
        <w:rPr>
          <w:noProof/>
        </w:rPr>
        <w:t>h</w:t>
      </w:r>
      <w:r w:rsidR="008B35E8" w:rsidRPr="002866E5">
        <w:rPr>
          <w:noProof/>
        </w:rPr>
        <w:t xml:space="preserve"> w</w:t>
      </w:r>
      <w:r w:rsidR="008B35E8">
        <w:rPr>
          <w:noProof/>
        </w:rPr>
        <w:t> </w:t>
      </w:r>
      <w:r w:rsidR="008B35E8" w:rsidRPr="002866E5">
        <w:rPr>
          <w:noProof/>
        </w:rPr>
        <w:t>spo</w:t>
      </w:r>
      <w:r w:rsidR="005F0F9A" w:rsidRPr="002866E5">
        <w:rPr>
          <w:noProof/>
        </w:rPr>
        <w:t xml:space="preserve">sób bezpieczny. </w:t>
      </w:r>
    </w:p>
    <w:p w14:paraId="67ED86CB" w14:textId="64260932" w:rsidR="00691508" w:rsidRPr="002866E5" w:rsidRDefault="00B4087C" w:rsidP="00B4087C">
      <w:pPr>
        <w:pStyle w:val="ManualConsidrant"/>
        <w:rPr>
          <w:noProof/>
        </w:rPr>
      </w:pPr>
      <w:r w:rsidRPr="00B4087C">
        <w:t>(2)</w:t>
      </w:r>
      <w:r w:rsidRPr="00B4087C">
        <w:tab/>
      </w:r>
      <w:r w:rsidR="001A0AF7" w:rsidRPr="002866E5">
        <w:rPr>
          <w:noProof/>
        </w:rPr>
        <w:t>Niniejsze rozporządzenie ma na celu stworzenie warunków brzegowych dla rozwoju bezpiecznych produktów</w:t>
      </w:r>
      <w:r w:rsidR="008B35E8" w:rsidRPr="002866E5">
        <w:rPr>
          <w:noProof/>
        </w:rPr>
        <w:t xml:space="preserve"> z</w:t>
      </w:r>
      <w:r w:rsidR="008B35E8">
        <w:rPr>
          <w:noProof/>
        </w:rPr>
        <w:t> </w:t>
      </w:r>
      <w:r w:rsidR="008B35E8" w:rsidRPr="002866E5">
        <w:rPr>
          <w:noProof/>
        </w:rPr>
        <w:t>ele</w:t>
      </w:r>
      <w:r w:rsidR="001A0AF7" w:rsidRPr="002866E5">
        <w:rPr>
          <w:noProof/>
        </w:rPr>
        <w:t>mentami cyfrowymi przez zapewnienie, aby sprzęt</w:t>
      </w:r>
      <w:r w:rsidR="008B35E8" w:rsidRPr="002866E5">
        <w:rPr>
          <w:noProof/>
        </w:rPr>
        <w:t xml:space="preserve"> i</w:t>
      </w:r>
      <w:r w:rsidR="008B35E8">
        <w:rPr>
          <w:noProof/>
        </w:rPr>
        <w:t> </w:t>
      </w:r>
      <w:r w:rsidR="008B35E8" w:rsidRPr="002866E5">
        <w:rPr>
          <w:noProof/>
        </w:rPr>
        <w:t>opr</w:t>
      </w:r>
      <w:r w:rsidR="001A0AF7" w:rsidRPr="002866E5">
        <w:rPr>
          <w:noProof/>
        </w:rPr>
        <w:t>ogramowanie były wprowadzane do obrotu</w:t>
      </w:r>
      <w:r w:rsidR="008B35E8" w:rsidRPr="002866E5">
        <w:rPr>
          <w:noProof/>
        </w:rPr>
        <w:t xml:space="preserve"> z</w:t>
      </w:r>
      <w:r w:rsidR="008B35E8">
        <w:rPr>
          <w:noProof/>
        </w:rPr>
        <w:t> </w:t>
      </w:r>
      <w:r w:rsidR="008B35E8" w:rsidRPr="002866E5">
        <w:rPr>
          <w:noProof/>
        </w:rPr>
        <w:t>mni</w:t>
      </w:r>
      <w:r w:rsidR="001A0AF7" w:rsidRPr="002866E5">
        <w:rPr>
          <w:noProof/>
        </w:rPr>
        <w:t>ejszą liczbą podatności,</w:t>
      </w:r>
      <w:r w:rsidR="008B35E8" w:rsidRPr="002866E5">
        <w:rPr>
          <w:noProof/>
        </w:rPr>
        <w:t xml:space="preserve"> a</w:t>
      </w:r>
      <w:r w:rsidR="008B35E8">
        <w:rPr>
          <w:noProof/>
        </w:rPr>
        <w:t> </w:t>
      </w:r>
      <w:r w:rsidR="008B35E8" w:rsidRPr="002866E5">
        <w:rPr>
          <w:noProof/>
        </w:rPr>
        <w:t>tak</w:t>
      </w:r>
      <w:r w:rsidR="001A0AF7" w:rsidRPr="002866E5">
        <w:rPr>
          <w:noProof/>
        </w:rPr>
        <w:t>że aby producenci poważnie traktowali bezpieczeństwo</w:t>
      </w:r>
      <w:r w:rsidR="008B35E8" w:rsidRPr="002866E5">
        <w:rPr>
          <w:noProof/>
        </w:rPr>
        <w:t xml:space="preserve"> w</w:t>
      </w:r>
      <w:r w:rsidR="008B35E8">
        <w:rPr>
          <w:noProof/>
        </w:rPr>
        <w:t> </w:t>
      </w:r>
      <w:r w:rsidR="008B35E8" w:rsidRPr="002866E5">
        <w:rPr>
          <w:noProof/>
        </w:rPr>
        <w:t>cał</w:t>
      </w:r>
      <w:r w:rsidR="001A0AF7" w:rsidRPr="002866E5">
        <w:rPr>
          <w:noProof/>
        </w:rPr>
        <w:t>ym cyklu życia produktu. Ma również na celu stworzenie warunków umożliwiających użytkownikom uwzględnianie cyberbezpieczeństwa przy wyborze produktów</w:t>
      </w:r>
      <w:r w:rsidR="008B35E8" w:rsidRPr="002866E5">
        <w:rPr>
          <w:noProof/>
        </w:rPr>
        <w:t xml:space="preserve"> z</w:t>
      </w:r>
      <w:r w:rsidR="008B35E8">
        <w:rPr>
          <w:noProof/>
        </w:rPr>
        <w:t> </w:t>
      </w:r>
      <w:r w:rsidR="008B35E8" w:rsidRPr="002866E5">
        <w:rPr>
          <w:noProof/>
        </w:rPr>
        <w:t>ele</w:t>
      </w:r>
      <w:r w:rsidR="001A0AF7" w:rsidRPr="002866E5">
        <w:rPr>
          <w:noProof/>
        </w:rPr>
        <w:t>mentami cyfrowymi</w:t>
      </w:r>
      <w:r w:rsidR="008B35E8" w:rsidRPr="002866E5">
        <w:rPr>
          <w:noProof/>
        </w:rPr>
        <w:t xml:space="preserve"> i</w:t>
      </w:r>
      <w:r w:rsidR="008B35E8">
        <w:rPr>
          <w:noProof/>
        </w:rPr>
        <w:t> </w:t>
      </w:r>
      <w:r w:rsidR="008B35E8" w:rsidRPr="002866E5">
        <w:rPr>
          <w:noProof/>
        </w:rPr>
        <w:t>kor</w:t>
      </w:r>
      <w:r w:rsidR="001A0AF7" w:rsidRPr="002866E5">
        <w:rPr>
          <w:noProof/>
        </w:rPr>
        <w:t>zystaniu</w:t>
      </w:r>
      <w:r w:rsidR="008B35E8" w:rsidRPr="002866E5">
        <w:rPr>
          <w:noProof/>
        </w:rPr>
        <w:t xml:space="preserve"> z</w:t>
      </w:r>
      <w:r w:rsidR="008B35E8">
        <w:rPr>
          <w:noProof/>
        </w:rPr>
        <w:t> </w:t>
      </w:r>
      <w:r w:rsidR="008B35E8" w:rsidRPr="002866E5">
        <w:rPr>
          <w:noProof/>
        </w:rPr>
        <w:t>nic</w:t>
      </w:r>
      <w:r w:rsidR="001A0AF7" w:rsidRPr="002866E5">
        <w:rPr>
          <w:noProof/>
        </w:rPr>
        <w:t xml:space="preserve">h. </w:t>
      </w:r>
    </w:p>
    <w:p w14:paraId="67ED86CC" w14:textId="5F5893AC" w:rsidR="002010CB" w:rsidRPr="002866E5" w:rsidRDefault="00B4087C" w:rsidP="00B4087C">
      <w:pPr>
        <w:pStyle w:val="ManualConsidrant"/>
        <w:rPr>
          <w:noProof/>
        </w:rPr>
      </w:pPr>
      <w:r w:rsidRPr="00B4087C">
        <w:t>(3)</w:t>
      </w:r>
      <w:r w:rsidRPr="00B4087C">
        <w:tab/>
      </w:r>
      <w:r w:rsidR="002010CB" w:rsidRPr="002866E5">
        <w:rPr>
          <w:noProof/>
        </w:rPr>
        <w:t>Odpowiednie obowiązujące obecnie przepisy Unii obejmują szereg grup przepisów horyzontalnych, które na różne sposoby odnoszą się do niektórych aspektów związanych</w:t>
      </w:r>
      <w:r w:rsidR="008B35E8" w:rsidRPr="002866E5">
        <w:rPr>
          <w:noProof/>
        </w:rPr>
        <w:t xml:space="preserve"> z</w:t>
      </w:r>
      <w:r w:rsidR="008B35E8">
        <w:rPr>
          <w:noProof/>
        </w:rPr>
        <w:t> </w:t>
      </w:r>
      <w:r w:rsidR="008B35E8" w:rsidRPr="002866E5">
        <w:rPr>
          <w:noProof/>
        </w:rPr>
        <w:t>cyb</w:t>
      </w:r>
      <w:r w:rsidR="002010CB" w:rsidRPr="002866E5">
        <w:rPr>
          <w:noProof/>
        </w:rPr>
        <w:t>erbezpieczeństwem,</w:t>
      </w:r>
      <w:r w:rsidR="008B35E8" w:rsidRPr="002866E5">
        <w:rPr>
          <w:noProof/>
        </w:rPr>
        <w:t xml:space="preserve"> w</w:t>
      </w:r>
      <w:r w:rsidR="008B35E8">
        <w:rPr>
          <w:noProof/>
        </w:rPr>
        <w:t> </w:t>
      </w:r>
      <w:r w:rsidR="008B35E8" w:rsidRPr="002866E5">
        <w:rPr>
          <w:noProof/>
        </w:rPr>
        <w:t>tym</w:t>
      </w:r>
      <w:r w:rsidR="002010CB" w:rsidRPr="002866E5">
        <w:rPr>
          <w:noProof/>
        </w:rPr>
        <w:t xml:space="preserve"> środków mających na celu poprawę </w:t>
      </w:r>
      <w:r w:rsidR="002010CB" w:rsidRPr="002866E5">
        <w:rPr>
          <w:noProof/>
        </w:rPr>
        <w:lastRenderedPageBreak/>
        <w:t>bezpieczeństwa cyfrowego łańcucha dostaw. Istniejące przepisy Unii związane</w:t>
      </w:r>
      <w:r w:rsidR="008B35E8" w:rsidRPr="002866E5">
        <w:rPr>
          <w:noProof/>
        </w:rPr>
        <w:t xml:space="preserve"> z</w:t>
      </w:r>
      <w:r w:rsidR="008B35E8">
        <w:rPr>
          <w:noProof/>
        </w:rPr>
        <w:t> </w:t>
      </w:r>
      <w:r w:rsidR="008B35E8" w:rsidRPr="002866E5">
        <w:rPr>
          <w:noProof/>
        </w:rPr>
        <w:t>cyb</w:t>
      </w:r>
      <w:r w:rsidR="002010CB" w:rsidRPr="002866E5">
        <w:rPr>
          <w:noProof/>
        </w:rPr>
        <w:t>erbezpieczeństwem,</w:t>
      </w:r>
      <w:r w:rsidR="008B35E8" w:rsidRPr="002866E5">
        <w:rPr>
          <w:noProof/>
        </w:rPr>
        <w:t xml:space="preserve"> w</w:t>
      </w:r>
      <w:r w:rsidR="008B35E8">
        <w:rPr>
          <w:noProof/>
        </w:rPr>
        <w:t> </w:t>
      </w:r>
      <w:r w:rsidR="008B35E8" w:rsidRPr="002866E5">
        <w:rPr>
          <w:noProof/>
        </w:rPr>
        <w:t>tym</w:t>
      </w:r>
      <w:r w:rsidR="002010CB" w:rsidRPr="002866E5">
        <w:rPr>
          <w:noProof/>
        </w:rPr>
        <w:t xml:space="preserve"> [dyrektywa XXX/XXXX (NIS 2)]</w:t>
      </w:r>
      <w:r w:rsidR="008B35E8" w:rsidRPr="002866E5">
        <w:rPr>
          <w:noProof/>
        </w:rPr>
        <w:t xml:space="preserve"> i</w:t>
      </w:r>
      <w:r w:rsidR="008B35E8">
        <w:rPr>
          <w:noProof/>
        </w:rPr>
        <w:t> </w:t>
      </w:r>
      <w:r w:rsidR="008B35E8" w:rsidRPr="002866E5">
        <w:rPr>
          <w:noProof/>
        </w:rPr>
        <w:t>roz</w:t>
      </w:r>
      <w:r w:rsidR="002010CB" w:rsidRPr="002866E5">
        <w:rPr>
          <w:noProof/>
        </w:rPr>
        <w:t>porządzenie Parlamentu Europejskiego</w:t>
      </w:r>
      <w:r w:rsidR="008B35E8" w:rsidRPr="002866E5">
        <w:rPr>
          <w:noProof/>
        </w:rPr>
        <w:t xml:space="preserve"> i</w:t>
      </w:r>
      <w:r w:rsidR="008B35E8">
        <w:rPr>
          <w:noProof/>
        </w:rPr>
        <w:t> </w:t>
      </w:r>
      <w:r w:rsidR="008B35E8" w:rsidRPr="002866E5">
        <w:rPr>
          <w:noProof/>
        </w:rPr>
        <w:t>Rad</w:t>
      </w:r>
      <w:r w:rsidR="002010CB" w:rsidRPr="002866E5">
        <w:rPr>
          <w:noProof/>
        </w:rPr>
        <w:t>y (UE) 2019/881</w:t>
      </w:r>
      <w:r w:rsidR="002010CB" w:rsidRPr="002866E5">
        <w:rPr>
          <w:rStyle w:val="FootnoteReference"/>
          <w:noProof/>
        </w:rPr>
        <w:footnoteReference w:id="16"/>
      </w:r>
      <w:r w:rsidR="002010CB" w:rsidRPr="002866E5">
        <w:rPr>
          <w:noProof/>
        </w:rPr>
        <w:t>, nie przewidują jednak bezpośrednio obowiązkowych wymogów dotyczących bezpieczeństwa produktów</w:t>
      </w:r>
      <w:r w:rsidR="008B35E8" w:rsidRPr="002866E5">
        <w:rPr>
          <w:noProof/>
        </w:rPr>
        <w:t xml:space="preserve"> z</w:t>
      </w:r>
      <w:r w:rsidR="008B35E8">
        <w:rPr>
          <w:noProof/>
        </w:rPr>
        <w:t> </w:t>
      </w:r>
      <w:r w:rsidR="008B35E8" w:rsidRPr="002866E5">
        <w:rPr>
          <w:noProof/>
        </w:rPr>
        <w:t>ele</w:t>
      </w:r>
      <w:r w:rsidR="002010CB" w:rsidRPr="002866E5">
        <w:rPr>
          <w:noProof/>
        </w:rPr>
        <w:t xml:space="preserve">mentami cyfrowymi. </w:t>
      </w:r>
    </w:p>
    <w:p w14:paraId="67ED86CD" w14:textId="070ED6F1" w:rsidR="00087E0C" w:rsidRPr="002866E5" w:rsidRDefault="00B4087C" w:rsidP="00B4087C">
      <w:pPr>
        <w:pStyle w:val="ManualConsidrant"/>
        <w:rPr>
          <w:noProof/>
        </w:rPr>
      </w:pPr>
      <w:r w:rsidRPr="00B4087C">
        <w:t>(4)</w:t>
      </w:r>
      <w:r w:rsidRPr="00B4087C">
        <w:tab/>
      </w:r>
      <w:r w:rsidR="000C3815" w:rsidRPr="002866E5">
        <w:rPr>
          <w:noProof/>
        </w:rPr>
        <w:t>Chociaż obowiązujące przepisy Unii mają zastosowanie do niektórych produktów</w:t>
      </w:r>
      <w:r w:rsidR="008B35E8" w:rsidRPr="002866E5">
        <w:rPr>
          <w:noProof/>
        </w:rPr>
        <w:t xml:space="preserve"> z</w:t>
      </w:r>
      <w:r w:rsidR="008B35E8">
        <w:rPr>
          <w:noProof/>
        </w:rPr>
        <w:t> </w:t>
      </w:r>
      <w:r w:rsidR="008B35E8" w:rsidRPr="002866E5">
        <w:rPr>
          <w:noProof/>
        </w:rPr>
        <w:t>ele</w:t>
      </w:r>
      <w:r w:rsidR="000C3815" w:rsidRPr="002866E5">
        <w:rPr>
          <w:noProof/>
        </w:rPr>
        <w:t>mentami cyfrowymi, nie istnieją horyzontalne unijne ramy regulacyjne ustanawiające kompleksowe wymogi cyberbezpieczeństwa dotyczące wszystkich produktów</w:t>
      </w:r>
      <w:r w:rsidR="008B35E8" w:rsidRPr="002866E5">
        <w:rPr>
          <w:noProof/>
        </w:rPr>
        <w:t xml:space="preserve"> z</w:t>
      </w:r>
      <w:r w:rsidR="008B35E8">
        <w:rPr>
          <w:noProof/>
        </w:rPr>
        <w:t> </w:t>
      </w:r>
      <w:r w:rsidR="008B35E8" w:rsidRPr="002866E5">
        <w:rPr>
          <w:noProof/>
        </w:rPr>
        <w:t>ele</w:t>
      </w:r>
      <w:r w:rsidR="000C3815" w:rsidRPr="002866E5">
        <w:rPr>
          <w:noProof/>
        </w:rPr>
        <w:t>mentami cyfrowymi. Różne akty przyjęte dotychczas na szczeblu unijnym</w:t>
      </w:r>
      <w:r w:rsidR="008B35E8" w:rsidRPr="002866E5">
        <w:rPr>
          <w:noProof/>
        </w:rPr>
        <w:t xml:space="preserve"> i</w:t>
      </w:r>
      <w:r w:rsidR="008B35E8">
        <w:rPr>
          <w:noProof/>
        </w:rPr>
        <w:t> </w:t>
      </w:r>
      <w:r w:rsidR="008B35E8" w:rsidRPr="002866E5">
        <w:rPr>
          <w:noProof/>
        </w:rPr>
        <w:t>kra</w:t>
      </w:r>
      <w:r w:rsidR="000C3815" w:rsidRPr="002866E5">
        <w:rPr>
          <w:noProof/>
        </w:rPr>
        <w:t>jowym oraz różne unijne</w:t>
      </w:r>
      <w:r w:rsidR="008B35E8" w:rsidRPr="002866E5">
        <w:rPr>
          <w:noProof/>
        </w:rPr>
        <w:t xml:space="preserve"> i</w:t>
      </w:r>
      <w:r w:rsidR="008B35E8">
        <w:rPr>
          <w:noProof/>
        </w:rPr>
        <w:t> </w:t>
      </w:r>
      <w:r w:rsidR="008B35E8" w:rsidRPr="002866E5">
        <w:rPr>
          <w:noProof/>
        </w:rPr>
        <w:t>kra</w:t>
      </w:r>
      <w:r w:rsidR="000C3815" w:rsidRPr="002866E5">
        <w:rPr>
          <w:noProof/>
        </w:rPr>
        <w:t>jowe inicjatywy jedynie częściowo rozwiązują stwierdzone problemy związane</w:t>
      </w:r>
      <w:r w:rsidR="008B35E8" w:rsidRPr="002866E5">
        <w:rPr>
          <w:noProof/>
        </w:rPr>
        <w:t xml:space="preserve"> z</w:t>
      </w:r>
      <w:r w:rsidR="008B35E8">
        <w:rPr>
          <w:noProof/>
        </w:rPr>
        <w:t> </w:t>
      </w:r>
      <w:r w:rsidR="008B35E8" w:rsidRPr="002866E5">
        <w:rPr>
          <w:noProof/>
        </w:rPr>
        <w:t>cyb</w:t>
      </w:r>
      <w:r w:rsidR="000C3815" w:rsidRPr="002866E5">
        <w:rPr>
          <w:noProof/>
        </w:rPr>
        <w:t>erbezpieczeństwem</w:t>
      </w:r>
      <w:r w:rsidR="008B35E8" w:rsidRPr="002866E5">
        <w:rPr>
          <w:noProof/>
        </w:rPr>
        <w:t xml:space="preserve"> i</w:t>
      </w:r>
      <w:r w:rsidR="008B35E8">
        <w:rPr>
          <w:noProof/>
        </w:rPr>
        <w:t> </w:t>
      </w:r>
      <w:r w:rsidR="008B35E8" w:rsidRPr="002866E5">
        <w:rPr>
          <w:noProof/>
        </w:rPr>
        <w:t>stw</w:t>
      </w:r>
      <w:r w:rsidR="000C3815" w:rsidRPr="002866E5">
        <w:rPr>
          <w:noProof/>
        </w:rPr>
        <w:t>arzają ryzyko niejednolitego rozwoju ustawodawstwa na rynku wewnętrznym, co pogłębia brak pewności prawa po stronie zarówno producentów, jak</w:t>
      </w:r>
      <w:r w:rsidR="008B35E8" w:rsidRPr="002866E5">
        <w:rPr>
          <w:noProof/>
        </w:rPr>
        <w:t xml:space="preserve"> i</w:t>
      </w:r>
      <w:r w:rsidR="008B35E8">
        <w:rPr>
          <w:noProof/>
        </w:rPr>
        <w:t> </w:t>
      </w:r>
      <w:r w:rsidR="008B35E8" w:rsidRPr="002866E5">
        <w:rPr>
          <w:noProof/>
        </w:rPr>
        <w:t>uży</w:t>
      </w:r>
      <w:r w:rsidR="000C3815" w:rsidRPr="002866E5">
        <w:rPr>
          <w:noProof/>
        </w:rPr>
        <w:t>tkowników tych produktów,</w:t>
      </w:r>
      <w:r w:rsidR="008B35E8" w:rsidRPr="002866E5">
        <w:rPr>
          <w:noProof/>
        </w:rPr>
        <w:t xml:space="preserve"> a</w:t>
      </w:r>
      <w:r w:rsidR="008B35E8">
        <w:rPr>
          <w:noProof/>
        </w:rPr>
        <w:t> </w:t>
      </w:r>
      <w:r w:rsidR="008B35E8" w:rsidRPr="002866E5">
        <w:rPr>
          <w:noProof/>
        </w:rPr>
        <w:t>tak</w:t>
      </w:r>
      <w:r w:rsidR="000C3815" w:rsidRPr="002866E5">
        <w:rPr>
          <w:noProof/>
        </w:rPr>
        <w:t>że wiąże się</w:t>
      </w:r>
      <w:r w:rsidR="008B35E8" w:rsidRPr="002866E5">
        <w:rPr>
          <w:noProof/>
        </w:rPr>
        <w:t xml:space="preserve"> z</w:t>
      </w:r>
      <w:r w:rsidR="008B35E8">
        <w:rPr>
          <w:noProof/>
        </w:rPr>
        <w:t> </w:t>
      </w:r>
      <w:r w:rsidR="008B35E8" w:rsidRPr="002866E5">
        <w:rPr>
          <w:noProof/>
        </w:rPr>
        <w:t>nak</w:t>
      </w:r>
      <w:r w:rsidR="000C3815" w:rsidRPr="002866E5">
        <w:rPr>
          <w:noProof/>
        </w:rPr>
        <w:t>ładaniem na przedsiębiorstwa niepotrzebnych obciążeń związanych</w:t>
      </w:r>
      <w:r w:rsidR="008B35E8" w:rsidRPr="002866E5">
        <w:rPr>
          <w:noProof/>
        </w:rPr>
        <w:t xml:space="preserve"> z</w:t>
      </w:r>
      <w:r w:rsidR="008B35E8">
        <w:rPr>
          <w:noProof/>
        </w:rPr>
        <w:t> </w:t>
      </w:r>
      <w:r w:rsidR="008B35E8" w:rsidRPr="002866E5">
        <w:rPr>
          <w:noProof/>
        </w:rPr>
        <w:t>prz</w:t>
      </w:r>
      <w:r w:rsidR="000C3815" w:rsidRPr="002866E5">
        <w:rPr>
          <w:noProof/>
        </w:rPr>
        <w:t>estrzeganiem szeregu wymogów dotyczących podobnych rodzajów produktów. Cyberbezpieczeństwo tych produktów ma szczególnie wyraźny wymiar transgraniczny, ponieważ produkty wytwarzane</w:t>
      </w:r>
      <w:r w:rsidR="008B35E8" w:rsidRPr="002866E5">
        <w:rPr>
          <w:noProof/>
        </w:rPr>
        <w:t xml:space="preserve"> w</w:t>
      </w:r>
      <w:r w:rsidR="008B35E8">
        <w:rPr>
          <w:noProof/>
        </w:rPr>
        <w:t> </w:t>
      </w:r>
      <w:r w:rsidR="008B35E8" w:rsidRPr="002866E5">
        <w:rPr>
          <w:noProof/>
        </w:rPr>
        <w:t>jed</w:t>
      </w:r>
      <w:r w:rsidR="000C3815" w:rsidRPr="002866E5">
        <w:rPr>
          <w:noProof/>
        </w:rPr>
        <w:t>nym państwie są często wykorzystywane przez organizacje</w:t>
      </w:r>
      <w:r w:rsidR="008B35E8" w:rsidRPr="002866E5">
        <w:rPr>
          <w:noProof/>
        </w:rPr>
        <w:t xml:space="preserve"> i</w:t>
      </w:r>
      <w:r w:rsidR="008B35E8">
        <w:rPr>
          <w:noProof/>
        </w:rPr>
        <w:t> </w:t>
      </w:r>
      <w:r w:rsidR="008B35E8" w:rsidRPr="002866E5">
        <w:rPr>
          <w:noProof/>
        </w:rPr>
        <w:t>kon</w:t>
      </w:r>
      <w:r w:rsidR="000C3815" w:rsidRPr="002866E5">
        <w:rPr>
          <w:noProof/>
        </w:rPr>
        <w:t>sumentów na całym rynku wewnętrznym</w:t>
      </w:r>
      <w:r w:rsidR="008B35E8" w:rsidRPr="002866E5">
        <w:rPr>
          <w:noProof/>
        </w:rPr>
        <w:t>. W</w:t>
      </w:r>
      <w:r w:rsidR="008B35E8">
        <w:rPr>
          <w:noProof/>
        </w:rPr>
        <w:t> </w:t>
      </w:r>
      <w:r w:rsidR="008B35E8" w:rsidRPr="002866E5">
        <w:rPr>
          <w:noProof/>
        </w:rPr>
        <w:t>zwi</w:t>
      </w:r>
      <w:r w:rsidR="000C3815" w:rsidRPr="002866E5">
        <w:rPr>
          <w:noProof/>
        </w:rPr>
        <w:t>ązku</w:t>
      </w:r>
      <w:r w:rsidR="008B35E8" w:rsidRPr="002866E5">
        <w:rPr>
          <w:noProof/>
        </w:rPr>
        <w:t xml:space="preserve"> z</w:t>
      </w:r>
      <w:r w:rsidR="008B35E8">
        <w:rPr>
          <w:noProof/>
        </w:rPr>
        <w:t> </w:t>
      </w:r>
      <w:r w:rsidR="008B35E8" w:rsidRPr="002866E5">
        <w:rPr>
          <w:noProof/>
        </w:rPr>
        <w:t>tym</w:t>
      </w:r>
      <w:r w:rsidR="000C3815" w:rsidRPr="002866E5">
        <w:rPr>
          <w:noProof/>
        </w:rPr>
        <w:t xml:space="preserve"> konieczne jest uregulowanie tej dziedziny na poziomie Unii. Należy zharmonizować unijne otoczenie regulacyjne przez wprowadzenie wymogów cyberbezpieczeństwa</w:t>
      </w:r>
      <w:r w:rsidR="008B35E8" w:rsidRPr="002866E5">
        <w:rPr>
          <w:noProof/>
        </w:rPr>
        <w:t xml:space="preserve"> w</w:t>
      </w:r>
      <w:r w:rsidR="008B35E8">
        <w:rPr>
          <w:noProof/>
        </w:rPr>
        <w:t> </w:t>
      </w:r>
      <w:r w:rsidR="008B35E8" w:rsidRPr="002866E5">
        <w:rPr>
          <w:noProof/>
        </w:rPr>
        <w:t>odn</w:t>
      </w:r>
      <w:r w:rsidR="000C3815" w:rsidRPr="002866E5">
        <w:rPr>
          <w:noProof/>
        </w:rPr>
        <w:t>iesieniu do produktów</w:t>
      </w:r>
      <w:r w:rsidR="008B35E8" w:rsidRPr="002866E5">
        <w:rPr>
          <w:noProof/>
        </w:rPr>
        <w:t xml:space="preserve"> z</w:t>
      </w:r>
      <w:r w:rsidR="008B35E8">
        <w:rPr>
          <w:noProof/>
        </w:rPr>
        <w:t> </w:t>
      </w:r>
      <w:r w:rsidR="008B35E8" w:rsidRPr="002866E5">
        <w:rPr>
          <w:noProof/>
        </w:rPr>
        <w:t>ele</w:t>
      </w:r>
      <w:r w:rsidR="000C3815" w:rsidRPr="002866E5">
        <w:rPr>
          <w:noProof/>
        </w:rPr>
        <w:t>mentami cyfrowymi. Należy ponadto zagwarantować pewność podmiotom gospodarczym</w:t>
      </w:r>
      <w:r w:rsidR="008B35E8" w:rsidRPr="002866E5">
        <w:rPr>
          <w:noProof/>
        </w:rPr>
        <w:t xml:space="preserve"> i</w:t>
      </w:r>
      <w:r w:rsidR="008B35E8">
        <w:rPr>
          <w:noProof/>
        </w:rPr>
        <w:t> </w:t>
      </w:r>
      <w:r w:rsidR="008B35E8" w:rsidRPr="002866E5">
        <w:rPr>
          <w:noProof/>
        </w:rPr>
        <w:t>uży</w:t>
      </w:r>
      <w:r w:rsidR="000C3815" w:rsidRPr="002866E5">
        <w:rPr>
          <w:noProof/>
        </w:rPr>
        <w:t>tkownikom</w:t>
      </w:r>
      <w:r w:rsidR="008B35E8" w:rsidRPr="002866E5">
        <w:rPr>
          <w:noProof/>
        </w:rPr>
        <w:t xml:space="preserve"> w</w:t>
      </w:r>
      <w:r w:rsidR="008B35E8">
        <w:rPr>
          <w:noProof/>
        </w:rPr>
        <w:t> </w:t>
      </w:r>
      <w:r w:rsidR="008B35E8" w:rsidRPr="002866E5">
        <w:rPr>
          <w:noProof/>
        </w:rPr>
        <w:t>cał</w:t>
      </w:r>
      <w:r w:rsidR="000C3815" w:rsidRPr="002866E5">
        <w:rPr>
          <w:noProof/>
        </w:rPr>
        <w:t>ej Unii,</w:t>
      </w:r>
      <w:r w:rsidR="008B35E8" w:rsidRPr="002866E5">
        <w:rPr>
          <w:noProof/>
        </w:rPr>
        <w:t xml:space="preserve"> a</w:t>
      </w:r>
      <w:r w:rsidR="008B35E8">
        <w:rPr>
          <w:noProof/>
        </w:rPr>
        <w:t> </w:t>
      </w:r>
      <w:r w:rsidR="008B35E8" w:rsidRPr="002866E5">
        <w:rPr>
          <w:noProof/>
        </w:rPr>
        <w:t>tak</w:t>
      </w:r>
      <w:r w:rsidR="000C3815" w:rsidRPr="002866E5">
        <w:rPr>
          <w:noProof/>
        </w:rPr>
        <w:t>że zapewnić lepszą harmonizację jednolitego rynku, co przełoży się na dogodniejsze warunki dla podmiotów chcących wejść na rynek Unii.</w:t>
      </w:r>
    </w:p>
    <w:p w14:paraId="67ED86CE" w14:textId="2062BD8F" w:rsidR="007E435A" w:rsidRPr="002866E5" w:rsidRDefault="00B4087C" w:rsidP="00B4087C">
      <w:pPr>
        <w:pStyle w:val="ManualConsidrant"/>
        <w:rPr>
          <w:noProof/>
        </w:rPr>
      </w:pPr>
      <w:r w:rsidRPr="00B4087C">
        <w:t>(5)</w:t>
      </w:r>
      <w:r w:rsidRPr="00B4087C">
        <w:tab/>
      </w:r>
      <w:r w:rsidR="00007D90" w:rsidRPr="002866E5">
        <w:rPr>
          <w:noProof/>
        </w:rPr>
        <w:t>Na poziomie Unii –</w:t>
      </w:r>
      <w:r w:rsidR="008B35E8" w:rsidRPr="002866E5">
        <w:rPr>
          <w:noProof/>
        </w:rPr>
        <w:t xml:space="preserve"> w</w:t>
      </w:r>
      <w:r w:rsidR="008B35E8">
        <w:rPr>
          <w:noProof/>
        </w:rPr>
        <w:t> </w:t>
      </w:r>
      <w:r w:rsidR="008B35E8" w:rsidRPr="002866E5">
        <w:rPr>
          <w:noProof/>
        </w:rPr>
        <w:t>róż</w:t>
      </w:r>
      <w:r w:rsidR="00007D90" w:rsidRPr="002866E5">
        <w:rPr>
          <w:noProof/>
        </w:rPr>
        <w:t>nych dokumentach programowych</w:t>
      </w:r>
      <w:r w:rsidR="008B35E8" w:rsidRPr="002866E5">
        <w:rPr>
          <w:noProof/>
        </w:rPr>
        <w:t xml:space="preserve"> i</w:t>
      </w:r>
      <w:r w:rsidR="008B35E8">
        <w:rPr>
          <w:noProof/>
        </w:rPr>
        <w:t> </w:t>
      </w:r>
      <w:r w:rsidR="008B35E8" w:rsidRPr="002866E5">
        <w:rPr>
          <w:noProof/>
        </w:rPr>
        <w:t>pol</w:t>
      </w:r>
      <w:r w:rsidR="00007D90" w:rsidRPr="002866E5">
        <w:rPr>
          <w:noProof/>
        </w:rPr>
        <w:t>itycznych, takich jak Strategia UE</w:t>
      </w:r>
      <w:r w:rsidR="008B35E8" w:rsidRPr="002866E5">
        <w:rPr>
          <w:noProof/>
        </w:rPr>
        <w:t xml:space="preserve"> w</w:t>
      </w:r>
      <w:r w:rsidR="008B35E8">
        <w:rPr>
          <w:noProof/>
        </w:rPr>
        <w:t> </w:t>
      </w:r>
      <w:r w:rsidR="008B35E8" w:rsidRPr="002866E5">
        <w:rPr>
          <w:noProof/>
        </w:rPr>
        <w:t>zak</w:t>
      </w:r>
      <w:r w:rsidR="00007D90" w:rsidRPr="002866E5">
        <w:rPr>
          <w:noProof/>
        </w:rPr>
        <w:t>resie cyberbezpieczeństwa na cyfrową dekadę</w:t>
      </w:r>
      <w:r w:rsidR="00007D90" w:rsidRPr="002866E5">
        <w:rPr>
          <w:rStyle w:val="FootnoteReference"/>
          <w:noProof/>
        </w:rPr>
        <w:footnoteReference w:id="17"/>
      </w:r>
      <w:r w:rsidR="00007D90" w:rsidRPr="002866E5">
        <w:rPr>
          <w:noProof/>
        </w:rPr>
        <w:t>, konkluzje Rady</w:t>
      </w:r>
      <w:r w:rsidR="008B35E8" w:rsidRPr="002866E5">
        <w:rPr>
          <w:noProof/>
        </w:rPr>
        <w:t xml:space="preserve"> z</w:t>
      </w:r>
      <w:r w:rsidR="008B35E8">
        <w:rPr>
          <w:noProof/>
        </w:rPr>
        <w:t> </w:t>
      </w:r>
      <w:r w:rsidR="008B35E8" w:rsidRPr="002866E5">
        <w:rPr>
          <w:noProof/>
        </w:rPr>
        <w:t>dni</w:t>
      </w:r>
      <w:r w:rsidR="00007D90" w:rsidRPr="002866E5">
        <w:rPr>
          <w:noProof/>
        </w:rPr>
        <w:t>a 2 grudnia 20</w:t>
      </w:r>
      <w:r w:rsidR="00007D90" w:rsidRPr="008B35E8">
        <w:rPr>
          <w:noProof/>
        </w:rPr>
        <w:t>20</w:t>
      </w:r>
      <w:r w:rsidR="008B35E8" w:rsidRPr="008B35E8">
        <w:rPr>
          <w:noProof/>
        </w:rPr>
        <w:t> </w:t>
      </w:r>
      <w:r w:rsidR="00007D90" w:rsidRPr="008B35E8">
        <w:rPr>
          <w:noProof/>
        </w:rPr>
        <w:t>r.</w:t>
      </w:r>
      <w:r w:rsidR="008B35E8" w:rsidRPr="002866E5">
        <w:rPr>
          <w:noProof/>
        </w:rPr>
        <w:t xml:space="preserve"> i</w:t>
      </w:r>
      <w:r w:rsidR="008B35E8">
        <w:rPr>
          <w:noProof/>
        </w:rPr>
        <w:t> </w:t>
      </w:r>
      <w:r w:rsidR="008B35E8" w:rsidRPr="002866E5">
        <w:rPr>
          <w:noProof/>
        </w:rPr>
        <w:t>z</w:t>
      </w:r>
      <w:r w:rsidR="008B35E8">
        <w:rPr>
          <w:noProof/>
        </w:rPr>
        <w:t> </w:t>
      </w:r>
      <w:r w:rsidR="008B35E8" w:rsidRPr="002866E5">
        <w:rPr>
          <w:noProof/>
        </w:rPr>
        <w:t>dni</w:t>
      </w:r>
      <w:r w:rsidR="00007D90" w:rsidRPr="002866E5">
        <w:rPr>
          <w:noProof/>
        </w:rPr>
        <w:t>a 23 maja 20</w:t>
      </w:r>
      <w:r w:rsidR="00007D90" w:rsidRPr="008B35E8">
        <w:rPr>
          <w:noProof/>
        </w:rPr>
        <w:t>22</w:t>
      </w:r>
      <w:r w:rsidR="008B35E8" w:rsidRPr="008B35E8">
        <w:rPr>
          <w:noProof/>
        </w:rPr>
        <w:t> </w:t>
      </w:r>
      <w:r w:rsidR="00007D90" w:rsidRPr="008B35E8">
        <w:rPr>
          <w:noProof/>
        </w:rPr>
        <w:t>r.</w:t>
      </w:r>
      <w:r w:rsidR="00007D90" w:rsidRPr="002866E5">
        <w:rPr>
          <w:noProof/>
        </w:rPr>
        <w:t xml:space="preserve"> lub rezolucja Parlamentu Europejskiego</w:t>
      </w:r>
      <w:r w:rsidR="008B35E8" w:rsidRPr="002866E5">
        <w:rPr>
          <w:noProof/>
        </w:rPr>
        <w:t xml:space="preserve"> z</w:t>
      </w:r>
      <w:r w:rsidR="008B35E8">
        <w:rPr>
          <w:noProof/>
        </w:rPr>
        <w:t> </w:t>
      </w:r>
      <w:r w:rsidR="008B35E8" w:rsidRPr="002866E5">
        <w:rPr>
          <w:noProof/>
        </w:rPr>
        <w:t>dni</w:t>
      </w:r>
      <w:r w:rsidR="00007D90" w:rsidRPr="002866E5">
        <w:rPr>
          <w:noProof/>
        </w:rPr>
        <w:t>a 10 czerwca 20</w:t>
      </w:r>
      <w:r w:rsidR="00007D90" w:rsidRPr="008B35E8">
        <w:rPr>
          <w:noProof/>
        </w:rPr>
        <w:t>21</w:t>
      </w:r>
      <w:r w:rsidR="008B35E8" w:rsidRPr="008B35E8">
        <w:rPr>
          <w:noProof/>
        </w:rPr>
        <w:t> </w:t>
      </w:r>
      <w:r w:rsidR="00007D90" w:rsidRPr="008B35E8">
        <w:rPr>
          <w:noProof/>
        </w:rPr>
        <w:t>r.</w:t>
      </w:r>
      <w:r w:rsidR="00007D90" w:rsidRPr="002866E5">
        <w:rPr>
          <w:rStyle w:val="FootnoteReference"/>
          <w:noProof/>
        </w:rPr>
        <w:footnoteReference w:id="18"/>
      </w:r>
      <w:r w:rsidR="00007D90" w:rsidRPr="002866E5">
        <w:rPr>
          <w:noProof/>
        </w:rPr>
        <w:t xml:space="preserve"> – wezwano do wprowadzenia konkretnych unijnych wymogów cyberbezpieczeństwa</w:t>
      </w:r>
      <w:r w:rsidR="008B35E8" w:rsidRPr="002866E5">
        <w:rPr>
          <w:noProof/>
        </w:rPr>
        <w:t xml:space="preserve"> w</w:t>
      </w:r>
      <w:r w:rsidR="008B35E8">
        <w:rPr>
          <w:noProof/>
        </w:rPr>
        <w:t> </w:t>
      </w:r>
      <w:r w:rsidR="008B35E8" w:rsidRPr="002866E5">
        <w:rPr>
          <w:noProof/>
        </w:rPr>
        <w:t>odn</w:t>
      </w:r>
      <w:r w:rsidR="00007D90" w:rsidRPr="002866E5">
        <w:rPr>
          <w:noProof/>
        </w:rPr>
        <w:t>iesieniu do produktów cyfrowych lub podłączonych do internetu, przy czym szereg państw na świecie</w:t>
      </w:r>
      <w:r w:rsidR="008B35E8" w:rsidRPr="002866E5">
        <w:rPr>
          <w:noProof/>
        </w:rPr>
        <w:t xml:space="preserve"> z</w:t>
      </w:r>
      <w:r w:rsidR="008B35E8">
        <w:rPr>
          <w:noProof/>
        </w:rPr>
        <w:t> </w:t>
      </w:r>
      <w:r w:rsidR="008B35E8" w:rsidRPr="002866E5">
        <w:rPr>
          <w:noProof/>
        </w:rPr>
        <w:t>wła</w:t>
      </w:r>
      <w:r w:rsidR="00007D90" w:rsidRPr="002866E5">
        <w:rPr>
          <w:noProof/>
        </w:rPr>
        <w:t>snej inicjatywy wprowadziło środki mające na celu rozwiązanie tej kwestii</w:t>
      </w:r>
      <w:r w:rsidR="008B35E8" w:rsidRPr="002866E5">
        <w:rPr>
          <w:noProof/>
        </w:rPr>
        <w:t>. W</w:t>
      </w:r>
      <w:r w:rsidR="008B35E8">
        <w:rPr>
          <w:noProof/>
        </w:rPr>
        <w:t> </w:t>
      </w:r>
      <w:r w:rsidR="008B35E8" w:rsidRPr="002866E5">
        <w:rPr>
          <w:noProof/>
        </w:rPr>
        <w:t>spr</w:t>
      </w:r>
      <w:r w:rsidR="00007D90" w:rsidRPr="002866E5">
        <w:rPr>
          <w:noProof/>
        </w:rPr>
        <w:t>awozdaniu</w:t>
      </w:r>
      <w:r w:rsidR="008B35E8" w:rsidRPr="002866E5">
        <w:rPr>
          <w:noProof/>
        </w:rPr>
        <w:t xml:space="preserve"> z</w:t>
      </w:r>
      <w:r w:rsidR="008B35E8">
        <w:rPr>
          <w:noProof/>
        </w:rPr>
        <w:t> </w:t>
      </w:r>
      <w:r w:rsidR="008B35E8" w:rsidRPr="002866E5">
        <w:rPr>
          <w:noProof/>
        </w:rPr>
        <w:t>wyn</w:t>
      </w:r>
      <w:r w:rsidR="00007D90" w:rsidRPr="002866E5">
        <w:rPr>
          <w:noProof/>
        </w:rPr>
        <w:t>ików końcowych Konferencji</w:t>
      </w:r>
      <w:r w:rsidR="008B35E8" w:rsidRPr="002866E5">
        <w:rPr>
          <w:noProof/>
        </w:rPr>
        <w:t xml:space="preserve"> w</w:t>
      </w:r>
      <w:r w:rsidR="008B35E8">
        <w:rPr>
          <w:noProof/>
        </w:rPr>
        <w:t> </w:t>
      </w:r>
      <w:r w:rsidR="008B35E8" w:rsidRPr="002866E5">
        <w:rPr>
          <w:noProof/>
        </w:rPr>
        <w:t>spr</w:t>
      </w:r>
      <w:r w:rsidR="00007D90" w:rsidRPr="002866E5">
        <w:rPr>
          <w:noProof/>
        </w:rPr>
        <w:t>awie przyszłości Europy</w:t>
      </w:r>
      <w:r w:rsidR="00007D90" w:rsidRPr="002866E5">
        <w:rPr>
          <w:rStyle w:val="FootnoteReference"/>
          <w:noProof/>
        </w:rPr>
        <w:footnoteReference w:id="19"/>
      </w:r>
      <w:r w:rsidR="00007D90" w:rsidRPr="002866E5">
        <w:rPr>
          <w:noProof/>
        </w:rPr>
        <w:t xml:space="preserve"> obywatele wezwali do zwiększenia roli UE</w:t>
      </w:r>
      <w:r w:rsidR="008B35E8" w:rsidRPr="002866E5">
        <w:rPr>
          <w:noProof/>
        </w:rPr>
        <w:t xml:space="preserve"> w</w:t>
      </w:r>
      <w:r w:rsidR="008B35E8">
        <w:rPr>
          <w:noProof/>
        </w:rPr>
        <w:t> </w:t>
      </w:r>
      <w:r w:rsidR="008B35E8" w:rsidRPr="002866E5">
        <w:rPr>
          <w:noProof/>
        </w:rPr>
        <w:t>prz</w:t>
      </w:r>
      <w:r w:rsidR="00007D90" w:rsidRPr="002866E5">
        <w:rPr>
          <w:noProof/>
        </w:rPr>
        <w:t>eciwdziałaniu zagrożeniom cyberbezpieczeństwa.</w:t>
      </w:r>
    </w:p>
    <w:p w14:paraId="67ED86CF" w14:textId="22D6AACA" w:rsidR="007E435A" w:rsidRPr="002866E5" w:rsidRDefault="00B4087C" w:rsidP="00B4087C">
      <w:pPr>
        <w:pStyle w:val="ManualConsidrant"/>
        <w:rPr>
          <w:noProof/>
        </w:rPr>
      </w:pPr>
      <w:r w:rsidRPr="00B4087C">
        <w:t>(6)</w:t>
      </w:r>
      <w:r w:rsidRPr="00B4087C">
        <w:tab/>
      </w:r>
      <w:r w:rsidR="001030E8" w:rsidRPr="002866E5">
        <w:rPr>
          <w:noProof/>
        </w:rPr>
        <w:t>Aby zwiększyć ogólny poziom cyberbezpieczeństwa wszystkich produktów</w:t>
      </w:r>
      <w:r w:rsidR="008B35E8" w:rsidRPr="002866E5">
        <w:rPr>
          <w:noProof/>
        </w:rPr>
        <w:t xml:space="preserve"> z</w:t>
      </w:r>
      <w:r w:rsidR="008B35E8">
        <w:rPr>
          <w:noProof/>
        </w:rPr>
        <w:t> </w:t>
      </w:r>
      <w:r w:rsidR="008B35E8" w:rsidRPr="002866E5">
        <w:rPr>
          <w:noProof/>
        </w:rPr>
        <w:t>ele</w:t>
      </w:r>
      <w:r w:rsidR="001030E8" w:rsidRPr="002866E5">
        <w:rPr>
          <w:noProof/>
        </w:rPr>
        <w:t>mentami cyfrowymi wprowadzanych na rynek wewnętrzny, należy ustanowić ukierunkowane na cel</w:t>
      </w:r>
      <w:r w:rsidR="008B35E8" w:rsidRPr="002866E5">
        <w:rPr>
          <w:noProof/>
        </w:rPr>
        <w:t xml:space="preserve"> i</w:t>
      </w:r>
      <w:r w:rsidR="008B35E8">
        <w:rPr>
          <w:noProof/>
        </w:rPr>
        <w:t> </w:t>
      </w:r>
      <w:r w:rsidR="008B35E8" w:rsidRPr="002866E5">
        <w:rPr>
          <w:noProof/>
        </w:rPr>
        <w:t>neu</w:t>
      </w:r>
      <w:r w:rsidR="001030E8" w:rsidRPr="002866E5">
        <w:rPr>
          <w:noProof/>
        </w:rPr>
        <w:t>tralne technologicznie zasadnicze wymogi cyberbezpieczeństwa dotyczące tych produktów, które to wymogi byłyby stosowane horyzontalnie.</w:t>
      </w:r>
    </w:p>
    <w:p w14:paraId="67ED86D0" w14:textId="6CA57717" w:rsidR="00AF2B94" w:rsidRPr="002866E5" w:rsidRDefault="00B4087C" w:rsidP="00B4087C">
      <w:pPr>
        <w:pStyle w:val="ManualConsidrant"/>
        <w:rPr>
          <w:noProof/>
        </w:rPr>
      </w:pPr>
      <w:r w:rsidRPr="00B4087C">
        <w:lastRenderedPageBreak/>
        <w:t>(7)</w:t>
      </w:r>
      <w:r w:rsidRPr="00B4087C">
        <w:tab/>
      </w:r>
      <w:r w:rsidR="00AF2B94" w:rsidRPr="002866E5">
        <w:rPr>
          <w:noProof/>
        </w:rPr>
        <w:t>W określonych warunkach wszystkie produkty</w:t>
      </w:r>
      <w:r w:rsidR="008B35E8" w:rsidRPr="002866E5">
        <w:rPr>
          <w:noProof/>
        </w:rPr>
        <w:t xml:space="preserve"> z</w:t>
      </w:r>
      <w:r w:rsidR="008B35E8">
        <w:rPr>
          <w:noProof/>
        </w:rPr>
        <w:t> </w:t>
      </w:r>
      <w:r w:rsidR="008B35E8" w:rsidRPr="002866E5">
        <w:rPr>
          <w:noProof/>
        </w:rPr>
        <w:t>ele</w:t>
      </w:r>
      <w:r w:rsidR="00AF2B94" w:rsidRPr="002866E5">
        <w:rPr>
          <w:noProof/>
        </w:rPr>
        <w:t>mentami cyfrowymi zintegrowane lub połączone</w:t>
      </w:r>
      <w:r w:rsidR="008B35E8" w:rsidRPr="002866E5">
        <w:rPr>
          <w:noProof/>
        </w:rPr>
        <w:t xml:space="preserve"> z</w:t>
      </w:r>
      <w:r w:rsidR="008B35E8">
        <w:rPr>
          <w:noProof/>
        </w:rPr>
        <w:t> </w:t>
      </w:r>
      <w:r w:rsidR="008B35E8" w:rsidRPr="002866E5">
        <w:rPr>
          <w:noProof/>
        </w:rPr>
        <w:t>wię</w:t>
      </w:r>
      <w:r w:rsidR="00AF2B94" w:rsidRPr="002866E5">
        <w:rPr>
          <w:noProof/>
        </w:rPr>
        <w:t>kszym elektronicznym systemem informacyjnym mogą służyć jako wektor ataku dla podmiotów działających</w:t>
      </w:r>
      <w:r w:rsidR="008B35E8" w:rsidRPr="002866E5">
        <w:rPr>
          <w:noProof/>
        </w:rPr>
        <w:t xml:space="preserve"> w</w:t>
      </w:r>
      <w:r w:rsidR="008B35E8">
        <w:rPr>
          <w:noProof/>
        </w:rPr>
        <w:t> </w:t>
      </w:r>
      <w:r w:rsidR="008B35E8" w:rsidRPr="002866E5">
        <w:rPr>
          <w:noProof/>
        </w:rPr>
        <w:t>zły</w:t>
      </w:r>
      <w:r w:rsidR="00AF2B94" w:rsidRPr="002866E5">
        <w:rPr>
          <w:noProof/>
        </w:rPr>
        <w:t>m zamiarze</w:t>
      </w:r>
      <w:r w:rsidR="008B35E8" w:rsidRPr="002866E5">
        <w:rPr>
          <w:noProof/>
        </w:rPr>
        <w:t>. W</w:t>
      </w:r>
      <w:r w:rsidR="008B35E8">
        <w:rPr>
          <w:noProof/>
        </w:rPr>
        <w:t> </w:t>
      </w:r>
      <w:r w:rsidR="008B35E8" w:rsidRPr="002866E5">
        <w:rPr>
          <w:noProof/>
        </w:rPr>
        <w:t>rez</w:t>
      </w:r>
      <w:r w:rsidR="00AF2B94" w:rsidRPr="002866E5">
        <w:rPr>
          <w:noProof/>
        </w:rPr>
        <w:t>ultacie nawet sprzęt</w:t>
      </w:r>
      <w:r w:rsidR="008B35E8" w:rsidRPr="002866E5">
        <w:rPr>
          <w:noProof/>
        </w:rPr>
        <w:t xml:space="preserve"> i</w:t>
      </w:r>
      <w:r w:rsidR="008B35E8">
        <w:rPr>
          <w:noProof/>
        </w:rPr>
        <w:t> </w:t>
      </w:r>
      <w:r w:rsidR="008B35E8" w:rsidRPr="002866E5">
        <w:rPr>
          <w:noProof/>
        </w:rPr>
        <w:t>opr</w:t>
      </w:r>
      <w:r w:rsidR="00AF2B94" w:rsidRPr="002866E5">
        <w:rPr>
          <w:noProof/>
        </w:rPr>
        <w:t>ogramowanie uważane za mniej krytyczne mogą ułatwić rozpoczęcie ataku na urządzenie lub sieć, umożliwiając podmiotom działającym</w:t>
      </w:r>
      <w:r w:rsidR="008B35E8" w:rsidRPr="002866E5">
        <w:rPr>
          <w:noProof/>
        </w:rPr>
        <w:t xml:space="preserve"> w</w:t>
      </w:r>
      <w:r w:rsidR="008B35E8">
        <w:rPr>
          <w:noProof/>
        </w:rPr>
        <w:t> </w:t>
      </w:r>
      <w:r w:rsidR="008B35E8" w:rsidRPr="002866E5">
        <w:rPr>
          <w:noProof/>
        </w:rPr>
        <w:t>zły</w:t>
      </w:r>
      <w:r w:rsidR="00AF2B94" w:rsidRPr="002866E5">
        <w:rPr>
          <w:noProof/>
        </w:rPr>
        <w:t>m zamiarze uzyskanie uprzywilejowanego dostępu do systemu lub przenikanie między różnymi systemami. Producenci powinni zatem zapewnić, aby wszystkie produkty</w:t>
      </w:r>
      <w:r w:rsidR="008B35E8" w:rsidRPr="002866E5">
        <w:rPr>
          <w:noProof/>
        </w:rPr>
        <w:t xml:space="preserve"> z</w:t>
      </w:r>
      <w:r w:rsidR="008B35E8">
        <w:rPr>
          <w:noProof/>
        </w:rPr>
        <w:t> </w:t>
      </w:r>
      <w:r w:rsidR="008B35E8" w:rsidRPr="002866E5">
        <w:rPr>
          <w:noProof/>
        </w:rPr>
        <w:t>ele</w:t>
      </w:r>
      <w:r w:rsidR="00AF2B94" w:rsidRPr="002866E5">
        <w:rPr>
          <w:noProof/>
        </w:rPr>
        <w:t>mentami cyfrowymi, które można podłączyć do internetu, były projektowane</w:t>
      </w:r>
      <w:r w:rsidR="008B35E8" w:rsidRPr="002866E5">
        <w:rPr>
          <w:noProof/>
        </w:rPr>
        <w:t xml:space="preserve"> i</w:t>
      </w:r>
      <w:r w:rsidR="008B35E8">
        <w:rPr>
          <w:noProof/>
        </w:rPr>
        <w:t> </w:t>
      </w:r>
      <w:r w:rsidR="008B35E8" w:rsidRPr="002866E5">
        <w:rPr>
          <w:noProof/>
        </w:rPr>
        <w:t>opr</w:t>
      </w:r>
      <w:r w:rsidR="00AF2B94" w:rsidRPr="002866E5">
        <w:rPr>
          <w:noProof/>
        </w:rPr>
        <w:t>acowywane zgodnie</w:t>
      </w:r>
      <w:r w:rsidR="008B35E8" w:rsidRPr="002866E5">
        <w:rPr>
          <w:noProof/>
        </w:rPr>
        <w:t xml:space="preserve"> z</w:t>
      </w:r>
      <w:r w:rsidR="008B35E8">
        <w:rPr>
          <w:noProof/>
        </w:rPr>
        <w:t> </w:t>
      </w:r>
      <w:r w:rsidR="008B35E8" w:rsidRPr="002866E5">
        <w:rPr>
          <w:noProof/>
        </w:rPr>
        <w:t>zas</w:t>
      </w:r>
      <w:r w:rsidR="00AF2B94" w:rsidRPr="002866E5">
        <w:rPr>
          <w:noProof/>
        </w:rPr>
        <w:t>adniczymi wymogami określonymi</w:t>
      </w:r>
      <w:r w:rsidR="008B35E8" w:rsidRPr="002866E5">
        <w:rPr>
          <w:noProof/>
        </w:rPr>
        <w:t xml:space="preserve"> w</w:t>
      </w:r>
      <w:r w:rsidR="008B35E8">
        <w:rPr>
          <w:noProof/>
        </w:rPr>
        <w:t> </w:t>
      </w:r>
      <w:r w:rsidR="008B35E8" w:rsidRPr="002866E5">
        <w:rPr>
          <w:noProof/>
        </w:rPr>
        <w:t>nin</w:t>
      </w:r>
      <w:r w:rsidR="00AF2B94" w:rsidRPr="002866E5">
        <w:rPr>
          <w:noProof/>
        </w:rPr>
        <w:t>iejszym rozporządzeniu. Dotyczy to zarówno produktów, które można podłączyć fizycznie za pomocą interfejsów sprzętowych, jak</w:t>
      </w:r>
      <w:r w:rsidR="008B35E8" w:rsidRPr="002866E5">
        <w:rPr>
          <w:noProof/>
        </w:rPr>
        <w:t xml:space="preserve"> i</w:t>
      </w:r>
      <w:r w:rsidR="008B35E8">
        <w:rPr>
          <w:noProof/>
        </w:rPr>
        <w:t> </w:t>
      </w:r>
      <w:r w:rsidR="008B35E8" w:rsidRPr="002866E5">
        <w:rPr>
          <w:noProof/>
        </w:rPr>
        <w:t>pro</w:t>
      </w:r>
      <w:r w:rsidR="00AF2B94" w:rsidRPr="002866E5">
        <w:rPr>
          <w:noProof/>
        </w:rPr>
        <w:t>duktów podłączanych na poziomie logicznym, np. za pomocą gniazd sieciowych, potoków, plików, interfejsów programowania aplikacji lub wszelkich innych rodzajów interfejsów oprogramowania. Ponieważ zagrożenia cyberbezpieczeństwa mogą rozprzestrzeniać się za pośrednictwem różnych produktów</w:t>
      </w:r>
      <w:r w:rsidR="008B35E8" w:rsidRPr="002866E5">
        <w:rPr>
          <w:noProof/>
        </w:rPr>
        <w:t xml:space="preserve"> z</w:t>
      </w:r>
      <w:r w:rsidR="008B35E8">
        <w:rPr>
          <w:noProof/>
        </w:rPr>
        <w:t> </w:t>
      </w:r>
      <w:r w:rsidR="008B35E8" w:rsidRPr="002866E5">
        <w:rPr>
          <w:noProof/>
        </w:rPr>
        <w:t>ele</w:t>
      </w:r>
      <w:r w:rsidR="00AF2B94" w:rsidRPr="002866E5">
        <w:rPr>
          <w:noProof/>
        </w:rPr>
        <w:t>mentami cyfrowymi, zanim dotrą do określonego celu, na przykład dzięki łącznemu wykorzystaniu wielu różnych exploitów, producenci powinni również zapewnić cyberbezpieczeństwo tych produktów, które są jedynie pośrednio połączone</w:t>
      </w:r>
      <w:r w:rsidR="008B35E8" w:rsidRPr="002866E5">
        <w:rPr>
          <w:noProof/>
        </w:rPr>
        <w:t xml:space="preserve"> z</w:t>
      </w:r>
      <w:r w:rsidR="008B35E8">
        <w:rPr>
          <w:noProof/>
        </w:rPr>
        <w:t> </w:t>
      </w:r>
      <w:r w:rsidR="008B35E8" w:rsidRPr="002866E5">
        <w:rPr>
          <w:noProof/>
        </w:rPr>
        <w:t>inn</w:t>
      </w:r>
      <w:r w:rsidR="00AF2B94" w:rsidRPr="002866E5">
        <w:rPr>
          <w:noProof/>
        </w:rPr>
        <w:t>ymi urządzeniami lub sieciami.</w:t>
      </w:r>
    </w:p>
    <w:p w14:paraId="67ED86D1" w14:textId="03BC5F6C" w:rsidR="00A629CF" w:rsidRPr="002866E5" w:rsidRDefault="00B4087C" w:rsidP="00B4087C">
      <w:pPr>
        <w:pStyle w:val="ManualConsidrant"/>
        <w:rPr>
          <w:noProof/>
        </w:rPr>
      </w:pPr>
      <w:r w:rsidRPr="00B4087C">
        <w:t>(8)</w:t>
      </w:r>
      <w:r w:rsidRPr="00B4087C">
        <w:tab/>
      </w:r>
      <w:r w:rsidR="001F0F06" w:rsidRPr="002866E5">
        <w:rPr>
          <w:noProof/>
        </w:rPr>
        <w:t>Dzięki ustanowieniu wymogów cyberbezpieczeństwa dotyczących wprowadzania do obrotu produktów</w:t>
      </w:r>
      <w:r w:rsidR="008B35E8" w:rsidRPr="002866E5">
        <w:rPr>
          <w:noProof/>
        </w:rPr>
        <w:t xml:space="preserve"> z</w:t>
      </w:r>
      <w:r w:rsidR="008B35E8">
        <w:rPr>
          <w:noProof/>
        </w:rPr>
        <w:t> </w:t>
      </w:r>
      <w:r w:rsidR="008B35E8" w:rsidRPr="002866E5">
        <w:rPr>
          <w:noProof/>
        </w:rPr>
        <w:t>ele</w:t>
      </w:r>
      <w:r w:rsidR="001F0F06" w:rsidRPr="002866E5">
        <w:rPr>
          <w:noProof/>
        </w:rPr>
        <w:t>mentami cyfrowymi produkty te będą bezpieczniejsze zarówno dla konsumentów, jak</w:t>
      </w:r>
      <w:r w:rsidR="008B35E8" w:rsidRPr="002866E5">
        <w:rPr>
          <w:noProof/>
        </w:rPr>
        <w:t xml:space="preserve"> i</w:t>
      </w:r>
      <w:r w:rsidR="008B35E8">
        <w:rPr>
          <w:noProof/>
        </w:rPr>
        <w:t> </w:t>
      </w:r>
      <w:r w:rsidR="008B35E8" w:rsidRPr="002866E5">
        <w:rPr>
          <w:noProof/>
        </w:rPr>
        <w:t>dla</w:t>
      </w:r>
      <w:r w:rsidR="001F0F06" w:rsidRPr="002866E5">
        <w:rPr>
          <w:noProof/>
        </w:rPr>
        <w:t xml:space="preserve"> przedsiębiorstw. Obejmuje to również wymogi dotyczące wprowadzania do obrotu produktów konsumenckich</w:t>
      </w:r>
      <w:r w:rsidR="008B35E8" w:rsidRPr="002866E5">
        <w:rPr>
          <w:noProof/>
        </w:rPr>
        <w:t xml:space="preserve"> z</w:t>
      </w:r>
      <w:r w:rsidR="008B35E8">
        <w:rPr>
          <w:noProof/>
        </w:rPr>
        <w:t> </w:t>
      </w:r>
      <w:r w:rsidR="008B35E8" w:rsidRPr="002866E5">
        <w:rPr>
          <w:noProof/>
        </w:rPr>
        <w:t>ele</w:t>
      </w:r>
      <w:r w:rsidR="001F0F06" w:rsidRPr="002866E5">
        <w:rPr>
          <w:noProof/>
        </w:rPr>
        <w:t>mentami cyfrowymi przeznaczonych dla konsumentów podatnych na zagrożenia, takich jak zabawki</w:t>
      </w:r>
      <w:r w:rsidR="008B35E8" w:rsidRPr="002866E5">
        <w:rPr>
          <w:noProof/>
        </w:rPr>
        <w:t xml:space="preserve"> i</w:t>
      </w:r>
      <w:r w:rsidR="008B35E8">
        <w:rPr>
          <w:noProof/>
        </w:rPr>
        <w:t> </w:t>
      </w:r>
      <w:r w:rsidR="008B35E8" w:rsidRPr="002866E5">
        <w:rPr>
          <w:noProof/>
        </w:rPr>
        <w:t>nia</w:t>
      </w:r>
      <w:r w:rsidR="001F0F06" w:rsidRPr="002866E5">
        <w:rPr>
          <w:noProof/>
        </w:rPr>
        <w:t xml:space="preserve">nie elektroniczne. </w:t>
      </w:r>
    </w:p>
    <w:p w14:paraId="67ED86D2" w14:textId="703D88F7" w:rsidR="00E92E80" w:rsidRPr="002866E5" w:rsidRDefault="00B4087C" w:rsidP="00B4087C">
      <w:pPr>
        <w:pStyle w:val="ManualConsidrant"/>
        <w:rPr>
          <w:noProof/>
        </w:rPr>
      </w:pPr>
      <w:r w:rsidRPr="00B4087C">
        <w:t>(9)</w:t>
      </w:r>
      <w:r w:rsidRPr="00B4087C">
        <w:tab/>
      </w:r>
      <w:r w:rsidR="007A25AB" w:rsidRPr="002866E5">
        <w:rPr>
          <w:noProof/>
        </w:rPr>
        <w:t>Niniejsze rozporządzenie zapewnia wysoki poziom cyberbezpieczeństwa produktów</w:t>
      </w:r>
      <w:r w:rsidR="008B35E8" w:rsidRPr="002866E5">
        <w:rPr>
          <w:noProof/>
        </w:rPr>
        <w:t xml:space="preserve"> z</w:t>
      </w:r>
      <w:r w:rsidR="008B35E8">
        <w:rPr>
          <w:noProof/>
        </w:rPr>
        <w:t> </w:t>
      </w:r>
      <w:r w:rsidR="008B35E8" w:rsidRPr="002866E5">
        <w:rPr>
          <w:noProof/>
        </w:rPr>
        <w:t>ele</w:t>
      </w:r>
      <w:r w:rsidR="007A25AB" w:rsidRPr="002866E5">
        <w:rPr>
          <w:noProof/>
        </w:rPr>
        <w:t>mentami cyfrowymi. Nie reguluje się</w:t>
      </w:r>
      <w:r w:rsidR="008B35E8" w:rsidRPr="002866E5">
        <w:rPr>
          <w:noProof/>
        </w:rPr>
        <w:t xml:space="preserve"> w</w:t>
      </w:r>
      <w:r w:rsidR="008B35E8">
        <w:rPr>
          <w:noProof/>
        </w:rPr>
        <w:t> </w:t>
      </w:r>
      <w:r w:rsidR="008B35E8" w:rsidRPr="002866E5">
        <w:rPr>
          <w:noProof/>
        </w:rPr>
        <w:t>nim</w:t>
      </w:r>
      <w:r w:rsidR="007A25AB" w:rsidRPr="002866E5">
        <w:rPr>
          <w:noProof/>
        </w:rPr>
        <w:t xml:space="preserve"> usług, takich jak oprogramowanie jako usługa (SaaS),</w:t>
      </w:r>
      <w:r w:rsidR="008B35E8" w:rsidRPr="002866E5">
        <w:rPr>
          <w:noProof/>
        </w:rPr>
        <w:t xml:space="preserve"> z</w:t>
      </w:r>
      <w:r w:rsidR="008B35E8">
        <w:rPr>
          <w:noProof/>
        </w:rPr>
        <w:t> </w:t>
      </w:r>
      <w:r w:rsidR="008B35E8" w:rsidRPr="002866E5">
        <w:rPr>
          <w:noProof/>
        </w:rPr>
        <w:t>wyj</w:t>
      </w:r>
      <w:r w:rsidR="007A25AB" w:rsidRPr="002866E5">
        <w:rPr>
          <w:noProof/>
        </w:rPr>
        <w:t>ątkiem rozwiązań</w:t>
      </w:r>
      <w:r w:rsidR="008B35E8" w:rsidRPr="002866E5">
        <w:rPr>
          <w:noProof/>
        </w:rPr>
        <w:t xml:space="preserve"> w</w:t>
      </w:r>
      <w:r w:rsidR="008B35E8">
        <w:rPr>
          <w:noProof/>
        </w:rPr>
        <w:t> </w:t>
      </w:r>
      <w:r w:rsidR="008B35E8" w:rsidRPr="002866E5">
        <w:rPr>
          <w:noProof/>
        </w:rPr>
        <w:t>zak</w:t>
      </w:r>
      <w:r w:rsidR="007A25AB" w:rsidRPr="002866E5">
        <w:rPr>
          <w:noProof/>
        </w:rPr>
        <w:t>resie zdalnego przetwarzania danych związanego</w:t>
      </w:r>
      <w:r w:rsidR="008B35E8" w:rsidRPr="002866E5">
        <w:rPr>
          <w:noProof/>
        </w:rPr>
        <w:t xml:space="preserve"> z</w:t>
      </w:r>
      <w:r w:rsidR="008B35E8">
        <w:rPr>
          <w:noProof/>
        </w:rPr>
        <w:t> </w:t>
      </w:r>
      <w:r w:rsidR="008B35E8" w:rsidRPr="002866E5">
        <w:rPr>
          <w:noProof/>
        </w:rPr>
        <w:t>pro</w:t>
      </w:r>
      <w:r w:rsidR="007A25AB" w:rsidRPr="002866E5">
        <w:rPr>
          <w:noProof/>
        </w:rPr>
        <w:t>duktem</w:t>
      </w:r>
      <w:r w:rsidR="008B35E8" w:rsidRPr="002866E5">
        <w:rPr>
          <w:noProof/>
        </w:rPr>
        <w:t xml:space="preserve"> z</w:t>
      </w:r>
      <w:r w:rsidR="008B35E8">
        <w:rPr>
          <w:noProof/>
        </w:rPr>
        <w:t> </w:t>
      </w:r>
      <w:r w:rsidR="008B35E8" w:rsidRPr="002866E5">
        <w:rPr>
          <w:noProof/>
        </w:rPr>
        <w:t>ele</w:t>
      </w:r>
      <w:r w:rsidR="007A25AB" w:rsidRPr="002866E5">
        <w:rPr>
          <w:noProof/>
        </w:rPr>
        <w:t>mentami cyfrowymi, rozumianego jako wszelkie przetwarzanie danych na odległość, na potrzeby którego oprogramowanie zostało zaprojektowane</w:t>
      </w:r>
      <w:r w:rsidR="008B35E8" w:rsidRPr="002866E5">
        <w:rPr>
          <w:noProof/>
        </w:rPr>
        <w:t xml:space="preserve"> i</w:t>
      </w:r>
      <w:r w:rsidR="008B35E8">
        <w:rPr>
          <w:noProof/>
        </w:rPr>
        <w:t> </w:t>
      </w:r>
      <w:r w:rsidR="008B35E8" w:rsidRPr="002866E5">
        <w:rPr>
          <w:noProof/>
        </w:rPr>
        <w:t>opr</w:t>
      </w:r>
      <w:r w:rsidR="007A25AB" w:rsidRPr="002866E5">
        <w:rPr>
          <w:noProof/>
        </w:rPr>
        <w:t>acowane przez producenta danego produktu lub na odpowiedzialność producenta danego produktu,</w:t>
      </w:r>
      <w:r w:rsidR="008B35E8" w:rsidRPr="002866E5">
        <w:rPr>
          <w:noProof/>
        </w:rPr>
        <w:t xml:space="preserve"> a</w:t>
      </w:r>
      <w:r w:rsidR="008B35E8">
        <w:rPr>
          <w:noProof/>
        </w:rPr>
        <w:t> </w:t>
      </w:r>
      <w:r w:rsidR="008B35E8" w:rsidRPr="002866E5">
        <w:rPr>
          <w:noProof/>
        </w:rPr>
        <w:t>któ</w:t>
      </w:r>
      <w:r w:rsidR="007A25AB" w:rsidRPr="002866E5">
        <w:rPr>
          <w:noProof/>
        </w:rPr>
        <w:t>rego brak spowodowałby, że produkt</w:t>
      </w:r>
      <w:r w:rsidR="008B35E8" w:rsidRPr="002866E5">
        <w:rPr>
          <w:noProof/>
        </w:rPr>
        <w:t xml:space="preserve"> z</w:t>
      </w:r>
      <w:r w:rsidR="008B35E8">
        <w:rPr>
          <w:noProof/>
        </w:rPr>
        <w:t> </w:t>
      </w:r>
      <w:r w:rsidR="008B35E8" w:rsidRPr="002866E5">
        <w:rPr>
          <w:noProof/>
        </w:rPr>
        <w:t>ele</w:t>
      </w:r>
      <w:r w:rsidR="007A25AB" w:rsidRPr="002866E5">
        <w:rPr>
          <w:noProof/>
        </w:rPr>
        <w:t>mentami cyfrowymi nie mógłby wykonywać jednej ze swoich funkcji. [Dyrektywa XXX/XXXX (NIS 2)] wprowadza wymogi cyberbezpieczeństwa</w:t>
      </w:r>
      <w:r w:rsidR="008B35E8" w:rsidRPr="002866E5">
        <w:rPr>
          <w:noProof/>
        </w:rPr>
        <w:t xml:space="preserve"> i</w:t>
      </w:r>
      <w:r w:rsidR="008B35E8">
        <w:rPr>
          <w:noProof/>
        </w:rPr>
        <w:t> </w:t>
      </w:r>
      <w:r w:rsidR="008B35E8" w:rsidRPr="002866E5">
        <w:rPr>
          <w:noProof/>
        </w:rPr>
        <w:t>wym</w:t>
      </w:r>
      <w:r w:rsidR="007A25AB" w:rsidRPr="002866E5">
        <w:rPr>
          <w:noProof/>
        </w:rPr>
        <w:t>ogi</w:t>
      </w:r>
      <w:r w:rsidR="008B35E8" w:rsidRPr="002866E5">
        <w:rPr>
          <w:noProof/>
        </w:rPr>
        <w:t xml:space="preserve"> w</w:t>
      </w:r>
      <w:r w:rsidR="008B35E8">
        <w:rPr>
          <w:noProof/>
        </w:rPr>
        <w:t> </w:t>
      </w:r>
      <w:r w:rsidR="008B35E8" w:rsidRPr="002866E5">
        <w:rPr>
          <w:noProof/>
        </w:rPr>
        <w:t>zak</w:t>
      </w:r>
      <w:r w:rsidR="007A25AB" w:rsidRPr="002866E5">
        <w:rPr>
          <w:noProof/>
        </w:rPr>
        <w:t>resie zgłaszania incydentów</w:t>
      </w:r>
      <w:r w:rsidR="008B35E8" w:rsidRPr="002866E5">
        <w:rPr>
          <w:noProof/>
        </w:rPr>
        <w:t xml:space="preserve"> w</w:t>
      </w:r>
      <w:r w:rsidR="008B35E8">
        <w:rPr>
          <w:noProof/>
        </w:rPr>
        <w:t> </w:t>
      </w:r>
      <w:r w:rsidR="008B35E8" w:rsidRPr="002866E5">
        <w:rPr>
          <w:noProof/>
        </w:rPr>
        <w:t>odn</w:t>
      </w:r>
      <w:r w:rsidR="007A25AB" w:rsidRPr="002866E5">
        <w:rPr>
          <w:noProof/>
        </w:rPr>
        <w:t>iesieniu do podmiotów niezbędnych</w:t>
      </w:r>
      <w:r w:rsidR="008B35E8" w:rsidRPr="002866E5">
        <w:rPr>
          <w:noProof/>
        </w:rPr>
        <w:t xml:space="preserve"> i</w:t>
      </w:r>
      <w:r w:rsidR="008B35E8">
        <w:rPr>
          <w:noProof/>
        </w:rPr>
        <w:t> </w:t>
      </w:r>
      <w:r w:rsidR="008B35E8" w:rsidRPr="002866E5">
        <w:rPr>
          <w:noProof/>
        </w:rPr>
        <w:t>ist</w:t>
      </w:r>
      <w:r w:rsidR="007A25AB" w:rsidRPr="002866E5">
        <w:rPr>
          <w:noProof/>
        </w:rPr>
        <w:t>otnych takich jak infrastruktura krytyczna</w:t>
      </w:r>
      <w:r w:rsidR="008B35E8" w:rsidRPr="002866E5">
        <w:rPr>
          <w:noProof/>
        </w:rPr>
        <w:t xml:space="preserve"> w</w:t>
      </w:r>
      <w:r w:rsidR="008B35E8">
        <w:rPr>
          <w:noProof/>
        </w:rPr>
        <w:t> </w:t>
      </w:r>
      <w:r w:rsidR="008B35E8" w:rsidRPr="002866E5">
        <w:rPr>
          <w:noProof/>
        </w:rPr>
        <w:t>cel</w:t>
      </w:r>
      <w:r w:rsidR="007A25AB" w:rsidRPr="002866E5">
        <w:rPr>
          <w:noProof/>
        </w:rPr>
        <w:t>u zwiększenia odporności usług świadczonych przez te podmioty. [Dyrektywa XXX/XXXX (NIS 2)] ma zastosowanie do usług</w:t>
      </w:r>
      <w:r w:rsidR="008B35E8" w:rsidRPr="002866E5">
        <w:rPr>
          <w:noProof/>
        </w:rPr>
        <w:t xml:space="preserve"> w</w:t>
      </w:r>
      <w:r w:rsidR="008B35E8">
        <w:rPr>
          <w:noProof/>
        </w:rPr>
        <w:t> </w:t>
      </w:r>
      <w:r w:rsidR="008B35E8" w:rsidRPr="002866E5">
        <w:rPr>
          <w:noProof/>
        </w:rPr>
        <w:t>chm</w:t>
      </w:r>
      <w:r w:rsidR="007A25AB" w:rsidRPr="002866E5">
        <w:rPr>
          <w:noProof/>
        </w:rPr>
        <w:t>urze oraz modeli świadczenia usług</w:t>
      </w:r>
      <w:r w:rsidR="008B35E8" w:rsidRPr="002866E5">
        <w:rPr>
          <w:noProof/>
        </w:rPr>
        <w:t xml:space="preserve"> w</w:t>
      </w:r>
      <w:r w:rsidR="008B35E8">
        <w:rPr>
          <w:noProof/>
        </w:rPr>
        <w:t> </w:t>
      </w:r>
      <w:r w:rsidR="008B35E8" w:rsidRPr="002866E5">
        <w:rPr>
          <w:noProof/>
        </w:rPr>
        <w:t>chm</w:t>
      </w:r>
      <w:r w:rsidR="007A25AB" w:rsidRPr="002866E5">
        <w:rPr>
          <w:noProof/>
        </w:rPr>
        <w:t>urze takich jak oprogramowanie jako usługa</w:t>
      </w:r>
      <w:r w:rsidR="008B35E8" w:rsidRPr="002866E5">
        <w:rPr>
          <w:noProof/>
        </w:rPr>
        <w:t>. W</w:t>
      </w:r>
      <w:r w:rsidR="008B35E8">
        <w:rPr>
          <w:noProof/>
        </w:rPr>
        <w:t> </w:t>
      </w:r>
      <w:r w:rsidR="008B35E8" w:rsidRPr="002866E5">
        <w:rPr>
          <w:noProof/>
        </w:rPr>
        <w:t>zak</w:t>
      </w:r>
      <w:r w:rsidR="007A25AB" w:rsidRPr="002866E5">
        <w:rPr>
          <w:noProof/>
        </w:rPr>
        <w:t>res tej dyrektywy wchodzą wszystkie podmioty świadczące usługi</w:t>
      </w:r>
      <w:r w:rsidR="008B35E8" w:rsidRPr="002866E5">
        <w:rPr>
          <w:noProof/>
        </w:rPr>
        <w:t xml:space="preserve"> w</w:t>
      </w:r>
      <w:r w:rsidR="008B35E8">
        <w:rPr>
          <w:noProof/>
        </w:rPr>
        <w:t> </w:t>
      </w:r>
      <w:r w:rsidR="008B35E8" w:rsidRPr="002866E5">
        <w:rPr>
          <w:noProof/>
        </w:rPr>
        <w:t>chm</w:t>
      </w:r>
      <w:r w:rsidR="007A25AB" w:rsidRPr="002866E5">
        <w:rPr>
          <w:noProof/>
        </w:rPr>
        <w:t>urze</w:t>
      </w:r>
      <w:r w:rsidR="008B35E8" w:rsidRPr="002866E5">
        <w:rPr>
          <w:noProof/>
        </w:rPr>
        <w:t xml:space="preserve"> w</w:t>
      </w:r>
      <w:r w:rsidR="008B35E8">
        <w:rPr>
          <w:noProof/>
        </w:rPr>
        <w:t> </w:t>
      </w:r>
      <w:r w:rsidR="008B35E8" w:rsidRPr="002866E5">
        <w:rPr>
          <w:noProof/>
        </w:rPr>
        <w:t>Uni</w:t>
      </w:r>
      <w:r w:rsidR="007A25AB" w:rsidRPr="002866E5">
        <w:rPr>
          <w:noProof/>
        </w:rPr>
        <w:t>i, które osiągają lub przekraczają próg dla średnich przedsiębiorstw.</w:t>
      </w:r>
    </w:p>
    <w:p w14:paraId="67ED86D3" w14:textId="36478170" w:rsidR="000E74D5" w:rsidRPr="002866E5" w:rsidRDefault="00B4087C" w:rsidP="00B4087C">
      <w:pPr>
        <w:pStyle w:val="ManualConsidrant"/>
        <w:rPr>
          <w:noProof/>
        </w:rPr>
      </w:pPr>
      <w:r w:rsidRPr="00B4087C">
        <w:t>(10)</w:t>
      </w:r>
      <w:r w:rsidRPr="00B4087C">
        <w:tab/>
      </w:r>
      <w:r w:rsidR="008B1638" w:rsidRPr="002866E5">
        <w:rPr>
          <w:noProof/>
        </w:rPr>
        <w:t>Aby nie utrudniać innowacji ani prowadzenia badań, niniejsze rozporządzenie nie powinno obejmować wolnego</w:t>
      </w:r>
      <w:r w:rsidR="008B35E8" w:rsidRPr="002866E5">
        <w:rPr>
          <w:noProof/>
        </w:rPr>
        <w:t xml:space="preserve"> i</w:t>
      </w:r>
      <w:r w:rsidR="008B35E8">
        <w:rPr>
          <w:noProof/>
        </w:rPr>
        <w:t> </w:t>
      </w:r>
      <w:r w:rsidR="008B35E8" w:rsidRPr="002866E5">
        <w:rPr>
          <w:noProof/>
        </w:rPr>
        <w:t>otw</w:t>
      </w:r>
      <w:r w:rsidR="008B1638" w:rsidRPr="002866E5">
        <w:rPr>
          <w:noProof/>
        </w:rPr>
        <w:t>artego oprogramowania, tworzonego lub dostarczanego poza działalnością handlową. Dotyczy to</w:t>
      </w:r>
      <w:r w:rsidR="008B35E8" w:rsidRPr="002866E5">
        <w:rPr>
          <w:noProof/>
        </w:rPr>
        <w:t xml:space="preserve"> w</w:t>
      </w:r>
      <w:r w:rsidR="008B35E8">
        <w:rPr>
          <w:noProof/>
        </w:rPr>
        <w:t> </w:t>
      </w:r>
      <w:r w:rsidR="008B35E8" w:rsidRPr="002866E5">
        <w:rPr>
          <w:noProof/>
        </w:rPr>
        <w:t>szc</w:t>
      </w:r>
      <w:r w:rsidR="008B1638" w:rsidRPr="002866E5">
        <w:rPr>
          <w:noProof/>
        </w:rPr>
        <w:t>zególności oprogramowania,</w:t>
      </w:r>
      <w:r w:rsidR="008B35E8" w:rsidRPr="002866E5">
        <w:rPr>
          <w:noProof/>
        </w:rPr>
        <w:t xml:space="preserve"> w</w:t>
      </w:r>
      <w:r w:rsidR="008B35E8">
        <w:rPr>
          <w:noProof/>
        </w:rPr>
        <w:t> </w:t>
      </w:r>
      <w:r w:rsidR="008B35E8" w:rsidRPr="002866E5">
        <w:rPr>
          <w:noProof/>
        </w:rPr>
        <w:t>tym</w:t>
      </w:r>
      <w:r w:rsidR="008B1638" w:rsidRPr="002866E5">
        <w:rPr>
          <w:noProof/>
        </w:rPr>
        <w:t xml:space="preserve"> jego kodu źródłowego</w:t>
      </w:r>
      <w:r w:rsidR="008B35E8" w:rsidRPr="002866E5">
        <w:rPr>
          <w:noProof/>
        </w:rPr>
        <w:t xml:space="preserve"> i</w:t>
      </w:r>
      <w:r w:rsidR="008B35E8">
        <w:rPr>
          <w:noProof/>
        </w:rPr>
        <w:t> </w:t>
      </w:r>
      <w:r w:rsidR="008B35E8" w:rsidRPr="002866E5">
        <w:rPr>
          <w:noProof/>
        </w:rPr>
        <w:t>jeg</w:t>
      </w:r>
      <w:r w:rsidR="008B1638" w:rsidRPr="002866E5">
        <w:rPr>
          <w:noProof/>
        </w:rPr>
        <w:t>o zmodyfikowanych wersji, które jest bezpłatnie dostępne dla każdego,</w:t>
      </w:r>
      <w:r w:rsidR="008B35E8" w:rsidRPr="002866E5">
        <w:rPr>
          <w:noProof/>
        </w:rPr>
        <w:t xml:space="preserve"> z</w:t>
      </w:r>
      <w:r w:rsidR="008B35E8">
        <w:rPr>
          <w:noProof/>
        </w:rPr>
        <w:t> </w:t>
      </w:r>
      <w:r w:rsidR="008B35E8" w:rsidRPr="002866E5">
        <w:rPr>
          <w:noProof/>
        </w:rPr>
        <w:t>któ</w:t>
      </w:r>
      <w:r w:rsidR="008B1638" w:rsidRPr="002866E5">
        <w:rPr>
          <w:noProof/>
        </w:rPr>
        <w:t>rego można korzystać oraz które można modyfikować</w:t>
      </w:r>
      <w:r w:rsidR="008B35E8" w:rsidRPr="002866E5">
        <w:rPr>
          <w:noProof/>
        </w:rPr>
        <w:t xml:space="preserve"> i</w:t>
      </w:r>
      <w:r w:rsidR="008B35E8">
        <w:rPr>
          <w:noProof/>
        </w:rPr>
        <w:t> </w:t>
      </w:r>
      <w:r w:rsidR="008B35E8" w:rsidRPr="002866E5">
        <w:rPr>
          <w:noProof/>
        </w:rPr>
        <w:t>roz</w:t>
      </w:r>
      <w:r w:rsidR="008B1638" w:rsidRPr="002866E5">
        <w:rPr>
          <w:noProof/>
        </w:rPr>
        <w:t>powszechniać. Działalność handlowa związana</w:t>
      </w:r>
      <w:r w:rsidR="008B35E8" w:rsidRPr="002866E5">
        <w:rPr>
          <w:noProof/>
        </w:rPr>
        <w:t xml:space="preserve"> z</w:t>
      </w:r>
      <w:r w:rsidR="008B35E8">
        <w:rPr>
          <w:noProof/>
        </w:rPr>
        <w:t> </w:t>
      </w:r>
      <w:r w:rsidR="008B35E8" w:rsidRPr="002866E5">
        <w:rPr>
          <w:noProof/>
        </w:rPr>
        <w:t>opr</w:t>
      </w:r>
      <w:r w:rsidR="008B1638" w:rsidRPr="002866E5">
        <w:rPr>
          <w:noProof/>
        </w:rPr>
        <w:t xml:space="preserve">ogramowaniem może obejmować nie tylko pobieranie zapłaty za produkt, ale również pobieranie opłat za usługi wsparcia technicznego, udostępnianie platformy oprogramowania, za pośrednictwem której producent zarabia na innych usługach, lub </w:t>
      </w:r>
      <w:r w:rsidR="008B1638" w:rsidRPr="002866E5">
        <w:rPr>
          <w:noProof/>
        </w:rPr>
        <w:lastRenderedPageBreak/>
        <w:t>wykorzystywanie danych osobowych</w:t>
      </w:r>
      <w:r w:rsidR="008B35E8" w:rsidRPr="002866E5">
        <w:rPr>
          <w:noProof/>
        </w:rPr>
        <w:t xml:space="preserve"> z</w:t>
      </w:r>
      <w:r w:rsidR="008B35E8">
        <w:rPr>
          <w:noProof/>
        </w:rPr>
        <w:t> </w:t>
      </w:r>
      <w:r w:rsidR="008B35E8" w:rsidRPr="002866E5">
        <w:rPr>
          <w:noProof/>
        </w:rPr>
        <w:t>pow</w:t>
      </w:r>
      <w:r w:rsidR="008B1638" w:rsidRPr="002866E5">
        <w:rPr>
          <w:noProof/>
        </w:rPr>
        <w:t>odów innych niż tylko poprawa bezpieczeństwa, kompatybilności lub interoperacyjności oprogramowania.</w:t>
      </w:r>
    </w:p>
    <w:p w14:paraId="67ED86D4" w14:textId="61CAA5CD" w:rsidR="00104647" w:rsidRPr="002866E5" w:rsidRDefault="00B4087C" w:rsidP="00B4087C">
      <w:pPr>
        <w:pStyle w:val="ManualConsidrant"/>
        <w:rPr>
          <w:noProof/>
        </w:rPr>
      </w:pPr>
      <w:r w:rsidRPr="00B4087C">
        <w:t>(11)</w:t>
      </w:r>
      <w:r w:rsidRPr="00B4087C">
        <w:tab/>
      </w:r>
      <w:r w:rsidR="00104647" w:rsidRPr="002866E5">
        <w:rPr>
          <w:noProof/>
        </w:rPr>
        <w:t>Bezpieczny internet jest niezbędny do funkcjonowania infrastruktury krytycznej</w:t>
      </w:r>
      <w:r w:rsidR="008B35E8" w:rsidRPr="002866E5">
        <w:rPr>
          <w:noProof/>
        </w:rPr>
        <w:t xml:space="preserve"> i</w:t>
      </w:r>
      <w:r w:rsidR="008B35E8">
        <w:rPr>
          <w:noProof/>
        </w:rPr>
        <w:t> </w:t>
      </w:r>
      <w:r w:rsidR="008B35E8" w:rsidRPr="002866E5">
        <w:rPr>
          <w:noProof/>
        </w:rPr>
        <w:t>dla</w:t>
      </w:r>
      <w:r w:rsidR="00104647" w:rsidRPr="002866E5">
        <w:rPr>
          <w:noProof/>
        </w:rPr>
        <w:t xml:space="preserve"> całego społeczeństwa. Celem [dyrektywy XXX/XXX (NIS 2)] jest zapewnienie wysokiego poziomu cyberbezpieczeństwa usług świadczonych przez podmioty niezbędne</w:t>
      </w:r>
      <w:r w:rsidR="008B35E8" w:rsidRPr="002866E5">
        <w:rPr>
          <w:noProof/>
        </w:rPr>
        <w:t xml:space="preserve"> i</w:t>
      </w:r>
      <w:r w:rsidR="008B35E8">
        <w:rPr>
          <w:noProof/>
        </w:rPr>
        <w:t> </w:t>
      </w:r>
      <w:r w:rsidR="008B35E8" w:rsidRPr="002866E5">
        <w:rPr>
          <w:noProof/>
        </w:rPr>
        <w:t>ist</w:t>
      </w:r>
      <w:r w:rsidR="00104647" w:rsidRPr="002866E5">
        <w:rPr>
          <w:noProof/>
        </w:rPr>
        <w:t>otne,</w:t>
      </w:r>
      <w:r w:rsidR="008B35E8" w:rsidRPr="002866E5">
        <w:rPr>
          <w:noProof/>
        </w:rPr>
        <w:t xml:space="preserve"> w</w:t>
      </w:r>
      <w:r w:rsidR="008B35E8">
        <w:rPr>
          <w:noProof/>
        </w:rPr>
        <w:t> </w:t>
      </w:r>
      <w:r w:rsidR="008B35E8" w:rsidRPr="002866E5">
        <w:rPr>
          <w:noProof/>
        </w:rPr>
        <w:t>tym</w:t>
      </w:r>
      <w:r w:rsidR="00104647" w:rsidRPr="002866E5">
        <w:rPr>
          <w:noProof/>
        </w:rPr>
        <w:t xml:space="preserve"> przez dostawców infrastruktury cyfrowej, którzy wspierają główne funkcje otwartego internetu, zapewniają dostęp do internetu oraz usługi internetowe. Ważne jest zatem, aby produkty</w:t>
      </w:r>
      <w:r w:rsidR="008B35E8" w:rsidRPr="002866E5">
        <w:rPr>
          <w:noProof/>
        </w:rPr>
        <w:t xml:space="preserve"> z</w:t>
      </w:r>
      <w:r w:rsidR="008B35E8">
        <w:rPr>
          <w:noProof/>
        </w:rPr>
        <w:t> </w:t>
      </w:r>
      <w:r w:rsidR="008B35E8" w:rsidRPr="002866E5">
        <w:rPr>
          <w:noProof/>
        </w:rPr>
        <w:t>ele</w:t>
      </w:r>
      <w:r w:rsidR="00104647" w:rsidRPr="002866E5">
        <w:rPr>
          <w:noProof/>
        </w:rPr>
        <w:t>mentami cyfrowymi, które są niezbędne dostawcom infrastruktury cyfrowej do zapewnienia funkcjonowania internetu, były opracowywane</w:t>
      </w:r>
      <w:r w:rsidR="008B35E8" w:rsidRPr="002866E5">
        <w:rPr>
          <w:noProof/>
        </w:rPr>
        <w:t xml:space="preserve"> w</w:t>
      </w:r>
      <w:r w:rsidR="008B35E8">
        <w:rPr>
          <w:noProof/>
        </w:rPr>
        <w:t> </w:t>
      </w:r>
      <w:r w:rsidR="008B35E8" w:rsidRPr="002866E5">
        <w:rPr>
          <w:noProof/>
        </w:rPr>
        <w:t>spo</w:t>
      </w:r>
      <w:r w:rsidR="00104647" w:rsidRPr="002866E5">
        <w:rPr>
          <w:noProof/>
        </w:rPr>
        <w:t>sób bezpieczny oraz aby spełniały ugruntowane standardy bezpieczeństwa internetowego. Celem niniejszego rozporządzenia, które ma zastosowanie do wszelkiego sprzętu</w:t>
      </w:r>
      <w:r w:rsidR="008B35E8" w:rsidRPr="002866E5">
        <w:rPr>
          <w:noProof/>
        </w:rPr>
        <w:t xml:space="preserve"> i</w:t>
      </w:r>
      <w:r w:rsidR="008B35E8">
        <w:rPr>
          <w:noProof/>
        </w:rPr>
        <w:t> </w:t>
      </w:r>
      <w:r w:rsidR="008B35E8" w:rsidRPr="002866E5">
        <w:rPr>
          <w:noProof/>
        </w:rPr>
        <w:t>opr</w:t>
      </w:r>
      <w:r w:rsidR="00104647" w:rsidRPr="002866E5">
        <w:rPr>
          <w:noProof/>
        </w:rPr>
        <w:t>ogramowania, które można podłączyć do internetu, jest również ułatwienie dostawcom infrastruktury cyfrowej spełnienia wymogów dotyczących łańcucha dostaw określonych w [dyrektywie XXX/XXXX (NIS 2)] przez zapewnienie, aby produkty</w:t>
      </w:r>
      <w:r w:rsidR="008B35E8" w:rsidRPr="002866E5">
        <w:rPr>
          <w:noProof/>
        </w:rPr>
        <w:t xml:space="preserve"> z</w:t>
      </w:r>
      <w:r w:rsidR="008B35E8">
        <w:rPr>
          <w:noProof/>
        </w:rPr>
        <w:t> </w:t>
      </w:r>
      <w:r w:rsidR="008B35E8" w:rsidRPr="002866E5">
        <w:rPr>
          <w:noProof/>
        </w:rPr>
        <w:t>ele</w:t>
      </w:r>
      <w:r w:rsidR="00104647" w:rsidRPr="002866E5">
        <w:rPr>
          <w:noProof/>
        </w:rPr>
        <w:t>mentami cyfrowymi wykorzystywane przez tych dostawców do świadczenia usług były opracowywane</w:t>
      </w:r>
      <w:r w:rsidR="008B35E8" w:rsidRPr="002866E5">
        <w:rPr>
          <w:noProof/>
        </w:rPr>
        <w:t xml:space="preserve"> w</w:t>
      </w:r>
      <w:r w:rsidR="008B35E8">
        <w:rPr>
          <w:noProof/>
        </w:rPr>
        <w:t> </w:t>
      </w:r>
      <w:r w:rsidR="008B35E8" w:rsidRPr="002866E5">
        <w:rPr>
          <w:noProof/>
        </w:rPr>
        <w:t>spo</w:t>
      </w:r>
      <w:r w:rsidR="00104647" w:rsidRPr="002866E5">
        <w:rPr>
          <w:noProof/>
        </w:rPr>
        <w:t>sób bezpieczny oraz aby dostawcy ci</w:t>
      </w:r>
      <w:r w:rsidR="008B35E8" w:rsidRPr="002866E5">
        <w:rPr>
          <w:noProof/>
        </w:rPr>
        <w:t xml:space="preserve"> w</w:t>
      </w:r>
      <w:r w:rsidR="008B35E8">
        <w:rPr>
          <w:noProof/>
        </w:rPr>
        <w:t> </w:t>
      </w:r>
      <w:r w:rsidR="008B35E8" w:rsidRPr="002866E5">
        <w:rPr>
          <w:noProof/>
        </w:rPr>
        <w:t>odp</w:t>
      </w:r>
      <w:r w:rsidR="00104647" w:rsidRPr="002866E5">
        <w:rPr>
          <w:noProof/>
        </w:rPr>
        <w:t>owiednim czasie otrzymywali aktualizacje zabezpieczeń takich produktów.</w:t>
      </w:r>
    </w:p>
    <w:p w14:paraId="67ED86D5" w14:textId="1BB09ED9" w:rsidR="00E5339B" w:rsidRPr="002866E5" w:rsidRDefault="00B4087C" w:rsidP="00B4087C">
      <w:pPr>
        <w:pStyle w:val="ManualConsidrant"/>
        <w:rPr>
          <w:noProof/>
        </w:rPr>
      </w:pPr>
      <w:r w:rsidRPr="00B4087C">
        <w:t>(12)</w:t>
      </w:r>
      <w:r w:rsidRPr="00B4087C">
        <w:tab/>
      </w:r>
      <w:r w:rsidR="00E91020" w:rsidRPr="002866E5">
        <w:rPr>
          <w:noProof/>
        </w:rPr>
        <w:t>Rozporządzenie Parlamentu Europejskiego</w:t>
      </w:r>
      <w:r w:rsidR="008B35E8" w:rsidRPr="002866E5">
        <w:rPr>
          <w:noProof/>
        </w:rPr>
        <w:t xml:space="preserve"> i</w:t>
      </w:r>
      <w:r w:rsidR="008B35E8">
        <w:rPr>
          <w:noProof/>
        </w:rPr>
        <w:t> </w:t>
      </w:r>
      <w:r w:rsidR="008B35E8" w:rsidRPr="002866E5">
        <w:rPr>
          <w:noProof/>
        </w:rPr>
        <w:t>Rad</w:t>
      </w:r>
      <w:r w:rsidR="00E91020" w:rsidRPr="002866E5">
        <w:rPr>
          <w:noProof/>
        </w:rPr>
        <w:t>y (UE) 2017/745</w:t>
      </w:r>
      <w:r w:rsidR="00E91020" w:rsidRPr="002866E5">
        <w:rPr>
          <w:rStyle w:val="FootnoteReference"/>
          <w:noProof/>
        </w:rPr>
        <w:footnoteReference w:id="20"/>
      </w:r>
      <w:r w:rsidR="00E91020" w:rsidRPr="002866E5">
        <w:rPr>
          <w:noProof/>
        </w:rPr>
        <w:t xml:space="preserve"> ustanawia przepisy dotyczące wyrobów medycznych,</w:t>
      </w:r>
      <w:r w:rsidR="008B35E8" w:rsidRPr="002866E5">
        <w:rPr>
          <w:noProof/>
        </w:rPr>
        <w:t xml:space="preserve"> a</w:t>
      </w:r>
      <w:r w:rsidR="008B35E8">
        <w:rPr>
          <w:noProof/>
        </w:rPr>
        <w:t> </w:t>
      </w:r>
      <w:r w:rsidR="008B35E8" w:rsidRPr="002866E5">
        <w:rPr>
          <w:noProof/>
        </w:rPr>
        <w:t>roz</w:t>
      </w:r>
      <w:r w:rsidR="00E91020" w:rsidRPr="002866E5">
        <w:rPr>
          <w:noProof/>
        </w:rPr>
        <w:t>porządzenie Parlamentu Europejskiego</w:t>
      </w:r>
      <w:r w:rsidR="008B35E8" w:rsidRPr="002866E5">
        <w:rPr>
          <w:noProof/>
        </w:rPr>
        <w:t xml:space="preserve"> i</w:t>
      </w:r>
      <w:r w:rsidR="008B35E8">
        <w:rPr>
          <w:noProof/>
        </w:rPr>
        <w:t> </w:t>
      </w:r>
      <w:r w:rsidR="008B35E8" w:rsidRPr="002866E5">
        <w:rPr>
          <w:noProof/>
        </w:rPr>
        <w:t>Rad</w:t>
      </w:r>
      <w:r w:rsidR="00E91020" w:rsidRPr="002866E5">
        <w:rPr>
          <w:noProof/>
        </w:rPr>
        <w:t>y (UE) 2017/746</w:t>
      </w:r>
      <w:r w:rsidR="00E91020" w:rsidRPr="002866E5">
        <w:rPr>
          <w:rStyle w:val="FootnoteReference"/>
          <w:noProof/>
        </w:rPr>
        <w:footnoteReference w:id="21"/>
      </w:r>
      <w:r w:rsidR="00E91020" w:rsidRPr="002866E5">
        <w:rPr>
          <w:noProof/>
        </w:rPr>
        <w:t xml:space="preserve"> ustanawia przepisy dotyczące wyrobów medycznych do diagnostyki </w:t>
      </w:r>
      <w:r w:rsidR="00E91020" w:rsidRPr="002866E5">
        <w:rPr>
          <w:i/>
          <w:noProof/>
        </w:rPr>
        <w:t>in vitro</w:t>
      </w:r>
      <w:r w:rsidR="00E91020" w:rsidRPr="002866E5">
        <w:rPr>
          <w:noProof/>
        </w:rPr>
        <w:t>. Oba rozporządzenia dotyczą ryzyka</w:t>
      </w:r>
      <w:r w:rsidR="008B35E8" w:rsidRPr="002866E5">
        <w:rPr>
          <w:noProof/>
        </w:rPr>
        <w:t xml:space="preserve"> w</w:t>
      </w:r>
      <w:r w:rsidR="008B35E8">
        <w:rPr>
          <w:noProof/>
        </w:rPr>
        <w:t> </w:t>
      </w:r>
      <w:r w:rsidR="008B35E8" w:rsidRPr="002866E5">
        <w:rPr>
          <w:noProof/>
        </w:rPr>
        <w:t>cyb</w:t>
      </w:r>
      <w:r w:rsidR="00E91020" w:rsidRPr="002866E5">
        <w:rPr>
          <w:noProof/>
        </w:rPr>
        <w:t>erprzestrzeni</w:t>
      </w:r>
      <w:r w:rsidR="008B35E8" w:rsidRPr="002866E5">
        <w:rPr>
          <w:noProof/>
        </w:rPr>
        <w:t xml:space="preserve"> i</w:t>
      </w:r>
      <w:r w:rsidR="008B35E8">
        <w:rPr>
          <w:noProof/>
        </w:rPr>
        <w:t> </w:t>
      </w:r>
      <w:r w:rsidR="008B35E8" w:rsidRPr="002866E5">
        <w:rPr>
          <w:noProof/>
        </w:rPr>
        <w:t>zas</w:t>
      </w:r>
      <w:r w:rsidR="00E91020" w:rsidRPr="002866E5">
        <w:rPr>
          <w:noProof/>
        </w:rPr>
        <w:t>tosowano</w:t>
      </w:r>
      <w:r w:rsidR="008B35E8" w:rsidRPr="002866E5">
        <w:rPr>
          <w:noProof/>
        </w:rPr>
        <w:t xml:space="preserve"> w</w:t>
      </w:r>
      <w:r w:rsidR="008B35E8">
        <w:rPr>
          <w:noProof/>
        </w:rPr>
        <w:t> </w:t>
      </w:r>
      <w:r w:rsidR="008B35E8" w:rsidRPr="002866E5">
        <w:rPr>
          <w:noProof/>
        </w:rPr>
        <w:t>nic</w:t>
      </w:r>
      <w:r w:rsidR="00E91020" w:rsidRPr="002866E5">
        <w:rPr>
          <w:noProof/>
        </w:rPr>
        <w:t>h szczególne podejścia, do których odniesiono się również</w:t>
      </w:r>
      <w:r w:rsidR="008B35E8" w:rsidRPr="002866E5">
        <w:rPr>
          <w:noProof/>
        </w:rPr>
        <w:t xml:space="preserve"> w</w:t>
      </w:r>
      <w:r w:rsidR="008B35E8">
        <w:rPr>
          <w:noProof/>
        </w:rPr>
        <w:t> </w:t>
      </w:r>
      <w:r w:rsidR="008B35E8" w:rsidRPr="002866E5">
        <w:rPr>
          <w:noProof/>
        </w:rPr>
        <w:t>nin</w:t>
      </w:r>
      <w:r w:rsidR="00E91020" w:rsidRPr="002866E5">
        <w:rPr>
          <w:noProof/>
        </w:rPr>
        <w:t>iejszym rozporządzeniu</w:t>
      </w:r>
      <w:r w:rsidR="008B35E8" w:rsidRPr="002866E5">
        <w:rPr>
          <w:noProof/>
        </w:rPr>
        <w:t>. W</w:t>
      </w:r>
      <w:r w:rsidR="008B35E8">
        <w:rPr>
          <w:noProof/>
        </w:rPr>
        <w:t> </w:t>
      </w:r>
      <w:r w:rsidR="008B35E8" w:rsidRPr="002866E5">
        <w:rPr>
          <w:noProof/>
        </w:rPr>
        <w:t>szc</w:t>
      </w:r>
      <w:r w:rsidR="00E91020" w:rsidRPr="002866E5">
        <w:rPr>
          <w:noProof/>
        </w:rPr>
        <w:t>zególności</w:t>
      </w:r>
      <w:r w:rsidR="008B35E8" w:rsidRPr="002866E5">
        <w:rPr>
          <w:noProof/>
        </w:rPr>
        <w:t xml:space="preserve"> w</w:t>
      </w:r>
      <w:r w:rsidR="008B35E8">
        <w:rPr>
          <w:noProof/>
        </w:rPr>
        <w:t> </w:t>
      </w:r>
      <w:r w:rsidR="008B35E8" w:rsidRPr="002866E5">
        <w:rPr>
          <w:noProof/>
        </w:rPr>
        <w:t>roz</w:t>
      </w:r>
      <w:r w:rsidR="00E91020" w:rsidRPr="002866E5">
        <w:rPr>
          <w:noProof/>
        </w:rPr>
        <w:t>porządzeniach (UE) 2017/745 i (UE) 2017/746 określono zasadnicze wymogi dotyczące wyrobów medycznych, które funkcjonują za pośrednictwem systemu elektronicznego lub które same są oprogramowaniem</w:t>
      </w:r>
      <w:r w:rsidR="008B35E8" w:rsidRPr="002866E5">
        <w:rPr>
          <w:noProof/>
        </w:rPr>
        <w:t>. W</w:t>
      </w:r>
      <w:r w:rsidR="008B35E8">
        <w:rPr>
          <w:noProof/>
        </w:rPr>
        <w:t> </w:t>
      </w:r>
      <w:r w:rsidR="008B35E8" w:rsidRPr="002866E5">
        <w:rPr>
          <w:noProof/>
        </w:rPr>
        <w:t>zak</w:t>
      </w:r>
      <w:r w:rsidR="00E91020" w:rsidRPr="002866E5">
        <w:rPr>
          <w:noProof/>
        </w:rPr>
        <w:t>res tych rozporządzeń wchodzą również niektóre rodzaje oprogramowania niewbudowanego,</w:t>
      </w:r>
      <w:r w:rsidR="008B35E8" w:rsidRPr="002866E5">
        <w:rPr>
          <w:noProof/>
        </w:rPr>
        <w:t xml:space="preserve"> a</w:t>
      </w:r>
      <w:r w:rsidR="008B35E8">
        <w:rPr>
          <w:noProof/>
        </w:rPr>
        <w:t> </w:t>
      </w:r>
      <w:r w:rsidR="008B35E8" w:rsidRPr="002866E5">
        <w:rPr>
          <w:noProof/>
        </w:rPr>
        <w:t>prz</w:t>
      </w:r>
      <w:r w:rsidR="00E91020" w:rsidRPr="002866E5">
        <w:rPr>
          <w:noProof/>
        </w:rPr>
        <w:t>yjęto</w:t>
      </w:r>
      <w:r w:rsidR="008B35E8" w:rsidRPr="002866E5">
        <w:rPr>
          <w:noProof/>
        </w:rPr>
        <w:t xml:space="preserve"> w</w:t>
      </w:r>
      <w:r w:rsidR="008B35E8">
        <w:rPr>
          <w:noProof/>
        </w:rPr>
        <w:t> </w:t>
      </w:r>
      <w:r w:rsidR="008B35E8" w:rsidRPr="002866E5">
        <w:rPr>
          <w:noProof/>
        </w:rPr>
        <w:t>nim</w:t>
      </w:r>
      <w:r w:rsidR="00E91020" w:rsidRPr="002866E5">
        <w:rPr>
          <w:noProof/>
        </w:rPr>
        <w:t xml:space="preserve"> także podejście oparte na całym cyklu życia. Wymogi te zobowiązują producentów do opracowywania</w:t>
      </w:r>
      <w:r w:rsidR="008B35E8" w:rsidRPr="002866E5">
        <w:rPr>
          <w:noProof/>
        </w:rPr>
        <w:t xml:space="preserve"> i</w:t>
      </w:r>
      <w:r w:rsidR="008B35E8">
        <w:rPr>
          <w:noProof/>
        </w:rPr>
        <w:t> </w:t>
      </w:r>
      <w:r w:rsidR="008B35E8" w:rsidRPr="002866E5">
        <w:rPr>
          <w:noProof/>
        </w:rPr>
        <w:t>two</w:t>
      </w:r>
      <w:r w:rsidR="00E91020" w:rsidRPr="002866E5">
        <w:rPr>
          <w:noProof/>
        </w:rPr>
        <w:t>rzenia produktów</w:t>
      </w:r>
      <w:r w:rsidR="008B35E8" w:rsidRPr="002866E5">
        <w:rPr>
          <w:noProof/>
        </w:rPr>
        <w:t xml:space="preserve"> z</w:t>
      </w:r>
      <w:r w:rsidR="008B35E8">
        <w:rPr>
          <w:noProof/>
        </w:rPr>
        <w:t> </w:t>
      </w:r>
      <w:r w:rsidR="008B35E8" w:rsidRPr="002866E5">
        <w:rPr>
          <w:noProof/>
        </w:rPr>
        <w:t>zas</w:t>
      </w:r>
      <w:r w:rsidR="00E91020" w:rsidRPr="002866E5">
        <w:rPr>
          <w:noProof/>
        </w:rPr>
        <w:t>tosowaniem zasad zarządzania ryzykiem oraz podejścia obejmującego określenie wymogów dotyczących środków bezpieczeństwa IT, jak również odpowiednich procedur oceny zgodności. Ponadto od grudnia 20</w:t>
      </w:r>
      <w:r w:rsidR="00E91020" w:rsidRPr="008B35E8">
        <w:rPr>
          <w:noProof/>
        </w:rPr>
        <w:t>19</w:t>
      </w:r>
      <w:r w:rsidR="008B35E8" w:rsidRPr="008B35E8">
        <w:rPr>
          <w:noProof/>
        </w:rPr>
        <w:t> </w:t>
      </w:r>
      <w:r w:rsidR="00E91020" w:rsidRPr="008B35E8">
        <w:rPr>
          <w:noProof/>
        </w:rPr>
        <w:t>r.</w:t>
      </w:r>
      <w:r w:rsidR="00E91020" w:rsidRPr="002866E5">
        <w:rPr>
          <w:noProof/>
        </w:rPr>
        <w:t xml:space="preserve"> obowiązują szczegółowe wytyczne dotyczące cyberbezpieczeństwa wyrobów medycznych,</w:t>
      </w:r>
      <w:r w:rsidR="008B35E8" w:rsidRPr="002866E5">
        <w:rPr>
          <w:noProof/>
        </w:rPr>
        <w:t xml:space="preserve"> w</w:t>
      </w:r>
      <w:r w:rsidR="008B35E8">
        <w:rPr>
          <w:noProof/>
        </w:rPr>
        <w:t> </w:t>
      </w:r>
      <w:r w:rsidR="008B35E8" w:rsidRPr="002866E5">
        <w:rPr>
          <w:noProof/>
        </w:rPr>
        <w:t>któ</w:t>
      </w:r>
      <w:r w:rsidR="00E91020" w:rsidRPr="002866E5">
        <w:rPr>
          <w:noProof/>
        </w:rPr>
        <w:t>rych przedstawiono wskazówki, jak producenci wyrobów medycznych,</w:t>
      </w:r>
      <w:r w:rsidR="008B35E8" w:rsidRPr="002866E5">
        <w:rPr>
          <w:noProof/>
        </w:rPr>
        <w:t xml:space="preserve"> w</w:t>
      </w:r>
      <w:r w:rsidR="008B35E8">
        <w:rPr>
          <w:noProof/>
        </w:rPr>
        <w:t> </w:t>
      </w:r>
      <w:r w:rsidR="008B35E8" w:rsidRPr="002866E5">
        <w:rPr>
          <w:noProof/>
        </w:rPr>
        <w:t>tym</w:t>
      </w:r>
      <w:r w:rsidR="00E91020" w:rsidRPr="002866E5">
        <w:rPr>
          <w:noProof/>
        </w:rPr>
        <w:t xml:space="preserve"> wyrobów do diagnostyki </w:t>
      </w:r>
      <w:r w:rsidR="00E91020" w:rsidRPr="002866E5">
        <w:rPr>
          <w:i/>
          <w:noProof/>
        </w:rPr>
        <w:t>in vitro</w:t>
      </w:r>
      <w:r w:rsidR="00E91020" w:rsidRPr="002866E5">
        <w:rPr>
          <w:noProof/>
        </w:rPr>
        <w:t>, mogą spełnić wszystkie odpowiednie zasadnicze wymogi określone</w:t>
      </w:r>
      <w:r w:rsidR="008B35E8" w:rsidRPr="002866E5">
        <w:rPr>
          <w:noProof/>
        </w:rPr>
        <w:t xml:space="preserve"> w</w:t>
      </w:r>
      <w:r w:rsidR="008B35E8">
        <w:rPr>
          <w:noProof/>
        </w:rPr>
        <w:t> </w:t>
      </w:r>
      <w:r w:rsidR="008B35E8" w:rsidRPr="002866E5">
        <w:rPr>
          <w:noProof/>
        </w:rPr>
        <w:t>zał</w:t>
      </w:r>
      <w:r w:rsidR="00E91020" w:rsidRPr="002866E5">
        <w:rPr>
          <w:noProof/>
        </w:rPr>
        <w:t>ączniku I do każdego</w:t>
      </w:r>
      <w:r w:rsidR="008B35E8" w:rsidRPr="002866E5">
        <w:rPr>
          <w:noProof/>
        </w:rPr>
        <w:t xml:space="preserve"> z</w:t>
      </w:r>
      <w:r w:rsidR="008B35E8">
        <w:rPr>
          <w:noProof/>
        </w:rPr>
        <w:t> </w:t>
      </w:r>
      <w:r w:rsidR="008B35E8" w:rsidRPr="002866E5">
        <w:rPr>
          <w:noProof/>
        </w:rPr>
        <w:t>tyc</w:t>
      </w:r>
      <w:r w:rsidR="00E91020" w:rsidRPr="002866E5">
        <w:rPr>
          <w:noProof/>
        </w:rPr>
        <w:t>h rozporządzeń</w:t>
      </w:r>
      <w:r w:rsidR="008B35E8" w:rsidRPr="002866E5">
        <w:rPr>
          <w:noProof/>
        </w:rPr>
        <w:t xml:space="preserve"> w</w:t>
      </w:r>
      <w:r w:rsidR="008B35E8">
        <w:rPr>
          <w:noProof/>
        </w:rPr>
        <w:t> </w:t>
      </w:r>
      <w:r w:rsidR="008B35E8" w:rsidRPr="002866E5">
        <w:rPr>
          <w:noProof/>
        </w:rPr>
        <w:t>odn</w:t>
      </w:r>
      <w:r w:rsidR="00E91020" w:rsidRPr="002866E5">
        <w:rPr>
          <w:noProof/>
        </w:rPr>
        <w:t>iesieniu do cyberbezpieczeństwa</w:t>
      </w:r>
      <w:r w:rsidR="00E91020" w:rsidRPr="002866E5">
        <w:rPr>
          <w:rStyle w:val="FootnoteReference"/>
          <w:noProof/>
        </w:rPr>
        <w:footnoteReference w:id="22"/>
      </w:r>
      <w:r w:rsidR="00E91020" w:rsidRPr="002866E5">
        <w:rPr>
          <w:noProof/>
        </w:rPr>
        <w:t>. Produkty</w:t>
      </w:r>
      <w:r w:rsidR="008B35E8" w:rsidRPr="002866E5">
        <w:rPr>
          <w:noProof/>
        </w:rPr>
        <w:t xml:space="preserve"> z</w:t>
      </w:r>
      <w:r w:rsidR="008B35E8">
        <w:rPr>
          <w:noProof/>
        </w:rPr>
        <w:t> </w:t>
      </w:r>
      <w:r w:rsidR="008B35E8" w:rsidRPr="002866E5">
        <w:rPr>
          <w:noProof/>
        </w:rPr>
        <w:t>ele</w:t>
      </w:r>
      <w:r w:rsidR="00E91020" w:rsidRPr="002866E5">
        <w:rPr>
          <w:noProof/>
        </w:rPr>
        <w:t>mentami cyfrowymi, do których zastosowanie ma którekolwiek</w:t>
      </w:r>
      <w:r w:rsidR="008B35E8" w:rsidRPr="002866E5">
        <w:rPr>
          <w:noProof/>
        </w:rPr>
        <w:t xml:space="preserve"> z</w:t>
      </w:r>
      <w:r w:rsidR="008B35E8">
        <w:rPr>
          <w:noProof/>
        </w:rPr>
        <w:t> </w:t>
      </w:r>
      <w:r w:rsidR="008B35E8" w:rsidRPr="002866E5">
        <w:rPr>
          <w:noProof/>
        </w:rPr>
        <w:t>tyc</w:t>
      </w:r>
      <w:r w:rsidR="00E91020" w:rsidRPr="002866E5">
        <w:rPr>
          <w:noProof/>
        </w:rPr>
        <w:t>h rozporządzeń, nie powinny zatem podlegać niniejszemu rozporządzeniu.</w:t>
      </w:r>
    </w:p>
    <w:p w14:paraId="67ED86D6" w14:textId="2BEC1A10" w:rsidR="00E5339B" w:rsidRPr="002866E5" w:rsidRDefault="00B4087C" w:rsidP="00B4087C">
      <w:pPr>
        <w:pStyle w:val="ManualConsidrant"/>
        <w:rPr>
          <w:noProof/>
        </w:rPr>
      </w:pPr>
      <w:r w:rsidRPr="00B4087C">
        <w:lastRenderedPageBreak/>
        <w:t>(13)</w:t>
      </w:r>
      <w:r w:rsidRPr="00B4087C">
        <w:tab/>
      </w:r>
      <w:r w:rsidR="00BB1C3D" w:rsidRPr="002866E5">
        <w:rPr>
          <w:noProof/>
        </w:rPr>
        <w:t>Rozporządzenie Parlamentu Europejskiego</w:t>
      </w:r>
      <w:r w:rsidR="008B35E8" w:rsidRPr="002866E5">
        <w:rPr>
          <w:noProof/>
        </w:rPr>
        <w:t xml:space="preserve"> i</w:t>
      </w:r>
      <w:r w:rsidR="008B35E8">
        <w:rPr>
          <w:noProof/>
        </w:rPr>
        <w:t> </w:t>
      </w:r>
      <w:r w:rsidR="008B35E8" w:rsidRPr="002866E5">
        <w:rPr>
          <w:noProof/>
        </w:rPr>
        <w:t>Rad</w:t>
      </w:r>
      <w:r w:rsidR="00BB1C3D" w:rsidRPr="002866E5">
        <w:rPr>
          <w:noProof/>
        </w:rPr>
        <w:t>y (UE) 2019/2144</w:t>
      </w:r>
      <w:r w:rsidR="00BB1C3D" w:rsidRPr="002866E5">
        <w:rPr>
          <w:rStyle w:val="FootnoteReference"/>
          <w:noProof/>
        </w:rPr>
        <w:footnoteReference w:id="23"/>
      </w:r>
      <w:r w:rsidR="00BB1C3D" w:rsidRPr="002866E5">
        <w:rPr>
          <w:noProof/>
        </w:rPr>
        <w:t xml:space="preserve"> ustanawia wymogi dotyczące homologacji typu pojazdów oraz ich układów</w:t>
      </w:r>
      <w:r w:rsidR="008B35E8" w:rsidRPr="002866E5">
        <w:rPr>
          <w:noProof/>
        </w:rPr>
        <w:t xml:space="preserve"> i</w:t>
      </w:r>
      <w:r w:rsidR="008B35E8">
        <w:rPr>
          <w:noProof/>
        </w:rPr>
        <w:t> </w:t>
      </w:r>
      <w:r w:rsidR="008B35E8" w:rsidRPr="002866E5">
        <w:rPr>
          <w:noProof/>
        </w:rPr>
        <w:t>kom</w:t>
      </w:r>
      <w:r w:rsidR="00BB1C3D" w:rsidRPr="002866E5">
        <w:rPr>
          <w:noProof/>
        </w:rPr>
        <w:t>ponentów, wprowadza pewne wymogi cyberbezpieczeństwa, m.in. dotyczące funkcjonowania certyfikowanego systemu zarządzania cyberbezpieczeństwem, aktualizacji oprogramowania, obejmujące politykę</w:t>
      </w:r>
      <w:r w:rsidR="008B35E8" w:rsidRPr="002866E5">
        <w:rPr>
          <w:noProof/>
        </w:rPr>
        <w:t xml:space="preserve"> i</w:t>
      </w:r>
      <w:r w:rsidR="008B35E8">
        <w:rPr>
          <w:noProof/>
        </w:rPr>
        <w:t> </w:t>
      </w:r>
      <w:r w:rsidR="008B35E8" w:rsidRPr="002866E5">
        <w:rPr>
          <w:noProof/>
        </w:rPr>
        <w:t>pro</w:t>
      </w:r>
      <w:r w:rsidR="00BB1C3D" w:rsidRPr="002866E5">
        <w:rPr>
          <w:noProof/>
        </w:rPr>
        <w:t>cesy organizacji dotyczące ryzyka</w:t>
      </w:r>
      <w:r w:rsidR="008B35E8" w:rsidRPr="002866E5">
        <w:rPr>
          <w:noProof/>
        </w:rPr>
        <w:t xml:space="preserve"> w</w:t>
      </w:r>
      <w:r w:rsidR="008B35E8">
        <w:rPr>
          <w:noProof/>
        </w:rPr>
        <w:t> </w:t>
      </w:r>
      <w:r w:rsidR="008B35E8" w:rsidRPr="002866E5">
        <w:rPr>
          <w:noProof/>
        </w:rPr>
        <w:t>cyb</w:t>
      </w:r>
      <w:r w:rsidR="00BB1C3D" w:rsidRPr="002866E5">
        <w:rPr>
          <w:noProof/>
        </w:rPr>
        <w:t>erprzestrzeni związanego</w:t>
      </w:r>
      <w:r w:rsidR="008B35E8" w:rsidRPr="002866E5">
        <w:rPr>
          <w:noProof/>
        </w:rPr>
        <w:t xml:space="preserve"> z</w:t>
      </w:r>
      <w:r w:rsidR="008B35E8">
        <w:rPr>
          <w:noProof/>
        </w:rPr>
        <w:t> </w:t>
      </w:r>
      <w:r w:rsidR="008B35E8" w:rsidRPr="002866E5">
        <w:rPr>
          <w:noProof/>
        </w:rPr>
        <w:t>cał</w:t>
      </w:r>
      <w:r w:rsidR="00BB1C3D" w:rsidRPr="002866E5">
        <w:rPr>
          <w:noProof/>
        </w:rPr>
        <w:t>ym cyklem życia pojazdów, wyposażenia</w:t>
      </w:r>
      <w:r w:rsidR="008B35E8" w:rsidRPr="002866E5">
        <w:rPr>
          <w:noProof/>
        </w:rPr>
        <w:t xml:space="preserve"> i</w:t>
      </w:r>
      <w:r w:rsidR="008B35E8">
        <w:rPr>
          <w:noProof/>
        </w:rPr>
        <w:t> </w:t>
      </w:r>
      <w:r w:rsidR="008B35E8" w:rsidRPr="002866E5">
        <w:rPr>
          <w:noProof/>
        </w:rPr>
        <w:t>usł</w:t>
      </w:r>
      <w:r w:rsidR="00BB1C3D" w:rsidRPr="002866E5">
        <w:rPr>
          <w:noProof/>
        </w:rPr>
        <w:t>ug zgodnie</w:t>
      </w:r>
      <w:r w:rsidR="008B35E8" w:rsidRPr="002866E5">
        <w:rPr>
          <w:noProof/>
        </w:rPr>
        <w:t xml:space="preserve"> z</w:t>
      </w:r>
      <w:r w:rsidR="008B35E8">
        <w:rPr>
          <w:noProof/>
        </w:rPr>
        <w:t> </w:t>
      </w:r>
      <w:r w:rsidR="008B35E8" w:rsidRPr="002866E5">
        <w:rPr>
          <w:noProof/>
        </w:rPr>
        <w:t>maj</w:t>
      </w:r>
      <w:r w:rsidR="00BB1C3D" w:rsidRPr="002866E5">
        <w:rPr>
          <w:noProof/>
        </w:rPr>
        <w:t>ącymi zastosowanie regulaminami Organizacji Narodów Zjednoczonych dotyczącymi specyfikacji technicznych</w:t>
      </w:r>
      <w:r w:rsidR="008B35E8" w:rsidRPr="002866E5">
        <w:rPr>
          <w:noProof/>
        </w:rPr>
        <w:t xml:space="preserve"> i</w:t>
      </w:r>
      <w:r w:rsidR="008B35E8">
        <w:rPr>
          <w:noProof/>
        </w:rPr>
        <w:t> </w:t>
      </w:r>
      <w:r w:rsidR="008B35E8" w:rsidRPr="002866E5">
        <w:rPr>
          <w:noProof/>
        </w:rPr>
        <w:t>cyb</w:t>
      </w:r>
      <w:r w:rsidR="00BB1C3D" w:rsidRPr="002866E5">
        <w:rPr>
          <w:noProof/>
        </w:rPr>
        <w:t>erbezpieczeństwa</w:t>
      </w:r>
      <w:r w:rsidR="00BB1C3D" w:rsidRPr="002866E5">
        <w:rPr>
          <w:rStyle w:val="FootnoteReference"/>
          <w:noProof/>
        </w:rPr>
        <w:footnoteReference w:id="24"/>
      </w:r>
      <w:r w:rsidR="00BB1C3D" w:rsidRPr="002866E5">
        <w:rPr>
          <w:noProof/>
        </w:rPr>
        <w:t>,</w:t>
      </w:r>
      <w:r w:rsidR="008B35E8" w:rsidRPr="002866E5">
        <w:rPr>
          <w:noProof/>
        </w:rPr>
        <w:t xml:space="preserve"> a</w:t>
      </w:r>
      <w:r w:rsidR="008B35E8">
        <w:rPr>
          <w:noProof/>
        </w:rPr>
        <w:t> </w:t>
      </w:r>
      <w:r w:rsidR="008B35E8" w:rsidRPr="002866E5">
        <w:rPr>
          <w:noProof/>
        </w:rPr>
        <w:t>tak</w:t>
      </w:r>
      <w:r w:rsidR="00BB1C3D" w:rsidRPr="002866E5">
        <w:rPr>
          <w:noProof/>
        </w:rPr>
        <w:t>że przewiduje określone procedury oceny zgodności</w:t>
      </w:r>
      <w:r w:rsidR="008B35E8" w:rsidRPr="002866E5">
        <w:rPr>
          <w:noProof/>
        </w:rPr>
        <w:t>. W</w:t>
      </w:r>
      <w:r w:rsidR="008B35E8">
        <w:rPr>
          <w:noProof/>
        </w:rPr>
        <w:t> </w:t>
      </w:r>
      <w:r w:rsidR="008B35E8" w:rsidRPr="002866E5">
        <w:rPr>
          <w:noProof/>
        </w:rPr>
        <w:t>obs</w:t>
      </w:r>
      <w:r w:rsidR="00BB1C3D" w:rsidRPr="002866E5">
        <w:rPr>
          <w:noProof/>
        </w:rPr>
        <w:t>zarze lotnictwa głównym celem rozporządzenia Parlamentu Europejskiego</w:t>
      </w:r>
      <w:r w:rsidR="008B35E8" w:rsidRPr="002866E5">
        <w:rPr>
          <w:noProof/>
        </w:rPr>
        <w:t xml:space="preserve"> i</w:t>
      </w:r>
      <w:r w:rsidR="008B35E8">
        <w:rPr>
          <w:noProof/>
        </w:rPr>
        <w:t> </w:t>
      </w:r>
      <w:r w:rsidR="008B35E8" w:rsidRPr="002866E5">
        <w:rPr>
          <w:noProof/>
        </w:rPr>
        <w:t>Rad</w:t>
      </w:r>
      <w:r w:rsidR="00BB1C3D" w:rsidRPr="002866E5">
        <w:rPr>
          <w:noProof/>
        </w:rPr>
        <w:t>y (UE) 2018/1139</w:t>
      </w:r>
      <w:r w:rsidR="00BB1C3D" w:rsidRPr="002866E5">
        <w:rPr>
          <w:rStyle w:val="FootnoteReference"/>
          <w:noProof/>
        </w:rPr>
        <w:footnoteReference w:id="25"/>
      </w:r>
      <w:r w:rsidR="00BB1C3D" w:rsidRPr="002866E5">
        <w:rPr>
          <w:noProof/>
        </w:rPr>
        <w:t xml:space="preserve"> jest ustanowienie</w:t>
      </w:r>
      <w:r w:rsidR="008B35E8" w:rsidRPr="002866E5">
        <w:rPr>
          <w:noProof/>
        </w:rPr>
        <w:t xml:space="preserve"> i</w:t>
      </w:r>
      <w:r w:rsidR="008B35E8">
        <w:rPr>
          <w:noProof/>
        </w:rPr>
        <w:t> </w:t>
      </w:r>
      <w:r w:rsidR="008B35E8" w:rsidRPr="002866E5">
        <w:rPr>
          <w:noProof/>
        </w:rPr>
        <w:t>utr</w:t>
      </w:r>
      <w:r w:rsidR="00BB1C3D" w:rsidRPr="002866E5">
        <w:rPr>
          <w:noProof/>
        </w:rPr>
        <w:t>zymanie wysokiego, jednolitego poziomu bezpieczeństwa lotnictwa cywilnego</w:t>
      </w:r>
      <w:r w:rsidR="008B35E8" w:rsidRPr="002866E5">
        <w:rPr>
          <w:noProof/>
        </w:rPr>
        <w:t xml:space="preserve"> w</w:t>
      </w:r>
      <w:r w:rsidR="008B35E8">
        <w:rPr>
          <w:noProof/>
        </w:rPr>
        <w:t> </w:t>
      </w:r>
      <w:r w:rsidR="008B35E8" w:rsidRPr="002866E5">
        <w:rPr>
          <w:noProof/>
        </w:rPr>
        <w:t>Uni</w:t>
      </w:r>
      <w:r w:rsidR="00BB1C3D" w:rsidRPr="002866E5">
        <w:rPr>
          <w:noProof/>
        </w:rPr>
        <w:t>i. Ustanowiono</w:t>
      </w:r>
      <w:r w:rsidR="008B35E8" w:rsidRPr="002866E5">
        <w:rPr>
          <w:noProof/>
        </w:rPr>
        <w:t xml:space="preserve"> w</w:t>
      </w:r>
      <w:r w:rsidR="008B35E8">
        <w:rPr>
          <w:noProof/>
        </w:rPr>
        <w:t> </w:t>
      </w:r>
      <w:r w:rsidR="008B35E8" w:rsidRPr="002866E5">
        <w:rPr>
          <w:noProof/>
        </w:rPr>
        <w:t>nim</w:t>
      </w:r>
      <w:r w:rsidR="00BB1C3D" w:rsidRPr="002866E5">
        <w:rPr>
          <w:noProof/>
        </w:rPr>
        <w:t xml:space="preserve"> ramy zasadniczych wymogów dotyczących zdatności do lotu lotniczych wyrobów, części</w:t>
      </w:r>
      <w:r w:rsidR="008B35E8" w:rsidRPr="002866E5">
        <w:rPr>
          <w:noProof/>
        </w:rPr>
        <w:t xml:space="preserve"> i</w:t>
      </w:r>
      <w:r w:rsidR="008B35E8">
        <w:rPr>
          <w:noProof/>
        </w:rPr>
        <w:t> </w:t>
      </w:r>
      <w:r w:rsidR="008B35E8" w:rsidRPr="002866E5">
        <w:rPr>
          <w:noProof/>
        </w:rPr>
        <w:t>wyp</w:t>
      </w:r>
      <w:r w:rsidR="00BB1C3D" w:rsidRPr="002866E5">
        <w:rPr>
          <w:noProof/>
        </w:rPr>
        <w:t>osażenia,</w:t>
      </w:r>
      <w:r w:rsidR="008B35E8" w:rsidRPr="002866E5">
        <w:rPr>
          <w:noProof/>
        </w:rPr>
        <w:t xml:space="preserve"> w</w:t>
      </w:r>
      <w:r w:rsidR="008B35E8">
        <w:rPr>
          <w:noProof/>
        </w:rPr>
        <w:t> </w:t>
      </w:r>
      <w:r w:rsidR="008B35E8" w:rsidRPr="002866E5">
        <w:rPr>
          <w:noProof/>
        </w:rPr>
        <w:t>tym</w:t>
      </w:r>
      <w:r w:rsidR="00BB1C3D" w:rsidRPr="002866E5">
        <w:rPr>
          <w:noProof/>
        </w:rPr>
        <w:t xml:space="preserve"> oprogramowania,</w:t>
      </w:r>
      <w:r w:rsidR="008B35E8" w:rsidRPr="002866E5">
        <w:rPr>
          <w:noProof/>
        </w:rPr>
        <w:t xml:space="preserve"> w</w:t>
      </w:r>
      <w:r w:rsidR="008B35E8">
        <w:rPr>
          <w:noProof/>
        </w:rPr>
        <w:t> </w:t>
      </w:r>
      <w:r w:rsidR="008B35E8" w:rsidRPr="002866E5">
        <w:rPr>
          <w:noProof/>
        </w:rPr>
        <w:t>któ</w:t>
      </w:r>
      <w:r w:rsidR="00BB1C3D" w:rsidRPr="002866E5">
        <w:rPr>
          <w:noProof/>
        </w:rPr>
        <w:t>rych uwzględniono obowiązki</w:t>
      </w:r>
      <w:r w:rsidR="008B35E8" w:rsidRPr="002866E5">
        <w:rPr>
          <w:noProof/>
        </w:rPr>
        <w:t xml:space="preserve"> w</w:t>
      </w:r>
      <w:r w:rsidR="008B35E8">
        <w:rPr>
          <w:noProof/>
        </w:rPr>
        <w:t> </w:t>
      </w:r>
      <w:r w:rsidR="008B35E8" w:rsidRPr="002866E5">
        <w:rPr>
          <w:noProof/>
        </w:rPr>
        <w:t>zak</w:t>
      </w:r>
      <w:r w:rsidR="00BB1C3D" w:rsidRPr="002866E5">
        <w:rPr>
          <w:noProof/>
        </w:rPr>
        <w:t>resie ochrony przed zagrożeniami dla bezpieczeństwa informacji. Produkty</w:t>
      </w:r>
      <w:r w:rsidR="008B35E8" w:rsidRPr="002866E5">
        <w:rPr>
          <w:noProof/>
        </w:rPr>
        <w:t xml:space="preserve"> z</w:t>
      </w:r>
      <w:r w:rsidR="008B35E8">
        <w:rPr>
          <w:noProof/>
        </w:rPr>
        <w:t> </w:t>
      </w:r>
      <w:r w:rsidR="008B35E8" w:rsidRPr="002866E5">
        <w:rPr>
          <w:noProof/>
        </w:rPr>
        <w:t>ele</w:t>
      </w:r>
      <w:r w:rsidR="00BB1C3D" w:rsidRPr="002866E5">
        <w:rPr>
          <w:noProof/>
        </w:rPr>
        <w:t>mentami cyfrowymi, do których zastosowanie ma rozporządzenie (UE) 2019/2144, oraz produkty certyfikowane zgodnie</w:t>
      </w:r>
      <w:r w:rsidR="008B35E8" w:rsidRPr="002866E5">
        <w:rPr>
          <w:noProof/>
        </w:rPr>
        <w:t xml:space="preserve"> z</w:t>
      </w:r>
      <w:r w:rsidR="008B35E8">
        <w:rPr>
          <w:noProof/>
        </w:rPr>
        <w:t> </w:t>
      </w:r>
      <w:r w:rsidR="008B35E8" w:rsidRPr="002866E5">
        <w:rPr>
          <w:noProof/>
        </w:rPr>
        <w:t>roz</w:t>
      </w:r>
      <w:r w:rsidR="00BB1C3D" w:rsidRPr="002866E5">
        <w:rPr>
          <w:noProof/>
        </w:rPr>
        <w:t>porządzeniem (UE) 2018/1139 nie podlegają zatem zasadniczym wymogom</w:t>
      </w:r>
      <w:r w:rsidR="008B35E8" w:rsidRPr="002866E5">
        <w:rPr>
          <w:noProof/>
        </w:rPr>
        <w:t xml:space="preserve"> i</w:t>
      </w:r>
      <w:r w:rsidR="008B35E8">
        <w:rPr>
          <w:noProof/>
        </w:rPr>
        <w:t> </w:t>
      </w:r>
      <w:r w:rsidR="008B35E8" w:rsidRPr="002866E5">
        <w:rPr>
          <w:noProof/>
        </w:rPr>
        <w:t>pro</w:t>
      </w:r>
      <w:r w:rsidR="00BB1C3D" w:rsidRPr="002866E5">
        <w:rPr>
          <w:noProof/>
        </w:rPr>
        <w:t>cedurom oceny zgodności określonym</w:t>
      </w:r>
      <w:r w:rsidR="008B35E8" w:rsidRPr="002866E5">
        <w:rPr>
          <w:noProof/>
        </w:rPr>
        <w:t xml:space="preserve"> w</w:t>
      </w:r>
      <w:r w:rsidR="008B35E8">
        <w:rPr>
          <w:noProof/>
        </w:rPr>
        <w:t> </w:t>
      </w:r>
      <w:r w:rsidR="008B35E8" w:rsidRPr="002866E5">
        <w:rPr>
          <w:noProof/>
        </w:rPr>
        <w:t>nin</w:t>
      </w:r>
      <w:r w:rsidR="00BB1C3D" w:rsidRPr="002866E5">
        <w:rPr>
          <w:noProof/>
        </w:rPr>
        <w:t>iejszym rozporządzeniu. Proces certyfikacji określony</w:t>
      </w:r>
      <w:r w:rsidR="008B35E8" w:rsidRPr="002866E5">
        <w:rPr>
          <w:noProof/>
        </w:rPr>
        <w:t xml:space="preserve"> w</w:t>
      </w:r>
      <w:r w:rsidR="008B35E8">
        <w:rPr>
          <w:noProof/>
        </w:rPr>
        <w:t> </w:t>
      </w:r>
      <w:r w:rsidR="008B35E8" w:rsidRPr="002866E5">
        <w:rPr>
          <w:noProof/>
        </w:rPr>
        <w:t>roz</w:t>
      </w:r>
      <w:r w:rsidR="00BB1C3D" w:rsidRPr="002866E5">
        <w:rPr>
          <w:noProof/>
        </w:rPr>
        <w:t>porządzeniu (UE) 2018/1139 gwarantuje poziom pewności, który jest celem również niniejszego rozporządzenia.</w:t>
      </w:r>
    </w:p>
    <w:p w14:paraId="67ED86D8" w14:textId="4BEF06FE" w:rsidR="00AE5125" w:rsidRPr="002866E5" w:rsidRDefault="00B4087C" w:rsidP="00B4087C">
      <w:pPr>
        <w:pStyle w:val="ManualConsidrant"/>
        <w:rPr>
          <w:noProof/>
        </w:rPr>
      </w:pPr>
      <w:r w:rsidRPr="00B4087C">
        <w:t>(14)</w:t>
      </w:r>
      <w:r w:rsidRPr="00B4087C">
        <w:tab/>
      </w:r>
      <w:r w:rsidR="00661FEB" w:rsidRPr="002866E5">
        <w:rPr>
          <w:noProof/>
        </w:rPr>
        <w:t>W niniejszym rozporządzeniu ustanawia się horyzontalne przepisy dotyczące cyberbezpieczeństwa, które nie ograniczają się do konkretnych sektorów ani niektórych produktów</w:t>
      </w:r>
      <w:r w:rsidR="008B35E8" w:rsidRPr="002866E5">
        <w:rPr>
          <w:noProof/>
        </w:rPr>
        <w:t xml:space="preserve"> z</w:t>
      </w:r>
      <w:r w:rsidR="008B35E8">
        <w:rPr>
          <w:noProof/>
        </w:rPr>
        <w:t> </w:t>
      </w:r>
      <w:r w:rsidR="008B35E8" w:rsidRPr="002866E5">
        <w:rPr>
          <w:noProof/>
        </w:rPr>
        <w:t>ele</w:t>
      </w:r>
      <w:r w:rsidR="00661FEB" w:rsidRPr="002866E5">
        <w:rPr>
          <w:noProof/>
        </w:rPr>
        <w:t>mentami cyfrowymi. Można jednak wprowadzić unijne przepisy sektorowe lub dotyczące konkretnych produktów określające wymogi odnoszące się do wszystkich lub niektórych rodzajów ryzyka objętych zasadniczymi wymogami określonymi</w:t>
      </w:r>
      <w:r w:rsidR="008B35E8" w:rsidRPr="002866E5">
        <w:rPr>
          <w:noProof/>
        </w:rPr>
        <w:t xml:space="preserve"> w</w:t>
      </w:r>
      <w:r w:rsidR="008B35E8">
        <w:rPr>
          <w:noProof/>
        </w:rPr>
        <w:t> </w:t>
      </w:r>
      <w:r w:rsidR="008B35E8" w:rsidRPr="002866E5">
        <w:rPr>
          <w:noProof/>
        </w:rPr>
        <w:t>nin</w:t>
      </w:r>
      <w:r w:rsidR="00661FEB" w:rsidRPr="002866E5">
        <w:rPr>
          <w:noProof/>
        </w:rPr>
        <w:t>iejszym rozporządzeniu</w:t>
      </w:r>
      <w:r w:rsidR="008B35E8" w:rsidRPr="002866E5">
        <w:rPr>
          <w:noProof/>
        </w:rPr>
        <w:t>. W</w:t>
      </w:r>
      <w:r w:rsidR="008B35E8">
        <w:rPr>
          <w:noProof/>
        </w:rPr>
        <w:t> </w:t>
      </w:r>
      <w:r w:rsidR="008B35E8" w:rsidRPr="002866E5">
        <w:rPr>
          <w:noProof/>
        </w:rPr>
        <w:t>tak</w:t>
      </w:r>
      <w:r w:rsidR="00661FEB" w:rsidRPr="002866E5">
        <w:rPr>
          <w:noProof/>
        </w:rPr>
        <w:t>ich przypadkach stosowanie niniejszego rozporządzenia do produktów</w:t>
      </w:r>
      <w:r w:rsidR="008B35E8" w:rsidRPr="002866E5">
        <w:rPr>
          <w:noProof/>
        </w:rPr>
        <w:t xml:space="preserve"> z</w:t>
      </w:r>
      <w:r w:rsidR="008B35E8">
        <w:rPr>
          <w:noProof/>
        </w:rPr>
        <w:t> </w:t>
      </w:r>
      <w:r w:rsidR="008B35E8" w:rsidRPr="002866E5">
        <w:rPr>
          <w:noProof/>
        </w:rPr>
        <w:t>ele</w:t>
      </w:r>
      <w:r w:rsidR="00661FEB" w:rsidRPr="002866E5">
        <w:rPr>
          <w:noProof/>
        </w:rPr>
        <w:t>mentami cyfrowymi objętych innymi przepisami unijnymi ustanawiającymi wymogi odnoszące się do wszystkich lub niektórych rodzajów ryzyka objętych zasadniczymi wymogami określonymi</w:t>
      </w:r>
      <w:r w:rsidR="008B35E8" w:rsidRPr="002866E5">
        <w:rPr>
          <w:noProof/>
        </w:rPr>
        <w:t xml:space="preserve"> w</w:t>
      </w:r>
      <w:r w:rsidR="008B35E8">
        <w:rPr>
          <w:noProof/>
        </w:rPr>
        <w:t> </w:t>
      </w:r>
      <w:r w:rsidR="008B35E8" w:rsidRPr="002866E5">
        <w:rPr>
          <w:noProof/>
        </w:rPr>
        <w:t>zał</w:t>
      </w:r>
      <w:r w:rsidR="00661FEB" w:rsidRPr="002866E5">
        <w:rPr>
          <w:noProof/>
        </w:rPr>
        <w:t>ączniku I do niniejszego rozporządzenia może zostać ograniczone lub podlegać wyłączeniu, jeżeli takie ograniczenie lub wyłączenie jest spójne</w:t>
      </w:r>
      <w:r w:rsidR="008B35E8" w:rsidRPr="002866E5">
        <w:rPr>
          <w:noProof/>
        </w:rPr>
        <w:t xml:space="preserve"> </w:t>
      </w:r>
      <w:r w:rsidR="008B35E8" w:rsidRPr="002866E5">
        <w:rPr>
          <w:noProof/>
        </w:rPr>
        <w:lastRenderedPageBreak/>
        <w:t>z</w:t>
      </w:r>
      <w:r w:rsidR="008B35E8">
        <w:rPr>
          <w:noProof/>
        </w:rPr>
        <w:t> </w:t>
      </w:r>
      <w:r w:rsidR="008B35E8" w:rsidRPr="002866E5">
        <w:rPr>
          <w:noProof/>
        </w:rPr>
        <w:t>ogó</w:t>
      </w:r>
      <w:r w:rsidR="00661FEB" w:rsidRPr="002866E5">
        <w:rPr>
          <w:noProof/>
        </w:rPr>
        <w:t>lnymi ramami regulacyjnymi mającymi zastosowanie do tych produktów</w:t>
      </w:r>
      <w:r w:rsidR="008B35E8" w:rsidRPr="002866E5">
        <w:rPr>
          <w:noProof/>
        </w:rPr>
        <w:t xml:space="preserve"> i</w:t>
      </w:r>
      <w:r w:rsidR="008B35E8">
        <w:rPr>
          <w:noProof/>
        </w:rPr>
        <w:t> </w:t>
      </w:r>
      <w:r w:rsidR="008B35E8" w:rsidRPr="002866E5">
        <w:rPr>
          <w:noProof/>
        </w:rPr>
        <w:t>jeż</w:t>
      </w:r>
      <w:r w:rsidR="00661FEB" w:rsidRPr="002866E5">
        <w:rPr>
          <w:noProof/>
        </w:rPr>
        <w:t>eli przepisy sektorowe zapewniają taki sam poziom ochrony jak ten przewidziany</w:t>
      </w:r>
      <w:r w:rsidR="008B35E8" w:rsidRPr="002866E5">
        <w:rPr>
          <w:noProof/>
        </w:rPr>
        <w:t xml:space="preserve"> w</w:t>
      </w:r>
      <w:r w:rsidR="008B35E8">
        <w:rPr>
          <w:noProof/>
        </w:rPr>
        <w:t> </w:t>
      </w:r>
      <w:r w:rsidR="008B35E8" w:rsidRPr="002866E5">
        <w:rPr>
          <w:noProof/>
        </w:rPr>
        <w:t>nin</w:t>
      </w:r>
      <w:r w:rsidR="00661FEB" w:rsidRPr="002866E5">
        <w:rPr>
          <w:noProof/>
        </w:rPr>
        <w:t>iejszym rozporządzeniu. Komisja jest uprawniona do przyjmowania aktów delegowanych</w:t>
      </w:r>
      <w:r w:rsidR="008B35E8" w:rsidRPr="002866E5">
        <w:rPr>
          <w:noProof/>
        </w:rPr>
        <w:t xml:space="preserve"> w</w:t>
      </w:r>
      <w:r w:rsidR="008B35E8">
        <w:rPr>
          <w:noProof/>
        </w:rPr>
        <w:t> </w:t>
      </w:r>
      <w:r w:rsidR="008B35E8" w:rsidRPr="002866E5">
        <w:rPr>
          <w:noProof/>
        </w:rPr>
        <w:t>cel</w:t>
      </w:r>
      <w:r w:rsidR="00661FEB" w:rsidRPr="002866E5">
        <w:rPr>
          <w:noProof/>
        </w:rPr>
        <w:t>u zmiany niniejszego rozporządzenia polegającej na wskazaniu takich produktów</w:t>
      </w:r>
      <w:r w:rsidR="008B35E8" w:rsidRPr="002866E5">
        <w:rPr>
          <w:noProof/>
        </w:rPr>
        <w:t xml:space="preserve"> i</w:t>
      </w:r>
      <w:r w:rsidR="008B35E8">
        <w:rPr>
          <w:noProof/>
        </w:rPr>
        <w:t> </w:t>
      </w:r>
      <w:r w:rsidR="008B35E8" w:rsidRPr="002866E5">
        <w:rPr>
          <w:noProof/>
        </w:rPr>
        <w:t>prz</w:t>
      </w:r>
      <w:r w:rsidR="00661FEB" w:rsidRPr="002866E5">
        <w:rPr>
          <w:noProof/>
        </w:rPr>
        <w:t>episów. Niniejsze rozporządzenie zawiera przepisy szczegółowe precyzujące jego powiązania</w:t>
      </w:r>
      <w:r w:rsidR="008B35E8" w:rsidRPr="002866E5">
        <w:rPr>
          <w:noProof/>
        </w:rPr>
        <w:t xml:space="preserve"> z</w:t>
      </w:r>
      <w:r w:rsidR="008B35E8">
        <w:rPr>
          <w:noProof/>
        </w:rPr>
        <w:t> </w:t>
      </w:r>
      <w:r w:rsidR="008B35E8" w:rsidRPr="002866E5">
        <w:rPr>
          <w:noProof/>
        </w:rPr>
        <w:t>obo</w:t>
      </w:r>
      <w:r w:rsidR="00661FEB" w:rsidRPr="002866E5">
        <w:rPr>
          <w:noProof/>
        </w:rPr>
        <w:t>wiązującymi przepisami Unii, do których należy stosować takie ograniczenia lub wyłączenia.</w:t>
      </w:r>
    </w:p>
    <w:p w14:paraId="67ED86D9" w14:textId="68D4EF59" w:rsidR="003A4D23" w:rsidRPr="002866E5" w:rsidRDefault="00B4087C" w:rsidP="00B4087C">
      <w:pPr>
        <w:pStyle w:val="ManualConsidrant"/>
        <w:rPr>
          <w:noProof/>
        </w:rPr>
      </w:pPr>
      <w:r w:rsidRPr="00B4087C">
        <w:t>(15)</w:t>
      </w:r>
      <w:r w:rsidRPr="00B4087C">
        <w:tab/>
      </w:r>
      <w:r w:rsidR="003A4D23" w:rsidRPr="002866E5">
        <w:rPr>
          <w:noProof/>
        </w:rPr>
        <w:t>Rozporządzenie delegowane (UE) 2022/30 stanowi, że zasadnicze wymagania określone</w:t>
      </w:r>
      <w:r w:rsidR="008B35E8" w:rsidRPr="002866E5">
        <w:rPr>
          <w:noProof/>
        </w:rPr>
        <w:t xml:space="preserve"> w</w:t>
      </w:r>
      <w:r w:rsidR="008B35E8">
        <w:rPr>
          <w:noProof/>
        </w:rPr>
        <w:t> </w:t>
      </w:r>
      <w:r w:rsidR="008B35E8" w:rsidRPr="008B35E8">
        <w:rPr>
          <w:noProof/>
        </w:rPr>
        <w:t>art</w:t>
      </w:r>
      <w:r w:rsidR="003A4D23" w:rsidRPr="008B35E8">
        <w:rPr>
          <w:noProof/>
        </w:rPr>
        <w:t>.</w:t>
      </w:r>
      <w:r w:rsidR="008B35E8" w:rsidRPr="008B35E8">
        <w:rPr>
          <w:noProof/>
        </w:rPr>
        <w:t> </w:t>
      </w:r>
      <w:r w:rsidR="003A4D23" w:rsidRPr="008B35E8">
        <w:rPr>
          <w:noProof/>
        </w:rPr>
        <w:t>3</w:t>
      </w:r>
      <w:r w:rsidR="003A4D23" w:rsidRPr="002866E5">
        <w:rPr>
          <w:noProof/>
        </w:rPr>
        <w:t xml:space="preserve"> </w:t>
      </w:r>
      <w:r w:rsidR="003A4D23" w:rsidRPr="008B35E8">
        <w:rPr>
          <w:noProof/>
        </w:rPr>
        <w:t>ust.</w:t>
      </w:r>
      <w:r w:rsidR="008B35E8" w:rsidRPr="008B35E8">
        <w:rPr>
          <w:noProof/>
        </w:rPr>
        <w:t> </w:t>
      </w:r>
      <w:r w:rsidR="003A4D23" w:rsidRPr="008B35E8">
        <w:rPr>
          <w:noProof/>
        </w:rPr>
        <w:t>3</w:t>
      </w:r>
      <w:r w:rsidR="003A4D23" w:rsidRPr="002866E5">
        <w:rPr>
          <w:noProof/>
        </w:rPr>
        <w:t xml:space="preserve"> </w:t>
      </w:r>
      <w:r w:rsidR="003A4D23" w:rsidRPr="008B35E8">
        <w:rPr>
          <w:noProof/>
        </w:rPr>
        <w:t>lit.</w:t>
      </w:r>
      <w:r w:rsidR="008B35E8" w:rsidRPr="008B35E8">
        <w:rPr>
          <w:noProof/>
        </w:rPr>
        <w:t> </w:t>
      </w:r>
      <w:r w:rsidR="003A4D23" w:rsidRPr="008B35E8">
        <w:rPr>
          <w:noProof/>
        </w:rPr>
        <w:t>d)</w:t>
      </w:r>
      <w:r w:rsidR="003A4D23" w:rsidRPr="002866E5">
        <w:rPr>
          <w:noProof/>
        </w:rPr>
        <w:t xml:space="preserve"> (niepożądany wpływ na sieć</w:t>
      </w:r>
      <w:r w:rsidR="008B35E8" w:rsidRPr="002866E5">
        <w:rPr>
          <w:noProof/>
        </w:rPr>
        <w:t xml:space="preserve"> i</w:t>
      </w:r>
      <w:r w:rsidR="008B35E8">
        <w:rPr>
          <w:noProof/>
        </w:rPr>
        <w:t> </w:t>
      </w:r>
      <w:r w:rsidR="008B35E8" w:rsidRPr="002866E5">
        <w:rPr>
          <w:noProof/>
        </w:rPr>
        <w:t>wyk</w:t>
      </w:r>
      <w:r w:rsidR="003A4D23" w:rsidRPr="002866E5">
        <w:rPr>
          <w:noProof/>
        </w:rPr>
        <w:t>orzystanie zasobów sieciowych</w:t>
      </w:r>
      <w:r w:rsidR="008B35E8" w:rsidRPr="002866E5">
        <w:rPr>
          <w:noProof/>
        </w:rPr>
        <w:t xml:space="preserve"> w</w:t>
      </w:r>
      <w:r w:rsidR="008B35E8">
        <w:rPr>
          <w:noProof/>
        </w:rPr>
        <w:t> </w:t>
      </w:r>
      <w:r w:rsidR="008B35E8" w:rsidRPr="002866E5">
        <w:rPr>
          <w:noProof/>
        </w:rPr>
        <w:t>nie</w:t>
      </w:r>
      <w:r w:rsidR="003A4D23" w:rsidRPr="002866E5">
        <w:rPr>
          <w:noProof/>
        </w:rPr>
        <w:t xml:space="preserve">odpowiedni sposób), </w:t>
      </w:r>
      <w:r w:rsidR="003A4D23" w:rsidRPr="008B35E8">
        <w:rPr>
          <w:noProof/>
        </w:rPr>
        <w:t>lit.</w:t>
      </w:r>
      <w:r w:rsidR="008B35E8" w:rsidRPr="008B35E8">
        <w:rPr>
          <w:noProof/>
        </w:rPr>
        <w:t> </w:t>
      </w:r>
      <w:r w:rsidR="003A4D23" w:rsidRPr="008B35E8">
        <w:rPr>
          <w:noProof/>
        </w:rPr>
        <w:t>e)</w:t>
      </w:r>
      <w:r w:rsidR="003A4D23" w:rsidRPr="002866E5">
        <w:rPr>
          <w:noProof/>
        </w:rPr>
        <w:t xml:space="preserve"> (dane osobowe</w:t>
      </w:r>
      <w:r w:rsidR="008B35E8" w:rsidRPr="002866E5">
        <w:rPr>
          <w:noProof/>
        </w:rPr>
        <w:t xml:space="preserve"> i</w:t>
      </w:r>
      <w:r w:rsidR="008B35E8">
        <w:rPr>
          <w:noProof/>
        </w:rPr>
        <w:t> </w:t>
      </w:r>
      <w:r w:rsidR="008B35E8" w:rsidRPr="002866E5">
        <w:rPr>
          <w:noProof/>
        </w:rPr>
        <w:t>pry</w:t>
      </w:r>
      <w:r w:rsidR="003A4D23" w:rsidRPr="002866E5">
        <w:rPr>
          <w:noProof/>
        </w:rPr>
        <w:t xml:space="preserve">watność) oraz </w:t>
      </w:r>
      <w:r w:rsidR="003A4D23" w:rsidRPr="008B35E8">
        <w:rPr>
          <w:noProof/>
        </w:rPr>
        <w:t>lit.</w:t>
      </w:r>
      <w:r w:rsidR="008B35E8" w:rsidRPr="008B35E8">
        <w:rPr>
          <w:noProof/>
        </w:rPr>
        <w:t> </w:t>
      </w:r>
      <w:r w:rsidR="003A4D23" w:rsidRPr="008B35E8">
        <w:rPr>
          <w:noProof/>
        </w:rPr>
        <w:t>f)</w:t>
      </w:r>
      <w:r w:rsidR="003A4D23" w:rsidRPr="002866E5">
        <w:rPr>
          <w:noProof/>
        </w:rPr>
        <w:t xml:space="preserve"> (oszustwa) dyrektywy 2014/53/UE mają zastosowanie do określonych urządzeń radiowych. W [decyzji wykonawczej Komisji XXX/2022</w:t>
      </w:r>
      <w:r w:rsidR="008B35E8" w:rsidRPr="002866E5">
        <w:rPr>
          <w:noProof/>
        </w:rPr>
        <w:t xml:space="preserve"> w</w:t>
      </w:r>
      <w:r w:rsidR="008B35E8">
        <w:rPr>
          <w:noProof/>
        </w:rPr>
        <w:t> </w:t>
      </w:r>
      <w:r w:rsidR="008B35E8" w:rsidRPr="002866E5">
        <w:rPr>
          <w:noProof/>
        </w:rPr>
        <w:t>spr</w:t>
      </w:r>
      <w:r w:rsidR="003A4D23" w:rsidRPr="002866E5">
        <w:rPr>
          <w:noProof/>
        </w:rPr>
        <w:t>awie wniosku</w:t>
      </w:r>
      <w:r w:rsidR="008B35E8" w:rsidRPr="002866E5">
        <w:rPr>
          <w:noProof/>
        </w:rPr>
        <w:t xml:space="preserve"> o</w:t>
      </w:r>
      <w:r w:rsidR="008B35E8">
        <w:rPr>
          <w:noProof/>
        </w:rPr>
        <w:t> </w:t>
      </w:r>
      <w:r w:rsidR="008B35E8" w:rsidRPr="002866E5">
        <w:rPr>
          <w:noProof/>
        </w:rPr>
        <w:t>nor</w:t>
      </w:r>
      <w:r w:rsidR="003A4D23" w:rsidRPr="002866E5">
        <w:rPr>
          <w:noProof/>
        </w:rPr>
        <w:t>malizację do europejskich organizacji normalizacyjnych] ustanowiono wymogi dotyczące opracowania konkretnych norm doprecyzowujących sposób,</w:t>
      </w:r>
      <w:r w:rsidR="008B35E8" w:rsidRPr="002866E5">
        <w:rPr>
          <w:noProof/>
        </w:rPr>
        <w:t xml:space="preserve"> w</w:t>
      </w:r>
      <w:r w:rsidR="008B35E8">
        <w:rPr>
          <w:noProof/>
        </w:rPr>
        <w:t> </w:t>
      </w:r>
      <w:r w:rsidR="008B35E8" w:rsidRPr="002866E5">
        <w:rPr>
          <w:noProof/>
        </w:rPr>
        <w:t>jak</w:t>
      </w:r>
      <w:r w:rsidR="003A4D23" w:rsidRPr="002866E5">
        <w:rPr>
          <w:noProof/>
        </w:rPr>
        <w:t>i należy zrealizować te trzy zestawy zasadniczych wymagań. Zasadnicze wymogi ustanowione</w:t>
      </w:r>
      <w:r w:rsidR="008B35E8" w:rsidRPr="002866E5">
        <w:rPr>
          <w:noProof/>
        </w:rPr>
        <w:t xml:space="preserve"> w</w:t>
      </w:r>
      <w:r w:rsidR="008B35E8">
        <w:rPr>
          <w:noProof/>
        </w:rPr>
        <w:t> </w:t>
      </w:r>
      <w:r w:rsidR="008B35E8" w:rsidRPr="002866E5">
        <w:rPr>
          <w:noProof/>
        </w:rPr>
        <w:t>nin</w:t>
      </w:r>
      <w:r w:rsidR="003A4D23" w:rsidRPr="002866E5">
        <w:rPr>
          <w:noProof/>
        </w:rPr>
        <w:t>iejszym rozporządzeniu obejmują wszystkie elementy zasadniczych wymagań,</w:t>
      </w:r>
      <w:r w:rsidR="008B35E8" w:rsidRPr="002866E5">
        <w:rPr>
          <w:noProof/>
        </w:rPr>
        <w:t xml:space="preserve"> o</w:t>
      </w:r>
      <w:r w:rsidR="008B35E8">
        <w:rPr>
          <w:noProof/>
        </w:rPr>
        <w:t> </w:t>
      </w:r>
      <w:r w:rsidR="008B35E8" w:rsidRPr="002866E5">
        <w:rPr>
          <w:noProof/>
        </w:rPr>
        <w:t>któ</w:t>
      </w:r>
      <w:r w:rsidR="003A4D23" w:rsidRPr="002866E5">
        <w:rPr>
          <w:noProof/>
        </w:rPr>
        <w:t>rych mowa</w:t>
      </w:r>
      <w:r w:rsidR="008B35E8" w:rsidRPr="002866E5">
        <w:rPr>
          <w:noProof/>
        </w:rPr>
        <w:t xml:space="preserve"> w</w:t>
      </w:r>
      <w:r w:rsidR="008B35E8">
        <w:rPr>
          <w:noProof/>
        </w:rPr>
        <w:t> </w:t>
      </w:r>
      <w:r w:rsidR="008B35E8" w:rsidRPr="008B35E8">
        <w:rPr>
          <w:noProof/>
        </w:rPr>
        <w:t>art</w:t>
      </w:r>
      <w:r w:rsidR="003A4D23" w:rsidRPr="008B35E8">
        <w:rPr>
          <w:noProof/>
        </w:rPr>
        <w:t>.</w:t>
      </w:r>
      <w:r w:rsidR="008B35E8" w:rsidRPr="008B35E8">
        <w:rPr>
          <w:noProof/>
        </w:rPr>
        <w:t> </w:t>
      </w:r>
      <w:r w:rsidR="003A4D23" w:rsidRPr="008B35E8">
        <w:rPr>
          <w:noProof/>
        </w:rPr>
        <w:t>3</w:t>
      </w:r>
      <w:r w:rsidR="003A4D23" w:rsidRPr="002866E5">
        <w:rPr>
          <w:noProof/>
        </w:rPr>
        <w:t xml:space="preserve"> </w:t>
      </w:r>
      <w:r w:rsidR="003A4D23" w:rsidRPr="008B35E8">
        <w:rPr>
          <w:noProof/>
        </w:rPr>
        <w:t>ust.</w:t>
      </w:r>
      <w:r w:rsidR="008B35E8" w:rsidRPr="008B35E8">
        <w:rPr>
          <w:noProof/>
        </w:rPr>
        <w:t> </w:t>
      </w:r>
      <w:r w:rsidR="003A4D23" w:rsidRPr="008B35E8">
        <w:rPr>
          <w:noProof/>
        </w:rPr>
        <w:t>3</w:t>
      </w:r>
      <w:r w:rsidR="003A4D23" w:rsidRPr="002866E5">
        <w:rPr>
          <w:noProof/>
        </w:rPr>
        <w:t xml:space="preserve"> </w:t>
      </w:r>
      <w:r w:rsidR="003A4D23" w:rsidRPr="008B35E8">
        <w:rPr>
          <w:noProof/>
        </w:rPr>
        <w:t>lit.</w:t>
      </w:r>
      <w:r w:rsidR="008B35E8" w:rsidRPr="008B35E8">
        <w:rPr>
          <w:noProof/>
        </w:rPr>
        <w:t> </w:t>
      </w:r>
      <w:r w:rsidR="003A4D23" w:rsidRPr="008B35E8">
        <w:rPr>
          <w:noProof/>
        </w:rPr>
        <w:t>d)</w:t>
      </w:r>
      <w:r w:rsidR="003A4D23" w:rsidRPr="002866E5">
        <w:rPr>
          <w:noProof/>
        </w:rPr>
        <w:t>, e) i f) dyrektywy 2014/53/UE.</w:t>
      </w:r>
      <w:r w:rsidR="003A4D23" w:rsidRPr="002866E5">
        <w:rPr>
          <w:noProof/>
          <w:sz w:val="20"/>
        </w:rPr>
        <w:t xml:space="preserve"> </w:t>
      </w:r>
      <w:r w:rsidR="003A4D23" w:rsidRPr="002866E5">
        <w:rPr>
          <w:noProof/>
        </w:rPr>
        <w:t>Co więcej, zasadnicze wymogi ustanowione</w:t>
      </w:r>
      <w:r w:rsidR="008B35E8" w:rsidRPr="002866E5">
        <w:rPr>
          <w:noProof/>
        </w:rPr>
        <w:t xml:space="preserve"> w</w:t>
      </w:r>
      <w:r w:rsidR="008B35E8">
        <w:rPr>
          <w:noProof/>
        </w:rPr>
        <w:t> </w:t>
      </w:r>
      <w:r w:rsidR="008B35E8" w:rsidRPr="002866E5">
        <w:rPr>
          <w:noProof/>
        </w:rPr>
        <w:t>nin</w:t>
      </w:r>
      <w:r w:rsidR="003A4D23" w:rsidRPr="002866E5">
        <w:rPr>
          <w:noProof/>
        </w:rPr>
        <w:t>iejszym rozporządzeniu są zgodne</w:t>
      </w:r>
      <w:r w:rsidR="008B35E8" w:rsidRPr="002866E5">
        <w:rPr>
          <w:noProof/>
        </w:rPr>
        <w:t xml:space="preserve"> z</w:t>
      </w:r>
      <w:r w:rsidR="008B35E8">
        <w:rPr>
          <w:noProof/>
        </w:rPr>
        <w:t> </w:t>
      </w:r>
      <w:r w:rsidR="008B35E8" w:rsidRPr="002866E5">
        <w:rPr>
          <w:noProof/>
        </w:rPr>
        <w:t>cel</w:t>
      </w:r>
      <w:r w:rsidR="003A4D23" w:rsidRPr="002866E5">
        <w:rPr>
          <w:noProof/>
        </w:rPr>
        <w:t>ami wymogów dotyczących określonych norm zawartych</w:t>
      </w:r>
      <w:r w:rsidR="008B35E8" w:rsidRPr="002866E5">
        <w:rPr>
          <w:noProof/>
        </w:rPr>
        <w:t xml:space="preserve"> w</w:t>
      </w:r>
      <w:r w:rsidR="008B35E8">
        <w:rPr>
          <w:noProof/>
        </w:rPr>
        <w:t> </w:t>
      </w:r>
      <w:r w:rsidR="008B35E8" w:rsidRPr="002866E5">
        <w:rPr>
          <w:noProof/>
        </w:rPr>
        <w:t>tym</w:t>
      </w:r>
      <w:r w:rsidR="003A4D23" w:rsidRPr="002866E5">
        <w:rPr>
          <w:noProof/>
        </w:rPr>
        <w:t xml:space="preserve"> zleceniu normalizacji. Ponadto, jeżeli Komisja uchyli lub zmieni rozporządzenie delegowane (UE) 2022/30</w:t>
      </w:r>
      <w:r w:rsidR="008B35E8" w:rsidRPr="002866E5">
        <w:rPr>
          <w:noProof/>
        </w:rPr>
        <w:t xml:space="preserve"> z</w:t>
      </w:r>
      <w:r w:rsidR="008B35E8">
        <w:rPr>
          <w:noProof/>
        </w:rPr>
        <w:t> </w:t>
      </w:r>
      <w:r w:rsidR="008B35E8" w:rsidRPr="002866E5">
        <w:rPr>
          <w:noProof/>
        </w:rPr>
        <w:t>tak</w:t>
      </w:r>
      <w:r w:rsidR="003A4D23" w:rsidRPr="002866E5">
        <w:rPr>
          <w:noProof/>
        </w:rPr>
        <w:t>im skutkiem, że przestanie ono mieć zastosowanie do określonych produktów objętych tym rozporządzeniem, Komisja</w:t>
      </w:r>
      <w:r w:rsidR="008B35E8" w:rsidRPr="002866E5">
        <w:rPr>
          <w:noProof/>
        </w:rPr>
        <w:t xml:space="preserve"> i</w:t>
      </w:r>
      <w:r w:rsidR="008B35E8">
        <w:rPr>
          <w:noProof/>
        </w:rPr>
        <w:t> </w:t>
      </w:r>
      <w:r w:rsidR="008B35E8" w:rsidRPr="002866E5">
        <w:rPr>
          <w:noProof/>
        </w:rPr>
        <w:t>eur</w:t>
      </w:r>
      <w:r w:rsidR="003A4D23" w:rsidRPr="002866E5">
        <w:rPr>
          <w:noProof/>
        </w:rPr>
        <w:t>opejskie organizacje normalizacyjne powinny uwzględnić prace normalizacyjne przeprowadzone</w:t>
      </w:r>
      <w:r w:rsidR="008B35E8" w:rsidRPr="002866E5">
        <w:rPr>
          <w:noProof/>
        </w:rPr>
        <w:t xml:space="preserve"> w</w:t>
      </w:r>
      <w:r w:rsidR="008B35E8">
        <w:rPr>
          <w:noProof/>
        </w:rPr>
        <w:t> </w:t>
      </w:r>
      <w:r w:rsidR="008B35E8" w:rsidRPr="002866E5">
        <w:rPr>
          <w:noProof/>
        </w:rPr>
        <w:t>kon</w:t>
      </w:r>
      <w:r w:rsidR="003A4D23" w:rsidRPr="002866E5">
        <w:rPr>
          <w:noProof/>
        </w:rPr>
        <w:t>tekście decyzji wykonawczej Komisji C(2022) 5637</w:t>
      </w:r>
      <w:r w:rsidR="008B35E8" w:rsidRPr="002866E5">
        <w:rPr>
          <w:noProof/>
        </w:rPr>
        <w:t xml:space="preserve"> w</w:t>
      </w:r>
      <w:r w:rsidR="008B35E8">
        <w:rPr>
          <w:noProof/>
        </w:rPr>
        <w:t> </w:t>
      </w:r>
      <w:r w:rsidR="008B35E8" w:rsidRPr="002866E5">
        <w:rPr>
          <w:noProof/>
        </w:rPr>
        <w:t>spr</w:t>
      </w:r>
      <w:r w:rsidR="003A4D23" w:rsidRPr="002866E5">
        <w:rPr>
          <w:noProof/>
        </w:rPr>
        <w:t>awie wniosku</w:t>
      </w:r>
      <w:r w:rsidR="008B35E8" w:rsidRPr="002866E5">
        <w:rPr>
          <w:noProof/>
        </w:rPr>
        <w:t xml:space="preserve"> o</w:t>
      </w:r>
      <w:r w:rsidR="008B35E8">
        <w:rPr>
          <w:noProof/>
        </w:rPr>
        <w:t> </w:t>
      </w:r>
      <w:r w:rsidR="008B35E8" w:rsidRPr="002866E5">
        <w:rPr>
          <w:noProof/>
        </w:rPr>
        <w:t>nor</w:t>
      </w:r>
      <w:r w:rsidR="003A4D23" w:rsidRPr="002866E5">
        <w:rPr>
          <w:noProof/>
        </w:rPr>
        <w:t>malizację odnośnie do rozporządzenia delegowanego (UE) 2022/30 dotyczącego dyrektywy</w:t>
      </w:r>
      <w:r w:rsidR="008B35E8" w:rsidRPr="002866E5">
        <w:rPr>
          <w:noProof/>
        </w:rPr>
        <w:t xml:space="preserve"> w</w:t>
      </w:r>
      <w:r w:rsidR="008B35E8">
        <w:rPr>
          <w:noProof/>
        </w:rPr>
        <w:t> </w:t>
      </w:r>
      <w:r w:rsidR="008B35E8" w:rsidRPr="002866E5">
        <w:rPr>
          <w:noProof/>
        </w:rPr>
        <w:t>spr</w:t>
      </w:r>
      <w:r w:rsidR="003A4D23" w:rsidRPr="002866E5">
        <w:rPr>
          <w:noProof/>
        </w:rPr>
        <w:t>awie urządzeń radiowych przy przygotowywaniu</w:t>
      </w:r>
      <w:r w:rsidR="008B35E8" w:rsidRPr="002866E5">
        <w:rPr>
          <w:noProof/>
        </w:rPr>
        <w:t xml:space="preserve"> i</w:t>
      </w:r>
      <w:r w:rsidR="008B35E8">
        <w:rPr>
          <w:noProof/>
        </w:rPr>
        <w:t> </w:t>
      </w:r>
      <w:r w:rsidR="008B35E8" w:rsidRPr="002866E5">
        <w:rPr>
          <w:noProof/>
        </w:rPr>
        <w:t>opr</w:t>
      </w:r>
      <w:r w:rsidR="003A4D23" w:rsidRPr="002866E5">
        <w:rPr>
          <w:noProof/>
        </w:rPr>
        <w:t>acowywaniu norm zharmonizowanych</w:t>
      </w:r>
      <w:r w:rsidR="008B35E8" w:rsidRPr="002866E5">
        <w:rPr>
          <w:noProof/>
        </w:rPr>
        <w:t xml:space="preserve"> w</w:t>
      </w:r>
      <w:r w:rsidR="008B35E8">
        <w:rPr>
          <w:noProof/>
        </w:rPr>
        <w:t> </w:t>
      </w:r>
      <w:r w:rsidR="008B35E8" w:rsidRPr="002866E5">
        <w:rPr>
          <w:noProof/>
        </w:rPr>
        <w:t>cel</w:t>
      </w:r>
      <w:r w:rsidR="003A4D23" w:rsidRPr="002866E5">
        <w:rPr>
          <w:noProof/>
        </w:rPr>
        <w:t>u ułatwienia wykonania niniejszego rozporządzenia.</w:t>
      </w:r>
    </w:p>
    <w:p w14:paraId="67ED86DA" w14:textId="328664C7" w:rsidR="00475C28" w:rsidRPr="002866E5" w:rsidRDefault="00B4087C" w:rsidP="00B4087C">
      <w:pPr>
        <w:pStyle w:val="ManualConsidrant"/>
        <w:rPr>
          <w:noProof/>
        </w:rPr>
      </w:pPr>
      <w:r w:rsidRPr="00B4087C">
        <w:t>(16)</w:t>
      </w:r>
      <w:r w:rsidRPr="00B4087C">
        <w:tab/>
      </w:r>
      <w:r w:rsidR="00F207F9" w:rsidRPr="002866E5">
        <w:rPr>
          <w:noProof/>
        </w:rPr>
        <w:t>Dyrektywa 85/374/EWG</w:t>
      </w:r>
      <w:r w:rsidR="00F207F9" w:rsidRPr="002866E5">
        <w:rPr>
          <w:rStyle w:val="FootnoteReference"/>
          <w:noProof/>
        </w:rPr>
        <w:footnoteReference w:id="26"/>
      </w:r>
      <w:r w:rsidR="00F207F9" w:rsidRPr="002866E5">
        <w:rPr>
          <w:noProof/>
        </w:rPr>
        <w:t xml:space="preserve"> ma charakter uzupełniający</w:t>
      </w:r>
      <w:r w:rsidR="008B35E8" w:rsidRPr="002866E5">
        <w:rPr>
          <w:noProof/>
        </w:rPr>
        <w:t xml:space="preserve"> w</w:t>
      </w:r>
      <w:r w:rsidR="008B35E8">
        <w:rPr>
          <w:noProof/>
        </w:rPr>
        <w:t> </w:t>
      </w:r>
      <w:r w:rsidR="008B35E8" w:rsidRPr="002866E5">
        <w:rPr>
          <w:noProof/>
        </w:rPr>
        <w:t>sto</w:t>
      </w:r>
      <w:r w:rsidR="00F207F9" w:rsidRPr="002866E5">
        <w:rPr>
          <w:noProof/>
        </w:rPr>
        <w:t>sunku do niniejszego rozporządzenia</w:t>
      </w:r>
      <w:r w:rsidR="008B35E8" w:rsidRPr="002866E5">
        <w:rPr>
          <w:noProof/>
        </w:rPr>
        <w:t>. W</w:t>
      </w:r>
      <w:r w:rsidR="008B35E8">
        <w:rPr>
          <w:noProof/>
        </w:rPr>
        <w:t> </w:t>
      </w:r>
      <w:r w:rsidR="008B35E8" w:rsidRPr="002866E5">
        <w:rPr>
          <w:noProof/>
        </w:rPr>
        <w:t>dyr</w:t>
      </w:r>
      <w:r w:rsidR="00F207F9" w:rsidRPr="002866E5">
        <w:rPr>
          <w:noProof/>
        </w:rPr>
        <w:t>ektywie tej określono przepisy dotyczące odpowiedzialności za produkty wadliwe, tak aby osoby poszkodowane mogły dochodzić kompensaty za szkodę wyrządzoną przez takie produkty. Ustanowiono</w:t>
      </w:r>
      <w:r w:rsidR="008B35E8" w:rsidRPr="002866E5">
        <w:rPr>
          <w:noProof/>
        </w:rPr>
        <w:t xml:space="preserve"> w</w:t>
      </w:r>
      <w:r w:rsidR="008B35E8">
        <w:rPr>
          <w:noProof/>
        </w:rPr>
        <w:t> </w:t>
      </w:r>
      <w:r w:rsidR="008B35E8" w:rsidRPr="002866E5">
        <w:rPr>
          <w:noProof/>
        </w:rPr>
        <w:t>nie</w:t>
      </w:r>
      <w:r w:rsidR="00F207F9" w:rsidRPr="002866E5">
        <w:rPr>
          <w:noProof/>
        </w:rPr>
        <w:t>j zasadę, że producent produktu jest odpowiedzialny za szkody spowodowane brakiem bezpieczeństwa produktu niezależnie od winy („odpowiedzialność na zasadzie ryzyka”)</w:t>
      </w:r>
      <w:r w:rsidR="008B35E8" w:rsidRPr="002866E5">
        <w:rPr>
          <w:noProof/>
        </w:rPr>
        <w:t>. W</w:t>
      </w:r>
      <w:r w:rsidR="008B35E8">
        <w:rPr>
          <w:noProof/>
        </w:rPr>
        <w:t> </w:t>
      </w:r>
      <w:r w:rsidR="008B35E8" w:rsidRPr="002866E5">
        <w:rPr>
          <w:noProof/>
        </w:rPr>
        <w:t>prz</w:t>
      </w:r>
      <w:r w:rsidR="00F207F9" w:rsidRPr="002866E5">
        <w:rPr>
          <w:noProof/>
        </w:rPr>
        <w:t>ypadku gdy brak bezpieczeństwa polega na braku aktualizacji zabezpieczeń po wprowadzeniu produktu do obrotu,</w:t>
      </w:r>
      <w:r w:rsidR="008B35E8" w:rsidRPr="002866E5">
        <w:rPr>
          <w:noProof/>
        </w:rPr>
        <w:t xml:space="preserve"> a</w:t>
      </w:r>
      <w:r w:rsidR="008B35E8">
        <w:rPr>
          <w:noProof/>
        </w:rPr>
        <w:t> </w:t>
      </w:r>
      <w:r w:rsidR="008B35E8" w:rsidRPr="002866E5">
        <w:rPr>
          <w:noProof/>
        </w:rPr>
        <w:t>pro</w:t>
      </w:r>
      <w:r w:rsidR="00F207F9" w:rsidRPr="002866E5">
        <w:rPr>
          <w:noProof/>
        </w:rPr>
        <w:t>dukt ten spowoduje szkodę, producenta można pociągnąć do odpowiedzialności</w:t>
      </w:r>
      <w:r w:rsidR="008B35E8" w:rsidRPr="002866E5">
        <w:rPr>
          <w:noProof/>
        </w:rPr>
        <w:t>. W</w:t>
      </w:r>
      <w:r w:rsidR="008B35E8">
        <w:rPr>
          <w:noProof/>
        </w:rPr>
        <w:t> </w:t>
      </w:r>
      <w:r w:rsidR="008B35E8" w:rsidRPr="002866E5">
        <w:rPr>
          <w:noProof/>
        </w:rPr>
        <w:t>nin</w:t>
      </w:r>
      <w:r w:rsidR="00F207F9" w:rsidRPr="002866E5">
        <w:rPr>
          <w:noProof/>
        </w:rPr>
        <w:t>iejszym rozporządzeniu należy określić obowiązki producenta</w:t>
      </w:r>
      <w:r w:rsidR="008B35E8" w:rsidRPr="002866E5">
        <w:rPr>
          <w:noProof/>
        </w:rPr>
        <w:t xml:space="preserve"> w</w:t>
      </w:r>
      <w:r w:rsidR="008B35E8">
        <w:rPr>
          <w:noProof/>
        </w:rPr>
        <w:t> </w:t>
      </w:r>
      <w:r w:rsidR="008B35E8" w:rsidRPr="002866E5">
        <w:rPr>
          <w:noProof/>
        </w:rPr>
        <w:t>zak</w:t>
      </w:r>
      <w:r w:rsidR="00F207F9" w:rsidRPr="002866E5">
        <w:rPr>
          <w:noProof/>
        </w:rPr>
        <w:t>resie zapewnienia takich aktualizacji zabezpieczeń.</w:t>
      </w:r>
    </w:p>
    <w:p w14:paraId="67ED86DB" w14:textId="055BEC56" w:rsidR="00447E32" w:rsidRPr="002866E5" w:rsidRDefault="00B4087C" w:rsidP="00B4087C">
      <w:pPr>
        <w:pStyle w:val="ManualNumPar1"/>
        <w:rPr>
          <w:noProof/>
        </w:rPr>
      </w:pPr>
      <w:r w:rsidRPr="00B4087C">
        <w:t>(17)</w:t>
      </w:r>
      <w:r w:rsidRPr="00B4087C">
        <w:tab/>
      </w:r>
      <w:r w:rsidR="00FB039E" w:rsidRPr="002866E5">
        <w:rPr>
          <w:noProof/>
          <w:shd w:val="clear" w:color="auto" w:fill="FFFFFF"/>
        </w:rPr>
        <w:t>Niniejsze rozporządzenie nie powinno naruszać przepisów rozporządzenia Parlamentu Europejskiego</w:t>
      </w:r>
      <w:r w:rsidR="008B35E8" w:rsidRPr="002866E5">
        <w:rPr>
          <w:noProof/>
          <w:shd w:val="clear" w:color="auto" w:fill="FFFFFF"/>
        </w:rPr>
        <w:t xml:space="preserve"> i</w:t>
      </w:r>
      <w:r w:rsidR="008B35E8">
        <w:rPr>
          <w:noProof/>
          <w:shd w:val="clear" w:color="auto" w:fill="FFFFFF"/>
        </w:rPr>
        <w:t> </w:t>
      </w:r>
      <w:r w:rsidR="008B35E8" w:rsidRPr="002866E5">
        <w:rPr>
          <w:noProof/>
          <w:shd w:val="clear" w:color="auto" w:fill="FFFFFF"/>
        </w:rPr>
        <w:t>Rad</w:t>
      </w:r>
      <w:r w:rsidR="00FB039E" w:rsidRPr="002866E5">
        <w:rPr>
          <w:noProof/>
          <w:shd w:val="clear" w:color="auto" w:fill="FFFFFF"/>
        </w:rPr>
        <w:t>y (UE) 2016/679</w:t>
      </w:r>
      <w:r w:rsidR="00FB039E" w:rsidRPr="002866E5">
        <w:rPr>
          <w:rStyle w:val="FootnoteReference"/>
          <w:noProof/>
        </w:rPr>
        <w:footnoteReference w:id="27"/>
      </w:r>
      <w:r w:rsidR="00FB039E" w:rsidRPr="002866E5">
        <w:rPr>
          <w:noProof/>
          <w:shd w:val="clear" w:color="auto" w:fill="FFFFFF"/>
        </w:rPr>
        <w:t>,</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tym</w:t>
      </w:r>
      <w:r w:rsidR="00FB039E" w:rsidRPr="002866E5">
        <w:rPr>
          <w:noProof/>
          <w:shd w:val="clear" w:color="auto" w:fill="FFFFFF"/>
        </w:rPr>
        <w:t xml:space="preserve"> przepisów dotyczących ustanawiania mechanizmów certyfikacji oraz znaków jakości</w:t>
      </w:r>
      <w:r w:rsidR="008B35E8" w:rsidRPr="002866E5">
        <w:rPr>
          <w:noProof/>
          <w:shd w:val="clear" w:color="auto" w:fill="FFFFFF"/>
        </w:rPr>
        <w:t xml:space="preserve"> i</w:t>
      </w:r>
      <w:r w:rsidR="008B35E8">
        <w:rPr>
          <w:noProof/>
          <w:shd w:val="clear" w:color="auto" w:fill="FFFFFF"/>
        </w:rPr>
        <w:t> </w:t>
      </w:r>
      <w:r w:rsidR="008B35E8" w:rsidRPr="002866E5">
        <w:rPr>
          <w:noProof/>
          <w:shd w:val="clear" w:color="auto" w:fill="FFFFFF"/>
        </w:rPr>
        <w:t>ozn</w:t>
      </w:r>
      <w:r w:rsidR="00FB039E" w:rsidRPr="002866E5">
        <w:rPr>
          <w:noProof/>
          <w:shd w:val="clear" w:color="auto" w:fill="FFFFFF"/>
        </w:rPr>
        <w:t>aczeń</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dzi</w:t>
      </w:r>
      <w:r w:rsidR="00FB039E" w:rsidRPr="002866E5">
        <w:rPr>
          <w:noProof/>
          <w:shd w:val="clear" w:color="auto" w:fill="FFFFFF"/>
        </w:rPr>
        <w:t>edzinie ochrony danych mających świadczyć</w:t>
      </w:r>
      <w:r w:rsidR="008B35E8" w:rsidRPr="002866E5">
        <w:rPr>
          <w:noProof/>
          <w:shd w:val="clear" w:color="auto" w:fill="FFFFFF"/>
        </w:rPr>
        <w:t xml:space="preserve"> o</w:t>
      </w:r>
      <w:r w:rsidR="008B35E8">
        <w:rPr>
          <w:noProof/>
          <w:shd w:val="clear" w:color="auto" w:fill="FFFFFF"/>
        </w:rPr>
        <w:t> </w:t>
      </w:r>
      <w:r w:rsidR="008B35E8" w:rsidRPr="002866E5">
        <w:rPr>
          <w:noProof/>
          <w:shd w:val="clear" w:color="auto" w:fill="FFFFFF"/>
        </w:rPr>
        <w:t>zgo</w:t>
      </w:r>
      <w:r w:rsidR="00FB039E" w:rsidRPr="002866E5">
        <w:rPr>
          <w:noProof/>
          <w:shd w:val="clear" w:color="auto" w:fill="FFFFFF"/>
        </w:rPr>
        <w:t>dności</w:t>
      </w:r>
      <w:r w:rsidR="008B35E8" w:rsidRPr="002866E5">
        <w:rPr>
          <w:noProof/>
          <w:shd w:val="clear" w:color="auto" w:fill="FFFFFF"/>
        </w:rPr>
        <w:t xml:space="preserve"> z</w:t>
      </w:r>
      <w:r w:rsidR="008B35E8">
        <w:rPr>
          <w:noProof/>
          <w:shd w:val="clear" w:color="auto" w:fill="FFFFFF"/>
        </w:rPr>
        <w:t> </w:t>
      </w:r>
      <w:r w:rsidR="008B35E8" w:rsidRPr="002866E5">
        <w:rPr>
          <w:noProof/>
          <w:shd w:val="clear" w:color="auto" w:fill="FFFFFF"/>
        </w:rPr>
        <w:t>tym</w:t>
      </w:r>
      <w:r w:rsidR="00FB039E" w:rsidRPr="002866E5">
        <w:rPr>
          <w:noProof/>
          <w:shd w:val="clear" w:color="auto" w:fill="FFFFFF"/>
        </w:rPr>
        <w:t xml:space="preserve"> </w:t>
      </w:r>
      <w:r w:rsidR="00FB039E" w:rsidRPr="002866E5">
        <w:rPr>
          <w:noProof/>
          <w:shd w:val="clear" w:color="auto" w:fill="FFFFFF"/>
        </w:rPr>
        <w:lastRenderedPageBreak/>
        <w:t>rozporządzeniem operacji przetwarzania prowadzonych przez administratorów</w:t>
      </w:r>
      <w:r w:rsidR="008B35E8" w:rsidRPr="002866E5">
        <w:rPr>
          <w:noProof/>
          <w:shd w:val="clear" w:color="auto" w:fill="FFFFFF"/>
        </w:rPr>
        <w:t xml:space="preserve"> i</w:t>
      </w:r>
      <w:r w:rsidR="008B35E8">
        <w:rPr>
          <w:noProof/>
          <w:shd w:val="clear" w:color="auto" w:fill="FFFFFF"/>
        </w:rPr>
        <w:t> </w:t>
      </w:r>
      <w:r w:rsidR="008B35E8" w:rsidRPr="002866E5">
        <w:rPr>
          <w:noProof/>
          <w:shd w:val="clear" w:color="auto" w:fill="FFFFFF"/>
        </w:rPr>
        <w:t>pod</w:t>
      </w:r>
      <w:r w:rsidR="00FB039E" w:rsidRPr="002866E5">
        <w:rPr>
          <w:noProof/>
          <w:shd w:val="clear" w:color="auto" w:fill="FFFFFF"/>
        </w:rPr>
        <w:t>mioty przetwarzające.</w:t>
      </w:r>
      <w:r w:rsidR="00932D8D">
        <w:rPr>
          <w:noProof/>
          <w:shd w:val="clear" w:color="auto" w:fill="FFFFFF"/>
        </w:rPr>
        <w:t xml:space="preserve"> </w:t>
      </w:r>
      <w:r w:rsidR="00FB039E" w:rsidRPr="002866E5">
        <w:rPr>
          <w:noProof/>
          <w:shd w:val="clear" w:color="auto" w:fill="FFFFFF"/>
        </w:rPr>
        <w:t>Takie operacje mogą być realizowane</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pro</w:t>
      </w:r>
      <w:r w:rsidR="00FB039E" w:rsidRPr="002866E5">
        <w:rPr>
          <w:noProof/>
          <w:shd w:val="clear" w:color="auto" w:fill="FFFFFF"/>
        </w:rPr>
        <w:t>duktach</w:t>
      </w:r>
      <w:r w:rsidR="008B35E8" w:rsidRPr="002866E5">
        <w:rPr>
          <w:noProof/>
          <w:shd w:val="clear" w:color="auto" w:fill="FFFFFF"/>
        </w:rPr>
        <w:t xml:space="preserve"> z</w:t>
      </w:r>
      <w:r w:rsidR="008B35E8">
        <w:rPr>
          <w:noProof/>
          <w:shd w:val="clear" w:color="auto" w:fill="FFFFFF"/>
        </w:rPr>
        <w:t> </w:t>
      </w:r>
      <w:r w:rsidR="008B35E8" w:rsidRPr="002866E5">
        <w:rPr>
          <w:noProof/>
          <w:shd w:val="clear" w:color="auto" w:fill="FFFFFF"/>
        </w:rPr>
        <w:t>ele</w:t>
      </w:r>
      <w:r w:rsidR="00FB039E" w:rsidRPr="002866E5">
        <w:rPr>
          <w:noProof/>
          <w:shd w:val="clear" w:color="auto" w:fill="FFFFFF"/>
        </w:rPr>
        <w:t>mentami cyfrowymi. Najważniejszymi elementami rozporządzenia (UE) 2016/679 są uwzględnianie ochrony danych</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faz</w:t>
      </w:r>
      <w:r w:rsidR="00FB039E" w:rsidRPr="002866E5">
        <w:rPr>
          <w:noProof/>
          <w:shd w:val="clear" w:color="auto" w:fill="FFFFFF"/>
        </w:rPr>
        <w:t>ie projektowania oraz domyślna ochrona danych, jak również ogólnie pojęte cyberbezpieczeństwo</w:t>
      </w:r>
      <w:r w:rsidR="00FB039E" w:rsidRPr="002866E5">
        <w:rPr>
          <w:noProof/>
          <w:sz w:val="27"/>
          <w:shd w:val="clear" w:color="auto" w:fill="FFFFFF"/>
        </w:rPr>
        <w:t xml:space="preserve">. </w:t>
      </w:r>
      <w:r w:rsidR="00FB039E" w:rsidRPr="002866E5">
        <w:rPr>
          <w:noProof/>
          <w:shd w:val="clear" w:color="auto" w:fill="FFFFFF"/>
        </w:rPr>
        <w:t>Dzięki zapewnieniu ochrony konsumentów</w:t>
      </w:r>
      <w:r w:rsidR="008B35E8" w:rsidRPr="002866E5">
        <w:rPr>
          <w:noProof/>
          <w:shd w:val="clear" w:color="auto" w:fill="FFFFFF"/>
        </w:rPr>
        <w:t xml:space="preserve"> i</w:t>
      </w:r>
      <w:r w:rsidR="008B35E8">
        <w:rPr>
          <w:noProof/>
          <w:shd w:val="clear" w:color="auto" w:fill="FFFFFF"/>
        </w:rPr>
        <w:t> </w:t>
      </w:r>
      <w:r w:rsidR="008B35E8" w:rsidRPr="002866E5">
        <w:rPr>
          <w:noProof/>
          <w:shd w:val="clear" w:color="auto" w:fill="FFFFFF"/>
        </w:rPr>
        <w:t>org</w:t>
      </w:r>
      <w:r w:rsidR="00FB039E" w:rsidRPr="002866E5">
        <w:rPr>
          <w:noProof/>
          <w:shd w:val="clear" w:color="auto" w:fill="FFFFFF"/>
        </w:rPr>
        <w:t>anizacji przed ryzykiem</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cyb</w:t>
      </w:r>
      <w:r w:rsidR="00FB039E" w:rsidRPr="002866E5">
        <w:rPr>
          <w:noProof/>
          <w:shd w:val="clear" w:color="auto" w:fill="FFFFFF"/>
        </w:rPr>
        <w:t>erprzestrzeni ustanowione</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nin</w:t>
      </w:r>
      <w:r w:rsidR="00FB039E" w:rsidRPr="002866E5">
        <w:rPr>
          <w:noProof/>
          <w:shd w:val="clear" w:color="auto" w:fill="FFFFFF"/>
        </w:rPr>
        <w:t xml:space="preserve">iejszym rozporządzeniu zasadnicze wymogi cyberbezpieczeństwa mają się też przyczynić do zwiększenia ochrony danych osobowych oraz prywatności osób fizycznych. </w:t>
      </w:r>
      <w:r w:rsidR="00FB039E" w:rsidRPr="002866E5">
        <w:rPr>
          <w:noProof/>
        </w:rPr>
        <w:t>Należy rozważyć możliwości synergii zarówno</w:t>
      </w:r>
      <w:r w:rsidR="008B35E8" w:rsidRPr="002866E5">
        <w:rPr>
          <w:noProof/>
        </w:rPr>
        <w:t xml:space="preserve"> w</w:t>
      </w:r>
      <w:r w:rsidR="008B35E8">
        <w:rPr>
          <w:noProof/>
        </w:rPr>
        <w:t> </w:t>
      </w:r>
      <w:r w:rsidR="008B35E8" w:rsidRPr="002866E5">
        <w:rPr>
          <w:noProof/>
        </w:rPr>
        <w:t>obs</w:t>
      </w:r>
      <w:r w:rsidR="00FB039E" w:rsidRPr="002866E5">
        <w:rPr>
          <w:noProof/>
        </w:rPr>
        <w:t xml:space="preserve">zarze </w:t>
      </w:r>
      <w:r w:rsidR="00FB039E" w:rsidRPr="002866E5">
        <w:rPr>
          <w:noProof/>
          <w:shd w:val="clear" w:color="auto" w:fill="FFFFFF"/>
        </w:rPr>
        <w:t>normalizacji, jak</w:t>
      </w:r>
      <w:r w:rsidR="008B35E8" w:rsidRPr="002866E5">
        <w:rPr>
          <w:noProof/>
          <w:shd w:val="clear" w:color="auto" w:fill="FFFFFF"/>
        </w:rPr>
        <w:t xml:space="preserve"> i</w:t>
      </w:r>
      <w:r w:rsidR="008B35E8">
        <w:rPr>
          <w:noProof/>
          <w:shd w:val="clear" w:color="auto" w:fill="FFFFFF"/>
        </w:rPr>
        <w:t> </w:t>
      </w:r>
      <w:r w:rsidR="008B35E8" w:rsidRPr="002866E5">
        <w:rPr>
          <w:noProof/>
          <w:shd w:val="clear" w:color="auto" w:fill="FFFFFF"/>
        </w:rPr>
        <w:t>cer</w:t>
      </w:r>
      <w:r w:rsidR="00FB039E" w:rsidRPr="002866E5">
        <w:rPr>
          <w:noProof/>
          <w:shd w:val="clear" w:color="auto" w:fill="FFFFFF"/>
        </w:rPr>
        <w:t>tyfikacji</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zak</w:t>
      </w:r>
      <w:r w:rsidR="00FB039E" w:rsidRPr="002866E5">
        <w:rPr>
          <w:noProof/>
          <w:shd w:val="clear" w:color="auto" w:fill="FFFFFF"/>
        </w:rPr>
        <w:t>resie aspektów cyberbezpieczeństwa</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ram</w:t>
      </w:r>
      <w:r w:rsidR="00FB039E" w:rsidRPr="002866E5">
        <w:rPr>
          <w:noProof/>
          <w:shd w:val="clear" w:color="auto" w:fill="FFFFFF"/>
        </w:rPr>
        <w:t>ach współpracy między Komisją, europejskimi organizacjami normalizacyjnymi, Agencją Unii Europejskiej ds. Cyberbezpieczeństwa, Europejską Radą Ochrony Danych ustanowioną rozporządzeniem (UE) 2016/679 oraz krajowymi organami nadzorczymi odpowiedzialnymi za ochronę danych. Należy także zapewnić synergię między niniejszym rozporządzeniem</w:t>
      </w:r>
      <w:r w:rsidR="008B35E8" w:rsidRPr="002866E5">
        <w:rPr>
          <w:noProof/>
          <w:shd w:val="clear" w:color="auto" w:fill="FFFFFF"/>
        </w:rPr>
        <w:t xml:space="preserve"> a</w:t>
      </w:r>
      <w:r w:rsidR="008B35E8">
        <w:rPr>
          <w:noProof/>
          <w:shd w:val="clear" w:color="auto" w:fill="FFFFFF"/>
        </w:rPr>
        <w:t> </w:t>
      </w:r>
      <w:r w:rsidR="008B35E8" w:rsidRPr="002866E5">
        <w:rPr>
          <w:noProof/>
          <w:shd w:val="clear" w:color="auto" w:fill="FFFFFF"/>
        </w:rPr>
        <w:t>uni</w:t>
      </w:r>
      <w:r w:rsidR="00FB039E" w:rsidRPr="002866E5">
        <w:rPr>
          <w:noProof/>
          <w:shd w:val="clear" w:color="auto" w:fill="FFFFFF"/>
        </w:rPr>
        <w:t>jnymi przepisami</w:t>
      </w:r>
      <w:r w:rsidR="008B35E8" w:rsidRPr="002866E5">
        <w:rPr>
          <w:noProof/>
          <w:shd w:val="clear" w:color="auto" w:fill="FFFFFF"/>
        </w:rPr>
        <w:t xml:space="preserve"> o</w:t>
      </w:r>
      <w:r w:rsidR="008B35E8">
        <w:rPr>
          <w:noProof/>
          <w:shd w:val="clear" w:color="auto" w:fill="FFFFFF"/>
        </w:rPr>
        <w:t> </w:t>
      </w:r>
      <w:r w:rsidR="008B35E8" w:rsidRPr="002866E5">
        <w:rPr>
          <w:noProof/>
          <w:shd w:val="clear" w:color="auto" w:fill="FFFFFF"/>
        </w:rPr>
        <w:t>och</w:t>
      </w:r>
      <w:r w:rsidR="00FB039E" w:rsidRPr="002866E5">
        <w:rPr>
          <w:noProof/>
          <w:shd w:val="clear" w:color="auto" w:fill="FFFFFF"/>
        </w:rPr>
        <w:t>ronie danych</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dzi</w:t>
      </w:r>
      <w:r w:rsidR="00FB039E" w:rsidRPr="002866E5">
        <w:rPr>
          <w:noProof/>
          <w:shd w:val="clear" w:color="auto" w:fill="FFFFFF"/>
        </w:rPr>
        <w:t>edzinie nadzoru rynku</w:t>
      </w:r>
      <w:r w:rsidR="008B35E8" w:rsidRPr="002866E5">
        <w:rPr>
          <w:noProof/>
          <w:shd w:val="clear" w:color="auto" w:fill="FFFFFF"/>
        </w:rPr>
        <w:t xml:space="preserve"> i</w:t>
      </w:r>
      <w:r w:rsidR="008B35E8">
        <w:rPr>
          <w:noProof/>
          <w:shd w:val="clear" w:color="auto" w:fill="FFFFFF"/>
        </w:rPr>
        <w:t> </w:t>
      </w:r>
      <w:r w:rsidR="008B35E8" w:rsidRPr="002866E5">
        <w:rPr>
          <w:noProof/>
          <w:shd w:val="clear" w:color="auto" w:fill="FFFFFF"/>
        </w:rPr>
        <w:t>egz</w:t>
      </w:r>
      <w:r w:rsidR="00FB039E" w:rsidRPr="002866E5">
        <w:rPr>
          <w:noProof/>
          <w:shd w:val="clear" w:color="auto" w:fill="FFFFFF"/>
        </w:rPr>
        <w:t>ekwowania przepisów</w:t>
      </w:r>
      <w:r w:rsidR="008B35E8" w:rsidRPr="002866E5">
        <w:rPr>
          <w:noProof/>
          <w:shd w:val="clear" w:color="auto" w:fill="FFFFFF"/>
        </w:rPr>
        <w:t>. W</w:t>
      </w:r>
      <w:r w:rsidR="008B35E8">
        <w:rPr>
          <w:noProof/>
          <w:shd w:val="clear" w:color="auto" w:fill="FFFFFF"/>
        </w:rPr>
        <w:t> </w:t>
      </w:r>
      <w:r w:rsidR="008B35E8" w:rsidRPr="002866E5">
        <w:rPr>
          <w:noProof/>
          <w:shd w:val="clear" w:color="auto" w:fill="FFFFFF"/>
        </w:rPr>
        <w:t>tym</w:t>
      </w:r>
      <w:r w:rsidR="00FB039E" w:rsidRPr="002866E5">
        <w:rPr>
          <w:noProof/>
          <w:shd w:val="clear" w:color="auto" w:fill="FFFFFF"/>
        </w:rPr>
        <w:t xml:space="preserve"> celu krajowe organy nadzoru rynku wyznaczone na podstawie niniejszego rozporządzenia powinny współpracować</w:t>
      </w:r>
      <w:r w:rsidR="008B35E8" w:rsidRPr="002866E5">
        <w:rPr>
          <w:noProof/>
          <w:shd w:val="clear" w:color="auto" w:fill="FFFFFF"/>
        </w:rPr>
        <w:t xml:space="preserve"> z</w:t>
      </w:r>
      <w:r w:rsidR="008B35E8">
        <w:rPr>
          <w:noProof/>
          <w:shd w:val="clear" w:color="auto" w:fill="FFFFFF"/>
        </w:rPr>
        <w:t> </w:t>
      </w:r>
      <w:r w:rsidR="008B35E8" w:rsidRPr="002866E5">
        <w:rPr>
          <w:noProof/>
        </w:rPr>
        <w:t>org</w:t>
      </w:r>
      <w:r w:rsidR="00FB039E" w:rsidRPr="002866E5">
        <w:rPr>
          <w:noProof/>
        </w:rPr>
        <w:t>anami nadzorującymi egzekwowanie unijnych przepisów</w:t>
      </w:r>
      <w:r w:rsidR="008B35E8" w:rsidRPr="002866E5">
        <w:rPr>
          <w:noProof/>
        </w:rPr>
        <w:t xml:space="preserve"> o</w:t>
      </w:r>
      <w:r w:rsidR="008B35E8">
        <w:rPr>
          <w:noProof/>
        </w:rPr>
        <w:t> </w:t>
      </w:r>
      <w:r w:rsidR="008B35E8" w:rsidRPr="002866E5">
        <w:rPr>
          <w:noProof/>
        </w:rPr>
        <w:t>och</w:t>
      </w:r>
      <w:r w:rsidR="00FB039E" w:rsidRPr="002866E5">
        <w:rPr>
          <w:noProof/>
        </w:rPr>
        <w:t>ronie danych</w:t>
      </w:r>
      <w:r w:rsidR="00FB039E" w:rsidRPr="002866E5">
        <w:rPr>
          <w:noProof/>
          <w:shd w:val="clear" w:color="auto" w:fill="FFFFFF"/>
        </w:rPr>
        <w:t>. Te ostatnie organy powinny także mieć dostęp do informacji istotnych dla realizacji ich zadań.</w:t>
      </w:r>
      <w:r w:rsidR="00FB039E" w:rsidRPr="002866E5">
        <w:rPr>
          <w:noProof/>
        </w:rPr>
        <w:t xml:space="preserve"> </w:t>
      </w:r>
    </w:p>
    <w:p w14:paraId="67ED86DC" w14:textId="2EB8DF51" w:rsidR="00B03FBA" w:rsidRPr="002866E5" w:rsidRDefault="00B4087C" w:rsidP="00B4087C">
      <w:pPr>
        <w:pStyle w:val="ManualConsidrant"/>
        <w:rPr>
          <w:noProof/>
        </w:rPr>
      </w:pPr>
      <w:r w:rsidRPr="00B4087C">
        <w:t>(18)</w:t>
      </w:r>
      <w:r w:rsidRPr="00B4087C">
        <w:tab/>
      </w:r>
      <w:r w:rsidR="002C2424" w:rsidRPr="002866E5">
        <w:rPr>
          <w:noProof/>
        </w:rPr>
        <w:t>W zakresie,</w:t>
      </w:r>
      <w:r w:rsidR="008B35E8" w:rsidRPr="002866E5">
        <w:rPr>
          <w:noProof/>
        </w:rPr>
        <w:t xml:space="preserve"> w</w:t>
      </w:r>
      <w:r w:rsidR="008B35E8">
        <w:rPr>
          <w:noProof/>
        </w:rPr>
        <w:t> </w:t>
      </w:r>
      <w:r w:rsidR="008B35E8" w:rsidRPr="002866E5">
        <w:rPr>
          <w:noProof/>
        </w:rPr>
        <w:t>jak</w:t>
      </w:r>
      <w:r w:rsidR="002C2424" w:rsidRPr="002866E5">
        <w:rPr>
          <w:noProof/>
        </w:rPr>
        <w:t>im ich produkty wchodzą</w:t>
      </w:r>
      <w:r w:rsidR="008B35E8" w:rsidRPr="002866E5">
        <w:rPr>
          <w:noProof/>
        </w:rPr>
        <w:t xml:space="preserve"> w</w:t>
      </w:r>
      <w:r w:rsidR="008B35E8">
        <w:rPr>
          <w:noProof/>
        </w:rPr>
        <w:t> </w:t>
      </w:r>
      <w:r w:rsidR="008B35E8" w:rsidRPr="002866E5">
        <w:rPr>
          <w:noProof/>
        </w:rPr>
        <w:t>zak</w:t>
      </w:r>
      <w:r w:rsidR="002C2424" w:rsidRPr="002866E5">
        <w:rPr>
          <w:noProof/>
        </w:rPr>
        <w:t xml:space="preserve">res niniejszego rozporządzenia, </w:t>
      </w:r>
      <w:r w:rsidR="002C2424" w:rsidRPr="002866E5">
        <w:rPr>
          <w:noProof/>
          <w:shd w:val="clear" w:color="auto" w:fill="FFFFFF"/>
        </w:rPr>
        <w:t>wydawcy europejskich portfeli tożsamości cyfrowej,</w:t>
      </w:r>
      <w:r w:rsidR="008B35E8" w:rsidRPr="002866E5">
        <w:rPr>
          <w:noProof/>
          <w:shd w:val="clear" w:color="auto" w:fill="FFFFFF"/>
        </w:rPr>
        <w:t xml:space="preserve"> o</w:t>
      </w:r>
      <w:r w:rsidR="008B35E8">
        <w:rPr>
          <w:noProof/>
          <w:shd w:val="clear" w:color="auto" w:fill="FFFFFF"/>
        </w:rPr>
        <w:t> </w:t>
      </w:r>
      <w:r w:rsidR="008B35E8" w:rsidRPr="002866E5">
        <w:rPr>
          <w:noProof/>
          <w:shd w:val="clear" w:color="auto" w:fill="FFFFFF"/>
        </w:rPr>
        <w:t>któ</w:t>
      </w:r>
      <w:r w:rsidR="002C2424" w:rsidRPr="002866E5">
        <w:rPr>
          <w:noProof/>
          <w:shd w:val="clear" w:color="auto" w:fill="FFFFFF"/>
        </w:rPr>
        <w:t>rych mowa</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art</w:t>
      </w:r>
      <w:r w:rsidR="002C2424" w:rsidRPr="002866E5">
        <w:rPr>
          <w:noProof/>
          <w:shd w:val="clear" w:color="auto" w:fill="FFFFFF"/>
        </w:rPr>
        <w:t>. [</w:t>
      </w:r>
      <w:r w:rsidR="002C2424" w:rsidRPr="008B35E8">
        <w:rPr>
          <w:noProof/>
          <w:shd w:val="clear" w:color="auto" w:fill="FFFFFF"/>
        </w:rPr>
        <w:t>art.</w:t>
      </w:r>
      <w:r w:rsidR="008B35E8" w:rsidRPr="008B35E8">
        <w:rPr>
          <w:noProof/>
          <w:shd w:val="clear" w:color="auto" w:fill="FFFFFF"/>
        </w:rPr>
        <w:t> </w:t>
      </w:r>
      <w:r w:rsidR="002C2424" w:rsidRPr="008B35E8">
        <w:rPr>
          <w:noProof/>
          <w:shd w:val="clear" w:color="auto" w:fill="FFFFFF"/>
        </w:rPr>
        <w:t>6</w:t>
      </w:r>
      <w:r w:rsidR="002C2424" w:rsidRPr="002866E5">
        <w:rPr>
          <w:noProof/>
          <w:shd w:val="clear" w:color="auto" w:fill="FFFFFF"/>
        </w:rPr>
        <w:t xml:space="preserve">a </w:t>
      </w:r>
      <w:r w:rsidR="002C2424" w:rsidRPr="008B35E8">
        <w:rPr>
          <w:noProof/>
          <w:shd w:val="clear" w:color="auto" w:fill="FFFFFF"/>
        </w:rPr>
        <w:t>ust.</w:t>
      </w:r>
      <w:r w:rsidR="008B35E8" w:rsidRPr="008B35E8">
        <w:rPr>
          <w:noProof/>
          <w:shd w:val="clear" w:color="auto" w:fill="FFFFFF"/>
        </w:rPr>
        <w:t> </w:t>
      </w:r>
      <w:r w:rsidR="002C2424" w:rsidRPr="008B35E8">
        <w:rPr>
          <w:noProof/>
          <w:shd w:val="clear" w:color="auto" w:fill="FFFFFF"/>
        </w:rPr>
        <w:t>2</w:t>
      </w:r>
      <w:r w:rsidR="002C2424" w:rsidRPr="002866E5">
        <w:rPr>
          <w:noProof/>
          <w:shd w:val="clear" w:color="auto" w:fill="FFFFFF"/>
        </w:rPr>
        <w:t xml:space="preserve"> rozporządzenia (UE) </w:t>
      </w:r>
      <w:r w:rsidR="002C2424" w:rsidRPr="008B35E8">
        <w:rPr>
          <w:noProof/>
          <w:shd w:val="clear" w:color="auto" w:fill="FFFFFF"/>
        </w:rPr>
        <w:t>nr</w:t>
      </w:r>
      <w:r w:rsidR="008B35E8" w:rsidRPr="008B35E8">
        <w:rPr>
          <w:noProof/>
          <w:shd w:val="clear" w:color="auto" w:fill="FFFFFF"/>
        </w:rPr>
        <w:t> </w:t>
      </w:r>
      <w:r w:rsidR="002C2424" w:rsidRPr="008B35E8">
        <w:rPr>
          <w:noProof/>
          <w:shd w:val="clear" w:color="auto" w:fill="FFFFFF"/>
        </w:rPr>
        <w:t>9</w:t>
      </w:r>
      <w:r w:rsidR="002C2424" w:rsidRPr="002866E5">
        <w:rPr>
          <w:noProof/>
          <w:shd w:val="clear" w:color="auto" w:fill="FFFFFF"/>
        </w:rPr>
        <w:t xml:space="preserve">10/2014 zmienionego przez wniosek dotyczący rozporządzenia zmieniającego rozporządzenie (UE) </w:t>
      </w:r>
      <w:r w:rsidR="002C2424" w:rsidRPr="008B35E8">
        <w:rPr>
          <w:noProof/>
          <w:shd w:val="clear" w:color="auto" w:fill="FFFFFF"/>
        </w:rPr>
        <w:t>nr</w:t>
      </w:r>
      <w:r w:rsidR="008B35E8" w:rsidRPr="008B35E8">
        <w:rPr>
          <w:noProof/>
          <w:shd w:val="clear" w:color="auto" w:fill="FFFFFF"/>
        </w:rPr>
        <w:t> </w:t>
      </w:r>
      <w:r w:rsidR="002C2424" w:rsidRPr="008B35E8">
        <w:rPr>
          <w:noProof/>
          <w:shd w:val="clear" w:color="auto" w:fill="FFFFFF"/>
        </w:rPr>
        <w:t>9</w:t>
      </w:r>
      <w:r w:rsidR="002C2424" w:rsidRPr="002866E5">
        <w:rPr>
          <w:noProof/>
          <w:shd w:val="clear" w:color="auto" w:fill="FFFFFF"/>
        </w:rPr>
        <w:t>10/2014</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odn</w:t>
      </w:r>
      <w:r w:rsidR="002C2424" w:rsidRPr="002866E5">
        <w:rPr>
          <w:noProof/>
          <w:shd w:val="clear" w:color="auto" w:fill="FFFFFF"/>
        </w:rPr>
        <w:t>iesieniu do ustanowienia europejskich ram tożsamości cyfrowej], powinni przestrzegać zarówno zasadniczych wymogów horyzontalnych ustanowionych</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nin</w:t>
      </w:r>
      <w:r w:rsidR="002C2424" w:rsidRPr="002866E5">
        <w:rPr>
          <w:noProof/>
          <w:shd w:val="clear" w:color="auto" w:fill="FFFFFF"/>
        </w:rPr>
        <w:t>iejszym rozporządzeniu, jak</w:t>
      </w:r>
      <w:r w:rsidR="008B35E8" w:rsidRPr="002866E5">
        <w:rPr>
          <w:noProof/>
          <w:shd w:val="clear" w:color="auto" w:fill="FFFFFF"/>
        </w:rPr>
        <w:t xml:space="preserve"> i</w:t>
      </w:r>
      <w:r w:rsidR="008B35E8">
        <w:rPr>
          <w:noProof/>
          <w:shd w:val="clear" w:color="auto" w:fill="FFFFFF"/>
        </w:rPr>
        <w:t> </w:t>
      </w:r>
      <w:r w:rsidR="008B35E8" w:rsidRPr="002866E5">
        <w:rPr>
          <w:noProof/>
          <w:shd w:val="clear" w:color="auto" w:fill="FFFFFF"/>
        </w:rPr>
        <w:t>szc</w:t>
      </w:r>
      <w:r w:rsidR="002C2424" w:rsidRPr="002866E5">
        <w:rPr>
          <w:noProof/>
          <w:shd w:val="clear" w:color="auto" w:fill="FFFFFF"/>
        </w:rPr>
        <w:t>zególnych wymogów bezpieczeństwa ustanowionych</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art</w:t>
      </w:r>
      <w:r w:rsidR="002C2424" w:rsidRPr="002866E5">
        <w:rPr>
          <w:noProof/>
          <w:shd w:val="clear" w:color="auto" w:fill="FFFFFF"/>
        </w:rPr>
        <w:t>. [</w:t>
      </w:r>
      <w:r w:rsidR="002C2424" w:rsidRPr="008B35E8">
        <w:rPr>
          <w:noProof/>
          <w:shd w:val="clear" w:color="auto" w:fill="FFFFFF"/>
        </w:rPr>
        <w:t>art.</w:t>
      </w:r>
      <w:r w:rsidR="008B35E8" w:rsidRPr="008B35E8">
        <w:rPr>
          <w:noProof/>
          <w:shd w:val="clear" w:color="auto" w:fill="FFFFFF"/>
        </w:rPr>
        <w:t> </w:t>
      </w:r>
      <w:r w:rsidR="002C2424" w:rsidRPr="008B35E8">
        <w:rPr>
          <w:noProof/>
          <w:shd w:val="clear" w:color="auto" w:fill="FFFFFF"/>
        </w:rPr>
        <w:t>6</w:t>
      </w:r>
      <w:r w:rsidR="002C2424" w:rsidRPr="002866E5">
        <w:rPr>
          <w:noProof/>
          <w:shd w:val="clear" w:color="auto" w:fill="FFFFFF"/>
        </w:rPr>
        <w:t xml:space="preserve">a rozporządzenia (UE) </w:t>
      </w:r>
      <w:r w:rsidR="002C2424" w:rsidRPr="008B35E8">
        <w:rPr>
          <w:noProof/>
          <w:shd w:val="clear" w:color="auto" w:fill="FFFFFF"/>
        </w:rPr>
        <w:t>nr</w:t>
      </w:r>
      <w:r w:rsidR="008B35E8" w:rsidRPr="008B35E8">
        <w:rPr>
          <w:noProof/>
          <w:shd w:val="clear" w:color="auto" w:fill="FFFFFF"/>
        </w:rPr>
        <w:t> </w:t>
      </w:r>
      <w:r w:rsidR="002C2424" w:rsidRPr="008B35E8">
        <w:rPr>
          <w:noProof/>
          <w:shd w:val="clear" w:color="auto" w:fill="FFFFFF"/>
        </w:rPr>
        <w:t>9</w:t>
      </w:r>
      <w:r w:rsidR="002C2424" w:rsidRPr="002866E5">
        <w:rPr>
          <w:noProof/>
          <w:shd w:val="clear" w:color="auto" w:fill="FFFFFF"/>
        </w:rPr>
        <w:t xml:space="preserve">10/2014 zmienionego przez wniosek dotyczący rozporządzenia zmieniającego rozporządzenie (UE) </w:t>
      </w:r>
      <w:r w:rsidR="002C2424" w:rsidRPr="008B35E8">
        <w:rPr>
          <w:noProof/>
          <w:shd w:val="clear" w:color="auto" w:fill="FFFFFF"/>
        </w:rPr>
        <w:t>nr</w:t>
      </w:r>
      <w:r w:rsidR="008B35E8" w:rsidRPr="008B35E8">
        <w:rPr>
          <w:noProof/>
          <w:shd w:val="clear" w:color="auto" w:fill="FFFFFF"/>
        </w:rPr>
        <w:t> </w:t>
      </w:r>
      <w:r w:rsidR="002C2424" w:rsidRPr="008B35E8">
        <w:rPr>
          <w:noProof/>
          <w:shd w:val="clear" w:color="auto" w:fill="FFFFFF"/>
        </w:rPr>
        <w:t>9</w:t>
      </w:r>
      <w:r w:rsidR="002C2424" w:rsidRPr="002866E5">
        <w:rPr>
          <w:noProof/>
          <w:shd w:val="clear" w:color="auto" w:fill="FFFFFF"/>
        </w:rPr>
        <w:t>10/2014</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odn</w:t>
      </w:r>
      <w:r w:rsidR="002C2424" w:rsidRPr="002866E5">
        <w:rPr>
          <w:noProof/>
          <w:shd w:val="clear" w:color="auto" w:fill="FFFFFF"/>
        </w:rPr>
        <w:t>iesieniu do ustanowienia europejskich ram tożsamości cyfrowej]</w:t>
      </w:r>
      <w:r w:rsidR="008B35E8" w:rsidRPr="002866E5">
        <w:rPr>
          <w:noProof/>
          <w:shd w:val="clear" w:color="auto" w:fill="FFFFFF"/>
        </w:rPr>
        <w:t>. W</w:t>
      </w:r>
      <w:r w:rsidR="008B35E8">
        <w:rPr>
          <w:noProof/>
          <w:shd w:val="clear" w:color="auto" w:fill="FFFFFF"/>
        </w:rPr>
        <w:t> </w:t>
      </w:r>
      <w:r w:rsidR="008B35E8" w:rsidRPr="002866E5">
        <w:rPr>
          <w:noProof/>
          <w:shd w:val="clear" w:color="auto" w:fill="FFFFFF"/>
        </w:rPr>
        <w:t>cel</w:t>
      </w:r>
      <w:r w:rsidR="002C2424" w:rsidRPr="002866E5">
        <w:rPr>
          <w:noProof/>
          <w:shd w:val="clear" w:color="auto" w:fill="FFFFFF"/>
        </w:rPr>
        <w:t>u ułatwienia zapewnienia zgodności wydawcy portfeli powinni mieć możliwość wykazania zgodności europejskich portfeli tożsamości cyfrowej</w:t>
      </w:r>
      <w:r w:rsidR="008B35E8" w:rsidRPr="002866E5">
        <w:rPr>
          <w:noProof/>
          <w:shd w:val="clear" w:color="auto" w:fill="FFFFFF"/>
        </w:rPr>
        <w:t xml:space="preserve"> z</w:t>
      </w:r>
      <w:r w:rsidR="008B35E8">
        <w:rPr>
          <w:noProof/>
          <w:shd w:val="clear" w:color="auto" w:fill="FFFFFF"/>
        </w:rPr>
        <w:t> </w:t>
      </w:r>
      <w:r w:rsidR="008B35E8" w:rsidRPr="002866E5">
        <w:rPr>
          <w:noProof/>
          <w:shd w:val="clear" w:color="auto" w:fill="FFFFFF"/>
        </w:rPr>
        <w:t>wym</w:t>
      </w:r>
      <w:r w:rsidR="002C2424" w:rsidRPr="002866E5">
        <w:rPr>
          <w:noProof/>
          <w:shd w:val="clear" w:color="auto" w:fill="FFFFFF"/>
        </w:rPr>
        <w:t>ogami określonymi odpowiednio</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obu</w:t>
      </w:r>
      <w:r w:rsidR="002C2424" w:rsidRPr="002866E5">
        <w:rPr>
          <w:noProof/>
          <w:shd w:val="clear" w:color="auto" w:fill="FFFFFF"/>
        </w:rPr>
        <w:t xml:space="preserve"> aktach przez certyfikowanie swoich produktów</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ram</w:t>
      </w:r>
      <w:r w:rsidR="002C2424" w:rsidRPr="002866E5">
        <w:rPr>
          <w:noProof/>
          <w:shd w:val="clear" w:color="auto" w:fill="FFFFFF"/>
        </w:rPr>
        <w:t>ach europejskiego programu certyfikacji cyberbezpieczeństwa ustanowionego na podstawie rozporządzenia (UE) 2019/881,</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odn</w:t>
      </w:r>
      <w:r w:rsidR="002C2424" w:rsidRPr="002866E5">
        <w:rPr>
          <w:noProof/>
          <w:shd w:val="clear" w:color="auto" w:fill="FFFFFF"/>
        </w:rPr>
        <w:t>iesieniu do którego Komisja określiła,</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dro</w:t>
      </w:r>
      <w:r w:rsidR="002C2424" w:rsidRPr="002866E5">
        <w:rPr>
          <w:noProof/>
          <w:shd w:val="clear" w:color="auto" w:fill="FFFFFF"/>
        </w:rPr>
        <w:t>dze aktu wykonawczego, domniemanie zgodności</w:t>
      </w:r>
      <w:r w:rsidR="008B35E8" w:rsidRPr="002866E5">
        <w:rPr>
          <w:noProof/>
          <w:shd w:val="clear" w:color="auto" w:fill="FFFFFF"/>
        </w:rPr>
        <w:t xml:space="preserve"> z</w:t>
      </w:r>
      <w:r w:rsidR="008B35E8">
        <w:rPr>
          <w:noProof/>
          <w:shd w:val="clear" w:color="auto" w:fill="FFFFFF"/>
        </w:rPr>
        <w:t> </w:t>
      </w:r>
      <w:r w:rsidR="008B35E8" w:rsidRPr="002866E5">
        <w:rPr>
          <w:noProof/>
          <w:shd w:val="clear" w:color="auto" w:fill="FFFFFF"/>
        </w:rPr>
        <w:t>nin</w:t>
      </w:r>
      <w:r w:rsidR="002C2424" w:rsidRPr="002866E5">
        <w:rPr>
          <w:noProof/>
          <w:shd w:val="clear" w:color="auto" w:fill="FFFFFF"/>
        </w:rPr>
        <w:t>iejszym rozporządzeniem</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zak</w:t>
      </w:r>
      <w:r w:rsidR="002C2424" w:rsidRPr="002866E5">
        <w:rPr>
          <w:noProof/>
          <w:shd w:val="clear" w:color="auto" w:fill="FFFFFF"/>
        </w:rPr>
        <w:t>resie,</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jak</w:t>
      </w:r>
      <w:r w:rsidR="002C2424" w:rsidRPr="002866E5">
        <w:rPr>
          <w:noProof/>
          <w:shd w:val="clear" w:color="auto" w:fill="FFFFFF"/>
        </w:rPr>
        <w:t>im certyfikat lub jego części obejmują te wymogi.</w:t>
      </w:r>
    </w:p>
    <w:p w14:paraId="67ED86DD" w14:textId="7EB2DC43" w:rsidR="00D030B8" w:rsidRPr="002866E5" w:rsidRDefault="00B4087C" w:rsidP="00B4087C">
      <w:pPr>
        <w:pStyle w:val="ManualConsidrant"/>
        <w:rPr>
          <w:noProof/>
        </w:rPr>
      </w:pPr>
      <w:r w:rsidRPr="00B4087C">
        <w:t>(19)</w:t>
      </w:r>
      <w:r w:rsidRPr="00B4087C">
        <w:tab/>
      </w:r>
      <w:r w:rsidR="00014045" w:rsidRPr="002866E5">
        <w:rPr>
          <w:noProof/>
          <w:shd w:val="clear" w:color="auto" w:fill="FFFFFF"/>
        </w:rPr>
        <w:t>Niektóre zadania przewidziane</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nin</w:t>
      </w:r>
      <w:r w:rsidR="00014045" w:rsidRPr="002866E5">
        <w:rPr>
          <w:noProof/>
          <w:shd w:val="clear" w:color="auto" w:fill="FFFFFF"/>
        </w:rPr>
        <w:t>iejszym rozporządzeniu powinny być wykonywane przez ENISA zgodnie</w:t>
      </w:r>
      <w:r w:rsidR="008B35E8" w:rsidRPr="002866E5">
        <w:rPr>
          <w:noProof/>
          <w:shd w:val="clear" w:color="auto" w:fill="FFFFFF"/>
        </w:rPr>
        <w:t xml:space="preserve"> z</w:t>
      </w:r>
      <w:r w:rsidR="008B35E8">
        <w:rPr>
          <w:noProof/>
          <w:shd w:val="clear" w:color="auto" w:fill="FFFFFF"/>
        </w:rPr>
        <w:t> </w:t>
      </w:r>
      <w:r w:rsidR="008B35E8" w:rsidRPr="008B35E8">
        <w:rPr>
          <w:noProof/>
          <w:shd w:val="clear" w:color="auto" w:fill="FFFFFF"/>
        </w:rPr>
        <w:t>art</w:t>
      </w:r>
      <w:r w:rsidR="00014045" w:rsidRPr="008B35E8">
        <w:rPr>
          <w:noProof/>
          <w:shd w:val="clear" w:color="auto" w:fill="FFFFFF"/>
        </w:rPr>
        <w:t>.</w:t>
      </w:r>
      <w:r w:rsidR="008B35E8" w:rsidRPr="008B35E8">
        <w:rPr>
          <w:noProof/>
          <w:shd w:val="clear" w:color="auto" w:fill="FFFFFF"/>
        </w:rPr>
        <w:t> </w:t>
      </w:r>
      <w:r w:rsidR="00014045" w:rsidRPr="008B35E8">
        <w:rPr>
          <w:noProof/>
          <w:shd w:val="clear" w:color="auto" w:fill="FFFFFF"/>
        </w:rPr>
        <w:t>3</w:t>
      </w:r>
      <w:r w:rsidR="00014045" w:rsidRPr="002866E5">
        <w:rPr>
          <w:noProof/>
          <w:shd w:val="clear" w:color="auto" w:fill="FFFFFF"/>
        </w:rPr>
        <w:t xml:space="preserve"> </w:t>
      </w:r>
      <w:r w:rsidR="00014045" w:rsidRPr="008B35E8">
        <w:rPr>
          <w:noProof/>
          <w:shd w:val="clear" w:color="auto" w:fill="FFFFFF"/>
        </w:rPr>
        <w:t>ust.</w:t>
      </w:r>
      <w:r w:rsidR="008B35E8" w:rsidRPr="008B35E8">
        <w:rPr>
          <w:noProof/>
          <w:shd w:val="clear" w:color="auto" w:fill="FFFFFF"/>
        </w:rPr>
        <w:t> </w:t>
      </w:r>
      <w:r w:rsidR="00014045" w:rsidRPr="008B35E8">
        <w:rPr>
          <w:noProof/>
          <w:shd w:val="clear" w:color="auto" w:fill="FFFFFF"/>
        </w:rPr>
        <w:t>2</w:t>
      </w:r>
      <w:r w:rsidR="00014045" w:rsidRPr="002866E5">
        <w:rPr>
          <w:noProof/>
          <w:shd w:val="clear" w:color="auto" w:fill="FFFFFF"/>
        </w:rPr>
        <w:t xml:space="preserve"> </w:t>
      </w:r>
      <w:r w:rsidR="00014045" w:rsidRPr="002866E5">
        <w:rPr>
          <w:noProof/>
        </w:rPr>
        <w:t>rozporządzenia (UE) 2019/881</w:t>
      </w:r>
      <w:r w:rsidR="008B35E8" w:rsidRPr="002866E5">
        <w:rPr>
          <w:noProof/>
          <w:shd w:val="clear" w:color="auto" w:fill="FFFFFF"/>
        </w:rPr>
        <w:t>. W</w:t>
      </w:r>
      <w:r w:rsidR="008B35E8">
        <w:rPr>
          <w:noProof/>
          <w:shd w:val="clear" w:color="auto" w:fill="FFFFFF"/>
        </w:rPr>
        <w:t> </w:t>
      </w:r>
      <w:r w:rsidR="008B35E8" w:rsidRPr="002866E5">
        <w:rPr>
          <w:noProof/>
          <w:shd w:val="clear" w:color="auto" w:fill="FFFFFF"/>
        </w:rPr>
        <w:t>szc</w:t>
      </w:r>
      <w:r w:rsidR="00014045" w:rsidRPr="002866E5">
        <w:rPr>
          <w:noProof/>
          <w:shd w:val="clear" w:color="auto" w:fill="FFFFFF"/>
        </w:rPr>
        <w:t xml:space="preserve">zególności ENISA powinna </w:t>
      </w:r>
      <w:r w:rsidR="00014045" w:rsidRPr="002866E5">
        <w:rPr>
          <w:noProof/>
        </w:rPr>
        <w:t>otrzymywać od producentów zgłoszenia aktywnie wykorzystywanych podatności zawartych</w:t>
      </w:r>
      <w:r w:rsidR="008B35E8" w:rsidRPr="002866E5">
        <w:rPr>
          <w:noProof/>
        </w:rPr>
        <w:t xml:space="preserve"> w</w:t>
      </w:r>
      <w:r w:rsidR="008B35E8">
        <w:rPr>
          <w:noProof/>
        </w:rPr>
        <w:t> </w:t>
      </w:r>
      <w:r w:rsidR="008B35E8" w:rsidRPr="002866E5">
        <w:rPr>
          <w:noProof/>
        </w:rPr>
        <w:t>pro</w:t>
      </w:r>
      <w:r w:rsidR="00014045" w:rsidRPr="002866E5">
        <w:rPr>
          <w:noProof/>
        </w:rPr>
        <w:t>duktach</w:t>
      </w:r>
      <w:r w:rsidR="008B35E8" w:rsidRPr="002866E5">
        <w:rPr>
          <w:noProof/>
        </w:rPr>
        <w:t xml:space="preserve"> z</w:t>
      </w:r>
      <w:r w:rsidR="008B35E8">
        <w:rPr>
          <w:noProof/>
        </w:rPr>
        <w:t> </w:t>
      </w:r>
      <w:r w:rsidR="008B35E8" w:rsidRPr="002866E5">
        <w:rPr>
          <w:noProof/>
        </w:rPr>
        <w:t>ele</w:t>
      </w:r>
      <w:r w:rsidR="00014045" w:rsidRPr="002866E5">
        <w:rPr>
          <w:noProof/>
        </w:rPr>
        <w:t>mentami cyfrowymi, jak również zgłoszenia incydentów wpływających na bezpieczeństwo tych produktów. ENISA powinna także przekazywać te zgłoszenia właściwym zespołom reagowania na incydenty bezpieczeństwa komputerowego (CSIRT) lub odpowiednio właściwym pojedynczym punktom kontaktowym państw członkowskich wyznaczonych zgodnie</w:t>
      </w:r>
      <w:r w:rsidR="008B35E8" w:rsidRPr="002866E5">
        <w:rPr>
          <w:noProof/>
        </w:rPr>
        <w:t xml:space="preserve"> z</w:t>
      </w:r>
      <w:r w:rsidR="008B35E8">
        <w:rPr>
          <w:noProof/>
        </w:rPr>
        <w:t> </w:t>
      </w:r>
      <w:r w:rsidR="008B35E8" w:rsidRPr="002866E5">
        <w:rPr>
          <w:noProof/>
        </w:rPr>
        <w:t>art</w:t>
      </w:r>
      <w:r w:rsidR="00014045" w:rsidRPr="002866E5">
        <w:rPr>
          <w:noProof/>
        </w:rPr>
        <w:t>. [art. X] dyrektywy [dyrektywy XXX/XXXX (NIS 2)] oraz informować właściwe organy nadzoru rynku</w:t>
      </w:r>
      <w:r w:rsidR="008B35E8" w:rsidRPr="002866E5">
        <w:rPr>
          <w:noProof/>
        </w:rPr>
        <w:t xml:space="preserve"> o</w:t>
      </w:r>
      <w:r w:rsidR="008B35E8">
        <w:rPr>
          <w:noProof/>
        </w:rPr>
        <w:t> </w:t>
      </w:r>
      <w:r w:rsidR="008B35E8" w:rsidRPr="002866E5">
        <w:rPr>
          <w:noProof/>
        </w:rPr>
        <w:t>zgł</w:t>
      </w:r>
      <w:r w:rsidR="00014045" w:rsidRPr="002866E5">
        <w:rPr>
          <w:noProof/>
        </w:rPr>
        <w:t>oszonej podatności. Na podstawie gromadzonych przez siebie informacji ENISA powinna co dwa lata przygotowywać sprawozdanie techniczne na temat pojawiających się tendencji</w:t>
      </w:r>
      <w:r w:rsidR="008B35E8" w:rsidRPr="002866E5">
        <w:rPr>
          <w:noProof/>
        </w:rPr>
        <w:t xml:space="preserve"> w</w:t>
      </w:r>
      <w:r w:rsidR="008B35E8">
        <w:rPr>
          <w:noProof/>
        </w:rPr>
        <w:t> </w:t>
      </w:r>
      <w:r w:rsidR="008B35E8" w:rsidRPr="002866E5">
        <w:rPr>
          <w:noProof/>
        </w:rPr>
        <w:t>zak</w:t>
      </w:r>
      <w:r w:rsidR="00014045" w:rsidRPr="002866E5">
        <w:rPr>
          <w:noProof/>
        </w:rPr>
        <w:t>resie ryzyka</w:t>
      </w:r>
      <w:r w:rsidR="008B35E8" w:rsidRPr="002866E5">
        <w:rPr>
          <w:noProof/>
        </w:rPr>
        <w:t xml:space="preserve"> w</w:t>
      </w:r>
      <w:r w:rsidR="008B35E8">
        <w:rPr>
          <w:noProof/>
        </w:rPr>
        <w:t> </w:t>
      </w:r>
      <w:r w:rsidR="008B35E8" w:rsidRPr="002866E5">
        <w:rPr>
          <w:noProof/>
        </w:rPr>
        <w:t>cyb</w:t>
      </w:r>
      <w:r w:rsidR="00014045" w:rsidRPr="002866E5">
        <w:rPr>
          <w:noProof/>
        </w:rPr>
        <w:t>erprzestrzeni dotyczącego produktów</w:t>
      </w:r>
      <w:r w:rsidR="008B35E8" w:rsidRPr="002866E5">
        <w:rPr>
          <w:noProof/>
        </w:rPr>
        <w:t xml:space="preserve"> z</w:t>
      </w:r>
      <w:r w:rsidR="008B35E8">
        <w:rPr>
          <w:noProof/>
        </w:rPr>
        <w:t> </w:t>
      </w:r>
      <w:r w:rsidR="008B35E8" w:rsidRPr="002866E5">
        <w:rPr>
          <w:noProof/>
        </w:rPr>
        <w:t>ele</w:t>
      </w:r>
      <w:r w:rsidR="00014045" w:rsidRPr="002866E5">
        <w:rPr>
          <w:noProof/>
        </w:rPr>
        <w:t xml:space="preserve">mentami cyfrowymi oraz przedkładać je grupie </w:t>
      </w:r>
      <w:r w:rsidR="00014045" w:rsidRPr="002866E5">
        <w:rPr>
          <w:noProof/>
        </w:rPr>
        <w:lastRenderedPageBreak/>
        <w:t>współpracy,</w:t>
      </w:r>
      <w:r w:rsidR="008B35E8" w:rsidRPr="002866E5">
        <w:rPr>
          <w:noProof/>
        </w:rPr>
        <w:t xml:space="preserve"> o</w:t>
      </w:r>
      <w:r w:rsidR="008B35E8">
        <w:rPr>
          <w:noProof/>
        </w:rPr>
        <w:t> </w:t>
      </w:r>
      <w:r w:rsidR="008B35E8" w:rsidRPr="002866E5">
        <w:rPr>
          <w:noProof/>
        </w:rPr>
        <w:t>któ</w:t>
      </w:r>
      <w:r w:rsidR="00014045" w:rsidRPr="002866E5">
        <w:rPr>
          <w:noProof/>
        </w:rPr>
        <w:t>rej mowa</w:t>
      </w:r>
      <w:r w:rsidR="008B35E8" w:rsidRPr="002866E5">
        <w:rPr>
          <w:noProof/>
        </w:rPr>
        <w:t xml:space="preserve"> w</w:t>
      </w:r>
      <w:r w:rsidR="008B35E8">
        <w:rPr>
          <w:noProof/>
        </w:rPr>
        <w:t> </w:t>
      </w:r>
      <w:r w:rsidR="008B35E8" w:rsidRPr="002866E5">
        <w:rPr>
          <w:noProof/>
        </w:rPr>
        <w:t>dyr</w:t>
      </w:r>
      <w:r w:rsidR="00014045" w:rsidRPr="002866E5">
        <w:rPr>
          <w:noProof/>
        </w:rPr>
        <w:t>ektywie [dyrektywie XXX/XXXX (NIS 2)]. Co więcej, zważywszy na jej wiedzę specjalistyczną</w:t>
      </w:r>
      <w:r w:rsidR="008B35E8" w:rsidRPr="002866E5">
        <w:rPr>
          <w:noProof/>
        </w:rPr>
        <w:t xml:space="preserve"> i</w:t>
      </w:r>
      <w:r w:rsidR="008B35E8">
        <w:rPr>
          <w:noProof/>
        </w:rPr>
        <w:t> </w:t>
      </w:r>
      <w:r w:rsidR="008B35E8" w:rsidRPr="002866E5">
        <w:rPr>
          <w:noProof/>
        </w:rPr>
        <w:t>man</w:t>
      </w:r>
      <w:r w:rsidR="00014045" w:rsidRPr="002866E5">
        <w:rPr>
          <w:noProof/>
        </w:rPr>
        <w:t>dat, ENISA powinna mieć możliwość wspierania procesu wdrażania niniejszego rozporządzenia</w:t>
      </w:r>
      <w:r w:rsidR="008B35E8" w:rsidRPr="002866E5">
        <w:rPr>
          <w:noProof/>
        </w:rPr>
        <w:t>. W</w:t>
      </w:r>
      <w:r w:rsidR="008B35E8">
        <w:rPr>
          <w:noProof/>
        </w:rPr>
        <w:t> </w:t>
      </w:r>
      <w:r w:rsidR="008B35E8" w:rsidRPr="002866E5">
        <w:rPr>
          <w:noProof/>
        </w:rPr>
        <w:t>szc</w:t>
      </w:r>
      <w:r w:rsidR="00014045" w:rsidRPr="002866E5">
        <w:rPr>
          <w:noProof/>
        </w:rPr>
        <w:t>zególności powinna mieć możliwość proponowania wspólnych działań, które miałyby być prowadzone przez organy nadzoru rynku,</w:t>
      </w:r>
      <w:r w:rsidR="008B35E8" w:rsidRPr="002866E5">
        <w:rPr>
          <w:noProof/>
        </w:rPr>
        <w:t xml:space="preserve"> w</w:t>
      </w:r>
      <w:r w:rsidR="008B35E8">
        <w:rPr>
          <w:noProof/>
        </w:rPr>
        <w:t> </w:t>
      </w:r>
      <w:r w:rsidR="008B35E8" w:rsidRPr="002866E5">
        <w:rPr>
          <w:noProof/>
        </w:rPr>
        <w:t>opa</w:t>
      </w:r>
      <w:r w:rsidR="00014045" w:rsidRPr="002866E5">
        <w:rPr>
          <w:noProof/>
        </w:rPr>
        <w:t>rciu</w:t>
      </w:r>
      <w:r w:rsidR="008B35E8" w:rsidRPr="002866E5">
        <w:rPr>
          <w:noProof/>
        </w:rPr>
        <w:t xml:space="preserve"> o</w:t>
      </w:r>
      <w:r w:rsidR="008B35E8">
        <w:rPr>
          <w:noProof/>
        </w:rPr>
        <w:t> </w:t>
      </w:r>
      <w:r w:rsidR="008B35E8" w:rsidRPr="002866E5">
        <w:rPr>
          <w:noProof/>
        </w:rPr>
        <w:t>wsk</w:t>
      </w:r>
      <w:r w:rsidR="00014045" w:rsidRPr="002866E5">
        <w:rPr>
          <w:noProof/>
        </w:rPr>
        <w:t>azania lub informacje dotyczące potencjalnej niezgodności</w:t>
      </w:r>
      <w:r w:rsidR="008B35E8" w:rsidRPr="002866E5">
        <w:rPr>
          <w:noProof/>
        </w:rPr>
        <w:t xml:space="preserve"> z</w:t>
      </w:r>
      <w:r w:rsidR="008B35E8">
        <w:rPr>
          <w:noProof/>
        </w:rPr>
        <w:t> </w:t>
      </w:r>
      <w:r w:rsidR="008B35E8" w:rsidRPr="002866E5">
        <w:rPr>
          <w:noProof/>
        </w:rPr>
        <w:t>nin</w:t>
      </w:r>
      <w:r w:rsidR="00014045" w:rsidRPr="002866E5">
        <w:rPr>
          <w:noProof/>
        </w:rPr>
        <w:t>iejszym rozporządzeniem produktów</w:t>
      </w:r>
      <w:r w:rsidR="008B35E8" w:rsidRPr="002866E5">
        <w:rPr>
          <w:noProof/>
        </w:rPr>
        <w:t xml:space="preserve"> z</w:t>
      </w:r>
      <w:r w:rsidR="008B35E8">
        <w:rPr>
          <w:noProof/>
        </w:rPr>
        <w:t> </w:t>
      </w:r>
      <w:r w:rsidR="008B35E8" w:rsidRPr="002866E5">
        <w:rPr>
          <w:noProof/>
        </w:rPr>
        <w:t>ele</w:t>
      </w:r>
      <w:r w:rsidR="00014045" w:rsidRPr="002866E5">
        <w:rPr>
          <w:noProof/>
        </w:rPr>
        <w:t>mentami cyfrowymi</w:t>
      </w:r>
      <w:r w:rsidR="008B35E8" w:rsidRPr="002866E5">
        <w:rPr>
          <w:noProof/>
        </w:rPr>
        <w:t xml:space="preserve"> w</w:t>
      </w:r>
      <w:r w:rsidR="008B35E8">
        <w:rPr>
          <w:noProof/>
        </w:rPr>
        <w:t> </w:t>
      </w:r>
      <w:r w:rsidR="008B35E8" w:rsidRPr="002866E5">
        <w:rPr>
          <w:noProof/>
        </w:rPr>
        <w:t>kil</w:t>
      </w:r>
      <w:r w:rsidR="00014045" w:rsidRPr="002866E5">
        <w:rPr>
          <w:noProof/>
        </w:rPr>
        <w:t>ku państwach członkowskich lub wskazywania kategorii produktów,</w:t>
      </w:r>
      <w:r w:rsidR="008B35E8" w:rsidRPr="002866E5">
        <w:rPr>
          <w:noProof/>
        </w:rPr>
        <w:t xml:space="preserve"> w</w:t>
      </w:r>
      <w:r w:rsidR="008B35E8">
        <w:rPr>
          <w:noProof/>
        </w:rPr>
        <w:t> </w:t>
      </w:r>
      <w:r w:rsidR="008B35E8" w:rsidRPr="002866E5">
        <w:rPr>
          <w:noProof/>
        </w:rPr>
        <w:t>odn</w:t>
      </w:r>
      <w:r w:rsidR="00014045" w:rsidRPr="002866E5">
        <w:rPr>
          <w:noProof/>
        </w:rPr>
        <w:t>iesieniu do których należy zorganizować równoczesne skoordynowane działania kontrolne</w:t>
      </w:r>
      <w:r w:rsidR="008B35E8" w:rsidRPr="002866E5">
        <w:rPr>
          <w:noProof/>
        </w:rPr>
        <w:t>. W</w:t>
      </w:r>
      <w:r w:rsidR="008B35E8">
        <w:rPr>
          <w:noProof/>
        </w:rPr>
        <w:t> </w:t>
      </w:r>
      <w:r w:rsidR="008B35E8" w:rsidRPr="002866E5">
        <w:rPr>
          <w:noProof/>
        </w:rPr>
        <w:t>wyj</w:t>
      </w:r>
      <w:r w:rsidR="00014045" w:rsidRPr="002866E5">
        <w:rPr>
          <w:noProof/>
        </w:rPr>
        <w:t>ątkowych okolicznościach, na wniosek Komisji, ENISA powinna mieć możliwość przeprowadzania ocen</w:t>
      </w:r>
      <w:r w:rsidR="008B35E8" w:rsidRPr="002866E5">
        <w:rPr>
          <w:noProof/>
        </w:rPr>
        <w:t xml:space="preserve"> w</w:t>
      </w:r>
      <w:r w:rsidR="008B35E8">
        <w:rPr>
          <w:noProof/>
        </w:rPr>
        <w:t> </w:t>
      </w:r>
      <w:r w:rsidR="008B35E8" w:rsidRPr="002866E5">
        <w:rPr>
          <w:noProof/>
        </w:rPr>
        <w:t>odn</w:t>
      </w:r>
      <w:r w:rsidR="00014045" w:rsidRPr="002866E5">
        <w:rPr>
          <w:noProof/>
        </w:rPr>
        <w:t>iesieniu do określonych produktów</w:t>
      </w:r>
      <w:r w:rsidR="008B35E8" w:rsidRPr="002866E5">
        <w:rPr>
          <w:noProof/>
        </w:rPr>
        <w:t xml:space="preserve"> z</w:t>
      </w:r>
      <w:r w:rsidR="008B35E8">
        <w:rPr>
          <w:noProof/>
        </w:rPr>
        <w:t> </w:t>
      </w:r>
      <w:r w:rsidR="008B35E8" w:rsidRPr="002866E5">
        <w:rPr>
          <w:noProof/>
        </w:rPr>
        <w:t>ele</w:t>
      </w:r>
      <w:r w:rsidR="00014045" w:rsidRPr="002866E5">
        <w:rPr>
          <w:noProof/>
        </w:rPr>
        <w:t>mentami cyfrowymi, które stwarzają istotne ryzyko</w:t>
      </w:r>
      <w:r w:rsidR="008B35E8" w:rsidRPr="002866E5">
        <w:rPr>
          <w:noProof/>
        </w:rPr>
        <w:t xml:space="preserve"> w</w:t>
      </w:r>
      <w:r w:rsidR="008B35E8">
        <w:rPr>
          <w:noProof/>
        </w:rPr>
        <w:t> </w:t>
      </w:r>
      <w:r w:rsidR="008B35E8" w:rsidRPr="002866E5">
        <w:rPr>
          <w:noProof/>
        </w:rPr>
        <w:t>cyb</w:t>
      </w:r>
      <w:r w:rsidR="00014045" w:rsidRPr="002866E5">
        <w:rPr>
          <w:noProof/>
        </w:rPr>
        <w:t>erprzestrzeni,</w:t>
      </w:r>
      <w:r w:rsidR="008B35E8" w:rsidRPr="002866E5">
        <w:rPr>
          <w:noProof/>
        </w:rPr>
        <w:t xml:space="preserve"> w</w:t>
      </w:r>
      <w:r w:rsidR="008B35E8">
        <w:rPr>
          <w:noProof/>
        </w:rPr>
        <w:t> </w:t>
      </w:r>
      <w:r w:rsidR="008B35E8" w:rsidRPr="002866E5">
        <w:rPr>
          <w:noProof/>
        </w:rPr>
        <w:t>prz</w:t>
      </w:r>
      <w:r w:rsidR="00014045" w:rsidRPr="002866E5">
        <w:rPr>
          <w:noProof/>
        </w:rPr>
        <w:t xml:space="preserve">ypadku gdy natychmiastowa interwencja jest niezbędna do utrzymania prawidłowego funkcjonowania rynku wewnętrznego. </w:t>
      </w:r>
    </w:p>
    <w:p w14:paraId="67ED86DE" w14:textId="0AD73FAF" w:rsidR="00A93984" w:rsidRPr="002866E5" w:rsidRDefault="00B4087C" w:rsidP="00B4087C">
      <w:pPr>
        <w:pStyle w:val="ManualConsidrant"/>
        <w:rPr>
          <w:noProof/>
        </w:rPr>
      </w:pPr>
      <w:r w:rsidRPr="00B4087C">
        <w:t>(20)</w:t>
      </w:r>
      <w:r w:rsidRPr="00B4087C">
        <w:tab/>
      </w:r>
      <w:r w:rsidR="004528C3" w:rsidRPr="002866E5">
        <w:rPr>
          <w:noProof/>
        </w:rPr>
        <w:t>Produkty</w:t>
      </w:r>
      <w:r w:rsidR="008B35E8" w:rsidRPr="002866E5">
        <w:rPr>
          <w:noProof/>
        </w:rPr>
        <w:t xml:space="preserve"> z</w:t>
      </w:r>
      <w:r w:rsidR="008B35E8">
        <w:rPr>
          <w:noProof/>
        </w:rPr>
        <w:t> </w:t>
      </w:r>
      <w:r w:rsidR="008B35E8" w:rsidRPr="002866E5">
        <w:rPr>
          <w:noProof/>
        </w:rPr>
        <w:t>ele</w:t>
      </w:r>
      <w:r w:rsidR="004528C3" w:rsidRPr="002866E5">
        <w:rPr>
          <w:noProof/>
        </w:rPr>
        <w:t>mentami cyfrowymi powinny posiadać oznakowanie CE świadczące</w:t>
      </w:r>
      <w:r w:rsidR="008B35E8" w:rsidRPr="002866E5">
        <w:rPr>
          <w:noProof/>
        </w:rPr>
        <w:t xml:space="preserve"> o</w:t>
      </w:r>
      <w:r w:rsidR="008B35E8">
        <w:rPr>
          <w:noProof/>
        </w:rPr>
        <w:t> </w:t>
      </w:r>
      <w:r w:rsidR="008B35E8" w:rsidRPr="002866E5">
        <w:rPr>
          <w:noProof/>
        </w:rPr>
        <w:t>ich</w:t>
      </w:r>
      <w:r w:rsidR="004528C3" w:rsidRPr="002866E5">
        <w:rPr>
          <w:noProof/>
        </w:rPr>
        <w:t xml:space="preserve"> zgodności</w:t>
      </w:r>
      <w:r w:rsidR="008B35E8" w:rsidRPr="002866E5">
        <w:rPr>
          <w:noProof/>
        </w:rPr>
        <w:t xml:space="preserve"> z</w:t>
      </w:r>
      <w:r w:rsidR="008B35E8">
        <w:rPr>
          <w:noProof/>
        </w:rPr>
        <w:t> </w:t>
      </w:r>
      <w:r w:rsidR="008B35E8" w:rsidRPr="002866E5">
        <w:rPr>
          <w:noProof/>
        </w:rPr>
        <w:t>nin</w:t>
      </w:r>
      <w:r w:rsidR="004528C3" w:rsidRPr="002866E5">
        <w:rPr>
          <w:noProof/>
        </w:rPr>
        <w:t>iejszym rozporządzeniem, aby umożliwić ich swobodny przepływ na rynku wewnętrznym. Państwa członkowskie nie powinny stwarzać nieuzasadnionych przeszkód dla wprowadzania do obrotu produktów</w:t>
      </w:r>
      <w:r w:rsidR="008B35E8" w:rsidRPr="002866E5">
        <w:rPr>
          <w:noProof/>
        </w:rPr>
        <w:t xml:space="preserve"> z</w:t>
      </w:r>
      <w:r w:rsidR="008B35E8">
        <w:rPr>
          <w:noProof/>
        </w:rPr>
        <w:t> </w:t>
      </w:r>
      <w:r w:rsidR="008B35E8" w:rsidRPr="002866E5">
        <w:rPr>
          <w:noProof/>
        </w:rPr>
        <w:t>ele</w:t>
      </w:r>
      <w:r w:rsidR="004528C3" w:rsidRPr="002866E5">
        <w:rPr>
          <w:noProof/>
        </w:rPr>
        <w:t>mentami cyfrowymi zgodnych</w:t>
      </w:r>
      <w:r w:rsidR="008B35E8" w:rsidRPr="002866E5">
        <w:rPr>
          <w:noProof/>
        </w:rPr>
        <w:t xml:space="preserve"> z</w:t>
      </w:r>
      <w:r w:rsidR="008B35E8">
        <w:rPr>
          <w:noProof/>
        </w:rPr>
        <w:t> </w:t>
      </w:r>
      <w:r w:rsidR="008B35E8" w:rsidRPr="002866E5">
        <w:rPr>
          <w:noProof/>
        </w:rPr>
        <w:t>wym</w:t>
      </w:r>
      <w:r w:rsidR="004528C3" w:rsidRPr="002866E5">
        <w:rPr>
          <w:noProof/>
        </w:rPr>
        <w:t>ogami określonymi</w:t>
      </w:r>
      <w:r w:rsidR="008B35E8" w:rsidRPr="002866E5">
        <w:rPr>
          <w:noProof/>
        </w:rPr>
        <w:t xml:space="preserve"> w</w:t>
      </w:r>
      <w:r w:rsidR="008B35E8">
        <w:rPr>
          <w:noProof/>
        </w:rPr>
        <w:t> </w:t>
      </w:r>
      <w:r w:rsidR="008B35E8" w:rsidRPr="002866E5">
        <w:rPr>
          <w:noProof/>
        </w:rPr>
        <w:t>nin</w:t>
      </w:r>
      <w:r w:rsidR="004528C3" w:rsidRPr="002866E5">
        <w:rPr>
          <w:noProof/>
        </w:rPr>
        <w:t>iejszym rozporządzeniu</w:t>
      </w:r>
      <w:r w:rsidR="008B35E8" w:rsidRPr="002866E5">
        <w:rPr>
          <w:noProof/>
        </w:rPr>
        <w:t xml:space="preserve"> i</w:t>
      </w:r>
      <w:r w:rsidR="008B35E8">
        <w:rPr>
          <w:noProof/>
        </w:rPr>
        <w:t> </w:t>
      </w:r>
      <w:r w:rsidR="008B35E8" w:rsidRPr="002866E5">
        <w:rPr>
          <w:noProof/>
        </w:rPr>
        <w:t>pos</w:t>
      </w:r>
      <w:r w:rsidR="004528C3" w:rsidRPr="002866E5">
        <w:rPr>
          <w:noProof/>
        </w:rPr>
        <w:t>iadających oznakowanie CE.</w:t>
      </w:r>
    </w:p>
    <w:p w14:paraId="67ED86DF" w14:textId="4A250FAD" w:rsidR="00075AC8" w:rsidRPr="002866E5" w:rsidRDefault="00B4087C" w:rsidP="00B4087C">
      <w:pPr>
        <w:pStyle w:val="ManualConsidrant"/>
        <w:rPr>
          <w:noProof/>
        </w:rPr>
      </w:pPr>
      <w:r w:rsidRPr="00B4087C">
        <w:t>(21)</w:t>
      </w:r>
      <w:r w:rsidRPr="00B4087C">
        <w:tab/>
      </w:r>
      <w:r w:rsidR="00C36FB1" w:rsidRPr="002866E5">
        <w:rPr>
          <w:noProof/>
        </w:rPr>
        <w:t xml:space="preserve">Aby zapewnić producentom możliwość wydawania oprogramowania do celów testowania przed poddaniem produktów ocenie zgodności, państwa członkowskie nie powinny uniemożliwiać udostępniania nieukończonego oprogramowania, takiego jak wersje alfa, wersje beta lub kandydaci do wydania (ang. </w:t>
      </w:r>
      <w:r w:rsidR="00C36FB1" w:rsidRPr="002866E5">
        <w:rPr>
          <w:i/>
          <w:iCs/>
          <w:noProof/>
        </w:rPr>
        <w:t>release candidate</w:t>
      </w:r>
      <w:r w:rsidR="00C36FB1" w:rsidRPr="002866E5">
        <w:rPr>
          <w:noProof/>
        </w:rPr>
        <w:t>),</w:t>
      </w:r>
      <w:r w:rsidR="008B35E8" w:rsidRPr="002866E5">
        <w:rPr>
          <w:noProof/>
        </w:rPr>
        <w:t xml:space="preserve"> o</w:t>
      </w:r>
      <w:r w:rsidR="008B35E8">
        <w:rPr>
          <w:noProof/>
        </w:rPr>
        <w:t> </w:t>
      </w:r>
      <w:r w:rsidR="008B35E8" w:rsidRPr="002866E5">
        <w:rPr>
          <w:noProof/>
        </w:rPr>
        <w:t>ile</w:t>
      </w:r>
      <w:r w:rsidR="00C36FB1" w:rsidRPr="002866E5">
        <w:rPr>
          <w:noProof/>
        </w:rPr>
        <w:t xml:space="preserve"> dana wersja jest udostępniana wyłącznie na okres niezbędny do jej przetestowania</w:t>
      </w:r>
      <w:r w:rsidR="008B35E8" w:rsidRPr="002866E5">
        <w:rPr>
          <w:noProof/>
        </w:rPr>
        <w:t xml:space="preserve"> i</w:t>
      </w:r>
      <w:r w:rsidR="008B35E8">
        <w:rPr>
          <w:noProof/>
        </w:rPr>
        <w:t> </w:t>
      </w:r>
      <w:r w:rsidR="008B35E8" w:rsidRPr="002866E5">
        <w:rPr>
          <w:noProof/>
        </w:rPr>
        <w:t>uzy</w:t>
      </w:r>
      <w:r w:rsidR="00C36FB1" w:rsidRPr="002866E5">
        <w:rPr>
          <w:noProof/>
        </w:rPr>
        <w:t>skania informacji zwrotnych. Producenci powinni zagwarantować, że oprogramowanie udostępniane na tych warunkach będzie wydawane dopiero po przeprowadzeniu oceny ryzyka oraz że będzie ono zgodne,</w:t>
      </w:r>
      <w:r w:rsidR="008B35E8" w:rsidRPr="002866E5">
        <w:rPr>
          <w:noProof/>
        </w:rPr>
        <w:t xml:space="preserve"> w</w:t>
      </w:r>
      <w:r w:rsidR="008B35E8">
        <w:rPr>
          <w:noProof/>
        </w:rPr>
        <w:t> </w:t>
      </w:r>
      <w:r w:rsidR="008B35E8" w:rsidRPr="002866E5">
        <w:rPr>
          <w:noProof/>
        </w:rPr>
        <w:t>moż</w:t>
      </w:r>
      <w:r w:rsidR="00C36FB1" w:rsidRPr="002866E5">
        <w:rPr>
          <w:noProof/>
        </w:rPr>
        <w:t>liwie jak najszerszym zakresie,</w:t>
      </w:r>
      <w:r w:rsidR="008B35E8" w:rsidRPr="002866E5">
        <w:rPr>
          <w:noProof/>
        </w:rPr>
        <w:t xml:space="preserve"> z</w:t>
      </w:r>
      <w:r w:rsidR="008B35E8">
        <w:rPr>
          <w:noProof/>
        </w:rPr>
        <w:t> </w:t>
      </w:r>
      <w:r w:rsidR="008B35E8" w:rsidRPr="002866E5">
        <w:rPr>
          <w:noProof/>
        </w:rPr>
        <w:t>wym</w:t>
      </w:r>
      <w:r w:rsidR="00C36FB1" w:rsidRPr="002866E5">
        <w:rPr>
          <w:noProof/>
        </w:rPr>
        <w:t>ogami bezpieczeństwa dotyczącymi właściwości produktów</w:t>
      </w:r>
      <w:r w:rsidR="008B35E8" w:rsidRPr="002866E5">
        <w:rPr>
          <w:noProof/>
        </w:rPr>
        <w:t xml:space="preserve"> z</w:t>
      </w:r>
      <w:r w:rsidR="008B35E8">
        <w:rPr>
          <w:noProof/>
        </w:rPr>
        <w:t> </w:t>
      </w:r>
      <w:r w:rsidR="008B35E8" w:rsidRPr="002866E5">
        <w:rPr>
          <w:noProof/>
        </w:rPr>
        <w:t>ele</w:t>
      </w:r>
      <w:r w:rsidR="00C36FB1" w:rsidRPr="002866E5">
        <w:rPr>
          <w:noProof/>
        </w:rPr>
        <w:t>mentami cyfrowymi nałożonymi</w:t>
      </w:r>
      <w:r w:rsidR="008B35E8" w:rsidRPr="002866E5">
        <w:rPr>
          <w:noProof/>
        </w:rPr>
        <w:t xml:space="preserve"> w</w:t>
      </w:r>
      <w:r w:rsidR="008B35E8">
        <w:rPr>
          <w:noProof/>
        </w:rPr>
        <w:t> </w:t>
      </w:r>
      <w:r w:rsidR="008B35E8" w:rsidRPr="002866E5">
        <w:rPr>
          <w:noProof/>
        </w:rPr>
        <w:t>nin</w:t>
      </w:r>
      <w:r w:rsidR="00C36FB1" w:rsidRPr="002866E5">
        <w:rPr>
          <w:noProof/>
        </w:rPr>
        <w:t>iejszym rozporządzeniu. Producenci powinni także</w:t>
      </w:r>
      <w:r w:rsidR="008B35E8" w:rsidRPr="002866E5">
        <w:rPr>
          <w:noProof/>
        </w:rPr>
        <w:t xml:space="preserve"> w</w:t>
      </w:r>
      <w:r w:rsidR="008B35E8">
        <w:rPr>
          <w:noProof/>
        </w:rPr>
        <w:t> </w:t>
      </w:r>
      <w:r w:rsidR="008B35E8" w:rsidRPr="002866E5">
        <w:rPr>
          <w:noProof/>
        </w:rPr>
        <w:t>moż</w:t>
      </w:r>
      <w:r w:rsidR="00C36FB1" w:rsidRPr="002866E5">
        <w:rPr>
          <w:noProof/>
        </w:rPr>
        <w:t>liwie jak najszerszym zakresie wdrożyć wymogi dotyczące postępowania</w:t>
      </w:r>
      <w:r w:rsidR="008B35E8" w:rsidRPr="002866E5">
        <w:rPr>
          <w:noProof/>
        </w:rPr>
        <w:t xml:space="preserve"> w</w:t>
      </w:r>
      <w:r w:rsidR="008B35E8">
        <w:rPr>
          <w:noProof/>
        </w:rPr>
        <w:t> </w:t>
      </w:r>
      <w:r w:rsidR="008B35E8" w:rsidRPr="002866E5">
        <w:rPr>
          <w:noProof/>
        </w:rPr>
        <w:t>prz</w:t>
      </w:r>
      <w:r w:rsidR="00C36FB1" w:rsidRPr="002866E5">
        <w:rPr>
          <w:noProof/>
        </w:rPr>
        <w:t>ypadku wykrycia podatności. Producenci nie powinni zmuszać użytkowników do aktualizacji do wersji, które wydano wyłącznie do celów testowania.</w:t>
      </w:r>
    </w:p>
    <w:p w14:paraId="67ED86E0" w14:textId="21B2243D" w:rsidR="00590F0B" w:rsidRPr="002866E5" w:rsidRDefault="00B4087C" w:rsidP="00B4087C">
      <w:pPr>
        <w:pStyle w:val="ManualConsidrant"/>
        <w:rPr>
          <w:noProof/>
        </w:rPr>
      </w:pPr>
      <w:r w:rsidRPr="00B4087C">
        <w:t>(22)</w:t>
      </w:r>
      <w:r w:rsidRPr="00B4087C">
        <w:tab/>
      </w:r>
      <w:r w:rsidR="00963EB9" w:rsidRPr="002866E5">
        <w:rPr>
          <w:noProof/>
        </w:rPr>
        <w:t>W celu zapewnienia, aby produkty</w:t>
      </w:r>
      <w:r w:rsidR="008B35E8" w:rsidRPr="002866E5">
        <w:rPr>
          <w:noProof/>
        </w:rPr>
        <w:t xml:space="preserve"> z</w:t>
      </w:r>
      <w:r w:rsidR="008B35E8">
        <w:rPr>
          <w:noProof/>
        </w:rPr>
        <w:t> </w:t>
      </w:r>
      <w:r w:rsidR="008B35E8" w:rsidRPr="002866E5">
        <w:rPr>
          <w:noProof/>
        </w:rPr>
        <w:t>ele</w:t>
      </w:r>
      <w:r w:rsidR="00963EB9" w:rsidRPr="002866E5">
        <w:rPr>
          <w:noProof/>
        </w:rPr>
        <w:t>mentami cyfrowymi po wprowadzeniu ich do obrotu nie stwarzały ryzyka</w:t>
      </w:r>
      <w:r w:rsidR="008B35E8" w:rsidRPr="002866E5">
        <w:rPr>
          <w:noProof/>
        </w:rPr>
        <w:t xml:space="preserve"> w</w:t>
      </w:r>
      <w:r w:rsidR="008B35E8">
        <w:rPr>
          <w:noProof/>
        </w:rPr>
        <w:t> </w:t>
      </w:r>
      <w:r w:rsidR="008B35E8" w:rsidRPr="002866E5">
        <w:rPr>
          <w:noProof/>
        </w:rPr>
        <w:t>cyb</w:t>
      </w:r>
      <w:r w:rsidR="00963EB9" w:rsidRPr="002866E5">
        <w:rPr>
          <w:noProof/>
        </w:rPr>
        <w:t>erprzestrzeni dla osób</w:t>
      </w:r>
      <w:r w:rsidR="008B35E8" w:rsidRPr="002866E5">
        <w:rPr>
          <w:noProof/>
        </w:rPr>
        <w:t xml:space="preserve"> i</w:t>
      </w:r>
      <w:r w:rsidR="008B35E8">
        <w:rPr>
          <w:noProof/>
        </w:rPr>
        <w:t> </w:t>
      </w:r>
      <w:r w:rsidR="008B35E8" w:rsidRPr="002866E5">
        <w:rPr>
          <w:noProof/>
        </w:rPr>
        <w:t>org</w:t>
      </w:r>
      <w:r w:rsidR="00963EB9" w:rsidRPr="002866E5">
        <w:rPr>
          <w:noProof/>
        </w:rPr>
        <w:t>anizacji, należy określić zasadnicze wymogi dotyczące takich produktów. Jeżeli takie produkty są następnie modyfikowane za pomocą środków fizycznych lub cyfrowych</w:t>
      </w:r>
      <w:r w:rsidR="008B35E8" w:rsidRPr="002866E5">
        <w:rPr>
          <w:noProof/>
        </w:rPr>
        <w:t xml:space="preserve"> w</w:t>
      </w:r>
      <w:r w:rsidR="008B35E8">
        <w:rPr>
          <w:noProof/>
        </w:rPr>
        <w:t> </w:t>
      </w:r>
      <w:r w:rsidR="008B35E8" w:rsidRPr="002866E5">
        <w:rPr>
          <w:noProof/>
        </w:rPr>
        <w:t>spo</w:t>
      </w:r>
      <w:r w:rsidR="00963EB9" w:rsidRPr="002866E5">
        <w:rPr>
          <w:noProof/>
        </w:rPr>
        <w:t>sób nieprzewidziany przez producenta</w:t>
      </w:r>
      <w:r w:rsidR="008B35E8" w:rsidRPr="002866E5">
        <w:rPr>
          <w:noProof/>
        </w:rPr>
        <w:t xml:space="preserve"> i</w:t>
      </w:r>
      <w:r w:rsidR="008B35E8">
        <w:rPr>
          <w:noProof/>
        </w:rPr>
        <w:t> </w:t>
      </w:r>
      <w:r w:rsidR="008B35E8" w:rsidRPr="002866E5">
        <w:rPr>
          <w:noProof/>
        </w:rPr>
        <w:t>mog</w:t>
      </w:r>
      <w:r w:rsidR="00963EB9" w:rsidRPr="002866E5">
        <w:rPr>
          <w:noProof/>
        </w:rPr>
        <w:t>ący oznaczać, że nie spełniają one już odpowiednich zasadniczych wymogów, taką modyfikację należy uznać za istotną. Na przykład aktualizacje lub naprawy oprogramowania można uznać za operacje</w:t>
      </w:r>
      <w:r w:rsidR="008B35E8" w:rsidRPr="002866E5">
        <w:rPr>
          <w:noProof/>
        </w:rPr>
        <w:t xml:space="preserve"> w</w:t>
      </w:r>
      <w:r w:rsidR="008B35E8">
        <w:rPr>
          <w:noProof/>
        </w:rPr>
        <w:t> </w:t>
      </w:r>
      <w:r w:rsidR="008B35E8" w:rsidRPr="002866E5">
        <w:rPr>
          <w:noProof/>
        </w:rPr>
        <w:t>zak</w:t>
      </w:r>
      <w:r w:rsidR="00963EB9" w:rsidRPr="002866E5">
        <w:rPr>
          <w:noProof/>
        </w:rPr>
        <w:t>resie utrzymania pod warunkiem, że nie modyfikują one produktu już wprowadzonego do obrotu</w:t>
      </w:r>
      <w:r w:rsidR="008B35E8" w:rsidRPr="002866E5">
        <w:rPr>
          <w:noProof/>
        </w:rPr>
        <w:t xml:space="preserve"> w</w:t>
      </w:r>
      <w:r w:rsidR="008B35E8">
        <w:rPr>
          <w:noProof/>
        </w:rPr>
        <w:t> </w:t>
      </w:r>
      <w:r w:rsidR="008B35E8" w:rsidRPr="002866E5">
        <w:rPr>
          <w:noProof/>
        </w:rPr>
        <w:t>spo</w:t>
      </w:r>
      <w:r w:rsidR="00963EB9" w:rsidRPr="002866E5">
        <w:rPr>
          <w:noProof/>
        </w:rPr>
        <w:t>sób, który może wpływać na jego zgodność</w:t>
      </w:r>
      <w:r w:rsidR="008B35E8" w:rsidRPr="002866E5">
        <w:rPr>
          <w:noProof/>
        </w:rPr>
        <w:t xml:space="preserve"> z</w:t>
      </w:r>
      <w:r w:rsidR="008B35E8">
        <w:rPr>
          <w:noProof/>
        </w:rPr>
        <w:t> </w:t>
      </w:r>
      <w:r w:rsidR="008B35E8" w:rsidRPr="002866E5">
        <w:rPr>
          <w:noProof/>
        </w:rPr>
        <w:t>obo</w:t>
      </w:r>
      <w:r w:rsidR="00963EB9" w:rsidRPr="002866E5">
        <w:rPr>
          <w:noProof/>
        </w:rPr>
        <w:t>wiązującymi wymogami lub zmienić przeznaczenie, pod kątem którego dokonano oceny produktu. Podobnie jak</w:t>
      </w:r>
      <w:r w:rsidR="008B35E8" w:rsidRPr="002866E5">
        <w:rPr>
          <w:noProof/>
        </w:rPr>
        <w:t xml:space="preserve"> w</w:t>
      </w:r>
      <w:r w:rsidR="008B35E8">
        <w:rPr>
          <w:noProof/>
        </w:rPr>
        <w:t> </w:t>
      </w:r>
      <w:r w:rsidR="008B35E8" w:rsidRPr="002866E5">
        <w:rPr>
          <w:noProof/>
        </w:rPr>
        <w:t>prz</w:t>
      </w:r>
      <w:r w:rsidR="00963EB9" w:rsidRPr="002866E5">
        <w:rPr>
          <w:noProof/>
        </w:rPr>
        <w:t>ypadku fizycznych napraw lub modyfikacji produkt</w:t>
      </w:r>
      <w:r w:rsidR="008B35E8" w:rsidRPr="002866E5">
        <w:rPr>
          <w:noProof/>
        </w:rPr>
        <w:t xml:space="preserve"> z</w:t>
      </w:r>
      <w:r w:rsidR="008B35E8">
        <w:rPr>
          <w:noProof/>
        </w:rPr>
        <w:t> </w:t>
      </w:r>
      <w:r w:rsidR="008B35E8" w:rsidRPr="002866E5">
        <w:rPr>
          <w:noProof/>
        </w:rPr>
        <w:t>ele</w:t>
      </w:r>
      <w:r w:rsidR="00963EB9" w:rsidRPr="002866E5">
        <w:rPr>
          <w:noProof/>
        </w:rPr>
        <w:t>mentami cyfrowymi należy uznać za istotnie zmodyfikowany przez zmianę oprogramowania, jeżeli aktualizacja oprogramowania zmienia pierwotnie zamierzone funkcje, rodzaj lub działanie produktu,</w:t>
      </w:r>
      <w:r w:rsidR="008B35E8" w:rsidRPr="002866E5">
        <w:rPr>
          <w:noProof/>
        </w:rPr>
        <w:t xml:space="preserve"> a</w:t>
      </w:r>
      <w:r w:rsidR="008B35E8">
        <w:rPr>
          <w:noProof/>
        </w:rPr>
        <w:t> </w:t>
      </w:r>
      <w:r w:rsidR="008B35E8" w:rsidRPr="002866E5">
        <w:rPr>
          <w:noProof/>
        </w:rPr>
        <w:t>zmi</w:t>
      </w:r>
      <w:r w:rsidR="00963EB9" w:rsidRPr="002866E5">
        <w:rPr>
          <w:noProof/>
        </w:rPr>
        <w:t>an tych nie przewidziano we wstępnej ocenie ryzyka, lub gdy</w:t>
      </w:r>
      <w:r w:rsidR="008B35E8" w:rsidRPr="002866E5">
        <w:rPr>
          <w:noProof/>
        </w:rPr>
        <w:t xml:space="preserve"> z</w:t>
      </w:r>
      <w:r w:rsidR="008B35E8">
        <w:rPr>
          <w:noProof/>
        </w:rPr>
        <w:t> </w:t>
      </w:r>
      <w:r w:rsidR="008B35E8" w:rsidRPr="002866E5">
        <w:rPr>
          <w:noProof/>
        </w:rPr>
        <w:t>pow</w:t>
      </w:r>
      <w:r w:rsidR="00963EB9" w:rsidRPr="002866E5">
        <w:rPr>
          <w:noProof/>
        </w:rPr>
        <w:t xml:space="preserve">odu aktualizacji oprogramowania zmienił się charakter zagrożenia lub zwiększył się poziom ryzyka. </w:t>
      </w:r>
    </w:p>
    <w:p w14:paraId="67ED86E1" w14:textId="39D7AA6F" w:rsidR="00963EB9" w:rsidRPr="002866E5" w:rsidRDefault="00B4087C" w:rsidP="00B4087C">
      <w:pPr>
        <w:pStyle w:val="ManualConsidrant"/>
        <w:rPr>
          <w:noProof/>
        </w:rPr>
      </w:pPr>
      <w:r w:rsidRPr="00B4087C">
        <w:lastRenderedPageBreak/>
        <w:t>(23)</w:t>
      </w:r>
      <w:r w:rsidRPr="00B4087C">
        <w:tab/>
      </w:r>
      <w:r w:rsidR="00590F0B" w:rsidRPr="002866E5">
        <w:rPr>
          <w:noProof/>
        </w:rPr>
        <w:t>Zgodnie</w:t>
      </w:r>
      <w:r w:rsidR="008B35E8" w:rsidRPr="002866E5">
        <w:rPr>
          <w:noProof/>
        </w:rPr>
        <w:t xml:space="preserve"> z</w:t>
      </w:r>
      <w:r w:rsidR="008B35E8">
        <w:rPr>
          <w:noProof/>
        </w:rPr>
        <w:t> </w:t>
      </w:r>
      <w:r w:rsidR="008B35E8" w:rsidRPr="002866E5">
        <w:rPr>
          <w:noProof/>
        </w:rPr>
        <w:t>pow</w:t>
      </w:r>
      <w:r w:rsidR="00590F0B" w:rsidRPr="002866E5">
        <w:rPr>
          <w:noProof/>
        </w:rPr>
        <w:t>szechnie przyjętym pojęciem istotnej zmiany</w:t>
      </w:r>
      <w:r w:rsidR="008B35E8" w:rsidRPr="002866E5">
        <w:rPr>
          <w:noProof/>
        </w:rPr>
        <w:t xml:space="preserve"> w</w:t>
      </w:r>
      <w:r w:rsidR="008B35E8">
        <w:rPr>
          <w:noProof/>
        </w:rPr>
        <w:t> </w:t>
      </w:r>
      <w:r w:rsidR="008B35E8" w:rsidRPr="002866E5">
        <w:rPr>
          <w:noProof/>
        </w:rPr>
        <w:t>odn</w:t>
      </w:r>
      <w:r w:rsidR="00590F0B" w:rsidRPr="002866E5">
        <w:rPr>
          <w:noProof/>
        </w:rPr>
        <w:t>iesieniu do produktów objętych unijnym prawodawstwem harmonizacyjnym za każdym razem, gdy następuje istotna modyfikacja, która może wpłynąć na zgodność produktu</w:t>
      </w:r>
      <w:r w:rsidR="008B35E8" w:rsidRPr="002866E5">
        <w:rPr>
          <w:noProof/>
        </w:rPr>
        <w:t xml:space="preserve"> z</w:t>
      </w:r>
      <w:r w:rsidR="008B35E8">
        <w:rPr>
          <w:noProof/>
        </w:rPr>
        <w:t> </w:t>
      </w:r>
      <w:r w:rsidR="008B35E8" w:rsidRPr="002866E5">
        <w:rPr>
          <w:noProof/>
        </w:rPr>
        <w:t>nin</w:t>
      </w:r>
      <w:r w:rsidR="00590F0B" w:rsidRPr="002866E5">
        <w:rPr>
          <w:noProof/>
        </w:rPr>
        <w:t>iejszym rozporządzeniem, lub gdy zmienia się przeznaczenie produktu, należy zweryfikować zgodność produktu</w:t>
      </w:r>
      <w:r w:rsidR="008B35E8" w:rsidRPr="002866E5">
        <w:rPr>
          <w:noProof/>
        </w:rPr>
        <w:t xml:space="preserve"> z</w:t>
      </w:r>
      <w:r w:rsidR="008B35E8">
        <w:rPr>
          <w:noProof/>
        </w:rPr>
        <w:t> </w:t>
      </w:r>
      <w:r w:rsidR="008B35E8" w:rsidRPr="002866E5">
        <w:rPr>
          <w:noProof/>
        </w:rPr>
        <w:t>ele</w:t>
      </w:r>
      <w:r w:rsidR="00590F0B" w:rsidRPr="002866E5">
        <w:rPr>
          <w:noProof/>
        </w:rPr>
        <w:t>mentami cyfrowymi oraz,</w:t>
      </w:r>
      <w:r w:rsidR="008B35E8" w:rsidRPr="002866E5">
        <w:rPr>
          <w:noProof/>
        </w:rPr>
        <w:t xml:space="preserve"> w</w:t>
      </w:r>
      <w:r w:rsidR="008B35E8">
        <w:rPr>
          <w:noProof/>
        </w:rPr>
        <w:t> </w:t>
      </w:r>
      <w:r w:rsidR="008B35E8" w:rsidRPr="002866E5">
        <w:rPr>
          <w:noProof/>
        </w:rPr>
        <w:t>sto</w:t>
      </w:r>
      <w:r w:rsidR="00590F0B" w:rsidRPr="002866E5">
        <w:rPr>
          <w:noProof/>
        </w:rPr>
        <w:t>sownych przypadkach, poddać go nowej ocenie zgodności</w:t>
      </w:r>
      <w:r w:rsidR="008B35E8" w:rsidRPr="002866E5">
        <w:rPr>
          <w:noProof/>
        </w:rPr>
        <w:t>. W</w:t>
      </w:r>
      <w:r w:rsidR="008B35E8">
        <w:rPr>
          <w:noProof/>
        </w:rPr>
        <w:t> </w:t>
      </w:r>
      <w:r w:rsidR="008B35E8" w:rsidRPr="002866E5">
        <w:rPr>
          <w:noProof/>
        </w:rPr>
        <w:t>sto</w:t>
      </w:r>
      <w:r w:rsidR="00590F0B" w:rsidRPr="002866E5">
        <w:rPr>
          <w:noProof/>
        </w:rPr>
        <w:t>sownych przypadkach, jeśli producent przeprowadza ocenę zgodności</w:t>
      </w:r>
      <w:r w:rsidR="008B35E8" w:rsidRPr="002866E5">
        <w:rPr>
          <w:noProof/>
        </w:rPr>
        <w:t xml:space="preserve"> z</w:t>
      </w:r>
      <w:r w:rsidR="008B35E8">
        <w:rPr>
          <w:noProof/>
        </w:rPr>
        <w:t> </w:t>
      </w:r>
      <w:r w:rsidR="008B35E8" w:rsidRPr="002866E5">
        <w:rPr>
          <w:noProof/>
        </w:rPr>
        <w:t>udz</w:t>
      </w:r>
      <w:r w:rsidR="00590F0B" w:rsidRPr="002866E5">
        <w:rPr>
          <w:noProof/>
        </w:rPr>
        <w:t>iałem strony trzeciej, należy powiadomić stronę trzecią</w:t>
      </w:r>
      <w:r w:rsidR="008B35E8" w:rsidRPr="002866E5">
        <w:rPr>
          <w:noProof/>
        </w:rPr>
        <w:t xml:space="preserve"> o</w:t>
      </w:r>
      <w:r w:rsidR="008B35E8">
        <w:rPr>
          <w:noProof/>
        </w:rPr>
        <w:t> </w:t>
      </w:r>
      <w:r w:rsidR="008B35E8" w:rsidRPr="002866E5">
        <w:rPr>
          <w:noProof/>
        </w:rPr>
        <w:t>zmi</w:t>
      </w:r>
      <w:r w:rsidR="00590F0B" w:rsidRPr="002866E5">
        <w:rPr>
          <w:noProof/>
        </w:rPr>
        <w:t xml:space="preserve">anach, które mogą prowadzić do istotnych modyfikacji. </w:t>
      </w:r>
    </w:p>
    <w:p w14:paraId="67ED86E2" w14:textId="7AC6DB4A" w:rsidR="00963EB9" w:rsidRPr="002866E5" w:rsidRDefault="00B4087C" w:rsidP="00B4087C">
      <w:pPr>
        <w:pStyle w:val="ManualConsidrant"/>
        <w:rPr>
          <w:noProof/>
        </w:rPr>
      </w:pPr>
      <w:r w:rsidRPr="00B4087C">
        <w:t>(24)</w:t>
      </w:r>
      <w:r w:rsidRPr="00B4087C">
        <w:tab/>
      </w:r>
      <w:r w:rsidR="00963EB9" w:rsidRPr="002866E5">
        <w:rPr>
          <w:noProof/>
        </w:rPr>
        <w:t>Odnawianie, utrzymanie</w:t>
      </w:r>
      <w:r w:rsidR="008B35E8" w:rsidRPr="002866E5">
        <w:rPr>
          <w:noProof/>
        </w:rPr>
        <w:t xml:space="preserve"> i</w:t>
      </w:r>
      <w:r w:rsidR="008B35E8">
        <w:rPr>
          <w:noProof/>
        </w:rPr>
        <w:t> </w:t>
      </w:r>
      <w:r w:rsidR="008B35E8" w:rsidRPr="002866E5">
        <w:rPr>
          <w:noProof/>
        </w:rPr>
        <w:t>nap</w:t>
      </w:r>
      <w:r w:rsidR="00963EB9" w:rsidRPr="002866E5">
        <w:rPr>
          <w:noProof/>
        </w:rPr>
        <w:t>rawa produktu</w:t>
      </w:r>
      <w:r w:rsidR="008B35E8" w:rsidRPr="002866E5">
        <w:rPr>
          <w:noProof/>
        </w:rPr>
        <w:t xml:space="preserve"> z</w:t>
      </w:r>
      <w:r w:rsidR="008B35E8">
        <w:rPr>
          <w:noProof/>
        </w:rPr>
        <w:t> </w:t>
      </w:r>
      <w:r w:rsidR="008B35E8" w:rsidRPr="002866E5">
        <w:rPr>
          <w:noProof/>
        </w:rPr>
        <w:t>ele</w:t>
      </w:r>
      <w:r w:rsidR="00963EB9" w:rsidRPr="002866E5">
        <w:rPr>
          <w:noProof/>
        </w:rPr>
        <w:t>mentami cyfrowymi, zgodnie</w:t>
      </w:r>
      <w:r w:rsidR="008B35E8" w:rsidRPr="002866E5">
        <w:rPr>
          <w:noProof/>
        </w:rPr>
        <w:t xml:space="preserve"> z</w:t>
      </w:r>
      <w:r w:rsidR="008B35E8">
        <w:rPr>
          <w:noProof/>
        </w:rPr>
        <w:t> </w:t>
      </w:r>
      <w:r w:rsidR="008B35E8" w:rsidRPr="002866E5">
        <w:rPr>
          <w:noProof/>
        </w:rPr>
        <w:t>def</w:t>
      </w:r>
      <w:r w:rsidR="00963EB9" w:rsidRPr="002866E5">
        <w:rPr>
          <w:noProof/>
        </w:rPr>
        <w:t>inicją zawartą</w:t>
      </w:r>
      <w:r w:rsidR="008B35E8" w:rsidRPr="002866E5">
        <w:rPr>
          <w:noProof/>
        </w:rPr>
        <w:t xml:space="preserve"> w</w:t>
      </w:r>
      <w:r w:rsidR="008B35E8">
        <w:rPr>
          <w:noProof/>
        </w:rPr>
        <w:t> </w:t>
      </w:r>
      <w:r w:rsidR="008B35E8" w:rsidRPr="002866E5">
        <w:rPr>
          <w:noProof/>
        </w:rPr>
        <w:t>roz</w:t>
      </w:r>
      <w:r w:rsidR="00963EB9" w:rsidRPr="002866E5">
        <w:rPr>
          <w:noProof/>
        </w:rPr>
        <w:t>porządzeniu [rozporządzeniu</w:t>
      </w:r>
      <w:r w:rsidR="008B35E8" w:rsidRPr="002866E5">
        <w:rPr>
          <w:noProof/>
        </w:rPr>
        <w:t xml:space="preserve"> w</w:t>
      </w:r>
      <w:r w:rsidR="008B35E8">
        <w:rPr>
          <w:noProof/>
        </w:rPr>
        <w:t> </w:t>
      </w:r>
      <w:r w:rsidR="008B35E8" w:rsidRPr="002866E5">
        <w:rPr>
          <w:noProof/>
        </w:rPr>
        <w:t>spr</w:t>
      </w:r>
      <w:r w:rsidR="00963EB9" w:rsidRPr="002866E5">
        <w:rPr>
          <w:noProof/>
        </w:rPr>
        <w:t>awie ekoprojektu], niekoniecznie prowadzą do istotnej modyfikacji produktu, na przykład jeśli nie zmienią się przeznaczenie oraz funkcje oraz jeśli nie wpłynie to na poziom ryzyka. Unowocześnienie produktu przez producenta może jednak prowadzić do zmian</w:t>
      </w:r>
      <w:r w:rsidR="008B35E8" w:rsidRPr="002866E5">
        <w:rPr>
          <w:noProof/>
        </w:rPr>
        <w:t xml:space="preserve"> w</w:t>
      </w:r>
      <w:r w:rsidR="008B35E8">
        <w:rPr>
          <w:noProof/>
        </w:rPr>
        <w:t> </w:t>
      </w:r>
      <w:r w:rsidR="008B35E8" w:rsidRPr="002866E5">
        <w:rPr>
          <w:noProof/>
        </w:rPr>
        <w:t>pro</w:t>
      </w:r>
      <w:r w:rsidR="00963EB9" w:rsidRPr="002866E5">
        <w:rPr>
          <w:noProof/>
        </w:rPr>
        <w:t>jektowaniu</w:t>
      </w:r>
      <w:r w:rsidR="008B35E8" w:rsidRPr="002866E5">
        <w:rPr>
          <w:noProof/>
        </w:rPr>
        <w:t xml:space="preserve"> i</w:t>
      </w:r>
      <w:r w:rsidR="008B35E8">
        <w:rPr>
          <w:noProof/>
        </w:rPr>
        <w:t> </w:t>
      </w:r>
      <w:r w:rsidR="008B35E8" w:rsidRPr="002866E5">
        <w:rPr>
          <w:noProof/>
        </w:rPr>
        <w:t>opr</w:t>
      </w:r>
      <w:r w:rsidR="00963EB9" w:rsidRPr="002866E5">
        <w:rPr>
          <w:noProof/>
        </w:rPr>
        <w:t>acowywaniu produktu</w:t>
      </w:r>
      <w:r w:rsidR="008B35E8" w:rsidRPr="002866E5">
        <w:rPr>
          <w:noProof/>
        </w:rPr>
        <w:t xml:space="preserve"> i</w:t>
      </w:r>
      <w:r w:rsidR="008B35E8">
        <w:rPr>
          <w:noProof/>
        </w:rPr>
        <w:t> </w:t>
      </w:r>
      <w:r w:rsidR="008B35E8" w:rsidRPr="002866E5">
        <w:rPr>
          <w:noProof/>
        </w:rPr>
        <w:t>z</w:t>
      </w:r>
      <w:r w:rsidR="008B35E8">
        <w:rPr>
          <w:noProof/>
        </w:rPr>
        <w:t> </w:t>
      </w:r>
      <w:r w:rsidR="008B35E8" w:rsidRPr="002866E5">
        <w:rPr>
          <w:noProof/>
        </w:rPr>
        <w:t>teg</w:t>
      </w:r>
      <w:r w:rsidR="00963EB9" w:rsidRPr="002866E5">
        <w:rPr>
          <w:noProof/>
        </w:rPr>
        <w:t>o względu może wpływać na przeznaczenie produktu oraz jego zgodność</w:t>
      </w:r>
      <w:r w:rsidR="008B35E8" w:rsidRPr="002866E5">
        <w:rPr>
          <w:noProof/>
        </w:rPr>
        <w:t xml:space="preserve"> z</w:t>
      </w:r>
      <w:r w:rsidR="008B35E8">
        <w:rPr>
          <w:noProof/>
        </w:rPr>
        <w:t> </w:t>
      </w:r>
      <w:r w:rsidR="008B35E8" w:rsidRPr="002866E5">
        <w:rPr>
          <w:noProof/>
        </w:rPr>
        <w:t>wym</w:t>
      </w:r>
      <w:r w:rsidR="00963EB9" w:rsidRPr="002866E5">
        <w:rPr>
          <w:noProof/>
        </w:rPr>
        <w:t>ogami określonymi</w:t>
      </w:r>
      <w:r w:rsidR="008B35E8" w:rsidRPr="002866E5">
        <w:rPr>
          <w:noProof/>
        </w:rPr>
        <w:t xml:space="preserve"> w</w:t>
      </w:r>
      <w:r w:rsidR="008B35E8">
        <w:rPr>
          <w:noProof/>
        </w:rPr>
        <w:t> </w:t>
      </w:r>
      <w:r w:rsidR="008B35E8" w:rsidRPr="002866E5">
        <w:rPr>
          <w:noProof/>
        </w:rPr>
        <w:t>nin</w:t>
      </w:r>
      <w:r w:rsidR="00963EB9" w:rsidRPr="002866E5">
        <w:rPr>
          <w:noProof/>
        </w:rPr>
        <w:t>iejszym rozporządzeniu.</w:t>
      </w:r>
    </w:p>
    <w:p w14:paraId="67ED86E3" w14:textId="0394B3EA" w:rsidR="0098482A" w:rsidRPr="002866E5" w:rsidRDefault="00B4087C" w:rsidP="00B4087C">
      <w:pPr>
        <w:pStyle w:val="ManualConsidrant"/>
        <w:rPr>
          <w:noProof/>
        </w:rPr>
      </w:pPr>
      <w:r w:rsidRPr="00B4087C">
        <w:t>(25)</w:t>
      </w:r>
      <w:r w:rsidRPr="00B4087C">
        <w:tab/>
      </w:r>
      <w:r w:rsidR="002C4BE4" w:rsidRPr="002866E5">
        <w:rPr>
          <w:noProof/>
        </w:rPr>
        <w:t>Produkt</w:t>
      </w:r>
      <w:r w:rsidR="008B35E8" w:rsidRPr="002866E5">
        <w:rPr>
          <w:noProof/>
        </w:rPr>
        <w:t xml:space="preserve"> z</w:t>
      </w:r>
      <w:r w:rsidR="008B35E8">
        <w:rPr>
          <w:noProof/>
        </w:rPr>
        <w:t> </w:t>
      </w:r>
      <w:r w:rsidR="008B35E8" w:rsidRPr="002866E5">
        <w:rPr>
          <w:noProof/>
        </w:rPr>
        <w:t>ele</w:t>
      </w:r>
      <w:r w:rsidR="002C4BE4" w:rsidRPr="002866E5">
        <w:rPr>
          <w:noProof/>
        </w:rPr>
        <w:t>mentami cyfrowymi należy uznać za krytyczny, jeśli negatywny wpływ wykorzystywania potencjalnych podatności wpływających na cyberbezpieczeństwo</w:t>
      </w:r>
      <w:r w:rsidR="008B35E8" w:rsidRPr="002866E5">
        <w:rPr>
          <w:noProof/>
        </w:rPr>
        <w:t xml:space="preserve"> w</w:t>
      </w:r>
      <w:r w:rsidR="008B35E8">
        <w:rPr>
          <w:noProof/>
        </w:rPr>
        <w:t> </w:t>
      </w:r>
      <w:r w:rsidR="008B35E8" w:rsidRPr="002866E5">
        <w:rPr>
          <w:noProof/>
        </w:rPr>
        <w:t>pro</w:t>
      </w:r>
      <w:r w:rsidR="002C4BE4" w:rsidRPr="002866E5">
        <w:rPr>
          <w:noProof/>
        </w:rPr>
        <w:t>dukcie może być dotkliwy, między innymi</w:t>
      </w:r>
      <w:r w:rsidR="008B35E8" w:rsidRPr="002866E5">
        <w:rPr>
          <w:noProof/>
        </w:rPr>
        <w:t xml:space="preserve"> z</w:t>
      </w:r>
      <w:r w:rsidR="008B35E8">
        <w:rPr>
          <w:noProof/>
        </w:rPr>
        <w:t> </w:t>
      </w:r>
      <w:r w:rsidR="008B35E8" w:rsidRPr="002866E5">
        <w:rPr>
          <w:noProof/>
        </w:rPr>
        <w:t>uwa</w:t>
      </w:r>
      <w:r w:rsidR="002C4BE4" w:rsidRPr="002866E5">
        <w:rPr>
          <w:noProof/>
        </w:rPr>
        <w:t>gi na funkcje związane</w:t>
      </w:r>
      <w:r w:rsidR="008B35E8" w:rsidRPr="002866E5">
        <w:rPr>
          <w:noProof/>
        </w:rPr>
        <w:t xml:space="preserve"> z</w:t>
      </w:r>
      <w:r w:rsidR="008B35E8">
        <w:rPr>
          <w:noProof/>
        </w:rPr>
        <w:t> </w:t>
      </w:r>
      <w:r w:rsidR="008B35E8" w:rsidRPr="002866E5">
        <w:rPr>
          <w:noProof/>
        </w:rPr>
        <w:t>cyb</w:t>
      </w:r>
      <w:r w:rsidR="002C4BE4" w:rsidRPr="002866E5">
        <w:rPr>
          <w:noProof/>
        </w:rPr>
        <w:t>erbezpieczeństwem lub przeznaczenie</w:t>
      </w:r>
      <w:r w:rsidR="008B35E8" w:rsidRPr="002866E5">
        <w:rPr>
          <w:noProof/>
        </w:rPr>
        <w:t>. W</w:t>
      </w:r>
      <w:r w:rsidR="008B35E8">
        <w:rPr>
          <w:noProof/>
        </w:rPr>
        <w:t> </w:t>
      </w:r>
      <w:r w:rsidR="008B35E8" w:rsidRPr="002866E5">
        <w:rPr>
          <w:noProof/>
        </w:rPr>
        <w:t>szc</w:t>
      </w:r>
      <w:r w:rsidR="002C4BE4" w:rsidRPr="002866E5">
        <w:rPr>
          <w:noProof/>
        </w:rPr>
        <w:t>zególności podatności</w:t>
      </w:r>
      <w:r w:rsidR="008B35E8" w:rsidRPr="002866E5">
        <w:rPr>
          <w:noProof/>
        </w:rPr>
        <w:t xml:space="preserve"> w</w:t>
      </w:r>
      <w:r w:rsidR="008B35E8">
        <w:rPr>
          <w:noProof/>
        </w:rPr>
        <w:t> </w:t>
      </w:r>
      <w:r w:rsidR="008B35E8" w:rsidRPr="002866E5">
        <w:rPr>
          <w:noProof/>
        </w:rPr>
        <w:t>pro</w:t>
      </w:r>
      <w:r w:rsidR="002C4BE4" w:rsidRPr="002866E5">
        <w:rPr>
          <w:noProof/>
        </w:rPr>
        <w:t>duktach</w:t>
      </w:r>
      <w:r w:rsidR="008B35E8" w:rsidRPr="002866E5">
        <w:rPr>
          <w:noProof/>
        </w:rPr>
        <w:t xml:space="preserve"> z</w:t>
      </w:r>
      <w:r w:rsidR="008B35E8">
        <w:rPr>
          <w:noProof/>
        </w:rPr>
        <w:t> </w:t>
      </w:r>
      <w:r w:rsidR="008B35E8" w:rsidRPr="002866E5">
        <w:rPr>
          <w:noProof/>
        </w:rPr>
        <w:t>ele</w:t>
      </w:r>
      <w:r w:rsidR="002C4BE4" w:rsidRPr="002866E5">
        <w:rPr>
          <w:noProof/>
        </w:rPr>
        <w:t>mentami cyfrowymi posiadających funkcje związane</w:t>
      </w:r>
      <w:r w:rsidR="008B35E8" w:rsidRPr="002866E5">
        <w:rPr>
          <w:noProof/>
        </w:rPr>
        <w:t xml:space="preserve"> z</w:t>
      </w:r>
      <w:r w:rsidR="008B35E8">
        <w:rPr>
          <w:noProof/>
        </w:rPr>
        <w:t> </w:t>
      </w:r>
      <w:r w:rsidR="008B35E8" w:rsidRPr="002866E5">
        <w:rPr>
          <w:noProof/>
        </w:rPr>
        <w:t>cyb</w:t>
      </w:r>
      <w:r w:rsidR="002C4BE4" w:rsidRPr="002866E5">
        <w:rPr>
          <w:noProof/>
        </w:rPr>
        <w:t>erbezpieczeństwem, takie jak zabezpieczenia, mogą prowadzić do rozprzestrzeniania się problemów</w:t>
      </w:r>
      <w:r w:rsidR="008B35E8" w:rsidRPr="002866E5">
        <w:rPr>
          <w:noProof/>
        </w:rPr>
        <w:t xml:space="preserve"> z</w:t>
      </w:r>
      <w:r w:rsidR="008B35E8">
        <w:rPr>
          <w:noProof/>
        </w:rPr>
        <w:t> </w:t>
      </w:r>
      <w:r w:rsidR="008B35E8" w:rsidRPr="002866E5">
        <w:rPr>
          <w:noProof/>
        </w:rPr>
        <w:t>bez</w:t>
      </w:r>
      <w:r w:rsidR="002C4BE4" w:rsidRPr="002866E5">
        <w:rPr>
          <w:noProof/>
        </w:rPr>
        <w:t>pieczeństwem</w:t>
      </w:r>
      <w:r w:rsidR="008B35E8" w:rsidRPr="002866E5">
        <w:rPr>
          <w:noProof/>
        </w:rPr>
        <w:t xml:space="preserve"> w</w:t>
      </w:r>
      <w:r w:rsidR="008B35E8">
        <w:rPr>
          <w:noProof/>
        </w:rPr>
        <w:t> </w:t>
      </w:r>
      <w:r w:rsidR="008B35E8" w:rsidRPr="002866E5">
        <w:rPr>
          <w:noProof/>
        </w:rPr>
        <w:t>cał</w:t>
      </w:r>
      <w:r w:rsidR="002C4BE4" w:rsidRPr="002866E5">
        <w:rPr>
          <w:noProof/>
        </w:rPr>
        <w:t>ym łańcuchu dostaw. Dotkliwość wpływu cyberincydentu może zwiększyć się także wówczas, gdy uwzględnia się przeznaczenie produktu, np. wykorzystanie go</w:t>
      </w:r>
      <w:r w:rsidR="008B35E8" w:rsidRPr="002866E5">
        <w:rPr>
          <w:noProof/>
        </w:rPr>
        <w:t xml:space="preserve"> w</w:t>
      </w:r>
      <w:r w:rsidR="008B35E8">
        <w:rPr>
          <w:noProof/>
        </w:rPr>
        <w:t> </w:t>
      </w:r>
      <w:r w:rsidR="008B35E8" w:rsidRPr="002866E5">
        <w:rPr>
          <w:noProof/>
        </w:rPr>
        <w:t>śro</w:t>
      </w:r>
      <w:r w:rsidR="002C4BE4" w:rsidRPr="002866E5">
        <w:rPr>
          <w:noProof/>
        </w:rPr>
        <w:t>dowisku przemysłowym lub</w:t>
      </w:r>
      <w:r w:rsidR="008B35E8" w:rsidRPr="002866E5">
        <w:rPr>
          <w:noProof/>
        </w:rPr>
        <w:t xml:space="preserve"> w</w:t>
      </w:r>
      <w:r w:rsidR="008B35E8">
        <w:rPr>
          <w:noProof/>
        </w:rPr>
        <w:t> </w:t>
      </w:r>
      <w:r w:rsidR="008B35E8" w:rsidRPr="002866E5">
        <w:rPr>
          <w:noProof/>
        </w:rPr>
        <w:t>kon</w:t>
      </w:r>
      <w:r w:rsidR="002C4BE4" w:rsidRPr="002866E5">
        <w:rPr>
          <w:noProof/>
        </w:rPr>
        <w:t>tekście podmiotu niezbędnego takiego jak podmioty,</w:t>
      </w:r>
      <w:r w:rsidR="008B35E8" w:rsidRPr="002866E5">
        <w:rPr>
          <w:noProof/>
        </w:rPr>
        <w:t xml:space="preserve"> o</w:t>
      </w:r>
      <w:r w:rsidR="008B35E8">
        <w:rPr>
          <w:noProof/>
        </w:rPr>
        <w:t> </w:t>
      </w:r>
      <w:r w:rsidR="008B35E8" w:rsidRPr="002866E5">
        <w:rPr>
          <w:noProof/>
        </w:rPr>
        <w:t>któ</w:t>
      </w:r>
      <w:r w:rsidR="002C4BE4" w:rsidRPr="002866E5">
        <w:rPr>
          <w:noProof/>
        </w:rPr>
        <w:t>rych mowa</w:t>
      </w:r>
      <w:r w:rsidR="008B35E8" w:rsidRPr="002866E5">
        <w:rPr>
          <w:noProof/>
        </w:rPr>
        <w:t xml:space="preserve"> w</w:t>
      </w:r>
      <w:r w:rsidR="008B35E8">
        <w:rPr>
          <w:noProof/>
        </w:rPr>
        <w:t> </w:t>
      </w:r>
      <w:r w:rsidR="008B35E8" w:rsidRPr="002866E5">
        <w:rPr>
          <w:noProof/>
        </w:rPr>
        <w:t>zał</w:t>
      </w:r>
      <w:r w:rsidR="002C4BE4" w:rsidRPr="002866E5">
        <w:rPr>
          <w:noProof/>
        </w:rPr>
        <w:t>ączniku [załączniku I] do dyrektywy [dyrektywy XXX/ XXXX (NIS 2)], lub</w:t>
      </w:r>
      <w:r w:rsidR="008B35E8" w:rsidRPr="002866E5">
        <w:rPr>
          <w:noProof/>
        </w:rPr>
        <w:t xml:space="preserve"> w</w:t>
      </w:r>
      <w:r w:rsidR="008B35E8">
        <w:rPr>
          <w:noProof/>
        </w:rPr>
        <w:t> </w:t>
      </w:r>
      <w:r w:rsidR="008B35E8" w:rsidRPr="002866E5">
        <w:rPr>
          <w:noProof/>
        </w:rPr>
        <w:t>odn</w:t>
      </w:r>
      <w:r w:rsidR="002C4BE4" w:rsidRPr="002866E5">
        <w:rPr>
          <w:noProof/>
        </w:rPr>
        <w:t xml:space="preserve">iesieniu do działania funkcji krytycznych lub wrażliwych, takich jak przetwarzanie danych osobowych. </w:t>
      </w:r>
    </w:p>
    <w:p w14:paraId="67ED86E4" w14:textId="458467F3" w:rsidR="00E1565E" w:rsidRPr="002866E5" w:rsidRDefault="00B4087C" w:rsidP="00B4087C">
      <w:pPr>
        <w:pStyle w:val="ManualConsidrant"/>
        <w:rPr>
          <w:noProof/>
        </w:rPr>
      </w:pPr>
      <w:r w:rsidRPr="00B4087C">
        <w:t>(26)</w:t>
      </w:r>
      <w:r w:rsidRPr="00B4087C">
        <w:tab/>
      </w:r>
      <w:r w:rsidR="00652A11" w:rsidRPr="002866E5">
        <w:rPr>
          <w:noProof/>
        </w:rPr>
        <w:t>Produkty krytyczne</w:t>
      </w:r>
      <w:r w:rsidR="008B35E8" w:rsidRPr="002866E5">
        <w:rPr>
          <w:noProof/>
        </w:rPr>
        <w:t xml:space="preserve"> z</w:t>
      </w:r>
      <w:r w:rsidR="008B35E8">
        <w:rPr>
          <w:noProof/>
        </w:rPr>
        <w:t> </w:t>
      </w:r>
      <w:r w:rsidR="008B35E8" w:rsidRPr="002866E5">
        <w:rPr>
          <w:noProof/>
        </w:rPr>
        <w:t>ele</w:t>
      </w:r>
      <w:r w:rsidR="00652A11" w:rsidRPr="002866E5">
        <w:rPr>
          <w:noProof/>
        </w:rPr>
        <w:t>mentami cyfrowymi należy poddać bardziej rygorystycznym procedurom oceny zgodności przy jednoczesnym zachowaniu proporcjonalnego podejścia</w:t>
      </w:r>
      <w:r w:rsidR="008B35E8" w:rsidRPr="002866E5">
        <w:rPr>
          <w:noProof/>
        </w:rPr>
        <w:t>. W</w:t>
      </w:r>
      <w:r w:rsidR="008B35E8">
        <w:rPr>
          <w:noProof/>
        </w:rPr>
        <w:t> </w:t>
      </w:r>
      <w:r w:rsidR="008B35E8" w:rsidRPr="002866E5">
        <w:rPr>
          <w:noProof/>
        </w:rPr>
        <w:t>tym</w:t>
      </w:r>
      <w:r w:rsidR="00652A11" w:rsidRPr="002866E5">
        <w:rPr>
          <w:noProof/>
        </w:rPr>
        <w:t xml:space="preserve"> celu produkty krytyczne</w:t>
      </w:r>
      <w:r w:rsidR="008B35E8" w:rsidRPr="002866E5">
        <w:rPr>
          <w:noProof/>
        </w:rPr>
        <w:t xml:space="preserve"> z</w:t>
      </w:r>
      <w:r w:rsidR="008B35E8">
        <w:rPr>
          <w:noProof/>
        </w:rPr>
        <w:t> </w:t>
      </w:r>
      <w:r w:rsidR="008B35E8" w:rsidRPr="002866E5">
        <w:rPr>
          <w:noProof/>
        </w:rPr>
        <w:t>ele</w:t>
      </w:r>
      <w:r w:rsidR="00652A11" w:rsidRPr="002866E5">
        <w:rPr>
          <w:noProof/>
        </w:rPr>
        <w:t>mentami cyfrowymi należy podzielić na dwie klasy, odzwierciedlające poziom ryzyka</w:t>
      </w:r>
      <w:r w:rsidR="008B35E8" w:rsidRPr="002866E5">
        <w:rPr>
          <w:noProof/>
        </w:rPr>
        <w:t xml:space="preserve"> w</w:t>
      </w:r>
      <w:r w:rsidR="008B35E8">
        <w:rPr>
          <w:noProof/>
        </w:rPr>
        <w:t> </w:t>
      </w:r>
      <w:r w:rsidR="008B35E8" w:rsidRPr="002866E5">
        <w:rPr>
          <w:noProof/>
        </w:rPr>
        <w:t>cyb</w:t>
      </w:r>
      <w:r w:rsidR="00652A11" w:rsidRPr="002866E5">
        <w:rPr>
          <w:noProof/>
        </w:rPr>
        <w:t>erprzestrzeni powiązanego</w:t>
      </w:r>
      <w:r w:rsidR="008B35E8" w:rsidRPr="002866E5">
        <w:rPr>
          <w:noProof/>
        </w:rPr>
        <w:t xml:space="preserve"> z</w:t>
      </w:r>
      <w:r w:rsidR="008B35E8">
        <w:rPr>
          <w:noProof/>
        </w:rPr>
        <w:t> </w:t>
      </w:r>
      <w:r w:rsidR="008B35E8" w:rsidRPr="002866E5">
        <w:rPr>
          <w:noProof/>
        </w:rPr>
        <w:t>tym</w:t>
      </w:r>
      <w:r w:rsidR="00652A11" w:rsidRPr="002866E5">
        <w:rPr>
          <w:noProof/>
        </w:rPr>
        <w:t>i kategoriami produktów. Potencjalny cyberincydent</w:t>
      </w:r>
      <w:r w:rsidR="008B35E8" w:rsidRPr="002866E5">
        <w:rPr>
          <w:noProof/>
        </w:rPr>
        <w:t xml:space="preserve"> z</w:t>
      </w:r>
      <w:r w:rsidR="008B35E8">
        <w:rPr>
          <w:noProof/>
        </w:rPr>
        <w:t> </w:t>
      </w:r>
      <w:r w:rsidR="008B35E8" w:rsidRPr="002866E5">
        <w:rPr>
          <w:noProof/>
        </w:rPr>
        <w:t>udz</w:t>
      </w:r>
      <w:r w:rsidR="00652A11" w:rsidRPr="002866E5">
        <w:rPr>
          <w:noProof/>
        </w:rPr>
        <w:t>iałem produktów klasy II może prowadzić do poważniejszych negatywnych skutków niż incydent</w:t>
      </w:r>
      <w:r w:rsidR="008B35E8" w:rsidRPr="002866E5">
        <w:rPr>
          <w:noProof/>
        </w:rPr>
        <w:t xml:space="preserve"> z</w:t>
      </w:r>
      <w:r w:rsidR="008B35E8">
        <w:rPr>
          <w:noProof/>
        </w:rPr>
        <w:t> </w:t>
      </w:r>
      <w:r w:rsidR="008B35E8" w:rsidRPr="002866E5">
        <w:rPr>
          <w:noProof/>
        </w:rPr>
        <w:t>udz</w:t>
      </w:r>
      <w:r w:rsidR="00652A11" w:rsidRPr="002866E5">
        <w:rPr>
          <w:noProof/>
        </w:rPr>
        <w:t>iałem produktów klasy I, na przykład</w:t>
      </w:r>
      <w:r w:rsidR="008B35E8" w:rsidRPr="002866E5">
        <w:rPr>
          <w:noProof/>
        </w:rPr>
        <w:t xml:space="preserve"> z</w:t>
      </w:r>
      <w:r w:rsidR="008B35E8">
        <w:rPr>
          <w:noProof/>
        </w:rPr>
        <w:t> </w:t>
      </w:r>
      <w:r w:rsidR="008B35E8" w:rsidRPr="002866E5">
        <w:rPr>
          <w:noProof/>
        </w:rPr>
        <w:t>uwa</w:t>
      </w:r>
      <w:r w:rsidR="00652A11" w:rsidRPr="002866E5">
        <w:rPr>
          <w:noProof/>
        </w:rPr>
        <w:t>gi na charakter funkcji tych produktów związanej</w:t>
      </w:r>
      <w:r w:rsidR="008B35E8" w:rsidRPr="002866E5">
        <w:rPr>
          <w:noProof/>
        </w:rPr>
        <w:t xml:space="preserve"> z</w:t>
      </w:r>
      <w:r w:rsidR="008B35E8">
        <w:rPr>
          <w:noProof/>
        </w:rPr>
        <w:t> </w:t>
      </w:r>
      <w:r w:rsidR="008B35E8" w:rsidRPr="002866E5">
        <w:rPr>
          <w:noProof/>
        </w:rPr>
        <w:t>cyb</w:t>
      </w:r>
      <w:r w:rsidR="00652A11" w:rsidRPr="002866E5">
        <w:rPr>
          <w:noProof/>
        </w:rPr>
        <w:t>erbezpieczeństwem lub ich przeznaczenie do wykorzystania</w:t>
      </w:r>
      <w:r w:rsidR="008B35E8" w:rsidRPr="002866E5">
        <w:rPr>
          <w:noProof/>
        </w:rPr>
        <w:t xml:space="preserve"> w</w:t>
      </w:r>
      <w:r w:rsidR="008B35E8">
        <w:rPr>
          <w:noProof/>
        </w:rPr>
        <w:t> </w:t>
      </w:r>
      <w:r w:rsidR="008B35E8" w:rsidRPr="002866E5">
        <w:rPr>
          <w:noProof/>
        </w:rPr>
        <w:t>śro</w:t>
      </w:r>
      <w:r w:rsidR="00652A11" w:rsidRPr="002866E5">
        <w:rPr>
          <w:noProof/>
        </w:rPr>
        <w:t>dowiskach wrażliwych,</w:t>
      </w:r>
      <w:r w:rsidR="008B35E8" w:rsidRPr="002866E5">
        <w:rPr>
          <w:noProof/>
        </w:rPr>
        <w:t xml:space="preserve"> i</w:t>
      </w:r>
      <w:r w:rsidR="008B35E8">
        <w:rPr>
          <w:noProof/>
        </w:rPr>
        <w:t> </w:t>
      </w:r>
      <w:r w:rsidR="008B35E8" w:rsidRPr="002866E5">
        <w:rPr>
          <w:noProof/>
        </w:rPr>
        <w:t>z</w:t>
      </w:r>
      <w:r w:rsidR="008B35E8">
        <w:rPr>
          <w:noProof/>
        </w:rPr>
        <w:t> </w:t>
      </w:r>
      <w:r w:rsidR="008B35E8" w:rsidRPr="002866E5">
        <w:rPr>
          <w:noProof/>
        </w:rPr>
        <w:t>teg</w:t>
      </w:r>
      <w:r w:rsidR="00652A11" w:rsidRPr="002866E5">
        <w:rPr>
          <w:noProof/>
        </w:rPr>
        <w:t xml:space="preserve">o względu powinien on podlegać bardziej rygorystycznej procedurze oceny zgodności. </w:t>
      </w:r>
    </w:p>
    <w:p w14:paraId="67ED86E5" w14:textId="180CFE4C" w:rsidR="00E1565E" w:rsidRPr="002866E5" w:rsidRDefault="00B4087C" w:rsidP="00B4087C">
      <w:pPr>
        <w:pStyle w:val="ManualConsidrant"/>
        <w:rPr>
          <w:noProof/>
        </w:rPr>
      </w:pPr>
      <w:r w:rsidRPr="00B4087C">
        <w:t>(27)</w:t>
      </w:r>
      <w:r w:rsidRPr="00B4087C">
        <w:tab/>
      </w:r>
      <w:r w:rsidR="00E1565E" w:rsidRPr="002866E5">
        <w:rPr>
          <w:noProof/>
        </w:rPr>
        <w:t>Kategorie produktów krytycznych</w:t>
      </w:r>
      <w:r w:rsidR="008B35E8" w:rsidRPr="002866E5">
        <w:rPr>
          <w:noProof/>
        </w:rPr>
        <w:t xml:space="preserve"> z</w:t>
      </w:r>
      <w:r w:rsidR="008B35E8">
        <w:rPr>
          <w:noProof/>
        </w:rPr>
        <w:t> </w:t>
      </w:r>
      <w:r w:rsidR="008B35E8" w:rsidRPr="002866E5">
        <w:rPr>
          <w:noProof/>
        </w:rPr>
        <w:t>ele</w:t>
      </w:r>
      <w:r w:rsidR="00E1565E" w:rsidRPr="002866E5">
        <w:rPr>
          <w:noProof/>
        </w:rPr>
        <w:t>mentami cyfrowymi,</w:t>
      </w:r>
      <w:r w:rsidR="008B35E8" w:rsidRPr="002866E5">
        <w:rPr>
          <w:noProof/>
        </w:rPr>
        <w:t xml:space="preserve"> o</w:t>
      </w:r>
      <w:r w:rsidR="008B35E8">
        <w:rPr>
          <w:noProof/>
        </w:rPr>
        <w:t> </w:t>
      </w:r>
      <w:r w:rsidR="008B35E8" w:rsidRPr="002866E5">
        <w:rPr>
          <w:noProof/>
        </w:rPr>
        <w:t>któ</w:t>
      </w:r>
      <w:r w:rsidR="00E1565E" w:rsidRPr="002866E5">
        <w:rPr>
          <w:noProof/>
        </w:rPr>
        <w:t>rych mowa</w:t>
      </w:r>
      <w:r w:rsidR="008B35E8" w:rsidRPr="002866E5">
        <w:rPr>
          <w:noProof/>
        </w:rPr>
        <w:t xml:space="preserve"> w</w:t>
      </w:r>
      <w:r w:rsidR="008B35E8">
        <w:rPr>
          <w:noProof/>
        </w:rPr>
        <w:t> </w:t>
      </w:r>
      <w:r w:rsidR="008B35E8" w:rsidRPr="002866E5">
        <w:rPr>
          <w:noProof/>
        </w:rPr>
        <w:t>zał</w:t>
      </w:r>
      <w:r w:rsidR="00E1565E" w:rsidRPr="002866E5">
        <w:rPr>
          <w:noProof/>
        </w:rPr>
        <w:t>ączniku III do niniejszego rozporządzenia, należy rozumieć jako produkty, których podstawowa funkcjonalność jest jedną</w:t>
      </w:r>
      <w:r w:rsidR="008B35E8" w:rsidRPr="002866E5">
        <w:rPr>
          <w:noProof/>
        </w:rPr>
        <w:t xml:space="preserve"> z</w:t>
      </w:r>
      <w:r w:rsidR="008B35E8">
        <w:rPr>
          <w:noProof/>
        </w:rPr>
        <w:t> </w:t>
      </w:r>
      <w:r w:rsidR="008B35E8" w:rsidRPr="002866E5">
        <w:rPr>
          <w:noProof/>
        </w:rPr>
        <w:t>fun</w:t>
      </w:r>
      <w:r w:rsidR="00E1565E" w:rsidRPr="002866E5">
        <w:rPr>
          <w:noProof/>
        </w:rPr>
        <w:t>kcjonalności wymienionych</w:t>
      </w:r>
      <w:r w:rsidR="008B35E8" w:rsidRPr="002866E5">
        <w:rPr>
          <w:noProof/>
        </w:rPr>
        <w:t xml:space="preserve"> w</w:t>
      </w:r>
      <w:r w:rsidR="008B35E8">
        <w:rPr>
          <w:noProof/>
        </w:rPr>
        <w:t> </w:t>
      </w:r>
      <w:r w:rsidR="008B35E8" w:rsidRPr="002866E5">
        <w:rPr>
          <w:noProof/>
        </w:rPr>
        <w:t>zał</w:t>
      </w:r>
      <w:r w:rsidR="00E1565E" w:rsidRPr="002866E5">
        <w:rPr>
          <w:noProof/>
        </w:rPr>
        <w:t>ączniku III do niniejszego rozporządzenia. Na przykład</w:t>
      </w:r>
      <w:r w:rsidR="008B35E8" w:rsidRPr="002866E5">
        <w:rPr>
          <w:noProof/>
        </w:rPr>
        <w:t xml:space="preserve"> w</w:t>
      </w:r>
      <w:r w:rsidR="008B35E8">
        <w:rPr>
          <w:noProof/>
        </w:rPr>
        <w:t> </w:t>
      </w:r>
      <w:r w:rsidR="008B35E8" w:rsidRPr="002866E5">
        <w:rPr>
          <w:noProof/>
        </w:rPr>
        <w:t>zał</w:t>
      </w:r>
      <w:r w:rsidR="00E1565E" w:rsidRPr="002866E5">
        <w:rPr>
          <w:noProof/>
        </w:rPr>
        <w:t>ączniku III do niniejszego rozporządzenia wymieniono produkty, które na podstawie ich podstawowej funkcjonalności zdefiniowano jako mikroprocesory do zastosowań ogólnych</w:t>
      </w:r>
      <w:r w:rsidR="008B35E8" w:rsidRPr="002866E5">
        <w:rPr>
          <w:noProof/>
        </w:rPr>
        <w:t xml:space="preserve"> w</w:t>
      </w:r>
      <w:r w:rsidR="008B35E8">
        <w:rPr>
          <w:noProof/>
        </w:rPr>
        <w:t> </w:t>
      </w:r>
      <w:r w:rsidR="008B35E8" w:rsidRPr="002866E5">
        <w:rPr>
          <w:noProof/>
        </w:rPr>
        <w:t>kla</w:t>
      </w:r>
      <w:r w:rsidR="00E1565E" w:rsidRPr="002866E5">
        <w:rPr>
          <w:noProof/>
        </w:rPr>
        <w:t>sie II</w:t>
      </w:r>
      <w:r w:rsidR="008B35E8" w:rsidRPr="002866E5">
        <w:rPr>
          <w:noProof/>
        </w:rPr>
        <w:t>. W</w:t>
      </w:r>
      <w:r w:rsidR="008B35E8">
        <w:rPr>
          <w:noProof/>
        </w:rPr>
        <w:t> </w:t>
      </w:r>
      <w:r w:rsidR="008B35E8" w:rsidRPr="002866E5">
        <w:rPr>
          <w:noProof/>
        </w:rPr>
        <w:t>zwi</w:t>
      </w:r>
      <w:r w:rsidR="00E1565E" w:rsidRPr="002866E5">
        <w:rPr>
          <w:noProof/>
        </w:rPr>
        <w:t>ązku</w:t>
      </w:r>
      <w:r w:rsidR="008B35E8" w:rsidRPr="002866E5">
        <w:rPr>
          <w:noProof/>
        </w:rPr>
        <w:t xml:space="preserve"> z</w:t>
      </w:r>
      <w:r w:rsidR="008B35E8">
        <w:rPr>
          <w:noProof/>
        </w:rPr>
        <w:t> </w:t>
      </w:r>
      <w:r w:rsidR="008B35E8" w:rsidRPr="002866E5">
        <w:rPr>
          <w:noProof/>
        </w:rPr>
        <w:t>tym</w:t>
      </w:r>
      <w:r w:rsidR="00E1565E" w:rsidRPr="002866E5">
        <w:rPr>
          <w:noProof/>
        </w:rPr>
        <w:t xml:space="preserve"> mikroprocesory do zastosowań ogólnych podlegają obowiązkowej ocenie zgodności przez stronę trzecią. Taka sytuacja nie ma miejsca</w:t>
      </w:r>
      <w:r w:rsidR="008B35E8" w:rsidRPr="002866E5">
        <w:rPr>
          <w:noProof/>
        </w:rPr>
        <w:t xml:space="preserve"> w</w:t>
      </w:r>
      <w:r w:rsidR="008B35E8">
        <w:rPr>
          <w:noProof/>
        </w:rPr>
        <w:t> </w:t>
      </w:r>
      <w:r w:rsidR="008B35E8" w:rsidRPr="002866E5">
        <w:rPr>
          <w:noProof/>
        </w:rPr>
        <w:t>prz</w:t>
      </w:r>
      <w:r w:rsidR="00E1565E" w:rsidRPr="002866E5">
        <w:rPr>
          <w:noProof/>
        </w:rPr>
        <w:t>ypadku innych produktów niewymienionych wprost</w:t>
      </w:r>
      <w:r w:rsidR="008B35E8" w:rsidRPr="002866E5">
        <w:rPr>
          <w:noProof/>
        </w:rPr>
        <w:t xml:space="preserve"> w</w:t>
      </w:r>
      <w:r w:rsidR="008B35E8">
        <w:rPr>
          <w:noProof/>
        </w:rPr>
        <w:t> </w:t>
      </w:r>
      <w:r w:rsidR="008B35E8" w:rsidRPr="002866E5">
        <w:rPr>
          <w:noProof/>
        </w:rPr>
        <w:t>zał</w:t>
      </w:r>
      <w:r w:rsidR="00E1565E" w:rsidRPr="002866E5">
        <w:rPr>
          <w:noProof/>
        </w:rPr>
        <w:t xml:space="preserve">ączniku III do </w:t>
      </w:r>
      <w:r w:rsidR="00E1565E" w:rsidRPr="002866E5">
        <w:rPr>
          <w:noProof/>
        </w:rPr>
        <w:lastRenderedPageBreak/>
        <w:t>niniejszego rozporządzenia, które mogą zawierać mikroprocesor do zastosowań ogólnych. Komisja powinna przyjąć akty delegowane [przed upływem 12 miesięcy od wejścia</w:t>
      </w:r>
      <w:r w:rsidR="008B35E8" w:rsidRPr="002866E5">
        <w:rPr>
          <w:noProof/>
        </w:rPr>
        <w:t xml:space="preserve"> w</w:t>
      </w:r>
      <w:r w:rsidR="008B35E8">
        <w:rPr>
          <w:noProof/>
        </w:rPr>
        <w:t> </w:t>
      </w:r>
      <w:r w:rsidR="008B35E8" w:rsidRPr="002866E5">
        <w:rPr>
          <w:noProof/>
        </w:rPr>
        <w:t>życ</w:t>
      </w:r>
      <w:r w:rsidR="00E1565E" w:rsidRPr="002866E5">
        <w:rPr>
          <w:noProof/>
        </w:rPr>
        <w:t>ie niniejszego rozporządzenia]</w:t>
      </w:r>
      <w:r w:rsidR="008B35E8" w:rsidRPr="002866E5">
        <w:rPr>
          <w:noProof/>
        </w:rPr>
        <w:t xml:space="preserve"> w</w:t>
      </w:r>
      <w:r w:rsidR="008B35E8">
        <w:rPr>
          <w:noProof/>
        </w:rPr>
        <w:t> </w:t>
      </w:r>
      <w:r w:rsidR="008B35E8" w:rsidRPr="002866E5">
        <w:rPr>
          <w:noProof/>
        </w:rPr>
        <w:t>cel</w:t>
      </w:r>
      <w:r w:rsidR="00E1565E" w:rsidRPr="002866E5">
        <w:rPr>
          <w:noProof/>
        </w:rPr>
        <w:t>u określenia definicji kategorii produktów objętych klasą I</w:t>
      </w:r>
      <w:r w:rsidR="008B35E8" w:rsidRPr="002866E5">
        <w:rPr>
          <w:noProof/>
        </w:rPr>
        <w:t xml:space="preserve"> i</w:t>
      </w:r>
      <w:r w:rsidR="008B35E8">
        <w:rPr>
          <w:noProof/>
        </w:rPr>
        <w:t> </w:t>
      </w:r>
      <w:r w:rsidR="008B35E8" w:rsidRPr="002866E5">
        <w:rPr>
          <w:noProof/>
        </w:rPr>
        <w:t>kla</w:t>
      </w:r>
      <w:r w:rsidR="00E1565E" w:rsidRPr="002866E5">
        <w:rPr>
          <w:noProof/>
        </w:rPr>
        <w:t>są II wymienionych</w:t>
      </w:r>
      <w:r w:rsidR="008B35E8" w:rsidRPr="002866E5">
        <w:rPr>
          <w:noProof/>
        </w:rPr>
        <w:t xml:space="preserve"> w</w:t>
      </w:r>
      <w:r w:rsidR="008B35E8">
        <w:rPr>
          <w:noProof/>
        </w:rPr>
        <w:t> </w:t>
      </w:r>
      <w:r w:rsidR="008B35E8" w:rsidRPr="002866E5">
        <w:rPr>
          <w:noProof/>
        </w:rPr>
        <w:t>zał</w:t>
      </w:r>
      <w:r w:rsidR="00E1565E" w:rsidRPr="002866E5">
        <w:rPr>
          <w:noProof/>
        </w:rPr>
        <w:t xml:space="preserve">ączniku III. </w:t>
      </w:r>
    </w:p>
    <w:p w14:paraId="4A2E74AF" w14:textId="4A2C1420" w:rsidR="008F739D" w:rsidRPr="002866E5" w:rsidRDefault="00B4087C" w:rsidP="00B4087C">
      <w:pPr>
        <w:pStyle w:val="ManualConsidrant"/>
        <w:rPr>
          <w:noProof/>
        </w:rPr>
      </w:pPr>
      <w:r w:rsidRPr="00B4087C">
        <w:t>(28)</w:t>
      </w:r>
      <w:r w:rsidRPr="00B4087C">
        <w:tab/>
      </w:r>
      <w:r w:rsidR="008F739D" w:rsidRPr="002866E5">
        <w:rPr>
          <w:noProof/>
        </w:rPr>
        <w:t>W niniejszym rozporządzeniu odniesiono się</w:t>
      </w:r>
      <w:r w:rsidR="008B35E8" w:rsidRPr="002866E5">
        <w:rPr>
          <w:noProof/>
        </w:rPr>
        <w:t xml:space="preserve"> w</w:t>
      </w:r>
      <w:r w:rsidR="008B35E8">
        <w:rPr>
          <w:noProof/>
        </w:rPr>
        <w:t> </w:t>
      </w:r>
      <w:r w:rsidR="008B35E8" w:rsidRPr="002866E5">
        <w:rPr>
          <w:noProof/>
        </w:rPr>
        <w:t>spo</w:t>
      </w:r>
      <w:r w:rsidR="008F739D" w:rsidRPr="002866E5">
        <w:rPr>
          <w:noProof/>
        </w:rPr>
        <w:t>sób ukierunkowany do ryzyka</w:t>
      </w:r>
      <w:r w:rsidR="008B35E8" w:rsidRPr="002866E5">
        <w:rPr>
          <w:noProof/>
        </w:rPr>
        <w:t xml:space="preserve"> w</w:t>
      </w:r>
      <w:r w:rsidR="008B35E8">
        <w:rPr>
          <w:noProof/>
        </w:rPr>
        <w:t> </w:t>
      </w:r>
      <w:r w:rsidR="008B35E8" w:rsidRPr="002866E5">
        <w:rPr>
          <w:noProof/>
        </w:rPr>
        <w:t>cyb</w:t>
      </w:r>
      <w:r w:rsidR="008F739D" w:rsidRPr="002866E5">
        <w:rPr>
          <w:noProof/>
        </w:rPr>
        <w:t>erprzestrzeni. Produkty</w:t>
      </w:r>
      <w:r w:rsidR="008B35E8" w:rsidRPr="002866E5">
        <w:rPr>
          <w:noProof/>
        </w:rPr>
        <w:t xml:space="preserve"> z</w:t>
      </w:r>
      <w:r w:rsidR="008B35E8">
        <w:rPr>
          <w:noProof/>
        </w:rPr>
        <w:t> </w:t>
      </w:r>
      <w:r w:rsidR="008B35E8" w:rsidRPr="002866E5">
        <w:rPr>
          <w:noProof/>
        </w:rPr>
        <w:t>ele</w:t>
      </w:r>
      <w:r w:rsidR="008F739D" w:rsidRPr="002866E5">
        <w:rPr>
          <w:noProof/>
        </w:rPr>
        <w:t>mentami cyfrowymi mogą jednak stwarzać inne ryzyko</w:t>
      </w:r>
      <w:r w:rsidR="008B35E8" w:rsidRPr="002866E5">
        <w:rPr>
          <w:noProof/>
        </w:rPr>
        <w:t xml:space="preserve"> w</w:t>
      </w:r>
      <w:r w:rsidR="008B35E8">
        <w:rPr>
          <w:noProof/>
        </w:rPr>
        <w:t> </w:t>
      </w:r>
      <w:r w:rsidR="008B35E8" w:rsidRPr="002866E5">
        <w:rPr>
          <w:noProof/>
        </w:rPr>
        <w:t>zak</w:t>
      </w:r>
      <w:r w:rsidR="008F739D" w:rsidRPr="002866E5">
        <w:rPr>
          <w:noProof/>
        </w:rPr>
        <w:t>resie bezpieczeństwa, które nie jest związane</w:t>
      </w:r>
      <w:r w:rsidR="008B35E8" w:rsidRPr="002866E5">
        <w:rPr>
          <w:noProof/>
        </w:rPr>
        <w:t xml:space="preserve"> z</w:t>
      </w:r>
      <w:r w:rsidR="008B35E8">
        <w:rPr>
          <w:noProof/>
        </w:rPr>
        <w:t> </w:t>
      </w:r>
      <w:r w:rsidR="008B35E8" w:rsidRPr="002866E5">
        <w:rPr>
          <w:noProof/>
        </w:rPr>
        <w:t>cyb</w:t>
      </w:r>
      <w:r w:rsidR="008F739D" w:rsidRPr="002866E5">
        <w:rPr>
          <w:noProof/>
        </w:rPr>
        <w:t>erbezpieczeństwem. Takie rodzaje ryzyka powinny nadal być uregulowane przez inne właściwe przepisy unijne dotyczące produktów</w:t>
      </w:r>
      <w:r w:rsidR="008B35E8" w:rsidRPr="002866E5">
        <w:rPr>
          <w:noProof/>
        </w:rPr>
        <w:t>. W</w:t>
      </w:r>
      <w:r w:rsidR="008B35E8">
        <w:rPr>
          <w:noProof/>
        </w:rPr>
        <w:t> </w:t>
      </w:r>
      <w:r w:rsidR="008B35E8" w:rsidRPr="002866E5">
        <w:rPr>
          <w:noProof/>
        </w:rPr>
        <w:t>prz</w:t>
      </w:r>
      <w:r w:rsidR="008F739D" w:rsidRPr="002866E5">
        <w:rPr>
          <w:noProof/>
        </w:rPr>
        <w:t>ypadku braku innego mającego zastosowanie unijnego prawodawstwa harmonizacyjnego te rodzaje ryzyka powinny podlegać rozporządzeniu [rozporządzeniu</w:t>
      </w:r>
      <w:r w:rsidR="008B35E8" w:rsidRPr="002866E5">
        <w:rPr>
          <w:noProof/>
        </w:rPr>
        <w:t xml:space="preserve"> w</w:t>
      </w:r>
      <w:r w:rsidR="008B35E8">
        <w:rPr>
          <w:noProof/>
        </w:rPr>
        <w:t> </w:t>
      </w:r>
      <w:r w:rsidR="008B35E8" w:rsidRPr="002866E5">
        <w:rPr>
          <w:noProof/>
        </w:rPr>
        <w:t>spr</w:t>
      </w:r>
      <w:r w:rsidR="008F739D" w:rsidRPr="002866E5">
        <w:rPr>
          <w:noProof/>
        </w:rPr>
        <w:t>awie ogólnego bezpieczeństwa produktów]</w:t>
      </w:r>
      <w:r w:rsidR="008B35E8" w:rsidRPr="002866E5">
        <w:rPr>
          <w:noProof/>
        </w:rPr>
        <w:t>. Z</w:t>
      </w:r>
      <w:r w:rsidR="008B35E8">
        <w:rPr>
          <w:noProof/>
        </w:rPr>
        <w:t> </w:t>
      </w:r>
      <w:r w:rsidR="008B35E8" w:rsidRPr="002866E5">
        <w:rPr>
          <w:noProof/>
        </w:rPr>
        <w:t>teg</w:t>
      </w:r>
      <w:r w:rsidR="008F739D" w:rsidRPr="002866E5">
        <w:rPr>
          <w:noProof/>
        </w:rPr>
        <w:t>o względu,</w:t>
      </w:r>
      <w:r w:rsidR="008B35E8" w:rsidRPr="002866E5">
        <w:rPr>
          <w:noProof/>
        </w:rPr>
        <w:t xml:space="preserve"> w</w:t>
      </w:r>
      <w:r w:rsidR="008B35E8">
        <w:rPr>
          <w:noProof/>
        </w:rPr>
        <w:t> </w:t>
      </w:r>
      <w:r w:rsidR="008B35E8" w:rsidRPr="002866E5">
        <w:rPr>
          <w:noProof/>
        </w:rPr>
        <w:t>świ</w:t>
      </w:r>
      <w:r w:rsidR="008F739D" w:rsidRPr="002866E5">
        <w:rPr>
          <w:noProof/>
        </w:rPr>
        <w:t xml:space="preserve">etle ukierunkowanego charakteru niniejszego rozporządzenia, jako odstępstwo od </w:t>
      </w:r>
      <w:r w:rsidR="008F739D" w:rsidRPr="008B35E8">
        <w:rPr>
          <w:noProof/>
        </w:rPr>
        <w:t>art.</w:t>
      </w:r>
      <w:r w:rsidR="008B35E8" w:rsidRPr="008B35E8">
        <w:rPr>
          <w:noProof/>
        </w:rPr>
        <w:t> </w:t>
      </w:r>
      <w:r w:rsidR="008F739D" w:rsidRPr="008B35E8">
        <w:rPr>
          <w:noProof/>
        </w:rPr>
        <w:t>2</w:t>
      </w:r>
      <w:r w:rsidR="008F739D" w:rsidRPr="002866E5">
        <w:rPr>
          <w:noProof/>
        </w:rPr>
        <w:t xml:space="preserve"> </w:t>
      </w:r>
      <w:r w:rsidR="008F739D" w:rsidRPr="008B35E8">
        <w:rPr>
          <w:noProof/>
        </w:rPr>
        <w:t>ust.</w:t>
      </w:r>
      <w:r w:rsidR="008B35E8" w:rsidRPr="008B35E8">
        <w:rPr>
          <w:noProof/>
        </w:rPr>
        <w:t> </w:t>
      </w:r>
      <w:r w:rsidR="008F739D" w:rsidRPr="008B35E8">
        <w:rPr>
          <w:noProof/>
        </w:rPr>
        <w:t>1</w:t>
      </w:r>
      <w:r w:rsidR="008F739D" w:rsidRPr="002866E5">
        <w:rPr>
          <w:noProof/>
        </w:rPr>
        <w:t xml:space="preserve"> akapit trzeci </w:t>
      </w:r>
      <w:r w:rsidR="008F739D" w:rsidRPr="008B35E8">
        <w:rPr>
          <w:noProof/>
        </w:rPr>
        <w:t>lit.</w:t>
      </w:r>
      <w:r w:rsidR="008B35E8" w:rsidRPr="008B35E8">
        <w:rPr>
          <w:noProof/>
        </w:rPr>
        <w:t> </w:t>
      </w:r>
      <w:r w:rsidR="008F739D" w:rsidRPr="008B35E8">
        <w:rPr>
          <w:noProof/>
        </w:rPr>
        <w:t>b)</w:t>
      </w:r>
      <w:r w:rsidR="008F739D" w:rsidRPr="002866E5">
        <w:rPr>
          <w:noProof/>
        </w:rPr>
        <w:t xml:space="preserve"> rozporządzenia [rozporządzenia</w:t>
      </w:r>
      <w:r w:rsidR="008B35E8" w:rsidRPr="002866E5">
        <w:rPr>
          <w:noProof/>
        </w:rPr>
        <w:t xml:space="preserve"> w</w:t>
      </w:r>
      <w:r w:rsidR="008B35E8">
        <w:rPr>
          <w:noProof/>
        </w:rPr>
        <w:t> </w:t>
      </w:r>
      <w:r w:rsidR="008B35E8" w:rsidRPr="002866E5">
        <w:rPr>
          <w:noProof/>
        </w:rPr>
        <w:t>spr</w:t>
      </w:r>
      <w:r w:rsidR="008F739D" w:rsidRPr="002866E5">
        <w:rPr>
          <w:noProof/>
        </w:rPr>
        <w:t>awie ogólnego bezpieczeństwa produktów] zastosowanie do produktów</w:t>
      </w:r>
      <w:r w:rsidR="008B35E8" w:rsidRPr="002866E5">
        <w:rPr>
          <w:noProof/>
        </w:rPr>
        <w:t xml:space="preserve"> z</w:t>
      </w:r>
      <w:r w:rsidR="008B35E8">
        <w:rPr>
          <w:noProof/>
        </w:rPr>
        <w:t> </w:t>
      </w:r>
      <w:r w:rsidR="008B35E8" w:rsidRPr="002866E5">
        <w:rPr>
          <w:noProof/>
        </w:rPr>
        <w:t>ele</w:t>
      </w:r>
      <w:r w:rsidR="008F739D" w:rsidRPr="002866E5">
        <w:rPr>
          <w:noProof/>
        </w:rPr>
        <w:t>mentami cyfrowymi, jeżeli nie podlegają one szczegółowym wymogom nałożonym przez inne unijne prawodawstwo harmonizacyjne</w:t>
      </w:r>
      <w:r w:rsidR="008B35E8" w:rsidRPr="002866E5">
        <w:rPr>
          <w:noProof/>
        </w:rPr>
        <w:t xml:space="preserve"> w</w:t>
      </w:r>
      <w:r w:rsidR="008B35E8">
        <w:rPr>
          <w:noProof/>
        </w:rPr>
        <w:t> </w:t>
      </w:r>
      <w:r w:rsidR="008B35E8" w:rsidRPr="002866E5">
        <w:rPr>
          <w:noProof/>
        </w:rPr>
        <w:t>roz</w:t>
      </w:r>
      <w:r w:rsidR="008F739D" w:rsidRPr="002866E5">
        <w:rPr>
          <w:noProof/>
        </w:rPr>
        <w:t>umieniu [</w:t>
      </w:r>
      <w:r w:rsidR="008F739D" w:rsidRPr="008B35E8">
        <w:rPr>
          <w:noProof/>
        </w:rPr>
        <w:t>art.</w:t>
      </w:r>
      <w:r w:rsidR="008B35E8" w:rsidRPr="008B35E8">
        <w:rPr>
          <w:noProof/>
        </w:rPr>
        <w:t> </w:t>
      </w:r>
      <w:r w:rsidR="008F739D" w:rsidRPr="008B35E8">
        <w:rPr>
          <w:noProof/>
        </w:rPr>
        <w:t>3</w:t>
      </w:r>
      <w:r w:rsidR="008F739D" w:rsidRPr="002866E5">
        <w:rPr>
          <w:noProof/>
        </w:rPr>
        <w:t xml:space="preserve"> </w:t>
      </w:r>
      <w:r w:rsidR="008F739D" w:rsidRPr="008B35E8">
        <w:rPr>
          <w:noProof/>
        </w:rPr>
        <w:t>pkt</w:t>
      </w:r>
      <w:r w:rsidR="008B35E8" w:rsidRPr="008B35E8">
        <w:rPr>
          <w:noProof/>
        </w:rPr>
        <w:t> </w:t>
      </w:r>
      <w:r w:rsidR="008F739D" w:rsidRPr="008B35E8">
        <w:rPr>
          <w:noProof/>
        </w:rPr>
        <w:t>2</w:t>
      </w:r>
      <w:r w:rsidR="008F739D" w:rsidRPr="002866E5">
        <w:rPr>
          <w:noProof/>
        </w:rPr>
        <w:t>5 rozporządzenia</w:t>
      </w:r>
      <w:r w:rsidR="008B35E8" w:rsidRPr="002866E5">
        <w:rPr>
          <w:noProof/>
        </w:rPr>
        <w:t xml:space="preserve"> w</w:t>
      </w:r>
      <w:r w:rsidR="008B35E8">
        <w:rPr>
          <w:noProof/>
        </w:rPr>
        <w:t> </w:t>
      </w:r>
      <w:r w:rsidR="008B35E8" w:rsidRPr="002866E5">
        <w:rPr>
          <w:noProof/>
        </w:rPr>
        <w:t>spr</w:t>
      </w:r>
      <w:r w:rsidR="008F739D" w:rsidRPr="002866E5">
        <w:rPr>
          <w:noProof/>
        </w:rPr>
        <w:t>awie ogólnego bezpieczeństwa produktów],</w:t>
      </w:r>
      <w:r w:rsidR="008B35E8" w:rsidRPr="002866E5">
        <w:rPr>
          <w:noProof/>
        </w:rPr>
        <w:t xml:space="preserve"> w</w:t>
      </w:r>
      <w:r w:rsidR="008B35E8">
        <w:rPr>
          <w:noProof/>
        </w:rPr>
        <w:t> </w:t>
      </w:r>
      <w:r w:rsidR="008B35E8" w:rsidRPr="002866E5">
        <w:rPr>
          <w:noProof/>
        </w:rPr>
        <w:t>odn</w:t>
      </w:r>
      <w:r w:rsidR="008F739D" w:rsidRPr="002866E5">
        <w:rPr>
          <w:noProof/>
        </w:rPr>
        <w:t>iesieniu do ryzyka</w:t>
      </w:r>
      <w:r w:rsidR="008B35E8" w:rsidRPr="002866E5">
        <w:rPr>
          <w:noProof/>
        </w:rPr>
        <w:t xml:space="preserve"> w</w:t>
      </w:r>
      <w:r w:rsidR="008B35E8">
        <w:rPr>
          <w:noProof/>
        </w:rPr>
        <w:t> </w:t>
      </w:r>
      <w:r w:rsidR="008B35E8" w:rsidRPr="002866E5">
        <w:rPr>
          <w:noProof/>
        </w:rPr>
        <w:t>zak</w:t>
      </w:r>
      <w:r w:rsidR="008F739D" w:rsidRPr="002866E5">
        <w:rPr>
          <w:noProof/>
        </w:rPr>
        <w:t>resie bezpieczeństwa nieobjętego niniejszym rozporządzeniem powinny mieć rozdział III sekcja 1, rozdziały V i VII oraz rozdziały IX–XI rozporządzenia [rozporządzenia</w:t>
      </w:r>
      <w:r w:rsidR="008B35E8" w:rsidRPr="002866E5">
        <w:rPr>
          <w:noProof/>
        </w:rPr>
        <w:t xml:space="preserve"> w</w:t>
      </w:r>
      <w:r w:rsidR="008B35E8">
        <w:rPr>
          <w:noProof/>
        </w:rPr>
        <w:t> </w:t>
      </w:r>
      <w:r w:rsidR="008B35E8" w:rsidRPr="002866E5">
        <w:rPr>
          <w:noProof/>
        </w:rPr>
        <w:t>spr</w:t>
      </w:r>
      <w:r w:rsidR="008F739D" w:rsidRPr="002866E5">
        <w:rPr>
          <w:noProof/>
        </w:rPr>
        <w:t>awie ogólnego bezpieczeństwa produktów].</w:t>
      </w:r>
    </w:p>
    <w:p w14:paraId="67ED86E6" w14:textId="789A1532" w:rsidR="00277603" w:rsidRPr="002866E5" w:rsidRDefault="00B4087C" w:rsidP="00B4087C">
      <w:pPr>
        <w:pStyle w:val="ManualConsidrant"/>
        <w:rPr>
          <w:noProof/>
        </w:rPr>
      </w:pPr>
      <w:r w:rsidRPr="00B4087C">
        <w:t>(29)</w:t>
      </w:r>
      <w:r w:rsidRPr="00B4087C">
        <w:tab/>
      </w:r>
      <w:r w:rsidR="00277603" w:rsidRPr="002866E5">
        <w:rPr>
          <w:noProof/>
        </w:rPr>
        <w:t>Produkty</w:t>
      </w:r>
      <w:r w:rsidR="008B35E8" w:rsidRPr="002866E5">
        <w:rPr>
          <w:noProof/>
        </w:rPr>
        <w:t xml:space="preserve"> z</w:t>
      </w:r>
      <w:r w:rsidR="008B35E8">
        <w:rPr>
          <w:noProof/>
        </w:rPr>
        <w:t> </w:t>
      </w:r>
      <w:r w:rsidR="008B35E8" w:rsidRPr="002866E5">
        <w:rPr>
          <w:noProof/>
        </w:rPr>
        <w:t>ele</w:t>
      </w:r>
      <w:r w:rsidR="00277603" w:rsidRPr="002866E5">
        <w:rPr>
          <w:noProof/>
        </w:rPr>
        <w:t>mentami cyfrowymi sklasyfikowane jako systemy sztucznej inteligencji wysokiego ryzyka zgodnie</w:t>
      </w:r>
      <w:r w:rsidR="008B35E8" w:rsidRPr="002866E5">
        <w:rPr>
          <w:noProof/>
        </w:rPr>
        <w:t xml:space="preserve"> z</w:t>
      </w:r>
      <w:r w:rsidR="008B35E8">
        <w:rPr>
          <w:noProof/>
        </w:rPr>
        <w:t> </w:t>
      </w:r>
      <w:r w:rsidR="008B35E8" w:rsidRPr="008B35E8">
        <w:rPr>
          <w:noProof/>
        </w:rPr>
        <w:t>art</w:t>
      </w:r>
      <w:r w:rsidR="00277603" w:rsidRPr="008B35E8">
        <w:rPr>
          <w:noProof/>
        </w:rPr>
        <w:t>.</w:t>
      </w:r>
      <w:r w:rsidR="008B35E8" w:rsidRPr="008B35E8">
        <w:rPr>
          <w:noProof/>
        </w:rPr>
        <w:t> </w:t>
      </w:r>
      <w:r w:rsidR="00277603" w:rsidRPr="008B35E8">
        <w:rPr>
          <w:noProof/>
        </w:rPr>
        <w:t>6</w:t>
      </w:r>
      <w:r w:rsidR="00277603" w:rsidRPr="002866E5">
        <w:rPr>
          <w:noProof/>
        </w:rPr>
        <w:t xml:space="preserve"> rozporządzenia</w:t>
      </w:r>
      <w:r w:rsidR="00277603" w:rsidRPr="002866E5">
        <w:rPr>
          <w:rStyle w:val="FootnoteReference"/>
          <w:noProof/>
        </w:rPr>
        <w:footnoteReference w:id="28"/>
      </w:r>
      <w:r w:rsidR="00277603" w:rsidRPr="002866E5">
        <w:rPr>
          <w:noProof/>
        </w:rPr>
        <w:t xml:space="preserve"> [rozporządzenia</w:t>
      </w:r>
      <w:r w:rsidR="008B35E8" w:rsidRPr="002866E5">
        <w:rPr>
          <w:noProof/>
        </w:rPr>
        <w:t xml:space="preserve"> w</w:t>
      </w:r>
      <w:r w:rsidR="008B35E8">
        <w:rPr>
          <w:noProof/>
        </w:rPr>
        <w:t> </w:t>
      </w:r>
      <w:r w:rsidR="008B35E8" w:rsidRPr="002866E5">
        <w:rPr>
          <w:noProof/>
        </w:rPr>
        <w:t>spr</w:t>
      </w:r>
      <w:r w:rsidR="00277603" w:rsidRPr="002866E5">
        <w:rPr>
          <w:noProof/>
        </w:rPr>
        <w:t>awie sztucznej inteligencji], wchodzące</w:t>
      </w:r>
      <w:r w:rsidR="008B35E8" w:rsidRPr="002866E5">
        <w:rPr>
          <w:noProof/>
        </w:rPr>
        <w:t xml:space="preserve"> w</w:t>
      </w:r>
      <w:r w:rsidR="008B35E8">
        <w:rPr>
          <w:noProof/>
        </w:rPr>
        <w:t> </w:t>
      </w:r>
      <w:r w:rsidR="008B35E8" w:rsidRPr="002866E5">
        <w:rPr>
          <w:noProof/>
        </w:rPr>
        <w:t>zak</w:t>
      </w:r>
      <w:r w:rsidR="00277603" w:rsidRPr="002866E5">
        <w:rPr>
          <w:noProof/>
        </w:rPr>
        <w:t>res niniejszego rozporządzenia, powinny spełniać zasadnicze wymogi określone</w:t>
      </w:r>
      <w:r w:rsidR="008B35E8" w:rsidRPr="002866E5">
        <w:rPr>
          <w:noProof/>
        </w:rPr>
        <w:t xml:space="preserve"> w</w:t>
      </w:r>
      <w:r w:rsidR="008B35E8">
        <w:rPr>
          <w:noProof/>
        </w:rPr>
        <w:t> </w:t>
      </w:r>
      <w:r w:rsidR="008B35E8" w:rsidRPr="002866E5">
        <w:rPr>
          <w:noProof/>
        </w:rPr>
        <w:t>nin</w:t>
      </w:r>
      <w:r w:rsidR="00277603" w:rsidRPr="002866E5">
        <w:rPr>
          <w:noProof/>
        </w:rPr>
        <w:t>iejszym rozporządzeniu. Jeżeli systemy sztucznej inteligencji wysokiego ryzyka spełniają zasadnicze wymogi niniejszego rozporządzenia, należy je uznać za zgodne</w:t>
      </w:r>
      <w:r w:rsidR="008B35E8" w:rsidRPr="002866E5">
        <w:rPr>
          <w:noProof/>
        </w:rPr>
        <w:t xml:space="preserve"> z</w:t>
      </w:r>
      <w:r w:rsidR="008B35E8">
        <w:rPr>
          <w:noProof/>
        </w:rPr>
        <w:t> </w:t>
      </w:r>
      <w:r w:rsidR="008B35E8" w:rsidRPr="002866E5">
        <w:rPr>
          <w:noProof/>
        </w:rPr>
        <w:t>wym</w:t>
      </w:r>
      <w:r w:rsidR="00277603" w:rsidRPr="002866E5">
        <w:rPr>
          <w:noProof/>
        </w:rPr>
        <w:t>ogami</w:t>
      </w:r>
      <w:r w:rsidR="008B35E8" w:rsidRPr="002866E5">
        <w:rPr>
          <w:noProof/>
        </w:rPr>
        <w:t xml:space="preserve"> w</w:t>
      </w:r>
      <w:r w:rsidR="008B35E8">
        <w:rPr>
          <w:noProof/>
        </w:rPr>
        <w:t> </w:t>
      </w:r>
      <w:r w:rsidR="008B35E8" w:rsidRPr="002866E5">
        <w:rPr>
          <w:noProof/>
        </w:rPr>
        <w:t>zak</w:t>
      </w:r>
      <w:r w:rsidR="00277603" w:rsidRPr="002866E5">
        <w:rPr>
          <w:noProof/>
        </w:rPr>
        <w:t>resie cyberbezpieczeństwa określonymi</w:t>
      </w:r>
      <w:r w:rsidR="008B35E8" w:rsidRPr="002866E5">
        <w:rPr>
          <w:noProof/>
        </w:rPr>
        <w:t xml:space="preserve"> w</w:t>
      </w:r>
      <w:r w:rsidR="008B35E8">
        <w:rPr>
          <w:noProof/>
        </w:rPr>
        <w:t> </w:t>
      </w:r>
      <w:r w:rsidR="008B35E8" w:rsidRPr="002866E5">
        <w:rPr>
          <w:noProof/>
        </w:rPr>
        <w:t>art</w:t>
      </w:r>
      <w:r w:rsidR="00277603" w:rsidRPr="002866E5">
        <w:rPr>
          <w:noProof/>
        </w:rPr>
        <w:t>. [</w:t>
      </w:r>
      <w:r w:rsidR="00277603" w:rsidRPr="008B35E8">
        <w:rPr>
          <w:noProof/>
        </w:rPr>
        <w:t>art.</w:t>
      </w:r>
      <w:r w:rsidR="008B35E8" w:rsidRPr="008B35E8">
        <w:rPr>
          <w:noProof/>
        </w:rPr>
        <w:t> </w:t>
      </w:r>
      <w:r w:rsidR="00277603" w:rsidRPr="008B35E8">
        <w:rPr>
          <w:noProof/>
        </w:rPr>
        <w:t>1</w:t>
      </w:r>
      <w:r w:rsidR="00277603" w:rsidRPr="002866E5">
        <w:rPr>
          <w:noProof/>
        </w:rPr>
        <w:t>5] rozporządzenia [rozporządzenia</w:t>
      </w:r>
      <w:r w:rsidR="008B35E8" w:rsidRPr="002866E5">
        <w:rPr>
          <w:noProof/>
        </w:rPr>
        <w:t xml:space="preserve"> w</w:t>
      </w:r>
      <w:r w:rsidR="008B35E8">
        <w:rPr>
          <w:noProof/>
        </w:rPr>
        <w:t> </w:t>
      </w:r>
      <w:r w:rsidR="008B35E8" w:rsidRPr="002866E5">
        <w:rPr>
          <w:noProof/>
        </w:rPr>
        <w:t>spr</w:t>
      </w:r>
      <w:r w:rsidR="00277603" w:rsidRPr="002866E5">
        <w:rPr>
          <w:noProof/>
        </w:rPr>
        <w:t>awie sztucznej inteligencji]</w:t>
      </w:r>
      <w:r w:rsidR="008B35E8" w:rsidRPr="002866E5">
        <w:rPr>
          <w:noProof/>
        </w:rPr>
        <w:t xml:space="preserve"> w</w:t>
      </w:r>
      <w:r w:rsidR="008B35E8">
        <w:rPr>
          <w:noProof/>
        </w:rPr>
        <w:t> </w:t>
      </w:r>
      <w:r w:rsidR="008B35E8" w:rsidRPr="002866E5">
        <w:rPr>
          <w:noProof/>
        </w:rPr>
        <w:t>tak</w:t>
      </w:r>
      <w:r w:rsidR="00277603" w:rsidRPr="002866E5">
        <w:rPr>
          <w:noProof/>
        </w:rPr>
        <w:t>im zakresie,</w:t>
      </w:r>
      <w:r w:rsidR="008B35E8" w:rsidRPr="002866E5">
        <w:rPr>
          <w:noProof/>
        </w:rPr>
        <w:t xml:space="preserve"> w</w:t>
      </w:r>
      <w:r w:rsidR="008B35E8">
        <w:rPr>
          <w:noProof/>
        </w:rPr>
        <w:t> </w:t>
      </w:r>
      <w:r w:rsidR="008B35E8" w:rsidRPr="002866E5">
        <w:rPr>
          <w:noProof/>
        </w:rPr>
        <w:t>jak</w:t>
      </w:r>
      <w:r w:rsidR="00277603" w:rsidRPr="002866E5">
        <w:rPr>
          <w:noProof/>
        </w:rPr>
        <w:t>im wymogi te są objęte deklaracją zgodności UE lub jej częściami wydanymi na podstawie niniejszego rozporządzenia. Jeśli chodzi</w:t>
      </w:r>
      <w:r w:rsidR="008B35E8" w:rsidRPr="002866E5">
        <w:rPr>
          <w:noProof/>
        </w:rPr>
        <w:t xml:space="preserve"> o</w:t>
      </w:r>
      <w:r w:rsidR="008B35E8">
        <w:rPr>
          <w:noProof/>
        </w:rPr>
        <w:t> </w:t>
      </w:r>
      <w:r w:rsidR="008B35E8" w:rsidRPr="002866E5">
        <w:rPr>
          <w:noProof/>
        </w:rPr>
        <w:t>pro</w:t>
      </w:r>
      <w:r w:rsidR="00277603" w:rsidRPr="002866E5">
        <w:rPr>
          <w:noProof/>
        </w:rPr>
        <w:t>cedury oceny zgodności dotyczące zasadniczych wymogów cyberbezpieczeństwa</w:t>
      </w:r>
      <w:r w:rsidR="008B35E8" w:rsidRPr="002866E5">
        <w:rPr>
          <w:noProof/>
        </w:rPr>
        <w:t xml:space="preserve"> w</w:t>
      </w:r>
      <w:r w:rsidR="008B35E8">
        <w:rPr>
          <w:noProof/>
        </w:rPr>
        <w:t> </w:t>
      </w:r>
      <w:r w:rsidR="008B35E8" w:rsidRPr="002866E5">
        <w:rPr>
          <w:noProof/>
        </w:rPr>
        <w:t>odn</w:t>
      </w:r>
      <w:r w:rsidR="00277603" w:rsidRPr="002866E5">
        <w:rPr>
          <w:noProof/>
        </w:rPr>
        <w:t>iesieniu do produktu</w:t>
      </w:r>
      <w:r w:rsidR="008B35E8" w:rsidRPr="002866E5">
        <w:rPr>
          <w:noProof/>
        </w:rPr>
        <w:t xml:space="preserve"> z</w:t>
      </w:r>
      <w:r w:rsidR="008B35E8">
        <w:rPr>
          <w:noProof/>
        </w:rPr>
        <w:t> </w:t>
      </w:r>
      <w:r w:rsidR="008B35E8" w:rsidRPr="002866E5">
        <w:rPr>
          <w:noProof/>
        </w:rPr>
        <w:t>ele</w:t>
      </w:r>
      <w:r w:rsidR="00277603" w:rsidRPr="002866E5">
        <w:rPr>
          <w:noProof/>
        </w:rPr>
        <w:t>mentami cyfrowymi objętego niniejszym rozporządzeniem</w:t>
      </w:r>
      <w:r w:rsidR="008B35E8" w:rsidRPr="002866E5">
        <w:rPr>
          <w:noProof/>
        </w:rPr>
        <w:t xml:space="preserve"> i</w:t>
      </w:r>
      <w:r w:rsidR="008B35E8">
        <w:rPr>
          <w:noProof/>
        </w:rPr>
        <w:t> </w:t>
      </w:r>
      <w:r w:rsidR="008B35E8" w:rsidRPr="002866E5">
        <w:rPr>
          <w:noProof/>
        </w:rPr>
        <w:t>skl</w:t>
      </w:r>
      <w:r w:rsidR="00277603" w:rsidRPr="002866E5">
        <w:rPr>
          <w:noProof/>
        </w:rPr>
        <w:t xml:space="preserve">asyfikowanego jako system sztucznej inteligencji wysokiego ryzyka, co do zasady zastosowanie powinny mieć nie przepisy niniejszego rozporządzenia, ale odpowiednie przepisy </w:t>
      </w:r>
      <w:r w:rsidR="00277603" w:rsidRPr="008B35E8">
        <w:rPr>
          <w:noProof/>
        </w:rPr>
        <w:t>art.</w:t>
      </w:r>
      <w:r w:rsidR="008B35E8" w:rsidRPr="008B35E8">
        <w:rPr>
          <w:noProof/>
        </w:rPr>
        <w:t> </w:t>
      </w:r>
      <w:r w:rsidR="00277603" w:rsidRPr="008B35E8">
        <w:rPr>
          <w:noProof/>
        </w:rPr>
        <w:t>4</w:t>
      </w:r>
      <w:r w:rsidR="00277603" w:rsidRPr="002866E5">
        <w:rPr>
          <w:noProof/>
        </w:rPr>
        <w:t>3 rozporządzenia [rozporządzenia</w:t>
      </w:r>
      <w:r w:rsidR="008B35E8" w:rsidRPr="002866E5">
        <w:rPr>
          <w:noProof/>
        </w:rPr>
        <w:t xml:space="preserve"> w</w:t>
      </w:r>
      <w:r w:rsidR="008B35E8">
        <w:rPr>
          <w:noProof/>
        </w:rPr>
        <w:t> </w:t>
      </w:r>
      <w:r w:rsidR="008B35E8" w:rsidRPr="002866E5">
        <w:rPr>
          <w:noProof/>
        </w:rPr>
        <w:t>spr</w:t>
      </w:r>
      <w:r w:rsidR="00277603" w:rsidRPr="002866E5">
        <w:rPr>
          <w:noProof/>
        </w:rPr>
        <w:t>awie sztucznej inteligencji]. Zasada ta nie powinna jednak powodować zmniejszenia niezbędnego poziomu bezpieczeństwa</w:t>
      </w:r>
      <w:r w:rsidR="008B35E8" w:rsidRPr="002866E5">
        <w:rPr>
          <w:noProof/>
        </w:rPr>
        <w:t xml:space="preserve"> w</w:t>
      </w:r>
      <w:r w:rsidR="008B35E8">
        <w:rPr>
          <w:noProof/>
        </w:rPr>
        <w:t> </w:t>
      </w:r>
      <w:r w:rsidR="008B35E8" w:rsidRPr="002866E5">
        <w:rPr>
          <w:noProof/>
        </w:rPr>
        <w:t>odn</w:t>
      </w:r>
      <w:r w:rsidR="00277603" w:rsidRPr="002866E5">
        <w:rPr>
          <w:noProof/>
        </w:rPr>
        <w:t>iesieniu do produktów krytycznych</w:t>
      </w:r>
      <w:r w:rsidR="008B35E8" w:rsidRPr="002866E5">
        <w:rPr>
          <w:noProof/>
        </w:rPr>
        <w:t xml:space="preserve"> z</w:t>
      </w:r>
      <w:r w:rsidR="008B35E8">
        <w:rPr>
          <w:noProof/>
        </w:rPr>
        <w:t> </w:t>
      </w:r>
      <w:r w:rsidR="008B35E8" w:rsidRPr="002866E5">
        <w:rPr>
          <w:noProof/>
        </w:rPr>
        <w:t>ele</w:t>
      </w:r>
      <w:r w:rsidR="00277603" w:rsidRPr="002866E5">
        <w:rPr>
          <w:noProof/>
        </w:rPr>
        <w:t>mentami cyfrowymi objętych niniejszym rozporządzeniem</w:t>
      </w:r>
      <w:r w:rsidR="008B35E8" w:rsidRPr="002866E5">
        <w:rPr>
          <w:noProof/>
        </w:rPr>
        <w:t>. Z</w:t>
      </w:r>
      <w:r w:rsidR="008B35E8">
        <w:rPr>
          <w:noProof/>
        </w:rPr>
        <w:t> </w:t>
      </w:r>
      <w:r w:rsidR="008B35E8" w:rsidRPr="002866E5">
        <w:rPr>
          <w:noProof/>
        </w:rPr>
        <w:t>teg</w:t>
      </w:r>
      <w:r w:rsidR="00277603" w:rsidRPr="002866E5">
        <w:rPr>
          <w:noProof/>
        </w:rPr>
        <w:t>o względu, na zasadzie odstępstwa od tej zasady, systemy sztucznej inteligencji wysokiego ryzyka, które wchodzą</w:t>
      </w:r>
      <w:r w:rsidR="008B35E8" w:rsidRPr="002866E5">
        <w:rPr>
          <w:noProof/>
        </w:rPr>
        <w:t xml:space="preserve"> w</w:t>
      </w:r>
      <w:r w:rsidR="008B35E8">
        <w:rPr>
          <w:noProof/>
        </w:rPr>
        <w:t> </w:t>
      </w:r>
      <w:r w:rsidR="008B35E8" w:rsidRPr="002866E5">
        <w:rPr>
          <w:noProof/>
        </w:rPr>
        <w:t>zak</w:t>
      </w:r>
      <w:r w:rsidR="00277603" w:rsidRPr="002866E5">
        <w:rPr>
          <w:noProof/>
        </w:rPr>
        <w:t>res rozporządzenia [rozporządzenia</w:t>
      </w:r>
      <w:r w:rsidR="008B35E8" w:rsidRPr="002866E5">
        <w:rPr>
          <w:noProof/>
        </w:rPr>
        <w:t xml:space="preserve"> w</w:t>
      </w:r>
      <w:r w:rsidR="008B35E8">
        <w:rPr>
          <w:noProof/>
        </w:rPr>
        <w:t> </w:t>
      </w:r>
      <w:r w:rsidR="008B35E8" w:rsidRPr="002866E5">
        <w:rPr>
          <w:noProof/>
        </w:rPr>
        <w:t>spr</w:t>
      </w:r>
      <w:r w:rsidR="00277603" w:rsidRPr="002866E5">
        <w:rPr>
          <w:noProof/>
        </w:rPr>
        <w:t>awie sztucznej inteligencji] i są również kwalifikowane jako produkty krytyczne</w:t>
      </w:r>
      <w:r w:rsidR="008B35E8" w:rsidRPr="002866E5">
        <w:rPr>
          <w:noProof/>
        </w:rPr>
        <w:t xml:space="preserve"> z</w:t>
      </w:r>
      <w:r w:rsidR="008B35E8">
        <w:rPr>
          <w:noProof/>
        </w:rPr>
        <w:t> </w:t>
      </w:r>
      <w:r w:rsidR="008B35E8" w:rsidRPr="002866E5">
        <w:rPr>
          <w:noProof/>
        </w:rPr>
        <w:t>ele</w:t>
      </w:r>
      <w:r w:rsidR="00277603" w:rsidRPr="002866E5">
        <w:rPr>
          <w:noProof/>
        </w:rPr>
        <w:t>mentami cyfrowymi na podstawie niniejszego rozporządzenia oraz do których zastosowanie ma procedura oceny zgodności opierająca się na kontroli wewnętrznej,</w:t>
      </w:r>
      <w:r w:rsidR="008B35E8" w:rsidRPr="002866E5">
        <w:rPr>
          <w:noProof/>
        </w:rPr>
        <w:t xml:space="preserve"> o</w:t>
      </w:r>
      <w:r w:rsidR="008B35E8">
        <w:rPr>
          <w:noProof/>
        </w:rPr>
        <w:t> </w:t>
      </w:r>
      <w:r w:rsidR="008B35E8" w:rsidRPr="002866E5">
        <w:rPr>
          <w:noProof/>
        </w:rPr>
        <w:t>któ</w:t>
      </w:r>
      <w:r w:rsidR="00277603" w:rsidRPr="002866E5">
        <w:rPr>
          <w:noProof/>
        </w:rPr>
        <w:t>rej mowa</w:t>
      </w:r>
      <w:r w:rsidR="008B35E8" w:rsidRPr="002866E5">
        <w:rPr>
          <w:noProof/>
        </w:rPr>
        <w:t xml:space="preserve"> w</w:t>
      </w:r>
      <w:r w:rsidR="008B35E8">
        <w:rPr>
          <w:noProof/>
        </w:rPr>
        <w:t> </w:t>
      </w:r>
      <w:r w:rsidR="008B35E8" w:rsidRPr="002866E5">
        <w:rPr>
          <w:noProof/>
        </w:rPr>
        <w:t>zał</w:t>
      </w:r>
      <w:r w:rsidR="00277603" w:rsidRPr="002866E5">
        <w:rPr>
          <w:noProof/>
        </w:rPr>
        <w:t>ączniku VI do rozporządzenia [rozporządzenia</w:t>
      </w:r>
      <w:r w:rsidR="008B35E8" w:rsidRPr="002866E5">
        <w:rPr>
          <w:noProof/>
        </w:rPr>
        <w:t xml:space="preserve"> w</w:t>
      </w:r>
      <w:r w:rsidR="008B35E8">
        <w:rPr>
          <w:noProof/>
        </w:rPr>
        <w:t> </w:t>
      </w:r>
      <w:r w:rsidR="008B35E8" w:rsidRPr="002866E5">
        <w:rPr>
          <w:noProof/>
        </w:rPr>
        <w:t>spr</w:t>
      </w:r>
      <w:r w:rsidR="00277603" w:rsidRPr="002866E5">
        <w:rPr>
          <w:noProof/>
        </w:rPr>
        <w:t>awie sztucznej inteligencji], powinny podlegać przepisom niniejszego rozporządzenia dotyczącym oceny zgodności</w:t>
      </w:r>
      <w:r w:rsidR="008B35E8" w:rsidRPr="002866E5">
        <w:rPr>
          <w:noProof/>
        </w:rPr>
        <w:t xml:space="preserve"> w</w:t>
      </w:r>
      <w:r w:rsidR="008B35E8">
        <w:rPr>
          <w:noProof/>
        </w:rPr>
        <w:t> </w:t>
      </w:r>
      <w:r w:rsidR="008B35E8" w:rsidRPr="002866E5">
        <w:rPr>
          <w:noProof/>
        </w:rPr>
        <w:t>zak</w:t>
      </w:r>
      <w:r w:rsidR="00277603" w:rsidRPr="002866E5">
        <w:rPr>
          <w:noProof/>
        </w:rPr>
        <w:t>resie zasadniczych wymogów niniejszego rozporządzenia</w:t>
      </w:r>
      <w:r w:rsidR="008B35E8" w:rsidRPr="002866E5">
        <w:rPr>
          <w:noProof/>
        </w:rPr>
        <w:t>. W</w:t>
      </w:r>
      <w:r w:rsidR="008B35E8">
        <w:rPr>
          <w:noProof/>
        </w:rPr>
        <w:t> </w:t>
      </w:r>
      <w:r w:rsidR="008B35E8" w:rsidRPr="002866E5">
        <w:rPr>
          <w:noProof/>
        </w:rPr>
        <w:t>tym</w:t>
      </w:r>
      <w:r w:rsidR="00277603" w:rsidRPr="002866E5">
        <w:rPr>
          <w:noProof/>
        </w:rPr>
        <w:t xml:space="preserve"> przypadku do wszystkich pozostałych aspektów objętych rozporządzeniem [rozporządzeniem</w:t>
      </w:r>
      <w:r w:rsidR="008B35E8" w:rsidRPr="002866E5">
        <w:rPr>
          <w:noProof/>
        </w:rPr>
        <w:t xml:space="preserve"> w</w:t>
      </w:r>
      <w:r w:rsidR="008B35E8">
        <w:rPr>
          <w:noProof/>
        </w:rPr>
        <w:t> </w:t>
      </w:r>
      <w:r w:rsidR="008B35E8" w:rsidRPr="002866E5">
        <w:rPr>
          <w:noProof/>
        </w:rPr>
        <w:t>spr</w:t>
      </w:r>
      <w:r w:rsidR="00277603" w:rsidRPr="002866E5">
        <w:rPr>
          <w:noProof/>
        </w:rPr>
        <w:t xml:space="preserve">awie sztucznej inteligencji] należy </w:t>
      </w:r>
      <w:r w:rsidR="00277603" w:rsidRPr="002866E5">
        <w:rPr>
          <w:noProof/>
        </w:rPr>
        <w:lastRenderedPageBreak/>
        <w:t>stosować odpowiednie przepisy dotyczące oceny zgodności opierającej się na kontroli wewnętrznej określone</w:t>
      </w:r>
      <w:r w:rsidR="008B35E8" w:rsidRPr="002866E5">
        <w:rPr>
          <w:noProof/>
        </w:rPr>
        <w:t xml:space="preserve"> w</w:t>
      </w:r>
      <w:r w:rsidR="008B35E8">
        <w:rPr>
          <w:noProof/>
        </w:rPr>
        <w:t> </w:t>
      </w:r>
      <w:r w:rsidR="008B35E8" w:rsidRPr="002866E5">
        <w:rPr>
          <w:noProof/>
        </w:rPr>
        <w:t>zał</w:t>
      </w:r>
      <w:r w:rsidR="00277603" w:rsidRPr="002866E5">
        <w:rPr>
          <w:noProof/>
        </w:rPr>
        <w:t>ączniku VI do rozporządzenia [rozporządzenia</w:t>
      </w:r>
      <w:r w:rsidR="008B35E8" w:rsidRPr="002866E5">
        <w:rPr>
          <w:noProof/>
        </w:rPr>
        <w:t xml:space="preserve"> w</w:t>
      </w:r>
      <w:r w:rsidR="008B35E8">
        <w:rPr>
          <w:noProof/>
        </w:rPr>
        <w:t> </w:t>
      </w:r>
      <w:r w:rsidR="008B35E8" w:rsidRPr="002866E5">
        <w:rPr>
          <w:noProof/>
        </w:rPr>
        <w:t>spr</w:t>
      </w:r>
      <w:r w:rsidR="00277603" w:rsidRPr="002866E5">
        <w:rPr>
          <w:noProof/>
        </w:rPr>
        <w:t>awie sztucznej inteligencji].</w:t>
      </w:r>
    </w:p>
    <w:p w14:paraId="67ED86E7" w14:textId="528CA4C6" w:rsidR="00277603" w:rsidRPr="002866E5" w:rsidRDefault="00B4087C" w:rsidP="00B4087C">
      <w:pPr>
        <w:pStyle w:val="ManualConsidrant"/>
        <w:rPr>
          <w:noProof/>
        </w:rPr>
      </w:pPr>
      <w:r w:rsidRPr="00B4087C">
        <w:t>(30)</w:t>
      </w:r>
      <w:r w:rsidRPr="00B4087C">
        <w:tab/>
      </w:r>
      <w:r w:rsidR="00277603" w:rsidRPr="002866E5">
        <w:rPr>
          <w:noProof/>
        </w:rPr>
        <w:t>Produkty maszynowe wchodzące</w:t>
      </w:r>
      <w:r w:rsidR="008B35E8" w:rsidRPr="002866E5">
        <w:rPr>
          <w:noProof/>
        </w:rPr>
        <w:t xml:space="preserve"> w</w:t>
      </w:r>
      <w:r w:rsidR="008B35E8">
        <w:rPr>
          <w:noProof/>
        </w:rPr>
        <w:t> </w:t>
      </w:r>
      <w:r w:rsidR="008B35E8" w:rsidRPr="002866E5">
        <w:rPr>
          <w:noProof/>
        </w:rPr>
        <w:t>zak</w:t>
      </w:r>
      <w:r w:rsidR="00277603" w:rsidRPr="002866E5">
        <w:rPr>
          <w:noProof/>
        </w:rPr>
        <w:t>res rozporządzenia [wniosku dotyczącego rozporządzenia</w:t>
      </w:r>
      <w:r w:rsidR="008B35E8" w:rsidRPr="002866E5">
        <w:rPr>
          <w:noProof/>
        </w:rPr>
        <w:t xml:space="preserve"> w</w:t>
      </w:r>
      <w:r w:rsidR="008B35E8">
        <w:rPr>
          <w:noProof/>
        </w:rPr>
        <w:t> </w:t>
      </w:r>
      <w:r w:rsidR="008B35E8" w:rsidRPr="002866E5">
        <w:rPr>
          <w:noProof/>
        </w:rPr>
        <w:t>spr</w:t>
      </w:r>
      <w:r w:rsidR="00277603" w:rsidRPr="002866E5">
        <w:rPr>
          <w:noProof/>
        </w:rPr>
        <w:t>awie maszyn], które są produktami</w:t>
      </w:r>
      <w:r w:rsidR="008B35E8" w:rsidRPr="002866E5">
        <w:rPr>
          <w:noProof/>
        </w:rPr>
        <w:t xml:space="preserve"> z</w:t>
      </w:r>
      <w:r w:rsidR="008B35E8">
        <w:rPr>
          <w:noProof/>
        </w:rPr>
        <w:t> </w:t>
      </w:r>
      <w:r w:rsidR="008B35E8" w:rsidRPr="002866E5">
        <w:rPr>
          <w:noProof/>
        </w:rPr>
        <w:t>ele</w:t>
      </w:r>
      <w:r w:rsidR="00277603" w:rsidRPr="002866E5">
        <w:rPr>
          <w:noProof/>
        </w:rPr>
        <w:t>mentami cyfrowymi</w:t>
      </w:r>
      <w:r w:rsidR="008B35E8" w:rsidRPr="002866E5">
        <w:rPr>
          <w:noProof/>
        </w:rPr>
        <w:t xml:space="preserve"> w</w:t>
      </w:r>
      <w:r w:rsidR="008B35E8">
        <w:rPr>
          <w:noProof/>
        </w:rPr>
        <w:t> </w:t>
      </w:r>
      <w:r w:rsidR="008B35E8" w:rsidRPr="002866E5">
        <w:rPr>
          <w:noProof/>
        </w:rPr>
        <w:t>roz</w:t>
      </w:r>
      <w:r w:rsidR="00277603" w:rsidRPr="002866E5">
        <w:rPr>
          <w:noProof/>
        </w:rPr>
        <w:t>umieniu niniejszego rozporządzenia</w:t>
      </w:r>
      <w:r w:rsidR="008B35E8" w:rsidRPr="002866E5">
        <w:rPr>
          <w:noProof/>
        </w:rPr>
        <w:t xml:space="preserve"> i</w:t>
      </w:r>
      <w:r w:rsidR="008B35E8">
        <w:rPr>
          <w:noProof/>
        </w:rPr>
        <w:t> </w:t>
      </w:r>
      <w:r w:rsidR="008B35E8" w:rsidRPr="002866E5">
        <w:rPr>
          <w:noProof/>
        </w:rPr>
        <w:t>w</w:t>
      </w:r>
      <w:r w:rsidR="008B35E8">
        <w:rPr>
          <w:noProof/>
        </w:rPr>
        <w:t> </w:t>
      </w:r>
      <w:r w:rsidR="008B35E8" w:rsidRPr="002866E5">
        <w:rPr>
          <w:noProof/>
        </w:rPr>
        <w:t>odn</w:t>
      </w:r>
      <w:r w:rsidR="00277603" w:rsidRPr="002866E5">
        <w:rPr>
          <w:noProof/>
        </w:rPr>
        <w:t>iesieniu do których wydano deklarację zgodności na podstawie niniejszego rozporządzenia, należy uznać za zgodne</w:t>
      </w:r>
      <w:r w:rsidR="008B35E8" w:rsidRPr="002866E5">
        <w:rPr>
          <w:noProof/>
        </w:rPr>
        <w:t xml:space="preserve"> z</w:t>
      </w:r>
      <w:r w:rsidR="008B35E8">
        <w:rPr>
          <w:noProof/>
        </w:rPr>
        <w:t> </w:t>
      </w:r>
      <w:r w:rsidR="008B35E8" w:rsidRPr="002866E5">
        <w:rPr>
          <w:noProof/>
        </w:rPr>
        <w:t>zas</w:t>
      </w:r>
      <w:r w:rsidR="00277603" w:rsidRPr="002866E5">
        <w:rPr>
          <w:noProof/>
        </w:rPr>
        <w:t>adniczymi wymaganiami</w:t>
      </w:r>
      <w:r w:rsidR="008B35E8" w:rsidRPr="002866E5">
        <w:rPr>
          <w:noProof/>
        </w:rPr>
        <w:t xml:space="preserve"> w</w:t>
      </w:r>
      <w:r w:rsidR="008B35E8">
        <w:rPr>
          <w:noProof/>
        </w:rPr>
        <w:t> </w:t>
      </w:r>
      <w:r w:rsidR="008B35E8" w:rsidRPr="002866E5">
        <w:rPr>
          <w:noProof/>
        </w:rPr>
        <w:t>zak</w:t>
      </w:r>
      <w:r w:rsidR="00277603" w:rsidRPr="002866E5">
        <w:rPr>
          <w:noProof/>
        </w:rPr>
        <w:t>resie ochrony zdrowia</w:t>
      </w:r>
      <w:r w:rsidR="008B35E8" w:rsidRPr="002866E5">
        <w:rPr>
          <w:noProof/>
        </w:rPr>
        <w:t xml:space="preserve"> i</w:t>
      </w:r>
      <w:r w:rsidR="008B35E8">
        <w:rPr>
          <w:noProof/>
        </w:rPr>
        <w:t> </w:t>
      </w:r>
      <w:r w:rsidR="008B35E8" w:rsidRPr="002866E5">
        <w:rPr>
          <w:noProof/>
        </w:rPr>
        <w:t>bez</w:t>
      </w:r>
      <w:r w:rsidR="00277603" w:rsidRPr="002866E5">
        <w:rPr>
          <w:noProof/>
        </w:rPr>
        <w:t>pieczeństwa określonymi w [sekcjach 1.1.9</w:t>
      </w:r>
      <w:r w:rsidR="008B35E8" w:rsidRPr="002866E5">
        <w:rPr>
          <w:noProof/>
        </w:rPr>
        <w:t xml:space="preserve"> i</w:t>
      </w:r>
      <w:r w:rsidR="008B35E8">
        <w:rPr>
          <w:noProof/>
        </w:rPr>
        <w:t> </w:t>
      </w:r>
      <w:r w:rsidR="008B35E8" w:rsidRPr="002866E5">
        <w:rPr>
          <w:noProof/>
        </w:rPr>
        <w:t>1</w:t>
      </w:r>
      <w:r w:rsidR="00277603" w:rsidRPr="002866E5">
        <w:rPr>
          <w:noProof/>
        </w:rPr>
        <w:t>.2.1 załącznika III] do rozporządzenia [wniosku dotyczącego rozporządzenia</w:t>
      </w:r>
      <w:r w:rsidR="008B35E8" w:rsidRPr="002866E5">
        <w:rPr>
          <w:noProof/>
        </w:rPr>
        <w:t xml:space="preserve"> w</w:t>
      </w:r>
      <w:r w:rsidR="008B35E8">
        <w:rPr>
          <w:noProof/>
        </w:rPr>
        <w:t> </w:t>
      </w:r>
      <w:r w:rsidR="008B35E8" w:rsidRPr="002866E5">
        <w:rPr>
          <w:noProof/>
        </w:rPr>
        <w:t>spr</w:t>
      </w:r>
      <w:r w:rsidR="00277603" w:rsidRPr="002866E5">
        <w:rPr>
          <w:noProof/>
        </w:rPr>
        <w:t>awie maszyn]</w:t>
      </w:r>
      <w:r w:rsidR="008B35E8" w:rsidRPr="002866E5">
        <w:rPr>
          <w:noProof/>
        </w:rPr>
        <w:t xml:space="preserve"> w</w:t>
      </w:r>
      <w:r w:rsidR="008B35E8">
        <w:rPr>
          <w:noProof/>
        </w:rPr>
        <w:t> </w:t>
      </w:r>
      <w:r w:rsidR="008B35E8" w:rsidRPr="002866E5">
        <w:rPr>
          <w:noProof/>
        </w:rPr>
        <w:t>odn</w:t>
      </w:r>
      <w:r w:rsidR="00277603" w:rsidRPr="002866E5">
        <w:rPr>
          <w:noProof/>
        </w:rPr>
        <w:t>iesieniu do zabezpieczenia przed uszkodzeniem oraz bezpieczeństwa</w:t>
      </w:r>
      <w:r w:rsidR="008B35E8" w:rsidRPr="002866E5">
        <w:rPr>
          <w:noProof/>
        </w:rPr>
        <w:t xml:space="preserve"> i</w:t>
      </w:r>
      <w:r w:rsidR="008B35E8">
        <w:rPr>
          <w:noProof/>
        </w:rPr>
        <w:t> </w:t>
      </w:r>
      <w:r w:rsidR="008B35E8" w:rsidRPr="002866E5">
        <w:rPr>
          <w:noProof/>
        </w:rPr>
        <w:t>nie</w:t>
      </w:r>
      <w:r w:rsidR="00277603" w:rsidRPr="002866E5">
        <w:rPr>
          <w:noProof/>
        </w:rPr>
        <w:t>zawodności układów sterowania</w:t>
      </w:r>
      <w:r w:rsidR="008B35E8" w:rsidRPr="002866E5">
        <w:rPr>
          <w:noProof/>
        </w:rPr>
        <w:t xml:space="preserve"> w</w:t>
      </w:r>
      <w:r w:rsidR="008B35E8">
        <w:rPr>
          <w:noProof/>
        </w:rPr>
        <w:t> </w:t>
      </w:r>
      <w:r w:rsidR="008B35E8" w:rsidRPr="002866E5">
        <w:rPr>
          <w:noProof/>
        </w:rPr>
        <w:t>zak</w:t>
      </w:r>
      <w:r w:rsidR="00277603" w:rsidRPr="002866E5">
        <w:rPr>
          <w:noProof/>
        </w:rPr>
        <w:t>resie,</w:t>
      </w:r>
      <w:r w:rsidR="008B35E8" w:rsidRPr="002866E5">
        <w:rPr>
          <w:noProof/>
        </w:rPr>
        <w:t xml:space="preserve"> w</w:t>
      </w:r>
      <w:r w:rsidR="008B35E8">
        <w:rPr>
          <w:noProof/>
        </w:rPr>
        <w:t> </w:t>
      </w:r>
      <w:r w:rsidR="008B35E8" w:rsidRPr="002866E5">
        <w:rPr>
          <w:noProof/>
        </w:rPr>
        <w:t>jak</w:t>
      </w:r>
      <w:r w:rsidR="00277603" w:rsidRPr="002866E5">
        <w:rPr>
          <w:noProof/>
        </w:rPr>
        <w:t>im zgodność</w:t>
      </w:r>
      <w:r w:rsidR="008B35E8" w:rsidRPr="002866E5">
        <w:rPr>
          <w:noProof/>
        </w:rPr>
        <w:t xml:space="preserve"> z</w:t>
      </w:r>
      <w:r w:rsidR="008B35E8">
        <w:rPr>
          <w:noProof/>
        </w:rPr>
        <w:t> </w:t>
      </w:r>
      <w:r w:rsidR="008B35E8" w:rsidRPr="002866E5">
        <w:rPr>
          <w:noProof/>
        </w:rPr>
        <w:t>tym</w:t>
      </w:r>
      <w:r w:rsidR="00277603" w:rsidRPr="002866E5">
        <w:rPr>
          <w:noProof/>
        </w:rPr>
        <w:t>i wymaganiami wykazano</w:t>
      </w:r>
      <w:r w:rsidR="008B35E8" w:rsidRPr="002866E5">
        <w:rPr>
          <w:noProof/>
        </w:rPr>
        <w:t xml:space="preserve"> w</w:t>
      </w:r>
      <w:r w:rsidR="008B35E8">
        <w:rPr>
          <w:noProof/>
        </w:rPr>
        <w:t> </w:t>
      </w:r>
      <w:r w:rsidR="008B35E8" w:rsidRPr="002866E5">
        <w:rPr>
          <w:noProof/>
        </w:rPr>
        <w:t>dek</w:t>
      </w:r>
      <w:r w:rsidR="00277603" w:rsidRPr="002866E5">
        <w:rPr>
          <w:noProof/>
        </w:rPr>
        <w:t>laracji zgodności UE wydanej na podstawie niniejszego rozporządzenia.</w:t>
      </w:r>
    </w:p>
    <w:p w14:paraId="67ED86E8" w14:textId="6069B68A" w:rsidR="004F1230" w:rsidRPr="002866E5" w:rsidRDefault="00B4087C" w:rsidP="00B4087C">
      <w:pPr>
        <w:pStyle w:val="ManualConsidrant"/>
        <w:rPr>
          <w:noProof/>
        </w:rPr>
      </w:pPr>
      <w:r w:rsidRPr="00B4087C">
        <w:t>(31)</w:t>
      </w:r>
      <w:r w:rsidRPr="00B4087C">
        <w:tab/>
      </w:r>
      <w:r w:rsidR="00B5727A" w:rsidRPr="002866E5">
        <w:rPr>
          <w:noProof/>
        </w:rPr>
        <w:t>Rozporządzenie [wniosek dotyczący rozporządzenia</w:t>
      </w:r>
      <w:r w:rsidR="008B35E8" w:rsidRPr="002866E5">
        <w:rPr>
          <w:noProof/>
        </w:rPr>
        <w:t xml:space="preserve"> w</w:t>
      </w:r>
      <w:r w:rsidR="008B35E8">
        <w:rPr>
          <w:noProof/>
        </w:rPr>
        <w:t> </w:t>
      </w:r>
      <w:r w:rsidR="008B35E8" w:rsidRPr="002866E5">
        <w:rPr>
          <w:noProof/>
        </w:rPr>
        <w:t>spr</w:t>
      </w:r>
      <w:r w:rsidR="00B5727A" w:rsidRPr="002866E5">
        <w:rPr>
          <w:noProof/>
        </w:rPr>
        <w:t>awie europejskiej przestrzeni danych dotyczących zdrowia] uzupełnia zasadnicze wymogi określone</w:t>
      </w:r>
      <w:r w:rsidR="008B35E8" w:rsidRPr="002866E5">
        <w:rPr>
          <w:noProof/>
        </w:rPr>
        <w:t xml:space="preserve"> w</w:t>
      </w:r>
      <w:r w:rsidR="008B35E8">
        <w:rPr>
          <w:noProof/>
        </w:rPr>
        <w:t> </w:t>
      </w:r>
      <w:r w:rsidR="008B35E8" w:rsidRPr="002866E5">
        <w:rPr>
          <w:noProof/>
        </w:rPr>
        <w:t>nin</w:t>
      </w:r>
      <w:r w:rsidR="00B5727A" w:rsidRPr="002866E5">
        <w:rPr>
          <w:noProof/>
        </w:rPr>
        <w:t>iejszym rozporządzeniu. Systemy elektronicznej dokumentacji medycznej wchodzące</w:t>
      </w:r>
      <w:r w:rsidR="008B35E8" w:rsidRPr="002866E5">
        <w:rPr>
          <w:noProof/>
        </w:rPr>
        <w:t xml:space="preserve"> w</w:t>
      </w:r>
      <w:r w:rsidR="008B35E8">
        <w:rPr>
          <w:noProof/>
        </w:rPr>
        <w:t> </w:t>
      </w:r>
      <w:r w:rsidR="008B35E8" w:rsidRPr="002866E5">
        <w:rPr>
          <w:noProof/>
        </w:rPr>
        <w:t>zak</w:t>
      </w:r>
      <w:r w:rsidR="00B5727A" w:rsidRPr="002866E5">
        <w:rPr>
          <w:noProof/>
        </w:rPr>
        <w:t>res rozporządzenia [wniosku dotyczącego rozporządzenia</w:t>
      </w:r>
      <w:r w:rsidR="008B35E8" w:rsidRPr="002866E5">
        <w:rPr>
          <w:noProof/>
        </w:rPr>
        <w:t xml:space="preserve"> w</w:t>
      </w:r>
      <w:r w:rsidR="008B35E8">
        <w:rPr>
          <w:noProof/>
        </w:rPr>
        <w:t> </w:t>
      </w:r>
      <w:r w:rsidR="008B35E8" w:rsidRPr="002866E5">
        <w:rPr>
          <w:noProof/>
        </w:rPr>
        <w:t>spr</w:t>
      </w:r>
      <w:r w:rsidR="00B5727A" w:rsidRPr="002866E5">
        <w:rPr>
          <w:noProof/>
        </w:rPr>
        <w:t>awie europejskiej przestrzeni danych dotyczących zdrowia], które stanowią produkty</w:t>
      </w:r>
      <w:r w:rsidR="008B35E8" w:rsidRPr="002866E5">
        <w:rPr>
          <w:noProof/>
        </w:rPr>
        <w:t xml:space="preserve"> z</w:t>
      </w:r>
      <w:r w:rsidR="008B35E8">
        <w:rPr>
          <w:noProof/>
        </w:rPr>
        <w:t> </w:t>
      </w:r>
      <w:r w:rsidR="008B35E8" w:rsidRPr="002866E5">
        <w:rPr>
          <w:noProof/>
        </w:rPr>
        <w:t>ele</w:t>
      </w:r>
      <w:r w:rsidR="00B5727A" w:rsidRPr="002866E5">
        <w:rPr>
          <w:noProof/>
        </w:rPr>
        <w:t>mentami cyfrowymi</w:t>
      </w:r>
      <w:r w:rsidR="008B35E8" w:rsidRPr="002866E5">
        <w:rPr>
          <w:noProof/>
        </w:rPr>
        <w:t xml:space="preserve"> w</w:t>
      </w:r>
      <w:r w:rsidR="008B35E8">
        <w:rPr>
          <w:noProof/>
        </w:rPr>
        <w:t> </w:t>
      </w:r>
      <w:r w:rsidR="008B35E8" w:rsidRPr="002866E5">
        <w:rPr>
          <w:noProof/>
        </w:rPr>
        <w:t>roz</w:t>
      </w:r>
      <w:r w:rsidR="00B5727A" w:rsidRPr="002866E5">
        <w:rPr>
          <w:noProof/>
        </w:rPr>
        <w:t>umieniu niniejszego rozporządzenia, powinny zatem także być zgodne</w:t>
      </w:r>
      <w:r w:rsidR="008B35E8" w:rsidRPr="002866E5">
        <w:rPr>
          <w:noProof/>
        </w:rPr>
        <w:t xml:space="preserve"> z</w:t>
      </w:r>
      <w:r w:rsidR="008B35E8">
        <w:rPr>
          <w:noProof/>
        </w:rPr>
        <w:t> </w:t>
      </w:r>
      <w:r w:rsidR="008B35E8" w:rsidRPr="002866E5">
        <w:rPr>
          <w:noProof/>
        </w:rPr>
        <w:t>zas</w:t>
      </w:r>
      <w:r w:rsidR="00B5727A" w:rsidRPr="002866E5">
        <w:rPr>
          <w:noProof/>
        </w:rPr>
        <w:t>adniczymi wymogami określonymi</w:t>
      </w:r>
      <w:r w:rsidR="008B35E8" w:rsidRPr="002866E5">
        <w:rPr>
          <w:noProof/>
        </w:rPr>
        <w:t xml:space="preserve"> w</w:t>
      </w:r>
      <w:r w:rsidR="008B35E8">
        <w:rPr>
          <w:noProof/>
        </w:rPr>
        <w:t> </w:t>
      </w:r>
      <w:r w:rsidR="008B35E8" w:rsidRPr="002866E5">
        <w:rPr>
          <w:noProof/>
        </w:rPr>
        <w:t>nin</w:t>
      </w:r>
      <w:r w:rsidR="00B5727A" w:rsidRPr="002866E5">
        <w:rPr>
          <w:noProof/>
        </w:rPr>
        <w:t>iejszym rozporządzeniu. Ich producenci powinni wykazać zgodność produktów zgodnie</w:t>
      </w:r>
      <w:r w:rsidR="008B35E8" w:rsidRPr="002866E5">
        <w:rPr>
          <w:noProof/>
        </w:rPr>
        <w:t xml:space="preserve"> z</w:t>
      </w:r>
      <w:r w:rsidR="008B35E8">
        <w:rPr>
          <w:noProof/>
        </w:rPr>
        <w:t> </w:t>
      </w:r>
      <w:r w:rsidR="008B35E8" w:rsidRPr="002866E5">
        <w:rPr>
          <w:noProof/>
        </w:rPr>
        <w:t>prz</w:t>
      </w:r>
      <w:r w:rsidR="00B5727A" w:rsidRPr="002866E5">
        <w:rPr>
          <w:noProof/>
        </w:rPr>
        <w:t>episami rozporządzenia [wniosku dotyczącego rozporządzenia</w:t>
      </w:r>
      <w:r w:rsidR="008B35E8" w:rsidRPr="002866E5">
        <w:rPr>
          <w:noProof/>
        </w:rPr>
        <w:t xml:space="preserve"> w</w:t>
      </w:r>
      <w:r w:rsidR="008B35E8">
        <w:rPr>
          <w:noProof/>
        </w:rPr>
        <w:t> </w:t>
      </w:r>
      <w:r w:rsidR="008B35E8" w:rsidRPr="002866E5">
        <w:rPr>
          <w:noProof/>
        </w:rPr>
        <w:t>spr</w:t>
      </w:r>
      <w:r w:rsidR="00B5727A" w:rsidRPr="002866E5">
        <w:rPr>
          <w:noProof/>
        </w:rPr>
        <w:t>awie europejskiej przestrzeni danych dotyczących zdrowia]</w:t>
      </w:r>
      <w:r w:rsidR="008B35E8" w:rsidRPr="002866E5">
        <w:rPr>
          <w:noProof/>
        </w:rPr>
        <w:t>. W</w:t>
      </w:r>
      <w:r w:rsidR="008B35E8">
        <w:rPr>
          <w:noProof/>
        </w:rPr>
        <w:t> </w:t>
      </w:r>
      <w:r w:rsidR="008B35E8" w:rsidRPr="002866E5">
        <w:rPr>
          <w:noProof/>
        </w:rPr>
        <w:t>cel</w:t>
      </w:r>
      <w:r w:rsidR="00B5727A" w:rsidRPr="002866E5">
        <w:rPr>
          <w:noProof/>
        </w:rPr>
        <w:t>u ułatwienia zapewnienia zgodności producentom umożliwia się sporządzanie jednej dokumentacji technicznej zawierającej elementy wymagane przez oba akty prawne. Ponieważ niniejsze rozporządzenie nie obejmuje oprogramowania jako usługi, systemy elektronicznej dokumentacji medycznej oferowane</w:t>
      </w:r>
      <w:r w:rsidR="008B35E8" w:rsidRPr="002866E5">
        <w:rPr>
          <w:noProof/>
        </w:rPr>
        <w:t xml:space="preserve"> w</w:t>
      </w:r>
      <w:r w:rsidR="008B35E8">
        <w:rPr>
          <w:noProof/>
        </w:rPr>
        <w:t> </w:t>
      </w:r>
      <w:r w:rsidR="008B35E8" w:rsidRPr="002866E5">
        <w:rPr>
          <w:noProof/>
        </w:rPr>
        <w:t>ram</w:t>
      </w:r>
      <w:r w:rsidR="00B5727A" w:rsidRPr="002866E5">
        <w:rPr>
          <w:noProof/>
        </w:rPr>
        <w:t>ach modelu udzielania licencji na oprogramowanie jako usługę oraz jego dostawy nie wchodzą</w:t>
      </w:r>
      <w:r w:rsidR="008B35E8" w:rsidRPr="002866E5">
        <w:rPr>
          <w:noProof/>
        </w:rPr>
        <w:t xml:space="preserve"> w</w:t>
      </w:r>
      <w:r w:rsidR="008B35E8">
        <w:rPr>
          <w:noProof/>
        </w:rPr>
        <w:t> </w:t>
      </w:r>
      <w:r w:rsidR="008B35E8" w:rsidRPr="002866E5">
        <w:rPr>
          <w:noProof/>
        </w:rPr>
        <w:t>zak</w:t>
      </w:r>
      <w:r w:rsidR="00B5727A" w:rsidRPr="002866E5">
        <w:rPr>
          <w:noProof/>
        </w:rPr>
        <w:t>res niniejszego rozporządzenia. Podobnie systemy elektronicznej dokumentacji medycznej, które są opracowywane</w:t>
      </w:r>
      <w:r w:rsidR="008B35E8" w:rsidRPr="002866E5">
        <w:rPr>
          <w:noProof/>
        </w:rPr>
        <w:t xml:space="preserve"> i</w:t>
      </w:r>
      <w:r w:rsidR="008B35E8">
        <w:rPr>
          <w:noProof/>
        </w:rPr>
        <w:t> </w:t>
      </w:r>
      <w:r w:rsidR="008B35E8" w:rsidRPr="002866E5">
        <w:rPr>
          <w:noProof/>
        </w:rPr>
        <w:t>wyk</w:t>
      </w:r>
      <w:r w:rsidR="00B5727A" w:rsidRPr="002866E5">
        <w:rPr>
          <w:noProof/>
        </w:rPr>
        <w:t>orzystywane wewnętrznie, nie wchodzą</w:t>
      </w:r>
      <w:r w:rsidR="008B35E8" w:rsidRPr="002866E5">
        <w:rPr>
          <w:noProof/>
        </w:rPr>
        <w:t xml:space="preserve"> w</w:t>
      </w:r>
      <w:r w:rsidR="008B35E8">
        <w:rPr>
          <w:noProof/>
        </w:rPr>
        <w:t> </w:t>
      </w:r>
      <w:r w:rsidR="008B35E8" w:rsidRPr="002866E5">
        <w:rPr>
          <w:noProof/>
        </w:rPr>
        <w:t>zak</w:t>
      </w:r>
      <w:r w:rsidR="00B5727A" w:rsidRPr="002866E5">
        <w:rPr>
          <w:noProof/>
        </w:rPr>
        <w:t xml:space="preserve">res niniejszego rozporządzenia, ponieważ nie są one wprowadzane do obrotu. </w:t>
      </w:r>
    </w:p>
    <w:p w14:paraId="67ED86E9" w14:textId="54F54520" w:rsidR="009E5C04" w:rsidRPr="002866E5" w:rsidRDefault="00B4087C" w:rsidP="00B4087C">
      <w:pPr>
        <w:pStyle w:val="ManualConsidrant"/>
        <w:rPr>
          <w:noProof/>
        </w:rPr>
      </w:pPr>
      <w:r w:rsidRPr="00B4087C">
        <w:t>(32)</w:t>
      </w:r>
      <w:r w:rsidRPr="00B4087C">
        <w:tab/>
      </w:r>
      <w:r w:rsidR="00A55641" w:rsidRPr="002866E5">
        <w:rPr>
          <w:noProof/>
          <w:shd w:val="clear" w:color="auto" w:fill="FFFFFF"/>
        </w:rPr>
        <w:t>W celu zapewnienia, aby produkty</w:t>
      </w:r>
      <w:r w:rsidR="008B35E8" w:rsidRPr="002866E5">
        <w:rPr>
          <w:noProof/>
          <w:shd w:val="clear" w:color="auto" w:fill="FFFFFF"/>
        </w:rPr>
        <w:t xml:space="preserve"> z</w:t>
      </w:r>
      <w:r w:rsidR="008B35E8">
        <w:rPr>
          <w:noProof/>
          <w:shd w:val="clear" w:color="auto" w:fill="FFFFFF"/>
        </w:rPr>
        <w:t> </w:t>
      </w:r>
      <w:r w:rsidR="008B35E8" w:rsidRPr="002866E5">
        <w:rPr>
          <w:noProof/>
          <w:shd w:val="clear" w:color="auto" w:fill="FFFFFF"/>
        </w:rPr>
        <w:t>ele</w:t>
      </w:r>
      <w:r w:rsidR="00A55641" w:rsidRPr="002866E5">
        <w:rPr>
          <w:noProof/>
          <w:shd w:val="clear" w:color="auto" w:fill="FFFFFF"/>
        </w:rPr>
        <w:t>mentami cyfrowymi były bezpieczne zarówno</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mom</w:t>
      </w:r>
      <w:r w:rsidR="00A55641" w:rsidRPr="002866E5">
        <w:rPr>
          <w:noProof/>
          <w:shd w:val="clear" w:color="auto" w:fill="FFFFFF"/>
        </w:rPr>
        <w:t>encie wprowadzenia ich do obrotu, jak</w:t>
      </w:r>
      <w:r w:rsidR="008B35E8" w:rsidRPr="002866E5">
        <w:rPr>
          <w:noProof/>
          <w:shd w:val="clear" w:color="auto" w:fill="FFFFFF"/>
        </w:rPr>
        <w:t xml:space="preserve"> i</w:t>
      </w:r>
      <w:r w:rsidR="008B35E8">
        <w:rPr>
          <w:noProof/>
          <w:shd w:val="clear" w:color="auto" w:fill="FFFFFF"/>
        </w:rPr>
        <w:t> </w:t>
      </w:r>
      <w:r w:rsidR="008B35E8" w:rsidRPr="002866E5">
        <w:rPr>
          <w:noProof/>
          <w:shd w:val="clear" w:color="auto" w:fill="FFFFFF"/>
        </w:rPr>
        <w:t>prz</w:t>
      </w:r>
      <w:r w:rsidR="00A55641" w:rsidRPr="002866E5">
        <w:rPr>
          <w:noProof/>
          <w:shd w:val="clear" w:color="auto" w:fill="FFFFFF"/>
        </w:rPr>
        <w:t>ez cały cykl ich życia, konieczne jest określenie zasadniczych wymogów</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zak</w:t>
      </w:r>
      <w:r w:rsidR="00A55641" w:rsidRPr="002866E5">
        <w:rPr>
          <w:noProof/>
          <w:shd w:val="clear" w:color="auto" w:fill="FFFFFF"/>
        </w:rPr>
        <w:t>resie postępowania</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prz</w:t>
      </w:r>
      <w:r w:rsidR="00A55641" w:rsidRPr="002866E5">
        <w:rPr>
          <w:noProof/>
          <w:shd w:val="clear" w:color="auto" w:fill="FFFFFF"/>
        </w:rPr>
        <w:t>ypadku wykrycia podatności oraz zasadniczych wymogów cyberbezpieczeństwa</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odn</w:t>
      </w:r>
      <w:r w:rsidR="00A55641" w:rsidRPr="002866E5">
        <w:rPr>
          <w:noProof/>
          <w:shd w:val="clear" w:color="auto" w:fill="FFFFFF"/>
        </w:rPr>
        <w:t>iesieniu do właściwości produktów</w:t>
      </w:r>
      <w:r w:rsidR="008B35E8" w:rsidRPr="002866E5">
        <w:rPr>
          <w:noProof/>
          <w:shd w:val="clear" w:color="auto" w:fill="FFFFFF"/>
        </w:rPr>
        <w:t xml:space="preserve"> z</w:t>
      </w:r>
      <w:r w:rsidR="008B35E8">
        <w:rPr>
          <w:noProof/>
          <w:shd w:val="clear" w:color="auto" w:fill="FFFFFF"/>
        </w:rPr>
        <w:t> </w:t>
      </w:r>
      <w:r w:rsidR="008B35E8" w:rsidRPr="002866E5">
        <w:rPr>
          <w:noProof/>
          <w:shd w:val="clear" w:color="auto" w:fill="FFFFFF"/>
        </w:rPr>
        <w:t>ele</w:t>
      </w:r>
      <w:r w:rsidR="00A55641" w:rsidRPr="002866E5">
        <w:rPr>
          <w:noProof/>
          <w:shd w:val="clear" w:color="auto" w:fill="FFFFFF"/>
        </w:rPr>
        <w:t>mentami cyfrowymi. Chociaż producenci powinni przestrzegać wszystkich zasadniczych wymogów</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zak</w:t>
      </w:r>
      <w:r w:rsidR="00A55641" w:rsidRPr="002866E5">
        <w:rPr>
          <w:noProof/>
          <w:shd w:val="clear" w:color="auto" w:fill="FFFFFF"/>
        </w:rPr>
        <w:t>resie postępowania</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prz</w:t>
      </w:r>
      <w:r w:rsidR="00A55641" w:rsidRPr="002866E5">
        <w:rPr>
          <w:noProof/>
          <w:shd w:val="clear" w:color="auto" w:fill="FFFFFF"/>
        </w:rPr>
        <w:t>ypadku wykrycia podatności oraz zapewnić, aby wszystkie ich produkty dostarczano bez żadnych znanych</w:t>
      </w:r>
      <w:r w:rsidR="008B35E8" w:rsidRPr="002866E5">
        <w:rPr>
          <w:noProof/>
          <w:shd w:val="clear" w:color="auto" w:fill="FFFFFF"/>
        </w:rPr>
        <w:t xml:space="preserve"> i</w:t>
      </w:r>
      <w:r w:rsidR="008B35E8">
        <w:rPr>
          <w:noProof/>
          <w:shd w:val="clear" w:color="auto" w:fill="FFFFFF"/>
        </w:rPr>
        <w:t> </w:t>
      </w:r>
      <w:r w:rsidR="008B35E8" w:rsidRPr="002866E5">
        <w:rPr>
          <w:noProof/>
          <w:shd w:val="clear" w:color="auto" w:fill="FFFFFF"/>
        </w:rPr>
        <w:t>moż</w:t>
      </w:r>
      <w:r w:rsidR="00A55641" w:rsidRPr="002866E5">
        <w:rPr>
          <w:noProof/>
          <w:shd w:val="clear" w:color="auto" w:fill="FFFFFF"/>
        </w:rPr>
        <w:t>liwych do wykorzystania podatności, powinni oni określić, jakie inne zasadnicze wymogi dotyczące właściwości produktu są istotne dla danego rodzaju produktu</w:t>
      </w:r>
      <w:r w:rsidR="008B35E8" w:rsidRPr="002866E5">
        <w:rPr>
          <w:noProof/>
          <w:shd w:val="clear" w:color="auto" w:fill="FFFFFF"/>
        </w:rPr>
        <w:t>. W</w:t>
      </w:r>
      <w:r w:rsidR="008B35E8">
        <w:rPr>
          <w:noProof/>
          <w:shd w:val="clear" w:color="auto" w:fill="FFFFFF"/>
        </w:rPr>
        <w:t> </w:t>
      </w:r>
      <w:r w:rsidR="008B35E8" w:rsidRPr="002866E5">
        <w:rPr>
          <w:noProof/>
          <w:shd w:val="clear" w:color="auto" w:fill="FFFFFF"/>
        </w:rPr>
        <w:t>tym</w:t>
      </w:r>
      <w:r w:rsidR="00A55641" w:rsidRPr="002866E5">
        <w:rPr>
          <w:noProof/>
          <w:shd w:val="clear" w:color="auto" w:fill="FFFFFF"/>
        </w:rPr>
        <w:t xml:space="preserve"> celu producenci powinni przeprowadzić ocenę ryzyka</w:t>
      </w:r>
      <w:r w:rsidR="008B35E8" w:rsidRPr="002866E5">
        <w:rPr>
          <w:noProof/>
          <w:shd w:val="clear" w:color="auto" w:fill="FFFFFF"/>
        </w:rPr>
        <w:t xml:space="preserve"> w</w:t>
      </w:r>
      <w:r w:rsidR="008B35E8">
        <w:rPr>
          <w:noProof/>
          <w:shd w:val="clear" w:color="auto" w:fill="FFFFFF"/>
        </w:rPr>
        <w:t> </w:t>
      </w:r>
      <w:r w:rsidR="008B35E8" w:rsidRPr="002866E5">
        <w:rPr>
          <w:noProof/>
          <w:shd w:val="clear" w:color="auto" w:fill="FFFFFF"/>
        </w:rPr>
        <w:t>cyb</w:t>
      </w:r>
      <w:r w:rsidR="00A55641" w:rsidRPr="002866E5">
        <w:rPr>
          <w:noProof/>
          <w:shd w:val="clear" w:color="auto" w:fill="FFFFFF"/>
        </w:rPr>
        <w:t>erprzestrzeni związanego</w:t>
      </w:r>
      <w:r w:rsidR="008B35E8" w:rsidRPr="002866E5">
        <w:rPr>
          <w:noProof/>
          <w:shd w:val="clear" w:color="auto" w:fill="FFFFFF"/>
        </w:rPr>
        <w:t xml:space="preserve"> z</w:t>
      </w:r>
      <w:r w:rsidR="008B35E8">
        <w:rPr>
          <w:noProof/>
          <w:shd w:val="clear" w:color="auto" w:fill="FFFFFF"/>
        </w:rPr>
        <w:t> </w:t>
      </w:r>
      <w:r w:rsidR="008B35E8" w:rsidRPr="002866E5">
        <w:rPr>
          <w:noProof/>
          <w:shd w:val="clear" w:color="auto" w:fill="FFFFFF"/>
        </w:rPr>
        <w:t>pro</w:t>
      </w:r>
      <w:r w:rsidR="00A55641" w:rsidRPr="002866E5">
        <w:rPr>
          <w:noProof/>
          <w:shd w:val="clear" w:color="auto" w:fill="FFFFFF"/>
        </w:rPr>
        <w:t>duktem</w:t>
      </w:r>
      <w:r w:rsidR="008B35E8" w:rsidRPr="002866E5">
        <w:rPr>
          <w:noProof/>
          <w:shd w:val="clear" w:color="auto" w:fill="FFFFFF"/>
        </w:rPr>
        <w:t xml:space="preserve"> z</w:t>
      </w:r>
      <w:r w:rsidR="008B35E8">
        <w:rPr>
          <w:noProof/>
          <w:shd w:val="clear" w:color="auto" w:fill="FFFFFF"/>
        </w:rPr>
        <w:t> </w:t>
      </w:r>
      <w:r w:rsidR="008B35E8" w:rsidRPr="002866E5">
        <w:rPr>
          <w:noProof/>
          <w:shd w:val="clear" w:color="auto" w:fill="FFFFFF"/>
        </w:rPr>
        <w:t>ele</w:t>
      </w:r>
      <w:r w:rsidR="00A55641" w:rsidRPr="002866E5">
        <w:rPr>
          <w:noProof/>
          <w:shd w:val="clear" w:color="auto" w:fill="FFFFFF"/>
        </w:rPr>
        <w:t>mentami cyfrowymi, aby zidentyfikować istotne ryzyko oraz wskazać istotne zasadnicze wymogi, jak również aby właściwie zastosować odpowiednie normy zharmonizowane lub wspólne specyfikacje.</w:t>
      </w:r>
    </w:p>
    <w:p w14:paraId="67ED86EA" w14:textId="223B388D" w:rsidR="009E5C04" w:rsidRPr="002866E5" w:rsidRDefault="00B4087C" w:rsidP="00B4087C">
      <w:pPr>
        <w:pStyle w:val="ManualConsidrant"/>
        <w:rPr>
          <w:noProof/>
        </w:rPr>
      </w:pPr>
      <w:r w:rsidRPr="00B4087C">
        <w:t>(33)</w:t>
      </w:r>
      <w:r w:rsidRPr="00B4087C">
        <w:tab/>
      </w:r>
      <w:r w:rsidR="009D507B" w:rsidRPr="002866E5">
        <w:rPr>
          <w:noProof/>
        </w:rPr>
        <w:t>W celu poprawy bezpieczeństwa produktów</w:t>
      </w:r>
      <w:r w:rsidR="008B35E8" w:rsidRPr="002866E5">
        <w:rPr>
          <w:noProof/>
        </w:rPr>
        <w:t xml:space="preserve"> z</w:t>
      </w:r>
      <w:r w:rsidR="008B35E8">
        <w:rPr>
          <w:noProof/>
        </w:rPr>
        <w:t> </w:t>
      </w:r>
      <w:r w:rsidR="008B35E8" w:rsidRPr="002866E5">
        <w:rPr>
          <w:noProof/>
        </w:rPr>
        <w:t>ele</w:t>
      </w:r>
      <w:r w:rsidR="009D507B" w:rsidRPr="002866E5">
        <w:rPr>
          <w:noProof/>
        </w:rPr>
        <w:t xml:space="preserve">mentami cyfrowymi wprowadzanych na rynek wewnętrzny niezbędne jest określenie zasadniczych wymogów. Zasadnicze wymogi powinny pozostawać bez uszczerbku dla unijnych skoordynowanych ocen ryzyka krytycznych łańcuchów dostaw ustanowionych na mocy [art. X] dyrektywy </w:t>
      </w:r>
      <w:r w:rsidR="009D507B" w:rsidRPr="002866E5">
        <w:rPr>
          <w:noProof/>
        </w:rPr>
        <w:lastRenderedPageBreak/>
        <w:t>[dyrektywy XXX/XXXX (NIS 2)]</w:t>
      </w:r>
      <w:r w:rsidR="009D507B" w:rsidRPr="002866E5">
        <w:rPr>
          <w:rStyle w:val="FootnoteReference"/>
          <w:noProof/>
        </w:rPr>
        <w:footnoteReference w:id="29"/>
      </w:r>
      <w:r w:rsidR="009D507B" w:rsidRPr="002866E5">
        <w:rPr>
          <w:noProof/>
        </w:rPr>
        <w:t>, które uwzględniają zarówno techniczne, jak i –</w:t>
      </w:r>
      <w:r w:rsidR="008B35E8" w:rsidRPr="002866E5">
        <w:rPr>
          <w:noProof/>
        </w:rPr>
        <w:t xml:space="preserve"> w</w:t>
      </w:r>
      <w:r w:rsidR="008B35E8">
        <w:rPr>
          <w:noProof/>
        </w:rPr>
        <w:t> </w:t>
      </w:r>
      <w:r w:rsidR="008B35E8" w:rsidRPr="002866E5">
        <w:rPr>
          <w:noProof/>
        </w:rPr>
        <w:t>sto</w:t>
      </w:r>
      <w:r w:rsidR="009D507B" w:rsidRPr="002866E5">
        <w:rPr>
          <w:noProof/>
        </w:rPr>
        <w:t>sownych przypadkach – pozatechniczne czynniki ryzyka, takie jak nadmierny wpływ państw trzecich na dostawców. Co więcej, powinny one pozostawać bez uszczerbku dla prerogatyw państw członkowskich</w:t>
      </w:r>
      <w:r w:rsidR="008B35E8" w:rsidRPr="002866E5">
        <w:rPr>
          <w:noProof/>
        </w:rPr>
        <w:t xml:space="preserve"> w</w:t>
      </w:r>
      <w:r w:rsidR="008B35E8">
        <w:rPr>
          <w:noProof/>
        </w:rPr>
        <w:t> </w:t>
      </w:r>
      <w:r w:rsidR="008B35E8" w:rsidRPr="002866E5">
        <w:rPr>
          <w:noProof/>
        </w:rPr>
        <w:t>odn</w:t>
      </w:r>
      <w:r w:rsidR="009D507B" w:rsidRPr="002866E5">
        <w:rPr>
          <w:noProof/>
        </w:rPr>
        <w:t>iesieniu do określania dodatkowych wymogów, które uwzględniają czynniki pozatechniczne</w:t>
      </w:r>
      <w:r w:rsidR="008B35E8" w:rsidRPr="002866E5">
        <w:rPr>
          <w:noProof/>
        </w:rPr>
        <w:t xml:space="preserve"> w</w:t>
      </w:r>
      <w:r w:rsidR="008B35E8">
        <w:rPr>
          <w:noProof/>
        </w:rPr>
        <w:t> </w:t>
      </w:r>
      <w:r w:rsidR="008B35E8" w:rsidRPr="002866E5">
        <w:rPr>
          <w:noProof/>
        </w:rPr>
        <w:t>cel</w:t>
      </w:r>
      <w:r w:rsidR="009D507B" w:rsidRPr="002866E5">
        <w:rPr>
          <w:noProof/>
        </w:rPr>
        <w:t>u zapewnienia wysokiego poziomu odporności,</w:t>
      </w:r>
      <w:r w:rsidR="008B35E8" w:rsidRPr="002866E5">
        <w:rPr>
          <w:noProof/>
        </w:rPr>
        <w:t xml:space="preserve"> w</w:t>
      </w:r>
      <w:r w:rsidR="008B35E8">
        <w:rPr>
          <w:noProof/>
        </w:rPr>
        <w:t> </w:t>
      </w:r>
      <w:r w:rsidR="008B35E8" w:rsidRPr="002866E5">
        <w:rPr>
          <w:noProof/>
        </w:rPr>
        <w:t>tym</w:t>
      </w:r>
      <w:r w:rsidR="009D507B" w:rsidRPr="002866E5">
        <w:rPr>
          <w:noProof/>
        </w:rPr>
        <w:t xml:space="preserve"> te określone</w:t>
      </w:r>
      <w:r w:rsidR="008B35E8" w:rsidRPr="002866E5">
        <w:rPr>
          <w:noProof/>
        </w:rPr>
        <w:t xml:space="preserve"> w</w:t>
      </w:r>
      <w:r w:rsidR="008B35E8">
        <w:rPr>
          <w:noProof/>
        </w:rPr>
        <w:t> </w:t>
      </w:r>
      <w:r w:rsidR="008B35E8" w:rsidRPr="002866E5">
        <w:rPr>
          <w:noProof/>
        </w:rPr>
        <w:t>zal</w:t>
      </w:r>
      <w:r w:rsidR="009D507B" w:rsidRPr="002866E5">
        <w:rPr>
          <w:noProof/>
        </w:rPr>
        <w:t>eceniu (UE) 2019/534,</w:t>
      </w:r>
      <w:r w:rsidR="008B35E8" w:rsidRPr="002866E5">
        <w:rPr>
          <w:noProof/>
        </w:rPr>
        <w:t xml:space="preserve"> w</w:t>
      </w:r>
      <w:r w:rsidR="008B35E8">
        <w:rPr>
          <w:noProof/>
        </w:rPr>
        <w:t> </w:t>
      </w:r>
      <w:r w:rsidR="008B35E8" w:rsidRPr="002866E5">
        <w:rPr>
          <w:noProof/>
        </w:rPr>
        <w:t>uni</w:t>
      </w:r>
      <w:r w:rsidR="009D507B" w:rsidRPr="002866E5">
        <w:rPr>
          <w:noProof/>
        </w:rPr>
        <w:t>jnej skoordynowanej ocenie ryzyka</w:t>
      </w:r>
      <w:r w:rsidR="008B35E8" w:rsidRPr="002866E5">
        <w:rPr>
          <w:noProof/>
        </w:rPr>
        <w:t xml:space="preserve"> w</w:t>
      </w:r>
      <w:r w:rsidR="008B35E8">
        <w:rPr>
          <w:noProof/>
        </w:rPr>
        <w:t> </w:t>
      </w:r>
      <w:r w:rsidR="008B35E8" w:rsidRPr="002866E5">
        <w:rPr>
          <w:noProof/>
        </w:rPr>
        <w:t>zak</w:t>
      </w:r>
      <w:r w:rsidR="009D507B" w:rsidRPr="002866E5">
        <w:rPr>
          <w:noProof/>
        </w:rPr>
        <w:t>resie bezpieczeństwa sieci 5G oraz</w:t>
      </w:r>
      <w:r w:rsidR="008B35E8" w:rsidRPr="002866E5">
        <w:rPr>
          <w:noProof/>
        </w:rPr>
        <w:t xml:space="preserve"> w</w:t>
      </w:r>
      <w:r w:rsidR="008B35E8">
        <w:rPr>
          <w:noProof/>
        </w:rPr>
        <w:t> </w:t>
      </w:r>
      <w:r w:rsidR="008B35E8" w:rsidRPr="002866E5">
        <w:rPr>
          <w:noProof/>
        </w:rPr>
        <w:t>uni</w:t>
      </w:r>
      <w:r w:rsidR="009D507B" w:rsidRPr="002866E5">
        <w:rPr>
          <w:noProof/>
        </w:rPr>
        <w:t>jnym zestawie narzędzi na potrzeby cyberbezpieczeństwa sieci 5G uzgodnionym przez grupę współpracy NIS,</w:t>
      </w:r>
      <w:r w:rsidR="008B35E8" w:rsidRPr="002866E5">
        <w:rPr>
          <w:noProof/>
        </w:rPr>
        <w:t xml:space="preserve"> o</w:t>
      </w:r>
      <w:r w:rsidR="008B35E8">
        <w:rPr>
          <w:noProof/>
        </w:rPr>
        <w:t> </w:t>
      </w:r>
      <w:r w:rsidR="008B35E8" w:rsidRPr="002866E5">
        <w:rPr>
          <w:noProof/>
        </w:rPr>
        <w:t>któ</w:t>
      </w:r>
      <w:r w:rsidR="009D507B" w:rsidRPr="002866E5">
        <w:rPr>
          <w:noProof/>
        </w:rPr>
        <w:t>rej mowa w [dyrektywie XXX/XXXX (NIS 2)].</w:t>
      </w:r>
    </w:p>
    <w:p w14:paraId="67ED86EB" w14:textId="7052595D" w:rsidR="003B64C9" w:rsidRPr="002866E5" w:rsidRDefault="00B4087C" w:rsidP="00B4087C">
      <w:pPr>
        <w:pStyle w:val="ManualConsidrant"/>
        <w:rPr>
          <w:noProof/>
        </w:rPr>
      </w:pPr>
      <w:r w:rsidRPr="00B4087C">
        <w:t>(34)</w:t>
      </w:r>
      <w:r w:rsidRPr="00B4087C">
        <w:tab/>
      </w:r>
      <w:r w:rsidR="0054794A" w:rsidRPr="002866E5">
        <w:rPr>
          <w:noProof/>
        </w:rPr>
        <w:t>W celu zapewnienia, aby krajowe zespoły CSIRT oraz pojedyncze punkty kontaktowe wyznaczone zgodnie</w:t>
      </w:r>
      <w:r w:rsidR="008B35E8" w:rsidRPr="002866E5">
        <w:rPr>
          <w:noProof/>
        </w:rPr>
        <w:t xml:space="preserve"> z</w:t>
      </w:r>
      <w:r w:rsidR="008B35E8">
        <w:rPr>
          <w:noProof/>
        </w:rPr>
        <w:t> </w:t>
      </w:r>
      <w:r w:rsidR="008B35E8" w:rsidRPr="002866E5">
        <w:rPr>
          <w:noProof/>
        </w:rPr>
        <w:t>art</w:t>
      </w:r>
      <w:r w:rsidR="0054794A" w:rsidRPr="002866E5">
        <w:rPr>
          <w:noProof/>
        </w:rPr>
        <w:t>. [art. X] dyrektywy [dyrektywy XX/XXXX (NIS 2)] otrzymywały informacje niezbędne do realizacji swoich zadań oraz podniesienia ogólnego poziomu cyberbezpieczeństwa podmiotów niezbędnych</w:t>
      </w:r>
      <w:r w:rsidR="008B35E8" w:rsidRPr="002866E5">
        <w:rPr>
          <w:noProof/>
        </w:rPr>
        <w:t xml:space="preserve"> i</w:t>
      </w:r>
      <w:r w:rsidR="008B35E8">
        <w:rPr>
          <w:noProof/>
        </w:rPr>
        <w:t> </w:t>
      </w:r>
      <w:r w:rsidR="008B35E8" w:rsidRPr="002866E5">
        <w:rPr>
          <w:noProof/>
        </w:rPr>
        <w:t>ist</w:t>
      </w:r>
      <w:r w:rsidR="0054794A" w:rsidRPr="002866E5">
        <w:rPr>
          <w:noProof/>
        </w:rPr>
        <w:t>otnych,</w:t>
      </w:r>
      <w:r w:rsidR="008B35E8" w:rsidRPr="002866E5">
        <w:rPr>
          <w:noProof/>
        </w:rPr>
        <w:t xml:space="preserve"> a</w:t>
      </w:r>
      <w:r w:rsidR="008B35E8">
        <w:rPr>
          <w:noProof/>
        </w:rPr>
        <w:t> </w:t>
      </w:r>
      <w:r w:rsidR="008B35E8" w:rsidRPr="002866E5">
        <w:rPr>
          <w:noProof/>
        </w:rPr>
        <w:t>tak</w:t>
      </w:r>
      <w:r w:rsidR="0054794A" w:rsidRPr="002866E5">
        <w:rPr>
          <w:noProof/>
        </w:rPr>
        <w:t>że</w:t>
      </w:r>
      <w:r w:rsidR="008B35E8" w:rsidRPr="002866E5">
        <w:rPr>
          <w:noProof/>
        </w:rPr>
        <w:t xml:space="preserve"> w</w:t>
      </w:r>
      <w:r w:rsidR="008B35E8">
        <w:rPr>
          <w:noProof/>
        </w:rPr>
        <w:t> </w:t>
      </w:r>
      <w:r w:rsidR="008B35E8" w:rsidRPr="002866E5">
        <w:rPr>
          <w:noProof/>
        </w:rPr>
        <w:t>cel</w:t>
      </w:r>
      <w:r w:rsidR="0054794A" w:rsidRPr="002866E5">
        <w:rPr>
          <w:noProof/>
        </w:rPr>
        <w:t>u zapewnienia skutecznego funkcjonowania organów nadzoru rynku producenci produktów</w:t>
      </w:r>
      <w:r w:rsidR="008B35E8" w:rsidRPr="002866E5">
        <w:rPr>
          <w:noProof/>
        </w:rPr>
        <w:t xml:space="preserve"> z</w:t>
      </w:r>
      <w:r w:rsidR="008B35E8">
        <w:rPr>
          <w:noProof/>
        </w:rPr>
        <w:t> </w:t>
      </w:r>
      <w:r w:rsidR="008B35E8" w:rsidRPr="002866E5">
        <w:rPr>
          <w:noProof/>
        </w:rPr>
        <w:t>ele</w:t>
      </w:r>
      <w:r w:rsidR="0054794A" w:rsidRPr="002866E5">
        <w:rPr>
          <w:noProof/>
        </w:rPr>
        <w:t>mentami cyfrowymi powinni zgłaszać ENISA podatności, które są aktywnie wykorzystywane. Ponieważ większość produktów</w:t>
      </w:r>
      <w:r w:rsidR="008B35E8" w:rsidRPr="002866E5">
        <w:rPr>
          <w:noProof/>
        </w:rPr>
        <w:t xml:space="preserve"> z</w:t>
      </w:r>
      <w:r w:rsidR="008B35E8">
        <w:rPr>
          <w:noProof/>
        </w:rPr>
        <w:t> </w:t>
      </w:r>
      <w:r w:rsidR="008B35E8" w:rsidRPr="002866E5">
        <w:rPr>
          <w:noProof/>
        </w:rPr>
        <w:t>ele</w:t>
      </w:r>
      <w:r w:rsidR="0054794A" w:rsidRPr="002866E5">
        <w:rPr>
          <w:noProof/>
        </w:rPr>
        <w:t>mentami cyfrowymi jest wprowadzana na obrotu na całym rynku wewnętrznym, każdą podatność wykorzystywaną</w:t>
      </w:r>
      <w:r w:rsidR="008B35E8" w:rsidRPr="002866E5">
        <w:rPr>
          <w:noProof/>
        </w:rPr>
        <w:t xml:space="preserve"> w</w:t>
      </w:r>
      <w:r w:rsidR="008B35E8">
        <w:rPr>
          <w:noProof/>
        </w:rPr>
        <w:t> </w:t>
      </w:r>
      <w:r w:rsidR="008B35E8" w:rsidRPr="002866E5">
        <w:rPr>
          <w:noProof/>
        </w:rPr>
        <w:t>pro</w:t>
      </w:r>
      <w:r w:rsidR="0054794A" w:rsidRPr="002866E5">
        <w:rPr>
          <w:noProof/>
        </w:rPr>
        <w:t>dukcie</w:t>
      </w:r>
      <w:r w:rsidR="008B35E8" w:rsidRPr="002866E5">
        <w:rPr>
          <w:noProof/>
        </w:rPr>
        <w:t xml:space="preserve"> z</w:t>
      </w:r>
      <w:r w:rsidR="008B35E8">
        <w:rPr>
          <w:noProof/>
        </w:rPr>
        <w:t> </w:t>
      </w:r>
      <w:r w:rsidR="008B35E8" w:rsidRPr="002866E5">
        <w:rPr>
          <w:noProof/>
        </w:rPr>
        <w:t>ele</w:t>
      </w:r>
      <w:r w:rsidR="0054794A" w:rsidRPr="002866E5">
        <w:rPr>
          <w:noProof/>
        </w:rPr>
        <w:t>mentami cyfrowymi należy uznać za zagrożenie dla funkcjonowania rynku wewnętrznego. Producenci powinni także rozważyć ujawnianie naprawionych podatności</w:t>
      </w:r>
      <w:r w:rsidR="008B35E8" w:rsidRPr="002866E5">
        <w:rPr>
          <w:noProof/>
        </w:rPr>
        <w:t xml:space="preserve"> w</w:t>
      </w:r>
      <w:r w:rsidR="008B35E8">
        <w:rPr>
          <w:noProof/>
        </w:rPr>
        <w:t> </w:t>
      </w:r>
      <w:r w:rsidR="008B35E8" w:rsidRPr="002866E5">
        <w:rPr>
          <w:noProof/>
        </w:rPr>
        <w:t>eur</w:t>
      </w:r>
      <w:r w:rsidR="0054794A" w:rsidRPr="002866E5">
        <w:rPr>
          <w:noProof/>
        </w:rPr>
        <w:t>opejskiej bazie danych dotyczących podatności utworzonej na podstawie dyrektywy [dyrektywy XX/XXXX (NIS 2)]</w:t>
      </w:r>
      <w:r w:rsidR="008B35E8" w:rsidRPr="002866E5">
        <w:rPr>
          <w:noProof/>
        </w:rPr>
        <w:t xml:space="preserve"> i</w:t>
      </w:r>
      <w:r w:rsidR="008B35E8">
        <w:rPr>
          <w:noProof/>
        </w:rPr>
        <w:t> </w:t>
      </w:r>
      <w:r w:rsidR="008B35E8" w:rsidRPr="002866E5">
        <w:rPr>
          <w:noProof/>
        </w:rPr>
        <w:t>zar</w:t>
      </w:r>
      <w:r w:rsidR="0054794A" w:rsidRPr="002866E5">
        <w:rPr>
          <w:noProof/>
        </w:rPr>
        <w:t>ządzanej przez ENISA lub</w:t>
      </w:r>
      <w:r w:rsidR="008B35E8" w:rsidRPr="002866E5">
        <w:rPr>
          <w:noProof/>
        </w:rPr>
        <w:t xml:space="preserve"> w</w:t>
      </w:r>
      <w:r w:rsidR="008B35E8">
        <w:rPr>
          <w:noProof/>
        </w:rPr>
        <w:t> </w:t>
      </w:r>
      <w:r w:rsidR="008B35E8" w:rsidRPr="002866E5">
        <w:rPr>
          <w:noProof/>
        </w:rPr>
        <w:t>jak</w:t>
      </w:r>
      <w:r w:rsidR="0054794A" w:rsidRPr="002866E5">
        <w:rPr>
          <w:noProof/>
        </w:rPr>
        <w:t>iejkolwiek innej publicznie dostępnej bazie danych dotyczących podatności.</w:t>
      </w:r>
    </w:p>
    <w:p w14:paraId="67ED86EC" w14:textId="7DC1010D" w:rsidR="00DD7DA7" w:rsidRPr="002866E5" w:rsidRDefault="00B4087C" w:rsidP="00B4087C">
      <w:pPr>
        <w:pStyle w:val="ManualConsidrant"/>
        <w:rPr>
          <w:noProof/>
        </w:rPr>
      </w:pPr>
      <w:r w:rsidRPr="00B4087C">
        <w:t>(35)</w:t>
      </w:r>
      <w:r w:rsidRPr="00B4087C">
        <w:tab/>
      </w:r>
      <w:r w:rsidR="00CC0CB6" w:rsidRPr="002866E5">
        <w:rPr>
          <w:noProof/>
        </w:rPr>
        <w:t>Producenci powinni także zgłaszać do ENISA wszelkie incydenty wpływające na bezpieczeństwo produktu</w:t>
      </w:r>
      <w:r w:rsidR="008B35E8" w:rsidRPr="002866E5">
        <w:rPr>
          <w:noProof/>
        </w:rPr>
        <w:t xml:space="preserve"> z</w:t>
      </w:r>
      <w:r w:rsidR="008B35E8">
        <w:rPr>
          <w:noProof/>
        </w:rPr>
        <w:t> </w:t>
      </w:r>
      <w:r w:rsidR="008B35E8" w:rsidRPr="002866E5">
        <w:rPr>
          <w:noProof/>
        </w:rPr>
        <w:t>ele</w:t>
      </w:r>
      <w:r w:rsidR="00CC0CB6" w:rsidRPr="002866E5">
        <w:rPr>
          <w:noProof/>
        </w:rPr>
        <w:t>mentami cyfrowymi. Niezależnie od obowiązków</w:t>
      </w:r>
      <w:r w:rsidR="008B35E8" w:rsidRPr="002866E5">
        <w:rPr>
          <w:noProof/>
        </w:rPr>
        <w:t xml:space="preserve"> w</w:t>
      </w:r>
      <w:r w:rsidR="008B35E8">
        <w:rPr>
          <w:noProof/>
        </w:rPr>
        <w:t> </w:t>
      </w:r>
      <w:r w:rsidR="008B35E8" w:rsidRPr="002866E5">
        <w:rPr>
          <w:noProof/>
        </w:rPr>
        <w:t>zak</w:t>
      </w:r>
      <w:r w:rsidR="00CC0CB6" w:rsidRPr="002866E5">
        <w:rPr>
          <w:noProof/>
        </w:rPr>
        <w:t>resie zgłaszania incydentów nałożonych</w:t>
      </w:r>
      <w:r w:rsidR="008B35E8" w:rsidRPr="002866E5">
        <w:rPr>
          <w:noProof/>
        </w:rPr>
        <w:t xml:space="preserve"> w</w:t>
      </w:r>
      <w:r w:rsidR="008B35E8">
        <w:rPr>
          <w:noProof/>
        </w:rPr>
        <w:t> </w:t>
      </w:r>
      <w:r w:rsidR="008B35E8" w:rsidRPr="002866E5">
        <w:rPr>
          <w:noProof/>
        </w:rPr>
        <w:t>dyr</w:t>
      </w:r>
      <w:r w:rsidR="00CC0CB6" w:rsidRPr="002866E5">
        <w:rPr>
          <w:noProof/>
        </w:rPr>
        <w:t>ektywie [dyrektywie XXX/XXXX (NIS 2)] na podmioty niezbędne</w:t>
      </w:r>
      <w:r w:rsidR="008B35E8" w:rsidRPr="002866E5">
        <w:rPr>
          <w:noProof/>
        </w:rPr>
        <w:t xml:space="preserve"> i</w:t>
      </w:r>
      <w:r w:rsidR="008B35E8">
        <w:rPr>
          <w:noProof/>
        </w:rPr>
        <w:t> </w:t>
      </w:r>
      <w:r w:rsidR="008B35E8" w:rsidRPr="002866E5">
        <w:rPr>
          <w:noProof/>
        </w:rPr>
        <w:t>ist</w:t>
      </w:r>
      <w:r w:rsidR="00CC0CB6" w:rsidRPr="002866E5">
        <w:rPr>
          <w:noProof/>
        </w:rPr>
        <w:t>otne, konieczne jest, aby ENISA, pojedyncze punkty kontaktowe wyznaczone przez państwa członkowskie zgodnie</w:t>
      </w:r>
      <w:r w:rsidR="008B35E8" w:rsidRPr="002866E5">
        <w:rPr>
          <w:noProof/>
        </w:rPr>
        <w:t xml:space="preserve"> z</w:t>
      </w:r>
      <w:r w:rsidR="008B35E8">
        <w:rPr>
          <w:noProof/>
        </w:rPr>
        <w:t> </w:t>
      </w:r>
      <w:r w:rsidR="008B35E8" w:rsidRPr="002866E5">
        <w:rPr>
          <w:noProof/>
        </w:rPr>
        <w:t>art</w:t>
      </w:r>
      <w:r w:rsidR="00CC0CB6" w:rsidRPr="002866E5">
        <w:rPr>
          <w:noProof/>
        </w:rPr>
        <w:t>. [art. X] dyrektywy [dyrektywy XXX/XXXX (NIS 2)] oraz organy nadzoru rynku otrzymywały od producentów produktów</w:t>
      </w:r>
      <w:r w:rsidR="008B35E8" w:rsidRPr="002866E5">
        <w:rPr>
          <w:noProof/>
        </w:rPr>
        <w:t xml:space="preserve"> z</w:t>
      </w:r>
      <w:r w:rsidR="008B35E8">
        <w:rPr>
          <w:noProof/>
        </w:rPr>
        <w:t> </w:t>
      </w:r>
      <w:r w:rsidR="008B35E8" w:rsidRPr="002866E5">
        <w:rPr>
          <w:noProof/>
        </w:rPr>
        <w:t>ele</w:t>
      </w:r>
      <w:r w:rsidR="00CC0CB6" w:rsidRPr="002866E5">
        <w:rPr>
          <w:noProof/>
        </w:rPr>
        <w:t>mentami cyfrowymi informacje umożliwiające im ocenę bezpieczeństwa tych produktów. Aby zapewnić użytkownikom możliwość szybkiego reagowania na incydenty wpływające na bezpieczeństwo należących do nich produktów</w:t>
      </w:r>
      <w:r w:rsidR="008B35E8" w:rsidRPr="002866E5">
        <w:rPr>
          <w:noProof/>
        </w:rPr>
        <w:t xml:space="preserve"> z</w:t>
      </w:r>
      <w:r w:rsidR="008B35E8">
        <w:rPr>
          <w:noProof/>
        </w:rPr>
        <w:t> </w:t>
      </w:r>
      <w:r w:rsidR="008B35E8" w:rsidRPr="002866E5">
        <w:rPr>
          <w:noProof/>
        </w:rPr>
        <w:t>ele</w:t>
      </w:r>
      <w:r w:rsidR="00CC0CB6" w:rsidRPr="002866E5">
        <w:rPr>
          <w:noProof/>
        </w:rPr>
        <w:t>mentami cyfrowymi, producenci powinni informować także użytkowników</w:t>
      </w:r>
      <w:r w:rsidR="008B35E8" w:rsidRPr="002866E5">
        <w:rPr>
          <w:noProof/>
        </w:rPr>
        <w:t xml:space="preserve"> o</w:t>
      </w:r>
      <w:r w:rsidR="008B35E8">
        <w:rPr>
          <w:noProof/>
        </w:rPr>
        <w:t> </w:t>
      </w:r>
      <w:r w:rsidR="008B35E8" w:rsidRPr="002866E5">
        <w:rPr>
          <w:noProof/>
        </w:rPr>
        <w:t>wsz</w:t>
      </w:r>
      <w:r w:rsidR="00CC0CB6" w:rsidRPr="002866E5">
        <w:rPr>
          <w:noProof/>
        </w:rPr>
        <w:t>elkich takich incydentach,</w:t>
      </w:r>
      <w:r w:rsidR="008B35E8" w:rsidRPr="002866E5">
        <w:rPr>
          <w:noProof/>
        </w:rPr>
        <w:t xml:space="preserve"> a</w:t>
      </w:r>
      <w:r w:rsidR="008B35E8">
        <w:rPr>
          <w:noProof/>
        </w:rPr>
        <w:t> </w:t>
      </w:r>
      <w:r w:rsidR="008B35E8" w:rsidRPr="002866E5">
        <w:rPr>
          <w:noProof/>
        </w:rPr>
        <w:t>w</w:t>
      </w:r>
      <w:r w:rsidR="008B35E8">
        <w:rPr>
          <w:noProof/>
        </w:rPr>
        <w:t> </w:t>
      </w:r>
      <w:r w:rsidR="008B35E8" w:rsidRPr="002866E5">
        <w:rPr>
          <w:noProof/>
        </w:rPr>
        <w:t>sto</w:t>
      </w:r>
      <w:r w:rsidR="00CC0CB6" w:rsidRPr="002866E5">
        <w:rPr>
          <w:noProof/>
        </w:rPr>
        <w:t>sownych przypadkach</w:t>
      </w:r>
      <w:r w:rsidR="008B35E8" w:rsidRPr="002866E5">
        <w:rPr>
          <w:noProof/>
        </w:rPr>
        <w:t xml:space="preserve"> o</w:t>
      </w:r>
      <w:r w:rsidR="008B35E8">
        <w:rPr>
          <w:noProof/>
        </w:rPr>
        <w:t> </w:t>
      </w:r>
      <w:r w:rsidR="008B35E8" w:rsidRPr="002866E5">
        <w:rPr>
          <w:noProof/>
        </w:rPr>
        <w:t>wsz</w:t>
      </w:r>
      <w:r w:rsidR="00CC0CB6" w:rsidRPr="002866E5">
        <w:rPr>
          <w:noProof/>
        </w:rPr>
        <w:t>elkich środkach naprawczych, które użytkownicy mogą zastosować</w:t>
      </w:r>
      <w:r w:rsidR="008B35E8" w:rsidRPr="002866E5">
        <w:rPr>
          <w:noProof/>
        </w:rPr>
        <w:t xml:space="preserve"> w</w:t>
      </w:r>
      <w:r w:rsidR="008B35E8">
        <w:rPr>
          <w:noProof/>
        </w:rPr>
        <w:t> </w:t>
      </w:r>
      <w:r w:rsidR="008B35E8" w:rsidRPr="002866E5">
        <w:rPr>
          <w:noProof/>
        </w:rPr>
        <w:t>cel</w:t>
      </w:r>
      <w:r w:rsidR="00CC0CB6" w:rsidRPr="002866E5">
        <w:rPr>
          <w:noProof/>
        </w:rPr>
        <w:t>u złagodzenia skutków incydentu, na przykład publikując odpowiednie informacje na swoich stronach internetowych lub, jeżeli producent jest</w:t>
      </w:r>
      <w:r w:rsidR="008B35E8" w:rsidRPr="002866E5">
        <w:rPr>
          <w:noProof/>
        </w:rPr>
        <w:t xml:space="preserve"> w</w:t>
      </w:r>
      <w:r w:rsidR="008B35E8">
        <w:rPr>
          <w:noProof/>
        </w:rPr>
        <w:t> </w:t>
      </w:r>
      <w:r w:rsidR="008B35E8" w:rsidRPr="002866E5">
        <w:rPr>
          <w:noProof/>
        </w:rPr>
        <w:t>sta</w:t>
      </w:r>
      <w:r w:rsidR="00CC0CB6" w:rsidRPr="002866E5">
        <w:rPr>
          <w:noProof/>
        </w:rPr>
        <w:t>nie skontaktować się</w:t>
      </w:r>
      <w:r w:rsidR="008B35E8" w:rsidRPr="002866E5">
        <w:rPr>
          <w:noProof/>
        </w:rPr>
        <w:t xml:space="preserve"> z</w:t>
      </w:r>
      <w:r w:rsidR="008B35E8">
        <w:rPr>
          <w:noProof/>
        </w:rPr>
        <w:t> </w:t>
      </w:r>
      <w:r w:rsidR="008B35E8" w:rsidRPr="002866E5">
        <w:rPr>
          <w:noProof/>
        </w:rPr>
        <w:t>uży</w:t>
      </w:r>
      <w:r w:rsidR="00CC0CB6" w:rsidRPr="002866E5">
        <w:rPr>
          <w:noProof/>
        </w:rPr>
        <w:t>tkownikami</w:t>
      </w:r>
      <w:r w:rsidR="008B35E8" w:rsidRPr="002866E5">
        <w:rPr>
          <w:noProof/>
        </w:rPr>
        <w:t xml:space="preserve"> i</w:t>
      </w:r>
      <w:r w:rsidR="008B35E8">
        <w:rPr>
          <w:noProof/>
        </w:rPr>
        <w:t> </w:t>
      </w:r>
      <w:r w:rsidR="008B35E8" w:rsidRPr="002866E5">
        <w:rPr>
          <w:noProof/>
        </w:rPr>
        <w:t>jeż</w:t>
      </w:r>
      <w:r w:rsidR="00CC0CB6" w:rsidRPr="002866E5">
        <w:rPr>
          <w:noProof/>
        </w:rPr>
        <w:t>eli jest to uzasadnione przez ryzyko, docierając bezpośrednio do użytkowników.</w:t>
      </w:r>
    </w:p>
    <w:p w14:paraId="67ED86ED" w14:textId="101B2E04" w:rsidR="00720A0A" w:rsidRPr="002866E5" w:rsidRDefault="00B4087C" w:rsidP="00B4087C">
      <w:pPr>
        <w:pStyle w:val="ManualConsidrant"/>
        <w:rPr>
          <w:noProof/>
        </w:rPr>
      </w:pPr>
      <w:r w:rsidRPr="00B4087C">
        <w:t>(36)</w:t>
      </w:r>
      <w:r w:rsidRPr="00B4087C">
        <w:tab/>
      </w:r>
      <w:r w:rsidR="00720A0A" w:rsidRPr="002866E5">
        <w:rPr>
          <w:noProof/>
        </w:rPr>
        <w:t>Producenci produktów</w:t>
      </w:r>
      <w:r w:rsidR="008B35E8" w:rsidRPr="002866E5">
        <w:rPr>
          <w:noProof/>
        </w:rPr>
        <w:t xml:space="preserve"> z</w:t>
      </w:r>
      <w:r w:rsidR="008B35E8">
        <w:rPr>
          <w:noProof/>
        </w:rPr>
        <w:t> </w:t>
      </w:r>
      <w:r w:rsidR="008B35E8" w:rsidRPr="002866E5">
        <w:rPr>
          <w:noProof/>
        </w:rPr>
        <w:t>ele</w:t>
      </w:r>
      <w:r w:rsidR="00720A0A" w:rsidRPr="002866E5">
        <w:rPr>
          <w:noProof/>
        </w:rPr>
        <w:t>mentami cyfrowymi powinni wdrożyć politykę skoordynowanego ujawniania podatności, aby ułatwić zgłaszanie podatności przez osoby lub podmioty</w:t>
      </w:r>
      <w:r w:rsidR="008B35E8" w:rsidRPr="002866E5">
        <w:rPr>
          <w:noProof/>
        </w:rPr>
        <w:t>. W</w:t>
      </w:r>
      <w:r w:rsidR="008B35E8">
        <w:rPr>
          <w:noProof/>
        </w:rPr>
        <w:t> </w:t>
      </w:r>
      <w:r w:rsidR="008B35E8" w:rsidRPr="002866E5">
        <w:rPr>
          <w:noProof/>
        </w:rPr>
        <w:t>pol</w:t>
      </w:r>
      <w:r w:rsidR="00720A0A" w:rsidRPr="002866E5">
        <w:rPr>
          <w:noProof/>
        </w:rPr>
        <w:t>ityce skoordynowanego ujawniania podatności należy określić ustrukturyzowany proces,</w:t>
      </w:r>
      <w:r w:rsidR="008B35E8" w:rsidRPr="002866E5">
        <w:rPr>
          <w:noProof/>
        </w:rPr>
        <w:t xml:space="preserve"> w</w:t>
      </w:r>
      <w:r w:rsidR="008B35E8">
        <w:rPr>
          <w:noProof/>
        </w:rPr>
        <w:t> </w:t>
      </w:r>
      <w:r w:rsidR="008B35E8" w:rsidRPr="002866E5">
        <w:rPr>
          <w:noProof/>
        </w:rPr>
        <w:t>ram</w:t>
      </w:r>
      <w:r w:rsidR="00720A0A" w:rsidRPr="002866E5">
        <w:rPr>
          <w:noProof/>
        </w:rPr>
        <w:t>ach którego podatności zgłaszane są producentowi</w:t>
      </w:r>
      <w:r w:rsidR="008B35E8" w:rsidRPr="002866E5">
        <w:rPr>
          <w:noProof/>
        </w:rPr>
        <w:t xml:space="preserve"> w</w:t>
      </w:r>
      <w:r w:rsidR="008B35E8">
        <w:rPr>
          <w:noProof/>
        </w:rPr>
        <w:t> </w:t>
      </w:r>
      <w:r w:rsidR="008B35E8" w:rsidRPr="002866E5">
        <w:rPr>
          <w:noProof/>
        </w:rPr>
        <w:t>spo</w:t>
      </w:r>
      <w:r w:rsidR="00720A0A" w:rsidRPr="002866E5">
        <w:rPr>
          <w:noProof/>
        </w:rPr>
        <w:t>sób umożliwiający mu zdiagnozowanie</w:t>
      </w:r>
      <w:r w:rsidR="008B35E8" w:rsidRPr="002866E5">
        <w:rPr>
          <w:noProof/>
        </w:rPr>
        <w:t xml:space="preserve"> i</w:t>
      </w:r>
      <w:r w:rsidR="008B35E8">
        <w:rPr>
          <w:noProof/>
        </w:rPr>
        <w:t> </w:t>
      </w:r>
      <w:r w:rsidR="008B35E8" w:rsidRPr="002866E5">
        <w:rPr>
          <w:noProof/>
        </w:rPr>
        <w:t>wye</w:t>
      </w:r>
      <w:r w:rsidR="00720A0A" w:rsidRPr="002866E5">
        <w:rPr>
          <w:noProof/>
        </w:rPr>
        <w:t xml:space="preserve">liminowanie takich </w:t>
      </w:r>
      <w:r w:rsidR="00720A0A" w:rsidRPr="002866E5">
        <w:rPr>
          <w:noProof/>
        </w:rPr>
        <w:lastRenderedPageBreak/>
        <w:t>podatności, zanim szczegółowe informacje dotyczące podatności zostaną ujawnione osobom trzecim lub podane do wiadomości publicznej. Biorąc pod uwagę fakt, że informacje na temat możliwych do wykorzystania podatności</w:t>
      </w:r>
      <w:r w:rsidR="008B35E8" w:rsidRPr="002866E5">
        <w:rPr>
          <w:noProof/>
        </w:rPr>
        <w:t xml:space="preserve"> w</w:t>
      </w:r>
      <w:r w:rsidR="008B35E8">
        <w:rPr>
          <w:noProof/>
        </w:rPr>
        <w:t> </w:t>
      </w:r>
      <w:r w:rsidR="008B35E8" w:rsidRPr="002866E5">
        <w:rPr>
          <w:noProof/>
        </w:rPr>
        <w:t>pow</w:t>
      </w:r>
      <w:r w:rsidR="00720A0A" w:rsidRPr="002866E5">
        <w:rPr>
          <w:noProof/>
        </w:rPr>
        <w:t>szechnie używanych produktach</w:t>
      </w:r>
      <w:r w:rsidR="008B35E8" w:rsidRPr="002866E5">
        <w:rPr>
          <w:noProof/>
        </w:rPr>
        <w:t xml:space="preserve"> z</w:t>
      </w:r>
      <w:r w:rsidR="008B35E8">
        <w:rPr>
          <w:noProof/>
        </w:rPr>
        <w:t> </w:t>
      </w:r>
      <w:r w:rsidR="008B35E8" w:rsidRPr="002866E5">
        <w:rPr>
          <w:noProof/>
        </w:rPr>
        <w:t>ele</w:t>
      </w:r>
      <w:r w:rsidR="00720A0A" w:rsidRPr="002866E5">
        <w:rPr>
          <w:noProof/>
        </w:rPr>
        <w:t>mentami cyfrowymi mogą być sprzedawane po wysokich cenach na czarnym rynku, producenci takich produktów powinni mieć możliwość korzystania</w:t>
      </w:r>
      <w:r w:rsidR="008B35E8" w:rsidRPr="002866E5">
        <w:rPr>
          <w:noProof/>
        </w:rPr>
        <w:t xml:space="preserve"> z</w:t>
      </w:r>
      <w:r w:rsidR="008B35E8">
        <w:rPr>
          <w:noProof/>
        </w:rPr>
        <w:t> </w:t>
      </w:r>
      <w:r w:rsidR="008B35E8" w:rsidRPr="002866E5">
        <w:rPr>
          <w:noProof/>
        </w:rPr>
        <w:t>pro</w:t>
      </w:r>
      <w:r w:rsidR="00720A0A" w:rsidRPr="002866E5">
        <w:rPr>
          <w:noProof/>
        </w:rPr>
        <w:t xml:space="preserve">gramów, będących częścią ich polityki skoordynowanego ujawniania podatności, których celem jest zachęcanie do zgłaszania podatności przez zagwarantowanie osobom lub podmiotom uznania oraz wynagrodzenia za ich starania (tak zwane programy wynagrodzeń za wykryte błędy, ang. </w:t>
      </w:r>
      <w:r w:rsidR="00720A0A" w:rsidRPr="002866E5">
        <w:rPr>
          <w:i/>
          <w:iCs/>
          <w:noProof/>
        </w:rPr>
        <w:t>bug bounty</w:t>
      </w:r>
      <w:r w:rsidR="00720A0A" w:rsidRPr="002866E5">
        <w:rPr>
          <w:noProof/>
        </w:rPr>
        <w:t xml:space="preserve">). </w:t>
      </w:r>
    </w:p>
    <w:p w14:paraId="67ED86EE" w14:textId="2DCF9887" w:rsidR="00A21F4F" w:rsidRPr="002866E5" w:rsidRDefault="00B4087C" w:rsidP="00B4087C">
      <w:pPr>
        <w:pStyle w:val="ManualConsidrant"/>
        <w:rPr>
          <w:noProof/>
        </w:rPr>
      </w:pPr>
      <w:r w:rsidRPr="00B4087C">
        <w:t>(37)</w:t>
      </w:r>
      <w:r w:rsidRPr="00B4087C">
        <w:tab/>
      </w:r>
      <w:r w:rsidR="009B58FE" w:rsidRPr="002866E5">
        <w:rPr>
          <w:noProof/>
        </w:rPr>
        <w:t>Aby ułatwić analizę podatności, producenci powinni identyfikować</w:t>
      </w:r>
      <w:r w:rsidR="008B35E8" w:rsidRPr="002866E5">
        <w:rPr>
          <w:noProof/>
        </w:rPr>
        <w:t xml:space="preserve"> i</w:t>
      </w:r>
      <w:r w:rsidR="008B35E8">
        <w:rPr>
          <w:noProof/>
        </w:rPr>
        <w:t> </w:t>
      </w:r>
      <w:r w:rsidR="008B35E8" w:rsidRPr="002866E5">
        <w:rPr>
          <w:noProof/>
        </w:rPr>
        <w:t>dok</w:t>
      </w:r>
      <w:r w:rsidR="009B58FE" w:rsidRPr="002866E5">
        <w:rPr>
          <w:noProof/>
        </w:rPr>
        <w:t>umentować komponenty zawarte</w:t>
      </w:r>
      <w:r w:rsidR="008B35E8" w:rsidRPr="002866E5">
        <w:rPr>
          <w:noProof/>
        </w:rPr>
        <w:t xml:space="preserve"> w</w:t>
      </w:r>
      <w:r w:rsidR="008B35E8">
        <w:rPr>
          <w:noProof/>
        </w:rPr>
        <w:t> </w:t>
      </w:r>
      <w:r w:rsidR="008B35E8" w:rsidRPr="002866E5">
        <w:rPr>
          <w:noProof/>
        </w:rPr>
        <w:t>pro</w:t>
      </w:r>
      <w:r w:rsidR="009B58FE" w:rsidRPr="002866E5">
        <w:rPr>
          <w:noProof/>
        </w:rPr>
        <w:t>dukcie</w:t>
      </w:r>
      <w:r w:rsidR="008B35E8" w:rsidRPr="002866E5">
        <w:rPr>
          <w:noProof/>
        </w:rPr>
        <w:t xml:space="preserve"> z</w:t>
      </w:r>
      <w:r w:rsidR="008B35E8">
        <w:rPr>
          <w:noProof/>
        </w:rPr>
        <w:t> </w:t>
      </w:r>
      <w:r w:rsidR="008B35E8" w:rsidRPr="002866E5">
        <w:rPr>
          <w:noProof/>
        </w:rPr>
        <w:t>ele</w:t>
      </w:r>
      <w:r w:rsidR="009B58FE" w:rsidRPr="002866E5">
        <w:rPr>
          <w:noProof/>
        </w:rPr>
        <w:t>mentami cyfrowymi,</w:t>
      </w:r>
      <w:r w:rsidR="008B35E8" w:rsidRPr="002866E5">
        <w:rPr>
          <w:noProof/>
        </w:rPr>
        <w:t xml:space="preserve"> w</w:t>
      </w:r>
      <w:r w:rsidR="008B35E8">
        <w:rPr>
          <w:noProof/>
        </w:rPr>
        <w:t> </w:t>
      </w:r>
      <w:r w:rsidR="008B35E8" w:rsidRPr="002866E5">
        <w:rPr>
          <w:noProof/>
        </w:rPr>
        <w:t>tym</w:t>
      </w:r>
      <w:r w:rsidR="009B58FE" w:rsidRPr="002866E5">
        <w:rPr>
          <w:noProof/>
        </w:rPr>
        <w:t xml:space="preserve"> przez sporządzenie zestawienia podstawowych materiałów do produkcji oprogramowania. Dzięki zestawieniu podstawowych materiałów do produkcji oprogramowania osoby lub podmioty, które produkują, nabywają lub obsługują oprogramowanie, mogą uzyskać informacje podnoszące ich poziom zrozumienia łańcucha dostaw, co przynosi liczne korzyści,</w:t>
      </w:r>
      <w:r w:rsidR="008B35E8" w:rsidRPr="002866E5">
        <w:rPr>
          <w:noProof/>
        </w:rPr>
        <w:t xml:space="preserve"> w</w:t>
      </w:r>
      <w:r w:rsidR="008B35E8">
        <w:rPr>
          <w:noProof/>
        </w:rPr>
        <w:t> </w:t>
      </w:r>
      <w:r w:rsidR="008B35E8" w:rsidRPr="002866E5">
        <w:rPr>
          <w:noProof/>
        </w:rPr>
        <w:t>szc</w:t>
      </w:r>
      <w:r w:rsidR="009B58FE" w:rsidRPr="002866E5">
        <w:rPr>
          <w:noProof/>
        </w:rPr>
        <w:t>zególności pomaga producentom</w:t>
      </w:r>
      <w:r w:rsidR="008B35E8" w:rsidRPr="002866E5">
        <w:rPr>
          <w:noProof/>
        </w:rPr>
        <w:t xml:space="preserve"> i</w:t>
      </w:r>
      <w:r w:rsidR="008B35E8">
        <w:rPr>
          <w:noProof/>
        </w:rPr>
        <w:t> </w:t>
      </w:r>
      <w:r w:rsidR="008B35E8" w:rsidRPr="002866E5">
        <w:rPr>
          <w:noProof/>
        </w:rPr>
        <w:t>uży</w:t>
      </w:r>
      <w:r w:rsidR="009B58FE" w:rsidRPr="002866E5">
        <w:rPr>
          <w:noProof/>
        </w:rPr>
        <w:t>tkownikom</w:t>
      </w:r>
      <w:r w:rsidR="008B35E8" w:rsidRPr="002866E5">
        <w:rPr>
          <w:noProof/>
        </w:rPr>
        <w:t xml:space="preserve"> w</w:t>
      </w:r>
      <w:r w:rsidR="008B35E8">
        <w:rPr>
          <w:noProof/>
        </w:rPr>
        <w:t> </w:t>
      </w:r>
      <w:r w:rsidR="008B35E8" w:rsidRPr="002866E5">
        <w:rPr>
          <w:noProof/>
        </w:rPr>
        <w:t>śle</w:t>
      </w:r>
      <w:r w:rsidR="009B58FE" w:rsidRPr="002866E5">
        <w:rPr>
          <w:noProof/>
        </w:rPr>
        <w:t>dzeniu znanych</w:t>
      </w:r>
      <w:r w:rsidR="008B35E8" w:rsidRPr="002866E5">
        <w:rPr>
          <w:noProof/>
        </w:rPr>
        <w:t xml:space="preserve"> i</w:t>
      </w:r>
      <w:r w:rsidR="008B35E8">
        <w:rPr>
          <w:noProof/>
        </w:rPr>
        <w:t> </w:t>
      </w:r>
      <w:r w:rsidR="008B35E8" w:rsidRPr="002866E5">
        <w:rPr>
          <w:noProof/>
        </w:rPr>
        <w:t>now</w:t>
      </w:r>
      <w:r w:rsidR="009B58FE" w:rsidRPr="002866E5">
        <w:rPr>
          <w:noProof/>
        </w:rPr>
        <w:t>o pojawiających się podatności oraz ryzyka. Szczególnie istotne jest zapewnienie przez producentów, aby ich produkty nie zawierały opracowanych przez strony trzecie komponentów,</w:t>
      </w:r>
      <w:r w:rsidR="008B35E8" w:rsidRPr="002866E5">
        <w:rPr>
          <w:noProof/>
        </w:rPr>
        <w:t xml:space="preserve"> w</w:t>
      </w:r>
      <w:r w:rsidR="008B35E8">
        <w:rPr>
          <w:noProof/>
        </w:rPr>
        <w:t> </w:t>
      </w:r>
      <w:r w:rsidR="008B35E8" w:rsidRPr="002866E5">
        <w:rPr>
          <w:noProof/>
        </w:rPr>
        <w:t>któ</w:t>
      </w:r>
      <w:r w:rsidR="009B58FE" w:rsidRPr="002866E5">
        <w:rPr>
          <w:noProof/>
        </w:rPr>
        <w:t>rych mogą występować podatności.</w:t>
      </w:r>
    </w:p>
    <w:p w14:paraId="67ED86EF" w14:textId="1D0A4396" w:rsidR="000A0E7E" w:rsidRPr="002866E5" w:rsidRDefault="00B4087C" w:rsidP="00B4087C">
      <w:pPr>
        <w:pStyle w:val="ManualConsidrant"/>
        <w:rPr>
          <w:noProof/>
        </w:rPr>
      </w:pPr>
      <w:r w:rsidRPr="00B4087C">
        <w:t>(38)</w:t>
      </w:r>
      <w:r w:rsidRPr="00B4087C">
        <w:tab/>
      </w:r>
      <w:r w:rsidR="000A0E7E" w:rsidRPr="002866E5">
        <w:rPr>
          <w:noProof/>
        </w:rPr>
        <w:t>W celu ułatwienia oceny zgodności</w:t>
      </w:r>
      <w:r w:rsidR="008B35E8" w:rsidRPr="002866E5">
        <w:rPr>
          <w:noProof/>
        </w:rPr>
        <w:t xml:space="preserve"> z</w:t>
      </w:r>
      <w:r w:rsidR="008B35E8">
        <w:rPr>
          <w:noProof/>
        </w:rPr>
        <w:t> </w:t>
      </w:r>
      <w:r w:rsidR="008B35E8" w:rsidRPr="002866E5">
        <w:rPr>
          <w:noProof/>
        </w:rPr>
        <w:t>wym</w:t>
      </w:r>
      <w:r w:rsidR="000A0E7E" w:rsidRPr="002866E5">
        <w:rPr>
          <w:noProof/>
        </w:rPr>
        <w:t>ogami określonymi</w:t>
      </w:r>
      <w:r w:rsidR="008B35E8" w:rsidRPr="002866E5">
        <w:rPr>
          <w:noProof/>
        </w:rPr>
        <w:t xml:space="preserve"> w</w:t>
      </w:r>
      <w:r w:rsidR="008B35E8">
        <w:rPr>
          <w:noProof/>
        </w:rPr>
        <w:t> </w:t>
      </w:r>
      <w:r w:rsidR="008B35E8" w:rsidRPr="002866E5">
        <w:rPr>
          <w:noProof/>
        </w:rPr>
        <w:t>nin</w:t>
      </w:r>
      <w:r w:rsidR="000A0E7E" w:rsidRPr="002866E5">
        <w:rPr>
          <w:noProof/>
        </w:rPr>
        <w:t>iejszym rozporządzeniu należy przyjąć domniemanie zgodności produktów</w:t>
      </w:r>
      <w:r w:rsidR="008B35E8" w:rsidRPr="002866E5">
        <w:rPr>
          <w:noProof/>
        </w:rPr>
        <w:t xml:space="preserve"> z</w:t>
      </w:r>
      <w:r w:rsidR="008B35E8">
        <w:rPr>
          <w:noProof/>
        </w:rPr>
        <w:t> </w:t>
      </w:r>
      <w:r w:rsidR="008B35E8" w:rsidRPr="002866E5">
        <w:rPr>
          <w:noProof/>
        </w:rPr>
        <w:t>ele</w:t>
      </w:r>
      <w:r w:rsidR="000A0E7E" w:rsidRPr="002866E5">
        <w:rPr>
          <w:noProof/>
        </w:rPr>
        <w:t>mentami cyfrowymi, które są zgodne</w:t>
      </w:r>
      <w:r w:rsidR="008B35E8" w:rsidRPr="002866E5">
        <w:rPr>
          <w:noProof/>
        </w:rPr>
        <w:t xml:space="preserve"> z</w:t>
      </w:r>
      <w:r w:rsidR="008B35E8">
        <w:rPr>
          <w:noProof/>
        </w:rPr>
        <w:t> </w:t>
      </w:r>
      <w:r w:rsidR="008B35E8" w:rsidRPr="002866E5">
        <w:rPr>
          <w:noProof/>
        </w:rPr>
        <w:t>nor</w:t>
      </w:r>
      <w:r w:rsidR="000A0E7E" w:rsidRPr="002866E5">
        <w:rPr>
          <w:noProof/>
        </w:rPr>
        <w:t>mami zharmonizowanymi,</w:t>
      </w:r>
      <w:r w:rsidR="008B35E8" w:rsidRPr="002866E5">
        <w:rPr>
          <w:noProof/>
        </w:rPr>
        <w:t xml:space="preserve"> w</w:t>
      </w:r>
      <w:r w:rsidR="008B35E8">
        <w:rPr>
          <w:noProof/>
        </w:rPr>
        <w:t> </w:t>
      </w:r>
      <w:r w:rsidR="008B35E8" w:rsidRPr="002866E5">
        <w:rPr>
          <w:noProof/>
        </w:rPr>
        <w:t>któ</w:t>
      </w:r>
      <w:r w:rsidR="000A0E7E" w:rsidRPr="002866E5">
        <w:rPr>
          <w:noProof/>
        </w:rPr>
        <w:t>rych zasadnicze wymogi niniejszego rozporządzenia przełożono na szczegółowe specyfikacje techniczne oraz które przyjęto zgodnie</w:t>
      </w:r>
      <w:r w:rsidR="008B35E8" w:rsidRPr="002866E5">
        <w:rPr>
          <w:noProof/>
        </w:rPr>
        <w:t xml:space="preserve"> z</w:t>
      </w:r>
      <w:r w:rsidR="008B35E8">
        <w:rPr>
          <w:noProof/>
        </w:rPr>
        <w:t> </w:t>
      </w:r>
      <w:r w:rsidR="008B35E8" w:rsidRPr="002866E5">
        <w:rPr>
          <w:noProof/>
        </w:rPr>
        <w:t>roz</w:t>
      </w:r>
      <w:r w:rsidR="000A0E7E" w:rsidRPr="002866E5">
        <w:rPr>
          <w:noProof/>
        </w:rPr>
        <w:t>porządzeniem Parlamentu Europejskiego</w:t>
      </w:r>
      <w:r w:rsidR="008B35E8" w:rsidRPr="002866E5">
        <w:rPr>
          <w:noProof/>
        </w:rPr>
        <w:t xml:space="preserve"> i</w:t>
      </w:r>
      <w:r w:rsidR="008B35E8">
        <w:rPr>
          <w:noProof/>
        </w:rPr>
        <w:t> </w:t>
      </w:r>
      <w:r w:rsidR="008B35E8" w:rsidRPr="002866E5">
        <w:rPr>
          <w:noProof/>
        </w:rPr>
        <w:t>Rad</w:t>
      </w:r>
      <w:r w:rsidR="000A0E7E" w:rsidRPr="002866E5">
        <w:rPr>
          <w:noProof/>
        </w:rPr>
        <w:t xml:space="preserve">y (UE) </w:t>
      </w:r>
      <w:r w:rsidR="000A0E7E" w:rsidRPr="008B35E8">
        <w:rPr>
          <w:noProof/>
        </w:rPr>
        <w:t>nr</w:t>
      </w:r>
      <w:r w:rsidR="008B35E8" w:rsidRPr="008B35E8">
        <w:rPr>
          <w:noProof/>
        </w:rPr>
        <w:t> </w:t>
      </w:r>
      <w:r w:rsidR="000A0E7E" w:rsidRPr="008B35E8">
        <w:rPr>
          <w:noProof/>
        </w:rPr>
        <w:t>1</w:t>
      </w:r>
      <w:r w:rsidR="000A0E7E" w:rsidRPr="002866E5">
        <w:rPr>
          <w:noProof/>
        </w:rPr>
        <w:t>025/2012</w:t>
      </w:r>
      <w:r w:rsidR="000A0E7E" w:rsidRPr="002866E5">
        <w:rPr>
          <w:rStyle w:val="FootnoteReference"/>
          <w:noProof/>
        </w:rPr>
        <w:footnoteReference w:id="30"/>
      </w:r>
      <w:r w:rsidR="008B35E8" w:rsidRPr="002866E5">
        <w:rPr>
          <w:noProof/>
        </w:rPr>
        <w:t>. W</w:t>
      </w:r>
      <w:r w:rsidR="008B35E8">
        <w:rPr>
          <w:noProof/>
        </w:rPr>
        <w:t> </w:t>
      </w:r>
      <w:r w:rsidR="008B35E8" w:rsidRPr="002866E5">
        <w:rPr>
          <w:noProof/>
        </w:rPr>
        <w:t>roz</w:t>
      </w:r>
      <w:r w:rsidR="000A0E7E" w:rsidRPr="002866E5">
        <w:rPr>
          <w:noProof/>
        </w:rPr>
        <w:t>porządzeniu (UE) nr 1025/2012 przewidziano procedurę sprzeciwu wobec norm zharmonizowanych,</w:t>
      </w:r>
      <w:r w:rsidR="008B35E8" w:rsidRPr="002866E5">
        <w:rPr>
          <w:noProof/>
        </w:rPr>
        <w:t xml:space="preserve"> w</w:t>
      </w:r>
      <w:r w:rsidR="008B35E8">
        <w:rPr>
          <w:noProof/>
        </w:rPr>
        <w:t> </w:t>
      </w:r>
      <w:r w:rsidR="008B35E8" w:rsidRPr="002866E5">
        <w:rPr>
          <w:noProof/>
        </w:rPr>
        <w:t>prz</w:t>
      </w:r>
      <w:r w:rsidR="000A0E7E" w:rsidRPr="002866E5">
        <w:rPr>
          <w:noProof/>
        </w:rPr>
        <w:t>ypadku gdy normy takie nie spełniają</w:t>
      </w:r>
      <w:r w:rsidR="008B35E8" w:rsidRPr="002866E5">
        <w:rPr>
          <w:noProof/>
        </w:rPr>
        <w:t xml:space="preserve"> w</w:t>
      </w:r>
      <w:r w:rsidR="008B35E8">
        <w:rPr>
          <w:noProof/>
        </w:rPr>
        <w:t> </w:t>
      </w:r>
      <w:r w:rsidR="008B35E8" w:rsidRPr="002866E5">
        <w:rPr>
          <w:noProof/>
        </w:rPr>
        <w:t>peł</w:t>
      </w:r>
      <w:r w:rsidR="000A0E7E" w:rsidRPr="002866E5">
        <w:rPr>
          <w:noProof/>
        </w:rPr>
        <w:t xml:space="preserve">ni wymogów niniejszego rozporządzenia. </w:t>
      </w:r>
    </w:p>
    <w:p w14:paraId="67ED86F0" w14:textId="086B723D" w:rsidR="007048AE" w:rsidRPr="002866E5" w:rsidRDefault="00B4087C" w:rsidP="00B4087C">
      <w:pPr>
        <w:pStyle w:val="ManualConsidrant"/>
        <w:rPr>
          <w:noProof/>
        </w:rPr>
      </w:pPr>
      <w:r w:rsidRPr="00B4087C">
        <w:t>(39)</w:t>
      </w:r>
      <w:r w:rsidRPr="00B4087C">
        <w:tab/>
      </w:r>
      <w:r w:rsidR="00387E0A" w:rsidRPr="002866E5">
        <w:rPr>
          <w:noProof/>
        </w:rPr>
        <w:t>W rozporządzeniu (UE) 2019/881 ustanowiono europejskie ramy dobrowolnej certyfikacji cyberbezpieczeństwa dotyczącej produktów, procesów</w:t>
      </w:r>
      <w:r w:rsidR="008B35E8" w:rsidRPr="002866E5">
        <w:rPr>
          <w:noProof/>
        </w:rPr>
        <w:t xml:space="preserve"> i</w:t>
      </w:r>
      <w:r w:rsidR="008B35E8">
        <w:rPr>
          <w:noProof/>
        </w:rPr>
        <w:t> </w:t>
      </w:r>
      <w:r w:rsidR="008B35E8" w:rsidRPr="002866E5">
        <w:rPr>
          <w:noProof/>
        </w:rPr>
        <w:t>usł</w:t>
      </w:r>
      <w:r w:rsidR="00387E0A" w:rsidRPr="002866E5">
        <w:rPr>
          <w:noProof/>
        </w:rPr>
        <w:t>ug ICT. Europejskie programy certyfikacji cyberbezpieczeństwa mogą obejmować produkty</w:t>
      </w:r>
      <w:r w:rsidR="008B35E8" w:rsidRPr="002866E5">
        <w:rPr>
          <w:noProof/>
        </w:rPr>
        <w:t xml:space="preserve"> z</w:t>
      </w:r>
      <w:r w:rsidR="008B35E8">
        <w:rPr>
          <w:noProof/>
        </w:rPr>
        <w:t> </w:t>
      </w:r>
      <w:r w:rsidR="008B35E8" w:rsidRPr="002866E5">
        <w:rPr>
          <w:noProof/>
        </w:rPr>
        <w:t>ele</w:t>
      </w:r>
      <w:r w:rsidR="00387E0A" w:rsidRPr="002866E5">
        <w:rPr>
          <w:noProof/>
        </w:rPr>
        <w:t>mentami cyfrowymi objęte niniejszym rozporządzeniem. Niniejsze rozporządzenie powinno stworzyć synergię</w:t>
      </w:r>
      <w:r w:rsidR="008B35E8" w:rsidRPr="002866E5">
        <w:rPr>
          <w:noProof/>
        </w:rPr>
        <w:t xml:space="preserve"> z</w:t>
      </w:r>
      <w:r w:rsidR="008B35E8">
        <w:rPr>
          <w:noProof/>
        </w:rPr>
        <w:t> </w:t>
      </w:r>
      <w:r w:rsidR="008B35E8" w:rsidRPr="002866E5">
        <w:rPr>
          <w:noProof/>
        </w:rPr>
        <w:t>roz</w:t>
      </w:r>
      <w:r w:rsidR="00387E0A" w:rsidRPr="002866E5">
        <w:rPr>
          <w:noProof/>
        </w:rPr>
        <w:t>porządzeniem (UE) 2019/881</w:t>
      </w:r>
      <w:r w:rsidR="008B35E8" w:rsidRPr="002866E5">
        <w:rPr>
          <w:noProof/>
        </w:rPr>
        <w:t>. W</w:t>
      </w:r>
      <w:r w:rsidR="008B35E8">
        <w:rPr>
          <w:noProof/>
        </w:rPr>
        <w:t> </w:t>
      </w:r>
      <w:r w:rsidR="008B35E8" w:rsidRPr="002866E5">
        <w:rPr>
          <w:noProof/>
        </w:rPr>
        <w:t>cel</w:t>
      </w:r>
      <w:r w:rsidR="00387E0A" w:rsidRPr="002866E5">
        <w:rPr>
          <w:noProof/>
        </w:rPr>
        <w:t>u ułatwienia oceny zgodności</w:t>
      </w:r>
      <w:r w:rsidR="008B35E8" w:rsidRPr="002866E5">
        <w:rPr>
          <w:noProof/>
        </w:rPr>
        <w:t xml:space="preserve"> z</w:t>
      </w:r>
      <w:r w:rsidR="008B35E8">
        <w:rPr>
          <w:noProof/>
        </w:rPr>
        <w:t> </w:t>
      </w:r>
      <w:r w:rsidR="008B35E8" w:rsidRPr="002866E5">
        <w:rPr>
          <w:noProof/>
        </w:rPr>
        <w:t>wym</w:t>
      </w:r>
      <w:r w:rsidR="00387E0A" w:rsidRPr="002866E5">
        <w:rPr>
          <w:noProof/>
        </w:rPr>
        <w:t>ogami określonymi</w:t>
      </w:r>
      <w:r w:rsidR="008B35E8" w:rsidRPr="002866E5">
        <w:rPr>
          <w:noProof/>
        </w:rPr>
        <w:t xml:space="preserve"> w</w:t>
      </w:r>
      <w:r w:rsidR="008B35E8">
        <w:rPr>
          <w:noProof/>
        </w:rPr>
        <w:t> </w:t>
      </w:r>
      <w:r w:rsidR="008B35E8" w:rsidRPr="002866E5">
        <w:rPr>
          <w:noProof/>
        </w:rPr>
        <w:t>nin</w:t>
      </w:r>
      <w:r w:rsidR="00387E0A" w:rsidRPr="002866E5">
        <w:rPr>
          <w:noProof/>
        </w:rPr>
        <w:t>iejszym rozporządzeniu produkty</w:t>
      </w:r>
      <w:r w:rsidR="008B35E8" w:rsidRPr="002866E5">
        <w:rPr>
          <w:noProof/>
        </w:rPr>
        <w:t xml:space="preserve"> z</w:t>
      </w:r>
      <w:r w:rsidR="008B35E8">
        <w:rPr>
          <w:noProof/>
        </w:rPr>
        <w:t> </w:t>
      </w:r>
      <w:r w:rsidR="008B35E8" w:rsidRPr="002866E5">
        <w:rPr>
          <w:noProof/>
        </w:rPr>
        <w:t>ele</w:t>
      </w:r>
      <w:r w:rsidR="00387E0A" w:rsidRPr="002866E5">
        <w:rPr>
          <w:noProof/>
        </w:rPr>
        <w:t>mentami cyfrowymi, które uzyskały certyfikację lub</w:t>
      </w:r>
      <w:r w:rsidR="008B35E8" w:rsidRPr="002866E5">
        <w:rPr>
          <w:noProof/>
        </w:rPr>
        <w:t xml:space="preserve"> w</w:t>
      </w:r>
      <w:r w:rsidR="008B35E8">
        <w:rPr>
          <w:noProof/>
        </w:rPr>
        <w:t> </w:t>
      </w:r>
      <w:r w:rsidR="008B35E8" w:rsidRPr="002866E5">
        <w:rPr>
          <w:noProof/>
        </w:rPr>
        <w:t>odn</w:t>
      </w:r>
      <w:r w:rsidR="00387E0A" w:rsidRPr="002866E5">
        <w:rPr>
          <w:noProof/>
        </w:rPr>
        <w:t>iesieniu do których wydano deklarację zgodności</w:t>
      </w:r>
      <w:r w:rsidR="008B35E8" w:rsidRPr="002866E5">
        <w:rPr>
          <w:noProof/>
        </w:rPr>
        <w:t xml:space="preserve"> w</w:t>
      </w:r>
      <w:r w:rsidR="008B35E8">
        <w:rPr>
          <w:noProof/>
        </w:rPr>
        <w:t> </w:t>
      </w:r>
      <w:r w:rsidR="008B35E8" w:rsidRPr="002866E5">
        <w:rPr>
          <w:noProof/>
        </w:rPr>
        <w:t>ram</w:t>
      </w:r>
      <w:r w:rsidR="00387E0A" w:rsidRPr="002866E5">
        <w:rPr>
          <w:noProof/>
        </w:rPr>
        <w:t>ach programu certyfikacji cyberbezpieczeństwa zgodnie</w:t>
      </w:r>
      <w:r w:rsidR="008B35E8" w:rsidRPr="002866E5">
        <w:rPr>
          <w:noProof/>
        </w:rPr>
        <w:t xml:space="preserve"> z</w:t>
      </w:r>
      <w:r w:rsidR="008B35E8">
        <w:rPr>
          <w:noProof/>
        </w:rPr>
        <w:t> </w:t>
      </w:r>
      <w:r w:rsidR="008B35E8" w:rsidRPr="002866E5">
        <w:rPr>
          <w:noProof/>
        </w:rPr>
        <w:t>roz</w:t>
      </w:r>
      <w:r w:rsidR="00387E0A" w:rsidRPr="002866E5">
        <w:rPr>
          <w:noProof/>
        </w:rPr>
        <w:t>porządzeniem (UE) 2019/881, co zostało określone przez Komisję</w:t>
      </w:r>
      <w:r w:rsidR="008B35E8" w:rsidRPr="002866E5">
        <w:rPr>
          <w:noProof/>
        </w:rPr>
        <w:t xml:space="preserve"> w</w:t>
      </w:r>
      <w:r w:rsidR="008B35E8">
        <w:rPr>
          <w:noProof/>
        </w:rPr>
        <w:t> </w:t>
      </w:r>
      <w:r w:rsidR="008B35E8" w:rsidRPr="002866E5">
        <w:rPr>
          <w:noProof/>
        </w:rPr>
        <w:t>akc</w:t>
      </w:r>
      <w:r w:rsidR="00387E0A" w:rsidRPr="002866E5">
        <w:rPr>
          <w:noProof/>
        </w:rPr>
        <w:t>ie wykonawczym, uznaje się za zgodne</w:t>
      </w:r>
      <w:r w:rsidR="008B35E8" w:rsidRPr="002866E5">
        <w:rPr>
          <w:noProof/>
        </w:rPr>
        <w:t xml:space="preserve"> z</w:t>
      </w:r>
      <w:r w:rsidR="008B35E8">
        <w:rPr>
          <w:noProof/>
        </w:rPr>
        <w:t> </w:t>
      </w:r>
      <w:r w:rsidR="008B35E8" w:rsidRPr="002866E5">
        <w:rPr>
          <w:noProof/>
        </w:rPr>
        <w:t>zas</w:t>
      </w:r>
      <w:r w:rsidR="00387E0A" w:rsidRPr="002866E5">
        <w:rPr>
          <w:noProof/>
        </w:rPr>
        <w:t>adniczymi wymogami określonymi</w:t>
      </w:r>
      <w:r w:rsidR="008B35E8" w:rsidRPr="002866E5">
        <w:rPr>
          <w:noProof/>
        </w:rPr>
        <w:t xml:space="preserve"> w</w:t>
      </w:r>
      <w:r w:rsidR="008B35E8">
        <w:rPr>
          <w:noProof/>
        </w:rPr>
        <w:t> </w:t>
      </w:r>
      <w:r w:rsidR="008B35E8" w:rsidRPr="002866E5">
        <w:rPr>
          <w:noProof/>
        </w:rPr>
        <w:t>nin</w:t>
      </w:r>
      <w:r w:rsidR="00387E0A" w:rsidRPr="002866E5">
        <w:rPr>
          <w:noProof/>
        </w:rPr>
        <w:t>iejszym rozporządzeniu</w:t>
      </w:r>
      <w:r w:rsidR="008B35E8" w:rsidRPr="002866E5">
        <w:rPr>
          <w:noProof/>
        </w:rPr>
        <w:t xml:space="preserve"> w</w:t>
      </w:r>
      <w:r w:rsidR="008B35E8">
        <w:rPr>
          <w:noProof/>
        </w:rPr>
        <w:t> </w:t>
      </w:r>
      <w:r w:rsidR="008B35E8" w:rsidRPr="002866E5">
        <w:rPr>
          <w:noProof/>
        </w:rPr>
        <w:t>zak</w:t>
      </w:r>
      <w:r w:rsidR="00387E0A" w:rsidRPr="002866E5">
        <w:rPr>
          <w:noProof/>
        </w:rPr>
        <w:t>resie,</w:t>
      </w:r>
      <w:r w:rsidR="008B35E8" w:rsidRPr="002866E5">
        <w:rPr>
          <w:noProof/>
        </w:rPr>
        <w:t xml:space="preserve"> w</w:t>
      </w:r>
      <w:r w:rsidR="008B35E8">
        <w:rPr>
          <w:noProof/>
        </w:rPr>
        <w:t> </w:t>
      </w:r>
      <w:r w:rsidR="008B35E8" w:rsidRPr="002866E5">
        <w:rPr>
          <w:noProof/>
        </w:rPr>
        <w:t>jak</w:t>
      </w:r>
      <w:r w:rsidR="00387E0A" w:rsidRPr="002866E5">
        <w:rPr>
          <w:noProof/>
        </w:rPr>
        <w:t>im certyfikat cyberbezpieczeństwa bądź deklaracja zgodności lub ich części obejmują te wymogi</w:t>
      </w:r>
      <w:r w:rsidR="008B35E8" w:rsidRPr="002866E5">
        <w:rPr>
          <w:noProof/>
        </w:rPr>
        <w:t>. W</w:t>
      </w:r>
      <w:r w:rsidR="008B35E8">
        <w:rPr>
          <w:noProof/>
        </w:rPr>
        <w:t> </w:t>
      </w:r>
      <w:r w:rsidR="008B35E8" w:rsidRPr="002866E5">
        <w:rPr>
          <w:noProof/>
        </w:rPr>
        <w:t>świ</w:t>
      </w:r>
      <w:r w:rsidR="00387E0A" w:rsidRPr="002866E5">
        <w:rPr>
          <w:noProof/>
        </w:rPr>
        <w:t>etle niniejszego rozporządzenia należy ocenić potrzebę nowych europejskich programów certyfikacji cyberbezpieczeństwa</w:t>
      </w:r>
      <w:r w:rsidR="008B35E8" w:rsidRPr="002866E5">
        <w:rPr>
          <w:noProof/>
        </w:rPr>
        <w:t xml:space="preserve"> w</w:t>
      </w:r>
      <w:r w:rsidR="008B35E8">
        <w:rPr>
          <w:noProof/>
        </w:rPr>
        <w:t> </w:t>
      </w:r>
      <w:r w:rsidR="008B35E8" w:rsidRPr="002866E5">
        <w:rPr>
          <w:noProof/>
        </w:rPr>
        <w:t>odn</w:t>
      </w:r>
      <w:r w:rsidR="00387E0A" w:rsidRPr="002866E5">
        <w:rPr>
          <w:noProof/>
        </w:rPr>
        <w:t>iesieniu do produktów</w:t>
      </w:r>
      <w:r w:rsidR="008B35E8" w:rsidRPr="002866E5">
        <w:rPr>
          <w:noProof/>
        </w:rPr>
        <w:t xml:space="preserve"> z</w:t>
      </w:r>
      <w:r w:rsidR="008B35E8">
        <w:rPr>
          <w:noProof/>
        </w:rPr>
        <w:t> </w:t>
      </w:r>
      <w:r w:rsidR="008B35E8" w:rsidRPr="002866E5">
        <w:rPr>
          <w:noProof/>
        </w:rPr>
        <w:t>ele</w:t>
      </w:r>
      <w:r w:rsidR="00387E0A" w:rsidRPr="002866E5">
        <w:rPr>
          <w:noProof/>
        </w:rPr>
        <w:t>mentami cyfrowymi</w:t>
      </w:r>
      <w:r w:rsidR="008B35E8" w:rsidRPr="002866E5">
        <w:rPr>
          <w:noProof/>
        </w:rPr>
        <w:t>. W</w:t>
      </w:r>
      <w:r w:rsidR="008B35E8">
        <w:rPr>
          <w:noProof/>
        </w:rPr>
        <w:t> </w:t>
      </w:r>
      <w:r w:rsidR="008B35E8" w:rsidRPr="002866E5">
        <w:rPr>
          <w:noProof/>
        </w:rPr>
        <w:t>tak</w:t>
      </w:r>
      <w:r w:rsidR="00387E0A" w:rsidRPr="002866E5">
        <w:rPr>
          <w:noProof/>
        </w:rPr>
        <w:t>ich przyszłych europejskich programach certyfikacji cyberbezpieczeństwa obejmujących produkty</w:t>
      </w:r>
      <w:r w:rsidR="008B35E8" w:rsidRPr="002866E5">
        <w:rPr>
          <w:noProof/>
        </w:rPr>
        <w:t xml:space="preserve"> z</w:t>
      </w:r>
      <w:r w:rsidR="008B35E8">
        <w:rPr>
          <w:noProof/>
        </w:rPr>
        <w:t> </w:t>
      </w:r>
      <w:r w:rsidR="008B35E8" w:rsidRPr="002866E5">
        <w:rPr>
          <w:noProof/>
        </w:rPr>
        <w:t>ele</w:t>
      </w:r>
      <w:r w:rsidR="00387E0A" w:rsidRPr="002866E5">
        <w:rPr>
          <w:noProof/>
        </w:rPr>
        <w:t xml:space="preserve">mentami cyfrowymi należy </w:t>
      </w:r>
      <w:r w:rsidR="00387E0A" w:rsidRPr="002866E5">
        <w:rPr>
          <w:noProof/>
        </w:rPr>
        <w:lastRenderedPageBreak/>
        <w:t>uwzględnić zasadnicze wymogi określone</w:t>
      </w:r>
      <w:r w:rsidR="008B35E8" w:rsidRPr="002866E5">
        <w:rPr>
          <w:noProof/>
        </w:rPr>
        <w:t xml:space="preserve"> w</w:t>
      </w:r>
      <w:r w:rsidR="008B35E8">
        <w:rPr>
          <w:noProof/>
        </w:rPr>
        <w:t> </w:t>
      </w:r>
      <w:r w:rsidR="008B35E8" w:rsidRPr="002866E5">
        <w:rPr>
          <w:noProof/>
        </w:rPr>
        <w:t>nin</w:t>
      </w:r>
      <w:r w:rsidR="00387E0A" w:rsidRPr="002866E5">
        <w:rPr>
          <w:noProof/>
        </w:rPr>
        <w:t>iejszym rozporządzeniu oraz ułatwiać zapewnienie zgodności</w:t>
      </w:r>
      <w:r w:rsidR="008B35E8" w:rsidRPr="002866E5">
        <w:rPr>
          <w:noProof/>
        </w:rPr>
        <w:t xml:space="preserve"> z</w:t>
      </w:r>
      <w:r w:rsidR="008B35E8">
        <w:rPr>
          <w:noProof/>
        </w:rPr>
        <w:t> </w:t>
      </w:r>
      <w:r w:rsidR="008B35E8" w:rsidRPr="002866E5">
        <w:rPr>
          <w:noProof/>
        </w:rPr>
        <w:t>nin</w:t>
      </w:r>
      <w:r w:rsidR="00387E0A" w:rsidRPr="002866E5">
        <w:rPr>
          <w:noProof/>
        </w:rPr>
        <w:t>iejszym rozporządzeniem. Komisja powinna być uprawniona do określania,</w:t>
      </w:r>
      <w:r w:rsidR="008B35E8" w:rsidRPr="002866E5">
        <w:rPr>
          <w:noProof/>
        </w:rPr>
        <w:t xml:space="preserve"> w</w:t>
      </w:r>
      <w:r w:rsidR="008B35E8">
        <w:rPr>
          <w:noProof/>
        </w:rPr>
        <w:t> </w:t>
      </w:r>
      <w:r w:rsidR="008B35E8" w:rsidRPr="002866E5">
        <w:rPr>
          <w:noProof/>
        </w:rPr>
        <w:t>dro</w:t>
      </w:r>
      <w:r w:rsidR="00387E0A" w:rsidRPr="002866E5">
        <w:rPr>
          <w:noProof/>
        </w:rPr>
        <w:t>dze aktów wykonawczych, europejskich programów certyfikacji cyberbezpieczeństwa, które można stosować</w:t>
      </w:r>
      <w:r w:rsidR="008B35E8" w:rsidRPr="002866E5">
        <w:rPr>
          <w:noProof/>
        </w:rPr>
        <w:t xml:space="preserve"> w</w:t>
      </w:r>
      <w:r w:rsidR="008B35E8">
        <w:rPr>
          <w:noProof/>
        </w:rPr>
        <w:t> </w:t>
      </w:r>
      <w:r w:rsidR="008B35E8" w:rsidRPr="002866E5">
        <w:rPr>
          <w:noProof/>
        </w:rPr>
        <w:t>cel</w:t>
      </w:r>
      <w:r w:rsidR="00387E0A" w:rsidRPr="002866E5">
        <w:rPr>
          <w:noProof/>
        </w:rPr>
        <w:t>u wykazania zgodności</w:t>
      </w:r>
      <w:r w:rsidR="008B35E8" w:rsidRPr="002866E5">
        <w:rPr>
          <w:noProof/>
        </w:rPr>
        <w:t xml:space="preserve"> z</w:t>
      </w:r>
      <w:r w:rsidR="008B35E8">
        <w:rPr>
          <w:noProof/>
        </w:rPr>
        <w:t> </w:t>
      </w:r>
      <w:r w:rsidR="008B35E8" w:rsidRPr="002866E5">
        <w:rPr>
          <w:noProof/>
        </w:rPr>
        <w:t>zas</w:t>
      </w:r>
      <w:r w:rsidR="00387E0A" w:rsidRPr="002866E5">
        <w:rPr>
          <w:noProof/>
        </w:rPr>
        <w:t>adniczymi wymogami określonymi</w:t>
      </w:r>
      <w:r w:rsidR="008B35E8" w:rsidRPr="002866E5">
        <w:rPr>
          <w:noProof/>
        </w:rPr>
        <w:t xml:space="preserve"> w</w:t>
      </w:r>
      <w:r w:rsidR="008B35E8">
        <w:rPr>
          <w:noProof/>
        </w:rPr>
        <w:t> </w:t>
      </w:r>
      <w:r w:rsidR="008B35E8" w:rsidRPr="002866E5">
        <w:rPr>
          <w:noProof/>
        </w:rPr>
        <w:t>nin</w:t>
      </w:r>
      <w:r w:rsidR="00387E0A" w:rsidRPr="002866E5">
        <w:rPr>
          <w:noProof/>
        </w:rPr>
        <w:t>iejszym rozporządzeniu. Co więcej, aby uniknąć nałożenia na producentów nadmiernego obciążenia administracyjnego,</w:t>
      </w:r>
      <w:r w:rsidR="008B35E8" w:rsidRPr="002866E5">
        <w:rPr>
          <w:noProof/>
        </w:rPr>
        <w:t xml:space="preserve"> w</w:t>
      </w:r>
      <w:r w:rsidR="008B35E8">
        <w:rPr>
          <w:noProof/>
        </w:rPr>
        <w:t> </w:t>
      </w:r>
      <w:r w:rsidR="008B35E8" w:rsidRPr="002866E5">
        <w:rPr>
          <w:noProof/>
        </w:rPr>
        <w:t>sto</w:t>
      </w:r>
      <w:r w:rsidR="00387E0A" w:rsidRPr="002866E5">
        <w:rPr>
          <w:noProof/>
        </w:rPr>
        <w:t>sownych przypadkach Komisja powinna określić, czy certyfikat cyberbezpieczeństwa wydany</w:t>
      </w:r>
      <w:r w:rsidR="008B35E8" w:rsidRPr="002866E5">
        <w:rPr>
          <w:noProof/>
        </w:rPr>
        <w:t xml:space="preserve"> w</w:t>
      </w:r>
      <w:r w:rsidR="008B35E8">
        <w:rPr>
          <w:noProof/>
        </w:rPr>
        <w:t> </w:t>
      </w:r>
      <w:r w:rsidR="008B35E8" w:rsidRPr="002866E5">
        <w:rPr>
          <w:noProof/>
        </w:rPr>
        <w:t>ram</w:t>
      </w:r>
      <w:r w:rsidR="00387E0A" w:rsidRPr="002866E5">
        <w:rPr>
          <w:noProof/>
        </w:rPr>
        <w:t>ach takich europejskich programów certyfikacji cyberbezpieczeństwa zwalnia producentów</w:t>
      </w:r>
      <w:r w:rsidR="008B35E8" w:rsidRPr="002866E5">
        <w:rPr>
          <w:noProof/>
        </w:rPr>
        <w:t xml:space="preserve"> z</w:t>
      </w:r>
      <w:r w:rsidR="008B35E8">
        <w:rPr>
          <w:noProof/>
        </w:rPr>
        <w:t> </w:t>
      </w:r>
      <w:r w:rsidR="008B35E8" w:rsidRPr="002866E5">
        <w:rPr>
          <w:noProof/>
        </w:rPr>
        <w:t>obo</w:t>
      </w:r>
      <w:r w:rsidR="00387E0A" w:rsidRPr="002866E5">
        <w:rPr>
          <w:noProof/>
        </w:rPr>
        <w:t>wiązku przeprowadzenia oceny zgodności przez stronę trzecią, jak przewidziano</w:t>
      </w:r>
      <w:r w:rsidR="008B35E8" w:rsidRPr="002866E5">
        <w:rPr>
          <w:noProof/>
        </w:rPr>
        <w:t xml:space="preserve"> w</w:t>
      </w:r>
      <w:r w:rsidR="008B35E8">
        <w:rPr>
          <w:noProof/>
        </w:rPr>
        <w:t> </w:t>
      </w:r>
      <w:r w:rsidR="008B35E8" w:rsidRPr="002866E5">
        <w:rPr>
          <w:noProof/>
        </w:rPr>
        <w:t>nin</w:t>
      </w:r>
      <w:r w:rsidR="00387E0A" w:rsidRPr="002866E5">
        <w:rPr>
          <w:noProof/>
        </w:rPr>
        <w:t>iejszym rozporządzeniu</w:t>
      </w:r>
      <w:r w:rsidR="008B35E8" w:rsidRPr="002866E5">
        <w:rPr>
          <w:noProof/>
        </w:rPr>
        <w:t xml:space="preserve"> w</w:t>
      </w:r>
      <w:r w:rsidR="008B35E8">
        <w:rPr>
          <w:noProof/>
        </w:rPr>
        <w:t> </w:t>
      </w:r>
      <w:r w:rsidR="008B35E8" w:rsidRPr="002866E5">
        <w:rPr>
          <w:noProof/>
        </w:rPr>
        <w:t>odn</w:t>
      </w:r>
      <w:r w:rsidR="00387E0A" w:rsidRPr="002866E5">
        <w:rPr>
          <w:noProof/>
        </w:rPr>
        <w:t xml:space="preserve">iesieniu do odpowiednich wymogów. </w:t>
      </w:r>
    </w:p>
    <w:p w14:paraId="67ED86F1" w14:textId="0FFA17B0" w:rsidR="005A3A82" w:rsidRPr="002866E5" w:rsidRDefault="00B4087C" w:rsidP="00B4087C">
      <w:pPr>
        <w:pStyle w:val="ManualConsidrant"/>
        <w:rPr>
          <w:noProof/>
        </w:rPr>
      </w:pPr>
      <w:r w:rsidRPr="00B4087C">
        <w:t>(40)</w:t>
      </w:r>
      <w:r w:rsidRPr="00B4087C">
        <w:tab/>
      </w:r>
      <w:r w:rsidR="00256113" w:rsidRPr="002866E5">
        <w:rPr>
          <w:noProof/>
        </w:rPr>
        <w:t>Po wejściu</w:t>
      </w:r>
      <w:r w:rsidR="008B35E8" w:rsidRPr="002866E5">
        <w:rPr>
          <w:noProof/>
        </w:rPr>
        <w:t xml:space="preserve"> w</w:t>
      </w:r>
      <w:r w:rsidR="008B35E8">
        <w:rPr>
          <w:noProof/>
        </w:rPr>
        <w:t> </w:t>
      </w:r>
      <w:r w:rsidR="008B35E8" w:rsidRPr="002866E5">
        <w:rPr>
          <w:noProof/>
        </w:rPr>
        <w:t>życ</w:t>
      </w:r>
      <w:r w:rsidR="00256113" w:rsidRPr="002866E5">
        <w:rPr>
          <w:noProof/>
        </w:rPr>
        <w:t>ie aktu wykonawczego określającego [rozporządzenia wykonawczego Komisji (UE) nr …/...</w:t>
      </w:r>
      <w:r w:rsidR="008B35E8" w:rsidRPr="002866E5">
        <w:rPr>
          <w:noProof/>
        </w:rPr>
        <w:t xml:space="preserve"> z</w:t>
      </w:r>
      <w:r w:rsidR="008B35E8">
        <w:rPr>
          <w:noProof/>
        </w:rPr>
        <w:t> </w:t>
      </w:r>
      <w:r w:rsidR="008B35E8" w:rsidRPr="002866E5">
        <w:rPr>
          <w:noProof/>
        </w:rPr>
        <w:t>dni</w:t>
      </w:r>
      <w:r w:rsidR="00256113" w:rsidRPr="002866E5">
        <w:rPr>
          <w:noProof/>
        </w:rPr>
        <w:t>a XXX</w:t>
      </w:r>
      <w:r w:rsidR="008B35E8" w:rsidRPr="002866E5">
        <w:rPr>
          <w:noProof/>
        </w:rPr>
        <w:t xml:space="preserve"> w</w:t>
      </w:r>
      <w:r w:rsidR="008B35E8">
        <w:rPr>
          <w:noProof/>
        </w:rPr>
        <w:t> </w:t>
      </w:r>
      <w:r w:rsidR="008B35E8" w:rsidRPr="002866E5">
        <w:rPr>
          <w:noProof/>
        </w:rPr>
        <w:t>spr</w:t>
      </w:r>
      <w:r w:rsidR="00256113" w:rsidRPr="002866E5">
        <w:rPr>
          <w:noProof/>
        </w:rPr>
        <w:t>awie europejskiego programu certyfikacji cyberbezpieczeństwa opartego na wspólnych kryteriach] (EUCC), który dotyczy sprzętu komputerowego objętego niniejszym rozporządzeniem, takiego jak sprzętowe moduły bezpieczeństwa</w:t>
      </w:r>
      <w:r w:rsidR="008B35E8" w:rsidRPr="002866E5">
        <w:rPr>
          <w:noProof/>
        </w:rPr>
        <w:t xml:space="preserve"> i</w:t>
      </w:r>
      <w:r w:rsidR="008B35E8">
        <w:rPr>
          <w:noProof/>
        </w:rPr>
        <w:t> </w:t>
      </w:r>
      <w:r w:rsidR="008B35E8" w:rsidRPr="002866E5">
        <w:rPr>
          <w:noProof/>
        </w:rPr>
        <w:t>mik</w:t>
      </w:r>
      <w:r w:rsidR="00256113" w:rsidRPr="002866E5">
        <w:rPr>
          <w:noProof/>
        </w:rPr>
        <w:t>roprocesory, Komisja może określić,</w:t>
      </w:r>
      <w:r w:rsidR="008B35E8" w:rsidRPr="002866E5">
        <w:rPr>
          <w:noProof/>
        </w:rPr>
        <w:t xml:space="preserve"> w</w:t>
      </w:r>
      <w:r w:rsidR="008B35E8">
        <w:rPr>
          <w:noProof/>
        </w:rPr>
        <w:t> </w:t>
      </w:r>
      <w:r w:rsidR="008B35E8" w:rsidRPr="002866E5">
        <w:rPr>
          <w:noProof/>
        </w:rPr>
        <w:t>dro</w:t>
      </w:r>
      <w:r w:rsidR="00256113" w:rsidRPr="002866E5">
        <w:rPr>
          <w:noProof/>
        </w:rPr>
        <w:t>dze aktu wykonawczego,</w:t>
      </w:r>
      <w:r w:rsidR="008B35E8" w:rsidRPr="002866E5">
        <w:rPr>
          <w:noProof/>
        </w:rPr>
        <w:t xml:space="preserve"> w</w:t>
      </w:r>
      <w:r w:rsidR="008B35E8">
        <w:rPr>
          <w:noProof/>
        </w:rPr>
        <w:t> </w:t>
      </w:r>
      <w:r w:rsidR="008B35E8" w:rsidRPr="002866E5">
        <w:rPr>
          <w:noProof/>
        </w:rPr>
        <w:t>jak</w:t>
      </w:r>
      <w:r w:rsidR="00256113" w:rsidRPr="002866E5">
        <w:rPr>
          <w:noProof/>
        </w:rPr>
        <w:t>i sposób EUCC zapewnia domniemanie zgodności</w:t>
      </w:r>
      <w:r w:rsidR="008B35E8" w:rsidRPr="002866E5">
        <w:rPr>
          <w:noProof/>
        </w:rPr>
        <w:t xml:space="preserve"> z</w:t>
      </w:r>
      <w:r w:rsidR="008B35E8">
        <w:rPr>
          <w:noProof/>
        </w:rPr>
        <w:t> </w:t>
      </w:r>
      <w:r w:rsidR="008B35E8" w:rsidRPr="002866E5">
        <w:rPr>
          <w:noProof/>
        </w:rPr>
        <w:t>zas</w:t>
      </w:r>
      <w:r w:rsidR="00256113" w:rsidRPr="002866E5">
        <w:rPr>
          <w:noProof/>
        </w:rPr>
        <w:t>adniczymi wymogami,</w:t>
      </w:r>
      <w:r w:rsidR="008B35E8" w:rsidRPr="002866E5">
        <w:rPr>
          <w:noProof/>
        </w:rPr>
        <w:t xml:space="preserve"> o</w:t>
      </w:r>
      <w:r w:rsidR="008B35E8">
        <w:rPr>
          <w:noProof/>
        </w:rPr>
        <w:t> </w:t>
      </w:r>
      <w:r w:rsidR="008B35E8" w:rsidRPr="002866E5">
        <w:rPr>
          <w:noProof/>
        </w:rPr>
        <w:t>któ</w:t>
      </w:r>
      <w:r w:rsidR="00256113" w:rsidRPr="002866E5">
        <w:rPr>
          <w:noProof/>
        </w:rPr>
        <w:t>rych mowa</w:t>
      </w:r>
      <w:r w:rsidR="008B35E8" w:rsidRPr="002866E5">
        <w:rPr>
          <w:noProof/>
        </w:rPr>
        <w:t xml:space="preserve"> w</w:t>
      </w:r>
      <w:r w:rsidR="008B35E8">
        <w:rPr>
          <w:noProof/>
        </w:rPr>
        <w:t> </w:t>
      </w:r>
      <w:r w:rsidR="008B35E8" w:rsidRPr="002866E5">
        <w:rPr>
          <w:noProof/>
        </w:rPr>
        <w:t>zał</w:t>
      </w:r>
      <w:r w:rsidR="00256113" w:rsidRPr="002866E5">
        <w:rPr>
          <w:noProof/>
        </w:rPr>
        <w:t>ączniku I do niniejszego rozporządzenia lub jego części. Co więcej,</w:t>
      </w:r>
      <w:r w:rsidR="008B35E8" w:rsidRPr="002866E5">
        <w:rPr>
          <w:noProof/>
        </w:rPr>
        <w:t xml:space="preserve"> w</w:t>
      </w:r>
      <w:r w:rsidR="008B35E8">
        <w:rPr>
          <w:noProof/>
        </w:rPr>
        <w:t> </w:t>
      </w:r>
      <w:r w:rsidR="008B35E8" w:rsidRPr="002866E5">
        <w:rPr>
          <w:noProof/>
        </w:rPr>
        <w:t>tak</w:t>
      </w:r>
      <w:r w:rsidR="00256113" w:rsidRPr="002866E5">
        <w:rPr>
          <w:noProof/>
        </w:rPr>
        <w:t>im akcie wykonawczym można określić,</w:t>
      </w:r>
      <w:r w:rsidR="008B35E8" w:rsidRPr="002866E5">
        <w:rPr>
          <w:noProof/>
        </w:rPr>
        <w:t xml:space="preserve"> w</w:t>
      </w:r>
      <w:r w:rsidR="008B35E8">
        <w:rPr>
          <w:noProof/>
        </w:rPr>
        <w:t> </w:t>
      </w:r>
      <w:r w:rsidR="008B35E8" w:rsidRPr="002866E5">
        <w:rPr>
          <w:noProof/>
        </w:rPr>
        <w:t>jak</w:t>
      </w:r>
      <w:r w:rsidR="00256113" w:rsidRPr="002866E5">
        <w:rPr>
          <w:noProof/>
        </w:rPr>
        <w:t>i sposób certyfikat wydany</w:t>
      </w:r>
      <w:r w:rsidR="008B35E8" w:rsidRPr="002866E5">
        <w:rPr>
          <w:noProof/>
        </w:rPr>
        <w:t xml:space="preserve"> w</w:t>
      </w:r>
      <w:r w:rsidR="008B35E8">
        <w:rPr>
          <w:noProof/>
        </w:rPr>
        <w:t> </w:t>
      </w:r>
      <w:r w:rsidR="008B35E8" w:rsidRPr="002866E5">
        <w:rPr>
          <w:noProof/>
        </w:rPr>
        <w:t>ram</w:t>
      </w:r>
      <w:r w:rsidR="00256113" w:rsidRPr="002866E5">
        <w:rPr>
          <w:noProof/>
        </w:rPr>
        <w:t>ach EUCC zwalnia producentów</w:t>
      </w:r>
      <w:r w:rsidR="008B35E8" w:rsidRPr="002866E5">
        <w:rPr>
          <w:noProof/>
        </w:rPr>
        <w:t xml:space="preserve"> z</w:t>
      </w:r>
      <w:r w:rsidR="008B35E8">
        <w:rPr>
          <w:noProof/>
        </w:rPr>
        <w:t> </w:t>
      </w:r>
      <w:r w:rsidR="008B35E8" w:rsidRPr="002866E5">
        <w:rPr>
          <w:noProof/>
        </w:rPr>
        <w:t>obo</w:t>
      </w:r>
      <w:r w:rsidR="00256113" w:rsidRPr="002866E5">
        <w:rPr>
          <w:noProof/>
        </w:rPr>
        <w:t>wiązku przeprowadzenia oceny przez stronę trzecią, wymaganej</w:t>
      </w:r>
      <w:r w:rsidR="008B35E8" w:rsidRPr="002866E5">
        <w:rPr>
          <w:noProof/>
        </w:rPr>
        <w:t xml:space="preserve"> w</w:t>
      </w:r>
      <w:r w:rsidR="008B35E8">
        <w:rPr>
          <w:noProof/>
        </w:rPr>
        <w:t> </w:t>
      </w:r>
      <w:r w:rsidR="008B35E8" w:rsidRPr="002866E5">
        <w:rPr>
          <w:noProof/>
        </w:rPr>
        <w:t>nin</w:t>
      </w:r>
      <w:r w:rsidR="00256113" w:rsidRPr="002866E5">
        <w:rPr>
          <w:noProof/>
        </w:rPr>
        <w:t>iejszym rozporządzeniu</w:t>
      </w:r>
      <w:r w:rsidR="008B35E8" w:rsidRPr="002866E5">
        <w:rPr>
          <w:noProof/>
        </w:rPr>
        <w:t xml:space="preserve"> w</w:t>
      </w:r>
      <w:r w:rsidR="008B35E8">
        <w:rPr>
          <w:noProof/>
        </w:rPr>
        <w:t> </w:t>
      </w:r>
      <w:r w:rsidR="008B35E8" w:rsidRPr="002866E5">
        <w:rPr>
          <w:noProof/>
        </w:rPr>
        <w:t>odn</w:t>
      </w:r>
      <w:r w:rsidR="00256113" w:rsidRPr="002866E5">
        <w:rPr>
          <w:noProof/>
        </w:rPr>
        <w:t>iesieniu do odpowiednich wymogów.</w:t>
      </w:r>
    </w:p>
    <w:p w14:paraId="67ED86F2" w14:textId="127E3D15" w:rsidR="00667DDE" w:rsidRPr="002866E5" w:rsidRDefault="00B4087C" w:rsidP="00B4087C">
      <w:pPr>
        <w:pStyle w:val="ManualConsidrant"/>
        <w:rPr>
          <w:noProof/>
        </w:rPr>
      </w:pPr>
      <w:r w:rsidRPr="00B4087C">
        <w:t>(41)</w:t>
      </w:r>
      <w:r w:rsidRPr="00B4087C">
        <w:tab/>
      </w:r>
      <w:r w:rsidR="00B367B9" w:rsidRPr="002866E5">
        <w:rPr>
          <w:noProof/>
        </w:rPr>
        <w:t>W przypadkach,</w:t>
      </w:r>
      <w:r w:rsidR="008B35E8" w:rsidRPr="002866E5">
        <w:rPr>
          <w:noProof/>
        </w:rPr>
        <w:t xml:space="preserve"> w</w:t>
      </w:r>
      <w:r w:rsidR="008B35E8">
        <w:rPr>
          <w:noProof/>
        </w:rPr>
        <w:t> </w:t>
      </w:r>
      <w:r w:rsidR="008B35E8" w:rsidRPr="002866E5">
        <w:rPr>
          <w:noProof/>
        </w:rPr>
        <w:t>któ</w:t>
      </w:r>
      <w:r w:rsidR="00B367B9" w:rsidRPr="002866E5">
        <w:rPr>
          <w:noProof/>
        </w:rPr>
        <w:t>rych nie przyjęto żadnych norm zharmonizowanych lub</w:t>
      </w:r>
      <w:r w:rsidR="008B35E8" w:rsidRPr="002866E5">
        <w:rPr>
          <w:noProof/>
        </w:rPr>
        <w:t xml:space="preserve"> w</w:t>
      </w:r>
      <w:r w:rsidR="008B35E8">
        <w:rPr>
          <w:noProof/>
        </w:rPr>
        <w:t> </w:t>
      </w:r>
      <w:r w:rsidR="008B35E8" w:rsidRPr="002866E5">
        <w:rPr>
          <w:noProof/>
        </w:rPr>
        <w:t>któ</w:t>
      </w:r>
      <w:r w:rsidR="00B367B9" w:rsidRPr="002866E5">
        <w:rPr>
          <w:noProof/>
        </w:rPr>
        <w:t>rych normy zharmonizowane nie realizują zasadniczych wymogów niniejszego rozporządzenia</w:t>
      </w:r>
      <w:r w:rsidR="008B35E8" w:rsidRPr="002866E5">
        <w:rPr>
          <w:noProof/>
        </w:rPr>
        <w:t xml:space="preserve"> w</w:t>
      </w:r>
      <w:r w:rsidR="008B35E8">
        <w:rPr>
          <w:noProof/>
        </w:rPr>
        <w:t> </w:t>
      </w:r>
      <w:r w:rsidR="008B35E8" w:rsidRPr="002866E5">
        <w:rPr>
          <w:noProof/>
        </w:rPr>
        <w:t>wys</w:t>
      </w:r>
      <w:r w:rsidR="00B367B9" w:rsidRPr="002866E5">
        <w:rPr>
          <w:noProof/>
        </w:rPr>
        <w:t>tarczającym stopniu, Komisja powinna mieć możliwość przyjęcia wspólnych specyfikacji</w:t>
      </w:r>
      <w:r w:rsidR="008B35E8" w:rsidRPr="002866E5">
        <w:rPr>
          <w:noProof/>
        </w:rPr>
        <w:t xml:space="preserve"> w</w:t>
      </w:r>
      <w:r w:rsidR="008B35E8">
        <w:rPr>
          <w:noProof/>
        </w:rPr>
        <w:t> </w:t>
      </w:r>
      <w:r w:rsidR="008B35E8" w:rsidRPr="002866E5">
        <w:rPr>
          <w:noProof/>
        </w:rPr>
        <w:t>dro</w:t>
      </w:r>
      <w:r w:rsidR="00B367B9" w:rsidRPr="002866E5">
        <w:rPr>
          <w:noProof/>
        </w:rPr>
        <w:t>dze aktów wykonawczych. Powodem opracowania takich wspólnych specyfikacji zamiast opierania się na normach zharmonizowanych może być odmowa realizacji zlecenia normalizacji przez którąkolwiek</w:t>
      </w:r>
      <w:r w:rsidR="008B35E8" w:rsidRPr="002866E5">
        <w:rPr>
          <w:noProof/>
        </w:rPr>
        <w:t xml:space="preserve"> z</w:t>
      </w:r>
      <w:r w:rsidR="008B35E8">
        <w:rPr>
          <w:noProof/>
        </w:rPr>
        <w:t> </w:t>
      </w:r>
      <w:r w:rsidR="008B35E8" w:rsidRPr="002866E5">
        <w:rPr>
          <w:noProof/>
        </w:rPr>
        <w:t>eur</w:t>
      </w:r>
      <w:r w:rsidR="00B367B9" w:rsidRPr="002866E5">
        <w:rPr>
          <w:noProof/>
        </w:rPr>
        <w:t>opejskich organizacji normalizacyjnych, nieuzasadniona zwłoka</w:t>
      </w:r>
      <w:r w:rsidR="008B35E8" w:rsidRPr="002866E5">
        <w:rPr>
          <w:noProof/>
        </w:rPr>
        <w:t xml:space="preserve"> w</w:t>
      </w:r>
      <w:r w:rsidR="008B35E8">
        <w:rPr>
          <w:noProof/>
        </w:rPr>
        <w:t> </w:t>
      </w:r>
      <w:r w:rsidR="008B35E8" w:rsidRPr="002866E5">
        <w:rPr>
          <w:noProof/>
        </w:rPr>
        <w:t>ust</w:t>
      </w:r>
      <w:r w:rsidR="00B367B9" w:rsidRPr="002866E5">
        <w:rPr>
          <w:noProof/>
        </w:rPr>
        <w:t>anowieniu właściwych norm zharmonizowanych lub brak zgodności opracowanych norm</w:t>
      </w:r>
      <w:r w:rsidR="008B35E8" w:rsidRPr="002866E5">
        <w:rPr>
          <w:noProof/>
        </w:rPr>
        <w:t xml:space="preserve"> z</w:t>
      </w:r>
      <w:r w:rsidR="008B35E8">
        <w:rPr>
          <w:noProof/>
        </w:rPr>
        <w:t> </w:t>
      </w:r>
      <w:r w:rsidR="008B35E8" w:rsidRPr="002866E5">
        <w:rPr>
          <w:noProof/>
        </w:rPr>
        <w:t>wym</w:t>
      </w:r>
      <w:r w:rsidR="00B367B9" w:rsidRPr="002866E5">
        <w:rPr>
          <w:noProof/>
        </w:rPr>
        <w:t>ogami niniejszego rozporządzenia lub</w:t>
      </w:r>
      <w:r w:rsidR="008B35E8" w:rsidRPr="002866E5">
        <w:rPr>
          <w:noProof/>
        </w:rPr>
        <w:t xml:space="preserve"> z</w:t>
      </w:r>
      <w:r w:rsidR="008B35E8">
        <w:rPr>
          <w:noProof/>
        </w:rPr>
        <w:t> </w:t>
      </w:r>
      <w:r w:rsidR="008B35E8" w:rsidRPr="002866E5">
        <w:rPr>
          <w:noProof/>
        </w:rPr>
        <w:t>wni</w:t>
      </w:r>
      <w:r w:rsidR="00B367B9" w:rsidRPr="002866E5">
        <w:rPr>
          <w:noProof/>
        </w:rPr>
        <w:t>oskiem Komisji</w:t>
      </w:r>
      <w:r w:rsidR="008B35E8" w:rsidRPr="002866E5">
        <w:rPr>
          <w:noProof/>
        </w:rPr>
        <w:t>. W</w:t>
      </w:r>
      <w:r w:rsidR="008B35E8">
        <w:rPr>
          <w:noProof/>
        </w:rPr>
        <w:t> </w:t>
      </w:r>
      <w:r w:rsidR="008B35E8" w:rsidRPr="002866E5">
        <w:rPr>
          <w:noProof/>
        </w:rPr>
        <w:t>cel</w:t>
      </w:r>
      <w:r w:rsidR="00B367B9" w:rsidRPr="002866E5">
        <w:rPr>
          <w:noProof/>
        </w:rPr>
        <w:t>u ułatwienia oceny zgodności</w:t>
      </w:r>
      <w:r w:rsidR="008B35E8" w:rsidRPr="002866E5">
        <w:rPr>
          <w:noProof/>
        </w:rPr>
        <w:t xml:space="preserve"> z</w:t>
      </w:r>
      <w:r w:rsidR="008B35E8">
        <w:rPr>
          <w:noProof/>
        </w:rPr>
        <w:t> </w:t>
      </w:r>
      <w:r w:rsidR="008B35E8" w:rsidRPr="002866E5">
        <w:rPr>
          <w:noProof/>
        </w:rPr>
        <w:t>zas</w:t>
      </w:r>
      <w:r w:rsidR="00B367B9" w:rsidRPr="002866E5">
        <w:rPr>
          <w:noProof/>
        </w:rPr>
        <w:t>adniczymi wymogami określonymi</w:t>
      </w:r>
      <w:r w:rsidR="008B35E8" w:rsidRPr="002866E5">
        <w:rPr>
          <w:noProof/>
        </w:rPr>
        <w:t xml:space="preserve"> w</w:t>
      </w:r>
      <w:r w:rsidR="008B35E8">
        <w:rPr>
          <w:noProof/>
        </w:rPr>
        <w:t> </w:t>
      </w:r>
      <w:r w:rsidR="008B35E8" w:rsidRPr="002866E5">
        <w:rPr>
          <w:noProof/>
        </w:rPr>
        <w:t>nin</w:t>
      </w:r>
      <w:r w:rsidR="00B367B9" w:rsidRPr="002866E5">
        <w:rPr>
          <w:noProof/>
        </w:rPr>
        <w:t>iejszym rozporządzeniu należy przyjąć domniemanie zgodności</w:t>
      </w:r>
      <w:r w:rsidR="008B35E8" w:rsidRPr="002866E5">
        <w:rPr>
          <w:noProof/>
        </w:rPr>
        <w:t xml:space="preserve"> w</w:t>
      </w:r>
      <w:r w:rsidR="008B35E8">
        <w:rPr>
          <w:noProof/>
        </w:rPr>
        <w:t> </w:t>
      </w:r>
      <w:r w:rsidR="008B35E8" w:rsidRPr="002866E5">
        <w:rPr>
          <w:noProof/>
        </w:rPr>
        <w:t>odn</w:t>
      </w:r>
      <w:r w:rsidR="00B367B9" w:rsidRPr="002866E5">
        <w:rPr>
          <w:noProof/>
        </w:rPr>
        <w:t>iesieniu do produktów</w:t>
      </w:r>
      <w:r w:rsidR="008B35E8" w:rsidRPr="002866E5">
        <w:rPr>
          <w:noProof/>
        </w:rPr>
        <w:t xml:space="preserve"> z</w:t>
      </w:r>
      <w:r w:rsidR="008B35E8">
        <w:rPr>
          <w:noProof/>
        </w:rPr>
        <w:t> </w:t>
      </w:r>
      <w:r w:rsidR="008B35E8" w:rsidRPr="002866E5">
        <w:rPr>
          <w:noProof/>
        </w:rPr>
        <w:t>ele</w:t>
      </w:r>
      <w:r w:rsidR="00B367B9" w:rsidRPr="002866E5">
        <w:rPr>
          <w:noProof/>
        </w:rPr>
        <w:t>mentami cyfrowymi, które są zgodne ze wspólnymi specyfikacjami przyjętymi przez Komisję zgodnie</w:t>
      </w:r>
      <w:r w:rsidR="008B35E8" w:rsidRPr="002866E5">
        <w:rPr>
          <w:noProof/>
        </w:rPr>
        <w:t xml:space="preserve"> z</w:t>
      </w:r>
      <w:r w:rsidR="008B35E8">
        <w:rPr>
          <w:noProof/>
        </w:rPr>
        <w:t> </w:t>
      </w:r>
      <w:r w:rsidR="008B35E8" w:rsidRPr="002866E5">
        <w:rPr>
          <w:noProof/>
        </w:rPr>
        <w:t>nin</w:t>
      </w:r>
      <w:r w:rsidR="00B367B9" w:rsidRPr="002866E5">
        <w:rPr>
          <w:noProof/>
        </w:rPr>
        <w:t>iejszym rozporządzeniem</w:t>
      </w:r>
      <w:r w:rsidR="008B35E8" w:rsidRPr="002866E5">
        <w:rPr>
          <w:noProof/>
        </w:rPr>
        <w:t xml:space="preserve"> w</w:t>
      </w:r>
      <w:r w:rsidR="008B35E8">
        <w:rPr>
          <w:noProof/>
        </w:rPr>
        <w:t> </w:t>
      </w:r>
      <w:r w:rsidR="008B35E8" w:rsidRPr="002866E5">
        <w:rPr>
          <w:noProof/>
        </w:rPr>
        <w:t>cel</w:t>
      </w:r>
      <w:r w:rsidR="00B367B9" w:rsidRPr="002866E5">
        <w:rPr>
          <w:noProof/>
        </w:rPr>
        <w:t xml:space="preserve">u wyrażenia szczegółowych specyfikacji technicznych dotyczących tych wymogów. </w:t>
      </w:r>
    </w:p>
    <w:p w14:paraId="67ED86F3" w14:textId="39D744FC" w:rsidR="008F79F7" w:rsidRPr="002866E5" w:rsidRDefault="00B4087C" w:rsidP="00B4087C">
      <w:pPr>
        <w:pStyle w:val="ManualConsidrant"/>
        <w:rPr>
          <w:noProof/>
        </w:rPr>
      </w:pPr>
      <w:r w:rsidRPr="00B4087C">
        <w:t>(42)</w:t>
      </w:r>
      <w:r w:rsidRPr="00B4087C">
        <w:tab/>
      </w:r>
      <w:r w:rsidR="00B8001B" w:rsidRPr="002866E5">
        <w:rPr>
          <w:noProof/>
        </w:rPr>
        <w:t>Producenci powinni sporządzić deklarację zgodności UE zawierającą wymagane na podstawie niniejszego rozporządzenia informacje na temat zgodności produktów</w:t>
      </w:r>
      <w:r w:rsidR="008B35E8" w:rsidRPr="002866E5">
        <w:rPr>
          <w:noProof/>
        </w:rPr>
        <w:t xml:space="preserve"> z</w:t>
      </w:r>
      <w:r w:rsidR="008B35E8">
        <w:rPr>
          <w:noProof/>
        </w:rPr>
        <w:t> </w:t>
      </w:r>
      <w:r w:rsidR="008B35E8" w:rsidRPr="002866E5">
        <w:rPr>
          <w:noProof/>
        </w:rPr>
        <w:t>ele</w:t>
      </w:r>
      <w:r w:rsidR="00B8001B" w:rsidRPr="002866E5">
        <w:rPr>
          <w:noProof/>
        </w:rPr>
        <w:t>mentami cyfrowymi</w:t>
      </w:r>
      <w:r w:rsidR="008B35E8" w:rsidRPr="002866E5">
        <w:rPr>
          <w:noProof/>
        </w:rPr>
        <w:t xml:space="preserve"> z</w:t>
      </w:r>
      <w:r w:rsidR="008B35E8">
        <w:rPr>
          <w:noProof/>
        </w:rPr>
        <w:t> </w:t>
      </w:r>
      <w:r w:rsidR="008B35E8" w:rsidRPr="002866E5">
        <w:rPr>
          <w:noProof/>
        </w:rPr>
        <w:t>zas</w:t>
      </w:r>
      <w:r w:rsidR="00B8001B" w:rsidRPr="002866E5">
        <w:rPr>
          <w:noProof/>
        </w:rPr>
        <w:t>adniczymi wymogami zawartymi</w:t>
      </w:r>
      <w:r w:rsidR="008B35E8" w:rsidRPr="002866E5">
        <w:rPr>
          <w:noProof/>
        </w:rPr>
        <w:t xml:space="preserve"> w</w:t>
      </w:r>
      <w:r w:rsidR="008B35E8">
        <w:rPr>
          <w:noProof/>
        </w:rPr>
        <w:t> </w:t>
      </w:r>
      <w:r w:rsidR="008B35E8" w:rsidRPr="002866E5">
        <w:rPr>
          <w:noProof/>
        </w:rPr>
        <w:t>nin</w:t>
      </w:r>
      <w:r w:rsidR="00B8001B" w:rsidRPr="002866E5">
        <w:rPr>
          <w:noProof/>
        </w:rPr>
        <w:t>iejszym rozporządzeniu oraz,</w:t>
      </w:r>
      <w:r w:rsidR="008B35E8" w:rsidRPr="002866E5">
        <w:rPr>
          <w:noProof/>
        </w:rPr>
        <w:t xml:space="preserve"> w</w:t>
      </w:r>
      <w:r w:rsidR="008B35E8">
        <w:rPr>
          <w:noProof/>
        </w:rPr>
        <w:t> </w:t>
      </w:r>
      <w:r w:rsidR="008B35E8" w:rsidRPr="002866E5">
        <w:rPr>
          <w:noProof/>
        </w:rPr>
        <w:t>sto</w:t>
      </w:r>
      <w:r w:rsidR="00B8001B" w:rsidRPr="002866E5">
        <w:rPr>
          <w:noProof/>
        </w:rPr>
        <w:t>sownych przypadkach,</w:t>
      </w:r>
      <w:r w:rsidR="008B35E8" w:rsidRPr="002866E5">
        <w:rPr>
          <w:noProof/>
        </w:rPr>
        <w:t xml:space="preserve"> w</w:t>
      </w:r>
      <w:r w:rsidR="008B35E8">
        <w:rPr>
          <w:noProof/>
        </w:rPr>
        <w:t> </w:t>
      </w:r>
      <w:r w:rsidR="008B35E8" w:rsidRPr="002866E5">
        <w:rPr>
          <w:noProof/>
        </w:rPr>
        <w:t>inn</w:t>
      </w:r>
      <w:r w:rsidR="00B8001B" w:rsidRPr="002866E5">
        <w:rPr>
          <w:noProof/>
        </w:rPr>
        <w:t>ym właściwym unijnym prawodawstwie harmonizacyjnym, którym objęty jest produkt. Inne przepisy Unii również mogą nakładać na producentów obowiązek sporządzenia deklaracji zgodności UE. Aby zagwarantować skuteczny dostęp do informacji do celów nadzoru rynku, należy sporządzić jedną deklarację zgodności UE dotyczącą zgodności ze wszystkimi właściwymi aktami Unii. Aby zmniejszyć obciążenie administracyjne podmiotów gospodarczych, należy umożliwić, aby ta jedna deklaracja zgodności UE mogła mieć formę folderu złożonego</w:t>
      </w:r>
      <w:r w:rsidR="008B35E8" w:rsidRPr="002866E5">
        <w:rPr>
          <w:noProof/>
        </w:rPr>
        <w:t xml:space="preserve"> z</w:t>
      </w:r>
      <w:r w:rsidR="008B35E8">
        <w:rPr>
          <w:noProof/>
        </w:rPr>
        <w:t> </w:t>
      </w:r>
      <w:r w:rsidR="008B35E8" w:rsidRPr="002866E5">
        <w:rPr>
          <w:noProof/>
        </w:rPr>
        <w:t>odp</w:t>
      </w:r>
      <w:r w:rsidR="00B8001B" w:rsidRPr="002866E5">
        <w:rPr>
          <w:noProof/>
        </w:rPr>
        <w:t xml:space="preserve">owiednich poszczególnych deklaracji zgodności. </w:t>
      </w:r>
    </w:p>
    <w:p w14:paraId="67ED86F4" w14:textId="2032042F" w:rsidR="00B6583F" w:rsidRPr="002866E5" w:rsidRDefault="00B4087C" w:rsidP="00B4087C">
      <w:pPr>
        <w:pStyle w:val="ManualConsidrant"/>
        <w:rPr>
          <w:noProof/>
        </w:rPr>
      </w:pPr>
      <w:r w:rsidRPr="00B4087C">
        <w:t>(43)</w:t>
      </w:r>
      <w:r w:rsidRPr="00B4087C">
        <w:tab/>
      </w:r>
      <w:r w:rsidR="00B6583F" w:rsidRPr="002866E5">
        <w:rPr>
          <w:noProof/>
        </w:rPr>
        <w:t>Oznakowanie CE, symbolizujące zgodność produktu, jest widoczną konsekwencją całego procesu obejmującego ocenę zgodności</w:t>
      </w:r>
      <w:r w:rsidR="008B35E8" w:rsidRPr="002866E5">
        <w:rPr>
          <w:noProof/>
        </w:rPr>
        <w:t xml:space="preserve"> w</w:t>
      </w:r>
      <w:r w:rsidR="008B35E8">
        <w:rPr>
          <w:noProof/>
        </w:rPr>
        <w:t> </w:t>
      </w:r>
      <w:r w:rsidR="008B35E8" w:rsidRPr="002866E5">
        <w:rPr>
          <w:noProof/>
        </w:rPr>
        <w:t>sze</w:t>
      </w:r>
      <w:r w:rsidR="00B6583F" w:rsidRPr="002866E5">
        <w:rPr>
          <w:noProof/>
        </w:rPr>
        <w:t xml:space="preserve">rokim znaczeniu. Ogólne zasady </w:t>
      </w:r>
      <w:r w:rsidR="00B6583F" w:rsidRPr="002866E5">
        <w:rPr>
          <w:noProof/>
        </w:rPr>
        <w:lastRenderedPageBreak/>
        <w:t>regulujące oznakowanie CE ustanowiono</w:t>
      </w:r>
      <w:r w:rsidR="008B35E8" w:rsidRPr="002866E5">
        <w:rPr>
          <w:noProof/>
        </w:rPr>
        <w:t xml:space="preserve"> w</w:t>
      </w:r>
      <w:r w:rsidR="008B35E8">
        <w:rPr>
          <w:noProof/>
        </w:rPr>
        <w:t> </w:t>
      </w:r>
      <w:r w:rsidR="008B35E8" w:rsidRPr="002866E5">
        <w:rPr>
          <w:noProof/>
        </w:rPr>
        <w:t>roz</w:t>
      </w:r>
      <w:r w:rsidR="00B6583F" w:rsidRPr="002866E5">
        <w:rPr>
          <w:noProof/>
        </w:rPr>
        <w:t>porządzeniu Parlamentu Europejskiego</w:t>
      </w:r>
      <w:r w:rsidR="008B35E8" w:rsidRPr="002866E5">
        <w:rPr>
          <w:noProof/>
        </w:rPr>
        <w:t xml:space="preserve"> i</w:t>
      </w:r>
      <w:r w:rsidR="008B35E8">
        <w:rPr>
          <w:noProof/>
        </w:rPr>
        <w:t> </w:t>
      </w:r>
      <w:r w:rsidR="008B35E8" w:rsidRPr="002866E5">
        <w:rPr>
          <w:noProof/>
        </w:rPr>
        <w:t>Rad</w:t>
      </w:r>
      <w:r w:rsidR="00B6583F" w:rsidRPr="002866E5">
        <w:rPr>
          <w:noProof/>
        </w:rPr>
        <w:t xml:space="preserve">y (WE) </w:t>
      </w:r>
      <w:r w:rsidR="00B6583F" w:rsidRPr="008B35E8">
        <w:rPr>
          <w:noProof/>
        </w:rPr>
        <w:t>nr</w:t>
      </w:r>
      <w:r w:rsidR="008B35E8" w:rsidRPr="008B35E8">
        <w:rPr>
          <w:noProof/>
        </w:rPr>
        <w:t> </w:t>
      </w:r>
      <w:r w:rsidR="00B6583F" w:rsidRPr="008B35E8">
        <w:rPr>
          <w:noProof/>
        </w:rPr>
        <w:t>7</w:t>
      </w:r>
      <w:r w:rsidR="00B6583F" w:rsidRPr="002866E5">
        <w:rPr>
          <w:noProof/>
        </w:rPr>
        <w:t>65/2008</w:t>
      </w:r>
      <w:r w:rsidR="00B6583F" w:rsidRPr="002866E5">
        <w:rPr>
          <w:rStyle w:val="FootnoteReference"/>
          <w:noProof/>
        </w:rPr>
        <w:footnoteReference w:id="31"/>
      </w:r>
      <w:r w:rsidR="008B35E8" w:rsidRPr="002866E5">
        <w:rPr>
          <w:noProof/>
        </w:rPr>
        <w:t>. W</w:t>
      </w:r>
      <w:r w:rsidR="008B35E8">
        <w:rPr>
          <w:noProof/>
        </w:rPr>
        <w:t> </w:t>
      </w:r>
      <w:r w:rsidR="008B35E8" w:rsidRPr="002866E5">
        <w:rPr>
          <w:noProof/>
        </w:rPr>
        <w:t>nin</w:t>
      </w:r>
      <w:r w:rsidR="00B6583F" w:rsidRPr="002866E5">
        <w:rPr>
          <w:noProof/>
        </w:rPr>
        <w:t>iejszym rozporządzeniu należy ustanowić zasady regulujące umieszczanie oznakowania CE na produktach</w:t>
      </w:r>
      <w:r w:rsidR="008B35E8" w:rsidRPr="002866E5">
        <w:rPr>
          <w:noProof/>
        </w:rPr>
        <w:t xml:space="preserve"> z</w:t>
      </w:r>
      <w:r w:rsidR="008B35E8">
        <w:rPr>
          <w:noProof/>
        </w:rPr>
        <w:t> </w:t>
      </w:r>
      <w:r w:rsidR="008B35E8" w:rsidRPr="002866E5">
        <w:rPr>
          <w:noProof/>
        </w:rPr>
        <w:t>ele</w:t>
      </w:r>
      <w:r w:rsidR="00B6583F" w:rsidRPr="002866E5">
        <w:rPr>
          <w:noProof/>
        </w:rPr>
        <w:t>mentami cyfrowymi. Oznakowanie CE powinno być jedynym oznakowaniem gwarantującym, że produkty</w:t>
      </w:r>
      <w:r w:rsidR="008B35E8" w:rsidRPr="002866E5">
        <w:rPr>
          <w:noProof/>
        </w:rPr>
        <w:t xml:space="preserve"> z</w:t>
      </w:r>
      <w:r w:rsidR="008B35E8">
        <w:rPr>
          <w:noProof/>
        </w:rPr>
        <w:t> </w:t>
      </w:r>
      <w:r w:rsidR="008B35E8" w:rsidRPr="002866E5">
        <w:rPr>
          <w:noProof/>
        </w:rPr>
        <w:t>ele</w:t>
      </w:r>
      <w:r w:rsidR="00B6583F" w:rsidRPr="002866E5">
        <w:rPr>
          <w:noProof/>
        </w:rPr>
        <w:t xml:space="preserve">mentami cyfrowymi spełniają wymogi niniejszego rozporządzenia. </w:t>
      </w:r>
    </w:p>
    <w:p w14:paraId="67ED86F5" w14:textId="30BEBBA9" w:rsidR="000915C8" w:rsidRPr="002866E5" w:rsidRDefault="00B4087C" w:rsidP="00B4087C">
      <w:pPr>
        <w:pStyle w:val="ManualConsidrant"/>
        <w:rPr>
          <w:noProof/>
        </w:rPr>
      </w:pPr>
      <w:r w:rsidRPr="00B4087C">
        <w:t>(44)</w:t>
      </w:r>
      <w:r w:rsidRPr="00B4087C">
        <w:tab/>
      </w:r>
      <w:r w:rsidR="00B6583F" w:rsidRPr="002866E5">
        <w:rPr>
          <w:noProof/>
        </w:rPr>
        <w:t>Aby podmioty gospodarcze mogły wykazać zgodność</w:t>
      </w:r>
      <w:r w:rsidR="008B35E8" w:rsidRPr="002866E5">
        <w:rPr>
          <w:noProof/>
        </w:rPr>
        <w:t xml:space="preserve"> z</w:t>
      </w:r>
      <w:r w:rsidR="008B35E8">
        <w:rPr>
          <w:noProof/>
        </w:rPr>
        <w:t> </w:t>
      </w:r>
      <w:r w:rsidR="008B35E8" w:rsidRPr="002866E5">
        <w:rPr>
          <w:noProof/>
        </w:rPr>
        <w:t>zas</w:t>
      </w:r>
      <w:r w:rsidR="00B6583F" w:rsidRPr="002866E5">
        <w:rPr>
          <w:noProof/>
        </w:rPr>
        <w:t>adniczymi wymogami określonymi</w:t>
      </w:r>
      <w:r w:rsidR="008B35E8" w:rsidRPr="002866E5">
        <w:rPr>
          <w:noProof/>
        </w:rPr>
        <w:t xml:space="preserve"> w</w:t>
      </w:r>
      <w:r w:rsidR="008B35E8">
        <w:rPr>
          <w:noProof/>
        </w:rPr>
        <w:t> </w:t>
      </w:r>
      <w:r w:rsidR="008B35E8" w:rsidRPr="002866E5">
        <w:rPr>
          <w:noProof/>
        </w:rPr>
        <w:t>nin</w:t>
      </w:r>
      <w:r w:rsidR="00B6583F" w:rsidRPr="002866E5">
        <w:rPr>
          <w:noProof/>
        </w:rPr>
        <w:t>iejszym rozporządzeniu,</w:t>
      </w:r>
      <w:r w:rsidR="008B35E8" w:rsidRPr="002866E5">
        <w:rPr>
          <w:noProof/>
        </w:rPr>
        <w:t xml:space="preserve"> a</w:t>
      </w:r>
      <w:r w:rsidR="008B35E8">
        <w:rPr>
          <w:noProof/>
        </w:rPr>
        <w:t> </w:t>
      </w:r>
      <w:r w:rsidR="008B35E8" w:rsidRPr="002866E5">
        <w:rPr>
          <w:noProof/>
        </w:rPr>
        <w:t>org</w:t>
      </w:r>
      <w:r w:rsidR="00B6583F" w:rsidRPr="002866E5">
        <w:rPr>
          <w:noProof/>
        </w:rPr>
        <w:t>any nadzoru rynku mogły zapewnić zgodność produktów</w:t>
      </w:r>
      <w:r w:rsidR="008B35E8" w:rsidRPr="002866E5">
        <w:rPr>
          <w:noProof/>
        </w:rPr>
        <w:t xml:space="preserve"> z</w:t>
      </w:r>
      <w:r w:rsidR="008B35E8">
        <w:rPr>
          <w:noProof/>
        </w:rPr>
        <w:t> </w:t>
      </w:r>
      <w:r w:rsidR="008B35E8" w:rsidRPr="002866E5">
        <w:rPr>
          <w:noProof/>
        </w:rPr>
        <w:t>ele</w:t>
      </w:r>
      <w:r w:rsidR="00B6583F" w:rsidRPr="002866E5">
        <w:rPr>
          <w:noProof/>
        </w:rPr>
        <w:t>mentami cyfrowymi udostępnianych na rynku</w:t>
      </w:r>
      <w:r w:rsidR="008B35E8" w:rsidRPr="002866E5">
        <w:rPr>
          <w:noProof/>
        </w:rPr>
        <w:t xml:space="preserve"> z</w:t>
      </w:r>
      <w:r w:rsidR="008B35E8">
        <w:rPr>
          <w:noProof/>
        </w:rPr>
        <w:t> </w:t>
      </w:r>
      <w:r w:rsidR="008B35E8" w:rsidRPr="002866E5">
        <w:rPr>
          <w:noProof/>
        </w:rPr>
        <w:t>tym</w:t>
      </w:r>
      <w:r w:rsidR="00B6583F" w:rsidRPr="002866E5">
        <w:rPr>
          <w:noProof/>
        </w:rPr>
        <w:t>i wymogami, należy ustanowić procedury oceny zgodności. Decyzją Parlamentu Europejskiego</w:t>
      </w:r>
      <w:r w:rsidR="008B35E8" w:rsidRPr="002866E5">
        <w:rPr>
          <w:noProof/>
        </w:rPr>
        <w:t xml:space="preserve"> i</w:t>
      </w:r>
      <w:r w:rsidR="008B35E8">
        <w:rPr>
          <w:noProof/>
        </w:rPr>
        <w:t> </w:t>
      </w:r>
      <w:r w:rsidR="008B35E8" w:rsidRPr="002866E5">
        <w:rPr>
          <w:noProof/>
        </w:rPr>
        <w:t>Rad</w:t>
      </w:r>
      <w:r w:rsidR="00B6583F" w:rsidRPr="002866E5">
        <w:rPr>
          <w:noProof/>
        </w:rPr>
        <w:t xml:space="preserve">y </w:t>
      </w:r>
      <w:r w:rsidR="00B6583F" w:rsidRPr="008B35E8">
        <w:rPr>
          <w:noProof/>
        </w:rPr>
        <w:t>nr</w:t>
      </w:r>
      <w:r w:rsidR="008B35E8" w:rsidRPr="008B35E8">
        <w:rPr>
          <w:noProof/>
        </w:rPr>
        <w:t> </w:t>
      </w:r>
      <w:r w:rsidR="00B6583F" w:rsidRPr="008B35E8">
        <w:rPr>
          <w:noProof/>
        </w:rPr>
        <w:t>7</w:t>
      </w:r>
      <w:r w:rsidR="00B6583F" w:rsidRPr="002866E5">
        <w:rPr>
          <w:noProof/>
        </w:rPr>
        <w:t>68/2008/WE</w:t>
      </w:r>
      <w:r w:rsidR="00B6583F" w:rsidRPr="002866E5">
        <w:rPr>
          <w:rStyle w:val="FootnoteReference"/>
          <w:noProof/>
        </w:rPr>
        <w:footnoteReference w:id="32"/>
      </w:r>
      <w:r w:rsidR="00B6583F" w:rsidRPr="002866E5">
        <w:rPr>
          <w:noProof/>
        </w:rPr>
        <w:t xml:space="preserve"> ustanowiono moduły procedur oceny zgodności proporcjonalnie do poziomu występującego ryzyka oraz wymaganego poziomu bezpieczeństwa. Aby zapewnić spójność między sektorami oraz uniknąć wariantów </w:t>
      </w:r>
      <w:r w:rsidR="00B6583F" w:rsidRPr="002866E5">
        <w:rPr>
          <w:i/>
          <w:iCs/>
          <w:noProof/>
        </w:rPr>
        <w:t>ad hoc</w:t>
      </w:r>
      <w:r w:rsidR="00B6583F" w:rsidRPr="002866E5">
        <w:rPr>
          <w:noProof/>
        </w:rPr>
        <w:t>, na tych modułach oparto procedury oceny zgodności odpowiednie do celów weryfikacji zgodności produktów</w:t>
      </w:r>
      <w:r w:rsidR="008B35E8" w:rsidRPr="002866E5">
        <w:rPr>
          <w:noProof/>
        </w:rPr>
        <w:t xml:space="preserve"> z</w:t>
      </w:r>
      <w:r w:rsidR="008B35E8">
        <w:rPr>
          <w:noProof/>
        </w:rPr>
        <w:t> </w:t>
      </w:r>
      <w:r w:rsidR="008B35E8" w:rsidRPr="002866E5">
        <w:rPr>
          <w:noProof/>
        </w:rPr>
        <w:t>ele</w:t>
      </w:r>
      <w:r w:rsidR="00B6583F" w:rsidRPr="002866E5">
        <w:rPr>
          <w:noProof/>
        </w:rPr>
        <w:t>mentami cyfrowymi</w:t>
      </w:r>
      <w:r w:rsidR="008B35E8" w:rsidRPr="002866E5">
        <w:rPr>
          <w:noProof/>
        </w:rPr>
        <w:t xml:space="preserve"> z</w:t>
      </w:r>
      <w:r w:rsidR="008B35E8">
        <w:rPr>
          <w:noProof/>
        </w:rPr>
        <w:t> </w:t>
      </w:r>
      <w:r w:rsidR="008B35E8" w:rsidRPr="002866E5">
        <w:rPr>
          <w:noProof/>
        </w:rPr>
        <w:t>zas</w:t>
      </w:r>
      <w:r w:rsidR="00B6583F" w:rsidRPr="002866E5">
        <w:rPr>
          <w:noProof/>
        </w:rPr>
        <w:t>adniczymi wymogami określonymi</w:t>
      </w:r>
      <w:r w:rsidR="008B35E8" w:rsidRPr="002866E5">
        <w:rPr>
          <w:noProof/>
        </w:rPr>
        <w:t xml:space="preserve"> w</w:t>
      </w:r>
      <w:r w:rsidR="008B35E8">
        <w:rPr>
          <w:noProof/>
        </w:rPr>
        <w:t> </w:t>
      </w:r>
      <w:r w:rsidR="008B35E8" w:rsidRPr="002866E5">
        <w:rPr>
          <w:noProof/>
        </w:rPr>
        <w:t>nin</w:t>
      </w:r>
      <w:r w:rsidR="00B6583F" w:rsidRPr="002866E5">
        <w:rPr>
          <w:noProof/>
        </w:rPr>
        <w:t>iejszym rozporządzeniu</w:t>
      </w:r>
      <w:r w:rsidR="008B35E8" w:rsidRPr="002866E5">
        <w:rPr>
          <w:noProof/>
        </w:rPr>
        <w:t>. W</w:t>
      </w:r>
      <w:r w:rsidR="008B35E8">
        <w:rPr>
          <w:noProof/>
        </w:rPr>
        <w:t> </w:t>
      </w:r>
      <w:r w:rsidR="008B35E8" w:rsidRPr="002866E5">
        <w:rPr>
          <w:noProof/>
        </w:rPr>
        <w:t>pro</w:t>
      </w:r>
      <w:r w:rsidR="00B6583F" w:rsidRPr="002866E5">
        <w:rPr>
          <w:noProof/>
        </w:rPr>
        <w:t>cedurze oceny zgodności należy zbadać</w:t>
      </w:r>
      <w:r w:rsidR="008B35E8" w:rsidRPr="002866E5">
        <w:rPr>
          <w:noProof/>
        </w:rPr>
        <w:t xml:space="preserve"> i</w:t>
      </w:r>
      <w:r w:rsidR="008B35E8">
        <w:rPr>
          <w:noProof/>
        </w:rPr>
        <w:t> </w:t>
      </w:r>
      <w:r w:rsidR="008B35E8" w:rsidRPr="002866E5">
        <w:rPr>
          <w:noProof/>
        </w:rPr>
        <w:t>zwe</w:t>
      </w:r>
      <w:r w:rsidR="00B6583F" w:rsidRPr="002866E5">
        <w:rPr>
          <w:noProof/>
        </w:rPr>
        <w:t>ryfikować wymogi dotyczące zarówno produktu, jak</w:t>
      </w:r>
      <w:r w:rsidR="008B35E8" w:rsidRPr="002866E5">
        <w:rPr>
          <w:noProof/>
        </w:rPr>
        <w:t xml:space="preserve"> i</w:t>
      </w:r>
      <w:r w:rsidR="008B35E8">
        <w:rPr>
          <w:noProof/>
        </w:rPr>
        <w:t> </w:t>
      </w:r>
      <w:r w:rsidR="008B35E8" w:rsidRPr="002866E5">
        <w:rPr>
          <w:noProof/>
        </w:rPr>
        <w:t>pro</w:t>
      </w:r>
      <w:r w:rsidR="00B6583F" w:rsidRPr="002866E5">
        <w:rPr>
          <w:noProof/>
        </w:rPr>
        <w:t>cesu, obejmujące cały cykl życia produktów</w:t>
      </w:r>
      <w:r w:rsidR="008B35E8" w:rsidRPr="002866E5">
        <w:rPr>
          <w:noProof/>
        </w:rPr>
        <w:t xml:space="preserve"> z</w:t>
      </w:r>
      <w:r w:rsidR="008B35E8">
        <w:rPr>
          <w:noProof/>
        </w:rPr>
        <w:t> </w:t>
      </w:r>
      <w:r w:rsidR="008B35E8" w:rsidRPr="002866E5">
        <w:rPr>
          <w:noProof/>
        </w:rPr>
        <w:t>ele</w:t>
      </w:r>
      <w:r w:rsidR="00B6583F" w:rsidRPr="002866E5">
        <w:rPr>
          <w:noProof/>
        </w:rPr>
        <w:t>mentami cyfrowymi,</w:t>
      </w:r>
      <w:r w:rsidR="008B35E8" w:rsidRPr="002866E5">
        <w:rPr>
          <w:noProof/>
        </w:rPr>
        <w:t xml:space="preserve"> w</w:t>
      </w:r>
      <w:r w:rsidR="008B35E8">
        <w:rPr>
          <w:noProof/>
        </w:rPr>
        <w:t> </w:t>
      </w:r>
      <w:r w:rsidR="008B35E8" w:rsidRPr="002866E5">
        <w:rPr>
          <w:noProof/>
        </w:rPr>
        <w:t>tym</w:t>
      </w:r>
      <w:r w:rsidR="00B6583F" w:rsidRPr="002866E5">
        <w:rPr>
          <w:noProof/>
        </w:rPr>
        <w:t xml:space="preserve"> planowanie, projektowanie, opracowywanie lub produkcję, testowanie</w:t>
      </w:r>
      <w:r w:rsidR="008B35E8" w:rsidRPr="002866E5">
        <w:rPr>
          <w:noProof/>
        </w:rPr>
        <w:t xml:space="preserve"> i</w:t>
      </w:r>
      <w:r w:rsidR="008B35E8">
        <w:rPr>
          <w:noProof/>
        </w:rPr>
        <w:t> </w:t>
      </w:r>
      <w:r w:rsidR="008B35E8" w:rsidRPr="002866E5">
        <w:rPr>
          <w:noProof/>
        </w:rPr>
        <w:t>utr</w:t>
      </w:r>
      <w:r w:rsidR="00B6583F" w:rsidRPr="002866E5">
        <w:rPr>
          <w:noProof/>
        </w:rPr>
        <w:t xml:space="preserve">zymanie produktu. </w:t>
      </w:r>
    </w:p>
    <w:p w14:paraId="67ED86F6" w14:textId="4405E213" w:rsidR="005D3BC0" w:rsidRPr="002866E5" w:rsidRDefault="00B4087C" w:rsidP="00B4087C">
      <w:pPr>
        <w:pStyle w:val="ManualConsidrant"/>
        <w:rPr>
          <w:noProof/>
        </w:rPr>
      </w:pPr>
      <w:r w:rsidRPr="00B4087C">
        <w:t>(45)</w:t>
      </w:r>
      <w:r w:rsidRPr="00B4087C">
        <w:tab/>
      </w:r>
      <w:r w:rsidR="00D636E8" w:rsidRPr="002866E5">
        <w:rPr>
          <w:noProof/>
        </w:rPr>
        <w:t>Co do zasady ocenę zgodności produktów</w:t>
      </w:r>
      <w:r w:rsidR="008B35E8" w:rsidRPr="002866E5">
        <w:rPr>
          <w:noProof/>
        </w:rPr>
        <w:t xml:space="preserve"> z</w:t>
      </w:r>
      <w:r w:rsidR="008B35E8">
        <w:rPr>
          <w:noProof/>
        </w:rPr>
        <w:t> </w:t>
      </w:r>
      <w:r w:rsidR="008B35E8" w:rsidRPr="002866E5">
        <w:rPr>
          <w:noProof/>
        </w:rPr>
        <w:t>ele</w:t>
      </w:r>
      <w:r w:rsidR="00D636E8" w:rsidRPr="002866E5">
        <w:rPr>
          <w:noProof/>
        </w:rPr>
        <w:t>mentami cyfrowymi powinien przeprowadzać producent na własną odpowiedzialność zgodnie</w:t>
      </w:r>
      <w:r w:rsidR="008B35E8" w:rsidRPr="002866E5">
        <w:rPr>
          <w:noProof/>
        </w:rPr>
        <w:t xml:space="preserve"> z</w:t>
      </w:r>
      <w:r w:rsidR="008B35E8">
        <w:rPr>
          <w:noProof/>
        </w:rPr>
        <w:t> </w:t>
      </w:r>
      <w:r w:rsidR="008B35E8" w:rsidRPr="002866E5">
        <w:rPr>
          <w:noProof/>
        </w:rPr>
        <w:t>pro</w:t>
      </w:r>
      <w:r w:rsidR="00D636E8" w:rsidRPr="002866E5">
        <w:rPr>
          <w:noProof/>
        </w:rPr>
        <w:t>cedurą na podstawie modułu A określonego</w:t>
      </w:r>
      <w:r w:rsidR="008B35E8" w:rsidRPr="002866E5">
        <w:rPr>
          <w:noProof/>
        </w:rPr>
        <w:t xml:space="preserve"> w</w:t>
      </w:r>
      <w:r w:rsidR="008B35E8">
        <w:rPr>
          <w:noProof/>
        </w:rPr>
        <w:t> </w:t>
      </w:r>
      <w:r w:rsidR="008B35E8" w:rsidRPr="002866E5">
        <w:rPr>
          <w:noProof/>
        </w:rPr>
        <w:t>dec</w:t>
      </w:r>
      <w:r w:rsidR="00D636E8" w:rsidRPr="002866E5">
        <w:rPr>
          <w:noProof/>
        </w:rPr>
        <w:t>yzji 768/2008/WE. Producent powinien zachować elastyczność co do możliwości wyboru bardziej rygorystycznej procedury oceny zgodności</w:t>
      </w:r>
      <w:r w:rsidR="008B35E8" w:rsidRPr="002866E5">
        <w:rPr>
          <w:noProof/>
        </w:rPr>
        <w:t xml:space="preserve"> z</w:t>
      </w:r>
      <w:r w:rsidR="008B35E8">
        <w:rPr>
          <w:noProof/>
        </w:rPr>
        <w:t> </w:t>
      </w:r>
      <w:r w:rsidR="008B35E8" w:rsidRPr="002866E5">
        <w:rPr>
          <w:noProof/>
        </w:rPr>
        <w:t>udz</w:t>
      </w:r>
      <w:r w:rsidR="00D636E8" w:rsidRPr="002866E5">
        <w:rPr>
          <w:noProof/>
        </w:rPr>
        <w:t>iałem strony trzeciej. Jeżeli produkt sklasyfikowano jako produkt krytyczny klasy I, niezbędny jest zwiększony poziom pewności</w:t>
      </w:r>
      <w:r w:rsidR="008B35E8" w:rsidRPr="002866E5">
        <w:rPr>
          <w:noProof/>
        </w:rPr>
        <w:t xml:space="preserve"> w</w:t>
      </w:r>
      <w:r w:rsidR="008B35E8">
        <w:rPr>
          <w:noProof/>
        </w:rPr>
        <w:t> </w:t>
      </w:r>
      <w:r w:rsidR="008B35E8" w:rsidRPr="002866E5">
        <w:rPr>
          <w:noProof/>
        </w:rPr>
        <w:t>cel</w:t>
      </w:r>
      <w:r w:rsidR="00D636E8" w:rsidRPr="002866E5">
        <w:rPr>
          <w:noProof/>
        </w:rPr>
        <w:t>u wykazania zgodności</w:t>
      </w:r>
      <w:r w:rsidR="008B35E8" w:rsidRPr="002866E5">
        <w:rPr>
          <w:noProof/>
        </w:rPr>
        <w:t xml:space="preserve"> z</w:t>
      </w:r>
      <w:r w:rsidR="008B35E8">
        <w:rPr>
          <w:noProof/>
        </w:rPr>
        <w:t> </w:t>
      </w:r>
      <w:r w:rsidR="008B35E8" w:rsidRPr="002866E5">
        <w:rPr>
          <w:noProof/>
        </w:rPr>
        <w:t>zas</w:t>
      </w:r>
      <w:r w:rsidR="00D636E8" w:rsidRPr="002866E5">
        <w:rPr>
          <w:noProof/>
        </w:rPr>
        <w:t>adniczymi wymogami określonymi</w:t>
      </w:r>
      <w:r w:rsidR="008B35E8" w:rsidRPr="002866E5">
        <w:rPr>
          <w:noProof/>
        </w:rPr>
        <w:t xml:space="preserve"> w</w:t>
      </w:r>
      <w:r w:rsidR="008B35E8">
        <w:rPr>
          <w:noProof/>
        </w:rPr>
        <w:t> </w:t>
      </w:r>
      <w:r w:rsidR="008B35E8" w:rsidRPr="002866E5">
        <w:rPr>
          <w:noProof/>
        </w:rPr>
        <w:t>nin</w:t>
      </w:r>
      <w:r w:rsidR="00D636E8" w:rsidRPr="002866E5">
        <w:rPr>
          <w:noProof/>
        </w:rPr>
        <w:t>iejszym rozporządzeniu. Jeśli producent chce przeprowadzić ocenę zgodności na własną odpowiedzialność (moduł A), powinien stosować normy zharmonizowane, wspólne specyfikacje lub programy certyfikacji cyberbezpieczeństwa na podstawie rozporządzenia (UE) 2019/881 wskazane przez Komisję</w:t>
      </w:r>
      <w:r w:rsidR="008B35E8" w:rsidRPr="002866E5">
        <w:rPr>
          <w:noProof/>
        </w:rPr>
        <w:t xml:space="preserve"> w</w:t>
      </w:r>
      <w:r w:rsidR="008B35E8">
        <w:rPr>
          <w:noProof/>
        </w:rPr>
        <w:t> </w:t>
      </w:r>
      <w:r w:rsidR="008B35E8" w:rsidRPr="002866E5">
        <w:rPr>
          <w:noProof/>
        </w:rPr>
        <w:t>akc</w:t>
      </w:r>
      <w:r w:rsidR="00D636E8" w:rsidRPr="002866E5">
        <w:rPr>
          <w:noProof/>
        </w:rPr>
        <w:t>ie wykonawczym. Jeśli producent nie stosuje takich norm zharmonizowanych, wspólnych specyfikacji ani programów certyfikacji cyberbezpieczeństwa, powinien przeprowadzić ocenę zgodności</w:t>
      </w:r>
      <w:r w:rsidR="008B35E8" w:rsidRPr="002866E5">
        <w:rPr>
          <w:noProof/>
        </w:rPr>
        <w:t xml:space="preserve"> z</w:t>
      </w:r>
      <w:r w:rsidR="008B35E8">
        <w:rPr>
          <w:noProof/>
        </w:rPr>
        <w:t> </w:t>
      </w:r>
      <w:r w:rsidR="008B35E8" w:rsidRPr="002866E5">
        <w:rPr>
          <w:noProof/>
        </w:rPr>
        <w:t>udz</w:t>
      </w:r>
      <w:r w:rsidR="00D636E8" w:rsidRPr="002866E5">
        <w:rPr>
          <w:noProof/>
        </w:rPr>
        <w:t>iałem strony trzeciej. Uwzględniając obciążenie administracyjne nałożone na producenta oraz fakt, że cyberbezpieczeństwo odgrywa ważną rolę na etapie projektowania</w:t>
      </w:r>
      <w:r w:rsidR="008B35E8" w:rsidRPr="002866E5">
        <w:rPr>
          <w:noProof/>
        </w:rPr>
        <w:t xml:space="preserve"> i</w:t>
      </w:r>
      <w:r w:rsidR="008B35E8">
        <w:rPr>
          <w:noProof/>
        </w:rPr>
        <w:t> </w:t>
      </w:r>
      <w:r w:rsidR="008B35E8" w:rsidRPr="002866E5">
        <w:rPr>
          <w:noProof/>
        </w:rPr>
        <w:t>opr</w:t>
      </w:r>
      <w:r w:rsidR="00D636E8" w:rsidRPr="002866E5">
        <w:rPr>
          <w:noProof/>
        </w:rPr>
        <w:t>acowywania materialnych</w:t>
      </w:r>
      <w:r w:rsidR="008B35E8" w:rsidRPr="002866E5">
        <w:rPr>
          <w:noProof/>
        </w:rPr>
        <w:t xml:space="preserve"> i</w:t>
      </w:r>
      <w:r w:rsidR="008B35E8">
        <w:rPr>
          <w:noProof/>
        </w:rPr>
        <w:t> </w:t>
      </w:r>
      <w:r w:rsidR="008B35E8" w:rsidRPr="002866E5">
        <w:rPr>
          <w:noProof/>
        </w:rPr>
        <w:t>nie</w:t>
      </w:r>
      <w:r w:rsidR="00D636E8" w:rsidRPr="002866E5">
        <w:rPr>
          <w:noProof/>
        </w:rPr>
        <w:t>materialnych produktów</w:t>
      </w:r>
      <w:r w:rsidR="008B35E8" w:rsidRPr="002866E5">
        <w:rPr>
          <w:noProof/>
        </w:rPr>
        <w:t xml:space="preserve"> z</w:t>
      </w:r>
      <w:r w:rsidR="008B35E8">
        <w:rPr>
          <w:noProof/>
        </w:rPr>
        <w:t> </w:t>
      </w:r>
      <w:r w:rsidR="008B35E8" w:rsidRPr="002866E5">
        <w:rPr>
          <w:noProof/>
        </w:rPr>
        <w:t>ele</w:t>
      </w:r>
      <w:r w:rsidR="00D636E8" w:rsidRPr="002866E5">
        <w:rPr>
          <w:noProof/>
        </w:rPr>
        <w:t>mentami cyfrowymi, wybrano procedury oceny zgodności oparte odpowiednio na modułach B+C lub module H określonych</w:t>
      </w:r>
      <w:r w:rsidR="008B35E8" w:rsidRPr="002866E5">
        <w:rPr>
          <w:noProof/>
        </w:rPr>
        <w:t xml:space="preserve"> w</w:t>
      </w:r>
      <w:r w:rsidR="008B35E8">
        <w:rPr>
          <w:noProof/>
        </w:rPr>
        <w:t> </w:t>
      </w:r>
      <w:r w:rsidR="008B35E8" w:rsidRPr="002866E5">
        <w:rPr>
          <w:noProof/>
        </w:rPr>
        <w:t>dec</w:t>
      </w:r>
      <w:r w:rsidR="00D636E8" w:rsidRPr="002866E5">
        <w:rPr>
          <w:noProof/>
        </w:rPr>
        <w:t>yzji 768/2008/WE jako najbardziej odpowiednie do celów przeprowadzenia oceny zgodności produktów krytycznych</w:t>
      </w:r>
      <w:r w:rsidR="008B35E8" w:rsidRPr="002866E5">
        <w:rPr>
          <w:noProof/>
        </w:rPr>
        <w:t xml:space="preserve"> z</w:t>
      </w:r>
      <w:r w:rsidR="008B35E8">
        <w:rPr>
          <w:noProof/>
        </w:rPr>
        <w:t> </w:t>
      </w:r>
      <w:r w:rsidR="008B35E8" w:rsidRPr="002866E5">
        <w:rPr>
          <w:noProof/>
        </w:rPr>
        <w:t>ele</w:t>
      </w:r>
      <w:r w:rsidR="00D636E8" w:rsidRPr="002866E5">
        <w:rPr>
          <w:noProof/>
        </w:rPr>
        <w:t>mentami cyfrowymi</w:t>
      </w:r>
      <w:r w:rsidR="008B35E8" w:rsidRPr="002866E5">
        <w:rPr>
          <w:noProof/>
        </w:rPr>
        <w:t xml:space="preserve"> w</w:t>
      </w:r>
      <w:r w:rsidR="008B35E8">
        <w:rPr>
          <w:noProof/>
        </w:rPr>
        <w:t> </w:t>
      </w:r>
      <w:r w:rsidR="008B35E8" w:rsidRPr="002866E5">
        <w:rPr>
          <w:noProof/>
        </w:rPr>
        <w:t>spo</w:t>
      </w:r>
      <w:r w:rsidR="00D636E8" w:rsidRPr="002866E5">
        <w:rPr>
          <w:noProof/>
        </w:rPr>
        <w:t>sób proporcjonalny</w:t>
      </w:r>
      <w:r w:rsidR="008B35E8" w:rsidRPr="002866E5">
        <w:rPr>
          <w:noProof/>
        </w:rPr>
        <w:t xml:space="preserve"> i</w:t>
      </w:r>
      <w:r w:rsidR="008B35E8">
        <w:rPr>
          <w:noProof/>
        </w:rPr>
        <w:t> </w:t>
      </w:r>
      <w:r w:rsidR="008B35E8" w:rsidRPr="002866E5">
        <w:rPr>
          <w:noProof/>
        </w:rPr>
        <w:t>sku</w:t>
      </w:r>
      <w:r w:rsidR="00D636E8" w:rsidRPr="002866E5">
        <w:rPr>
          <w:noProof/>
        </w:rPr>
        <w:t>teczny. Producent, który organizuje przeprowadzenie oceny zgodności przez stronę trzecią, może wybrać procedurę, która najlepiej odpowiada jego procesom projektowania</w:t>
      </w:r>
      <w:r w:rsidR="008B35E8" w:rsidRPr="002866E5">
        <w:rPr>
          <w:noProof/>
        </w:rPr>
        <w:t xml:space="preserve"> i</w:t>
      </w:r>
      <w:r w:rsidR="008B35E8">
        <w:rPr>
          <w:noProof/>
        </w:rPr>
        <w:t> </w:t>
      </w:r>
      <w:r w:rsidR="008B35E8" w:rsidRPr="002866E5">
        <w:rPr>
          <w:noProof/>
        </w:rPr>
        <w:t>pro</w:t>
      </w:r>
      <w:r w:rsidR="00D636E8" w:rsidRPr="002866E5">
        <w:rPr>
          <w:noProof/>
        </w:rPr>
        <w:t>dukcji. Biorąc pod uwagę jeszcze większe ryzyko</w:t>
      </w:r>
      <w:r w:rsidR="008B35E8" w:rsidRPr="002866E5">
        <w:rPr>
          <w:noProof/>
        </w:rPr>
        <w:t xml:space="preserve"> w</w:t>
      </w:r>
      <w:r w:rsidR="008B35E8">
        <w:rPr>
          <w:noProof/>
        </w:rPr>
        <w:t> </w:t>
      </w:r>
      <w:r w:rsidR="008B35E8" w:rsidRPr="002866E5">
        <w:rPr>
          <w:noProof/>
        </w:rPr>
        <w:t>cyb</w:t>
      </w:r>
      <w:r w:rsidR="00D636E8" w:rsidRPr="002866E5">
        <w:rPr>
          <w:noProof/>
        </w:rPr>
        <w:t>erprzestrzeni związane</w:t>
      </w:r>
      <w:r w:rsidR="008B35E8" w:rsidRPr="002866E5">
        <w:rPr>
          <w:noProof/>
        </w:rPr>
        <w:t xml:space="preserve"> z</w:t>
      </w:r>
      <w:r w:rsidR="008B35E8">
        <w:rPr>
          <w:noProof/>
        </w:rPr>
        <w:t> </w:t>
      </w:r>
      <w:r w:rsidR="008B35E8" w:rsidRPr="002866E5">
        <w:rPr>
          <w:noProof/>
        </w:rPr>
        <w:t>uży</w:t>
      </w:r>
      <w:r w:rsidR="00D636E8" w:rsidRPr="002866E5">
        <w:rPr>
          <w:noProof/>
        </w:rPr>
        <w:t xml:space="preserve">waniem </w:t>
      </w:r>
      <w:r w:rsidR="00D636E8" w:rsidRPr="002866E5">
        <w:rPr>
          <w:noProof/>
        </w:rPr>
        <w:lastRenderedPageBreak/>
        <w:t xml:space="preserve">produktów sklasyfikowanych jako produkty krytyczne klasy II, ocena zgodności powinna zawsze obejmować stronę trzecią. </w:t>
      </w:r>
    </w:p>
    <w:p w14:paraId="67ED86F7" w14:textId="0AADAE56" w:rsidR="00CE19B9" w:rsidRPr="002866E5" w:rsidRDefault="00B4087C" w:rsidP="00B4087C">
      <w:pPr>
        <w:pStyle w:val="ManualConsidrant"/>
        <w:rPr>
          <w:noProof/>
        </w:rPr>
      </w:pPr>
      <w:r w:rsidRPr="00B4087C">
        <w:t>(46)</w:t>
      </w:r>
      <w:r w:rsidRPr="00B4087C">
        <w:tab/>
      </w:r>
      <w:r w:rsidR="005D3BC0" w:rsidRPr="002866E5">
        <w:rPr>
          <w:noProof/>
        </w:rPr>
        <w:t>Chociaż tworzenie materialnych produktów</w:t>
      </w:r>
      <w:r w:rsidR="008B35E8" w:rsidRPr="002866E5">
        <w:rPr>
          <w:noProof/>
        </w:rPr>
        <w:t xml:space="preserve"> z</w:t>
      </w:r>
      <w:r w:rsidR="008B35E8">
        <w:rPr>
          <w:noProof/>
        </w:rPr>
        <w:t> </w:t>
      </w:r>
      <w:r w:rsidR="008B35E8" w:rsidRPr="002866E5">
        <w:rPr>
          <w:noProof/>
        </w:rPr>
        <w:t>ele</w:t>
      </w:r>
      <w:r w:rsidR="005D3BC0" w:rsidRPr="002866E5">
        <w:rPr>
          <w:noProof/>
        </w:rPr>
        <w:t>mentami cyfrowymi zazwyczaj wymaga od producentów podejmowania istotnych starań na etapach projektowania, opracowywania</w:t>
      </w:r>
      <w:r w:rsidR="008B35E8" w:rsidRPr="002866E5">
        <w:rPr>
          <w:noProof/>
        </w:rPr>
        <w:t xml:space="preserve"> i</w:t>
      </w:r>
      <w:r w:rsidR="008B35E8">
        <w:rPr>
          <w:noProof/>
        </w:rPr>
        <w:t> </w:t>
      </w:r>
      <w:r w:rsidR="008B35E8" w:rsidRPr="002866E5">
        <w:rPr>
          <w:noProof/>
        </w:rPr>
        <w:t>pro</w:t>
      </w:r>
      <w:r w:rsidR="005D3BC0" w:rsidRPr="002866E5">
        <w:rPr>
          <w:noProof/>
        </w:rPr>
        <w:t>dukcji, tworzenie produktów</w:t>
      </w:r>
      <w:r w:rsidR="008B35E8" w:rsidRPr="002866E5">
        <w:rPr>
          <w:noProof/>
        </w:rPr>
        <w:t xml:space="preserve"> z</w:t>
      </w:r>
      <w:r w:rsidR="008B35E8">
        <w:rPr>
          <w:noProof/>
        </w:rPr>
        <w:t> </w:t>
      </w:r>
      <w:r w:rsidR="008B35E8" w:rsidRPr="002866E5">
        <w:rPr>
          <w:noProof/>
        </w:rPr>
        <w:t>ele</w:t>
      </w:r>
      <w:r w:rsidR="005D3BC0" w:rsidRPr="002866E5">
        <w:rPr>
          <w:noProof/>
        </w:rPr>
        <w:t>mentami cyfrowymi</w:t>
      </w:r>
      <w:r w:rsidR="008B35E8" w:rsidRPr="002866E5">
        <w:rPr>
          <w:noProof/>
        </w:rPr>
        <w:t xml:space="preserve"> w</w:t>
      </w:r>
      <w:r w:rsidR="008B35E8">
        <w:rPr>
          <w:noProof/>
        </w:rPr>
        <w:t> </w:t>
      </w:r>
      <w:r w:rsidR="008B35E8" w:rsidRPr="002866E5">
        <w:rPr>
          <w:noProof/>
        </w:rPr>
        <w:t>for</w:t>
      </w:r>
      <w:r w:rsidR="005D3BC0" w:rsidRPr="002866E5">
        <w:rPr>
          <w:noProof/>
        </w:rPr>
        <w:t>mie oprogramowania jest skoncentrowane prawie wyłącznie na projektowaniu</w:t>
      </w:r>
      <w:r w:rsidR="008B35E8" w:rsidRPr="002866E5">
        <w:rPr>
          <w:noProof/>
        </w:rPr>
        <w:t xml:space="preserve"> i</w:t>
      </w:r>
      <w:r w:rsidR="008B35E8">
        <w:rPr>
          <w:noProof/>
        </w:rPr>
        <w:t> </w:t>
      </w:r>
      <w:r w:rsidR="008B35E8" w:rsidRPr="002866E5">
        <w:rPr>
          <w:noProof/>
        </w:rPr>
        <w:t>opr</w:t>
      </w:r>
      <w:r w:rsidR="005D3BC0" w:rsidRPr="002866E5">
        <w:rPr>
          <w:noProof/>
        </w:rPr>
        <w:t>acowywaniu, natomiast etap produkcji odgrywa mniej znaczącą rolę. Niemniej jednak</w:t>
      </w:r>
      <w:r w:rsidR="008B35E8" w:rsidRPr="002866E5">
        <w:rPr>
          <w:noProof/>
        </w:rPr>
        <w:t xml:space="preserve"> w</w:t>
      </w:r>
      <w:r w:rsidR="008B35E8">
        <w:rPr>
          <w:noProof/>
        </w:rPr>
        <w:t> </w:t>
      </w:r>
      <w:r w:rsidR="008B35E8" w:rsidRPr="002866E5">
        <w:rPr>
          <w:noProof/>
        </w:rPr>
        <w:t>wie</w:t>
      </w:r>
      <w:r w:rsidR="005D3BC0" w:rsidRPr="002866E5">
        <w:rPr>
          <w:noProof/>
        </w:rPr>
        <w:t>lu przypadkach oprogramowanie przed wprowadzeniem do obrotu nadal należy skompilować, zbudować, zapakietować, udostępnić do pobierania lub skopiować na nośniki fizyczne. Działania te należy uznać za działania odpowiadające produkcji przy stosowaniu odpowiednich modułów oceny zgodności</w:t>
      </w:r>
      <w:r w:rsidR="008B35E8" w:rsidRPr="002866E5">
        <w:rPr>
          <w:noProof/>
        </w:rPr>
        <w:t xml:space="preserve"> w</w:t>
      </w:r>
      <w:r w:rsidR="008B35E8">
        <w:rPr>
          <w:noProof/>
        </w:rPr>
        <w:t> </w:t>
      </w:r>
      <w:r w:rsidR="008B35E8" w:rsidRPr="002866E5">
        <w:rPr>
          <w:noProof/>
        </w:rPr>
        <w:t>cel</w:t>
      </w:r>
      <w:r w:rsidR="005D3BC0" w:rsidRPr="002866E5">
        <w:rPr>
          <w:noProof/>
        </w:rPr>
        <w:t>u weryfikacji zgodności produktu</w:t>
      </w:r>
      <w:r w:rsidR="008B35E8" w:rsidRPr="002866E5">
        <w:rPr>
          <w:noProof/>
        </w:rPr>
        <w:t xml:space="preserve"> z</w:t>
      </w:r>
      <w:r w:rsidR="008B35E8">
        <w:rPr>
          <w:noProof/>
        </w:rPr>
        <w:t> </w:t>
      </w:r>
      <w:r w:rsidR="008B35E8" w:rsidRPr="002866E5">
        <w:rPr>
          <w:noProof/>
        </w:rPr>
        <w:t>zas</w:t>
      </w:r>
      <w:r w:rsidR="005D3BC0" w:rsidRPr="002866E5">
        <w:rPr>
          <w:noProof/>
        </w:rPr>
        <w:t>adniczymi wymaganiami niniejszego rozporządzenia na etapach projektowania, opracowywania</w:t>
      </w:r>
      <w:r w:rsidR="008B35E8" w:rsidRPr="002866E5">
        <w:rPr>
          <w:noProof/>
        </w:rPr>
        <w:t xml:space="preserve"> i</w:t>
      </w:r>
      <w:r w:rsidR="008B35E8">
        <w:rPr>
          <w:noProof/>
        </w:rPr>
        <w:t> </w:t>
      </w:r>
      <w:r w:rsidR="008B35E8" w:rsidRPr="002866E5">
        <w:rPr>
          <w:noProof/>
        </w:rPr>
        <w:t>pro</w:t>
      </w:r>
      <w:r w:rsidR="005D3BC0" w:rsidRPr="002866E5">
        <w:rPr>
          <w:noProof/>
        </w:rPr>
        <w:t xml:space="preserve">dukcji. </w:t>
      </w:r>
    </w:p>
    <w:p w14:paraId="67ED86F8" w14:textId="67A6F263" w:rsidR="00CE19B9" w:rsidRPr="002866E5" w:rsidRDefault="00B4087C" w:rsidP="00B4087C">
      <w:pPr>
        <w:pStyle w:val="ManualConsidrant"/>
        <w:rPr>
          <w:noProof/>
        </w:rPr>
      </w:pPr>
      <w:r w:rsidRPr="00B4087C">
        <w:t>(47)</w:t>
      </w:r>
      <w:r w:rsidRPr="00B4087C">
        <w:tab/>
      </w:r>
      <w:r w:rsidR="00CE19B9" w:rsidRPr="002866E5">
        <w:rPr>
          <w:noProof/>
        </w:rPr>
        <w:t>Do celów oceny zgodności produktów</w:t>
      </w:r>
      <w:r w:rsidR="008B35E8" w:rsidRPr="002866E5">
        <w:rPr>
          <w:noProof/>
        </w:rPr>
        <w:t xml:space="preserve"> z</w:t>
      </w:r>
      <w:r w:rsidR="008B35E8">
        <w:rPr>
          <w:noProof/>
        </w:rPr>
        <w:t> </w:t>
      </w:r>
      <w:r w:rsidR="008B35E8" w:rsidRPr="002866E5">
        <w:rPr>
          <w:noProof/>
        </w:rPr>
        <w:t>ele</w:t>
      </w:r>
      <w:r w:rsidR="00CE19B9" w:rsidRPr="002866E5">
        <w:rPr>
          <w:noProof/>
        </w:rPr>
        <w:t>mentami cyfrowymi przeprowadzanej przez osobę trzecią krajowe organy notyfikujące powinny notyfikować Komisji</w:t>
      </w:r>
      <w:r w:rsidR="008B35E8" w:rsidRPr="002866E5">
        <w:rPr>
          <w:noProof/>
        </w:rPr>
        <w:t xml:space="preserve"> i</w:t>
      </w:r>
      <w:r w:rsidR="008B35E8">
        <w:rPr>
          <w:noProof/>
        </w:rPr>
        <w:t> </w:t>
      </w:r>
      <w:r w:rsidR="008B35E8" w:rsidRPr="002866E5">
        <w:rPr>
          <w:noProof/>
        </w:rPr>
        <w:t>poz</w:t>
      </w:r>
      <w:r w:rsidR="00CE19B9" w:rsidRPr="002866E5">
        <w:rPr>
          <w:noProof/>
        </w:rPr>
        <w:t>ostałym państwom członkowskim jednostki oceniające zgodność, pod warunkiem że spełniają one szereg wymogów,</w:t>
      </w:r>
      <w:r w:rsidR="008B35E8" w:rsidRPr="002866E5">
        <w:rPr>
          <w:noProof/>
        </w:rPr>
        <w:t xml:space="preserve"> w</w:t>
      </w:r>
      <w:r w:rsidR="008B35E8">
        <w:rPr>
          <w:noProof/>
        </w:rPr>
        <w:t> </w:t>
      </w:r>
      <w:r w:rsidR="008B35E8" w:rsidRPr="002866E5">
        <w:rPr>
          <w:noProof/>
        </w:rPr>
        <w:t>szc</w:t>
      </w:r>
      <w:r w:rsidR="00CE19B9" w:rsidRPr="002866E5">
        <w:rPr>
          <w:noProof/>
        </w:rPr>
        <w:t>zególności dotyczących niezależności, kompetencji</w:t>
      </w:r>
      <w:r w:rsidR="008B35E8" w:rsidRPr="002866E5">
        <w:rPr>
          <w:noProof/>
        </w:rPr>
        <w:t xml:space="preserve"> i</w:t>
      </w:r>
      <w:r w:rsidR="008B35E8">
        <w:rPr>
          <w:noProof/>
        </w:rPr>
        <w:t> </w:t>
      </w:r>
      <w:r w:rsidR="008B35E8" w:rsidRPr="002866E5">
        <w:rPr>
          <w:noProof/>
        </w:rPr>
        <w:t>bra</w:t>
      </w:r>
      <w:r w:rsidR="00CE19B9" w:rsidRPr="002866E5">
        <w:rPr>
          <w:noProof/>
        </w:rPr>
        <w:t xml:space="preserve">ku konfliktu interesów. </w:t>
      </w:r>
    </w:p>
    <w:p w14:paraId="67ED86F9" w14:textId="6975CF84" w:rsidR="007E43C1" w:rsidRPr="002866E5" w:rsidRDefault="00B4087C" w:rsidP="00B4087C">
      <w:pPr>
        <w:pStyle w:val="ManualConsidrant"/>
        <w:rPr>
          <w:noProof/>
        </w:rPr>
      </w:pPr>
      <w:r w:rsidRPr="00B4087C">
        <w:t>(48)</w:t>
      </w:r>
      <w:r w:rsidRPr="00B4087C">
        <w:tab/>
      </w:r>
      <w:r w:rsidR="007E43C1" w:rsidRPr="002866E5">
        <w:rPr>
          <w:noProof/>
        </w:rPr>
        <w:t>W celu zapewnienia spójnego poziomu jakości podczas przeprowadzania oceny zgodności produktów</w:t>
      </w:r>
      <w:r w:rsidR="008B35E8" w:rsidRPr="002866E5">
        <w:rPr>
          <w:noProof/>
        </w:rPr>
        <w:t xml:space="preserve"> z</w:t>
      </w:r>
      <w:r w:rsidR="008B35E8">
        <w:rPr>
          <w:noProof/>
        </w:rPr>
        <w:t> </w:t>
      </w:r>
      <w:r w:rsidR="008B35E8" w:rsidRPr="002866E5">
        <w:rPr>
          <w:noProof/>
        </w:rPr>
        <w:t>ele</w:t>
      </w:r>
      <w:r w:rsidR="007E43C1" w:rsidRPr="002866E5">
        <w:rPr>
          <w:noProof/>
        </w:rPr>
        <w:t>mentami cyfrowymi należy także określić wymogi</w:t>
      </w:r>
      <w:r w:rsidR="008B35E8" w:rsidRPr="002866E5">
        <w:rPr>
          <w:noProof/>
        </w:rPr>
        <w:t xml:space="preserve"> w</w:t>
      </w:r>
      <w:r w:rsidR="008B35E8">
        <w:rPr>
          <w:noProof/>
        </w:rPr>
        <w:t> </w:t>
      </w:r>
      <w:r w:rsidR="008B35E8" w:rsidRPr="002866E5">
        <w:rPr>
          <w:noProof/>
        </w:rPr>
        <w:t>odn</w:t>
      </w:r>
      <w:r w:rsidR="007E43C1" w:rsidRPr="002866E5">
        <w:rPr>
          <w:noProof/>
        </w:rPr>
        <w:t>iesieniu do organów notyfikujących</w:t>
      </w:r>
      <w:r w:rsidR="008B35E8" w:rsidRPr="002866E5">
        <w:rPr>
          <w:noProof/>
        </w:rPr>
        <w:t xml:space="preserve"> i</w:t>
      </w:r>
      <w:r w:rsidR="008B35E8">
        <w:rPr>
          <w:noProof/>
        </w:rPr>
        <w:t> </w:t>
      </w:r>
      <w:r w:rsidR="008B35E8" w:rsidRPr="002866E5">
        <w:rPr>
          <w:noProof/>
        </w:rPr>
        <w:t>inn</w:t>
      </w:r>
      <w:r w:rsidR="007E43C1" w:rsidRPr="002866E5">
        <w:rPr>
          <w:noProof/>
        </w:rPr>
        <w:t>ych organów uczestniczących</w:t>
      </w:r>
      <w:r w:rsidR="008B35E8" w:rsidRPr="002866E5">
        <w:rPr>
          <w:noProof/>
        </w:rPr>
        <w:t xml:space="preserve"> w</w:t>
      </w:r>
      <w:r w:rsidR="008B35E8">
        <w:rPr>
          <w:noProof/>
        </w:rPr>
        <w:t> </w:t>
      </w:r>
      <w:r w:rsidR="008B35E8" w:rsidRPr="002866E5">
        <w:rPr>
          <w:noProof/>
        </w:rPr>
        <w:t>oce</w:t>
      </w:r>
      <w:r w:rsidR="007E43C1" w:rsidRPr="002866E5">
        <w:rPr>
          <w:noProof/>
        </w:rPr>
        <w:t>nianiu, notyfikowaniu</w:t>
      </w:r>
      <w:r w:rsidR="008B35E8" w:rsidRPr="002866E5">
        <w:rPr>
          <w:noProof/>
        </w:rPr>
        <w:t xml:space="preserve"> i</w:t>
      </w:r>
      <w:r w:rsidR="008B35E8">
        <w:rPr>
          <w:noProof/>
        </w:rPr>
        <w:t> </w:t>
      </w:r>
      <w:r w:rsidR="008B35E8" w:rsidRPr="002866E5">
        <w:rPr>
          <w:noProof/>
        </w:rPr>
        <w:t>mon</w:t>
      </w:r>
      <w:r w:rsidR="007E43C1" w:rsidRPr="002866E5">
        <w:rPr>
          <w:noProof/>
        </w:rPr>
        <w:t>itorowaniu jednostek notyfikowanych. System określony</w:t>
      </w:r>
      <w:r w:rsidR="008B35E8" w:rsidRPr="002866E5">
        <w:rPr>
          <w:noProof/>
        </w:rPr>
        <w:t xml:space="preserve"> w</w:t>
      </w:r>
      <w:r w:rsidR="008B35E8">
        <w:rPr>
          <w:noProof/>
        </w:rPr>
        <w:t> </w:t>
      </w:r>
      <w:r w:rsidR="008B35E8" w:rsidRPr="002866E5">
        <w:rPr>
          <w:noProof/>
        </w:rPr>
        <w:t>nin</w:t>
      </w:r>
      <w:r w:rsidR="007E43C1" w:rsidRPr="002866E5">
        <w:rPr>
          <w:noProof/>
        </w:rPr>
        <w:t>iejszym rozporządzeniu należy uzupełnić</w:t>
      </w:r>
      <w:r w:rsidR="008B35E8" w:rsidRPr="002866E5">
        <w:rPr>
          <w:noProof/>
        </w:rPr>
        <w:t xml:space="preserve"> o</w:t>
      </w:r>
      <w:r w:rsidR="008B35E8">
        <w:rPr>
          <w:noProof/>
        </w:rPr>
        <w:t> </w:t>
      </w:r>
      <w:r w:rsidR="008B35E8" w:rsidRPr="002866E5">
        <w:rPr>
          <w:noProof/>
        </w:rPr>
        <w:t>sys</w:t>
      </w:r>
      <w:r w:rsidR="007E43C1" w:rsidRPr="002866E5">
        <w:rPr>
          <w:noProof/>
        </w:rPr>
        <w:t>tem akredytacji przewidziany</w:t>
      </w:r>
      <w:r w:rsidR="008B35E8" w:rsidRPr="002866E5">
        <w:rPr>
          <w:noProof/>
        </w:rPr>
        <w:t xml:space="preserve"> w</w:t>
      </w:r>
      <w:r w:rsidR="008B35E8">
        <w:rPr>
          <w:noProof/>
        </w:rPr>
        <w:t> </w:t>
      </w:r>
      <w:r w:rsidR="008B35E8" w:rsidRPr="002866E5">
        <w:rPr>
          <w:noProof/>
        </w:rPr>
        <w:t>roz</w:t>
      </w:r>
      <w:r w:rsidR="007E43C1" w:rsidRPr="002866E5">
        <w:rPr>
          <w:noProof/>
        </w:rPr>
        <w:t xml:space="preserve">porządzeniu (WE) </w:t>
      </w:r>
      <w:r w:rsidR="007E43C1" w:rsidRPr="008B35E8">
        <w:rPr>
          <w:noProof/>
        </w:rPr>
        <w:t>nr</w:t>
      </w:r>
      <w:r w:rsidR="008B35E8" w:rsidRPr="008B35E8">
        <w:rPr>
          <w:noProof/>
        </w:rPr>
        <w:t> </w:t>
      </w:r>
      <w:r w:rsidR="007E43C1" w:rsidRPr="008B35E8">
        <w:rPr>
          <w:noProof/>
        </w:rPr>
        <w:t>7</w:t>
      </w:r>
      <w:r w:rsidR="007E43C1" w:rsidRPr="002866E5">
        <w:rPr>
          <w:noProof/>
        </w:rPr>
        <w:t xml:space="preserve">65/2008. Ponieważ akredytacja stanowi istotny środek weryfikacji kompetencji jednostek oceniających zgodność, powinno się stosować ją również do celów notyfikacji. </w:t>
      </w:r>
    </w:p>
    <w:p w14:paraId="67ED86FA" w14:textId="6528CE0E" w:rsidR="007E43C1" w:rsidRPr="002866E5" w:rsidRDefault="00B4087C" w:rsidP="00B4087C">
      <w:pPr>
        <w:pStyle w:val="ManualConsidrant"/>
        <w:rPr>
          <w:noProof/>
        </w:rPr>
      </w:pPr>
      <w:r w:rsidRPr="00B4087C">
        <w:t>(49)</w:t>
      </w:r>
      <w:r w:rsidRPr="00B4087C">
        <w:tab/>
      </w:r>
      <w:r w:rsidR="007E43C1" w:rsidRPr="002866E5">
        <w:rPr>
          <w:noProof/>
        </w:rPr>
        <w:t>Za preferowaną metodę wykazywania kompetencji technicznych jednostek oceniających zgodność krajowe organy publiczne</w:t>
      </w:r>
      <w:r w:rsidR="008B35E8" w:rsidRPr="002866E5">
        <w:rPr>
          <w:noProof/>
        </w:rPr>
        <w:t xml:space="preserve"> w</w:t>
      </w:r>
      <w:r w:rsidR="008B35E8">
        <w:rPr>
          <w:noProof/>
        </w:rPr>
        <w:t> </w:t>
      </w:r>
      <w:r w:rsidR="008B35E8" w:rsidRPr="002866E5">
        <w:rPr>
          <w:noProof/>
        </w:rPr>
        <w:t>cał</w:t>
      </w:r>
      <w:r w:rsidR="007E43C1" w:rsidRPr="002866E5">
        <w:rPr>
          <w:noProof/>
        </w:rPr>
        <w:t>ej Unii powinny uznać przejrzystą akredytację zgodną</w:t>
      </w:r>
      <w:r w:rsidR="008B35E8" w:rsidRPr="002866E5">
        <w:rPr>
          <w:noProof/>
        </w:rPr>
        <w:t xml:space="preserve"> z</w:t>
      </w:r>
      <w:r w:rsidR="008B35E8">
        <w:rPr>
          <w:noProof/>
        </w:rPr>
        <w:t> </w:t>
      </w:r>
      <w:r w:rsidR="008B35E8" w:rsidRPr="002866E5">
        <w:rPr>
          <w:noProof/>
        </w:rPr>
        <w:t>roz</w:t>
      </w:r>
      <w:r w:rsidR="007E43C1" w:rsidRPr="002866E5">
        <w:rPr>
          <w:noProof/>
        </w:rPr>
        <w:t xml:space="preserve">porządzeniem (WE) </w:t>
      </w:r>
      <w:r w:rsidR="007E43C1" w:rsidRPr="008B35E8">
        <w:rPr>
          <w:noProof/>
        </w:rPr>
        <w:t>nr</w:t>
      </w:r>
      <w:r w:rsidR="008B35E8" w:rsidRPr="008B35E8">
        <w:rPr>
          <w:noProof/>
        </w:rPr>
        <w:t> </w:t>
      </w:r>
      <w:r w:rsidR="007E43C1" w:rsidRPr="008B35E8">
        <w:rPr>
          <w:noProof/>
        </w:rPr>
        <w:t>7</w:t>
      </w:r>
      <w:r w:rsidR="007E43C1" w:rsidRPr="002866E5">
        <w:rPr>
          <w:noProof/>
        </w:rPr>
        <w:t>65/2008, zapewniającą niezbędny poziom zaufania do certyfikatów zgodności. Organy krajowe mogą jednak uznać, że dysponują odpowiednimi środkami do samodzielnego przeprowadzenia takiej oceny</w:t>
      </w:r>
      <w:r w:rsidR="008B35E8" w:rsidRPr="002866E5">
        <w:rPr>
          <w:noProof/>
        </w:rPr>
        <w:t>. W</w:t>
      </w:r>
      <w:r w:rsidR="008B35E8">
        <w:rPr>
          <w:noProof/>
        </w:rPr>
        <w:t> </w:t>
      </w:r>
      <w:r w:rsidR="008B35E8" w:rsidRPr="002866E5">
        <w:rPr>
          <w:noProof/>
        </w:rPr>
        <w:t>tak</w:t>
      </w:r>
      <w:r w:rsidR="007E43C1" w:rsidRPr="002866E5">
        <w:rPr>
          <w:noProof/>
        </w:rPr>
        <w:t>ich przypadkach</w:t>
      </w:r>
      <w:r w:rsidR="008B35E8" w:rsidRPr="002866E5">
        <w:rPr>
          <w:noProof/>
        </w:rPr>
        <w:t xml:space="preserve"> w</w:t>
      </w:r>
      <w:r w:rsidR="008B35E8">
        <w:rPr>
          <w:noProof/>
        </w:rPr>
        <w:t> </w:t>
      </w:r>
      <w:r w:rsidR="008B35E8" w:rsidRPr="002866E5">
        <w:rPr>
          <w:noProof/>
        </w:rPr>
        <w:t>cel</w:t>
      </w:r>
      <w:r w:rsidR="007E43C1" w:rsidRPr="002866E5">
        <w:rPr>
          <w:noProof/>
        </w:rPr>
        <w:t>u zapewnienia odpowiedniego stopnia wiarygodności ocen przeprowadzanych przez inne organy krajowe organy te powinny przedstawić Komisji</w:t>
      </w:r>
      <w:r w:rsidR="008B35E8" w:rsidRPr="002866E5">
        <w:rPr>
          <w:noProof/>
        </w:rPr>
        <w:t xml:space="preserve"> i</w:t>
      </w:r>
      <w:r w:rsidR="008B35E8">
        <w:rPr>
          <w:noProof/>
        </w:rPr>
        <w:t> </w:t>
      </w:r>
      <w:r w:rsidR="008B35E8" w:rsidRPr="002866E5">
        <w:rPr>
          <w:noProof/>
        </w:rPr>
        <w:t>inn</w:t>
      </w:r>
      <w:r w:rsidR="007E43C1" w:rsidRPr="002866E5">
        <w:rPr>
          <w:noProof/>
        </w:rPr>
        <w:t>ym państwom członkowskim niezbędne dowody</w:t>
      </w:r>
      <w:r w:rsidR="008B35E8" w:rsidRPr="002866E5">
        <w:rPr>
          <w:noProof/>
        </w:rPr>
        <w:t xml:space="preserve"> w</w:t>
      </w:r>
      <w:r w:rsidR="008B35E8">
        <w:rPr>
          <w:noProof/>
        </w:rPr>
        <w:t> </w:t>
      </w:r>
      <w:r w:rsidR="008B35E8" w:rsidRPr="002866E5">
        <w:rPr>
          <w:noProof/>
        </w:rPr>
        <w:t>pos</w:t>
      </w:r>
      <w:r w:rsidR="007E43C1" w:rsidRPr="002866E5">
        <w:rPr>
          <w:noProof/>
        </w:rPr>
        <w:t>taci dokumentów wykazujące, że poddane ocenie jednostki oceniające zgodność spełniają odpowiednie wymogi regulacyjne.</w:t>
      </w:r>
    </w:p>
    <w:p w14:paraId="67ED86FB" w14:textId="7407AA9A" w:rsidR="007E3A74" w:rsidRPr="002866E5" w:rsidRDefault="00B4087C" w:rsidP="00B4087C">
      <w:pPr>
        <w:pStyle w:val="ManualConsidrant"/>
        <w:rPr>
          <w:noProof/>
        </w:rPr>
      </w:pPr>
      <w:r w:rsidRPr="00B4087C">
        <w:t>(50)</w:t>
      </w:r>
      <w:r w:rsidRPr="00B4087C">
        <w:tab/>
      </w:r>
      <w:r w:rsidR="007E3A74" w:rsidRPr="002866E5">
        <w:rPr>
          <w:noProof/>
        </w:rPr>
        <w:t>Jednostki oceniające zgodność często zlecają realizację części zadań związanych</w:t>
      </w:r>
      <w:r w:rsidR="008B35E8" w:rsidRPr="002866E5">
        <w:rPr>
          <w:noProof/>
        </w:rPr>
        <w:t xml:space="preserve"> z</w:t>
      </w:r>
      <w:r w:rsidR="008B35E8">
        <w:rPr>
          <w:noProof/>
        </w:rPr>
        <w:t> </w:t>
      </w:r>
      <w:r w:rsidR="008B35E8" w:rsidRPr="002866E5">
        <w:rPr>
          <w:noProof/>
        </w:rPr>
        <w:t>oce</w:t>
      </w:r>
      <w:r w:rsidR="007E3A74" w:rsidRPr="002866E5">
        <w:rPr>
          <w:noProof/>
        </w:rPr>
        <w:t>ną zgodności podwykonawcom lub korzystają</w:t>
      </w:r>
      <w:r w:rsidR="008B35E8" w:rsidRPr="002866E5">
        <w:rPr>
          <w:noProof/>
        </w:rPr>
        <w:t xml:space="preserve"> z</w:t>
      </w:r>
      <w:r w:rsidR="008B35E8">
        <w:rPr>
          <w:noProof/>
        </w:rPr>
        <w:t> </w:t>
      </w:r>
      <w:r w:rsidR="008B35E8" w:rsidRPr="002866E5">
        <w:rPr>
          <w:noProof/>
        </w:rPr>
        <w:t>usł</w:t>
      </w:r>
      <w:r w:rsidR="007E3A74" w:rsidRPr="002866E5">
        <w:rPr>
          <w:noProof/>
        </w:rPr>
        <w:t>ug jednostek zależnych</w:t>
      </w:r>
      <w:r w:rsidR="008B35E8" w:rsidRPr="002866E5">
        <w:rPr>
          <w:noProof/>
        </w:rPr>
        <w:t>. W</w:t>
      </w:r>
      <w:r w:rsidR="008B35E8">
        <w:rPr>
          <w:noProof/>
        </w:rPr>
        <w:t> </w:t>
      </w:r>
      <w:r w:rsidR="008B35E8" w:rsidRPr="002866E5">
        <w:rPr>
          <w:noProof/>
        </w:rPr>
        <w:t>cel</w:t>
      </w:r>
      <w:r w:rsidR="007E3A74" w:rsidRPr="002866E5">
        <w:rPr>
          <w:noProof/>
        </w:rPr>
        <w:t>u zapewnienia poziomu bezpieczeństwa wymaganego</w:t>
      </w:r>
      <w:r w:rsidR="008B35E8" w:rsidRPr="002866E5">
        <w:rPr>
          <w:noProof/>
        </w:rPr>
        <w:t xml:space="preserve"> w</w:t>
      </w:r>
      <w:r w:rsidR="008B35E8">
        <w:rPr>
          <w:noProof/>
        </w:rPr>
        <w:t> </w:t>
      </w:r>
      <w:r w:rsidR="008B35E8" w:rsidRPr="002866E5">
        <w:rPr>
          <w:noProof/>
        </w:rPr>
        <w:t>prz</w:t>
      </w:r>
      <w:r w:rsidR="007E3A74" w:rsidRPr="002866E5">
        <w:rPr>
          <w:noProof/>
        </w:rPr>
        <w:t>ypadku produktu</w:t>
      </w:r>
      <w:r w:rsidR="008B35E8" w:rsidRPr="002866E5">
        <w:rPr>
          <w:noProof/>
        </w:rPr>
        <w:t xml:space="preserve"> z</w:t>
      </w:r>
      <w:r w:rsidR="008B35E8">
        <w:rPr>
          <w:noProof/>
        </w:rPr>
        <w:t> </w:t>
      </w:r>
      <w:r w:rsidR="008B35E8" w:rsidRPr="002866E5">
        <w:rPr>
          <w:noProof/>
        </w:rPr>
        <w:t>ele</w:t>
      </w:r>
      <w:r w:rsidR="007E3A74" w:rsidRPr="002866E5">
        <w:rPr>
          <w:noProof/>
        </w:rPr>
        <w:t>mentami cyfrowymi, który ma zostać wprowadzony do obrotu, zasadnicze znaczenie ma to, aby</w:t>
      </w:r>
      <w:r w:rsidR="008B35E8" w:rsidRPr="002866E5">
        <w:rPr>
          <w:noProof/>
        </w:rPr>
        <w:t xml:space="preserve"> w</w:t>
      </w:r>
      <w:r w:rsidR="008B35E8">
        <w:rPr>
          <w:noProof/>
        </w:rPr>
        <w:t> </w:t>
      </w:r>
      <w:r w:rsidR="008B35E8" w:rsidRPr="002866E5">
        <w:rPr>
          <w:noProof/>
        </w:rPr>
        <w:t>ram</w:t>
      </w:r>
      <w:r w:rsidR="007E3A74" w:rsidRPr="002866E5">
        <w:rPr>
          <w:noProof/>
        </w:rPr>
        <w:t>ach wykonywania zadań oceny zgodności podwykonawcy</w:t>
      </w:r>
      <w:r w:rsidR="008B35E8" w:rsidRPr="002866E5">
        <w:rPr>
          <w:noProof/>
        </w:rPr>
        <w:t xml:space="preserve"> i</w:t>
      </w:r>
      <w:r w:rsidR="008B35E8">
        <w:rPr>
          <w:noProof/>
        </w:rPr>
        <w:t> </w:t>
      </w:r>
      <w:r w:rsidR="008B35E8" w:rsidRPr="002866E5">
        <w:rPr>
          <w:noProof/>
        </w:rPr>
        <w:t>spó</w:t>
      </w:r>
      <w:r w:rsidR="007E3A74" w:rsidRPr="002866E5">
        <w:rPr>
          <w:noProof/>
        </w:rPr>
        <w:t xml:space="preserve">łki zależne spełniali te same wymogi co jednostki notyfikowane. </w:t>
      </w:r>
    </w:p>
    <w:p w14:paraId="67ED86FC" w14:textId="59B0F083" w:rsidR="000A27CB" w:rsidRPr="002866E5" w:rsidRDefault="00B4087C" w:rsidP="00B4087C">
      <w:pPr>
        <w:pStyle w:val="ManualConsidrant"/>
        <w:rPr>
          <w:noProof/>
        </w:rPr>
      </w:pPr>
      <w:r w:rsidRPr="00B4087C">
        <w:t>(51)</w:t>
      </w:r>
      <w:r w:rsidRPr="00B4087C">
        <w:tab/>
      </w:r>
      <w:r w:rsidR="000A27CB" w:rsidRPr="002866E5">
        <w:rPr>
          <w:noProof/>
        </w:rPr>
        <w:t>Organ notyfikujący powinien wysłać notyfikację jednostki oceniającej zgodność Komisji</w:t>
      </w:r>
      <w:r w:rsidR="008B35E8" w:rsidRPr="002866E5">
        <w:rPr>
          <w:noProof/>
        </w:rPr>
        <w:t xml:space="preserve"> i</w:t>
      </w:r>
      <w:r w:rsidR="008B35E8">
        <w:rPr>
          <w:noProof/>
        </w:rPr>
        <w:t> </w:t>
      </w:r>
      <w:r w:rsidR="008B35E8" w:rsidRPr="002866E5">
        <w:rPr>
          <w:noProof/>
        </w:rPr>
        <w:t>poz</w:t>
      </w:r>
      <w:r w:rsidR="000A27CB" w:rsidRPr="002866E5">
        <w:rPr>
          <w:noProof/>
        </w:rPr>
        <w:t>ostałym państwom członkowskim za pomocą systemu informacyjnego NANDO. NANDO jest elektronicznym narzędziem do notyfikacji, opracowanym</w:t>
      </w:r>
      <w:r w:rsidR="008B35E8" w:rsidRPr="002866E5">
        <w:rPr>
          <w:noProof/>
        </w:rPr>
        <w:t xml:space="preserve"> i</w:t>
      </w:r>
      <w:r w:rsidR="008B35E8">
        <w:rPr>
          <w:noProof/>
        </w:rPr>
        <w:t> </w:t>
      </w:r>
      <w:r w:rsidR="008B35E8" w:rsidRPr="002866E5">
        <w:rPr>
          <w:noProof/>
        </w:rPr>
        <w:t>zar</w:t>
      </w:r>
      <w:r w:rsidR="000A27CB" w:rsidRPr="002866E5">
        <w:rPr>
          <w:noProof/>
        </w:rPr>
        <w:t>ządzanym przez Komisję,</w:t>
      </w:r>
      <w:r w:rsidR="008B35E8" w:rsidRPr="002866E5">
        <w:rPr>
          <w:noProof/>
        </w:rPr>
        <w:t xml:space="preserve"> w</w:t>
      </w:r>
      <w:r w:rsidR="008B35E8">
        <w:rPr>
          <w:noProof/>
        </w:rPr>
        <w:t> </w:t>
      </w:r>
      <w:r w:rsidR="008B35E8" w:rsidRPr="002866E5">
        <w:rPr>
          <w:noProof/>
        </w:rPr>
        <w:t>któ</w:t>
      </w:r>
      <w:r w:rsidR="000A27CB" w:rsidRPr="002866E5">
        <w:rPr>
          <w:noProof/>
        </w:rPr>
        <w:t xml:space="preserve">rym można znaleźć wykaz wszystkich jednostek notyfikowanych. </w:t>
      </w:r>
    </w:p>
    <w:p w14:paraId="67ED86FD" w14:textId="41D66A18" w:rsidR="007E3A74" w:rsidRPr="002866E5" w:rsidRDefault="00B4087C" w:rsidP="00B4087C">
      <w:pPr>
        <w:pStyle w:val="ManualConsidrant"/>
        <w:rPr>
          <w:noProof/>
        </w:rPr>
      </w:pPr>
      <w:r w:rsidRPr="00B4087C">
        <w:lastRenderedPageBreak/>
        <w:t>(52)</w:t>
      </w:r>
      <w:r w:rsidRPr="00B4087C">
        <w:tab/>
      </w:r>
      <w:r w:rsidR="007E3A74" w:rsidRPr="002866E5">
        <w:rPr>
          <w:noProof/>
        </w:rPr>
        <w:t>Ponieważ jednostki notyfikowane mają możliwość oferowania swoich usług</w:t>
      </w:r>
      <w:r w:rsidR="008B35E8" w:rsidRPr="002866E5">
        <w:rPr>
          <w:noProof/>
        </w:rPr>
        <w:t xml:space="preserve"> w</w:t>
      </w:r>
      <w:r w:rsidR="008B35E8">
        <w:rPr>
          <w:noProof/>
        </w:rPr>
        <w:t> </w:t>
      </w:r>
      <w:r w:rsidR="008B35E8" w:rsidRPr="002866E5">
        <w:rPr>
          <w:noProof/>
        </w:rPr>
        <w:t>cał</w:t>
      </w:r>
      <w:r w:rsidR="007E3A74" w:rsidRPr="002866E5">
        <w:rPr>
          <w:noProof/>
        </w:rPr>
        <w:t>ej Unii, należy zapewnić pozostałym państwom członkowskim</w:t>
      </w:r>
      <w:r w:rsidR="008B35E8" w:rsidRPr="002866E5">
        <w:rPr>
          <w:noProof/>
        </w:rPr>
        <w:t xml:space="preserve"> i</w:t>
      </w:r>
      <w:r w:rsidR="008B35E8">
        <w:rPr>
          <w:noProof/>
        </w:rPr>
        <w:t> </w:t>
      </w:r>
      <w:r w:rsidR="008B35E8" w:rsidRPr="002866E5">
        <w:rPr>
          <w:noProof/>
        </w:rPr>
        <w:t>Kom</w:t>
      </w:r>
      <w:r w:rsidR="007E3A74" w:rsidRPr="002866E5">
        <w:rPr>
          <w:noProof/>
        </w:rPr>
        <w:t>isji możliwość wnoszenia sprzeciwu wobec jednostek notyfikowanych. Istotne zatem jest ustalenie terminu,</w:t>
      </w:r>
      <w:r w:rsidR="008B35E8" w:rsidRPr="002866E5">
        <w:rPr>
          <w:noProof/>
        </w:rPr>
        <w:t xml:space="preserve"> w</w:t>
      </w:r>
      <w:r w:rsidR="008B35E8">
        <w:rPr>
          <w:noProof/>
        </w:rPr>
        <w:t> </w:t>
      </w:r>
      <w:r w:rsidR="008B35E8" w:rsidRPr="002866E5">
        <w:rPr>
          <w:noProof/>
        </w:rPr>
        <w:t>jak</w:t>
      </w:r>
      <w:r w:rsidR="007E3A74" w:rsidRPr="002866E5">
        <w:rPr>
          <w:noProof/>
        </w:rPr>
        <w:t xml:space="preserve">im możliwe będzie wyjaśnienie jakichkolwiek wątpliwości lub obaw co do kompetencji jednostek oceniających zgodność, zanim zaczną one prowadzić działalność jako jednostki notyfikowane. </w:t>
      </w:r>
    </w:p>
    <w:p w14:paraId="67ED86FE" w14:textId="0A92EE8E" w:rsidR="00BA1322" w:rsidRPr="002866E5" w:rsidRDefault="00B4087C" w:rsidP="00B4087C">
      <w:pPr>
        <w:pStyle w:val="ManualConsidrant"/>
        <w:rPr>
          <w:noProof/>
        </w:rPr>
      </w:pPr>
      <w:r w:rsidRPr="00B4087C">
        <w:t>(53)</w:t>
      </w:r>
      <w:r w:rsidRPr="00B4087C">
        <w:tab/>
      </w:r>
      <w:r w:rsidR="007E3A74" w:rsidRPr="002866E5">
        <w:rPr>
          <w:noProof/>
        </w:rPr>
        <w:t>Z punktu widzenia konkurencyjności bardzo ważne jest, aby jednostki notyfikowane stosowały procedury oceny zgodności bez tworzenia zbędnego obciążenia dla podmiotów gospodarczych</w:t>
      </w:r>
      <w:r w:rsidR="008B35E8" w:rsidRPr="002866E5">
        <w:rPr>
          <w:noProof/>
        </w:rPr>
        <w:t>. Z</w:t>
      </w:r>
      <w:r w:rsidR="008B35E8">
        <w:rPr>
          <w:noProof/>
        </w:rPr>
        <w:t> </w:t>
      </w:r>
      <w:r w:rsidR="008B35E8" w:rsidRPr="002866E5">
        <w:rPr>
          <w:noProof/>
        </w:rPr>
        <w:t>teg</w:t>
      </w:r>
      <w:r w:rsidR="007E3A74" w:rsidRPr="002866E5">
        <w:rPr>
          <w:noProof/>
        </w:rPr>
        <w:t>o samego powodu oraz</w:t>
      </w:r>
      <w:r w:rsidR="008B35E8" w:rsidRPr="002866E5">
        <w:rPr>
          <w:noProof/>
        </w:rPr>
        <w:t xml:space="preserve"> w</w:t>
      </w:r>
      <w:r w:rsidR="008B35E8">
        <w:rPr>
          <w:noProof/>
        </w:rPr>
        <w:t> </w:t>
      </w:r>
      <w:r w:rsidR="008B35E8" w:rsidRPr="002866E5">
        <w:rPr>
          <w:noProof/>
        </w:rPr>
        <w:t>cel</w:t>
      </w:r>
      <w:r w:rsidR="007E3A74" w:rsidRPr="002866E5">
        <w:rPr>
          <w:noProof/>
        </w:rPr>
        <w:t>u zapewnienia równego traktowania podmiotów gospodarczych należy zapewnić spójność stosowania procedur oceny zgodności pod względem technicznym. Najlepszym sposobem na osiągnięcie tego celu jest odpowiednia koordynacja jednostek notyfikowanych</w:t>
      </w:r>
      <w:r w:rsidR="008B35E8" w:rsidRPr="002866E5">
        <w:rPr>
          <w:noProof/>
        </w:rPr>
        <w:t xml:space="preserve"> i</w:t>
      </w:r>
      <w:r w:rsidR="008B35E8">
        <w:rPr>
          <w:noProof/>
        </w:rPr>
        <w:t> </w:t>
      </w:r>
      <w:r w:rsidR="008B35E8" w:rsidRPr="002866E5">
        <w:rPr>
          <w:noProof/>
        </w:rPr>
        <w:t>wsp</w:t>
      </w:r>
      <w:r w:rsidR="007E3A74" w:rsidRPr="002866E5">
        <w:rPr>
          <w:noProof/>
        </w:rPr>
        <w:t>ółpraca między nimi.</w:t>
      </w:r>
    </w:p>
    <w:p w14:paraId="67ED86FF" w14:textId="63C7FF1D" w:rsidR="007F7016" w:rsidRPr="002866E5" w:rsidRDefault="00B4087C" w:rsidP="00B4087C">
      <w:pPr>
        <w:pStyle w:val="ManualConsidrant"/>
        <w:rPr>
          <w:noProof/>
        </w:rPr>
      </w:pPr>
      <w:r w:rsidRPr="00B4087C">
        <w:t>(54)</w:t>
      </w:r>
      <w:r w:rsidRPr="00B4087C">
        <w:tab/>
      </w:r>
      <w:r w:rsidR="007E3A74" w:rsidRPr="002866E5">
        <w:rPr>
          <w:noProof/>
        </w:rPr>
        <w:t>Nadzór rynku jest instrumentem istotnym dla zapewnienia właściwego</w:t>
      </w:r>
      <w:r w:rsidR="008B35E8" w:rsidRPr="002866E5">
        <w:rPr>
          <w:noProof/>
        </w:rPr>
        <w:t xml:space="preserve"> i</w:t>
      </w:r>
      <w:r w:rsidR="008B35E8">
        <w:rPr>
          <w:noProof/>
        </w:rPr>
        <w:t> </w:t>
      </w:r>
      <w:r w:rsidR="008B35E8" w:rsidRPr="002866E5">
        <w:rPr>
          <w:noProof/>
        </w:rPr>
        <w:t>jed</w:t>
      </w:r>
      <w:r w:rsidR="007E3A74" w:rsidRPr="002866E5">
        <w:rPr>
          <w:noProof/>
        </w:rPr>
        <w:t>nolitego stosowania przepisów Unii. Dlatego właściwe jest stworzenie ram prawnych,</w:t>
      </w:r>
      <w:r w:rsidR="008B35E8" w:rsidRPr="002866E5">
        <w:rPr>
          <w:noProof/>
        </w:rPr>
        <w:t xml:space="preserve"> w</w:t>
      </w:r>
      <w:r w:rsidR="008B35E8">
        <w:rPr>
          <w:noProof/>
        </w:rPr>
        <w:t> </w:t>
      </w:r>
      <w:r w:rsidR="008B35E8" w:rsidRPr="002866E5">
        <w:rPr>
          <w:noProof/>
        </w:rPr>
        <w:t>któ</w:t>
      </w:r>
      <w:r w:rsidR="007E3A74" w:rsidRPr="002866E5">
        <w:rPr>
          <w:noProof/>
        </w:rPr>
        <w:t>rych nadzór rynku może być sprawowany</w:t>
      </w:r>
      <w:r w:rsidR="008B35E8" w:rsidRPr="002866E5">
        <w:rPr>
          <w:noProof/>
        </w:rPr>
        <w:t xml:space="preserve"> w</w:t>
      </w:r>
      <w:r w:rsidR="008B35E8">
        <w:rPr>
          <w:noProof/>
        </w:rPr>
        <w:t> </w:t>
      </w:r>
      <w:r w:rsidR="008B35E8" w:rsidRPr="002866E5">
        <w:rPr>
          <w:noProof/>
        </w:rPr>
        <w:t>spo</w:t>
      </w:r>
      <w:r w:rsidR="007E3A74" w:rsidRPr="002866E5">
        <w:rPr>
          <w:noProof/>
        </w:rPr>
        <w:t>sób odpowiedni. Do produktów</w:t>
      </w:r>
      <w:r w:rsidR="008B35E8" w:rsidRPr="002866E5">
        <w:rPr>
          <w:noProof/>
        </w:rPr>
        <w:t xml:space="preserve"> z</w:t>
      </w:r>
      <w:r w:rsidR="008B35E8">
        <w:rPr>
          <w:noProof/>
        </w:rPr>
        <w:t> </w:t>
      </w:r>
      <w:r w:rsidR="008B35E8" w:rsidRPr="002866E5">
        <w:rPr>
          <w:noProof/>
        </w:rPr>
        <w:t>ele</w:t>
      </w:r>
      <w:r w:rsidR="007E3A74" w:rsidRPr="002866E5">
        <w:rPr>
          <w:noProof/>
        </w:rPr>
        <w:t>mentami cyfrowymi objętymi niniejszym rozporządzeniem stosuje się przepisy dotyczące nadzoru rynku unijnego oraz kontroli produktów wprowadzanych na rynek Unii przewidziane</w:t>
      </w:r>
      <w:r w:rsidR="008B35E8" w:rsidRPr="002866E5">
        <w:rPr>
          <w:noProof/>
        </w:rPr>
        <w:t xml:space="preserve"> w</w:t>
      </w:r>
      <w:r w:rsidR="008B35E8">
        <w:rPr>
          <w:noProof/>
        </w:rPr>
        <w:t> </w:t>
      </w:r>
      <w:r w:rsidR="008B35E8" w:rsidRPr="002866E5">
        <w:rPr>
          <w:noProof/>
        </w:rPr>
        <w:t>roz</w:t>
      </w:r>
      <w:r w:rsidR="007E3A74" w:rsidRPr="002866E5">
        <w:rPr>
          <w:noProof/>
        </w:rPr>
        <w:t>porządzeniu Parlamentu Europejskiego</w:t>
      </w:r>
      <w:r w:rsidR="008B35E8" w:rsidRPr="002866E5">
        <w:rPr>
          <w:noProof/>
        </w:rPr>
        <w:t xml:space="preserve"> i</w:t>
      </w:r>
      <w:r w:rsidR="008B35E8">
        <w:rPr>
          <w:noProof/>
        </w:rPr>
        <w:t> </w:t>
      </w:r>
      <w:r w:rsidR="008B35E8" w:rsidRPr="002866E5">
        <w:rPr>
          <w:noProof/>
        </w:rPr>
        <w:t>Rad</w:t>
      </w:r>
      <w:r w:rsidR="007E3A74" w:rsidRPr="002866E5">
        <w:rPr>
          <w:noProof/>
        </w:rPr>
        <w:t>y (UE) 2019/1020</w:t>
      </w:r>
      <w:r w:rsidR="007E3A74" w:rsidRPr="002866E5">
        <w:rPr>
          <w:rStyle w:val="FootnoteReference"/>
          <w:noProof/>
        </w:rPr>
        <w:footnoteReference w:id="33"/>
      </w:r>
      <w:r w:rsidR="007E3A74" w:rsidRPr="002866E5">
        <w:rPr>
          <w:noProof/>
        </w:rPr>
        <w:t xml:space="preserve">. </w:t>
      </w:r>
    </w:p>
    <w:p w14:paraId="67ED8700" w14:textId="3EB5E968" w:rsidR="00F63D3D" w:rsidRPr="002866E5" w:rsidRDefault="00B4087C" w:rsidP="00B4087C">
      <w:pPr>
        <w:pStyle w:val="ManualConsidrant"/>
        <w:rPr>
          <w:noProof/>
        </w:rPr>
      </w:pPr>
      <w:r w:rsidRPr="00B4087C">
        <w:t>(55)</w:t>
      </w:r>
      <w:r w:rsidRPr="00B4087C">
        <w:tab/>
      </w:r>
      <w:r w:rsidR="005339DF" w:rsidRPr="002866E5">
        <w:rPr>
          <w:noProof/>
        </w:rPr>
        <w:t>Zgodnie</w:t>
      </w:r>
      <w:r w:rsidR="008B35E8" w:rsidRPr="002866E5">
        <w:rPr>
          <w:noProof/>
        </w:rPr>
        <w:t xml:space="preserve"> z</w:t>
      </w:r>
      <w:r w:rsidR="008B35E8">
        <w:rPr>
          <w:noProof/>
        </w:rPr>
        <w:t> </w:t>
      </w:r>
      <w:r w:rsidR="008B35E8" w:rsidRPr="002866E5">
        <w:rPr>
          <w:noProof/>
        </w:rPr>
        <w:t>roz</w:t>
      </w:r>
      <w:r w:rsidR="005339DF" w:rsidRPr="002866E5">
        <w:rPr>
          <w:noProof/>
        </w:rPr>
        <w:t>porządzeniem (UE) 2019/1020 nadzór rynku na terytorium danego państwa członkowskiego sprawują organy nadzoru rynku. Niniejsze rozporządzenie nie powinno uniemożliwiać państwom członkowskim wyboru właściwych organów do wykonywania tych zadań. Każde państwo członkowskie powinno wyznaczyć na swoim terytorium co najmniej jeden organ nadzoru rynku. Państwa członkowskie mogą wyznaczyć do pełnienia funkcji organu nadzoru rynku dowolny istniejący lub nowy organ,</w:t>
      </w:r>
      <w:r w:rsidR="008B35E8" w:rsidRPr="002866E5">
        <w:rPr>
          <w:noProof/>
        </w:rPr>
        <w:t xml:space="preserve"> w</w:t>
      </w:r>
      <w:r w:rsidR="008B35E8">
        <w:rPr>
          <w:noProof/>
        </w:rPr>
        <w:t> </w:t>
      </w:r>
      <w:r w:rsidR="008B35E8" w:rsidRPr="002866E5">
        <w:rPr>
          <w:noProof/>
        </w:rPr>
        <w:t>tym</w:t>
      </w:r>
      <w:r w:rsidR="005339DF" w:rsidRPr="002866E5">
        <w:rPr>
          <w:noProof/>
        </w:rPr>
        <w:t xml:space="preserve"> właściwe organy krajowe,</w:t>
      </w:r>
      <w:r w:rsidR="008B35E8" w:rsidRPr="002866E5">
        <w:rPr>
          <w:noProof/>
        </w:rPr>
        <w:t xml:space="preserve"> o</w:t>
      </w:r>
      <w:r w:rsidR="008B35E8">
        <w:rPr>
          <w:noProof/>
        </w:rPr>
        <w:t> </w:t>
      </w:r>
      <w:r w:rsidR="008B35E8" w:rsidRPr="002866E5">
        <w:rPr>
          <w:noProof/>
        </w:rPr>
        <w:t>któ</w:t>
      </w:r>
      <w:r w:rsidR="005339DF" w:rsidRPr="002866E5">
        <w:rPr>
          <w:noProof/>
        </w:rPr>
        <w:t>rych mowa</w:t>
      </w:r>
      <w:r w:rsidR="008B35E8" w:rsidRPr="002866E5">
        <w:rPr>
          <w:noProof/>
        </w:rPr>
        <w:t xml:space="preserve"> w</w:t>
      </w:r>
      <w:r w:rsidR="008B35E8">
        <w:rPr>
          <w:noProof/>
        </w:rPr>
        <w:t> </w:t>
      </w:r>
      <w:r w:rsidR="008B35E8" w:rsidRPr="002866E5">
        <w:rPr>
          <w:noProof/>
        </w:rPr>
        <w:t>art</w:t>
      </w:r>
      <w:r w:rsidR="005339DF" w:rsidRPr="002866E5">
        <w:rPr>
          <w:noProof/>
        </w:rPr>
        <w:t>. [art. X] dyrektywy [dyrektywy XXX/XXXX (NIS 2)], lub wyznaczone krajowe organy ds. certyfikacji cyberbezpieczeństwa,</w:t>
      </w:r>
      <w:r w:rsidR="008B35E8" w:rsidRPr="002866E5">
        <w:rPr>
          <w:noProof/>
        </w:rPr>
        <w:t xml:space="preserve"> o</w:t>
      </w:r>
      <w:r w:rsidR="008B35E8">
        <w:rPr>
          <w:noProof/>
        </w:rPr>
        <w:t> </w:t>
      </w:r>
      <w:r w:rsidR="008B35E8" w:rsidRPr="002866E5">
        <w:rPr>
          <w:noProof/>
        </w:rPr>
        <w:t>któ</w:t>
      </w:r>
      <w:r w:rsidR="005339DF" w:rsidRPr="002866E5">
        <w:rPr>
          <w:noProof/>
        </w:rPr>
        <w:t>rych mowa</w:t>
      </w:r>
      <w:r w:rsidR="008B35E8" w:rsidRPr="002866E5">
        <w:rPr>
          <w:noProof/>
        </w:rPr>
        <w:t xml:space="preserve"> w</w:t>
      </w:r>
      <w:r w:rsidR="008B35E8">
        <w:rPr>
          <w:noProof/>
        </w:rPr>
        <w:t> </w:t>
      </w:r>
      <w:r w:rsidR="008B35E8" w:rsidRPr="008B35E8">
        <w:rPr>
          <w:noProof/>
        </w:rPr>
        <w:t>art</w:t>
      </w:r>
      <w:r w:rsidR="005339DF" w:rsidRPr="008B35E8">
        <w:rPr>
          <w:noProof/>
        </w:rPr>
        <w:t>.</w:t>
      </w:r>
      <w:r w:rsidR="008B35E8" w:rsidRPr="008B35E8">
        <w:rPr>
          <w:noProof/>
        </w:rPr>
        <w:t> </w:t>
      </w:r>
      <w:r w:rsidR="005339DF" w:rsidRPr="008B35E8">
        <w:rPr>
          <w:noProof/>
        </w:rPr>
        <w:t>5</w:t>
      </w:r>
      <w:r w:rsidR="005339DF" w:rsidRPr="002866E5">
        <w:rPr>
          <w:noProof/>
        </w:rPr>
        <w:t>8 rozporządzenia (UE) 2019/881. Podmioty gospodarcze powinny</w:t>
      </w:r>
      <w:r w:rsidR="008B35E8" w:rsidRPr="002866E5">
        <w:rPr>
          <w:noProof/>
        </w:rPr>
        <w:t xml:space="preserve"> w</w:t>
      </w:r>
      <w:r w:rsidR="008B35E8">
        <w:rPr>
          <w:noProof/>
        </w:rPr>
        <w:t> </w:t>
      </w:r>
      <w:r w:rsidR="008B35E8" w:rsidRPr="002866E5">
        <w:rPr>
          <w:noProof/>
        </w:rPr>
        <w:t>peł</w:t>
      </w:r>
      <w:r w:rsidR="005339DF" w:rsidRPr="002866E5">
        <w:rPr>
          <w:noProof/>
        </w:rPr>
        <w:t>ni współpracować</w:t>
      </w:r>
      <w:r w:rsidR="008B35E8" w:rsidRPr="002866E5">
        <w:rPr>
          <w:noProof/>
        </w:rPr>
        <w:t xml:space="preserve"> z</w:t>
      </w:r>
      <w:r w:rsidR="008B35E8">
        <w:rPr>
          <w:noProof/>
        </w:rPr>
        <w:t> </w:t>
      </w:r>
      <w:r w:rsidR="008B35E8" w:rsidRPr="002866E5">
        <w:rPr>
          <w:noProof/>
        </w:rPr>
        <w:t>org</w:t>
      </w:r>
      <w:r w:rsidR="005339DF" w:rsidRPr="002866E5">
        <w:rPr>
          <w:noProof/>
        </w:rPr>
        <w:t>anami nadzoru rynku</w:t>
      </w:r>
      <w:r w:rsidR="008B35E8" w:rsidRPr="002866E5">
        <w:rPr>
          <w:noProof/>
        </w:rPr>
        <w:t xml:space="preserve"> i</w:t>
      </w:r>
      <w:r w:rsidR="008B35E8">
        <w:rPr>
          <w:noProof/>
        </w:rPr>
        <w:t> </w:t>
      </w:r>
      <w:r w:rsidR="008B35E8" w:rsidRPr="002866E5">
        <w:rPr>
          <w:noProof/>
        </w:rPr>
        <w:t>inn</w:t>
      </w:r>
      <w:r w:rsidR="005339DF" w:rsidRPr="002866E5">
        <w:rPr>
          <w:noProof/>
        </w:rPr>
        <w:t>ymi właściwymi organami. Każde państwo członkowskie powinno poinformować Komisję</w:t>
      </w:r>
      <w:r w:rsidR="008B35E8" w:rsidRPr="002866E5">
        <w:rPr>
          <w:noProof/>
        </w:rPr>
        <w:t xml:space="preserve"> i</w:t>
      </w:r>
      <w:r w:rsidR="008B35E8">
        <w:rPr>
          <w:noProof/>
        </w:rPr>
        <w:t> </w:t>
      </w:r>
      <w:r w:rsidR="008B35E8" w:rsidRPr="002866E5">
        <w:rPr>
          <w:noProof/>
        </w:rPr>
        <w:t>poz</w:t>
      </w:r>
      <w:r w:rsidR="005339DF" w:rsidRPr="002866E5">
        <w:rPr>
          <w:noProof/>
        </w:rPr>
        <w:t>ostałe państwa członkowskie</w:t>
      </w:r>
      <w:r w:rsidR="008B35E8" w:rsidRPr="002866E5">
        <w:rPr>
          <w:noProof/>
        </w:rPr>
        <w:t xml:space="preserve"> o</w:t>
      </w:r>
      <w:r w:rsidR="008B35E8">
        <w:rPr>
          <w:noProof/>
        </w:rPr>
        <w:t> </w:t>
      </w:r>
      <w:r w:rsidR="008B35E8" w:rsidRPr="002866E5">
        <w:rPr>
          <w:noProof/>
        </w:rPr>
        <w:t>swo</w:t>
      </w:r>
      <w:r w:rsidR="005339DF" w:rsidRPr="002866E5">
        <w:rPr>
          <w:noProof/>
        </w:rPr>
        <w:t>ich organach nadzoru rynku oraz obszarach kompetencji każdego</w:t>
      </w:r>
      <w:r w:rsidR="008B35E8" w:rsidRPr="002866E5">
        <w:rPr>
          <w:noProof/>
        </w:rPr>
        <w:t xml:space="preserve"> z</w:t>
      </w:r>
      <w:r w:rsidR="008B35E8">
        <w:rPr>
          <w:noProof/>
        </w:rPr>
        <w:t> </w:t>
      </w:r>
      <w:r w:rsidR="008B35E8" w:rsidRPr="002866E5">
        <w:rPr>
          <w:noProof/>
        </w:rPr>
        <w:t>tyc</w:t>
      </w:r>
      <w:r w:rsidR="005339DF" w:rsidRPr="002866E5">
        <w:rPr>
          <w:noProof/>
        </w:rPr>
        <w:t>h organów,</w:t>
      </w:r>
      <w:r w:rsidR="008B35E8" w:rsidRPr="002866E5">
        <w:rPr>
          <w:noProof/>
        </w:rPr>
        <w:t xml:space="preserve"> a</w:t>
      </w:r>
      <w:r w:rsidR="008B35E8">
        <w:rPr>
          <w:noProof/>
        </w:rPr>
        <w:t> </w:t>
      </w:r>
      <w:r w:rsidR="008B35E8" w:rsidRPr="002866E5">
        <w:rPr>
          <w:noProof/>
        </w:rPr>
        <w:t>tak</w:t>
      </w:r>
      <w:r w:rsidR="005339DF" w:rsidRPr="002866E5">
        <w:rPr>
          <w:noProof/>
        </w:rPr>
        <w:t>że zagwarantować zasoby</w:t>
      </w:r>
      <w:r w:rsidR="008B35E8" w:rsidRPr="002866E5">
        <w:rPr>
          <w:noProof/>
        </w:rPr>
        <w:t xml:space="preserve"> i</w:t>
      </w:r>
      <w:r w:rsidR="008B35E8">
        <w:rPr>
          <w:noProof/>
        </w:rPr>
        <w:t> </w:t>
      </w:r>
      <w:r w:rsidR="008B35E8" w:rsidRPr="002866E5">
        <w:rPr>
          <w:noProof/>
        </w:rPr>
        <w:t>umi</w:t>
      </w:r>
      <w:r w:rsidR="005339DF" w:rsidRPr="002866E5">
        <w:rPr>
          <w:noProof/>
        </w:rPr>
        <w:t>ejętności niezbędne do wykonywania zadań</w:t>
      </w:r>
      <w:r w:rsidR="008B35E8" w:rsidRPr="002866E5">
        <w:rPr>
          <w:noProof/>
        </w:rPr>
        <w:t xml:space="preserve"> z</w:t>
      </w:r>
      <w:r w:rsidR="008B35E8">
        <w:rPr>
          <w:noProof/>
        </w:rPr>
        <w:t> </w:t>
      </w:r>
      <w:r w:rsidR="008B35E8" w:rsidRPr="002866E5">
        <w:rPr>
          <w:noProof/>
        </w:rPr>
        <w:t>zak</w:t>
      </w:r>
      <w:r w:rsidR="005339DF" w:rsidRPr="002866E5">
        <w:rPr>
          <w:noProof/>
        </w:rPr>
        <w:t>resu nadzoru związanych</w:t>
      </w:r>
      <w:r w:rsidR="008B35E8" w:rsidRPr="002866E5">
        <w:rPr>
          <w:noProof/>
        </w:rPr>
        <w:t xml:space="preserve"> z</w:t>
      </w:r>
      <w:r w:rsidR="008B35E8">
        <w:rPr>
          <w:noProof/>
        </w:rPr>
        <w:t> </w:t>
      </w:r>
      <w:r w:rsidR="008B35E8" w:rsidRPr="002866E5">
        <w:rPr>
          <w:noProof/>
        </w:rPr>
        <w:t>nin</w:t>
      </w:r>
      <w:r w:rsidR="005339DF" w:rsidRPr="002866E5">
        <w:rPr>
          <w:noProof/>
        </w:rPr>
        <w:t>iejszym rozporządzeniem. Zgodnie</w:t>
      </w:r>
      <w:r w:rsidR="008B35E8" w:rsidRPr="002866E5">
        <w:rPr>
          <w:noProof/>
        </w:rPr>
        <w:t xml:space="preserve"> z</w:t>
      </w:r>
      <w:r w:rsidR="008B35E8">
        <w:rPr>
          <w:noProof/>
        </w:rPr>
        <w:t> </w:t>
      </w:r>
      <w:r w:rsidR="008B35E8" w:rsidRPr="008B35E8">
        <w:rPr>
          <w:noProof/>
        </w:rPr>
        <w:t>art</w:t>
      </w:r>
      <w:r w:rsidR="005339DF" w:rsidRPr="008B35E8">
        <w:rPr>
          <w:noProof/>
        </w:rPr>
        <w:t>.</w:t>
      </w:r>
      <w:r w:rsidR="008B35E8" w:rsidRPr="008B35E8">
        <w:rPr>
          <w:noProof/>
        </w:rPr>
        <w:t> </w:t>
      </w:r>
      <w:r w:rsidR="005339DF" w:rsidRPr="008B35E8">
        <w:rPr>
          <w:noProof/>
        </w:rPr>
        <w:t>1</w:t>
      </w:r>
      <w:r w:rsidR="005339DF" w:rsidRPr="002866E5">
        <w:rPr>
          <w:noProof/>
        </w:rPr>
        <w:t xml:space="preserve">0 </w:t>
      </w:r>
      <w:r w:rsidR="005339DF" w:rsidRPr="008B35E8">
        <w:rPr>
          <w:noProof/>
        </w:rPr>
        <w:t>ust.</w:t>
      </w:r>
      <w:r w:rsidR="008B35E8" w:rsidRPr="008B35E8">
        <w:rPr>
          <w:noProof/>
        </w:rPr>
        <w:t> </w:t>
      </w:r>
      <w:r w:rsidR="005339DF" w:rsidRPr="008B35E8">
        <w:rPr>
          <w:noProof/>
        </w:rPr>
        <w:t>2</w:t>
      </w:r>
      <w:r w:rsidR="008B35E8" w:rsidRPr="002866E5">
        <w:rPr>
          <w:noProof/>
        </w:rPr>
        <w:t xml:space="preserve"> i</w:t>
      </w:r>
      <w:r w:rsidR="008B35E8">
        <w:rPr>
          <w:noProof/>
        </w:rPr>
        <w:t> </w:t>
      </w:r>
      <w:r w:rsidR="008B35E8" w:rsidRPr="002866E5">
        <w:rPr>
          <w:noProof/>
        </w:rPr>
        <w:t>3</w:t>
      </w:r>
      <w:r w:rsidR="005339DF" w:rsidRPr="002866E5">
        <w:rPr>
          <w:noProof/>
        </w:rPr>
        <w:t xml:space="preserve"> rozporządzenia (UE) 2019/1020 każde państwo członkowskie powinno wyznaczyć jednolity urząd łącznikowy, który powinien być odpowiedzialny między innymi za reprezentowanie skoordynowanego stanowiska organów nadzoru rynku oraz wspomaganie współpracy między organami nadzoru rynku</w:t>
      </w:r>
      <w:r w:rsidR="008B35E8" w:rsidRPr="002866E5">
        <w:rPr>
          <w:noProof/>
        </w:rPr>
        <w:t xml:space="preserve"> w</w:t>
      </w:r>
      <w:r w:rsidR="008B35E8">
        <w:rPr>
          <w:noProof/>
        </w:rPr>
        <w:t> </w:t>
      </w:r>
      <w:r w:rsidR="008B35E8" w:rsidRPr="002866E5">
        <w:rPr>
          <w:noProof/>
        </w:rPr>
        <w:t>róż</w:t>
      </w:r>
      <w:r w:rsidR="005339DF" w:rsidRPr="002866E5">
        <w:rPr>
          <w:noProof/>
        </w:rPr>
        <w:t xml:space="preserve">nych państwach członkowskich. </w:t>
      </w:r>
    </w:p>
    <w:p w14:paraId="67ED8701" w14:textId="51838C9B" w:rsidR="008D2728" w:rsidRPr="002866E5" w:rsidRDefault="00B4087C" w:rsidP="00B4087C">
      <w:pPr>
        <w:pStyle w:val="ManualConsidrant"/>
        <w:rPr>
          <w:noProof/>
        </w:rPr>
      </w:pPr>
      <w:r w:rsidRPr="00B4087C">
        <w:t>(56)</w:t>
      </w:r>
      <w:r w:rsidRPr="00B4087C">
        <w:tab/>
      </w:r>
      <w:r w:rsidR="008D2728" w:rsidRPr="002866E5">
        <w:rPr>
          <w:noProof/>
        </w:rPr>
        <w:t xml:space="preserve">Na podstawie </w:t>
      </w:r>
      <w:r w:rsidR="008D2728" w:rsidRPr="008B35E8">
        <w:rPr>
          <w:noProof/>
        </w:rPr>
        <w:t>art.</w:t>
      </w:r>
      <w:r w:rsidR="008B35E8" w:rsidRPr="008B35E8">
        <w:rPr>
          <w:noProof/>
        </w:rPr>
        <w:t> </w:t>
      </w:r>
      <w:r w:rsidR="008D2728" w:rsidRPr="008B35E8">
        <w:rPr>
          <w:noProof/>
        </w:rPr>
        <w:t>3</w:t>
      </w:r>
      <w:r w:rsidR="008D2728" w:rsidRPr="002866E5">
        <w:rPr>
          <w:noProof/>
        </w:rPr>
        <w:t xml:space="preserve">0 </w:t>
      </w:r>
      <w:r w:rsidR="008D2728" w:rsidRPr="008B35E8">
        <w:rPr>
          <w:noProof/>
        </w:rPr>
        <w:t>ust.</w:t>
      </w:r>
      <w:r w:rsidR="008B35E8" w:rsidRPr="008B35E8">
        <w:rPr>
          <w:noProof/>
        </w:rPr>
        <w:t> </w:t>
      </w:r>
      <w:r w:rsidR="008D2728" w:rsidRPr="008B35E8">
        <w:rPr>
          <w:noProof/>
        </w:rPr>
        <w:t>2</w:t>
      </w:r>
      <w:r w:rsidR="008D2728" w:rsidRPr="002866E5">
        <w:rPr>
          <w:noProof/>
        </w:rPr>
        <w:t xml:space="preserve"> rozporządzenia (UE) 2019/1020 należy ustanowić specjalną grupę współpracy administracyjnej (grupę ADCO)</w:t>
      </w:r>
      <w:r w:rsidR="008B35E8" w:rsidRPr="002866E5">
        <w:rPr>
          <w:noProof/>
        </w:rPr>
        <w:t xml:space="preserve"> w</w:t>
      </w:r>
      <w:r w:rsidR="008B35E8">
        <w:rPr>
          <w:noProof/>
        </w:rPr>
        <w:t> </w:t>
      </w:r>
      <w:r w:rsidR="008B35E8" w:rsidRPr="002866E5">
        <w:rPr>
          <w:noProof/>
        </w:rPr>
        <w:t>cel</w:t>
      </w:r>
      <w:r w:rsidR="008D2728" w:rsidRPr="002866E5">
        <w:rPr>
          <w:noProof/>
        </w:rPr>
        <w:t>u jednolitego stosowania niniejszego rozporządzenia. Grupa ADCO powinna składać się</w:t>
      </w:r>
      <w:r w:rsidR="008B35E8" w:rsidRPr="002866E5">
        <w:rPr>
          <w:noProof/>
        </w:rPr>
        <w:t xml:space="preserve"> z</w:t>
      </w:r>
      <w:r w:rsidR="008B35E8">
        <w:rPr>
          <w:noProof/>
        </w:rPr>
        <w:t> </w:t>
      </w:r>
      <w:r w:rsidR="008B35E8" w:rsidRPr="002866E5">
        <w:rPr>
          <w:noProof/>
        </w:rPr>
        <w:t>prz</w:t>
      </w:r>
      <w:r w:rsidR="008D2728" w:rsidRPr="002866E5">
        <w:rPr>
          <w:noProof/>
        </w:rPr>
        <w:t>edstawicieli wyznaczonych krajowych organów nadzoru rynku oraz –</w:t>
      </w:r>
      <w:r w:rsidR="008B35E8" w:rsidRPr="002866E5">
        <w:rPr>
          <w:noProof/>
        </w:rPr>
        <w:t xml:space="preserve"> w</w:t>
      </w:r>
      <w:r w:rsidR="008B35E8">
        <w:rPr>
          <w:noProof/>
        </w:rPr>
        <w:t> </w:t>
      </w:r>
      <w:r w:rsidR="008B35E8" w:rsidRPr="002866E5">
        <w:rPr>
          <w:noProof/>
        </w:rPr>
        <w:t>raz</w:t>
      </w:r>
      <w:r w:rsidR="008D2728" w:rsidRPr="002866E5">
        <w:rPr>
          <w:noProof/>
        </w:rPr>
        <w:t>ie potrzeby –</w:t>
      </w:r>
      <w:r w:rsidR="008B35E8" w:rsidRPr="002866E5">
        <w:rPr>
          <w:noProof/>
        </w:rPr>
        <w:t xml:space="preserve"> z</w:t>
      </w:r>
      <w:r w:rsidR="008B35E8">
        <w:rPr>
          <w:noProof/>
        </w:rPr>
        <w:t> </w:t>
      </w:r>
      <w:r w:rsidR="008B35E8" w:rsidRPr="002866E5">
        <w:rPr>
          <w:noProof/>
        </w:rPr>
        <w:t>prz</w:t>
      </w:r>
      <w:r w:rsidR="008D2728" w:rsidRPr="002866E5">
        <w:rPr>
          <w:noProof/>
        </w:rPr>
        <w:t xml:space="preserve">edstawicieli jednolitych urzędów łącznikowych. Komisja powinna </w:t>
      </w:r>
      <w:r w:rsidR="008D2728" w:rsidRPr="002866E5">
        <w:rPr>
          <w:noProof/>
        </w:rPr>
        <w:lastRenderedPageBreak/>
        <w:t>wspierać współpracę między organami nadzoru rynku</w:t>
      </w:r>
      <w:r w:rsidR="008B35E8" w:rsidRPr="002866E5">
        <w:rPr>
          <w:noProof/>
        </w:rPr>
        <w:t xml:space="preserve"> i</w:t>
      </w:r>
      <w:r w:rsidR="008B35E8">
        <w:rPr>
          <w:noProof/>
        </w:rPr>
        <w:t> </w:t>
      </w:r>
      <w:r w:rsidR="008B35E8" w:rsidRPr="002866E5">
        <w:rPr>
          <w:noProof/>
        </w:rPr>
        <w:t>zac</w:t>
      </w:r>
      <w:r w:rsidR="008D2728" w:rsidRPr="002866E5">
        <w:rPr>
          <w:noProof/>
        </w:rPr>
        <w:t xml:space="preserve">hęcać do takiej współpracy za pośrednictwem Unijnej Sieci ds. Zgodności Produktów ustanowionej na mocy </w:t>
      </w:r>
      <w:r w:rsidR="008D2728" w:rsidRPr="008B35E8">
        <w:rPr>
          <w:noProof/>
        </w:rPr>
        <w:t>art.</w:t>
      </w:r>
      <w:r w:rsidR="008B35E8" w:rsidRPr="008B35E8">
        <w:rPr>
          <w:noProof/>
        </w:rPr>
        <w:t> </w:t>
      </w:r>
      <w:r w:rsidR="008D2728" w:rsidRPr="008B35E8">
        <w:rPr>
          <w:noProof/>
        </w:rPr>
        <w:t>2</w:t>
      </w:r>
      <w:r w:rsidR="008D2728" w:rsidRPr="002866E5">
        <w:rPr>
          <w:noProof/>
        </w:rPr>
        <w:t>9 rozporządzenia (UE) 2019/1020</w:t>
      </w:r>
      <w:r w:rsidR="008B35E8" w:rsidRPr="002866E5">
        <w:rPr>
          <w:noProof/>
        </w:rPr>
        <w:t xml:space="preserve"> i</w:t>
      </w:r>
      <w:r w:rsidR="008B35E8">
        <w:rPr>
          <w:noProof/>
        </w:rPr>
        <w:t> </w:t>
      </w:r>
      <w:r w:rsidR="008B35E8" w:rsidRPr="002866E5">
        <w:rPr>
          <w:noProof/>
        </w:rPr>
        <w:t>skł</w:t>
      </w:r>
      <w:r w:rsidR="008D2728" w:rsidRPr="002866E5">
        <w:rPr>
          <w:noProof/>
        </w:rPr>
        <w:t>adającej się</w:t>
      </w:r>
      <w:r w:rsidR="008B35E8" w:rsidRPr="002866E5">
        <w:rPr>
          <w:noProof/>
        </w:rPr>
        <w:t xml:space="preserve"> z</w:t>
      </w:r>
      <w:r w:rsidR="008B35E8">
        <w:rPr>
          <w:noProof/>
        </w:rPr>
        <w:t> </w:t>
      </w:r>
      <w:r w:rsidR="008B35E8" w:rsidRPr="002866E5">
        <w:rPr>
          <w:noProof/>
        </w:rPr>
        <w:t>prz</w:t>
      </w:r>
      <w:r w:rsidR="008D2728" w:rsidRPr="002866E5">
        <w:rPr>
          <w:noProof/>
        </w:rPr>
        <w:t>edstawicieli każdego państwa członkowskiego,</w:t>
      </w:r>
      <w:r w:rsidR="008B35E8" w:rsidRPr="002866E5">
        <w:rPr>
          <w:noProof/>
        </w:rPr>
        <w:t xml:space="preserve"> w</w:t>
      </w:r>
      <w:r w:rsidR="008B35E8">
        <w:rPr>
          <w:noProof/>
        </w:rPr>
        <w:t> </w:t>
      </w:r>
      <w:r w:rsidR="008B35E8" w:rsidRPr="002866E5">
        <w:rPr>
          <w:noProof/>
        </w:rPr>
        <w:t>tym</w:t>
      </w:r>
      <w:r w:rsidR="008D2728" w:rsidRPr="002866E5">
        <w:rPr>
          <w:noProof/>
        </w:rPr>
        <w:t xml:space="preserve"> przedstawiciela każdego</w:t>
      </w:r>
      <w:r w:rsidR="008B35E8" w:rsidRPr="002866E5">
        <w:rPr>
          <w:noProof/>
        </w:rPr>
        <w:t xml:space="preserve"> z</w:t>
      </w:r>
      <w:r w:rsidR="008B35E8">
        <w:rPr>
          <w:noProof/>
        </w:rPr>
        <w:t> </w:t>
      </w:r>
      <w:r w:rsidR="008B35E8" w:rsidRPr="002866E5">
        <w:rPr>
          <w:noProof/>
        </w:rPr>
        <w:t>jed</w:t>
      </w:r>
      <w:r w:rsidR="008D2728" w:rsidRPr="002866E5">
        <w:rPr>
          <w:noProof/>
        </w:rPr>
        <w:t>nolitych urzędów łącznikowych,</w:t>
      </w:r>
      <w:r w:rsidR="008B35E8" w:rsidRPr="002866E5">
        <w:rPr>
          <w:noProof/>
        </w:rPr>
        <w:t xml:space="preserve"> o</w:t>
      </w:r>
      <w:r w:rsidR="008B35E8">
        <w:rPr>
          <w:noProof/>
        </w:rPr>
        <w:t> </w:t>
      </w:r>
      <w:r w:rsidR="008B35E8" w:rsidRPr="002866E5">
        <w:rPr>
          <w:noProof/>
        </w:rPr>
        <w:t>któ</w:t>
      </w:r>
      <w:r w:rsidR="008D2728" w:rsidRPr="002866E5">
        <w:rPr>
          <w:noProof/>
        </w:rPr>
        <w:t>rych mowa</w:t>
      </w:r>
      <w:r w:rsidR="008B35E8" w:rsidRPr="002866E5">
        <w:rPr>
          <w:noProof/>
        </w:rPr>
        <w:t xml:space="preserve"> w</w:t>
      </w:r>
      <w:r w:rsidR="008B35E8">
        <w:rPr>
          <w:noProof/>
        </w:rPr>
        <w:t> </w:t>
      </w:r>
      <w:r w:rsidR="008B35E8" w:rsidRPr="008B35E8">
        <w:rPr>
          <w:noProof/>
        </w:rPr>
        <w:t>art</w:t>
      </w:r>
      <w:r w:rsidR="008D2728" w:rsidRPr="008B35E8">
        <w:rPr>
          <w:noProof/>
        </w:rPr>
        <w:t>.</w:t>
      </w:r>
      <w:r w:rsidR="008B35E8" w:rsidRPr="008B35E8">
        <w:rPr>
          <w:noProof/>
        </w:rPr>
        <w:t> </w:t>
      </w:r>
      <w:r w:rsidR="008D2728" w:rsidRPr="008B35E8">
        <w:rPr>
          <w:noProof/>
        </w:rPr>
        <w:t>1</w:t>
      </w:r>
      <w:r w:rsidR="008D2728" w:rsidRPr="002866E5">
        <w:rPr>
          <w:noProof/>
        </w:rPr>
        <w:t>0 rozporządzenia (UE) 2019/1020, oraz – fakultatywnie – eksperta krajowego, przewodniczących grup ADCO oraz przedstawicieli Komisji. Komisja powinna uczestniczyć</w:t>
      </w:r>
      <w:r w:rsidR="008B35E8" w:rsidRPr="002866E5">
        <w:rPr>
          <w:noProof/>
        </w:rPr>
        <w:t xml:space="preserve"> w</w:t>
      </w:r>
      <w:r w:rsidR="008B35E8">
        <w:rPr>
          <w:noProof/>
        </w:rPr>
        <w:t> </w:t>
      </w:r>
      <w:r w:rsidR="008B35E8" w:rsidRPr="002866E5">
        <w:rPr>
          <w:noProof/>
        </w:rPr>
        <w:t>pos</w:t>
      </w:r>
      <w:r w:rsidR="008D2728" w:rsidRPr="002866E5">
        <w:rPr>
          <w:noProof/>
        </w:rPr>
        <w:t>iedzeniach Sieci, jej podgrup</w:t>
      </w:r>
      <w:r w:rsidR="008B35E8" w:rsidRPr="002866E5">
        <w:rPr>
          <w:noProof/>
        </w:rPr>
        <w:t xml:space="preserve"> i</w:t>
      </w:r>
      <w:r w:rsidR="008B35E8">
        <w:rPr>
          <w:noProof/>
        </w:rPr>
        <w:t> </w:t>
      </w:r>
      <w:r w:rsidR="008B35E8" w:rsidRPr="002866E5">
        <w:rPr>
          <w:noProof/>
        </w:rPr>
        <w:t>odp</w:t>
      </w:r>
      <w:r w:rsidR="008D2728" w:rsidRPr="002866E5">
        <w:rPr>
          <w:noProof/>
        </w:rPr>
        <w:t>owiedniej grupy ADCO. Powinna także wspierać tę grupę ADCO za pośrednictwem sekretariatu wykonawczego zapewniającego wsparcie techniczne</w:t>
      </w:r>
      <w:r w:rsidR="008B35E8" w:rsidRPr="002866E5">
        <w:rPr>
          <w:noProof/>
        </w:rPr>
        <w:t xml:space="preserve"> i</w:t>
      </w:r>
      <w:r w:rsidR="008B35E8">
        <w:rPr>
          <w:noProof/>
        </w:rPr>
        <w:t> </w:t>
      </w:r>
      <w:r w:rsidR="008B35E8" w:rsidRPr="002866E5">
        <w:rPr>
          <w:noProof/>
        </w:rPr>
        <w:t>log</w:t>
      </w:r>
      <w:r w:rsidR="008D2728" w:rsidRPr="002866E5">
        <w:rPr>
          <w:noProof/>
        </w:rPr>
        <w:t>istyczne.</w:t>
      </w:r>
    </w:p>
    <w:p w14:paraId="67ED8702" w14:textId="5E4D2B50" w:rsidR="009A4D42" w:rsidRPr="002866E5" w:rsidRDefault="00B4087C" w:rsidP="00B4087C">
      <w:pPr>
        <w:pStyle w:val="ManualConsidrant"/>
        <w:rPr>
          <w:noProof/>
        </w:rPr>
      </w:pPr>
      <w:r w:rsidRPr="00B4087C">
        <w:t>(57)</w:t>
      </w:r>
      <w:r w:rsidRPr="00B4087C">
        <w:tab/>
      </w:r>
      <w:r w:rsidR="00BB6BC5" w:rsidRPr="002866E5">
        <w:rPr>
          <w:noProof/>
        </w:rPr>
        <w:t>W celu zapewnienia terminowych, proporcjonalnych</w:t>
      </w:r>
      <w:r w:rsidR="008B35E8" w:rsidRPr="002866E5">
        <w:rPr>
          <w:noProof/>
        </w:rPr>
        <w:t xml:space="preserve"> i</w:t>
      </w:r>
      <w:r w:rsidR="008B35E8">
        <w:rPr>
          <w:noProof/>
        </w:rPr>
        <w:t> </w:t>
      </w:r>
      <w:r w:rsidR="008B35E8" w:rsidRPr="002866E5">
        <w:rPr>
          <w:noProof/>
        </w:rPr>
        <w:t>sku</w:t>
      </w:r>
      <w:r w:rsidR="00BB6BC5" w:rsidRPr="002866E5">
        <w:rPr>
          <w:noProof/>
        </w:rPr>
        <w:t>tecznych środków dotyczących produktów</w:t>
      </w:r>
      <w:r w:rsidR="008B35E8" w:rsidRPr="002866E5">
        <w:rPr>
          <w:noProof/>
        </w:rPr>
        <w:t xml:space="preserve"> z</w:t>
      </w:r>
      <w:r w:rsidR="008B35E8">
        <w:rPr>
          <w:noProof/>
        </w:rPr>
        <w:t> </w:t>
      </w:r>
      <w:r w:rsidR="008B35E8" w:rsidRPr="002866E5">
        <w:rPr>
          <w:noProof/>
        </w:rPr>
        <w:t>ele</w:t>
      </w:r>
      <w:r w:rsidR="00BB6BC5" w:rsidRPr="002866E5">
        <w:rPr>
          <w:noProof/>
        </w:rPr>
        <w:t>mentami cyfrowymi stwarzającymi istotne ryzyko</w:t>
      </w:r>
      <w:r w:rsidR="008B35E8" w:rsidRPr="002866E5">
        <w:rPr>
          <w:noProof/>
        </w:rPr>
        <w:t xml:space="preserve"> w</w:t>
      </w:r>
      <w:r w:rsidR="008B35E8">
        <w:rPr>
          <w:noProof/>
        </w:rPr>
        <w:t> </w:t>
      </w:r>
      <w:r w:rsidR="008B35E8" w:rsidRPr="002866E5">
        <w:rPr>
          <w:noProof/>
        </w:rPr>
        <w:t>cyb</w:t>
      </w:r>
      <w:r w:rsidR="00BB6BC5" w:rsidRPr="002866E5">
        <w:rPr>
          <w:noProof/>
        </w:rPr>
        <w:t>erprzestrzeni należy przewidzieć unijną procedurę ochronną,</w:t>
      </w:r>
      <w:r w:rsidR="008B35E8" w:rsidRPr="002866E5">
        <w:rPr>
          <w:noProof/>
        </w:rPr>
        <w:t xml:space="preserve"> w</w:t>
      </w:r>
      <w:r w:rsidR="008B35E8">
        <w:rPr>
          <w:noProof/>
        </w:rPr>
        <w:t> </w:t>
      </w:r>
      <w:r w:rsidR="008B35E8" w:rsidRPr="002866E5">
        <w:rPr>
          <w:noProof/>
        </w:rPr>
        <w:t>ram</w:t>
      </w:r>
      <w:r w:rsidR="00BB6BC5" w:rsidRPr="002866E5">
        <w:rPr>
          <w:noProof/>
        </w:rPr>
        <w:t>ach której zainteresowane strony będą informowane</w:t>
      </w:r>
      <w:r w:rsidR="008B35E8" w:rsidRPr="002866E5">
        <w:rPr>
          <w:noProof/>
        </w:rPr>
        <w:t xml:space="preserve"> o</w:t>
      </w:r>
      <w:r w:rsidR="008B35E8">
        <w:rPr>
          <w:noProof/>
        </w:rPr>
        <w:t> </w:t>
      </w:r>
      <w:r w:rsidR="008B35E8" w:rsidRPr="002866E5">
        <w:rPr>
          <w:noProof/>
        </w:rPr>
        <w:t>pla</w:t>
      </w:r>
      <w:r w:rsidR="00BB6BC5" w:rsidRPr="002866E5">
        <w:rPr>
          <w:noProof/>
        </w:rPr>
        <w:t>nowanych środkach dotyczących takich produktów. Powinna ona również umożliwiać organom nadzoru rynku podejmowanie</w:t>
      </w:r>
      <w:r w:rsidR="008B35E8" w:rsidRPr="002866E5">
        <w:rPr>
          <w:noProof/>
        </w:rPr>
        <w:t xml:space="preserve"> w</w:t>
      </w:r>
      <w:r w:rsidR="008B35E8">
        <w:rPr>
          <w:noProof/>
        </w:rPr>
        <w:t> </w:t>
      </w:r>
      <w:r w:rsidR="008B35E8" w:rsidRPr="002866E5">
        <w:rPr>
          <w:noProof/>
        </w:rPr>
        <w:t>raz</w:t>
      </w:r>
      <w:r w:rsidR="00BB6BC5" w:rsidRPr="002866E5">
        <w:rPr>
          <w:noProof/>
        </w:rPr>
        <w:t>ie potrzeby – we współpracy</w:t>
      </w:r>
      <w:r w:rsidR="008B35E8" w:rsidRPr="002866E5">
        <w:rPr>
          <w:noProof/>
        </w:rPr>
        <w:t xml:space="preserve"> z</w:t>
      </w:r>
      <w:r w:rsidR="008B35E8">
        <w:rPr>
          <w:noProof/>
        </w:rPr>
        <w:t> </w:t>
      </w:r>
      <w:r w:rsidR="008B35E8" w:rsidRPr="002866E5">
        <w:rPr>
          <w:noProof/>
        </w:rPr>
        <w:t>zai</w:t>
      </w:r>
      <w:r w:rsidR="00BB6BC5" w:rsidRPr="002866E5">
        <w:rPr>
          <w:noProof/>
        </w:rPr>
        <w:t>nteresowanymi podmiotami gospodarczymi – działań na wcześniejszym etapie</w:t>
      </w:r>
      <w:r w:rsidR="008B35E8" w:rsidRPr="002866E5">
        <w:rPr>
          <w:noProof/>
        </w:rPr>
        <w:t>. W</w:t>
      </w:r>
      <w:r w:rsidR="008B35E8">
        <w:rPr>
          <w:noProof/>
        </w:rPr>
        <w:t> </w:t>
      </w:r>
      <w:r w:rsidR="008B35E8" w:rsidRPr="002866E5">
        <w:rPr>
          <w:noProof/>
        </w:rPr>
        <w:t>prz</w:t>
      </w:r>
      <w:r w:rsidR="00BB6BC5" w:rsidRPr="002866E5">
        <w:rPr>
          <w:noProof/>
        </w:rPr>
        <w:t>ypadku gdy państwa członkowskie</w:t>
      </w:r>
      <w:r w:rsidR="008B35E8" w:rsidRPr="002866E5">
        <w:rPr>
          <w:noProof/>
        </w:rPr>
        <w:t xml:space="preserve"> i</w:t>
      </w:r>
      <w:r w:rsidR="008B35E8">
        <w:rPr>
          <w:noProof/>
        </w:rPr>
        <w:t> </w:t>
      </w:r>
      <w:r w:rsidR="008B35E8" w:rsidRPr="002866E5">
        <w:rPr>
          <w:noProof/>
        </w:rPr>
        <w:t>Kom</w:t>
      </w:r>
      <w:r w:rsidR="00BB6BC5" w:rsidRPr="002866E5">
        <w:rPr>
          <w:noProof/>
        </w:rPr>
        <w:t>isja osiągną porozumienie co do zasadności środka przyjętego przez państwo członkowskie, nie należy wymagać dalszego zaangażowania Komisji,</w:t>
      </w:r>
      <w:r w:rsidR="008B35E8" w:rsidRPr="002866E5">
        <w:rPr>
          <w:noProof/>
        </w:rPr>
        <w:t xml:space="preserve"> z</w:t>
      </w:r>
      <w:r w:rsidR="008B35E8">
        <w:rPr>
          <w:noProof/>
        </w:rPr>
        <w:t> </w:t>
      </w:r>
      <w:r w:rsidR="008B35E8" w:rsidRPr="002866E5">
        <w:rPr>
          <w:noProof/>
        </w:rPr>
        <w:t>wyj</w:t>
      </w:r>
      <w:r w:rsidR="00BB6BC5" w:rsidRPr="002866E5">
        <w:rPr>
          <w:noProof/>
        </w:rPr>
        <w:t>ątkiem przypadków,</w:t>
      </w:r>
      <w:r w:rsidR="008B35E8" w:rsidRPr="002866E5">
        <w:rPr>
          <w:noProof/>
        </w:rPr>
        <w:t xml:space="preserve"> w</w:t>
      </w:r>
      <w:r w:rsidR="008B35E8">
        <w:rPr>
          <w:noProof/>
        </w:rPr>
        <w:t> </w:t>
      </w:r>
      <w:r w:rsidR="008B35E8" w:rsidRPr="002866E5">
        <w:rPr>
          <w:noProof/>
        </w:rPr>
        <w:t>któ</w:t>
      </w:r>
      <w:r w:rsidR="00BB6BC5" w:rsidRPr="002866E5">
        <w:rPr>
          <w:noProof/>
        </w:rPr>
        <w:t>rych niezgodność można przypisać brakom</w:t>
      </w:r>
      <w:r w:rsidR="008B35E8" w:rsidRPr="002866E5">
        <w:rPr>
          <w:noProof/>
        </w:rPr>
        <w:t xml:space="preserve"> w</w:t>
      </w:r>
      <w:r w:rsidR="008B35E8">
        <w:rPr>
          <w:noProof/>
        </w:rPr>
        <w:t> </w:t>
      </w:r>
      <w:r w:rsidR="008B35E8" w:rsidRPr="002866E5">
        <w:rPr>
          <w:noProof/>
        </w:rPr>
        <w:t>nor</w:t>
      </w:r>
      <w:r w:rsidR="00BB6BC5" w:rsidRPr="002866E5">
        <w:rPr>
          <w:noProof/>
        </w:rPr>
        <w:t xml:space="preserve">mie zharmonizowanej. </w:t>
      </w:r>
    </w:p>
    <w:p w14:paraId="67ED8703" w14:textId="50BC2E68" w:rsidR="00DB7D81" w:rsidRPr="002866E5" w:rsidRDefault="00B4087C" w:rsidP="00B4087C">
      <w:pPr>
        <w:pStyle w:val="ManualConsidrant"/>
        <w:rPr>
          <w:noProof/>
        </w:rPr>
      </w:pPr>
      <w:r w:rsidRPr="00B4087C">
        <w:t>(58)</w:t>
      </w:r>
      <w:r w:rsidRPr="00B4087C">
        <w:tab/>
      </w:r>
      <w:r w:rsidR="00DF1BB7" w:rsidRPr="002866E5">
        <w:rPr>
          <w:noProof/>
        </w:rPr>
        <w:t>W określonych przypadkach produkt</w:t>
      </w:r>
      <w:r w:rsidR="008B35E8" w:rsidRPr="002866E5">
        <w:rPr>
          <w:noProof/>
        </w:rPr>
        <w:t xml:space="preserve"> z</w:t>
      </w:r>
      <w:r w:rsidR="008B35E8">
        <w:rPr>
          <w:noProof/>
        </w:rPr>
        <w:t> </w:t>
      </w:r>
      <w:r w:rsidR="008B35E8" w:rsidRPr="002866E5">
        <w:rPr>
          <w:noProof/>
        </w:rPr>
        <w:t>ele</w:t>
      </w:r>
      <w:r w:rsidR="00DF1BB7" w:rsidRPr="002866E5">
        <w:rPr>
          <w:noProof/>
        </w:rPr>
        <w:t>mentami cyfrowymi, który jest zgodny</w:t>
      </w:r>
      <w:r w:rsidR="008B35E8" w:rsidRPr="002866E5">
        <w:rPr>
          <w:noProof/>
        </w:rPr>
        <w:t xml:space="preserve"> z</w:t>
      </w:r>
      <w:r w:rsidR="008B35E8">
        <w:rPr>
          <w:noProof/>
        </w:rPr>
        <w:t> </w:t>
      </w:r>
      <w:r w:rsidR="008B35E8" w:rsidRPr="002866E5">
        <w:rPr>
          <w:noProof/>
        </w:rPr>
        <w:t>nin</w:t>
      </w:r>
      <w:r w:rsidR="00DF1BB7" w:rsidRPr="002866E5">
        <w:rPr>
          <w:noProof/>
        </w:rPr>
        <w:t>iejszym rozporządzeniem, może jednak stwarzać istotne ryzyko</w:t>
      </w:r>
      <w:r w:rsidR="008B35E8" w:rsidRPr="002866E5">
        <w:rPr>
          <w:noProof/>
        </w:rPr>
        <w:t xml:space="preserve"> w</w:t>
      </w:r>
      <w:r w:rsidR="008B35E8">
        <w:rPr>
          <w:noProof/>
        </w:rPr>
        <w:t> </w:t>
      </w:r>
      <w:r w:rsidR="008B35E8" w:rsidRPr="002866E5">
        <w:rPr>
          <w:noProof/>
        </w:rPr>
        <w:t>cyb</w:t>
      </w:r>
      <w:r w:rsidR="00DF1BB7" w:rsidRPr="002866E5">
        <w:rPr>
          <w:noProof/>
        </w:rPr>
        <w:t>erprzestrzeni lub stwarzać ryzyko dla zdrowia lub bezpieczeństwa osób, dla wypełnienia obowiązków wynikających</w:t>
      </w:r>
      <w:r w:rsidR="008B35E8" w:rsidRPr="002866E5">
        <w:rPr>
          <w:noProof/>
        </w:rPr>
        <w:t xml:space="preserve"> z</w:t>
      </w:r>
      <w:r w:rsidR="008B35E8">
        <w:rPr>
          <w:noProof/>
        </w:rPr>
        <w:t> </w:t>
      </w:r>
      <w:r w:rsidR="008B35E8" w:rsidRPr="002866E5">
        <w:rPr>
          <w:noProof/>
        </w:rPr>
        <w:t>pra</w:t>
      </w:r>
      <w:r w:rsidR="00DF1BB7" w:rsidRPr="002866E5">
        <w:rPr>
          <w:noProof/>
        </w:rPr>
        <w:t>wa Unii lub prawa krajowego mających na celu ochronę praw podstawowych, dostępności, autentyczności, integralności lub poufności usług oferowanych przy użyciu elektronicznego systemu informacyjnego przez podmioty niezbędne takie jak podmioty,</w:t>
      </w:r>
      <w:r w:rsidR="008B35E8" w:rsidRPr="002866E5">
        <w:rPr>
          <w:noProof/>
        </w:rPr>
        <w:t xml:space="preserve"> o</w:t>
      </w:r>
      <w:r w:rsidR="008B35E8">
        <w:rPr>
          <w:noProof/>
        </w:rPr>
        <w:t> </w:t>
      </w:r>
      <w:r w:rsidR="008B35E8" w:rsidRPr="002866E5">
        <w:rPr>
          <w:noProof/>
        </w:rPr>
        <w:t>któ</w:t>
      </w:r>
      <w:r w:rsidR="00DF1BB7" w:rsidRPr="002866E5">
        <w:rPr>
          <w:noProof/>
        </w:rPr>
        <w:t>rych mowa w [załączniku I do dyrektywy XXX/XXXX (NIS 2)], lub dla innych aspektów ochrony interesu publicznego</w:t>
      </w:r>
      <w:r w:rsidR="008B35E8" w:rsidRPr="002866E5">
        <w:rPr>
          <w:noProof/>
        </w:rPr>
        <w:t>. Z</w:t>
      </w:r>
      <w:r w:rsidR="008B35E8">
        <w:rPr>
          <w:noProof/>
        </w:rPr>
        <w:t> </w:t>
      </w:r>
      <w:r w:rsidR="008B35E8" w:rsidRPr="002866E5">
        <w:rPr>
          <w:noProof/>
        </w:rPr>
        <w:t>teg</w:t>
      </w:r>
      <w:r w:rsidR="00DF1BB7" w:rsidRPr="002866E5">
        <w:rPr>
          <w:noProof/>
        </w:rPr>
        <w:t>o względu niezbędne jest ustanowienie zasad gwarantujących zmniejszenie tego rodzaju ryzyka</w:t>
      </w:r>
      <w:r w:rsidR="008B35E8" w:rsidRPr="002866E5">
        <w:rPr>
          <w:noProof/>
        </w:rPr>
        <w:t>. W</w:t>
      </w:r>
      <w:r w:rsidR="008B35E8">
        <w:rPr>
          <w:noProof/>
        </w:rPr>
        <w:t> </w:t>
      </w:r>
      <w:r w:rsidR="008B35E8" w:rsidRPr="002866E5">
        <w:rPr>
          <w:noProof/>
        </w:rPr>
        <w:t>zwi</w:t>
      </w:r>
      <w:r w:rsidR="00DF1BB7" w:rsidRPr="002866E5">
        <w:rPr>
          <w:noProof/>
        </w:rPr>
        <w:t>ązku</w:t>
      </w:r>
      <w:r w:rsidR="008B35E8" w:rsidRPr="002866E5">
        <w:rPr>
          <w:noProof/>
        </w:rPr>
        <w:t xml:space="preserve"> z</w:t>
      </w:r>
      <w:r w:rsidR="008B35E8">
        <w:rPr>
          <w:noProof/>
        </w:rPr>
        <w:t> </w:t>
      </w:r>
      <w:r w:rsidR="008B35E8" w:rsidRPr="002866E5">
        <w:rPr>
          <w:noProof/>
        </w:rPr>
        <w:t>tym</w:t>
      </w:r>
      <w:r w:rsidR="00DF1BB7" w:rsidRPr="002866E5">
        <w:rPr>
          <w:noProof/>
        </w:rPr>
        <w:t xml:space="preserve"> organy nadzoru rynku powinny wprowadzić środki</w:t>
      </w:r>
      <w:r w:rsidR="008B35E8" w:rsidRPr="002866E5">
        <w:rPr>
          <w:noProof/>
        </w:rPr>
        <w:t xml:space="preserve"> w</w:t>
      </w:r>
      <w:r w:rsidR="008B35E8">
        <w:rPr>
          <w:noProof/>
        </w:rPr>
        <w:t> </w:t>
      </w:r>
      <w:r w:rsidR="008B35E8" w:rsidRPr="002866E5">
        <w:rPr>
          <w:noProof/>
        </w:rPr>
        <w:t>cel</w:t>
      </w:r>
      <w:r w:rsidR="00DF1BB7" w:rsidRPr="002866E5">
        <w:rPr>
          <w:noProof/>
        </w:rPr>
        <w:t>u nałożenia na podmioty gospodarcze obowiązku zapewnienia, aby produkt przestał stwarzać dane ryzyko, odzyskania produktu lub wycofania go,</w:t>
      </w:r>
      <w:r w:rsidR="008B35E8" w:rsidRPr="002866E5">
        <w:rPr>
          <w:noProof/>
        </w:rPr>
        <w:t xml:space="preserve"> w</w:t>
      </w:r>
      <w:r w:rsidR="008B35E8">
        <w:rPr>
          <w:noProof/>
        </w:rPr>
        <w:t> </w:t>
      </w:r>
      <w:r w:rsidR="008B35E8" w:rsidRPr="002866E5">
        <w:rPr>
          <w:noProof/>
        </w:rPr>
        <w:t>zal</w:t>
      </w:r>
      <w:r w:rsidR="00DF1BB7" w:rsidRPr="002866E5">
        <w:rPr>
          <w:noProof/>
        </w:rPr>
        <w:t>eżności od ryzyka. Gdy tylko organ nadzoru rynku ograniczy swobodny przepływ lub zakaże swobodnego przepływu produktu, państwo członkowskie powinno bezzwłocznie powiadomić Komisję</w:t>
      </w:r>
      <w:r w:rsidR="008B35E8" w:rsidRPr="002866E5">
        <w:rPr>
          <w:noProof/>
        </w:rPr>
        <w:t xml:space="preserve"> i</w:t>
      </w:r>
      <w:r w:rsidR="008B35E8">
        <w:rPr>
          <w:noProof/>
        </w:rPr>
        <w:t> </w:t>
      </w:r>
      <w:r w:rsidR="008B35E8" w:rsidRPr="002866E5">
        <w:rPr>
          <w:noProof/>
        </w:rPr>
        <w:t>poz</w:t>
      </w:r>
      <w:r w:rsidR="00DF1BB7" w:rsidRPr="002866E5">
        <w:rPr>
          <w:noProof/>
        </w:rPr>
        <w:t>ostałe państwa członkowskie</w:t>
      </w:r>
      <w:r w:rsidR="008B35E8" w:rsidRPr="002866E5">
        <w:rPr>
          <w:noProof/>
        </w:rPr>
        <w:t xml:space="preserve"> o</w:t>
      </w:r>
      <w:r w:rsidR="008B35E8">
        <w:rPr>
          <w:noProof/>
        </w:rPr>
        <w:t> </w:t>
      </w:r>
      <w:r w:rsidR="008B35E8" w:rsidRPr="002866E5">
        <w:rPr>
          <w:noProof/>
        </w:rPr>
        <w:t>śro</w:t>
      </w:r>
      <w:r w:rsidR="00DF1BB7" w:rsidRPr="002866E5">
        <w:rPr>
          <w:noProof/>
        </w:rPr>
        <w:t>dkach tymczasowych, podając powody oraz uzasadnienie tej decyzji</w:t>
      </w:r>
      <w:r w:rsidR="008B35E8" w:rsidRPr="002866E5">
        <w:rPr>
          <w:noProof/>
        </w:rPr>
        <w:t>. W</w:t>
      </w:r>
      <w:r w:rsidR="008B35E8">
        <w:rPr>
          <w:noProof/>
        </w:rPr>
        <w:t> </w:t>
      </w:r>
      <w:r w:rsidR="008B35E8" w:rsidRPr="002866E5">
        <w:rPr>
          <w:noProof/>
        </w:rPr>
        <w:t>prz</w:t>
      </w:r>
      <w:r w:rsidR="00DF1BB7" w:rsidRPr="002866E5">
        <w:rPr>
          <w:noProof/>
        </w:rPr>
        <w:t>ypadku gdy organ nadzoru rynku wprowadza takie środki</w:t>
      </w:r>
      <w:r w:rsidR="008B35E8" w:rsidRPr="002866E5">
        <w:rPr>
          <w:noProof/>
        </w:rPr>
        <w:t xml:space="preserve"> w</w:t>
      </w:r>
      <w:r w:rsidR="008B35E8">
        <w:rPr>
          <w:noProof/>
        </w:rPr>
        <w:t> </w:t>
      </w:r>
      <w:r w:rsidR="008B35E8" w:rsidRPr="002866E5">
        <w:rPr>
          <w:noProof/>
        </w:rPr>
        <w:t>odn</w:t>
      </w:r>
      <w:r w:rsidR="00DF1BB7" w:rsidRPr="002866E5">
        <w:rPr>
          <w:noProof/>
        </w:rPr>
        <w:t>iesieniu do produktów stwarzających ryzyko, Komisja powinna niezwłocznie rozpocząć konsultacje</w:t>
      </w:r>
      <w:r w:rsidR="008B35E8" w:rsidRPr="002866E5">
        <w:rPr>
          <w:noProof/>
        </w:rPr>
        <w:t xml:space="preserve"> z</w:t>
      </w:r>
      <w:r w:rsidR="008B35E8">
        <w:rPr>
          <w:noProof/>
        </w:rPr>
        <w:t> </w:t>
      </w:r>
      <w:r w:rsidR="008B35E8" w:rsidRPr="002866E5">
        <w:rPr>
          <w:noProof/>
        </w:rPr>
        <w:t>odn</w:t>
      </w:r>
      <w:r w:rsidR="00DF1BB7" w:rsidRPr="002866E5">
        <w:rPr>
          <w:noProof/>
        </w:rPr>
        <w:t>ośnymi państwami członkowskimi</w:t>
      </w:r>
      <w:r w:rsidR="008B35E8" w:rsidRPr="002866E5">
        <w:rPr>
          <w:noProof/>
        </w:rPr>
        <w:t xml:space="preserve"> i</w:t>
      </w:r>
      <w:r w:rsidR="008B35E8">
        <w:rPr>
          <w:noProof/>
        </w:rPr>
        <w:t> </w:t>
      </w:r>
      <w:r w:rsidR="008B35E8" w:rsidRPr="002866E5">
        <w:rPr>
          <w:noProof/>
        </w:rPr>
        <w:t>zai</w:t>
      </w:r>
      <w:r w:rsidR="00DF1BB7" w:rsidRPr="002866E5">
        <w:rPr>
          <w:noProof/>
        </w:rPr>
        <w:t>nteresowanym podmiotem gospodarczym lub zainteresowanymi podmiotami gospodarczymi oraz dokonać oceny tego środka krajowego. Na podstawie wyników tej oceny Komisja powinna zdecydować, czy środek krajowy jest uzasadniony czy nie. Komisja powinna skierować swoją decyzję do wszystkich państw członkowskich</w:t>
      </w:r>
      <w:r w:rsidR="008B35E8" w:rsidRPr="002866E5">
        <w:rPr>
          <w:noProof/>
        </w:rPr>
        <w:t xml:space="preserve"> i</w:t>
      </w:r>
      <w:r w:rsidR="008B35E8">
        <w:rPr>
          <w:noProof/>
        </w:rPr>
        <w:t> </w:t>
      </w:r>
      <w:r w:rsidR="008B35E8" w:rsidRPr="002866E5">
        <w:rPr>
          <w:noProof/>
        </w:rPr>
        <w:t>nat</w:t>
      </w:r>
      <w:r w:rsidR="00DF1BB7" w:rsidRPr="002866E5">
        <w:rPr>
          <w:noProof/>
        </w:rPr>
        <w:t>ychmiast przekazać ją państwom członkowskim oraz stosownemu podmiotowi lub stosownym podmiotom gospodarczym. Jeśli środek zostanie uznany za uzasadniony, Komisja może również rozważyć przyjęcie wniosków dotyczących zmiany właściwych przepisów Unii.</w:t>
      </w:r>
    </w:p>
    <w:p w14:paraId="67ED8704" w14:textId="514149E1" w:rsidR="001910F9" w:rsidRPr="002866E5" w:rsidRDefault="00B4087C" w:rsidP="00B4087C">
      <w:pPr>
        <w:pStyle w:val="ManualConsidrant"/>
        <w:rPr>
          <w:noProof/>
        </w:rPr>
      </w:pPr>
      <w:r w:rsidRPr="00B4087C">
        <w:lastRenderedPageBreak/>
        <w:t>(59)</w:t>
      </w:r>
      <w:r w:rsidRPr="00B4087C">
        <w:tab/>
      </w:r>
      <w:r w:rsidR="008C4ECC" w:rsidRPr="002866E5">
        <w:rPr>
          <w:noProof/>
        </w:rPr>
        <w:t>W przypadku produktów</w:t>
      </w:r>
      <w:r w:rsidR="008B35E8" w:rsidRPr="002866E5">
        <w:rPr>
          <w:noProof/>
        </w:rPr>
        <w:t xml:space="preserve"> z</w:t>
      </w:r>
      <w:r w:rsidR="008B35E8">
        <w:rPr>
          <w:noProof/>
        </w:rPr>
        <w:t> </w:t>
      </w:r>
      <w:r w:rsidR="008B35E8" w:rsidRPr="002866E5">
        <w:rPr>
          <w:noProof/>
        </w:rPr>
        <w:t>ele</w:t>
      </w:r>
      <w:r w:rsidR="008C4ECC" w:rsidRPr="002866E5">
        <w:rPr>
          <w:noProof/>
        </w:rPr>
        <w:t>mentami cyfrowymi stwarzających istotne ryzyko</w:t>
      </w:r>
      <w:r w:rsidR="008B35E8" w:rsidRPr="002866E5">
        <w:rPr>
          <w:noProof/>
        </w:rPr>
        <w:t xml:space="preserve"> w</w:t>
      </w:r>
      <w:r w:rsidR="008B35E8">
        <w:rPr>
          <w:noProof/>
        </w:rPr>
        <w:t> </w:t>
      </w:r>
      <w:r w:rsidR="008B35E8" w:rsidRPr="002866E5">
        <w:rPr>
          <w:noProof/>
        </w:rPr>
        <w:t>cyb</w:t>
      </w:r>
      <w:r w:rsidR="008C4ECC" w:rsidRPr="002866E5">
        <w:rPr>
          <w:noProof/>
        </w:rPr>
        <w:t>erprzestrzeni oraz</w:t>
      </w:r>
      <w:r w:rsidR="008B35E8" w:rsidRPr="002866E5">
        <w:rPr>
          <w:noProof/>
        </w:rPr>
        <w:t xml:space="preserve"> w</w:t>
      </w:r>
      <w:r w:rsidR="008B35E8">
        <w:rPr>
          <w:noProof/>
        </w:rPr>
        <w:t> </w:t>
      </w:r>
      <w:r w:rsidR="008B35E8" w:rsidRPr="002866E5">
        <w:rPr>
          <w:noProof/>
        </w:rPr>
        <w:t>prz</w:t>
      </w:r>
      <w:r w:rsidR="008C4ECC" w:rsidRPr="002866E5">
        <w:rPr>
          <w:noProof/>
        </w:rPr>
        <w:t>ypadkach,</w:t>
      </w:r>
      <w:r w:rsidR="008B35E8" w:rsidRPr="002866E5">
        <w:rPr>
          <w:noProof/>
        </w:rPr>
        <w:t xml:space="preserve"> w</w:t>
      </w:r>
      <w:r w:rsidR="008B35E8">
        <w:rPr>
          <w:noProof/>
        </w:rPr>
        <w:t> </w:t>
      </w:r>
      <w:r w:rsidR="008B35E8" w:rsidRPr="002866E5">
        <w:rPr>
          <w:noProof/>
        </w:rPr>
        <w:t>któ</w:t>
      </w:r>
      <w:r w:rsidR="008C4ECC" w:rsidRPr="002866E5">
        <w:rPr>
          <w:noProof/>
        </w:rPr>
        <w:t>rych istnieją powody, aby przypuszczać, że produkty te nie są zgodne</w:t>
      </w:r>
      <w:r w:rsidR="008B35E8" w:rsidRPr="002866E5">
        <w:rPr>
          <w:noProof/>
        </w:rPr>
        <w:t xml:space="preserve"> z</w:t>
      </w:r>
      <w:r w:rsidR="008B35E8">
        <w:rPr>
          <w:noProof/>
        </w:rPr>
        <w:t> </w:t>
      </w:r>
      <w:r w:rsidR="008B35E8" w:rsidRPr="002866E5">
        <w:rPr>
          <w:noProof/>
        </w:rPr>
        <w:t>nin</w:t>
      </w:r>
      <w:r w:rsidR="008C4ECC" w:rsidRPr="002866E5">
        <w:rPr>
          <w:noProof/>
        </w:rPr>
        <w:t>iejszym rozporządzeniem, lub</w:t>
      </w:r>
      <w:r w:rsidR="008B35E8" w:rsidRPr="002866E5">
        <w:rPr>
          <w:noProof/>
        </w:rPr>
        <w:t xml:space="preserve"> w</w:t>
      </w:r>
      <w:r w:rsidR="008B35E8">
        <w:rPr>
          <w:noProof/>
        </w:rPr>
        <w:t> </w:t>
      </w:r>
      <w:r w:rsidR="008B35E8" w:rsidRPr="002866E5">
        <w:rPr>
          <w:noProof/>
        </w:rPr>
        <w:t>prz</w:t>
      </w:r>
      <w:r w:rsidR="008C4ECC" w:rsidRPr="002866E5">
        <w:rPr>
          <w:noProof/>
        </w:rPr>
        <w:t>ypadku produktów, które są zgodne</w:t>
      </w:r>
      <w:r w:rsidR="008B35E8" w:rsidRPr="002866E5">
        <w:rPr>
          <w:noProof/>
        </w:rPr>
        <w:t xml:space="preserve"> z</w:t>
      </w:r>
      <w:r w:rsidR="008B35E8">
        <w:rPr>
          <w:noProof/>
        </w:rPr>
        <w:t> </w:t>
      </w:r>
      <w:r w:rsidR="008B35E8" w:rsidRPr="002866E5">
        <w:rPr>
          <w:noProof/>
        </w:rPr>
        <w:t>nin</w:t>
      </w:r>
      <w:r w:rsidR="008C4ECC" w:rsidRPr="002866E5">
        <w:rPr>
          <w:noProof/>
        </w:rPr>
        <w:t>iejszym rozporządzeniem, ale stwarzają inne istotne ryzyko, takie jak ryzyko dla zdrowia lub bezpieczeństwa osób, praw podstawowych lub świadczenia usług przez podmioty niezbędne takie jak podmioty,</w:t>
      </w:r>
      <w:r w:rsidR="008B35E8" w:rsidRPr="002866E5">
        <w:rPr>
          <w:noProof/>
        </w:rPr>
        <w:t xml:space="preserve"> o</w:t>
      </w:r>
      <w:r w:rsidR="008B35E8">
        <w:rPr>
          <w:noProof/>
        </w:rPr>
        <w:t> </w:t>
      </w:r>
      <w:r w:rsidR="008B35E8" w:rsidRPr="002866E5">
        <w:rPr>
          <w:noProof/>
        </w:rPr>
        <w:t>któ</w:t>
      </w:r>
      <w:r w:rsidR="008C4ECC" w:rsidRPr="002866E5">
        <w:rPr>
          <w:noProof/>
        </w:rPr>
        <w:t>rych mowa w [załączniku I do dyrektywy XXX/XXXX (NIS 2)], Komisja może zwrócić się do ENISA</w:t>
      </w:r>
      <w:r w:rsidR="008B35E8" w:rsidRPr="002866E5">
        <w:rPr>
          <w:noProof/>
        </w:rPr>
        <w:t xml:space="preserve"> o</w:t>
      </w:r>
      <w:r w:rsidR="008B35E8">
        <w:rPr>
          <w:noProof/>
        </w:rPr>
        <w:t> </w:t>
      </w:r>
      <w:r w:rsidR="008B35E8" w:rsidRPr="002866E5">
        <w:rPr>
          <w:noProof/>
        </w:rPr>
        <w:t>prz</w:t>
      </w:r>
      <w:r w:rsidR="008C4ECC" w:rsidRPr="002866E5">
        <w:rPr>
          <w:noProof/>
        </w:rPr>
        <w:t>eprowadzenie oceny. Na podstawie tej oceny Komisja może przyjąć,</w:t>
      </w:r>
      <w:r w:rsidR="008B35E8" w:rsidRPr="002866E5">
        <w:rPr>
          <w:noProof/>
        </w:rPr>
        <w:t xml:space="preserve"> w</w:t>
      </w:r>
      <w:r w:rsidR="008B35E8">
        <w:rPr>
          <w:noProof/>
        </w:rPr>
        <w:t> </w:t>
      </w:r>
      <w:r w:rsidR="008B35E8" w:rsidRPr="002866E5">
        <w:rPr>
          <w:noProof/>
        </w:rPr>
        <w:t>dro</w:t>
      </w:r>
      <w:r w:rsidR="008C4ECC" w:rsidRPr="002866E5">
        <w:rPr>
          <w:noProof/>
        </w:rPr>
        <w:t>dze aktów wykonawczych, środki naprawcze lub ograniczające na szczeblu Unii,</w:t>
      </w:r>
      <w:r w:rsidR="008B35E8" w:rsidRPr="002866E5">
        <w:rPr>
          <w:noProof/>
        </w:rPr>
        <w:t xml:space="preserve"> w</w:t>
      </w:r>
      <w:r w:rsidR="008B35E8">
        <w:rPr>
          <w:noProof/>
        </w:rPr>
        <w:t> </w:t>
      </w:r>
      <w:r w:rsidR="008B35E8" w:rsidRPr="002866E5">
        <w:rPr>
          <w:noProof/>
        </w:rPr>
        <w:t>tym</w:t>
      </w:r>
      <w:r w:rsidR="008C4ECC" w:rsidRPr="002866E5">
        <w:rPr>
          <w:noProof/>
        </w:rPr>
        <w:t xml:space="preserve"> nakaz wycofania</w:t>
      </w:r>
      <w:r w:rsidR="008B35E8" w:rsidRPr="002866E5">
        <w:rPr>
          <w:noProof/>
        </w:rPr>
        <w:t xml:space="preserve"> z</w:t>
      </w:r>
      <w:r w:rsidR="008B35E8">
        <w:rPr>
          <w:noProof/>
        </w:rPr>
        <w:t> </w:t>
      </w:r>
      <w:r w:rsidR="008B35E8" w:rsidRPr="002866E5">
        <w:rPr>
          <w:noProof/>
        </w:rPr>
        <w:t>obr</w:t>
      </w:r>
      <w:r w:rsidR="008C4ECC" w:rsidRPr="002866E5">
        <w:rPr>
          <w:noProof/>
        </w:rPr>
        <w:t>otu lub odzyskania przedmiotowych produktów</w:t>
      </w:r>
      <w:r w:rsidR="008B35E8" w:rsidRPr="002866E5">
        <w:rPr>
          <w:noProof/>
        </w:rPr>
        <w:t xml:space="preserve"> w</w:t>
      </w:r>
      <w:r w:rsidR="008B35E8">
        <w:rPr>
          <w:noProof/>
        </w:rPr>
        <w:t> </w:t>
      </w:r>
      <w:r w:rsidR="008B35E8" w:rsidRPr="002866E5">
        <w:rPr>
          <w:noProof/>
        </w:rPr>
        <w:t>roz</w:t>
      </w:r>
      <w:r w:rsidR="008C4ECC" w:rsidRPr="002866E5">
        <w:rPr>
          <w:noProof/>
        </w:rPr>
        <w:t>sądnym terminie, stosownym do charakteru ryzyka. Komisja może skorzystać</w:t>
      </w:r>
      <w:r w:rsidR="008B35E8" w:rsidRPr="002866E5">
        <w:rPr>
          <w:noProof/>
        </w:rPr>
        <w:t xml:space="preserve"> z</w:t>
      </w:r>
      <w:r w:rsidR="008B35E8">
        <w:rPr>
          <w:noProof/>
        </w:rPr>
        <w:t> </w:t>
      </w:r>
      <w:r w:rsidR="008B35E8" w:rsidRPr="002866E5">
        <w:rPr>
          <w:noProof/>
        </w:rPr>
        <w:t>tak</w:t>
      </w:r>
      <w:r w:rsidR="008C4ECC" w:rsidRPr="002866E5">
        <w:rPr>
          <w:noProof/>
        </w:rPr>
        <w:t>iej interwencji wyłącznie</w:t>
      </w:r>
      <w:r w:rsidR="008B35E8" w:rsidRPr="002866E5">
        <w:rPr>
          <w:noProof/>
        </w:rPr>
        <w:t xml:space="preserve"> w</w:t>
      </w:r>
      <w:r w:rsidR="008B35E8">
        <w:rPr>
          <w:noProof/>
        </w:rPr>
        <w:t> </w:t>
      </w:r>
      <w:r w:rsidR="008B35E8" w:rsidRPr="002866E5">
        <w:rPr>
          <w:noProof/>
        </w:rPr>
        <w:t>wyj</w:t>
      </w:r>
      <w:r w:rsidR="008C4ECC" w:rsidRPr="002866E5">
        <w:rPr>
          <w:noProof/>
        </w:rPr>
        <w:t>ątkowych okolicznościach, które uzasadniają niezwłoczną interwencję</w:t>
      </w:r>
      <w:r w:rsidR="008B35E8" w:rsidRPr="002866E5">
        <w:rPr>
          <w:noProof/>
        </w:rPr>
        <w:t xml:space="preserve"> w</w:t>
      </w:r>
      <w:r w:rsidR="008B35E8">
        <w:rPr>
          <w:noProof/>
        </w:rPr>
        <w:t> </w:t>
      </w:r>
      <w:r w:rsidR="008B35E8" w:rsidRPr="002866E5">
        <w:rPr>
          <w:noProof/>
        </w:rPr>
        <w:t>cel</w:t>
      </w:r>
      <w:r w:rsidR="008C4ECC" w:rsidRPr="002866E5">
        <w:rPr>
          <w:noProof/>
        </w:rPr>
        <w:t>u utrzymania prawidłowego funkcjonowania rynku wewnętrznego oraz wyłącznie wówczas, gdy organy nadzoru nie wprowadziły żadnych skutecznych środków</w:t>
      </w:r>
      <w:r w:rsidR="008B35E8" w:rsidRPr="002866E5">
        <w:rPr>
          <w:noProof/>
        </w:rPr>
        <w:t xml:space="preserve"> w</w:t>
      </w:r>
      <w:r w:rsidR="008B35E8">
        <w:rPr>
          <w:noProof/>
        </w:rPr>
        <w:t> </w:t>
      </w:r>
      <w:r w:rsidR="008B35E8" w:rsidRPr="002866E5">
        <w:rPr>
          <w:noProof/>
        </w:rPr>
        <w:t>cel</w:t>
      </w:r>
      <w:r w:rsidR="008C4ECC" w:rsidRPr="002866E5">
        <w:rPr>
          <w:noProof/>
        </w:rPr>
        <w:t>u zaradzenia sytuacji. Takimi wyjątkowymi okolicznościami mogą być sytuacje nadzwyczajne,</w:t>
      </w:r>
      <w:r w:rsidR="008B35E8" w:rsidRPr="002866E5">
        <w:rPr>
          <w:noProof/>
        </w:rPr>
        <w:t xml:space="preserve"> w</w:t>
      </w:r>
      <w:r w:rsidR="008B35E8">
        <w:rPr>
          <w:noProof/>
        </w:rPr>
        <w:t> </w:t>
      </w:r>
      <w:r w:rsidR="008B35E8" w:rsidRPr="002866E5">
        <w:rPr>
          <w:noProof/>
        </w:rPr>
        <w:t>któ</w:t>
      </w:r>
      <w:r w:rsidR="008C4ECC" w:rsidRPr="002866E5">
        <w:rPr>
          <w:noProof/>
        </w:rPr>
        <w:t>rych przykładowo niezgodny produkt jest szeroko udostępniany przez producenta</w:t>
      </w:r>
      <w:r w:rsidR="008B35E8" w:rsidRPr="002866E5">
        <w:rPr>
          <w:noProof/>
        </w:rPr>
        <w:t xml:space="preserve"> w</w:t>
      </w:r>
      <w:r w:rsidR="008B35E8">
        <w:rPr>
          <w:noProof/>
        </w:rPr>
        <w:t> </w:t>
      </w:r>
      <w:r w:rsidR="008B35E8" w:rsidRPr="002866E5">
        <w:rPr>
          <w:noProof/>
        </w:rPr>
        <w:t>kil</w:t>
      </w:r>
      <w:r w:rsidR="008C4ECC" w:rsidRPr="002866E5">
        <w:rPr>
          <w:noProof/>
        </w:rPr>
        <w:t>ku państwach członkowskich</w:t>
      </w:r>
      <w:r w:rsidR="008B35E8" w:rsidRPr="002866E5">
        <w:rPr>
          <w:noProof/>
        </w:rPr>
        <w:t xml:space="preserve"> i</w:t>
      </w:r>
      <w:r w:rsidR="008B35E8">
        <w:rPr>
          <w:noProof/>
        </w:rPr>
        <w:t> </w:t>
      </w:r>
      <w:r w:rsidR="008B35E8" w:rsidRPr="002866E5">
        <w:rPr>
          <w:noProof/>
        </w:rPr>
        <w:t>wyk</w:t>
      </w:r>
      <w:r w:rsidR="008C4ECC" w:rsidRPr="002866E5">
        <w:rPr>
          <w:noProof/>
        </w:rPr>
        <w:t>orzystywany także</w:t>
      </w:r>
      <w:r w:rsidR="008B35E8" w:rsidRPr="002866E5">
        <w:rPr>
          <w:noProof/>
        </w:rPr>
        <w:t xml:space="preserve"> w</w:t>
      </w:r>
      <w:r w:rsidR="008B35E8">
        <w:rPr>
          <w:noProof/>
        </w:rPr>
        <w:t> </w:t>
      </w:r>
      <w:r w:rsidR="008B35E8" w:rsidRPr="002866E5">
        <w:rPr>
          <w:noProof/>
        </w:rPr>
        <w:t>klu</w:t>
      </w:r>
      <w:r w:rsidR="008C4ECC" w:rsidRPr="002866E5">
        <w:rPr>
          <w:noProof/>
        </w:rPr>
        <w:t>czowych sektorach przez podmioty objęte zakresem [dyrektywy XXX/XXXX (NIS 2)], mimo że zawiera znane podatności, które są wykorzystywane przez podmioty działające</w:t>
      </w:r>
      <w:r w:rsidR="008B35E8" w:rsidRPr="002866E5">
        <w:rPr>
          <w:noProof/>
        </w:rPr>
        <w:t xml:space="preserve"> w</w:t>
      </w:r>
      <w:r w:rsidR="008B35E8">
        <w:rPr>
          <w:noProof/>
        </w:rPr>
        <w:t> </w:t>
      </w:r>
      <w:r w:rsidR="008B35E8" w:rsidRPr="002866E5">
        <w:rPr>
          <w:noProof/>
        </w:rPr>
        <w:t>zły</w:t>
      </w:r>
      <w:r w:rsidR="008C4ECC" w:rsidRPr="002866E5">
        <w:rPr>
          <w:noProof/>
        </w:rPr>
        <w:t>m zamiarze</w:t>
      </w:r>
      <w:r w:rsidR="008B35E8" w:rsidRPr="002866E5">
        <w:rPr>
          <w:noProof/>
        </w:rPr>
        <w:t xml:space="preserve"> i</w:t>
      </w:r>
      <w:r w:rsidR="008B35E8">
        <w:rPr>
          <w:noProof/>
        </w:rPr>
        <w:t> </w:t>
      </w:r>
      <w:r w:rsidR="008B35E8" w:rsidRPr="002866E5">
        <w:rPr>
          <w:noProof/>
        </w:rPr>
        <w:t>w</w:t>
      </w:r>
      <w:r w:rsidR="008B35E8">
        <w:rPr>
          <w:noProof/>
        </w:rPr>
        <w:t> </w:t>
      </w:r>
      <w:r w:rsidR="008B35E8" w:rsidRPr="002866E5">
        <w:rPr>
          <w:noProof/>
        </w:rPr>
        <w:t>odn</w:t>
      </w:r>
      <w:r w:rsidR="008C4ECC" w:rsidRPr="002866E5">
        <w:rPr>
          <w:noProof/>
        </w:rPr>
        <w:t>iesieniu do których producent nie zapewnia dostępnych poprawek</w:t>
      </w:r>
      <w:r w:rsidR="008B35E8" w:rsidRPr="002866E5">
        <w:rPr>
          <w:noProof/>
        </w:rPr>
        <w:t>. W</w:t>
      </w:r>
      <w:r w:rsidR="008B35E8">
        <w:rPr>
          <w:noProof/>
        </w:rPr>
        <w:t> </w:t>
      </w:r>
      <w:r w:rsidR="008B35E8" w:rsidRPr="002866E5">
        <w:rPr>
          <w:noProof/>
        </w:rPr>
        <w:t>tak</w:t>
      </w:r>
      <w:r w:rsidR="008C4ECC" w:rsidRPr="002866E5">
        <w:rPr>
          <w:noProof/>
        </w:rPr>
        <w:t>ich sytuacjach nadzwyczajnych Komisja może interweniować wyłącznie na czas trwania wyjątkowych okoliczności oraz jeśli niezgodność</w:t>
      </w:r>
      <w:r w:rsidR="008B35E8" w:rsidRPr="002866E5">
        <w:rPr>
          <w:noProof/>
        </w:rPr>
        <w:t xml:space="preserve"> z</w:t>
      </w:r>
      <w:r w:rsidR="008B35E8">
        <w:rPr>
          <w:noProof/>
        </w:rPr>
        <w:t> </w:t>
      </w:r>
      <w:r w:rsidR="008B35E8" w:rsidRPr="002866E5">
        <w:rPr>
          <w:noProof/>
        </w:rPr>
        <w:t>nin</w:t>
      </w:r>
      <w:r w:rsidR="008C4ECC" w:rsidRPr="002866E5">
        <w:rPr>
          <w:noProof/>
        </w:rPr>
        <w:t>iejszym rozporządzeniem lub istotne ryzyko stwarzane przez produkt się utrzymują.</w:t>
      </w:r>
    </w:p>
    <w:p w14:paraId="67ED8705" w14:textId="02A6BA2F" w:rsidR="00C455AF" w:rsidRPr="002866E5" w:rsidRDefault="00B4087C" w:rsidP="00B4087C">
      <w:pPr>
        <w:pStyle w:val="ManualConsidrant"/>
        <w:rPr>
          <w:noProof/>
        </w:rPr>
      </w:pPr>
      <w:r w:rsidRPr="00B4087C">
        <w:t>(60)</w:t>
      </w:r>
      <w:r w:rsidRPr="00B4087C">
        <w:tab/>
      </w:r>
      <w:r w:rsidR="00C35156" w:rsidRPr="002866E5">
        <w:rPr>
          <w:noProof/>
        </w:rPr>
        <w:t>W przypadkach,</w:t>
      </w:r>
      <w:r w:rsidR="008B35E8" w:rsidRPr="002866E5">
        <w:rPr>
          <w:noProof/>
        </w:rPr>
        <w:t xml:space="preserve"> w</w:t>
      </w:r>
      <w:r w:rsidR="008B35E8">
        <w:rPr>
          <w:noProof/>
        </w:rPr>
        <w:t> </w:t>
      </w:r>
      <w:r w:rsidR="008B35E8" w:rsidRPr="002866E5">
        <w:rPr>
          <w:noProof/>
        </w:rPr>
        <w:t>któ</w:t>
      </w:r>
      <w:r w:rsidR="00C35156" w:rsidRPr="002866E5">
        <w:rPr>
          <w:noProof/>
        </w:rPr>
        <w:t>rych istnieją przesłanki wskazujące na niezgodność</w:t>
      </w:r>
      <w:r w:rsidR="008B35E8" w:rsidRPr="002866E5">
        <w:rPr>
          <w:noProof/>
        </w:rPr>
        <w:t xml:space="preserve"> z</w:t>
      </w:r>
      <w:r w:rsidR="008B35E8">
        <w:rPr>
          <w:noProof/>
        </w:rPr>
        <w:t> </w:t>
      </w:r>
      <w:r w:rsidR="008B35E8" w:rsidRPr="002866E5">
        <w:rPr>
          <w:noProof/>
        </w:rPr>
        <w:t>nin</w:t>
      </w:r>
      <w:r w:rsidR="00C35156" w:rsidRPr="002866E5">
        <w:rPr>
          <w:noProof/>
        </w:rPr>
        <w:t>iejszym rozporządzeniem</w:t>
      </w:r>
      <w:r w:rsidR="008B35E8" w:rsidRPr="002866E5">
        <w:rPr>
          <w:noProof/>
        </w:rPr>
        <w:t xml:space="preserve"> w</w:t>
      </w:r>
      <w:r w:rsidR="008B35E8">
        <w:rPr>
          <w:noProof/>
        </w:rPr>
        <w:t> </w:t>
      </w:r>
      <w:r w:rsidR="008B35E8" w:rsidRPr="002866E5">
        <w:rPr>
          <w:noProof/>
        </w:rPr>
        <w:t>kil</w:t>
      </w:r>
      <w:r w:rsidR="00C35156" w:rsidRPr="002866E5">
        <w:rPr>
          <w:noProof/>
        </w:rPr>
        <w:t>ku państwach członkowskich, organy nadzoru rynku powinny mieć możliwość podjęcia wspólnych działań</w:t>
      </w:r>
      <w:r w:rsidR="008B35E8" w:rsidRPr="002866E5">
        <w:rPr>
          <w:noProof/>
        </w:rPr>
        <w:t xml:space="preserve"> z</w:t>
      </w:r>
      <w:r w:rsidR="008B35E8">
        <w:rPr>
          <w:noProof/>
        </w:rPr>
        <w:t> </w:t>
      </w:r>
      <w:r w:rsidR="008B35E8" w:rsidRPr="002866E5">
        <w:rPr>
          <w:noProof/>
        </w:rPr>
        <w:t>inn</w:t>
      </w:r>
      <w:r w:rsidR="00C35156" w:rsidRPr="002866E5">
        <w:rPr>
          <w:noProof/>
        </w:rPr>
        <w:t>ymi organami</w:t>
      </w:r>
      <w:r w:rsidR="008B35E8" w:rsidRPr="002866E5">
        <w:rPr>
          <w:noProof/>
        </w:rPr>
        <w:t xml:space="preserve"> w</w:t>
      </w:r>
      <w:r w:rsidR="008B35E8">
        <w:rPr>
          <w:noProof/>
        </w:rPr>
        <w:t> </w:t>
      </w:r>
      <w:r w:rsidR="008B35E8" w:rsidRPr="002866E5">
        <w:rPr>
          <w:noProof/>
        </w:rPr>
        <w:t>cel</w:t>
      </w:r>
      <w:r w:rsidR="00C35156" w:rsidRPr="002866E5">
        <w:rPr>
          <w:noProof/>
        </w:rPr>
        <w:t>u weryfikacji zgodności oraz identyfikacji ryzyka</w:t>
      </w:r>
      <w:r w:rsidR="008B35E8" w:rsidRPr="002866E5">
        <w:rPr>
          <w:noProof/>
        </w:rPr>
        <w:t xml:space="preserve"> w</w:t>
      </w:r>
      <w:r w:rsidR="008B35E8">
        <w:rPr>
          <w:noProof/>
        </w:rPr>
        <w:t> </w:t>
      </w:r>
      <w:r w:rsidR="008B35E8" w:rsidRPr="002866E5">
        <w:rPr>
          <w:noProof/>
        </w:rPr>
        <w:t>cyb</w:t>
      </w:r>
      <w:r w:rsidR="00C35156" w:rsidRPr="002866E5">
        <w:rPr>
          <w:noProof/>
        </w:rPr>
        <w:t>erprzestrzeni dotyczącego produktów</w:t>
      </w:r>
      <w:r w:rsidR="008B35E8" w:rsidRPr="002866E5">
        <w:rPr>
          <w:noProof/>
        </w:rPr>
        <w:t xml:space="preserve"> z</w:t>
      </w:r>
      <w:r w:rsidR="008B35E8">
        <w:rPr>
          <w:noProof/>
        </w:rPr>
        <w:t> </w:t>
      </w:r>
      <w:r w:rsidR="008B35E8" w:rsidRPr="002866E5">
        <w:rPr>
          <w:noProof/>
        </w:rPr>
        <w:t>ele</w:t>
      </w:r>
      <w:r w:rsidR="00C35156" w:rsidRPr="002866E5">
        <w:rPr>
          <w:noProof/>
        </w:rPr>
        <w:t>mentami cyfrowymi.</w:t>
      </w:r>
    </w:p>
    <w:p w14:paraId="67ED8706" w14:textId="1DACA0EF" w:rsidR="00C455AF" w:rsidRPr="002866E5" w:rsidRDefault="00B4087C" w:rsidP="00B4087C">
      <w:pPr>
        <w:pStyle w:val="ManualConsidrant"/>
        <w:rPr>
          <w:noProof/>
        </w:rPr>
      </w:pPr>
      <w:r w:rsidRPr="00B4087C">
        <w:t>(61)</w:t>
      </w:r>
      <w:r w:rsidRPr="00B4087C">
        <w:tab/>
      </w:r>
      <w:r w:rsidR="00C455AF" w:rsidRPr="002866E5">
        <w:rPr>
          <w:noProof/>
        </w:rPr>
        <w:t>Jednoczesne skoordynowane działania kontrolne („akcje kontrolne”) są określonymi akcjami kontrolnymi przeprowadzanymi przez organy nadzoru rynku, które mogą jeszcze bardziej wzmocnić bezpieczeństwo produktu. Akcje kontrolne należy przeprowadzać</w:t>
      </w:r>
      <w:r w:rsidR="008B35E8" w:rsidRPr="002866E5">
        <w:rPr>
          <w:noProof/>
        </w:rPr>
        <w:t xml:space="preserve"> w</w:t>
      </w:r>
      <w:r w:rsidR="008B35E8">
        <w:rPr>
          <w:noProof/>
        </w:rPr>
        <w:t> </w:t>
      </w:r>
      <w:r w:rsidR="008B35E8" w:rsidRPr="002866E5">
        <w:rPr>
          <w:noProof/>
        </w:rPr>
        <w:t>szc</w:t>
      </w:r>
      <w:r w:rsidR="00C455AF" w:rsidRPr="002866E5">
        <w:rPr>
          <w:noProof/>
        </w:rPr>
        <w:t>zególności wówczas, gdy tendencje rynkowe, skargi konsumentów lub inne przesłanki wskazują, że określone kategorie produktów są często uznawane za stwarzające ryzyko</w:t>
      </w:r>
      <w:r w:rsidR="008B35E8" w:rsidRPr="002866E5">
        <w:rPr>
          <w:noProof/>
        </w:rPr>
        <w:t xml:space="preserve"> w</w:t>
      </w:r>
      <w:r w:rsidR="008B35E8">
        <w:rPr>
          <w:noProof/>
        </w:rPr>
        <w:t> </w:t>
      </w:r>
      <w:r w:rsidR="008B35E8" w:rsidRPr="002866E5">
        <w:rPr>
          <w:noProof/>
        </w:rPr>
        <w:t>cyb</w:t>
      </w:r>
      <w:r w:rsidR="00C455AF" w:rsidRPr="002866E5">
        <w:rPr>
          <w:noProof/>
        </w:rPr>
        <w:t>erprzestrzeni. ENISA powinna składać wnioski dotyczące kategorii produktów,</w:t>
      </w:r>
      <w:r w:rsidR="008B35E8" w:rsidRPr="002866E5">
        <w:rPr>
          <w:noProof/>
        </w:rPr>
        <w:t xml:space="preserve"> w</w:t>
      </w:r>
      <w:r w:rsidR="008B35E8">
        <w:rPr>
          <w:noProof/>
        </w:rPr>
        <w:t> </w:t>
      </w:r>
      <w:r w:rsidR="008B35E8" w:rsidRPr="002866E5">
        <w:rPr>
          <w:noProof/>
        </w:rPr>
        <w:t>odn</w:t>
      </w:r>
      <w:r w:rsidR="00C455AF" w:rsidRPr="002866E5">
        <w:rPr>
          <w:noProof/>
        </w:rPr>
        <w:t>iesieniu do których organy nadzoru rynku mogą organizować akcje kontrolne, między innymi na podstawie otrzymywanych zgłoszeń podatności produktu oraz incydentów.</w:t>
      </w:r>
    </w:p>
    <w:p w14:paraId="67ED8707" w14:textId="76B1CA59" w:rsidR="00AD6D2C" w:rsidRPr="002866E5" w:rsidRDefault="00B4087C" w:rsidP="00B4087C">
      <w:pPr>
        <w:pStyle w:val="ManualConsidrant"/>
        <w:rPr>
          <w:noProof/>
        </w:rPr>
      </w:pPr>
      <w:r w:rsidRPr="00B4087C">
        <w:t>(62)</w:t>
      </w:r>
      <w:r w:rsidRPr="00B4087C">
        <w:tab/>
      </w:r>
      <w:r w:rsidR="00AD6D2C" w:rsidRPr="002866E5">
        <w:rPr>
          <w:noProof/>
        </w:rPr>
        <w:t>Aby</w:t>
      </w:r>
      <w:r w:rsidR="008B35E8" w:rsidRPr="002866E5">
        <w:rPr>
          <w:noProof/>
        </w:rPr>
        <w:t xml:space="preserve"> w</w:t>
      </w:r>
      <w:r w:rsidR="008B35E8">
        <w:rPr>
          <w:noProof/>
        </w:rPr>
        <w:t> </w:t>
      </w:r>
      <w:r w:rsidR="008B35E8" w:rsidRPr="002866E5">
        <w:rPr>
          <w:noProof/>
        </w:rPr>
        <w:t>raz</w:t>
      </w:r>
      <w:r w:rsidR="00AD6D2C" w:rsidRPr="002866E5">
        <w:rPr>
          <w:noProof/>
        </w:rPr>
        <w:t xml:space="preserve">ie potrzeby zapewnić możliwość dostosowania ram regulacyjnych, należy przekazać Komisji uprawnienia do przyjmowania na podstawie </w:t>
      </w:r>
      <w:r w:rsidR="00AD6D2C" w:rsidRPr="008B35E8">
        <w:rPr>
          <w:noProof/>
        </w:rPr>
        <w:t>art.</w:t>
      </w:r>
      <w:r w:rsidR="008B35E8" w:rsidRPr="008B35E8">
        <w:rPr>
          <w:noProof/>
        </w:rPr>
        <w:t> </w:t>
      </w:r>
      <w:r w:rsidR="00AD6D2C" w:rsidRPr="008B35E8">
        <w:rPr>
          <w:noProof/>
        </w:rPr>
        <w:t>2</w:t>
      </w:r>
      <w:r w:rsidR="00AD6D2C" w:rsidRPr="002866E5">
        <w:rPr>
          <w:noProof/>
        </w:rPr>
        <w:t>90 Traktatu aktów</w:t>
      </w:r>
      <w:r w:rsidR="008B35E8" w:rsidRPr="002866E5">
        <w:rPr>
          <w:noProof/>
        </w:rPr>
        <w:t xml:space="preserve"> w</w:t>
      </w:r>
      <w:r w:rsidR="008B35E8">
        <w:rPr>
          <w:noProof/>
        </w:rPr>
        <w:t> </w:t>
      </w:r>
      <w:r w:rsidR="008B35E8" w:rsidRPr="002866E5">
        <w:rPr>
          <w:noProof/>
        </w:rPr>
        <w:t>cel</w:t>
      </w:r>
      <w:r w:rsidR="00AD6D2C" w:rsidRPr="002866E5">
        <w:rPr>
          <w:noProof/>
        </w:rPr>
        <w:t>u aktualizacji wykazu produktów krytycznych zawartych</w:t>
      </w:r>
      <w:r w:rsidR="008B35E8" w:rsidRPr="002866E5">
        <w:rPr>
          <w:noProof/>
        </w:rPr>
        <w:t xml:space="preserve"> w</w:t>
      </w:r>
      <w:r w:rsidR="008B35E8">
        <w:rPr>
          <w:noProof/>
        </w:rPr>
        <w:t> </w:t>
      </w:r>
      <w:r w:rsidR="008B35E8" w:rsidRPr="002866E5">
        <w:rPr>
          <w:noProof/>
        </w:rPr>
        <w:t>zał</w:t>
      </w:r>
      <w:r w:rsidR="00AD6D2C" w:rsidRPr="002866E5">
        <w:rPr>
          <w:noProof/>
        </w:rPr>
        <w:t>ączniku III oraz sprecyzowania definicji tych kategorii produktów. Należy też przekazać Komisji uprawnienia do przyjmowania aktów zgodnie</w:t>
      </w:r>
      <w:r w:rsidR="008B35E8" w:rsidRPr="002866E5">
        <w:rPr>
          <w:noProof/>
        </w:rPr>
        <w:t xml:space="preserve"> z</w:t>
      </w:r>
      <w:r w:rsidR="008B35E8">
        <w:rPr>
          <w:noProof/>
        </w:rPr>
        <w:t> </w:t>
      </w:r>
      <w:r w:rsidR="008B35E8" w:rsidRPr="002866E5">
        <w:rPr>
          <w:noProof/>
        </w:rPr>
        <w:t>tym</w:t>
      </w:r>
      <w:r w:rsidR="00AD6D2C" w:rsidRPr="002866E5">
        <w:rPr>
          <w:noProof/>
        </w:rPr>
        <w:t xml:space="preserve"> artykułem</w:t>
      </w:r>
      <w:r w:rsidR="008B35E8" w:rsidRPr="002866E5">
        <w:rPr>
          <w:noProof/>
        </w:rPr>
        <w:t xml:space="preserve"> w</w:t>
      </w:r>
      <w:r w:rsidR="008B35E8">
        <w:rPr>
          <w:noProof/>
        </w:rPr>
        <w:t> </w:t>
      </w:r>
      <w:r w:rsidR="008B35E8" w:rsidRPr="002866E5">
        <w:rPr>
          <w:noProof/>
        </w:rPr>
        <w:t>cel</w:t>
      </w:r>
      <w:r w:rsidR="00AD6D2C" w:rsidRPr="002866E5">
        <w:rPr>
          <w:noProof/>
        </w:rPr>
        <w:t>u wskazania produktów</w:t>
      </w:r>
      <w:r w:rsidR="008B35E8" w:rsidRPr="002866E5">
        <w:rPr>
          <w:noProof/>
        </w:rPr>
        <w:t xml:space="preserve"> z</w:t>
      </w:r>
      <w:r w:rsidR="008B35E8">
        <w:rPr>
          <w:noProof/>
        </w:rPr>
        <w:t> </w:t>
      </w:r>
      <w:r w:rsidR="008B35E8" w:rsidRPr="002866E5">
        <w:rPr>
          <w:noProof/>
        </w:rPr>
        <w:t>ele</w:t>
      </w:r>
      <w:r w:rsidR="00AD6D2C" w:rsidRPr="002866E5">
        <w:rPr>
          <w:noProof/>
        </w:rPr>
        <w:t>mentami cyfrowymi objętych innymi przepisami unijnymi, które zapewniają taki sam poziom ochrony jak niniejsze rozporządzenie,</w:t>
      </w:r>
      <w:r w:rsidR="008B35E8" w:rsidRPr="002866E5">
        <w:rPr>
          <w:noProof/>
        </w:rPr>
        <w:t xml:space="preserve"> w</w:t>
      </w:r>
      <w:r w:rsidR="008B35E8">
        <w:rPr>
          <w:noProof/>
        </w:rPr>
        <w:t> </w:t>
      </w:r>
      <w:r w:rsidR="008B35E8" w:rsidRPr="002866E5">
        <w:rPr>
          <w:noProof/>
        </w:rPr>
        <w:t>któ</w:t>
      </w:r>
      <w:r w:rsidR="00AD6D2C" w:rsidRPr="002866E5">
        <w:rPr>
          <w:noProof/>
        </w:rPr>
        <w:t>rych Komisja powinna określić, czy konieczne jest ograniczenie lub wyłączenie</w:t>
      </w:r>
      <w:r w:rsidR="008B35E8" w:rsidRPr="002866E5">
        <w:rPr>
          <w:noProof/>
        </w:rPr>
        <w:t xml:space="preserve"> z</w:t>
      </w:r>
      <w:r w:rsidR="008B35E8">
        <w:rPr>
          <w:noProof/>
        </w:rPr>
        <w:t> </w:t>
      </w:r>
      <w:r w:rsidR="008B35E8" w:rsidRPr="002866E5">
        <w:rPr>
          <w:noProof/>
        </w:rPr>
        <w:t>zak</w:t>
      </w:r>
      <w:r w:rsidR="00AD6D2C" w:rsidRPr="002866E5">
        <w:rPr>
          <w:noProof/>
        </w:rPr>
        <w:t>resu niniejszego rozporządzenia, jak również –</w:t>
      </w:r>
      <w:r w:rsidR="008B35E8" w:rsidRPr="002866E5">
        <w:rPr>
          <w:noProof/>
        </w:rPr>
        <w:t xml:space="preserve"> w</w:t>
      </w:r>
      <w:r w:rsidR="008B35E8">
        <w:rPr>
          <w:noProof/>
        </w:rPr>
        <w:t> </w:t>
      </w:r>
      <w:r w:rsidR="008B35E8" w:rsidRPr="002866E5">
        <w:rPr>
          <w:noProof/>
        </w:rPr>
        <w:t>sto</w:t>
      </w:r>
      <w:r w:rsidR="00AD6D2C" w:rsidRPr="002866E5">
        <w:rPr>
          <w:noProof/>
        </w:rPr>
        <w:t>sownych przypadkach – zakres tego ograniczenia. Należy przekazać Komisji uprawnienia do przyjmowania aktów zgodnie</w:t>
      </w:r>
      <w:r w:rsidR="008B35E8" w:rsidRPr="002866E5">
        <w:rPr>
          <w:noProof/>
        </w:rPr>
        <w:t xml:space="preserve"> z</w:t>
      </w:r>
      <w:r w:rsidR="008B35E8">
        <w:rPr>
          <w:noProof/>
        </w:rPr>
        <w:t> </w:t>
      </w:r>
      <w:r w:rsidR="008B35E8" w:rsidRPr="002866E5">
        <w:rPr>
          <w:noProof/>
        </w:rPr>
        <w:t>tym</w:t>
      </w:r>
      <w:r w:rsidR="00AD6D2C" w:rsidRPr="002866E5">
        <w:rPr>
          <w:noProof/>
        </w:rPr>
        <w:t xml:space="preserve"> artykułem</w:t>
      </w:r>
      <w:r w:rsidR="008B35E8" w:rsidRPr="002866E5">
        <w:rPr>
          <w:noProof/>
        </w:rPr>
        <w:t xml:space="preserve"> w</w:t>
      </w:r>
      <w:r w:rsidR="008B35E8">
        <w:rPr>
          <w:noProof/>
        </w:rPr>
        <w:t> </w:t>
      </w:r>
      <w:r w:rsidR="008B35E8" w:rsidRPr="002866E5">
        <w:rPr>
          <w:noProof/>
        </w:rPr>
        <w:t>odn</w:t>
      </w:r>
      <w:r w:rsidR="00AD6D2C" w:rsidRPr="002866E5">
        <w:rPr>
          <w:noProof/>
        </w:rPr>
        <w:t xml:space="preserve">iesieniu do potencjalnego upoważnienia do certyfikacji </w:t>
      </w:r>
      <w:r w:rsidR="00AD6D2C" w:rsidRPr="002866E5">
        <w:rPr>
          <w:noProof/>
        </w:rPr>
        <w:lastRenderedPageBreak/>
        <w:t>określonych produktów wysoce krytycznych</w:t>
      </w:r>
      <w:r w:rsidR="008B35E8" w:rsidRPr="002866E5">
        <w:rPr>
          <w:noProof/>
        </w:rPr>
        <w:t xml:space="preserve"> z</w:t>
      </w:r>
      <w:r w:rsidR="008B35E8">
        <w:rPr>
          <w:noProof/>
        </w:rPr>
        <w:t> </w:t>
      </w:r>
      <w:r w:rsidR="008B35E8" w:rsidRPr="002866E5">
        <w:rPr>
          <w:noProof/>
        </w:rPr>
        <w:t>ele</w:t>
      </w:r>
      <w:r w:rsidR="00AD6D2C" w:rsidRPr="002866E5">
        <w:rPr>
          <w:noProof/>
        </w:rPr>
        <w:t>mentami cyfrowymi</w:t>
      </w:r>
      <w:r w:rsidR="008B35E8" w:rsidRPr="002866E5">
        <w:rPr>
          <w:noProof/>
        </w:rPr>
        <w:t xml:space="preserve"> w</w:t>
      </w:r>
      <w:r w:rsidR="008B35E8">
        <w:rPr>
          <w:noProof/>
        </w:rPr>
        <w:t> </w:t>
      </w:r>
      <w:r w:rsidR="008B35E8" w:rsidRPr="002866E5">
        <w:rPr>
          <w:noProof/>
        </w:rPr>
        <w:t>opa</w:t>
      </w:r>
      <w:r w:rsidR="00AD6D2C" w:rsidRPr="002866E5">
        <w:rPr>
          <w:noProof/>
        </w:rPr>
        <w:t>rciu</w:t>
      </w:r>
      <w:r w:rsidR="008B35E8" w:rsidRPr="002866E5">
        <w:rPr>
          <w:noProof/>
        </w:rPr>
        <w:t xml:space="preserve"> o</w:t>
      </w:r>
      <w:r w:rsidR="008B35E8">
        <w:rPr>
          <w:noProof/>
        </w:rPr>
        <w:t> </w:t>
      </w:r>
      <w:r w:rsidR="008B35E8" w:rsidRPr="002866E5">
        <w:rPr>
          <w:noProof/>
        </w:rPr>
        <w:t>kry</w:t>
      </w:r>
      <w:r w:rsidR="00AD6D2C" w:rsidRPr="002866E5">
        <w:rPr>
          <w:noProof/>
        </w:rPr>
        <w:t>teria krytyczności wskazane</w:t>
      </w:r>
      <w:r w:rsidR="008B35E8" w:rsidRPr="002866E5">
        <w:rPr>
          <w:noProof/>
        </w:rPr>
        <w:t xml:space="preserve"> w</w:t>
      </w:r>
      <w:r w:rsidR="008B35E8">
        <w:rPr>
          <w:noProof/>
        </w:rPr>
        <w:t> </w:t>
      </w:r>
      <w:r w:rsidR="008B35E8" w:rsidRPr="002866E5">
        <w:rPr>
          <w:noProof/>
        </w:rPr>
        <w:t>nin</w:t>
      </w:r>
      <w:r w:rsidR="00AD6D2C" w:rsidRPr="002866E5">
        <w:rPr>
          <w:noProof/>
        </w:rPr>
        <w:t>iejszym rozporządzeniu, jak również do określenia minimalnego zakresu deklaracji zgodności UE oraz uzupełnienia elementów, które należy uwzględnić</w:t>
      </w:r>
      <w:r w:rsidR="008B35E8" w:rsidRPr="002866E5">
        <w:rPr>
          <w:noProof/>
        </w:rPr>
        <w:t xml:space="preserve"> w</w:t>
      </w:r>
      <w:r w:rsidR="008B35E8">
        <w:rPr>
          <w:noProof/>
        </w:rPr>
        <w:t> </w:t>
      </w:r>
      <w:r w:rsidR="008B35E8" w:rsidRPr="002866E5">
        <w:rPr>
          <w:noProof/>
        </w:rPr>
        <w:t>dok</w:t>
      </w:r>
      <w:r w:rsidR="00AD6D2C" w:rsidRPr="002866E5">
        <w:rPr>
          <w:noProof/>
        </w:rPr>
        <w:t>umentacji technicznej. Szczególnie ważne jest, aby</w:t>
      </w:r>
      <w:r w:rsidR="008B35E8" w:rsidRPr="002866E5">
        <w:rPr>
          <w:noProof/>
        </w:rPr>
        <w:t xml:space="preserve"> w</w:t>
      </w:r>
      <w:r w:rsidR="008B35E8">
        <w:rPr>
          <w:noProof/>
        </w:rPr>
        <w:t> </w:t>
      </w:r>
      <w:r w:rsidR="008B35E8" w:rsidRPr="002866E5">
        <w:rPr>
          <w:noProof/>
        </w:rPr>
        <w:t>cza</w:t>
      </w:r>
      <w:r w:rsidR="00AD6D2C" w:rsidRPr="002866E5">
        <w:rPr>
          <w:noProof/>
        </w:rPr>
        <w:t>sie prac przygotowawczych Komisja prowadziła stosowne konsultacje,</w:t>
      </w:r>
      <w:r w:rsidR="008B35E8" w:rsidRPr="002866E5">
        <w:rPr>
          <w:noProof/>
        </w:rPr>
        <w:t xml:space="preserve"> w</w:t>
      </w:r>
      <w:r w:rsidR="008B35E8">
        <w:rPr>
          <w:noProof/>
        </w:rPr>
        <w:t> </w:t>
      </w:r>
      <w:r w:rsidR="008B35E8" w:rsidRPr="002866E5">
        <w:rPr>
          <w:noProof/>
        </w:rPr>
        <w:t>tym</w:t>
      </w:r>
      <w:r w:rsidR="00AD6D2C" w:rsidRPr="002866E5">
        <w:rPr>
          <w:noProof/>
        </w:rPr>
        <w:t xml:space="preserve"> na poziomie ekspertów, oraz aby konsultacje te prowadzone były zgodnie</w:t>
      </w:r>
      <w:r w:rsidR="008B35E8" w:rsidRPr="002866E5">
        <w:rPr>
          <w:noProof/>
        </w:rPr>
        <w:t xml:space="preserve"> z</w:t>
      </w:r>
      <w:r w:rsidR="008B35E8">
        <w:rPr>
          <w:noProof/>
        </w:rPr>
        <w:t> </w:t>
      </w:r>
      <w:r w:rsidR="008B35E8" w:rsidRPr="002866E5">
        <w:rPr>
          <w:noProof/>
        </w:rPr>
        <w:t>zas</w:t>
      </w:r>
      <w:r w:rsidR="00AD6D2C" w:rsidRPr="002866E5">
        <w:rPr>
          <w:noProof/>
        </w:rPr>
        <w:t>adami określonymi</w:t>
      </w:r>
      <w:r w:rsidR="008B35E8" w:rsidRPr="002866E5">
        <w:rPr>
          <w:noProof/>
        </w:rPr>
        <w:t xml:space="preserve"> w</w:t>
      </w:r>
      <w:r w:rsidR="008B35E8">
        <w:rPr>
          <w:noProof/>
        </w:rPr>
        <w:t> </w:t>
      </w:r>
      <w:r w:rsidR="008B35E8" w:rsidRPr="002866E5">
        <w:rPr>
          <w:noProof/>
        </w:rPr>
        <w:t>Por</w:t>
      </w:r>
      <w:r w:rsidR="00AD6D2C" w:rsidRPr="002866E5">
        <w:rPr>
          <w:noProof/>
        </w:rPr>
        <w:t>ozumieniu międzyinstytucjonalnym</w:t>
      </w:r>
      <w:r w:rsidR="008B35E8" w:rsidRPr="002866E5">
        <w:rPr>
          <w:noProof/>
        </w:rPr>
        <w:t xml:space="preserve"> z</w:t>
      </w:r>
      <w:r w:rsidR="008B35E8">
        <w:rPr>
          <w:noProof/>
        </w:rPr>
        <w:t> </w:t>
      </w:r>
      <w:r w:rsidR="008B35E8" w:rsidRPr="002866E5">
        <w:rPr>
          <w:noProof/>
        </w:rPr>
        <w:t>dni</w:t>
      </w:r>
      <w:r w:rsidR="00AD6D2C" w:rsidRPr="002866E5">
        <w:rPr>
          <w:noProof/>
        </w:rPr>
        <w:t>a 13 kwietnia 20</w:t>
      </w:r>
      <w:r w:rsidR="00AD6D2C" w:rsidRPr="008B35E8">
        <w:rPr>
          <w:noProof/>
        </w:rPr>
        <w:t>16</w:t>
      </w:r>
      <w:r w:rsidR="008B35E8" w:rsidRPr="008B35E8">
        <w:rPr>
          <w:noProof/>
        </w:rPr>
        <w:t> </w:t>
      </w:r>
      <w:r w:rsidR="00AD6D2C" w:rsidRPr="008B35E8">
        <w:rPr>
          <w:noProof/>
        </w:rPr>
        <w:t>r.</w:t>
      </w:r>
      <w:r w:rsidR="008B35E8" w:rsidRPr="002866E5">
        <w:rPr>
          <w:noProof/>
        </w:rPr>
        <w:t xml:space="preserve"> w</w:t>
      </w:r>
      <w:r w:rsidR="008B35E8">
        <w:rPr>
          <w:noProof/>
        </w:rPr>
        <w:t> </w:t>
      </w:r>
      <w:r w:rsidR="008B35E8" w:rsidRPr="002866E5">
        <w:rPr>
          <w:noProof/>
        </w:rPr>
        <w:t>spr</w:t>
      </w:r>
      <w:r w:rsidR="00AD6D2C" w:rsidRPr="002866E5">
        <w:rPr>
          <w:noProof/>
        </w:rPr>
        <w:t>awie lepszego stanowienia prawa</w:t>
      </w:r>
      <w:r w:rsidR="00AD6D2C" w:rsidRPr="002866E5">
        <w:rPr>
          <w:rStyle w:val="FootnoteReference"/>
          <w:noProof/>
        </w:rPr>
        <w:footnoteReference w:id="34"/>
      </w:r>
      <w:r w:rsidR="008B35E8" w:rsidRPr="002866E5">
        <w:rPr>
          <w:noProof/>
        </w:rPr>
        <w:t>. W</w:t>
      </w:r>
      <w:r w:rsidR="008B35E8">
        <w:rPr>
          <w:noProof/>
        </w:rPr>
        <w:t> </w:t>
      </w:r>
      <w:r w:rsidR="008B35E8" w:rsidRPr="002866E5">
        <w:rPr>
          <w:noProof/>
        </w:rPr>
        <w:t>szc</w:t>
      </w:r>
      <w:r w:rsidR="00AD6D2C" w:rsidRPr="002866E5">
        <w:rPr>
          <w:noProof/>
        </w:rPr>
        <w:t>zególności, aby zapewnić Parlamentowi Europejskiemu</w:t>
      </w:r>
      <w:r w:rsidR="008B35E8" w:rsidRPr="002866E5">
        <w:rPr>
          <w:noProof/>
        </w:rPr>
        <w:t xml:space="preserve"> i</w:t>
      </w:r>
      <w:r w:rsidR="008B35E8">
        <w:rPr>
          <w:noProof/>
        </w:rPr>
        <w:t> </w:t>
      </w:r>
      <w:r w:rsidR="008B35E8" w:rsidRPr="002866E5">
        <w:rPr>
          <w:noProof/>
        </w:rPr>
        <w:t>Rad</w:t>
      </w:r>
      <w:r w:rsidR="00AD6D2C" w:rsidRPr="002866E5">
        <w:rPr>
          <w:noProof/>
        </w:rPr>
        <w:t>zie udział na równych zasadach</w:t>
      </w:r>
      <w:r w:rsidR="008B35E8" w:rsidRPr="002866E5">
        <w:rPr>
          <w:noProof/>
        </w:rPr>
        <w:t xml:space="preserve"> w</w:t>
      </w:r>
      <w:r w:rsidR="008B35E8">
        <w:rPr>
          <w:noProof/>
        </w:rPr>
        <w:t> </w:t>
      </w:r>
      <w:r w:rsidR="008B35E8" w:rsidRPr="002866E5">
        <w:rPr>
          <w:noProof/>
        </w:rPr>
        <w:t>prz</w:t>
      </w:r>
      <w:r w:rsidR="00AD6D2C" w:rsidRPr="002866E5">
        <w:rPr>
          <w:noProof/>
        </w:rPr>
        <w:t>ygotowaniu aktów delegowanych, instytucje te otrzymują wszelkie dokumenty</w:t>
      </w:r>
      <w:r w:rsidR="008B35E8" w:rsidRPr="002866E5">
        <w:rPr>
          <w:noProof/>
        </w:rPr>
        <w:t xml:space="preserve"> w</w:t>
      </w:r>
      <w:r w:rsidR="008B35E8">
        <w:rPr>
          <w:noProof/>
        </w:rPr>
        <w:t> </w:t>
      </w:r>
      <w:r w:rsidR="008B35E8" w:rsidRPr="002866E5">
        <w:rPr>
          <w:noProof/>
        </w:rPr>
        <w:t>tym</w:t>
      </w:r>
      <w:r w:rsidR="00AD6D2C" w:rsidRPr="002866E5">
        <w:rPr>
          <w:noProof/>
        </w:rPr>
        <w:t xml:space="preserve"> samym czasie co eksperci państw członkowskich,</w:t>
      </w:r>
      <w:r w:rsidR="008B35E8" w:rsidRPr="002866E5">
        <w:rPr>
          <w:noProof/>
        </w:rPr>
        <w:t xml:space="preserve"> a</w:t>
      </w:r>
      <w:r w:rsidR="008B35E8">
        <w:rPr>
          <w:noProof/>
        </w:rPr>
        <w:t> </w:t>
      </w:r>
      <w:r w:rsidR="008B35E8" w:rsidRPr="002866E5">
        <w:rPr>
          <w:noProof/>
        </w:rPr>
        <w:t>eks</w:t>
      </w:r>
      <w:r w:rsidR="00AD6D2C" w:rsidRPr="002866E5">
        <w:rPr>
          <w:noProof/>
        </w:rPr>
        <w:t>perci tych instytucji mogą systematycznie brać udział</w:t>
      </w:r>
      <w:r w:rsidR="008B35E8" w:rsidRPr="002866E5">
        <w:rPr>
          <w:noProof/>
        </w:rPr>
        <w:t xml:space="preserve"> w</w:t>
      </w:r>
      <w:r w:rsidR="008B35E8">
        <w:rPr>
          <w:noProof/>
        </w:rPr>
        <w:t> </w:t>
      </w:r>
      <w:r w:rsidR="008B35E8" w:rsidRPr="002866E5">
        <w:rPr>
          <w:noProof/>
        </w:rPr>
        <w:t>pos</w:t>
      </w:r>
      <w:r w:rsidR="00AD6D2C" w:rsidRPr="002866E5">
        <w:rPr>
          <w:noProof/>
        </w:rPr>
        <w:t>iedzeniach grup eksperckich Komisji zajmujących się przygotowaniem aktów delegowanych.</w:t>
      </w:r>
    </w:p>
    <w:p w14:paraId="67ED8708" w14:textId="28DE6412" w:rsidR="00AD6D2C" w:rsidRPr="002866E5" w:rsidRDefault="00B4087C" w:rsidP="00B4087C">
      <w:pPr>
        <w:pStyle w:val="ManualConsidrant"/>
        <w:rPr>
          <w:noProof/>
        </w:rPr>
      </w:pPr>
      <w:r w:rsidRPr="00B4087C">
        <w:t>(63)</w:t>
      </w:r>
      <w:r w:rsidRPr="00B4087C">
        <w:tab/>
      </w:r>
      <w:r w:rsidR="00AD6D2C" w:rsidRPr="002866E5">
        <w:rPr>
          <w:noProof/>
        </w:rPr>
        <w:t>W celu zapewnienia jednolitych warunków wykonywania niniejszego rozporządzenia należy powierzyć Komisji uprawnienia wykonawcze do: określenia formatu</w:t>
      </w:r>
      <w:r w:rsidR="008B35E8" w:rsidRPr="002866E5">
        <w:rPr>
          <w:noProof/>
        </w:rPr>
        <w:t xml:space="preserve"> i</w:t>
      </w:r>
      <w:r w:rsidR="008B35E8">
        <w:rPr>
          <w:noProof/>
        </w:rPr>
        <w:t> </w:t>
      </w:r>
      <w:r w:rsidR="008B35E8" w:rsidRPr="002866E5">
        <w:rPr>
          <w:noProof/>
        </w:rPr>
        <w:t>ele</w:t>
      </w:r>
      <w:r w:rsidR="00AD6D2C" w:rsidRPr="002866E5">
        <w:rPr>
          <w:noProof/>
        </w:rPr>
        <w:t>mentów zestawienia podstawowych materiałów do produkcji oprogramowania, dokładniejszego określenia rodzaju informacji przekazywanych</w:t>
      </w:r>
      <w:r w:rsidR="008B35E8" w:rsidRPr="002866E5">
        <w:rPr>
          <w:noProof/>
        </w:rPr>
        <w:t xml:space="preserve"> w</w:t>
      </w:r>
      <w:r w:rsidR="008B35E8">
        <w:rPr>
          <w:noProof/>
        </w:rPr>
        <w:t> </w:t>
      </w:r>
      <w:r w:rsidR="008B35E8" w:rsidRPr="002866E5">
        <w:rPr>
          <w:noProof/>
        </w:rPr>
        <w:t>zgł</w:t>
      </w:r>
      <w:r w:rsidR="00AD6D2C" w:rsidRPr="002866E5">
        <w:rPr>
          <w:noProof/>
        </w:rPr>
        <w:t>oszeniach aktywnie wykorzystywanych podatności oraz incydentów składanych w ENISA przez producentów oraz formatu tych zgłoszeń</w:t>
      </w:r>
      <w:r w:rsidR="008B35E8" w:rsidRPr="002866E5">
        <w:rPr>
          <w:noProof/>
        </w:rPr>
        <w:t xml:space="preserve"> i</w:t>
      </w:r>
      <w:r w:rsidR="008B35E8">
        <w:rPr>
          <w:noProof/>
        </w:rPr>
        <w:t> </w:t>
      </w:r>
      <w:r w:rsidR="008B35E8" w:rsidRPr="002866E5">
        <w:rPr>
          <w:noProof/>
        </w:rPr>
        <w:t>pro</w:t>
      </w:r>
      <w:r w:rsidR="00AD6D2C" w:rsidRPr="002866E5">
        <w:rPr>
          <w:noProof/>
        </w:rPr>
        <w:t>cedury ich składania, określenia przyjętych na podstawie rozporządzenia (UE) 2019/881 europejskich programów certyfikacji cyberbezpieczeństwa,</w:t>
      </w:r>
      <w:r w:rsidR="008B35E8" w:rsidRPr="002866E5">
        <w:rPr>
          <w:noProof/>
        </w:rPr>
        <w:t xml:space="preserve"> z</w:t>
      </w:r>
      <w:r w:rsidR="008B35E8">
        <w:rPr>
          <w:noProof/>
        </w:rPr>
        <w:t> </w:t>
      </w:r>
      <w:r w:rsidR="008B35E8" w:rsidRPr="002866E5">
        <w:rPr>
          <w:noProof/>
        </w:rPr>
        <w:t>któ</w:t>
      </w:r>
      <w:r w:rsidR="00AD6D2C" w:rsidRPr="002866E5">
        <w:rPr>
          <w:noProof/>
        </w:rPr>
        <w:t>rych można korzystać</w:t>
      </w:r>
      <w:r w:rsidR="008B35E8" w:rsidRPr="002866E5">
        <w:rPr>
          <w:noProof/>
        </w:rPr>
        <w:t xml:space="preserve"> w</w:t>
      </w:r>
      <w:r w:rsidR="008B35E8">
        <w:rPr>
          <w:noProof/>
        </w:rPr>
        <w:t> </w:t>
      </w:r>
      <w:r w:rsidR="008B35E8" w:rsidRPr="002866E5">
        <w:rPr>
          <w:noProof/>
        </w:rPr>
        <w:t>cel</w:t>
      </w:r>
      <w:r w:rsidR="00AD6D2C" w:rsidRPr="002866E5">
        <w:rPr>
          <w:noProof/>
        </w:rPr>
        <w:t>u wykazania zgodności</w:t>
      </w:r>
      <w:r w:rsidR="008B35E8" w:rsidRPr="002866E5">
        <w:rPr>
          <w:noProof/>
        </w:rPr>
        <w:t xml:space="preserve"> z</w:t>
      </w:r>
      <w:r w:rsidR="008B35E8">
        <w:rPr>
          <w:noProof/>
        </w:rPr>
        <w:t> </w:t>
      </w:r>
      <w:r w:rsidR="008B35E8" w:rsidRPr="002866E5">
        <w:rPr>
          <w:noProof/>
        </w:rPr>
        <w:t>zas</w:t>
      </w:r>
      <w:r w:rsidR="00AD6D2C" w:rsidRPr="002866E5">
        <w:rPr>
          <w:noProof/>
        </w:rPr>
        <w:t>adniczymi wymogami lub ich częściami wskazanymi</w:t>
      </w:r>
      <w:r w:rsidR="008B35E8" w:rsidRPr="002866E5">
        <w:rPr>
          <w:noProof/>
        </w:rPr>
        <w:t xml:space="preserve"> w</w:t>
      </w:r>
      <w:r w:rsidR="008B35E8">
        <w:rPr>
          <w:noProof/>
        </w:rPr>
        <w:t> </w:t>
      </w:r>
      <w:r w:rsidR="008B35E8" w:rsidRPr="002866E5">
        <w:rPr>
          <w:noProof/>
        </w:rPr>
        <w:t>zał</w:t>
      </w:r>
      <w:r w:rsidR="00AD6D2C" w:rsidRPr="002866E5">
        <w:rPr>
          <w:noProof/>
        </w:rPr>
        <w:t>ączniku I do niniejszego rozporządzenia, przyjmowania wspólnych specyfikacji dotyczących zasadniczych wymogów określonych</w:t>
      </w:r>
      <w:r w:rsidR="008B35E8" w:rsidRPr="002866E5">
        <w:rPr>
          <w:noProof/>
        </w:rPr>
        <w:t xml:space="preserve"> w</w:t>
      </w:r>
      <w:r w:rsidR="008B35E8">
        <w:rPr>
          <w:noProof/>
        </w:rPr>
        <w:t> </w:t>
      </w:r>
      <w:r w:rsidR="008B35E8" w:rsidRPr="002866E5">
        <w:rPr>
          <w:noProof/>
        </w:rPr>
        <w:t>zał</w:t>
      </w:r>
      <w:r w:rsidR="00AD6D2C" w:rsidRPr="002866E5">
        <w:rPr>
          <w:noProof/>
        </w:rPr>
        <w:t>ączniku I, określania specyfikacji technicznych dotyczących piktogramów lub wszelkich innych znaków związanych</w:t>
      </w:r>
      <w:r w:rsidR="008B35E8" w:rsidRPr="002866E5">
        <w:rPr>
          <w:noProof/>
        </w:rPr>
        <w:t xml:space="preserve"> z</w:t>
      </w:r>
      <w:r w:rsidR="008B35E8">
        <w:rPr>
          <w:noProof/>
        </w:rPr>
        <w:t> </w:t>
      </w:r>
      <w:r w:rsidR="008B35E8" w:rsidRPr="002866E5">
        <w:rPr>
          <w:noProof/>
        </w:rPr>
        <w:t>bez</w:t>
      </w:r>
      <w:r w:rsidR="00AD6D2C" w:rsidRPr="002866E5">
        <w:rPr>
          <w:noProof/>
        </w:rPr>
        <w:t>pieczeństwem produktów</w:t>
      </w:r>
      <w:r w:rsidR="008B35E8" w:rsidRPr="002866E5">
        <w:rPr>
          <w:noProof/>
        </w:rPr>
        <w:t xml:space="preserve"> z</w:t>
      </w:r>
      <w:r w:rsidR="008B35E8">
        <w:rPr>
          <w:noProof/>
        </w:rPr>
        <w:t> </w:t>
      </w:r>
      <w:r w:rsidR="008B35E8" w:rsidRPr="002866E5">
        <w:rPr>
          <w:noProof/>
        </w:rPr>
        <w:t>ele</w:t>
      </w:r>
      <w:r w:rsidR="00AD6D2C" w:rsidRPr="002866E5">
        <w:rPr>
          <w:noProof/>
        </w:rPr>
        <w:t>mentami cyfrowymi oraz mechanizmów służących promowaniu ich wykorzystania, podejmowania decyzji</w:t>
      </w:r>
      <w:r w:rsidR="008B35E8" w:rsidRPr="002866E5">
        <w:rPr>
          <w:noProof/>
        </w:rPr>
        <w:t xml:space="preserve"> o</w:t>
      </w:r>
      <w:r w:rsidR="008B35E8">
        <w:rPr>
          <w:noProof/>
        </w:rPr>
        <w:t> </w:t>
      </w:r>
      <w:r w:rsidR="008B35E8" w:rsidRPr="002866E5">
        <w:rPr>
          <w:noProof/>
        </w:rPr>
        <w:t>zas</w:t>
      </w:r>
      <w:r w:rsidR="00AD6D2C" w:rsidRPr="002866E5">
        <w:rPr>
          <w:noProof/>
        </w:rPr>
        <w:t>tosowaniu środków naprawczych lub ograniczających na szczeblu Unii</w:t>
      </w:r>
      <w:r w:rsidR="008B35E8" w:rsidRPr="002866E5">
        <w:rPr>
          <w:noProof/>
        </w:rPr>
        <w:t xml:space="preserve"> w</w:t>
      </w:r>
      <w:r w:rsidR="008B35E8">
        <w:rPr>
          <w:noProof/>
        </w:rPr>
        <w:t> </w:t>
      </w:r>
      <w:r w:rsidR="008B35E8" w:rsidRPr="002866E5">
        <w:rPr>
          <w:noProof/>
        </w:rPr>
        <w:t>wyj</w:t>
      </w:r>
      <w:r w:rsidR="00AD6D2C" w:rsidRPr="002866E5">
        <w:rPr>
          <w:noProof/>
        </w:rPr>
        <w:t>ątkowych okolicznościach, które uzasadniają natychmiastową interwencję</w:t>
      </w:r>
      <w:r w:rsidR="008B35E8" w:rsidRPr="002866E5">
        <w:rPr>
          <w:noProof/>
        </w:rPr>
        <w:t xml:space="preserve"> w</w:t>
      </w:r>
      <w:r w:rsidR="008B35E8">
        <w:rPr>
          <w:noProof/>
        </w:rPr>
        <w:t> </w:t>
      </w:r>
      <w:r w:rsidR="008B35E8" w:rsidRPr="002866E5">
        <w:rPr>
          <w:noProof/>
        </w:rPr>
        <w:t>cel</w:t>
      </w:r>
      <w:r w:rsidR="00AD6D2C" w:rsidRPr="002866E5">
        <w:rPr>
          <w:noProof/>
        </w:rPr>
        <w:t>u utrzymania prawidłowego funkcjonowania rynku wewnętrznego. Uprawnienia te powinny być wykonywane zgodnie</w:t>
      </w:r>
      <w:r w:rsidR="008B35E8" w:rsidRPr="002866E5">
        <w:rPr>
          <w:noProof/>
        </w:rPr>
        <w:t xml:space="preserve"> z</w:t>
      </w:r>
      <w:r w:rsidR="008B35E8">
        <w:rPr>
          <w:noProof/>
        </w:rPr>
        <w:t> </w:t>
      </w:r>
      <w:r w:rsidR="008B35E8" w:rsidRPr="002866E5">
        <w:rPr>
          <w:noProof/>
        </w:rPr>
        <w:t>roz</w:t>
      </w:r>
      <w:r w:rsidR="00AD6D2C" w:rsidRPr="002866E5">
        <w:rPr>
          <w:noProof/>
        </w:rPr>
        <w:t>porządzeniem Parlamentu Europejskiego</w:t>
      </w:r>
      <w:r w:rsidR="008B35E8" w:rsidRPr="002866E5">
        <w:rPr>
          <w:noProof/>
        </w:rPr>
        <w:t xml:space="preserve"> i</w:t>
      </w:r>
      <w:r w:rsidR="008B35E8">
        <w:rPr>
          <w:noProof/>
        </w:rPr>
        <w:t> </w:t>
      </w:r>
      <w:r w:rsidR="008B35E8" w:rsidRPr="002866E5">
        <w:rPr>
          <w:noProof/>
        </w:rPr>
        <w:t>Rad</w:t>
      </w:r>
      <w:r w:rsidR="00AD6D2C" w:rsidRPr="002866E5">
        <w:rPr>
          <w:noProof/>
        </w:rPr>
        <w:t xml:space="preserve">y (UE) </w:t>
      </w:r>
      <w:r w:rsidR="00AD6D2C" w:rsidRPr="008B35E8">
        <w:rPr>
          <w:noProof/>
        </w:rPr>
        <w:t>nr</w:t>
      </w:r>
      <w:r w:rsidR="008B35E8" w:rsidRPr="008B35E8">
        <w:rPr>
          <w:noProof/>
        </w:rPr>
        <w:t> </w:t>
      </w:r>
      <w:r w:rsidR="00AD6D2C" w:rsidRPr="008B35E8">
        <w:rPr>
          <w:noProof/>
        </w:rPr>
        <w:t>1</w:t>
      </w:r>
      <w:r w:rsidR="00AD6D2C" w:rsidRPr="002866E5">
        <w:rPr>
          <w:noProof/>
        </w:rPr>
        <w:t>82/2011</w:t>
      </w:r>
      <w:r w:rsidR="00AD6D2C" w:rsidRPr="002866E5">
        <w:rPr>
          <w:rStyle w:val="FootnoteReference"/>
          <w:noProof/>
        </w:rPr>
        <w:footnoteReference w:id="35"/>
      </w:r>
      <w:r w:rsidR="00AD6D2C" w:rsidRPr="002866E5">
        <w:rPr>
          <w:noProof/>
        </w:rPr>
        <w:t>.</w:t>
      </w:r>
    </w:p>
    <w:p w14:paraId="67ED8709" w14:textId="536A1CC4" w:rsidR="00FF5E51" w:rsidRPr="002866E5" w:rsidRDefault="00B4087C" w:rsidP="00B4087C">
      <w:pPr>
        <w:pStyle w:val="ManualConsidrant"/>
        <w:rPr>
          <w:noProof/>
        </w:rPr>
      </w:pPr>
      <w:r w:rsidRPr="00B4087C">
        <w:t>(64)</w:t>
      </w:r>
      <w:r w:rsidRPr="00B4087C">
        <w:tab/>
      </w:r>
      <w:r w:rsidR="006C6B33" w:rsidRPr="002866E5">
        <w:rPr>
          <w:noProof/>
        </w:rPr>
        <w:t>W celu zapewnienia opartej na zaufaniu</w:t>
      </w:r>
      <w:r w:rsidR="008B35E8" w:rsidRPr="002866E5">
        <w:rPr>
          <w:noProof/>
        </w:rPr>
        <w:t xml:space="preserve"> i</w:t>
      </w:r>
      <w:r w:rsidR="008B35E8">
        <w:rPr>
          <w:noProof/>
        </w:rPr>
        <w:t> </w:t>
      </w:r>
      <w:r w:rsidR="008B35E8" w:rsidRPr="002866E5">
        <w:rPr>
          <w:noProof/>
        </w:rPr>
        <w:t>kon</w:t>
      </w:r>
      <w:r w:rsidR="006C6B33" w:rsidRPr="002866E5">
        <w:rPr>
          <w:noProof/>
        </w:rPr>
        <w:t>struktywnej współpracy organów nadzoru rynku na szczeblu unijnym</w:t>
      </w:r>
      <w:r w:rsidR="008B35E8" w:rsidRPr="002866E5">
        <w:rPr>
          <w:noProof/>
        </w:rPr>
        <w:t xml:space="preserve"> i</w:t>
      </w:r>
      <w:r w:rsidR="008B35E8">
        <w:rPr>
          <w:noProof/>
        </w:rPr>
        <w:t> </w:t>
      </w:r>
      <w:r w:rsidR="008B35E8" w:rsidRPr="002866E5">
        <w:rPr>
          <w:noProof/>
        </w:rPr>
        <w:t>kra</w:t>
      </w:r>
      <w:r w:rsidR="006C6B33" w:rsidRPr="002866E5">
        <w:rPr>
          <w:noProof/>
        </w:rPr>
        <w:t>jowym wszystkie strony zaangażowane</w:t>
      </w:r>
      <w:r w:rsidR="008B35E8" w:rsidRPr="002866E5">
        <w:rPr>
          <w:noProof/>
        </w:rPr>
        <w:t xml:space="preserve"> w</w:t>
      </w:r>
      <w:r w:rsidR="008B35E8">
        <w:rPr>
          <w:noProof/>
        </w:rPr>
        <w:t> </w:t>
      </w:r>
      <w:r w:rsidR="008B35E8" w:rsidRPr="002866E5">
        <w:rPr>
          <w:noProof/>
        </w:rPr>
        <w:t>sto</w:t>
      </w:r>
      <w:r w:rsidR="006C6B33" w:rsidRPr="002866E5">
        <w:rPr>
          <w:noProof/>
        </w:rPr>
        <w:t>sowanie niniejszego rozporządzenia powinny przestrzegać zasady poufności informacji</w:t>
      </w:r>
      <w:r w:rsidR="008B35E8" w:rsidRPr="002866E5">
        <w:rPr>
          <w:noProof/>
        </w:rPr>
        <w:t xml:space="preserve"> i</w:t>
      </w:r>
      <w:r w:rsidR="008B35E8">
        <w:rPr>
          <w:noProof/>
        </w:rPr>
        <w:t> </w:t>
      </w:r>
      <w:r w:rsidR="008B35E8" w:rsidRPr="002866E5">
        <w:rPr>
          <w:noProof/>
        </w:rPr>
        <w:t>dan</w:t>
      </w:r>
      <w:r w:rsidR="006C6B33" w:rsidRPr="002866E5">
        <w:rPr>
          <w:noProof/>
        </w:rPr>
        <w:t>ych uzyskanych podczas wykonywania swoich zadań.</w:t>
      </w:r>
    </w:p>
    <w:p w14:paraId="67ED870A" w14:textId="4D0EFF6F" w:rsidR="00FF5E51" w:rsidRPr="002866E5" w:rsidRDefault="00B4087C" w:rsidP="00B4087C">
      <w:pPr>
        <w:pStyle w:val="ManualConsidrant"/>
        <w:rPr>
          <w:noProof/>
        </w:rPr>
      </w:pPr>
      <w:r w:rsidRPr="00B4087C">
        <w:t>(65)</w:t>
      </w:r>
      <w:r w:rsidRPr="00B4087C">
        <w:tab/>
      </w:r>
      <w:r w:rsidR="00FF5E51" w:rsidRPr="002866E5">
        <w:rPr>
          <w:noProof/>
        </w:rPr>
        <w:t>Aby zapewnić skuteczne egzekwowanie obowiązków przewidzianych</w:t>
      </w:r>
      <w:r w:rsidR="008B35E8" w:rsidRPr="002866E5">
        <w:rPr>
          <w:noProof/>
        </w:rPr>
        <w:t xml:space="preserve"> w</w:t>
      </w:r>
      <w:r w:rsidR="008B35E8">
        <w:rPr>
          <w:noProof/>
        </w:rPr>
        <w:t> </w:t>
      </w:r>
      <w:r w:rsidR="008B35E8" w:rsidRPr="002866E5">
        <w:rPr>
          <w:noProof/>
        </w:rPr>
        <w:t>nin</w:t>
      </w:r>
      <w:r w:rsidR="00FF5E51" w:rsidRPr="002866E5">
        <w:rPr>
          <w:noProof/>
        </w:rPr>
        <w:t>iejszym rozporządzeniu, każdy organ nadzoru rynku powinien być uprawniony do nakładania lub żądania nałożenia administracyjnych kar pieniężnych</w:t>
      </w:r>
      <w:r w:rsidR="008B35E8" w:rsidRPr="002866E5">
        <w:rPr>
          <w:noProof/>
        </w:rPr>
        <w:t>.</w:t>
      </w:r>
      <w:r w:rsidR="008B35E8" w:rsidRPr="002866E5">
        <w:rPr>
          <w:b/>
          <w:noProof/>
        </w:rPr>
        <w:t xml:space="preserve"> </w:t>
      </w:r>
      <w:r w:rsidR="008B35E8" w:rsidRPr="002866E5">
        <w:rPr>
          <w:noProof/>
        </w:rPr>
        <w:t>Z</w:t>
      </w:r>
      <w:r w:rsidR="008B35E8">
        <w:rPr>
          <w:noProof/>
        </w:rPr>
        <w:t> </w:t>
      </w:r>
      <w:r w:rsidR="008B35E8" w:rsidRPr="002866E5">
        <w:rPr>
          <w:noProof/>
        </w:rPr>
        <w:t>teg</w:t>
      </w:r>
      <w:r w:rsidR="00FF5E51" w:rsidRPr="002866E5">
        <w:rPr>
          <w:noProof/>
        </w:rPr>
        <w:t>o względu należy określić maksymalne poziomy administracyjnych kar pieniężnych, które powinno się przewidzieć</w:t>
      </w:r>
      <w:r w:rsidR="008B35E8" w:rsidRPr="002866E5">
        <w:rPr>
          <w:noProof/>
        </w:rPr>
        <w:t xml:space="preserve"> w</w:t>
      </w:r>
      <w:r w:rsidR="008B35E8">
        <w:rPr>
          <w:noProof/>
        </w:rPr>
        <w:t> </w:t>
      </w:r>
      <w:r w:rsidR="008B35E8" w:rsidRPr="002866E5">
        <w:rPr>
          <w:noProof/>
        </w:rPr>
        <w:t>prz</w:t>
      </w:r>
      <w:r w:rsidR="00FF5E51" w:rsidRPr="002866E5">
        <w:rPr>
          <w:noProof/>
        </w:rPr>
        <w:t>episach krajowych za nieprzestrzeganie obowiązków określonych</w:t>
      </w:r>
      <w:r w:rsidR="008B35E8" w:rsidRPr="002866E5">
        <w:rPr>
          <w:noProof/>
        </w:rPr>
        <w:t xml:space="preserve"> w</w:t>
      </w:r>
      <w:r w:rsidR="008B35E8">
        <w:rPr>
          <w:noProof/>
        </w:rPr>
        <w:t> </w:t>
      </w:r>
      <w:r w:rsidR="008B35E8" w:rsidRPr="002866E5">
        <w:rPr>
          <w:noProof/>
        </w:rPr>
        <w:t>nin</w:t>
      </w:r>
      <w:r w:rsidR="00FF5E51" w:rsidRPr="002866E5">
        <w:rPr>
          <w:noProof/>
        </w:rPr>
        <w:t>iejszym rozporządzeniu. Decydując</w:t>
      </w:r>
      <w:r w:rsidR="008B35E8" w:rsidRPr="002866E5">
        <w:rPr>
          <w:noProof/>
        </w:rPr>
        <w:t xml:space="preserve"> o</w:t>
      </w:r>
      <w:r w:rsidR="008B35E8">
        <w:rPr>
          <w:noProof/>
        </w:rPr>
        <w:t> </w:t>
      </w:r>
      <w:r w:rsidR="008B35E8" w:rsidRPr="002866E5">
        <w:rPr>
          <w:noProof/>
        </w:rPr>
        <w:t>wys</w:t>
      </w:r>
      <w:r w:rsidR="00FF5E51" w:rsidRPr="002866E5">
        <w:rPr>
          <w:noProof/>
        </w:rPr>
        <w:t>okości administracyjnej kary pieniężnej</w:t>
      </w:r>
      <w:r w:rsidR="008B35E8" w:rsidRPr="002866E5">
        <w:rPr>
          <w:noProof/>
        </w:rPr>
        <w:t xml:space="preserve"> w</w:t>
      </w:r>
      <w:r w:rsidR="008B35E8">
        <w:rPr>
          <w:noProof/>
        </w:rPr>
        <w:t> </w:t>
      </w:r>
      <w:r w:rsidR="008B35E8" w:rsidRPr="002866E5">
        <w:rPr>
          <w:noProof/>
        </w:rPr>
        <w:t>każ</w:t>
      </w:r>
      <w:r w:rsidR="00FF5E51" w:rsidRPr="002866E5">
        <w:rPr>
          <w:noProof/>
        </w:rPr>
        <w:t>dym indywidualnym przypadku, należy uwzględnić wszystkie istotne okoliczności konkretnej sytuacji, a co najmniej te wyraźnie określone</w:t>
      </w:r>
      <w:r w:rsidR="008B35E8" w:rsidRPr="002866E5">
        <w:rPr>
          <w:noProof/>
        </w:rPr>
        <w:t xml:space="preserve"> w</w:t>
      </w:r>
      <w:r w:rsidR="008B35E8">
        <w:rPr>
          <w:noProof/>
        </w:rPr>
        <w:t> </w:t>
      </w:r>
      <w:r w:rsidR="008B35E8" w:rsidRPr="002866E5">
        <w:rPr>
          <w:noProof/>
        </w:rPr>
        <w:t>nin</w:t>
      </w:r>
      <w:r w:rsidR="00FF5E51" w:rsidRPr="002866E5">
        <w:rPr>
          <w:noProof/>
        </w:rPr>
        <w:t>iejszym rozporządzeniu,</w:t>
      </w:r>
      <w:r w:rsidR="008B35E8" w:rsidRPr="002866E5">
        <w:rPr>
          <w:noProof/>
        </w:rPr>
        <w:t xml:space="preserve"> w</w:t>
      </w:r>
      <w:r w:rsidR="008B35E8">
        <w:rPr>
          <w:noProof/>
        </w:rPr>
        <w:t> </w:t>
      </w:r>
      <w:r w:rsidR="008B35E8" w:rsidRPr="002866E5">
        <w:rPr>
          <w:noProof/>
        </w:rPr>
        <w:t>tym</w:t>
      </w:r>
      <w:r w:rsidR="00FF5E51" w:rsidRPr="002866E5">
        <w:rPr>
          <w:noProof/>
        </w:rPr>
        <w:t xml:space="preserve"> to, czy wobec tego samego podmiotu gospodarczego za </w:t>
      </w:r>
      <w:r w:rsidR="00FF5E51" w:rsidRPr="002866E5">
        <w:rPr>
          <w:noProof/>
        </w:rPr>
        <w:lastRenderedPageBreak/>
        <w:t>podobne naruszenia inne organy nadzoru rynku zastosowały już administracyjne kary pieniężne. Mogą to być zarówno okoliczności obciążające,</w:t>
      </w:r>
      <w:r w:rsidR="008B35E8" w:rsidRPr="002866E5">
        <w:rPr>
          <w:noProof/>
        </w:rPr>
        <w:t xml:space="preserve"> w</w:t>
      </w:r>
      <w:r w:rsidR="008B35E8">
        <w:rPr>
          <w:noProof/>
        </w:rPr>
        <w:t> </w:t>
      </w:r>
      <w:r w:rsidR="008B35E8" w:rsidRPr="002866E5">
        <w:rPr>
          <w:noProof/>
        </w:rPr>
        <w:t>syt</w:t>
      </w:r>
      <w:r w:rsidR="00FF5E51" w:rsidRPr="002866E5">
        <w:rPr>
          <w:noProof/>
        </w:rPr>
        <w:t>uacjach,</w:t>
      </w:r>
      <w:r w:rsidR="008B35E8" w:rsidRPr="002866E5">
        <w:rPr>
          <w:noProof/>
        </w:rPr>
        <w:t xml:space="preserve"> w</w:t>
      </w:r>
      <w:r w:rsidR="008B35E8">
        <w:rPr>
          <w:noProof/>
        </w:rPr>
        <w:t> </w:t>
      </w:r>
      <w:r w:rsidR="008B35E8" w:rsidRPr="002866E5">
        <w:rPr>
          <w:noProof/>
        </w:rPr>
        <w:t>któ</w:t>
      </w:r>
      <w:r w:rsidR="00FF5E51" w:rsidRPr="002866E5">
        <w:rPr>
          <w:noProof/>
        </w:rPr>
        <w:t>rych naruszenie popełnione przez ten sam podmiot gospodarczy utrzymuje się na terytorium państw członkowskich innych niż to,</w:t>
      </w:r>
      <w:r w:rsidR="008B35E8" w:rsidRPr="002866E5">
        <w:rPr>
          <w:noProof/>
        </w:rPr>
        <w:t xml:space="preserve"> w</w:t>
      </w:r>
      <w:r w:rsidR="008B35E8">
        <w:rPr>
          <w:noProof/>
        </w:rPr>
        <w:t> </w:t>
      </w:r>
      <w:r w:rsidR="008B35E8" w:rsidRPr="002866E5">
        <w:rPr>
          <w:noProof/>
        </w:rPr>
        <w:t>któ</w:t>
      </w:r>
      <w:r w:rsidR="00FF5E51" w:rsidRPr="002866E5">
        <w:rPr>
          <w:noProof/>
        </w:rPr>
        <w:t>rym już zastosowano administracyjną karę pieniężną, lub okoliczności łagodzące, które polegają na zapewnieniu, aby</w:t>
      </w:r>
      <w:r w:rsidR="008B35E8" w:rsidRPr="002866E5">
        <w:rPr>
          <w:noProof/>
        </w:rPr>
        <w:t xml:space="preserve"> w</w:t>
      </w:r>
      <w:r w:rsidR="008B35E8">
        <w:rPr>
          <w:noProof/>
        </w:rPr>
        <w:t> </w:t>
      </w:r>
      <w:r w:rsidR="008B35E8" w:rsidRPr="002866E5">
        <w:rPr>
          <w:noProof/>
        </w:rPr>
        <w:t>każ</w:t>
      </w:r>
      <w:r w:rsidR="00FF5E51" w:rsidRPr="002866E5">
        <w:rPr>
          <w:noProof/>
        </w:rPr>
        <w:t>dej innej administracyjnej karze pieniężnej rozważanej przez inny organ nadzoru rynku dla tego samego podmiotu gospodarczego lub za taki sam rodzaj naruszenia uwzględniono, oprócz innych istotnych określonych okoliczności, karę oraz jej wysokość nałożoną</w:t>
      </w:r>
      <w:r w:rsidR="008B35E8" w:rsidRPr="002866E5">
        <w:rPr>
          <w:noProof/>
        </w:rPr>
        <w:t xml:space="preserve"> w</w:t>
      </w:r>
      <w:r w:rsidR="008B35E8">
        <w:rPr>
          <w:noProof/>
        </w:rPr>
        <w:t> </w:t>
      </w:r>
      <w:r w:rsidR="008B35E8" w:rsidRPr="002866E5">
        <w:rPr>
          <w:noProof/>
        </w:rPr>
        <w:t>inn</w:t>
      </w:r>
      <w:r w:rsidR="00FF5E51" w:rsidRPr="002866E5">
        <w:rPr>
          <w:noProof/>
        </w:rPr>
        <w:t>ych państwach członkowskich. We wszystkich takich przypadkach przy wymierzaniu łącznej administracyjnej kary pieniężnej, którą mogą zastosować organy nadzoru rynku kilku państw członkowskich wobec tego samego podmiotu gospodarczego za ten sam rodzaj naruszenia, należy zagwarantować poszanowanie zasady proporcjonalności.</w:t>
      </w:r>
    </w:p>
    <w:p w14:paraId="67ED870B" w14:textId="798DB96A" w:rsidR="001A0B4B" w:rsidRPr="002866E5" w:rsidRDefault="00B4087C" w:rsidP="00B4087C">
      <w:pPr>
        <w:pStyle w:val="ManualConsidrant"/>
        <w:rPr>
          <w:noProof/>
        </w:rPr>
      </w:pPr>
      <w:r w:rsidRPr="00B4087C">
        <w:t>(66)</w:t>
      </w:r>
      <w:r w:rsidRPr="00B4087C">
        <w:tab/>
      </w:r>
      <w:r w:rsidR="001A0B4B" w:rsidRPr="002866E5">
        <w:rPr>
          <w:noProof/>
        </w:rPr>
        <w:t>Jeżeli administracyjne kary pieniężne są nakładane na osoby niebędące przedsiębiorstwem, właściwy organ, ustalając właściwą wysokość kary pieniężnej, powinien brać pod uwagę ogólny poziom dochodów</w:t>
      </w:r>
      <w:r w:rsidR="008B35E8" w:rsidRPr="002866E5">
        <w:rPr>
          <w:noProof/>
        </w:rPr>
        <w:t xml:space="preserve"> w</w:t>
      </w:r>
      <w:r w:rsidR="008B35E8">
        <w:rPr>
          <w:noProof/>
        </w:rPr>
        <w:t> </w:t>
      </w:r>
      <w:r w:rsidR="008B35E8" w:rsidRPr="002866E5">
        <w:rPr>
          <w:noProof/>
        </w:rPr>
        <w:t>dan</w:t>
      </w:r>
      <w:r w:rsidR="001A0B4B" w:rsidRPr="002866E5">
        <w:rPr>
          <w:noProof/>
        </w:rPr>
        <w:t>ym państwie członkowskim oraz sytuację ekonomiczną tej osoby. Państwa członkowskie powinny określić, czy</w:t>
      </w:r>
      <w:r w:rsidR="008B35E8" w:rsidRPr="002866E5">
        <w:rPr>
          <w:noProof/>
        </w:rPr>
        <w:t xml:space="preserve"> i</w:t>
      </w:r>
      <w:r w:rsidR="008B35E8">
        <w:rPr>
          <w:noProof/>
        </w:rPr>
        <w:t> </w:t>
      </w:r>
      <w:r w:rsidR="008B35E8" w:rsidRPr="002866E5">
        <w:rPr>
          <w:noProof/>
        </w:rPr>
        <w:t>w</w:t>
      </w:r>
      <w:r w:rsidR="008B35E8">
        <w:rPr>
          <w:noProof/>
        </w:rPr>
        <w:t> </w:t>
      </w:r>
      <w:r w:rsidR="008B35E8" w:rsidRPr="002866E5">
        <w:rPr>
          <w:noProof/>
        </w:rPr>
        <w:t>jak</w:t>
      </w:r>
      <w:r w:rsidR="001A0B4B" w:rsidRPr="002866E5">
        <w:rPr>
          <w:noProof/>
        </w:rPr>
        <w:t>im zakresie administracyjnym karom pieniężnym powinny podlegać organy publiczne.</w:t>
      </w:r>
    </w:p>
    <w:p w14:paraId="67ED870C" w14:textId="273363F0" w:rsidR="00875693" w:rsidRPr="002866E5" w:rsidRDefault="00B4087C" w:rsidP="00B4087C">
      <w:pPr>
        <w:pStyle w:val="ManualConsidrant"/>
        <w:rPr>
          <w:noProof/>
        </w:rPr>
      </w:pPr>
      <w:r w:rsidRPr="00B4087C">
        <w:t>(67)</w:t>
      </w:r>
      <w:r w:rsidRPr="00B4087C">
        <w:tab/>
      </w:r>
      <w:r w:rsidR="00180622" w:rsidRPr="002866E5">
        <w:rPr>
          <w:noProof/>
        </w:rPr>
        <w:t>W stosunkach</w:t>
      </w:r>
      <w:r w:rsidR="008B35E8" w:rsidRPr="002866E5">
        <w:rPr>
          <w:noProof/>
        </w:rPr>
        <w:t xml:space="preserve"> z</w:t>
      </w:r>
      <w:r w:rsidR="008B35E8">
        <w:rPr>
          <w:noProof/>
        </w:rPr>
        <w:t> </w:t>
      </w:r>
      <w:r w:rsidR="008B35E8" w:rsidRPr="002866E5">
        <w:rPr>
          <w:noProof/>
        </w:rPr>
        <w:t>pań</w:t>
      </w:r>
      <w:r w:rsidR="00180622" w:rsidRPr="002866E5">
        <w:rPr>
          <w:noProof/>
        </w:rPr>
        <w:t>stwami trzecimi UE dąży do promowania międzynarodowego handlu produktami regulowanymi</w:t>
      </w:r>
      <w:r w:rsidR="008B35E8" w:rsidRPr="002866E5">
        <w:rPr>
          <w:noProof/>
        </w:rPr>
        <w:t>. W</w:t>
      </w:r>
      <w:r w:rsidR="008B35E8">
        <w:rPr>
          <w:noProof/>
        </w:rPr>
        <w:t> </w:t>
      </w:r>
      <w:r w:rsidR="008B35E8" w:rsidRPr="002866E5">
        <w:rPr>
          <w:noProof/>
        </w:rPr>
        <w:t>cel</w:t>
      </w:r>
      <w:r w:rsidR="00180622" w:rsidRPr="002866E5">
        <w:rPr>
          <w:noProof/>
        </w:rPr>
        <w:t>u ułatwienia handlu można stosować szeroki zakres środków,</w:t>
      </w:r>
      <w:r w:rsidR="008B35E8" w:rsidRPr="002866E5">
        <w:rPr>
          <w:noProof/>
        </w:rPr>
        <w:t xml:space="preserve"> w</w:t>
      </w:r>
      <w:r w:rsidR="008B35E8">
        <w:rPr>
          <w:noProof/>
        </w:rPr>
        <w:t> </w:t>
      </w:r>
      <w:r w:rsidR="008B35E8" w:rsidRPr="002866E5">
        <w:rPr>
          <w:noProof/>
        </w:rPr>
        <w:t>tym</w:t>
      </w:r>
      <w:r w:rsidR="00180622" w:rsidRPr="002866E5">
        <w:rPr>
          <w:noProof/>
        </w:rPr>
        <w:t xml:space="preserve"> kilka instrumentów prawnych, takich jak dwustronne (międzyrządowe) umowy</w:t>
      </w:r>
      <w:r w:rsidR="008B35E8" w:rsidRPr="002866E5">
        <w:rPr>
          <w:noProof/>
        </w:rPr>
        <w:t xml:space="preserve"> o</w:t>
      </w:r>
      <w:r w:rsidR="008B35E8">
        <w:rPr>
          <w:noProof/>
        </w:rPr>
        <w:t> </w:t>
      </w:r>
      <w:r w:rsidR="008B35E8" w:rsidRPr="002866E5">
        <w:rPr>
          <w:noProof/>
        </w:rPr>
        <w:t>wza</w:t>
      </w:r>
      <w:r w:rsidR="00180622" w:rsidRPr="002866E5">
        <w:rPr>
          <w:noProof/>
        </w:rPr>
        <w:t>jemnym uznawaniu oceny zgodności oraz znakowanie produktów regulowanych. Umowy</w:t>
      </w:r>
      <w:r w:rsidR="008B35E8" w:rsidRPr="002866E5">
        <w:rPr>
          <w:noProof/>
        </w:rPr>
        <w:t xml:space="preserve"> o</w:t>
      </w:r>
      <w:r w:rsidR="008B35E8">
        <w:rPr>
          <w:noProof/>
        </w:rPr>
        <w:t> </w:t>
      </w:r>
      <w:r w:rsidR="008B35E8" w:rsidRPr="002866E5">
        <w:rPr>
          <w:noProof/>
        </w:rPr>
        <w:t>wza</w:t>
      </w:r>
      <w:r w:rsidR="00180622" w:rsidRPr="002866E5">
        <w:rPr>
          <w:noProof/>
        </w:rPr>
        <w:t>jemnym uznawaniu są zawierane między Unią</w:t>
      </w:r>
      <w:r w:rsidR="008B35E8" w:rsidRPr="002866E5">
        <w:rPr>
          <w:noProof/>
        </w:rPr>
        <w:t xml:space="preserve"> a</w:t>
      </w:r>
      <w:r w:rsidR="008B35E8">
        <w:rPr>
          <w:noProof/>
        </w:rPr>
        <w:t> </w:t>
      </w:r>
      <w:r w:rsidR="008B35E8" w:rsidRPr="002866E5">
        <w:rPr>
          <w:noProof/>
        </w:rPr>
        <w:t>pań</w:t>
      </w:r>
      <w:r w:rsidR="00180622" w:rsidRPr="002866E5">
        <w:rPr>
          <w:noProof/>
        </w:rPr>
        <w:t>stwami trzecimi, które znajdują się na porównywalnym poziomie rozwoju technicznego oraz mają podobne podejście do oceny zgodności. Umowy te są oparte na wzajemnej akceptacji certyfikatów, znaków zgodności oraz raportów</w:t>
      </w:r>
      <w:r w:rsidR="008B35E8" w:rsidRPr="002866E5">
        <w:rPr>
          <w:noProof/>
        </w:rPr>
        <w:t xml:space="preserve"> z</w:t>
      </w:r>
      <w:r w:rsidR="008B35E8">
        <w:rPr>
          <w:noProof/>
        </w:rPr>
        <w:t> </w:t>
      </w:r>
      <w:r w:rsidR="008B35E8" w:rsidRPr="002866E5">
        <w:rPr>
          <w:noProof/>
        </w:rPr>
        <w:t>bad</w:t>
      </w:r>
      <w:r w:rsidR="00180622" w:rsidRPr="002866E5">
        <w:rPr>
          <w:noProof/>
        </w:rPr>
        <w:t>ań wydawanych przez jednostki oceniające zgodność którejkolwiek ze stron zgodnie</w:t>
      </w:r>
      <w:r w:rsidR="008B35E8" w:rsidRPr="002866E5">
        <w:rPr>
          <w:noProof/>
        </w:rPr>
        <w:t xml:space="preserve"> z</w:t>
      </w:r>
      <w:r w:rsidR="008B35E8">
        <w:rPr>
          <w:noProof/>
        </w:rPr>
        <w:t> </w:t>
      </w:r>
      <w:r w:rsidR="008B35E8" w:rsidRPr="002866E5">
        <w:rPr>
          <w:noProof/>
        </w:rPr>
        <w:t>pra</w:t>
      </w:r>
      <w:r w:rsidR="00180622" w:rsidRPr="002866E5">
        <w:rPr>
          <w:noProof/>
        </w:rPr>
        <w:t>wodawstwem drugiej strony. Obecnie umowy</w:t>
      </w:r>
      <w:r w:rsidR="008B35E8" w:rsidRPr="002866E5">
        <w:rPr>
          <w:noProof/>
        </w:rPr>
        <w:t xml:space="preserve"> o</w:t>
      </w:r>
      <w:r w:rsidR="008B35E8">
        <w:rPr>
          <w:noProof/>
        </w:rPr>
        <w:t> </w:t>
      </w:r>
      <w:r w:rsidR="008B35E8" w:rsidRPr="002866E5">
        <w:rPr>
          <w:noProof/>
        </w:rPr>
        <w:t>wza</w:t>
      </w:r>
      <w:r w:rsidR="00180622" w:rsidRPr="002866E5">
        <w:rPr>
          <w:noProof/>
        </w:rPr>
        <w:t>jemnym uznawaniu obowiązują</w:t>
      </w:r>
      <w:r w:rsidR="008B35E8" w:rsidRPr="002866E5">
        <w:rPr>
          <w:noProof/>
        </w:rPr>
        <w:t xml:space="preserve"> w</w:t>
      </w:r>
      <w:r w:rsidR="008B35E8">
        <w:rPr>
          <w:noProof/>
        </w:rPr>
        <w:t> </w:t>
      </w:r>
      <w:r w:rsidR="008B35E8" w:rsidRPr="002866E5">
        <w:rPr>
          <w:noProof/>
        </w:rPr>
        <w:t>odn</w:t>
      </w:r>
      <w:r w:rsidR="00180622" w:rsidRPr="002866E5">
        <w:rPr>
          <w:noProof/>
        </w:rPr>
        <w:t>iesieniu do kilku krajów. Umowy zawarto</w:t>
      </w:r>
      <w:r w:rsidR="008B35E8" w:rsidRPr="002866E5">
        <w:rPr>
          <w:noProof/>
        </w:rPr>
        <w:t xml:space="preserve"> w</w:t>
      </w:r>
      <w:r w:rsidR="008B35E8">
        <w:rPr>
          <w:noProof/>
        </w:rPr>
        <w:t> </w:t>
      </w:r>
      <w:r w:rsidR="008B35E8" w:rsidRPr="002866E5">
        <w:rPr>
          <w:noProof/>
        </w:rPr>
        <w:t>odn</w:t>
      </w:r>
      <w:r w:rsidR="00180622" w:rsidRPr="002866E5">
        <w:rPr>
          <w:noProof/>
        </w:rPr>
        <w:t>iesieniu do szeregu sektorów, które mogą różnić się</w:t>
      </w:r>
      <w:r w:rsidR="008B35E8" w:rsidRPr="002866E5">
        <w:rPr>
          <w:noProof/>
        </w:rPr>
        <w:t xml:space="preserve"> w</w:t>
      </w:r>
      <w:r w:rsidR="008B35E8">
        <w:rPr>
          <w:noProof/>
        </w:rPr>
        <w:t> </w:t>
      </w:r>
      <w:r w:rsidR="008B35E8" w:rsidRPr="002866E5">
        <w:rPr>
          <w:noProof/>
        </w:rPr>
        <w:t>zal</w:t>
      </w:r>
      <w:r w:rsidR="00180622" w:rsidRPr="002866E5">
        <w:rPr>
          <w:noProof/>
        </w:rPr>
        <w:t>eżności od kraju. Aby jeszcze bardziej ułatwić handel,</w:t>
      </w:r>
      <w:r w:rsidR="008B35E8" w:rsidRPr="002866E5">
        <w:rPr>
          <w:noProof/>
        </w:rPr>
        <w:t xml:space="preserve"> a</w:t>
      </w:r>
      <w:r w:rsidR="008B35E8">
        <w:rPr>
          <w:noProof/>
        </w:rPr>
        <w:t> </w:t>
      </w:r>
      <w:r w:rsidR="008B35E8" w:rsidRPr="002866E5">
        <w:rPr>
          <w:noProof/>
        </w:rPr>
        <w:t>tak</w:t>
      </w:r>
      <w:r w:rsidR="00180622" w:rsidRPr="002866E5">
        <w:rPr>
          <w:noProof/>
        </w:rPr>
        <w:t>że</w:t>
      </w:r>
      <w:r w:rsidR="008B35E8" w:rsidRPr="002866E5">
        <w:rPr>
          <w:noProof/>
        </w:rPr>
        <w:t xml:space="preserve"> z</w:t>
      </w:r>
      <w:r w:rsidR="008B35E8">
        <w:rPr>
          <w:noProof/>
        </w:rPr>
        <w:t> </w:t>
      </w:r>
      <w:r w:rsidR="008B35E8" w:rsidRPr="002866E5">
        <w:rPr>
          <w:noProof/>
        </w:rPr>
        <w:t>uwa</w:t>
      </w:r>
      <w:r w:rsidR="00180622" w:rsidRPr="002866E5">
        <w:rPr>
          <w:noProof/>
        </w:rPr>
        <w:t>gi na fakt, że łańcuchy dostaw produktów</w:t>
      </w:r>
      <w:r w:rsidR="008B35E8" w:rsidRPr="002866E5">
        <w:rPr>
          <w:noProof/>
        </w:rPr>
        <w:t xml:space="preserve"> z</w:t>
      </w:r>
      <w:r w:rsidR="008B35E8">
        <w:rPr>
          <w:noProof/>
        </w:rPr>
        <w:t> </w:t>
      </w:r>
      <w:r w:rsidR="008B35E8" w:rsidRPr="002866E5">
        <w:rPr>
          <w:noProof/>
        </w:rPr>
        <w:t>ele</w:t>
      </w:r>
      <w:r w:rsidR="00180622" w:rsidRPr="002866E5">
        <w:rPr>
          <w:noProof/>
        </w:rPr>
        <w:t>mentami cyfrowymi mają charakter globalny, umowy</w:t>
      </w:r>
      <w:r w:rsidR="008B35E8" w:rsidRPr="002866E5">
        <w:rPr>
          <w:noProof/>
        </w:rPr>
        <w:t xml:space="preserve"> o</w:t>
      </w:r>
      <w:r w:rsidR="008B35E8">
        <w:rPr>
          <w:noProof/>
        </w:rPr>
        <w:t> </w:t>
      </w:r>
      <w:r w:rsidR="008B35E8" w:rsidRPr="002866E5">
        <w:rPr>
          <w:noProof/>
        </w:rPr>
        <w:t>wza</w:t>
      </w:r>
      <w:r w:rsidR="00180622" w:rsidRPr="002866E5">
        <w:rPr>
          <w:noProof/>
        </w:rPr>
        <w:t>jemnym uznawaniu dotyczące oceny zgodności mogą być zawierane przez Unię</w:t>
      </w:r>
      <w:r w:rsidR="008B35E8" w:rsidRPr="002866E5">
        <w:rPr>
          <w:noProof/>
        </w:rPr>
        <w:t xml:space="preserve"> w</w:t>
      </w:r>
      <w:r w:rsidR="008B35E8">
        <w:rPr>
          <w:noProof/>
        </w:rPr>
        <w:t> </w:t>
      </w:r>
      <w:r w:rsidR="008B35E8" w:rsidRPr="002866E5">
        <w:rPr>
          <w:noProof/>
        </w:rPr>
        <w:t>odn</w:t>
      </w:r>
      <w:r w:rsidR="00180622" w:rsidRPr="002866E5">
        <w:rPr>
          <w:noProof/>
        </w:rPr>
        <w:t>iesieniu do produktów regulowanych na podstawie niniejszego rozporządzenia zgodnie</w:t>
      </w:r>
      <w:r w:rsidR="008B35E8" w:rsidRPr="002866E5">
        <w:rPr>
          <w:noProof/>
        </w:rPr>
        <w:t xml:space="preserve"> z</w:t>
      </w:r>
      <w:r w:rsidR="008B35E8">
        <w:rPr>
          <w:noProof/>
        </w:rPr>
        <w:t> </w:t>
      </w:r>
      <w:r w:rsidR="008B35E8" w:rsidRPr="008B35E8">
        <w:rPr>
          <w:noProof/>
        </w:rPr>
        <w:t>art</w:t>
      </w:r>
      <w:r w:rsidR="00180622" w:rsidRPr="008B35E8">
        <w:rPr>
          <w:noProof/>
        </w:rPr>
        <w:t>.</w:t>
      </w:r>
      <w:r w:rsidR="008B35E8" w:rsidRPr="008B35E8">
        <w:rPr>
          <w:noProof/>
        </w:rPr>
        <w:t> </w:t>
      </w:r>
      <w:r w:rsidR="00180622" w:rsidRPr="008B35E8">
        <w:rPr>
          <w:noProof/>
        </w:rPr>
        <w:t>2</w:t>
      </w:r>
      <w:r w:rsidR="00180622" w:rsidRPr="002866E5">
        <w:rPr>
          <w:noProof/>
        </w:rPr>
        <w:t>18 TFUE</w:t>
      </w:r>
      <w:r w:rsidR="008B35E8" w:rsidRPr="002866E5">
        <w:rPr>
          <w:noProof/>
        </w:rPr>
        <w:t xml:space="preserve">. </w:t>
      </w:r>
      <w:r w:rsidR="008B35E8" w:rsidRPr="002866E5">
        <w:rPr>
          <w:noProof/>
          <w:color w:val="000000" w:themeColor="text1"/>
        </w:rPr>
        <w:t>W</w:t>
      </w:r>
      <w:r w:rsidR="008B35E8">
        <w:rPr>
          <w:noProof/>
        </w:rPr>
        <w:t> </w:t>
      </w:r>
      <w:r w:rsidR="008B35E8" w:rsidRPr="002866E5">
        <w:rPr>
          <w:noProof/>
          <w:color w:val="000000" w:themeColor="text1"/>
        </w:rPr>
        <w:t>kon</w:t>
      </w:r>
      <w:r w:rsidR="00180622" w:rsidRPr="002866E5">
        <w:rPr>
          <w:noProof/>
          <w:color w:val="000000" w:themeColor="text1"/>
        </w:rPr>
        <w:t>tekście wzmocnienia cyberodporności</w:t>
      </w:r>
      <w:r w:rsidR="008B35E8" w:rsidRPr="002866E5">
        <w:rPr>
          <w:noProof/>
          <w:color w:val="000000" w:themeColor="text1"/>
        </w:rPr>
        <w:t xml:space="preserve"> w</w:t>
      </w:r>
      <w:r w:rsidR="008B35E8">
        <w:rPr>
          <w:noProof/>
          <w:color w:val="000000" w:themeColor="text1"/>
        </w:rPr>
        <w:t> </w:t>
      </w:r>
      <w:r w:rsidR="008B35E8" w:rsidRPr="002866E5">
        <w:rPr>
          <w:noProof/>
          <w:color w:val="000000" w:themeColor="text1"/>
        </w:rPr>
        <w:t>wym</w:t>
      </w:r>
      <w:r w:rsidR="00180622" w:rsidRPr="002866E5">
        <w:rPr>
          <w:noProof/>
          <w:color w:val="000000" w:themeColor="text1"/>
        </w:rPr>
        <w:t>iarze globalnym ważna jest także współpraca</w:t>
      </w:r>
      <w:r w:rsidR="008B35E8" w:rsidRPr="002866E5">
        <w:rPr>
          <w:noProof/>
          <w:color w:val="000000" w:themeColor="text1"/>
        </w:rPr>
        <w:t xml:space="preserve"> z</w:t>
      </w:r>
      <w:r w:rsidR="008B35E8">
        <w:rPr>
          <w:noProof/>
          <w:color w:val="000000" w:themeColor="text1"/>
        </w:rPr>
        <w:t> </w:t>
      </w:r>
      <w:r w:rsidR="008B35E8" w:rsidRPr="002866E5">
        <w:rPr>
          <w:noProof/>
          <w:color w:val="000000" w:themeColor="text1"/>
        </w:rPr>
        <w:t>kra</w:t>
      </w:r>
      <w:r w:rsidR="00180622" w:rsidRPr="002866E5">
        <w:rPr>
          <w:noProof/>
          <w:color w:val="000000" w:themeColor="text1"/>
        </w:rPr>
        <w:t>jami partnerskimi, gdyż</w:t>
      </w:r>
      <w:r w:rsidR="008B35E8" w:rsidRPr="002866E5">
        <w:rPr>
          <w:noProof/>
          <w:color w:val="000000" w:themeColor="text1"/>
        </w:rPr>
        <w:t xml:space="preserve"> w</w:t>
      </w:r>
      <w:r w:rsidR="008B35E8">
        <w:rPr>
          <w:noProof/>
          <w:color w:val="000000" w:themeColor="text1"/>
        </w:rPr>
        <w:t> </w:t>
      </w:r>
      <w:r w:rsidR="008B35E8" w:rsidRPr="002866E5">
        <w:rPr>
          <w:noProof/>
          <w:color w:val="000000" w:themeColor="text1"/>
        </w:rPr>
        <w:t>per</w:t>
      </w:r>
      <w:r w:rsidR="00180622" w:rsidRPr="002866E5">
        <w:rPr>
          <w:noProof/>
          <w:color w:val="000000" w:themeColor="text1"/>
        </w:rPr>
        <w:t>spektywie długoterminowej przyczyni się ona do wzmocnienia ram cyberbezpieczeństwa zarówno</w:t>
      </w:r>
      <w:r w:rsidR="008B35E8" w:rsidRPr="002866E5">
        <w:rPr>
          <w:noProof/>
          <w:color w:val="000000" w:themeColor="text1"/>
        </w:rPr>
        <w:t xml:space="preserve"> w</w:t>
      </w:r>
      <w:r w:rsidR="008B35E8">
        <w:rPr>
          <w:noProof/>
          <w:color w:val="000000" w:themeColor="text1"/>
        </w:rPr>
        <w:t> </w:t>
      </w:r>
      <w:r w:rsidR="008B35E8" w:rsidRPr="002866E5">
        <w:rPr>
          <w:noProof/>
          <w:color w:val="000000" w:themeColor="text1"/>
        </w:rPr>
        <w:t>Uni</w:t>
      </w:r>
      <w:r w:rsidR="00180622" w:rsidRPr="002866E5">
        <w:rPr>
          <w:noProof/>
          <w:color w:val="000000" w:themeColor="text1"/>
        </w:rPr>
        <w:t>i, jak</w:t>
      </w:r>
      <w:r w:rsidR="008B35E8" w:rsidRPr="002866E5">
        <w:rPr>
          <w:noProof/>
          <w:color w:val="000000" w:themeColor="text1"/>
        </w:rPr>
        <w:t xml:space="preserve"> i</w:t>
      </w:r>
      <w:r w:rsidR="008B35E8">
        <w:rPr>
          <w:noProof/>
          <w:color w:val="000000" w:themeColor="text1"/>
        </w:rPr>
        <w:t> </w:t>
      </w:r>
      <w:r w:rsidR="008B35E8" w:rsidRPr="002866E5">
        <w:rPr>
          <w:noProof/>
          <w:color w:val="000000" w:themeColor="text1"/>
        </w:rPr>
        <w:t>poz</w:t>
      </w:r>
      <w:r w:rsidR="00180622" w:rsidRPr="002866E5">
        <w:rPr>
          <w:noProof/>
          <w:color w:val="000000" w:themeColor="text1"/>
        </w:rPr>
        <w:t>a nią.</w:t>
      </w:r>
    </w:p>
    <w:p w14:paraId="67ED870D" w14:textId="10FBCEA6" w:rsidR="00FE2C8A" w:rsidRPr="002866E5" w:rsidRDefault="00B4087C" w:rsidP="00B4087C">
      <w:pPr>
        <w:pStyle w:val="ManualConsidrant"/>
        <w:rPr>
          <w:noProof/>
        </w:rPr>
      </w:pPr>
      <w:r w:rsidRPr="00B4087C">
        <w:t>(68)</w:t>
      </w:r>
      <w:r w:rsidRPr="00B4087C">
        <w:tab/>
      </w:r>
      <w:r w:rsidR="00E90908" w:rsidRPr="002866E5">
        <w:rPr>
          <w:noProof/>
        </w:rPr>
        <w:t>Komisja powinna okresowo dokonywać przeglądu niniejszego rozporządzenia,</w:t>
      </w:r>
      <w:r w:rsidR="008B35E8" w:rsidRPr="002866E5">
        <w:rPr>
          <w:noProof/>
        </w:rPr>
        <w:t xml:space="preserve"> w</w:t>
      </w:r>
      <w:r w:rsidR="008B35E8">
        <w:rPr>
          <w:noProof/>
        </w:rPr>
        <w:t> </w:t>
      </w:r>
      <w:r w:rsidR="008B35E8" w:rsidRPr="002866E5">
        <w:rPr>
          <w:noProof/>
        </w:rPr>
        <w:t>dro</w:t>
      </w:r>
      <w:r w:rsidR="00E90908" w:rsidRPr="002866E5">
        <w:rPr>
          <w:noProof/>
        </w:rPr>
        <w:t>dze konsultacji</w:t>
      </w:r>
      <w:r w:rsidR="008B35E8" w:rsidRPr="002866E5">
        <w:rPr>
          <w:noProof/>
        </w:rPr>
        <w:t xml:space="preserve"> z</w:t>
      </w:r>
      <w:r w:rsidR="008B35E8">
        <w:rPr>
          <w:noProof/>
        </w:rPr>
        <w:t> </w:t>
      </w:r>
      <w:r w:rsidR="008B35E8" w:rsidRPr="002866E5">
        <w:rPr>
          <w:noProof/>
        </w:rPr>
        <w:t>zai</w:t>
      </w:r>
      <w:r w:rsidR="00E90908" w:rsidRPr="002866E5">
        <w:rPr>
          <w:noProof/>
        </w:rPr>
        <w:t>nteresowanymi stronami,</w:t>
      </w:r>
      <w:r w:rsidR="008B35E8" w:rsidRPr="002866E5">
        <w:rPr>
          <w:noProof/>
        </w:rPr>
        <w:t xml:space="preserve"> w</w:t>
      </w:r>
      <w:r w:rsidR="008B35E8">
        <w:rPr>
          <w:noProof/>
        </w:rPr>
        <w:t> </w:t>
      </w:r>
      <w:r w:rsidR="008B35E8" w:rsidRPr="002866E5">
        <w:rPr>
          <w:noProof/>
        </w:rPr>
        <w:t>szc</w:t>
      </w:r>
      <w:r w:rsidR="00E90908" w:rsidRPr="002866E5">
        <w:rPr>
          <w:noProof/>
        </w:rPr>
        <w:t>zególności</w:t>
      </w:r>
      <w:r w:rsidR="008B35E8" w:rsidRPr="002866E5">
        <w:rPr>
          <w:noProof/>
        </w:rPr>
        <w:t xml:space="preserve"> w</w:t>
      </w:r>
      <w:r w:rsidR="008B35E8">
        <w:rPr>
          <w:noProof/>
        </w:rPr>
        <w:t> </w:t>
      </w:r>
      <w:r w:rsidR="008B35E8" w:rsidRPr="002866E5">
        <w:rPr>
          <w:noProof/>
        </w:rPr>
        <w:t>cel</w:t>
      </w:r>
      <w:r w:rsidR="00E90908" w:rsidRPr="002866E5">
        <w:rPr>
          <w:noProof/>
        </w:rPr>
        <w:t>u sprawdzenia, czy konieczne jest wprowadzenie zmian</w:t>
      </w:r>
      <w:r w:rsidR="008B35E8" w:rsidRPr="002866E5">
        <w:rPr>
          <w:noProof/>
        </w:rPr>
        <w:t xml:space="preserve"> w</w:t>
      </w:r>
      <w:r w:rsidR="008B35E8">
        <w:rPr>
          <w:noProof/>
        </w:rPr>
        <w:t> </w:t>
      </w:r>
      <w:r w:rsidR="008B35E8" w:rsidRPr="002866E5">
        <w:rPr>
          <w:noProof/>
        </w:rPr>
        <w:t>świ</w:t>
      </w:r>
      <w:r w:rsidR="00E90908" w:rsidRPr="002866E5">
        <w:rPr>
          <w:noProof/>
        </w:rPr>
        <w:t>etle zmieniających się warunków społecznych, politycznych, technologicznych lub rynkowych.</w:t>
      </w:r>
    </w:p>
    <w:p w14:paraId="67ED870E" w14:textId="5C284C16" w:rsidR="00AD64C4" w:rsidRPr="002866E5" w:rsidRDefault="00B4087C" w:rsidP="00B4087C">
      <w:pPr>
        <w:pStyle w:val="ManualConsidrant"/>
        <w:rPr>
          <w:noProof/>
        </w:rPr>
      </w:pPr>
      <w:r w:rsidRPr="00B4087C">
        <w:t>(69)</w:t>
      </w:r>
      <w:r w:rsidRPr="00B4087C">
        <w:tab/>
      </w:r>
      <w:r w:rsidR="006C6B33" w:rsidRPr="002866E5">
        <w:rPr>
          <w:noProof/>
        </w:rPr>
        <w:t>Podmiotom gospodarczym należy zapewnić wystarczająco dużo czasu na dostosowanie się do wymogów niniejszego rozporządzenia. Niniejsze rozporządzenie powinno mieć zastosowanie po upływie [24 miesięcy] od jego wejścia</w:t>
      </w:r>
      <w:r w:rsidR="008B35E8" w:rsidRPr="002866E5">
        <w:rPr>
          <w:noProof/>
        </w:rPr>
        <w:t xml:space="preserve"> w</w:t>
      </w:r>
      <w:r w:rsidR="008B35E8">
        <w:rPr>
          <w:noProof/>
        </w:rPr>
        <w:t> </w:t>
      </w:r>
      <w:r w:rsidR="008B35E8" w:rsidRPr="002866E5">
        <w:rPr>
          <w:noProof/>
        </w:rPr>
        <w:t>życ</w:t>
      </w:r>
      <w:r w:rsidR="006C6B33" w:rsidRPr="002866E5">
        <w:rPr>
          <w:noProof/>
        </w:rPr>
        <w:t>ie,</w:t>
      </w:r>
      <w:r w:rsidR="008B35E8" w:rsidRPr="002866E5">
        <w:rPr>
          <w:noProof/>
        </w:rPr>
        <w:t xml:space="preserve"> z</w:t>
      </w:r>
      <w:r w:rsidR="008B35E8">
        <w:rPr>
          <w:noProof/>
        </w:rPr>
        <w:t> </w:t>
      </w:r>
      <w:r w:rsidR="008B35E8" w:rsidRPr="002866E5">
        <w:rPr>
          <w:noProof/>
        </w:rPr>
        <w:t>wyj</w:t>
      </w:r>
      <w:r w:rsidR="006C6B33" w:rsidRPr="002866E5">
        <w:rPr>
          <w:noProof/>
        </w:rPr>
        <w:t>ątkiem obowiązków</w:t>
      </w:r>
      <w:r w:rsidR="008B35E8" w:rsidRPr="002866E5">
        <w:rPr>
          <w:noProof/>
        </w:rPr>
        <w:t xml:space="preserve"> w</w:t>
      </w:r>
      <w:r w:rsidR="008B35E8">
        <w:rPr>
          <w:noProof/>
        </w:rPr>
        <w:t> </w:t>
      </w:r>
      <w:r w:rsidR="008B35E8" w:rsidRPr="002866E5">
        <w:rPr>
          <w:noProof/>
        </w:rPr>
        <w:t>zak</w:t>
      </w:r>
      <w:r w:rsidR="006C6B33" w:rsidRPr="002866E5">
        <w:rPr>
          <w:noProof/>
        </w:rPr>
        <w:t>resie zgłaszania incydentów dotyczących aktywnie wykorzystywanych podatności oraz incydentów, które to przepisy powinny mieć zastosowanie po upływie [12 miesięcy] od wejścia</w:t>
      </w:r>
      <w:r w:rsidR="008B35E8" w:rsidRPr="002866E5">
        <w:rPr>
          <w:noProof/>
        </w:rPr>
        <w:t xml:space="preserve"> w</w:t>
      </w:r>
      <w:r w:rsidR="008B35E8">
        <w:rPr>
          <w:noProof/>
        </w:rPr>
        <w:t> </w:t>
      </w:r>
      <w:r w:rsidR="008B35E8" w:rsidRPr="002866E5">
        <w:rPr>
          <w:noProof/>
        </w:rPr>
        <w:t>życ</w:t>
      </w:r>
      <w:r w:rsidR="006C6B33" w:rsidRPr="002866E5">
        <w:rPr>
          <w:noProof/>
        </w:rPr>
        <w:t xml:space="preserve">ie niniejszego rozporządzenia. </w:t>
      </w:r>
    </w:p>
    <w:p w14:paraId="67ED870F" w14:textId="4D233EAD" w:rsidR="000A0E7E" w:rsidRPr="002866E5" w:rsidRDefault="00B4087C" w:rsidP="00B4087C">
      <w:pPr>
        <w:pStyle w:val="ManualConsidrant"/>
        <w:rPr>
          <w:noProof/>
        </w:rPr>
      </w:pPr>
      <w:r w:rsidRPr="00B4087C">
        <w:lastRenderedPageBreak/>
        <w:t>(70)</w:t>
      </w:r>
      <w:r w:rsidRPr="00B4087C">
        <w:tab/>
      </w:r>
      <w:r w:rsidR="002C2089" w:rsidRPr="002866E5">
        <w:rPr>
          <w:noProof/>
        </w:rPr>
        <w:t>Ponieważ cel niniejszego rozporządzenia nie może zostać osiągnięty</w:t>
      </w:r>
      <w:r w:rsidR="008B35E8" w:rsidRPr="002866E5">
        <w:rPr>
          <w:noProof/>
        </w:rPr>
        <w:t xml:space="preserve"> w</w:t>
      </w:r>
      <w:r w:rsidR="008B35E8">
        <w:rPr>
          <w:noProof/>
        </w:rPr>
        <w:t> </w:t>
      </w:r>
      <w:r w:rsidR="008B35E8" w:rsidRPr="002866E5">
        <w:rPr>
          <w:noProof/>
        </w:rPr>
        <w:t>spo</w:t>
      </w:r>
      <w:r w:rsidR="002C2089" w:rsidRPr="002866E5">
        <w:rPr>
          <w:noProof/>
        </w:rPr>
        <w:t>sób wystarczający przez państwa członkowskie, natomiast ze względu na skutki działania możliwe jest lepsze jego osiągnięcie na poziomie Unii, Unia może podjąć działania zgodnie</w:t>
      </w:r>
      <w:r w:rsidR="008B35E8" w:rsidRPr="002866E5">
        <w:rPr>
          <w:noProof/>
        </w:rPr>
        <w:t xml:space="preserve"> z</w:t>
      </w:r>
      <w:r w:rsidR="008B35E8">
        <w:rPr>
          <w:noProof/>
        </w:rPr>
        <w:t> </w:t>
      </w:r>
      <w:r w:rsidR="008B35E8" w:rsidRPr="002866E5">
        <w:rPr>
          <w:noProof/>
        </w:rPr>
        <w:t>zas</w:t>
      </w:r>
      <w:r w:rsidR="002C2089" w:rsidRPr="002866E5">
        <w:rPr>
          <w:noProof/>
        </w:rPr>
        <w:t>adą pomocniczości określoną</w:t>
      </w:r>
      <w:r w:rsidR="008B35E8" w:rsidRPr="002866E5">
        <w:rPr>
          <w:noProof/>
        </w:rPr>
        <w:t xml:space="preserve"> w</w:t>
      </w:r>
      <w:r w:rsidR="008B35E8">
        <w:rPr>
          <w:noProof/>
        </w:rPr>
        <w:t> </w:t>
      </w:r>
      <w:r w:rsidR="008B35E8" w:rsidRPr="008B35E8">
        <w:rPr>
          <w:noProof/>
        </w:rPr>
        <w:t>art</w:t>
      </w:r>
      <w:r w:rsidR="002C2089" w:rsidRPr="008B35E8">
        <w:rPr>
          <w:noProof/>
        </w:rPr>
        <w:t>.</w:t>
      </w:r>
      <w:r w:rsidR="008B35E8" w:rsidRPr="008B35E8">
        <w:rPr>
          <w:noProof/>
        </w:rPr>
        <w:t> </w:t>
      </w:r>
      <w:r w:rsidR="002C2089" w:rsidRPr="008B35E8">
        <w:rPr>
          <w:noProof/>
        </w:rPr>
        <w:t>5</w:t>
      </w:r>
      <w:r w:rsidR="002C2089" w:rsidRPr="002866E5">
        <w:rPr>
          <w:noProof/>
        </w:rPr>
        <w:t xml:space="preserve"> Traktatu</w:t>
      </w:r>
      <w:r w:rsidR="008B35E8" w:rsidRPr="002866E5">
        <w:rPr>
          <w:noProof/>
        </w:rPr>
        <w:t xml:space="preserve"> o</w:t>
      </w:r>
      <w:r w:rsidR="008B35E8">
        <w:rPr>
          <w:noProof/>
        </w:rPr>
        <w:t> </w:t>
      </w:r>
      <w:r w:rsidR="008B35E8" w:rsidRPr="002866E5">
        <w:rPr>
          <w:noProof/>
        </w:rPr>
        <w:t>Uni</w:t>
      </w:r>
      <w:r w:rsidR="002C2089" w:rsidRPr="002866E5">
        <w:rPr>
          <w:noProof/>
        </w:rPr>
        <w:t>i Europejskiej. Zgodnie</w:t>
      </w:r>
      <w:r w:rsidR="008B35E8" w:rsidRPr="002866E5">
        <w:rPr>
          <w:noProof/>
        </w:rPr>
        <w:t xml:space="preserve"> z</w:t>
      </w:r>
      <w:r w:rsidR="008B35E8">
        <w:rPr>
          <w:noProof/>
        </w:rPr>
        <w:t> </w:t>
      </w:r>
      <w:r w:rsidR="008B35E8" w:rsidRPr="002866E5">
        <w:rPr>
          <w:noProof/>
        </w:rPr>
        <w:t>zas</w:t>
      </w:r>
      <w:r w:rsidR="002C2089" w:rsidRPr="002866E5">
        <w:rPr>
          <w:noProof/>
        </w:rPr>
        <w:t>adą proporcjonalności określoną</w:t>
      </w:r>
      <w:r w:rsidR="008B35E8" w:rsidRPr="002866E5">
        <w:rPr>
          <w:noProof/>
        </w:rPr>
        <w:t xml:space="preserve"> w</w:t>
      </w:r>
      <w:r w:rsidR="008B35E8">
        <w:rPr>
          <w:noProof/>
        </w:rPr>
        <w:t> </w:t>
      </w:r>
      <w:r w:rsidR="008B35E8" w:rsidRPr="002866E5">
        <w:rPr>
          <w:noProof/>
        </w:rPr>
        <w:t>tym</w:t>
      </w:r>
      <w:r w:rsidR="002C2089" w:rsidRPr="002866E5">
        <w:rPr>
          <w:noProof/>
        </w:rPr>
        <w:t xml:space="preserve"> artykule niniejsze rozporządzenie nie wykracza poza to, co jest konieczne do osiągnięcia tego celu.</w:t>
      </w:r>
    </w:p>
    <w:p w14:paraId="67ED8710" w14:textId="261D4D17" w:rsidR="00435DFA" w:rsidRPr="002866E5" w:rsidRDefault="00B4087C" w:rsidP="00B4087C">
      <w:pPr>
        <w:pStyle w:val="ManualConsidrant"/>
        <w:rPr>
          <w:noProof/>
        </w:rPr>
      </w:pPr>
      <w:r w:rsidRPr="00B4087C">
        <w:t>(71)</w:t>
      </w:r>
      <w:r w:rsidRPr="00B4087C">
        <w:tab/>
      </w:r>
      <w:r w:rsidR="00435DFA" w:rsidRPr="002866E5">
        <w:rPr>
          <w:noProof/>
        </w:rPr>
        <w:t>Zgodnie</w:t>
      </w:r>
      <w:r w:rsidR="008B35E8" w:rsidRPr="002866E5">
        <w:rPr>
          <w:noProof/>
        </w:rPr>
        <w:t xml:space="preserve"> z</w:t>
      </w:r>
      <w:r w:rsidR="008B35E8">
        <w:rPr>
          <w:noProof/>
        </w:rPr>
        <w:t> </w:t>
      </w:r>
      <w:r w:rsidR="008B35E8" w:rsidRPr="002866E5">
        <w:rPr>
          <w:noProof/>
        </w:rPr>
        <w:t>art</w:t>
      </w:r>
      <w:r w:rsidR="00435DFA" w:rsidRPr="002866E5">
        <w:rPr>
          <w:noProof/>
        </w:rPr>
        <w:t>. 42 ust. 1 rozporządzenia (UE) 2018/1725 Parlamentu Europejskiego</w:t>
      </w:r>
      <w:r w:rsidR="008B35E8" w:rsidRPr="002866E5">
        <w:rPr>
          <w:noProof/>
        </w:rPr>
        <w:t xml:space="preserve"> i</w:t>
      </w:r>
      <w:r w:rsidR="008B35E8">
        <w:rPr>
          <w:noProof/>
        </w:rPr>
        <w:t> </w:t>
      </w:r>
      <w:r w:rsidR="008B35E8" w:rsidRPr="002866E5">
        <w:rPr>
          <w:noProof/>
        </w:rPr>
        <w:t>Rad</w:t>
      </w:r>
      <w:r w:rsidR="00435DFA" w:rsidRPr="002866E5">
        <w:rPr>
          <w:noProof/>
        </w:rPr>
        <w:t>y skonsultowano się</w:t>
      </w:r>
      <w:r w:rsidR="008B35E8" w:rsidRPr="002866E5">
        <w:rPr>
          <w:noProof/>
        </w:rPr>
        <w:t xml:space="preserve"> z</w:t>
      </w:r>
      <w:r w:rsidR="008B35E8">
        <w:rPr>
          <w:noProof/>
        </w:rPr>
        <w:t> </w:t>
      </w:r>
      <w:r w:rsidR="008B35E8" w:rsidRPr="002866E5">
        <w:rPr>
          <w:noProof/>
        </w:rPr>
        <w:t>Eur</w:t>
      </w:r>
      <w:r w:rsidR="00435DFA" w:rsidRPr="002866E5">
        <w:rPr>
          <w:noProof/>
        </w:rPr>
        <w:t>opejskim Inspektorem Ochrony Danych</w:t>
      </w:r>
      <w:r w:rsidR="00435DFA" w:rsidRPr="002866E5">
        <w:rPr>
          <w:rStyle w:val="FootnoteReference"/>
          <w:noProof/>
        </w:rPr>
        <w:footnoteReference w:id="36"/>
      </w:r>
      <w:r w:rsidR="00435DFA" w:rsidRPr="002866E5">
        <w:rPr>
          <w:noProof/>
        </w:rPr>
        <w:t>, który wydał opinię dnia […] r.,</w:t>
      </w:r>
    </w:p>
    <w:p w14:paraId="67ED8711" w14:textId="6AC311E2" w:rsidR="0037165D" w:rsidRPr="002866E5" w:rsidRDefault="0037165D" w:rsidP="00881943">
      <w:pPr>
        <w:pStyle w:val="Formuledadoption"/>
        <w:rPr>
          <w:noProof/>
        </w:rPr>
      </w:pPr>
      <w:r w:rsidRPr="002866E5">
        <w:rPr>
          <w:noProof/>
        </w:rPr>
        <w:t>PRZYJMUJĄ NINIEJSZE ROZPORZĄDZENIE:</w:t>
      </w:r>
    </w:p>
    <w:p w14:paraId="67ED8712" w14:textId="77777777" w:rsidR="00105BD1" w:rsidRPr="002866E5" w:rsidRDefault="0055391A" w:rsidP="0027065F">
      <w:pPr>
        <w:pStyle w:val="Titrearticle0"/>
        <w:rPr>
          <w:b/>
          <w:i w:val="0"/>
          <w:noProof/>
        </w:rPr>
      </w:pPr>
      <w:r w:rsidRPr="002866E5">
        <w:rPr>
          <w:b/>
          <w:i w:val="0"/>
          <w:noProof/>
        </w:rPr>
        <w:t xml:space="preserve">ROZDZIAŁ I </w:t>
      </w:r>
    </w:p>
    <w:p w14:paraId="67ED8713" w14:textId="77777777" w:rsidR="0055391A" w:rsidRPr="002866E5" w:rsidRDefault="0055391A" w:rsidP="0027065F">
      <w:pPr>
        <w:pStyle w:val="Titrearticle0"/>
        <w:rPr>
          <w:b/>
          <w:i w:val="0"/>
          <w:noProof/>
        </w:rPr>
      </w:pPr>
      <w:r w:rsidRPr="002866E5">
        <w:rPr>
          <w:b/>
          <w:i w:val="0"/>
          <w:noProof/>
        </w:rPr>
        <w:t>PRZEPISY OGÓLNE</w:t>
      </w:r>
    </w:p>
    <w:p w14:paraId="67ED8714" w14:textId="77777777" w:rsidR="0037165D" w:rsidRPr="002866E5" w:rsidRDefault="0037165D" w:rsidP="0027065F">
      <w:pPr>
        <w:pStyle w:val="Titrearticle0"/>
        <w:rPr>
          <w:noProof/>
        </w:rPr>
      </w:pPr>
      <w:r w:rsidRPr="002866E5">
        <w:rPr>
          <w:noProof/>
        </w:rPr>
        <w:t>Artykuł 1</w:t>
      </w:r>
    </w:p>
    <w:p w14:paraId="67ED8715" w14:textId="77777777" w:rsidR="00881943" w:rsidRPr="002866E5" w:rsidRDefault="005202F0" w:rsidP="00881943">
      <w:pPr>
        <w:jc w:val="center"/>
        <w:rPr>
          <w:i/>
          <w:noProof/>
        </w:rPr>
      </w:pPr>
      <w:r w:rsidRPr="002866E5">
        <w:rPr>
          <w:i/>
          <w:noProof/>
        </w:rPr>
        <w:t>Przedmiot</w:t>
      </w:r>
    </w:p>
    <w:p w14:paraId="67ED8716" w14:textId="77777777" w:rsidR="001058B5" w:rsidRPr="002866E5" w:rsidRDefault="001058B5" w:rsidP="001058B5">
      <w:pPr>
        <w:rPr>
          <w:noProof/>
          <w:szCs w:val="24"/>
        </w:rPr>
      </w:pPr>
      <w:r w:rsidRPr="002866E5">
        <w:rPr>
          <w:noProof/>
        </w:rPr>
        <w:t xml:space="preserve">W niniejszym rozporządzeniu ustanawia się: </w:t>
      </w:r>
    </w:p>
    <w:p w14:paraId="67ED8717" w14:textId="62CB4433" w:rsidR="00107536" w:rsidRPr="002866E5" w:rsidRDefault="009C20DD" w:rsidP="009C20DD">
      <w:pPr>
        <w:pStyle w:val="Point0"/>
        <w:rPr>
          <w:noProof/>
        </w:rPr>
      </w:pPr>
      <w:r w:rsidRPr="009C20DD">
        <w:rPr>
          <w:noProof/>
        </w:rPr>
        <w:t>a)</w:t>
      </w:r>
      <w:r w:rsidRPr="009C20DD">
        <w:rPr>
          <w:noProof/>
        </w:rPr>
        <w:tab/>
      </w:r>
      <w:r w:rsidR="00107536" w:rsidRPr="002866E5">
        <w:rPr>
          <w:noProof/>
        </w:rPr>
        <w:t>przepisy dotyczące wprowadzania do obrotu produktów</w:t>
      </w:r>
      <w:r w:rsidR="008B35E8" w:rsidRPr="002866E5">
        <w:rPr>
          <w:noProof/>
        </w:rPr>
        <w:t xml:space="preserve"> z</w:t>
      </w:r>
      <w:r w:rsidR="008B35E8">
        <w:rPr>
          <w:noProof/>
        </w:rPr>
        <w:t> </w:t>
      </w:r>
      <w:r w:rsidR="008B35E8" w:rsidRPr="002866E5">
        <w:rPr>
          <w:noProof/>
        </w:rPr>
        <w:t>ele</w:t>
      </w:r>
      <w:r w:rsidR="00107536" w:rsidRPr="002866E5">
        <w:rPr>
          <w:noProof/>
        </w:rPr>
        <w:t>mentami cyfrowymi</w:t>
      </w:r>
      <w:r w:rsidR="008B35E8" w:rsidRPr="002866E5">
        <w:rPr>
          <w:noProof/>
        </w:rPr>
        <w:t xml:space="preserve"> w</w:t>
      </w:r>
      <w:r w:rsidR="008B35E8">
        <w:rPr>
          <w:noProof/>
        </w:rPr>
        <w:t> </w:t>
      </w:r>
      <w:r w:rsidR="008B35E8" w:rsidRPr="002866E5">
        <w:rPr>
          <w:noProof/>
        </w:rPr>
        <w:t>cel</w:t>
      </w:r>
      <w:r w:rsidR="00107536" w:rsidRPr="002866E5">
        <w:rPr>
          <w:noProof/>
        </w:rPr>
        <w:t xml:space="preserve">u zapewnienia cyberbezpieczeństwa takich produktów; </w:t>
      </w:r>
    </w:p>
    <w:p w14:paraId="67ED8718" w14:textId="349CCA05" w:rsidR="001058B5" w:rsidRPr="002866E5" w:rsidRDefault="009C20DD" w:rsidP="009C20DD">
      <w:pPr>
        <w:pStyle w:val="Point0"/>
        <w:rPr>
          <w:noProof/>
        </w:rPr>
      </w:pPr>
      <w:r w:rsidRPr="009C20DD">
        <w:rPr>
          <w:noProof/>
        </w:rPr>
        <w:t>b)</w:t>
      </w:r>
      <w:r w:rsidRPr="009C20DD">
        <w:rPr>
          <w:noProof/>
        </w:rPr>
        <w:tab/>
      </w:r>
      <w:r w:rsidR="004C6466" w:rsidRPr="002866E5">
        <w:rPr>
          <w:noProof/>
        </w:rPr>
        <w:t>zasadnicze wymogi dotyczące projektowania, opracowywania</w:t>
      </w:r>
      <w:r w:rsidR="008B35E8" w:rsidRPr="002866E5">
        <w:rPr>
          <w:noProof/>
        </w:rPr>
        <w:t xml:space="preserve"> i</w:t>
      </w:r>
      <w:r w:rsidR="008B35E8">
        <w:rPr>
          <w:noProof/>
        </w:rPr>
        <w:t> </w:t>
      </w:r>
      <w:r w:rsidR="008B35E8" w:rsidRPr="002866E5">
        <w:rPr>
          <w:noProof/>
        </w:rPr>
        <w:t>pro</w:t>
      </w:r>
      <w:r w:rsidR="004C6466" w:rsidRPr="002866E5">
        <w:rPr>
          <w:noProof/>
        </w:rPr>
        <w:t>dukcji produktów</w:t>
      </w:r>
      <w:r w:rsidR="008B35E8" w:rsidRPr="002866E5">
        <w:rPr>
          <w:noProof/>
        </w:rPr>
        <w:t xml:space="preserve"> z</w:t>
      </w:r>
      <w:r w:rsidR="008B35E8">
        <w:rPr>
          <w:noProof/>
        </w:rPr>
        <w:t> </w:t>
      </w:r>
      <w:r w:rsidR="008B35E8" w:rsidRPr="002866E5">
        <w:rPr>
          <w:noProof/>
        </w:rPr>
        <w:t>ele</w:t>
      </w:r>
      <w:r w:rsidR="004C6466" w:rsidRPr="002866E5">
        <w:rPr>
          <w:noProof/>
        </w:rPr>
        <w:t>mentami cyfrowymi oraz obowiązki podmiotów gospodarczych</w:t>
      </w:r>
      <w:r w:rsidR="008B35E8" w:rsidRPr="002866E5">
        <w:rPr>
          <w:noProof/>
        </w:rPr>
        <w:t xml:space="preserve"> w</w:t>
      </w:r>
      <w:r w:rsidR="008B35E8">
        <w:rPr>
          <w:noProof/>
        </w:rPr>
        <w:t> </w:t>
      </w:r>
      <w:r w:rsidR="008B35E8" w:rsidRPr="002866E5">
        <w:rPr>
          <w:noProof/>
        </w:rPr>
        <w:t>odn</w:t>
      </w:r>
      <w:r w:rsidR="004C6466" w:rsidRPr="002866E5">
        <w:rPr>
          <w:noProof/>
        </w:rPr>
        <w:t>iesieniu do tych produktów</w:t>
      </w:r>
      <w:r w:rsidR="008B35E8" w:rsidRPr="002866E5">
        <w:rPr>
          <w:noProof/>
        </w:rPr>
        <w:t xml:space="preserve"> w</w:t>
      </w:r>
      <w:r w:rsidR="008B35E8">
        <w:rPr>
          <w:noProof/>
        </w:rPr>
        <w:t> </w:t>
      </w:r>
      <w:r w:rsidR="008B35E8" w:rsidRPr="002866E5">
        <w:rPr>
          <w:noProof/>
        </w:rPr>
        <w:t>zak</w:t>
      </w:r>
      <w:r w:rsidR="004C6466" w:rsidRPr="002866E5">
        <w:rPr>
          <w:noProof/>
        </w:rPr>
        <w:t>resie cyberbezpieczeństwa;</w:t>
      </w:r>
    </w:p>
    <w:p w14:paraId="67ED8719" w14:textId="407C06F0" w:rsidR="001058B5" w:rsidRPr="002866E5" w:rsidRDefault="009C20DD" w:rsidP="009C20DD">
      <w:pPr>
        <w:pStyle w:val="Point0"/>
        <w:rPr>
          <w:noProof/>
        </w:rPr>
      </w:pPr>
      <w:r w:rsidRPr="009C20DD">
        <w:rPr>
          <w:noProof/>
        </w:rPr>
        <w:t>c)</w:t>
      </w:r>
      <w:r w:rsidRPr="009C20DD">
        <w:rPr>
          <w:noProof/>
        </w:rPr>
        <w:tab/>
      </w:r>
      <w:r w:rsidR="00C33BA8" w:rsidRPr="002866E5">
        <w:rPr>
          <w:noProof/>
        </w:rPr>
        <w:t>zasadnicze wymogi dotyczące procedur postępowania</w:t>
      </w:r>
      <w:r w:rsidR="008B35E8" w:rsidRPr="002866E5">
        <w:rPr>
          <w:noProof/>
        </w:rPr>
        <w:t xml:space="preserve"> w</w:t>
      </w:r>
      <w:r w:rsidR="008B35E8">
        <w:rPr>
          <w:noProof/>
        </w:rPr>
        <w:t> </w:t>
      </w:r>
      <w:r w:rsidR="008B35E8" w:rsidRPr="002866E5">
        <w:rPr>
          <w:noProof/>
        </w:rPr>
        <w:t>prz</w:t>
      </w:r>
      <w:r w:rsidR="00C33BA8" w:rsidRPr="002866E5">
        <w:rPr>
          <w:noProof/>
        </w:rPr>
        <w:t>ypadku wykrycia podatności wprowadzonych przez producentów</w:t>
      </w:r>
      <w:r w:rsidR="008B35E8" w:rsidRPr="002866E5">
        <w:rPr>
          <w:noProof/>
        </w:rPr>
        <w:t xml:space="preserve"> w</w:t>
      </w:r>
      <w:r w:rsidR="008B35E8">
        <w:rPr>
          <w:noProof/>
        </w:rPr>
        <w:t> </w:t>
      </w:r>
      <w:r w:rsidR="008B35E8" w:rsidRPr="002866E5">
        <w:rPr>
          <w:noProof/>
        </w:rPr>
        <w:t>cel</w:t>
      </w:r>
      <w:r w:rsidR="00C33BA8" w:rsidRPr="002866E5">
        <w:rPr>
          <w:noProof/>
        </w:rPr>
        <w:t>u zapewnienia cyberbezpieczeństwa produktów</w:t>
      </w:r>
      <w:r w:rsidR="008B35E8" w:rsidRPr="002866E5">
        <w:rPr>
          <w:noProof/>
        </w:rPr>
        <w:t xml:space="preserve"> z</w:t>
      </w:r>
      <w:r w:rsidR="008B35E8">
        <w:rPr>
          <w:noProof/>
        </w:rPr>
        <w:t> </w:t>
      </w:r>
      <w:r w:rsidR="008B35E8" w:rsidRPr="002866E5">
        <w:rPr>
          <w:noProof/>
        </w:rPr>
        <w:t>ele</w:t>
      </w:r>
      <w:r w:rsidR="00C33BA8" w:rsidRPr="002866E5">
        <w:rPr>
          <w:noProof/>
        </w:rPr>
        <w:t>mentami cyfrowymi</w:t>
      </w:r>
      <w:r w:rsidR="008B35E8" w:rsidRPr="002866E5">
        <w:rPr>
          <w:noProof/>
        </w:rPr>
        <w:t xml:space="preserve"> w</w:t>
      </w:r>
      <w:r w:rsidR="008B35E8">
        <w:rPr>
          <w:noProof/>
        </w:rPr>
        <w:t> </w:t>
      </w:r>
      <w:r w:rsidR="008B35E8" w:rsidRPr="002866E5">
        <w:rPr>
          <w:noProof/>
        </w:rPr>
        <w:t>cał</w:t>
      </w:r>
      <w:r w:rsidR="00C33BA8" w:rsidRPr="002866E5">
        <w:rPr>
          <w:noProof/>
        </w:rPr>
        <w:t>ym cyklu życia oraz obowiązki podmiotów gospodarczych</w:t>
      </w:r>
      <w:r w:rsidR="008B35E8" w:rsidRPr="002866E5">
        <w:rPr>
          <w:noProof/>
        </w:rPr>
        <w:t xml:space="preserve"> w</w:t>
      </w:r>
      <w:r w:rsidR="008B35E8">
        <w:rPr>
          <w:noProof/>
        </w:rPr>
        <w:t> </w:t>
      </w:r>
      <w:r w:rsidR="008B35E8" w:rsidRPr="002866E5">
        <w:rPr>
          <w:noProof/>
        </w:rPr>
        <w:t>odn</w:t>
      </w:r>
      <w:r w:rsidR="00C33BA8" w:rsidRPr="002866E5">
        <w:rPr>
          <w:noProof/>
        </w:rPr>
        <w:t>iesieniu do tych procedur;</w:t>
      </w:r>
    </w:p>
    <w:p w14:paraId="67ED871A" w14:textId="50025264" w:rsidR="00107536" w:rsidRPr="002866E5" w:rsidRDefault="009C20DD" w:rsidP="009C20DD">
      <w:pPr>
        <w:pStyle w:val="Point0"/>
        <w:rPr>
          <w:noProof/>
        </w:rPr>
      </w:pPr>
      <w:r w:rsidRPr="009C20DD">
        <w:rPr>
          <w:noProof/>
        </w:rPr>
        <w:t>d)</w:t>
      </w:r>
      <w:r w:rsidRPr="009C20DD">
        <w:rPr>
          <w:noProof/>
        </w:rPr>
        <w:tab/>
      </w:r>
      <w:r w:rsidR="00107536" w:rsidRPr="002866E5">
        <w:rPr>
          <w:noProof/>
        </w:rPr>
        <w:t>przepisy dotyczące nadzoru rynku</w:t>
      </w:r>
      <w:r w:rsidR="008B35E8" w:rsidRPr="002866E5">
        <w:rPr>
          <w:noProof/>
        </w:rPr>
        <w:t xml:space="preserve"> i</w:t>
      </w:r>
      <w:r w:rsidR="008B35E8">
        <w:rPr>
          <w:noProof/>
        </w:rPr>
        <w:t> </w:t>
      </w:r>
      <w:r w:rsidR="008B35E8" w:rsidRPr="002866E5">
        <w:rPr>
          <w:noProof/>
        </w:rPr>
        <w:t>egz</w:t>
      </w:r>
      <w:r w:rsidR="00107536" w:rsidRPr="002866E5">
        <w:rPr>
          <w:noProof/>
        </w:rPr>
        <w:t>ekwowania wyżej wymienionych przepisów</w:t>
      </w:r>
      <w:r w:rsidR="008B35E8" w:rsidRPr="002866E5">
        <w:rPr>
          <w:noProof/>
        </w:rPr>
        <w:t xml:space="preserve"> i</w:t>
      </w:r>
      <w:r w:rsidR="008B35E8">
        <w:rPr>
          <w:noProof/>
        </w:rPr>
        <w:t> </w:t>
      </w:r>
      <w:r w:rsidR="008B35E8" w:rsidRPr="002866E5">
        <w:rPr>
          <w:noProof/>
        </w:rPr>
        <w:t>wym</w:t>
      </w:r>
      <w:r w:rsidR="00107536" w:rsidRPr="002866E5">
        <w:rPr>
          <w:noProof/>
        </w:rPr>
        <w:t>ogów.</w:t>
      </w:r>
    </w:p>
    <w:p w14:paraId="67ED871B" w14:textId="77777777" w:rsidR="005202F0" w:rsidRPr="002866E5" w:rsidRDefault="005202F0" w:rsidP="0027065F">
      <w:pPr>
        <w:pStyle w:val="Titrearticle0"/>
        <w:rPr>
          <w:noProof/>
        </w:rPr>
      </w:pPr>
      <w:r w:rsidRPr="002866E5">
        <w:rPr>
          <w:noProof/>
        </w:rPr>
        <w:t>Artykuł 2</w:t>
      </w:r>
    </w:p>
    <w:p w14:paraId="67ED871C" w14:textId="77777777" w:rsidR="005202F0" w:rsidRPr="002866E5" w:rsidRDefault="005202F0" w:rsidP="005202F0">
      <w:pPr>
        <w:jc w:val="center"/>
        <w:rPr>
          <w:i/>
          <w:noProof/>
        </w:rPr>
      </w:pPr>
      <w:r w:rsidRPr="002866E5">
        <w:rPr>
          <w:i/>
          <w:noProof/>
        </w:rPr>
        <w:t>Zakres</w:t>
      </w:r>
    </w:p>
    <w:p w14:paraId="67ED871D" w14:textId="5B1740C9" w:rsidR="00373021" w:rsidRPr="002866E5" w:rsidRDefault="00B4087C" w:rsidP="00B4087C">
      <w:pPr>
        <w:pStyle w:val="ManualNumPar1"/>
        <w:rPr>
          <w:noProof/>
        </w:rPr>
      </w:pPr>
      <w:r w:rsidRPr="00B4087C">
        <w:t>1.</w:t>
      </w:r>
      <w:r w:rsidRPr="00B4087C">
        <w:tab/>
      </w:r>
      <w:r w:rsidR="00B00CAA" w:rsidRPr="002866E5">
        <w:rPr>
          <w:noProof/>
        </w:rPr>
        <w:t>Niniejsze rozporządzenie stosuje się do produktów</w:t>
      </w:r>
      <w:r w:rsidR="008B35E8" w:rsidRPr="002866E5">
        <w:rPr>
          <w:noProof/>
        </w:rPr>
        <w:t xml:space="preserve"> z</w:t>
      </w:r>
      <w:r w:rsidR="008B35E8">
        <w:rPr>
          <w:noProof/>
        </w:rPr>
        <w:t> </w:t>
      </w:r>
      <w:r w:rsidR="008B35E8" w:rsidRPr="002866E5">
        <w:rPr>
          <w:noProof/>
        </w:rPr>
        <w:t>ele</w:t>
      </w:r>
      <w:r w:rsidR="00B00CAA" w:rsidRPr="002866E5">
        <w:rPr>
          <w:noProof/>
        </w:rPr>
        <w:t>mentami cyfrowymi, których przeznaczenie lub racjonalnie przewidywalne wykorzystanie obejmuje bezpośrednie lub pośrednie logiczne lub fizyczne połączenie danych</w:t>
      </w:r>
      <w:r w:rsidR="008B35E8" w:rsidRPr="002866E5">
        <w:rPr>
          <w:noProof/>
        </w:rPr>
        <w:t xml:space="preserve"> z</w:t>
      </w:r>
      <w:r w:rsidR="008B35E8">
        <w:rPr>
          <w:noProof/>
        </w:rPr>
        <w:t> </w:t>
      </w:r>
      <w:r w:rsidR="008B35E8" w:rsidRPr="002866E5">
        <w:rPr>
          <w:noProof/>
        </w:rPr>
        <w:t>urz</w:t>
      </w:r>
      <w:r w:rsidR="00B00CAA" w:rsidRPr="002866E5">
        <w:rPr>
          <w:noProof/>
        </w:rPr>
        <w:t>ądzeniem lub siecią.</w:t>
      </w:r>
    </w:p>
    <w:p w14:paraId="67ED871E" w14:textId="449D2167" w:rsidR="00B00CAA" w:rsidRPr="002866E5" w:rsidRDefault="00B4087C" w:rsidP="00B4087C">
      <w:pPr>
        <w:pStyle w:val="ManualNumPar1"/>
        <w:rPr>
          <w:noProof/>
        </w:rPr>
      </w:pPr>
      <w:r w:rsidRPr="00B4087C">
        <w:t>2.</w:t>
      </w:r>
      <w:r w:rsidRPr="00B4087C">
        <w:tab/>
      </w:r>
      <w:r w:rsidR="00B00CAA" w:rsidRPr="002866E5">
        <w:rPr>
          <w:noProof/>
        </w:rPr>
        <w:t>Niniejszego rozporządzenia nie stosuje się do produktów</w:t>
      </w:r>
      <w:r w:rsidR="008B35E8" w:rsidRPr="002866E5">
        <w:rPr>
          <w:noProof/>
        </w:rPr>
        <w:t xml:space="preserve"> z</w:t>
      </w:r>
      <w:r w:rsidR="008B35E8">
        <w:rPr>
          <w:noProof/>
        </w:rPr>
        <w:t> </w:t>
      </w:r>
      <w:r w:rsidR="008B35E8" w:rsidRPr="002866E5">
        <w:rPr>
          <w:noProof/>
        </w:rPr>
        <w:t>ele</w:t>
      </w:r>
      <w:r w:rsidR="00B00CAA" w:rsidRPr="002866E5">
        <w:rPr>
          <w:noProof/>
        </w:rPr>
        <w:t>mentami cyfrowymi, do których zastosowanie mają następujące akty Unii:</w:t>
      </w:r>
    </w:p>
    <w:p w14:paraId="67ED871F" w14:textId="48FCF98F" w:rsidR="00B00CAA" w:rsidRPr="002866E5" w:rsidRDefault="009C20DD" w:rsidP="009C20DD">
      <w:pPr>
        <w:pStyle w:val="Point1"/>
        <w:rPr>
          <w:noProof/>
        </w:rPr>
      </w:pPr>
      <w:r w:rsidRPr="009C20DD">
        <w:rPr>
          <w:noProof/>
        </w:rPr>
        <w:t>a)</w:t>
      </w:r>
      <w:r w:rsidRPr="009C20DD">
        <w:rPr>
          <w:noProof/>
        </w:rPr>
        <w:tab/>
      </w:r>
      <w:r w:rsidR="00F74FD6" w:rsidRPr="002866E5">
        <w:rPr>
          <w:noProof/>
        </w:rPr>
        <w:t>rozporządzenie (UE) 2017/745;</w:t>
      </w:r>
    </w:p>
    <w:p w14:paraId="67ED8720" w14:textId="0B40636D" w:rsidR="00B0749D" w:rsidRPr="002866E5" w:rsidRDefault="009C20DD" w:rsidP="009C20DD">
      <w:pPr>
        <w:pStyle w:val="Point1"/>
        <w:rPr>
          <w:noProof/>
        </w:rPr>
      </w:pPr>
      <w:r w:rsidRPr="009C20DD">
        <w:rPr>
          <w:noProof/>
        </w:rPr>
        <w:lastRenderedPageBreak/>
        <w:t>b)</w:t>
      </w:r>
      <w:r w:rsidRPr="009C20DD">
        <w:rPr>
          <w:noProof/>
        </w:rPr>
        <w:tab/>
      </w:r>
      <w:r w:rsidR="00B0749D" w:rsidRPr="002866E5">
        <w:rPr>
          <w:noProof/>
        </w:rPr>
        <w:t>rozporządzenie (UE) 2017/746;</w:t>
      </w:r>
    </w:p>
    <w:p w14:paraId="67ED8721" w14:textId="04E9D7DD" w:rsidR="0048019D" w:rsidRPr="002866E5" w:rsidRDefault="009C20DD" w:rsidP="009C20DD">
      <w:pPr>
        <w:pStyle w:val="Point1"/>
        <w:rPr>
          <w:noProof/>
        </w:rPr>
      </w:pPr>
      <w:r w:rsidRPr="009C20DD">
        <w:rPr>
          <w:noProof/>
        </w:rPr>
        <w:t>c)</w:t>
      </w:r>
      <w:r w:rsidRPr="009C20DD">
        <w:rPr>
          <w:noProof/>
        </w:rPr>
        <w:tab/>
      </w:r>
      <w:r w:rsidR="00E90908" w:rsidRPr="002866E5">
        <w:rPr>
          <w:noProof/>
        </w:rPr>
        <w:t>rozporządzenie (UE) 2019/2144.</w:t>
      </w:r>
    </w:p>
    <w:p w14:paraId="67ED8722" w14:textId="5C51AE6B" w:rsidR="00093045" w:rsidRPr="002866E5" w:rsidRDefault="00B4087C" w:rsidP="00B4087C">
      <w:pPr>
        <w:pStyle w:val="ManualNumPar1"/>
        <w:rPr>
          <w:noProof/>
        </w:rPr>
      </w:pPr>
      <w:r w:rsidRPr="00B4087C">
        <w:t>3.</w:t>
      </w:r>
      <w:r w:rsidRPr="00B4087C">
        <w:tab/>
      </w:r>
      <w:r w:rsidR="00093045" w:rsidRPr="002866E5">
        <w:rPr>
          <w:noProof/>
        </w:rPr>
        <w:t>Niniejszego rozporządzenia nie stosuje się do produktów</w:t>
      </w:r>
      <w:r w:rsidR="008B35E8" w:rsidRPr="002866E5">
        <w:rPr>
          <w:noProof/>
        </w:rPr>
        <w:t xml:space="preserve"> z</w:t>
      </w:r>
      <w:r w:rsidR="008B35E8">
        <w:rPr>
          <w:noProof/>
        </w:rPr>
        <w:t> </w:t>
      </w:r>
      <w:r w:rsidR="008B35E8" w:rsidRPr="002866E5">
        <w:rPr>
          <w:noProof/>
        </w:rPr>
        <w:t>ele</w:t>
      </w:r>
      <w:r w:rsidR="00093045" w:rsidRPr="002866E5">
        <w:rPr>
          <w:noProof/>
        </w:rPr>
        <w:t>mentami cyfrowymi, które uzyskały certyfikację zgodnie</w:t>
      </w:r>
      <w:r w:rsidR="008B35E8" w:rsidRPr="002866E5">
        <w:rPr>
          <w:noProof/>
        </w:rPr>
        <w:t xml:space="preserve"> z</w:t>
      </w:r>
      <w:r w:rsidR="008B35E8">
        <w:rPr>
          <w:noProof/>
        </w:rPr>
        <w:t> </w:t>
      </w:r>
      <w:r w:rsidR="008B35E8" w:rsidRPr="002866E5">
        <w:rPr>
          <w:noProof/>
        </w:rPr>
        <w:t>roz</w:t>
      </w:r>
      <w:r w:rsidR="00093045" w:rsidRPr="002866E5">
        <w:rPr>
          <w:noProof/>
        </w:rPr>
        <w:t>porządzeniem (UE) 2018/1139.</w:t>
      </w:r>
    </w:p>
    <w:p w14:paraId="67ED8723" w14:textId="1C53F7AF" w:rsidR="00A0165A" w:rsidRPr="002866E5" w:rsidRDefault="00B4087C" w:rsidP="00B4087C">
      <w:pPr>
        <w:pStyle w:val="ManualNumPar1"/>
        <w:rPr>
          <w:noProof/>
          <w:szCs w:val="24"/>
        </w:rPr>
      </w:pPr>
      <w:r w:rsidRPr="00B4087C">
        <w:t>4.</w:t>
      </w:r>
      <w:r w:rsidRPr="00B4087C">
        <w:tab/>
      </w:r>
      <w:r w:rsidR="00A0165A" w:rsidRPr="002866E5">
        <w:rPr>
          <w:noProof/>
        </w:rPr>
        <w:t>Stosowanie niniejszego rozporządzenia do produktów</w:t>
      </w:r>
      <w:r w:rsidR="008B35E8" w:rsidRPr="002866E5">
        <w:rPr>
          <w:noProof/>
        </w:rPr>
        <w:t xml:space="preserve"> z</w:t>
      </w:r>
      <w:r w:rsidR="008B35E8">
        <w:rPr>
          <w:noProof/>
        </w:rPr>
        <w:t> </w:t>
      </w:r>
      <w:r w:rsidR="008B35E8" w:rsidRPr="002866E5">
        <w:rPr>
          <w:noProof/>
        </w:rPr>
        <w:t>ele</w:t>
      </w:r>
      <w:r w:rsidR="00A0165A" w:rsidRPr="002866E5">
        <w:rPr>
          <w:noProof/>
        </w:rPr>
        <w:t>mentami cyfrowymi objętych innymi przepisami unijnymi ustanawiającymi wymogi odnoszące się do wszystkich lub niektórych rodzajów ryzyka objętych zasadniczymi wymogami określonymi</w:t>
      </w:r>
      <w:r w:rsidR="008B35E8" w:rsidRPr="002866E5">
        <w:rPr>
          <w:noProof/>
        </w:rPr>
        <w:t xml:space="preserve"> w</w:t>
      </w:r>
      <w:r w:rsidR="008B35E8">
        <w:rPr>
          <w:noProof/>
        </w:rPr>
        <w:t> </w:t>
      </w:r>
      <w:r w:rsidR="008B35E8" w:rsidRPr="002866E5">
        <w:rPr>
          <w:noProof/>
        </w:rPr>
        <w:t>zał</w:t>
      </w:r>
      <w:r w:rsidR="00A0165A" w:rsidRPr="002866E5">
        <w:rPr>
          <w:noProof/>
        </w:rPr>
        <w:t>ączniku I może zostać ograniczone lub podlegać wyłączeniu, jeżeli:</w:t>
      </w:r>
    </w:p>
    <w:p w14:paraId="67ED8724" w14:textId="0B1A9509" w:rsidR="00A0165A" w:rsidRPr="002866E5" w:rsidRDefault="009C20DD" w:rsidP="009C20DD">
      <w:pPr>
        <w:pStyle w:val="Point2"/>
        <w:rPr>
          <w:noProof/>
          <w:szCs w:val="24"/>
        </w:rPr>
      </w:pPr>
      <w:r w:rsidRPr="009C20DD">
        <w:rPr>
          <w:noProof/>
        </w:rPr>
        <w:t>a)</w:t>
      </w:r>
      <w:r w:rsidRPr="009C20DD">
        <w:rPr>
          <w:noProof/>
        </w:rPr>
        <w:tab/>
      </w:r>
      <w:r w:rsidR="00A0165A" w:rsidRPr="002866E5">
        <w:rPr>
          <w:noProof/>
        </w:rPr>
        <w:t>takie ograniczenie lub wyłączenie jest spójne</w:t>
      </w:r>
      <w:r w:rsidR="008B35E8" w:rsidRPr="002866E5">
        <w:rPr>
          <w:noProof/>
        </w:rPr>
        <w:t xml:space="preserve"> z</w:t>
      </w:r>
      <w:r w:rsidR="008B35E8">
        <w:rPr>
          <w:noProof/>
        </w:rPr>
        <w:t> </w:t>
      </w:r>
      <w:r w:rsidR="008B35E8" w:rsidRPr="002866E5">
        <w:rPr>
          <w:noProof/>
        </w:rPr>
        <w:t>ogó</w:t>
      </w:r>
      <w:r w:rsidR="00A0165A" w:rsidRPr="002866E5">
        <w:rPr>
          <w:noProof/>
        </w:rPr>
        <w:t>lnymi ramami regulacyjnymi mającymi zastosowanie do tych produktów oraz</w:t>
      </w:r>
    </w:p>
    <w:p w14:paraId="67ED8725" w14:textId="4586BB2B" w:rsidR="00A0165A" w:rsidRPr="002866E5" w:rsidRDefault="009C20DD" w:rsidP="009C20DD">
      <w:pPr>
        <w:pStyle w:val="Point2"/>
        <w:rPr>
          <w:noProof/>
          <w:szCs w:val="24"/>
        </w:rPr>
      </w:pPr>
      <w:r w:rsidRPr="009C20DD">
        <w:rPr>
          <w:noProof/>
        </w:rPr>
        <w:t>b)</w:t>
      </w:r>
      <w:r w:rsidRPr="009C20DD">
        <w:rPr>
          <w:noProof/>
        </w:rPr>
        <w:tab/>
      </w:r>
      <w:r w:rsidR="00A0165A" w:rsidRPr="002866E5">
        <w:rPr>
          <w:noProof/>
        </w:rPr>
        <w:t>przepisy sektorowe zapewniają taki sam poziom ochrony jak ten przewidziany</w:t>
      </w:r>
      <w:r w:rsidR="008B35E8" w:rsidRPr="002866E5">
        <w:rPr>
          <w:noProof/>
        </w:rPr>
        <w:t xml:space="preserve"> w</w:t>
      </w:r>
      <w:r w:rsidR="008B35E8">
        <w:rPr>
          <w:noProof/>
        </w:rPr>
        <w:t> </w:t>
      </w:r>
      <w:r w:rsidR="008B35E8" w:rsidRPr="002866E5">
        <w:rPr>
          <w:noProof/>
        </w:rPr>
        <w:t>nin</w:t>
      </w:r>
      <w:r w:rsidR="00A0165A" w:rsidRPr="002866E5">
        <w:rPr>
          <w:noProof/>
        </w:rPr>
        <w:t xml:space="preserve">iejszym rozporządzeniu. </w:t>
      </w:r>
    </w:p>
    <w:p w14:paraId="67ED8726" w14:textId="63568E30" w:rsidR="00FF4D37" w:rsidRPr="002866E5" w:rsidRDefault="00A0165A" w:rsidP="000A6E88">
      <w:pPr>
        <w:pStyle w:val="Text1"/>
        <w:rPr>
          <w:noProof/>
        </w:rPr>
      </w:pPr>
      <w:r w:rsidRPr="002866E5">
        <w:rPr>
          <w:noProof/>
        </w:rPr>
        <w:t>Komisja jest uprawniona do przyjmowania aktów delegowanych zgodnie</w:t>
      </w:r>
      <w:r w:rsidR="008B35E8" w:rsidRPr="002866E5">
        <w:rPr>
          <w:noProof/>
        </w:rPr>
        <w:t xml:space="preserve"> z</w:t>
      </w:r>
      <w:r w:rsidR="008B35E8">
        <w:rPr>
          <w:noProof/>
        </w:rPr>
        <w:t> </w:t>
      </w:r>
      <w:r w:rsidR="008B35E8" w:rsidRPr="008B35E8">
        <w:rPr>
          <w:noProof/>
        </w:rPr>
        <w:t>art</w:t>
      </w:r>
      <w:r w:rsidRPr="008B35E8">
        <w:rPr>
          <w:noProof/>
        </w:rPr>
        <w:t>.</w:t>
      </w:r>
      <w:r w:rsidR="008B35E8" w:rsidRPr="008B35E8">
        <w:rPr>
          <w:noProof/>
        </w:rPr>
        <w:t> </w:t>
      </w:r>
      <w:r w:rsidRPr="008B35E8">
        <w:rPr>
          <w:noProof/>
        </w:rPr>
        <w:t>5</w:t>
      </w:r>
      <w:r w:rsidRPr="002866E5">
        <w:rPr>
          <w:noProof/>
        </w:rPr>
        <w:t>0</w:t>
      </w:r>
      <w:r w:rsidR="008B35E8" w:rsidRPr="002866E5">
        <w:rPr>
          <w:noProof/>
        </w:rPr>
        <w:t xml:space="preserve"> w</w:t>
      </w:r>
      <w:r w:rsidR="008B35E8">
        <w:rPr>
          <w:noProof/>
        </w:rPr>
        <w:t> </w:t>
      </w:r>
      <w:r w:rsidR="008B35E8" w:rsidRPr="002866E5">
        <w:rPr>
          <w:noProof/>
        </w:rPr>
        <w:t>cel</w:t>
      </w:r>
      <w:r w:rsidRPr="002866E5">
        <w:rPr>
          <w:noProof/>
        </w:rPr>
        <w:t>u zmiany niniejszego rozporządzenia polegającej na określeniu, czy takie ograniczenie lub wyłączenie jest niezbędne, określeniu odnośnych produktów</w:t>
      </w:r>
      <w:r w:rsidR="008B35E8" w:rsidRPr="002866E5">
        <w:rPr>
          <w:noProof/>
        </w:rPr>
        <w:t xml:space="preserve"> i</w:t>
      </w:r>
      <w:r w:rsidR="008B35E8">
        <w:rPr>
          <w:noProof/>
        </w:rPr>
        <w:t> </w:t>
      </w:r>
      <w:r w:rsidR="008B35E8" w:rsidRPr="002866E5">
        <w:rPr>
          <w:noProof/>
        </w:rPr>
        <w:t>prz</w:t>
      </w:r>
      <w:r w:rsidRPr="002866E5">
        <w:rPr>
          <w:noProof/>
        </w:rPr>
        <w:t>episów, jak również –</w:t>
      </w:r>
      <w:r w:rsidR="008B35E8" w:rsidRPr="002866E5">
        <w:rPr>
          <w:noProof/>
        </w:rPr>
        <w:t xml:space="preserve"> w</w:t>
      </w:r>
      <w:r w:rsidR="008B35E8">
        <w:rPr>
          <w:noProof/>
        </w:rPr>
        <w:t> </w:t>
      </w:r>
      <w:r w:rsidR="008B35E8" w:rsidRPr="002866E5">
        <w:rPr>
          <w:noProof/>
        </w:rPr>
        <w:t>sto</w:t>
      </w:r>
      <w:r w:rsidRPr="002866E5">
        <w:rPr>
          <w:noProof/>
        </w:rPr>
        <w:t xml:space="preserve">sownych przypadkach – zakresu ograniczenia. </w:t>
      </w:r>
    </w:p>
    <w:p w14:paraId="67ED8727" w14:textId="3291BEDD" w:rsidR="001A66D4" w:rsidRPr="002866E5" w:rsidRDefault="00B4087C" w:rsidP="00B4087C">
      <w:pPr>
        <w:pStyle w:val="ManualNumPar1"/>
        <w:rPr>
          <w:noProof/>
        </w:rPr>
      </w:pPr>
      <w:r w:rsidRPr="00B4087C">
        <w:t>5.</w:t>
      </w:r>
      <w:r w:rsidRPr="00B4087C">
        <w:tab/>
      </w:r>
      <w:r w:rsidR="001A66D4" w:rsidRPr="002866E5">
        <w:rPr>
          <w:noProof/>
        </w:rPr>
        <w:t>Niniejszego rozporządzenia nie stosuje się do produktów</w:t>
      </w:r>
      <w:r w:rsidR="008B35E8" w:rsidRPr="002866E5">
        <w:rPr>
          <w:noProof/>
        </w:rPr>
        <w:t xml:space="preserve"> z</w:t>
      </w:r>
      <w:r w:rsidR="008B35E8">
        <w:rPr>
          <w:noProof/>
        </w:rPr>
        <w:t> </w:t>
      </w:r>
      <w:r w:rsidR="008B35E8" w:rsidRPr="002866E5">
        <w:rPr>
          <w:noProof/>
        </w:rPr>
        <w:t>ele</w:t>
      </w:r>
      <w:r w:rsidR="001A66D4" w:rsidRPr="002866E5">
        <w:rPr>
          <w:noProof/>
        </w:rPr>
        <w:t>mentami cyfrowymi opracowanych wyłącznie na potrzeby bezpieczeństwa narodowego lub do celów wojskowych ani do produktów zaprojektowanych specjalnie</w:t>
      </w:r>
      <w:r w:rsidR="008B35E8" w:rsidRPr="002866E5">
        <w:rPr>
          <w:noProof/>
        </w:rPr>
        <w:t xml:space="preserve"> w</w:t>
      </w:r>
      <w:r w:rsidR="008B35E8">
        <w:rPr>
          <w:noProof/>
        </w:rPr>
        <w:t> </w:t>
      </w:r>
      <w:r w:rsidR="008B35E8" w:rsidRPr="002866E5">
        <w:rPr>
          <w:noProof/>
        </w:rPr>
        <w:t>cel</w:t>
      </w:r>
      <w:r w:rsidR="001A66D4" w:rsidRPr="002866E5">
        <w:rPr>
          <w:noProof/>
        </w:rPr>
        <w:t>u przetwarzania informacji niejawnych.</w:t>
      </w:r>
    </w:p>
    <w:p w14:paraId="67ED8728" w14:textId="77777777" w:rsidR="005202F0" w:rsidRPr="002866E5" w:rsidRDefault="005202F0" w:rsidP="0027065F">
      <w:pPr>
        <w:pStyle w:val="Titrearticle0"/>
        <w:rPr>
          <w:noProof/>
        </w:rPr>
      </w:pPr>
      <w:r w:rsidRPr="002866E5">
        <w:rPr>
          <w:noProof/>
        </w:rPr>
        <w:t>Artykuł 3</w:t>
      </w:r>
    </w:p>
    <w:p w14:paraId="67ED8729" w14:textId="77777777" w:rsidR="005202F0" w:rsidRPr="002866E5" w:rsidRDefault="005202F0" w:rsidP="005202F0">
      <w:pPr>
        <w:jc w:val="center"/>
        <w:rPr>
          <w:i/>
          <w:noProof/>
        </w:rPr>
      </w:pPr>
      <w:r w:rsidRPr="002866E5">
        <w:rPr>
          <w:i/>
          <w:noProof/>
        </w:rPr>
        <w:t>Definicje</w:t>
      </w:r>
    </w:p>
    <w:p w14:paraId="67ED872A" w14:textId="77777777" w:rsidR="005202F0" w:rsidRPr="002866E5" w:rsidRDefault="006622F2" w:rsidP="00881943">
      <w:pPr>
        <w:rPr>
          <w:noProof/>
        </w:rPr>
      </w:pPr>
      <w:r w:rsidRPr="002866E5">
        <w:rPr>
          <w:noProof/>
        </w:rPr>
        <w:t>Do celów niniejszego rozporządzenia stosuje się następujące definicje:</w:t>
      </w:r>
    </w:p>
    <w:p w14:paraId="67ED872B" w14:textId="3A88046F" w:rsidR="00CE4A7D" w:rsidRPr="002866E5" w:rsidRDefault="009C20DD" w:rsidP="009C20DD">
      <w:pPr>
        <w:pStyle w:val="Point0"/>
        <w:rPr>
          <w:noProof/>
        </w:rPr>
      </w:pPr>
      <w:r w:rsidRPr="009C20DD">
        <w:rPr>
          <w:noProof/>
        </w:rPr>
        <w:t>1)</w:t>
      </w:r>
      <w:r w:rsidRPr="009C20DD">
        <w:rPr>
          <w:noProof/>
        </w:rPr>
        <w:tab/>
      </w:r>
      <w:r w:rsidR="00CE4A7D" w:rsidRPr="002866E5">
        <w:rPr>
          <w:noProof/>
        </w:rPr>
        <w:t>„produkt</w:t>
      </w:r>
      <w:r w:rsidR="008B35E8" w:rsidRPr="002866E5">
        <w:rPr>
          <w:noProof/>
        </w:rPr>
        <w:t xml:space="preserve"> z</w:t>
      </w:r>
      <w:r w:rsidR="008B35E8">
        <w:rPr>
          <w:noProof/>
        </w:rPr>
        <w:t> </w:t>
      </w:r>
      <w:r w:rsidR="008B35E8" w:rsidRPr="002866E5">
        <w:rPr>
          <w:noProof/>
        </w:rPr>
        <w:t>ele</w:t>
      </w:r>
      <w:r w:rsidR="00CE4A7D" w:rsidRPr="002866E5">
        <w:rPr>
          <w:noProof/>
        </w:rPr>
        <w:t>mentami cyfrowymi” oznacza oprogramowanie komputerowe lub sprzęt komputerowy oraz powiązane</w:t>
      </w:r>
      <w:r w:rsidR="008B35E8" w:rsidRPr="002866E5">
        <w:rPr>
          <w:noProof/>
        </w:rPr>
        <w:t xml:space="preserve"> z</w:t>
      </w:r>
      <w:r w:rsidR="008B35E8">
        <w:rPr>
          <w:noProof/>
        </w:rPr>
        <w:t> </w:t>
      </w:r>
      <w:r w:rsidR="008B35E8" w:rsidRPr="002866E5">
        <w:rPr>
          <w:noProof/>
        </w:rPr>
        <w:t>nim</w:t>
      </w:r>
      <w:r w:rsidR="00CE4A7D" w:rsidRPr="002866E5">
        <w:rPr>
          <w:noProof/>
        </w:rPr>
        <w:t>i rozwiązania</w:t>
      </w:r>
      <w:r w:rsidR="008B35E8" w:rsidRPr="002866E5">
        <w:rPr>
          <w:noProof/>
        </w:rPr>
        <w:t xml:space="preserve"> w</w:t>
      </w:r>
      <w:r w:rsidR="008B35E8">
        <w:rPr>
          <w:noProof/>
        </w:rPr>
        <w:t> </w:t>
      </w:r>
      <w:r w:rsidR="008B35E8" w:rsidRPr="002866E5">
        <w:rPr>
          <w:noProof/>
        </w:rPr>
        <w:t>zak</w:t>
      </w:r>
      <w:r w:rsidR="00CE4A7D" w:rsidRPr="002866E5">
        <w:rPr>
          <w:noProof/>
        </w:rPr>
        <w:t>resie zdalnego przetwarzania danych,</w:t>
      </w:r>
      <w:r w:rsidR="008B35E8" w:rsidRPr="002866E5">
        <w:rPr>
          <w:noProof/>
        </w:rPr>
        <w:t xml:space="preserve"> w</w:t>
      </w:r>
      <w:r w:rsidR="008B35E8">
        <w:rPr>
          <w:noProof/>
        </w:rPr>
        <w:t> </w:t>
      </w:r>
      <w:r w:rsidR="008B35E8" w:rsidRPr="002866E5">
        <w:rPr>
          <w:noProof/>
        </w:rPr>
        <w:t>tym</w:t>
      </w:r>
      <w:r w:rsidR="00CE4A7D" w:rsidRPr="002866E5">
        <w:rPr>
          <w:noProof/>
        </w:rPr>
        <w:t xml:space="preserve"> komponenty oprogramowania lub sprzętu, które mają zostać oddzielnie wprowadzone do obrotu;</w:t>
      </w:r>
    </w:p>
    <w:p w14:paraId="67ED872C" w14:textId="21DCD433" w:rsidR="007200F9" w:rsidRPr="002866E5" w:rsidRDefault="000340F9" w:rsidP="009C20DD">
      <w:pPr>
        <w:pStyle w:val="Point0"/>
        <w:rPr>
          <w:noProof/>
        </w:rPr>
      </w:pPr>
      <w:r>
        <w:rPr>
          <w:noProof/>
        </w:rPr>
        <w:t>2</w:t>
      </w:r>
      <w:r w:rsidR="009C20DD" w:rsidRPr="009C20DD">
        <w:rPr>
          <w:noProof/>
        </w:rPr>
        <w:t>)</w:t>
      </w:r>
      <w:r w:rsidR="009C20DD" w:rsidRPr="009C20DD">
        <w:rPr>
          <w:noProof/>
        </w:rPr>
        <w:tab/>
      </w:r>
      <w:r w:rsidR="00C258B8" w:rsidRPr="002866E5">
        <w:rPr>
          <w:noProof/>
        </w:rPr>
        <w:t>„zdalne przetwarzanie danych” oznacza przetwarzanie danych na odległość, na potrzeby którego oprogramowanie zostało zaprojektowane</w:t>
      </w:r>
      <w:r w:rsidR="008B35E8" w:rsidRPr="002866E5">
        <w:rPr>
          <w:noProof/>
        </w:rPr>
        <w:t xml:space="preserve"> i</w:t>
      </w:r>
      <w:r w:rsidR="008B35E8">
        <w:rPr>
          <w:noProof/>
        </w:rPr>
        <w:t> </w:t>
      </w:r>
      <w:r w:rsidR="008B35E8" w:rsidRPr="002866E5">
        <w:rPr>
          <w:noProof/>
        </w:rPr>
        <w:t>opr</w:t>
      </w:r>
      <w:r w:rsidR="00C258B8" w:rsidRPr="002866E5">
        <w:rPr>
          <w:noProof/>
        </w:rPr>
        <w:t>acowane przez producenta lub na odpowiedzialność producenta,</w:t>
      </w:r>
      <w:r w:rsidR="008B35E8" w:rsidRPr="002866E5">
        <w:rPr>
          <w:noProof/>
        </w:rPr>
        <w:t xml:space="preserve"> a</w:t>
      </w:r>
      <w:r w:rsidR="008B35E8">
        <w:rPr>
          <w:noProof/>
        </w:rPr>
        <w:t> </w:t>
      </w:r>
      <w:r w:rsidR="008B35E8" w:rsidRPr="002866E5">
        <w:rPr>
          <w:noProof/>
        </w:rPr>
        <w:t>któ</w:t>
      </w:r>
      <w:r w:rsidR="00C258B8" w:rsidRPr="002866E5">
        <w:rPr>
          <w:noProof/>
        </w:rPr>
        <w:t>rego brak spowodowałby, że produkt</w:t>
      </w:r>
      <w:r w:rsidR="008B35E8" w:rsidRPr="002866E5">
        <w:rPr>
          <w:noProof/>
        </w:rPr>
        <w:t xml:space="preserve"> z</w:t>
      </w:r>
      <w:r w:rsidR="008B35E8">
        <w:rPr>
          <w:noProof/>
        </w:rPr>
        <w:t> </w:t>
      </w:r>
      <w:r w:rsidR="008B35E8" w:rsidRPr="002866E5">
        <w:rPr>
          <w:noProof/>
        </w:rPr>
        <w:t>ele</w:t>
      </w:r>
      <w:r w:rsidR="00C258B8" w:rsidRPr="002866E5">
        <w:rPr>
          <w:noProof/>
        </w:rPr>
        <w:t>mentami cyfrowymi nie mógłby wykonywać jednej ze swoich funkcji;</w:t>
      </w:r>
    </w:p>
    <w:p w14:paraId="67ED872D" w14:textId="77AD0DBF" w:rsidR="001C6B57" w:rsidRPr="002866E5" w:rsidRDefault="000340F9" w:rsidP="009C20DD">
      <w:pPr>
        <w:pStyle w:val="Point0"/>
        <w:rPr>
          <w:noProof/>
        </w:rPr>
      </w:pPr>
      <w:r>
        <w:rPr>
          <w:noProof/>
        </w:rPr>
        <w:t>3</w:t>
      </w:r>
      <w:r w:rsidR="009C20DD" w:rsidRPr="009C20DD">
        <w:rPr>
          <w:noProof/>
        </w:rPr>
        <w:t>)</w:t>
      </w:r>
      <w:r w:rsidR="009C20DD" w:rsidRPr="009C20DD">
        <w:rPr>
          <w:noProof/>
        </w:rPr>
        <w:tab/>
      </w:r>
      <w:r w:rsidR="00EC2738" w:rsidRPr="002866E5">
        <w:rPr>
          <w:noProof/>
        </w:rPr>
        <w:t>„produkt krytyczny</w:t>
      </w:r>
      <w:r w:rsidR="008B35E8" w:rsidRPr="002866E5">
        <w:rPr>
          <w:noProof/>
        </w:rPr>
        <w:t xml:space="preserve"> z</w:t>
      </w:r>
      <w:r w:rsidR="008B35E8">
        <w:rPr>
          <w:noProof/>
        </w:rPr>
        <w:t> </w:t>
      </w:r>
      <w:r w:rsidR="008B35E8" w:rsidRPr="002866E5">
        <w:rPr>
          <w:noProof/>
        </w:rPr>
        <w:t>ele</w:t>
      </w:r>
      <w:r w:rsidR="00EC2738" w:rsidRPr="002866E5">
        <w:rPr>
          <w:noProof/>
        </w:rPr>
        <w:t>mentami cyfrowymi” oznacza produkt</w:t>
      </w:r>
      <w:r w:rsidR="008B35E8" w:rsidRPr="002866E5">
        <w:rPr>
          <w:noProof/>
        </w:rPr>
        <w:t xml:space="preserve"> z</w:t>
      </w:r>
      <w:r w:rsidR="008B35E8">
        <w:rPr>
          <w:noProof/>
        </w:rPr>
        <w:t> </w:t>
      </w:r>
      <w:r w:rsidR="008B35E8" w:rsidRPr="002866E5">
        <w:rPr>
          <w:noProof/>
        </w:rPr>
        <w:t>ele</w:t>
      </w:r>
      <w:r w:rsidR="00EC2738" w:rsidRPr="002866E5">
        <w:rPr>
          <w:noProof/>
        </w:rPr>
        <w:t>mentami cyfrowymi, który stwarza ryzyko</w:t>
      </w:r>
      <w:r w:rsidR="008B35E8" w:rsidRPr="002866E5">
        <w:rPr>
          <w:noProof/>
        </w:rPr>
        <w:t xml:space="preserve"> w</w:t>
      </w:r>
      <w:r w:rsidR="008B35E8">
        <w:rPr>
          <w:noProof/>
        </w:rPr>
        <w:t> </w:t>
      </w:r>
      <w:r w:rsidR="008B35E8" w:rsidRPr="002866E5">
        <w:rPr>
          <w:noProof/>
        </w:rPr>
        <w:t>cyb</w:t>
      </w:r>
      <w:r w:rsidR="00EC2738" w:rsidRPr="002866E5">
        <w:rPr>
          <w:noProof/>
        </w:rPr>
        <w:t>erprzestrzeni zgodnie</w:t>
      </w:r>
      <w:r w:rsidR="008B35E8" w:rsidRPr="002866E5">
        <w:rPr>
          <w:noProof/>
        </w:rPr>
        <w:t xml:space="preserve"> z</w:t>
      </w:r>
      <w:r w:rsidR="008B35E8">
        <w:rPr>
          <w:noProof/>
        </w:rPr>
        <w:t> </w:t>
      </w:r>
      <w:r w:rsidR="008B35E8" w:rsidRPr="002866E5">
        <w:rPr>
          <w:noProof/>
        </w:rPr>
        <w:t>kry</w:t>
      </w:r>
      <w:r w:rsidR="00EC2738" w:rsidRPr="002866E5">
        <w:rPr>
          <w:noProof/>
        </w:rPr>
        <w:t>teriami określonymi</w:t>
      </w:r>
      <w:r w:rsidR="008B35E8" w:rsidRPr="002866E5">
        <w:rPr>
          <w:noProof/>
        </w:rPr>
        <w:t xml:space="preserve"> w</w:t>
      </w:r>
      <w:r w:rsidR="008B35E8">
        <w:rPr>
          <w:noProof/>
        </w:rPr>
        <w:t> </w:t>
      </w:r>
      <w:r w:rsidR="008B35E8" w:rsidRPr="008B35E8">
        <w:rPr>
          <w:noProof/>
        </w:rPr>
        <w:t>art</w:t>
      </w:r>
      <w:r w:rsidR="00EC2738" w:rsidRPr="008B35E8">
        <w:rPr>
          <w:noProof/>
        </w:rPr>
        <w:t>.</w:t>
      </w:r>
      <w:r w:rsidR="008B35E8" w:rsidRPr="008B35E8">
        <w:rPr>
          <w:noProof/>
        </w:rPr>
        <w:t> </w:t>
      </w:r>
      <w:r w:rsidR="00EC2738" w:rsidRPr="008B35E8">
        <w:rPr>
          <w:noProof/>
        </w:rPr>
        <w:t>6</w:t>
      </w:r>
      <w:r w:rsidR="00EC2738" w:rsidRPr="002866E5">
        <w:rPr>
          <w:noProof/>
        </w:rPr>
        <w:t xml:space="preserve"> </w:t>
      </w:r>
      <w:r w:rsidR="00EC2738" w:rsidRPr="008B35E8">
        <w:rPr>
          <w:noProof/>
        </w:rPr>
        <w:t>ust.</w:t>
      </w:r>
      <w:r w:rsidR="008B35E8" w:rsidRPr="008B35E8">
        <w:rPr>
          <w:noProof/>
        </w:rPr>
        <w:t> </w:t>
      </w:r>
      <w:r w:rsidR="00EC2738" w:rsidRPr="008B35E8">
        <w:rPr>
          <w:noProof/>
        </w:rPr>
        <w:t>2</w:t>
      </w:r>
      <w:r w:rsidR="00EC2738" w:rsidRPr="002866E5">
        <w:rPr>
          <w:noProof/>
        </w:rPr>
        <w:t xml:space="preserve"> oraz którego podstawowa funkcjonalność jest określona</w:t>
      </w:r>
      <w:r w:rsidR="008B35E8" w:rsidRPr="002866E5">
        <w:rPr>
          <w:noProof/>
        </w:rPr>
        <w:t xml:space="preserve"> w</w:t>
      </w:r>
      <w:r w:rsidR="008B35E8">
        <w:rPr>
          <w:noProof/>
        </w:rPr>
        <w:t> </w:t>
      </w:r>
      <w:r w:rsidR="008B35E8" w:rsidRPr="002866E5">
        <w:rPr>
          <w:noProof/>
        </w:rPr>
        <w:t>zał</w:t>
      </w:r>
      <w:r w:rsidR="00EC2738" w:rsidRPr="002866E5">
        <w:rPr>
          <w:noProof/>
        </w:rPr>
        <w:t>ączniku III;</w:t>
      </w:r>
    </w:p>
    <w:p w14:paraId="67ED872E" w14:textId="43C32616" w:rsidR="00B60852" w:rsidRPr="002866E5" w:rsidRDefault="000340F9" w:rsidP="009C20DD">
      <w:pPr>
        <w:pStyle w:val="Point0"/>
        <w:rPr>
          <w:noProof/>
        </w:rPr>
      </w:pPr>
      <w:r>
        <w:rPr>
          <w:noProof/>
        </w:rPr>
        <w:t>4</w:t>
      </w:r>
      <w:r w:rsidR="009C20DD" w:rsidRPr="009C20DD">
        <w:rPr>
          <w:noProof/>
        </w:rPr>
        <w:t>)</w:t>
      </w:r>
      <w:r w:rsidR="009C20DD" w:rsidRPr="009C20DD">
        <w:rPr>
          <w:noProof/>
        </w:rPr>
        <w:tab/>
      </w:r>
      <w:r w:rsidR="00FF4EE5" w:rsidRPr="002866E5">
        <w:rPr>
          <w:noProof/>
        </w:rPr>
        <w:t>„produkt wysoce krytyczny</w:t>
      </w:r>
      <w:r w:rsidR="008B35E8" w:rsidRPr="002866E5">
        <w:rPr>
          <w:noProof/>
        </w:rPr>
        <w:t xml:space="preserve"> z</w:t>
      </w:r>
      <w:r w:rsidR="008B35E8">
        <w:rPr>
          <w:noProof/>
        </w:rPr>
        <w:t> </w:t>
      </w:r>
      <w:r w:rsidR="008B35E8" w:rsidRPr="002866E5">
        <w:rPr>
          <w:noProof/>
        </w:rPr>
        <w:t>ele</w:t>
      </w:r>
      <w:r w:rsidR="00FF4EE5" w:rsidRPr="002866E5">
        <w:rPr>
          <w:noProof/>
        </w:rPr>
        <w:t>mentami cyfrowymi” oznacza produkt</w:t>
      </w:r>
      <w:r w:rsidR="008B35E8" w:rsidRPr="002866E5">
        <w:rPr>
          <w:noProof/>
        </w:rPr>
        <w:t xml:space="preserve"> z</w:t>
      </w:r>
      <w:r w:rsidR="008B35E8">
        <w:rPr>
          <w:noProof/>
        </w:rPr>
        <w:t> </w:t>
      </w:r>
      <w:r w:rsidR="008B35E8" w:rsidRPr="002866E5">
        <w:rPr>
          <w:noProof/>
        </w:rPr>
        <w:t>ele</w:t>
      </w:r>
      <w:r w:rsidR="00FF4EE5" w:rsidRPr="002866E5">
        <w:rPr>
          <w:noProof/>
        </w:rPr>
        <w:t>mentami cyfrowymi, który stwarza ryzyko</w:t>
      </w:r>
      <w:r w:rsidR="008B35E8" w:rsidRPr="002866E5">
        <w:rPr>
          <w:noProof/>
        </w:rPr>
        <w:t xml:space="preserve"> w</w:t>
      </w:r>
      <w:r w:rsidR="008B35E8">
        <w:rPr>
          <w:noProof/>
        </w:rPr>
        <w:t> </w:t>
      </w:r>
      <w:r w:rsidR="008B35E8" w:rsidRPr="002866E5">
        <w:rPr>
          <w:noProof/>
        </w:rPr>
        <w:t>cyb</w:t>
      </w:r>
      <w:r w:rsidR="00FF4EE5" w:rsidRPr="002866E5">
        <w:rPr>
          <w:noProof/>
        </w:rPr>
        <w:t>erprzestrzeni zgodnie</w:t>
      </w:r>
      <w:r w:rsidR="008B35E8" w:rsidRPr="002866E5">
        <w:rPr>
          <w:noProof/>
        </w:rPr>
        <w:t xml:space="preserve"> z</w:t>
      </w:r>
      <w:r w:rsidR="008B35E8">
        <w:rPr>
          <w:noProof/>
        </w:rPr>
        <w:t> </w:t>
      </w:r>
      <w:r w:rsidR="008B35E8" w:rsidRPr="002866E5">
        <w:rPr>
          <w:noProof/>
        </w:rPr>
        <w:t>kry</w:t>
      </w:r>
      <w:r w:rsidR="00FF4EE5" w:rsidRPr="002866E5">
        <w:rPr>
          <w:noProof/>
        </w:rPr>
        <w:t>teriami określonymi</w:t>
      </w:r>
      <w:r w:rsidR="008B35E8" w:rsidRPr="002866E5">
        <w:rPr>
          <w:noProof/>
        </w:rPr>
        <w:t xml:space="preserve"> w</w:t>
      </w:r>
      <w:r w:rsidR="008B35E8">
        <w:rPr>
          <w:noProof/>
        </w:rPr>
        <w:t> </w:t>
      </w:r>
      <w:r w:rsidR="008B35E8" w:rsidRPr="008B35E8">
        <w:rPr>
          <w:noProof/>
        </w:rPr>
        <w:t>art</w:t>
      </w:r>
      <w:r w:rsidR="00FF4EE5" w:rsidRPr="008B35E8">
        <w:rPr>
          <w:noProof/>
        </w:rPr>
        <w:t>.</w:t>
      </w:r>
      <w:r w:rsidR="008B35E8" w:rsidRPr="008B35E8">
        <w:rPr>
          <w:noProof/>
        </w:rPr>
        <w:t> </w:t>
      </w:r>
      <w:r w:rsidR="00FF4EE5" w:rsidRPr="008B35E8">
        <w:rPr>
          <w:noProof/>
        </w:rPr>
        <w:t>6</w:t>
      </w:r>
      <w:r w:rsidR="00FF4EE5" w:rsidRPr="002866E5">
        <w:rPr>
          <w:noProof/>
        </w:rPr>
        <w:t xml:space="preserve"> </w:t>
      </w:r>
      <w:r w:rsidR="00FF4EE5" w:rsidRPr="008B35E8">
        <w:rPr>
          <w:noProof/>
        </w:rPr>
        <w:t>ust.</w:t>
      </w:r>
      <w:r w:rsidR="008B35E8" w:rsidRPr="008B35E8">
        <w:rPr>
          <w:noProof/>
        </w:rPr>
        <w:t> </w:t>
      </w:r>
      <w:r w:rsidR="00FF4EE5" w:rsidRPr="008B35E8">
        <w:rPr>
          <w:noProof/>
        </w:rPr>
        <w:t>5</w:t>
      </w:r>
      <w:r w:rsidR="00FF4EE5" w:rsidRPr="002866E5">
        <w:rPr>
          <w:noProof/>
        </w:rPr>
        <w:t>;</w:t>
      </w:r>
    </w:p>
    <w:p w14:paraId="67ED872F" w14:textId="033F1413" w:rsidR="00655F84" w:rsidRPr="002866E5" w:rsidRDefault="000340F9" w:rsidP="009C20DD">
      <w:pPr>
        <w:pStyle w:val="Point0"/>
        <w:rPr>
          <w:noProof/>
        </w:rPr>
      </w:pPr>
      <w:r>
        <w:rPr>
          <w:noProof/>
        </w:rPr>
        <w:t>5</w:t>
      </w:r>
      <w:r w:rsidR="009C20DD" w:rsidRPr="009C20DD">
        <w:rPr>
          <w:noProof/>
        </w:rPr>
        <w:t>)</w:t>
      </w:r>
      <w:r w:rsidR="009C20DD" w:rsidRPr="009C20DD">
        <w:rPr>
          <w:noProof/>
        </w:rPr>
        <w:tab/>
      </w:r>
      <w:r w:rsidR="00624F6E" w:rsidRPr="002866E5">
        <w:rPr>
          <w:noProof/>
        </w:rPr>
        <w:t>„technologia operacyjna” oznacza programowalne cyfrowe systemy lub urządzenia, które wchodzą</w:t>
      </w:r>
      <w:r w:rsidR="008B35E8" w:rsidRPr="002866E5">
        <w:rPr>
          <w:noProof/>
        </w:rPr>
        <w:t xml:space="preserve"> w</w:t>
      </w:r>
      <w:r w:rsidR="008B35E8">
        <w:rPr>
          <w:noProof/>
        </w:rPr>
        <w:t> </w:t>
      </w:r>
      <w:r w:rsidR="008B35E8" w:rsidRPr="002866E5">
        <w:rPr>
          <w:noProof/>
        </w:rPr>
        <w:t>int</w:t>
      </w:r>
      <w:r w:rsidR="00624F6E" w:rsidRPr="002866E5">
        <w:rPr>
          <w:noProof/>
        </w:rPr>
        <w:t>erakcje ze środowiskiem fizycznym lub zarządzają urządzeniami, które wchodzą</w:t>
      </w:r>
      <w:r w:rsidR="008B35E8" w:rsidRPr="002866E5">
        <w:rPr>
          <w:noProof/>
        </w:rPr>
        <w:t xml:space="preserve"> w</w:t>
      </w:r>
      <w:r w:rsidR="008B35E8">
        <w:rPr>
          <w:noProof/>
        </w:rPr>
        <w:t> </w:t>
      </w:r>
      <w:r w:rsidR="008B35E8" w:rsidRPr="002866E5">
        <w:rPr>
          <w:noProof/>
        </w:rPr>
        <w:t>int</w:t>
      </w:r>
      <w:r w:rsidR="00624F6E" w:rsidRPr="002866E5">
        <w:rPr>
          <w:noProof/>
        </w:rPr>
        <w:t>erakcje ze środowiskiem fizycznym;</w:t>
      </w:r>
    </w:p>
    <w:p w14:paraId="67ED8730" w14:textId="77708E93" w:rsidR="00655F84" w:rsidRPr="002866E5" w:rsidRDefault="000340F9" w:rsidP="009C20DD">
      <w:pPr>
        <w:pStyle w:val="Point0"/>
        <w:rPr>
          <w:noProof/>
        </w:rPr>
      </w:pPr>
      <w:r>
        <w:rPr>
          <w:noProof/>
        </w:rPr>
        <w:lastRenderedPageBreak/>
        <w:t>6</w:t>
      </w:r>
      <w:r w:rsidR="009C20DD" w:rsidRPr="009C20DD">
        <w:rPr>
          <w:noProof/>
        </w:rPr>
        <w:t>)</w:t>
      </w:r>
      <w:r w:rsidR="009C20DD" w:rsidRPr="009C20DD">
        <w:rPr>
          <w:noProof/>
        </w:rPr>
        <w:tab/>
      </w:r>
      <w:r w:rsidR="00CE4A7D" w:rsidRPr="002866E5">
        <w:rPr>
          <w:noProof/>
        </w:rPr>
        <w:t>„oprogramowanie” oznacza część elektronicznego systemu informacyjnego, która składa się</w:t>
      </w:r>
      <w:r w:rsidR="008B35E8" w:rsidRPr="002866E5">
        <w:rPr>
          <w:noProof/>
        </w:rPr>
        <w:t xml:space="preserve"> z</w:t>
      </w:r>
      <w:r w:rsidR="008B35E8">
        <w:rPr>
          <w:noProof/>
        </w:rPr>
        <w:t> </w:t>
      </w:r>
      <w:r w:rsidR="008B35E8" w:rsidRPr="002866E5">
        <w:rPr>
          <w:noProof/>
        </w:rPr>
        <w:t>kod</w:t>
      </w:r>
      <w:r w:rsidR="00CE4A7D" w:rsidRPr="002866E5">
        <w:rPr>
          <w:noProof/>
        </w:rPr>
        <w:t>u komputerowego;</w:t>
      </w:r>
    </w:p>
    <w:p w14:paraId="67ED8731" w14:textId="500D0F7C" w:rsidR="00FB00BC" w:rsidRPr="002866E5" w:rsidRDefault="000340F9" w:rsidP="009C20DD">
      <w:pPr>
        <w:pStyle w:val="Point0"/>
        <w:rPr>
          <w:noProof/>
        </w:rPr>
      </w:pPr>
      <w:r>
        <w:rPr>
          <w:noProof/>
        </w:rPr>
        <w:t>7</w:t>
      </w:r>
      <w:r w:rsidR="009C20DD" w:rsidRPr="009C20DD">
        <w:rPr>
          <w:noProof/>
        </w:rPr>
        <w:t>)</w:t>
      </w:r>
      <w:r w:rsidR="009C20DD" w:rsidRPr="009C20DD">
        <w:rPr>
          <w:noProof/>
        </w:rPr>
        <w:tab/>
      </w:r>
      <w:r w:rsidR="00CE4A7D" w:rsidRPr="002866E5">
        <w:rPr>
          <w:noProof/>
        </w:rPr>
        <w:t>„sprzęt” oznacza fizyczny elektroniczny system informacyjny lub jego części zdolne do przetwarzania, przechowywania lub przekazywania danych cyfrowych;</w:t>
      </w:r>
    </w:p>
    <w:p w14:paraId="67ED8732" w14:textId="5863B1A3" w:rsidR="00655F84" w:rsidRPr="002866E5" w:rsidRDefault="000340F9" w:rsidP="009C20DD">
      <w:pPr>
        <w:pStyle w:val="Point0"/>
        <w:rPr>
          <w:noProof/>
        </w:rPr>
      </w:pPr>
      <w:r>
        <w:rPr>
          <w:noProof/>
        </w:rPr>
        <w:t>8</w:t>
      </w:r>
      <w:r w:rsidR="009C20DD" w:rsidRPr="009C20DD">
        <w:rPr>
          <w:noProof/>
        </w:rPr>
        <w:t>)</w:t>
      </w:r>
      <w:r w:rsidR="009C20DD" w:rsidRPr="009C20DD">
        <w:rPr>
          <w:noProof/>
        </w:rPr>
        <w:tab/>
      </w:r>
      <w:r w:rsidR="00FB00BC" w:rsidRPr="002866E5">
        <w:rPr>
          <w:noProof/>
        </w:rPr>
        <w:t>„komponent” oznacza oprogramowanie lub sprzęt przeznaczone do zintegrowania</w:t>
      </w:r>
      <w:r w:rsidR="008B35E8" w:rsidRPr="002866E5">
        <w:rPr>
          <w:noProof/>
        </w:rPr>
        <w:t xml:space="preserve"> z</w:t>
      </w:r>
      <w:r w:rsidR="008B35E8">
        <w:rPr>
          <w:noProof/>
        </w:rPr>
        <w:t> </w:t>
      </w:r>
      <w:r w:rsidR="008B35E8" w:rsidRPr="002866E5">
        <w:rPr>
          <w:noProof/>
        </w:rPr>
        <w:t>ele</w:t>
      </w:r>
      <w:r w:rsidR="00FB00BC" w:rsidRPr="002866E5">
        <w:rPr>
          <w:noProof/>
        </w:rPr>
        <w:t>ktronicznym systemem informacyjnym;</w:t>
      </w:r>
    </w:p>
    <w:p w14:paraId="67ED8733" w14:textId="1122423E" w:rsidR="004E3CAB" w:rsidRPr="002866E5" w:rsidRDefault="000340F9" w:rsidP="009C20DD">
      <w:pPr>
        <w:pStyle w:val="Point0"/>
        <w:rPr>
          <w:noProof/>
        </w:rPr>
      </w:pPr>
      <w:r>
        <w:rPr>
          <w:noProof/>
        </w:rPr>
        <w:t>9</w:t>
      </w:r>
      <w:r w:rsidR="009C20DD" w:rsidRPr="009C20DD">
        <w:rPr>
          <w:noProof/>
        </w:rPr>
        <w:t>)</w:t>
      </w:r>
      <w:r w:rsidR="009C20DD" w:rsidRPr="009C20DD">
        <w:rPr>
          <w:noProof/>
        </w:rPr>
        <w:tab/>
      </w:r>
      <w:r w:rsidR="004E3CAB" w:rsidRPr="002866E5">
        <w:rPr>
          <w:noProof/>
        </w:rPr>
        <w:t>„elektroniczny system informacyjny” oznacza system,</w:t>
      </w:r>
      <w:r w:rsidR="008B35E8" w:rsidRPr="002866E5">
        <w:rPr>
          <w:noProof/>
        </w:rPr>
        <w:t xml:space="preserve"> w</w:t>
      </w:r>
      <w:r w:rsidR="008B35E8">
        <w:rPr>
          <w:noProof/>
        </w:rPr>
        <w:t> </w:t>
      </w:r>
      <w:r w:rsidR="008B35E8" w:rsidRPr="002866E5">
        <w:rPr>
          <w:noProof/>
        </w:rPr>
        <w:t>tym</w:t>
      </w:r>
      <w:r w:rsidR="004E3CAB" w:rsidRPr="002866E5">
        <w:rPr>
          <w:noProof/>
        </w:rPr>
        <w:t xml:space="preserve"> sprzęt elektryczny lub elektroniczny, zdolny do przetwarzania, przechowywania lub przekazywania danych cyfrowych;</w:t>
      </w:r>
    </w:p>
    <w:p w14:paraId="67ED8734" w14:textId="662C2905" w:rsidR="009B3284" w:rsidRPr="002866E5" w:rsidRDefault="000340F9" w:rsidP="009C20DD">
      <w:pPr>
        <w:pStyle w:val="Point0"/>
        <w:rPr>
          <w:noProof/>
        </w:rPr>
      </w:pPr>
      <w:r>
        <w:rPr>
          <w:noProof/>
        </w:rPr>
        <w:t>10</w:t>
      </w:r>
      <w:r w:rsidR="009C20DD" w:rsidRPr="009C20DD">
        <w:rPr>
          <w:noProof/>
        </w:rPr>
        <w:t>)</w:t>
      </w:r>
      <w:r w:rsidR="009C20DD" w:rsidRPr="009C20DD">
        <w:rPr>
          <w:noProof/>
        </w:rPr>
        <w:tab/>
      </w:r>
      <w:r w:rsidR="009B3284" w:rsidRPr="002866E5">
        <w:rPr>
          <w:noProof/>
        </w:rPr>
        <w:t>„połączenie logiczne” oznacza wirtualną reprezentację połączenia danych zrealizowanego za pośrednictwem interfejsu oprogramowania;</w:t>
      </w:r>
    </w:p>
    <w:p w14:paraId="67ED8735" w14:textId="4D868C8A" w:rsidR="00655F84" w:rsidRPr="002866E5" w:rsidRDefault="000340F9" w:rsidP="009C20DD">
      <w:pPr>
        <w:pStyle w:val="Point0"/>
        <w:rPr>
          <w:noProof/>
        </w:rPr>
      </w:pPr>
      <w:r>
        <w:rPr>
          <w:noProof/>
        </w:rPr>
        <w:t>11</w:t>
      </w:r>
      <w:r w:rsidR="009C20DD" w:rsidRPr="009C20DD">
        <w:rPr>
          <w:noProof/>
        </w:rPr>
        <w:t>)</w:t>
      </w:r>
      <w:r w:rsidR="009C20DD" w:rsidRPr="009C20DD">
        <w:rPr>
          <w:noProof/>
        </w:rPr>
        <w:tab/>
      </w:r>
      <w:r w:rsidR="00E863F4" w:rsidRPr="002866E5">
        <w:rPr>
          <w:noProof/>
        </w:rPr>
        <w:t>„połączenie fizyczne” oznacza każde połączenie między elektronicznymi systemami informacyjnymi lub komponentami zrealizowane przy użyciu środków fizycznych,</w:t>
      </w:r>
      <w:r w:rsidR="008B35E8" w:rsidRPr="002866E5">
        <w:rPr>
          <w:noProof/>
        </w:rPr>
        <w:t xml:space="preserve"> w</w:t>
      </w:r>
      <w:r w:rsidR="008B35E8">
        <w:rPr>
          <w:noProof/>
        </w:rPr>
        <w:t> </w:t>
      </w:r>
      <w:r w:rsidR="008B35E8" w:rsidRPr="002866E5">
        <w:rPr>
          <w:noProof/>
        </w:rPr>
        <w:t>tym</w:t>
      </w:r>
      <w:r w:rsidR="00E863F4" w:rsidRPr="002866E5">
        <w:rPr>
          <w:noProof/>
        </w:rPr>
        <w:t xml:space="preserve"> za pośrednictwem interfejsów elektrycznych lub mechanicznych, przewodów lub fal radiowych;</w:t>
      </w:r>
    </w:p>
    <w:p w14:paraId="67ED8736" w14:textId="2B5E7B2C" w:rsidR="00A60D08" w:rsidRPr="002866E5" w:rsidRDefault="000340F9" w:rsidP="009C20DD">
      <w:pPr>
        <w:pStyle w:val="Point0"/>
        <w:rPr>
          <w:noProof/>
        </w:rPr>
      </w:pPr>
      <w:r>
        <w:rPr>
          <w:noProof/>
        </w:rPr>
        <w:t>12</w:t>
      </w:r>
      <w:r w:rsidR="009C20DD" w:rsidRPr="009C20DD">
        <w:rPr>
          <w:noProof/>
        </w:rPr>
        <w:t>)</w:t>
      </w:r>
      <w:r w:rsidR="009C20DD" w:rsidRPr="009C20DD">
        <w:rPr>
          <w:noProof/>
        </w:rPr>
        <w:tab/>
      </w:r>
      <w:r w:rsidR="00A60D08" w:rsidRPr="002866E5">
        <w:rPr>
          <w:noProof/>
        </w:rPr>
        <w:t>„połączenie pośrednie” oznacza połączenie</w:t>
      </w:r>
      <w:r w:rsidR="008B35E8" w:rsidRPr="002866E5">
        <w:rPr>
          <w:noProof/>
        </w:rPr>
        <w:t xml:space="preserve"> z</w:t>
      </w:r>
      <w:r w:rsidR="008B35E8">
        <w:rPr>
          <w:noProof/>
        </w:rPr>
        <w:t> </w:t>
      </w:r>
      <w:r w:rsidR="008B35E8" w:rsidRPr="002866E5">
        <w:rPr>
          <w:noProof/>
        </w:rPr>
        <w:t>urz</w:t>
      </w:r>
      <w:r w:rsidR="00A60D08" w:rsidRPr="002866E5">
        <w:rPr>
          <w:noProof/>
        </w:rPr>
        <w:t>ądzeniem lub siecią, które nie jest nawiązywane bezpośrednio, lecz jako część większego systemu, który można bezpośrednio połączyć</w:t>
      </w:r>
      <w:r w:rsidR="008B35E8" w:rsidRPr="002866E5">
        <w:rPr>
          <w:noProof/>
        </w:rPr>
        <w:t xml:space="preserve"> z</w:t>
      </w:r>
      <w:r w:rsidR="008B35E8">
        <w:rPr>
          <w:noProof/>
        </w:rPr>
        <w:t> </w:t>
      </w:r>
      <w:r w:rsidR="008B35E8" w:rsidRPr="002866E5">
        <w:rPr>
          <w:noProof/>
        </w:rPr>
        <w:t>tak</w:t>
      </w:r>
      <w:r w:rsidR="00A60D08" w:rsidRPr="002866E5">
        <w:rPr>
          <w:noProof/>
        </w:rPr>
        <w:t>im urządzeniem lub siecią;</w:t>
      </w:r>
    </w:p>
    <w:p w14:paraId="67ED8737" w14:textId="0E6F8CE0" w:rsidR="00F65098" w:rsidRPr="002866E5" w:rsidRDefault="000340F9" w:rsidP="009C20DD">
      <w:pPr>
        <w:pStyle w:val="Point0"/>
        <w:rPr>
          <w:noProof/>
        </w:rPr>
      </w:pPr>
      <w:r>
        <w:rPr>
          <w:noProof/>
        </w:rPr>
        <w:t>13</w:t>
      </w:r>
      <w:r w:rsidR="009C20DD" w:rsidRPr="009C20DD">
        <w:rPr>
          <w:noProof/>
        </w:rPr>
        <w:t>)</w:t>
      </w:r>
      <w:r w:rsidR="009C20DD" w:rsidRPr="009C20DD">
        <w:rPr>
          <w:noProof/>
        </w:rPr>
        <w:tab/>
      </w:r>
      <w:r w:rsidR="00276468" w:rsidRPr="002866E5">
        <w:rPr>
          <w:noProof/>
        </w:rPr>
        <w:t>„uprawnienie” oznacza prawo dostępu przyznane konkretnym użytkownikom lub programom, aby umożliwić im wykonywanie działań istotnych dla bezpieczeństwa</w:t>
      </w:r>
      <w:r w:rsidR="008B35E8" w:rsidRPr="002866E5">
        <w:rPr>
          <w:noProof/>
        </w:rPr>
        <w:t xml:space="preserve"> w</w:t>
      </w:r>
      <w:r w:rsidR="008B35E8">
        <w:rPr>
          <w:noProof/>
        </w:rPr>
        <w:t> </w:t>
      </w:r>
      <w:r w:rsidR="008B35E8" w:rsidRPr="002866E5">
        <w:rPr>
          <w:noProof/>
        </w:rPr>
        <w:t>ram</w:t>
      </w:r>
      <w:r w:rsidR="00276468" w:rsidRPr="002866E5">
        <w:rPr>
          <w:noProof/>
        </w:rPr>
        <w:t>ach elektronicznego systemu informacyjnego;</w:t>
      </w:r>
    </w:p>
    <w:p w14:paraId="67ED8738" w14:textId="74FA35E3" w:rsidR="00C9003B" w:rsidRPr="002866E5" w:rsidDel="009B3284" w:rsidRDefault="000340F9" w:rsidP="009C20DD">
      <w:pPr>
        <w:pStyle w:val="Point0"/>
        <w:rPr>
          <w:noProof/>
        </w:rPr>
      </w:pPr>
      <w:r>
        <w:rPr>
          <w:noProof/>
        </w:rPr>
        <w:t>14</w:t>
      </w:r>
      <w:r w:rsidR="009C20DD" w:rsidRPr="009C20DD" w:rsidDel="009B3284">
        <w:rPr>
          <w:noProof/>
        </w:rPr>
        <w:t>)</w:t>
      </w:r>
      <w:r w:rsidR="009C20DD" w:rsidRPr="009C20DD" w:rsidDel="009B3284">
        <w:rPr>
          <w:noProof/>
        </w:rPr>
        <w:tab/>
      </w:r>
      <w:r w:rsidR="002843E8" w:rsidRPr="002866E5">
        <w:rPr>
          <w:noProof/>
        </w:rPr>
        <w:t>„podwyższone uprawnienie” oznacza prawo dostępu przyznane konkretnym użytkownikom lub programom, aby umożliwić im wykonywanie rozszerzonego zakresu działań istotnych dla bezpieczeństwa</w:t>
      </w:r>
      <w:r w:rsidR="008B35E8" w:rsidRPr="002866E5">
        <w:rPr>
          <w:noProof/>
        </w:rPr>
        <w:t xml:space="preserve"> w</w:t>
      </w:r>
      <w:r w:rsidR="008B35E8">
        <w:rPr>
          <w:noProof/>
        </w:rPr>
        <w:t> </w:t>
      </w:r>
      <w:r w:rsidR="008B35E8" w:rsidRPr="002866E5">
        <w:rPr>
          <w:noProof/>
        </w:rPr>
        <w:t>ram</w:t>
      </w:r>
      <w:r w:rsidR="002843E8" w:rsidRPr="002866E5">
        <w:rPr>
          <w:noProof/>
        </w:rPr>
        <w:t>ach elektronicznego systemu informacyjnego, które</w:t>
      </w:r>
      <w:r w:rsidR="008B35E8" w:rsidRPr="002866E5">
        <w:rPr>
          <w:noProof/>
        </w:rPr>
        <w:t xml:space="preserve"> w</w:t>
      </w:r>
      <w:r w:rsidR="008B35E8">
        <w:rPr>
          <w:noProof/>
        </w:rPr>
        <w:t> </w:t>
      </w:r>
      <w:r w:rsidR="008B35E8" w:rsidRPr="002866E5">
        <w:rPr>
          <w:noProof/>
        </w:rPr>
        <w:t>raz</w:t>
      </w:r>
      <w:r w:rsidR="002843E8" w:rsidRPr="002866E5">
        <w:rPr>
          <w:noProof/>
        </w:rPr>
        <w:t>ie nadużycia lub naruszenia może ułatwić podmiotowi działającemu</w:t>
      </w:r>
      <w:r w:rsidR="008B35E8" w:rsidRPr="002866E5">
        <w:rPr>
          <w:noProof/>
        </w:rPr>
        <w:t xml:space="preserve"> w</w:t>
      </w:r>
      <w:r w:rsidR="008B35E8">
        <w:rPr>
          <w:noProof/>
        </w:rPr>
        <w:t> </w:t>
      </w:r>
      <w:r w:rsidR="008B35E8" w:rsidRPr="002866E5">
        <w:rPr>
          <w:noProof/>
        </w:rPr>
        <w:t>zły</w:t>
      </w:r>
      <w:r w:rsidR="002843E8" w:rsidRPr="002866E5">
        <w:rPr>
          <w:noProof/>
        </w:rPr>
        <w:t xml:space="preserve">m zamiarze uzyskanie szerszego dostępu do zasobów systemu lub organizacji; </w:t>
      </w:r>
    </w:p>
    <w:p w14:paraId="67ED8739" w14:textId="35351014" w:rsidR="00344CD8" w:rsidRPr="002866E5" w:rsidRDefault="000340F9" w:rsidP="009C20DD">
      <w:pPr>
        <w:pStyle w:val="Point0"/>
        <w:rPr>
          <w:noProof/>
        </w:rPr>
      </w:pPr>
      <w:r>
        <w:rPr>
          <w:noProof/>
        </w:rPr>
        <w:t>15</w:t>
      </w:r>
      <w:r w:rsidR="009C20DD" w:rsidRPr="009C20DD">
        <w:rPr>
          <w:noProof/>
        </w:rPr>
        <w:t>)</w:t>
      </w:r>
      <w:r w:rsidR="009C20DD" w:rsidRPr="009C20DD">
        <w:rPr>
          <w:noProof/>
        </w:rPr>
        <w:tab/>
      </w:r>
      <w:r w:rsidR="00344CD8" w:rsidRPr="002866E5">
        <w:rPr>
          <w:noProof/>
        </w:rPr>
        <w:t>„punkt końcowy” oznacza każde urządzenie, które jest połączone</w:t>
      </w:r>
      <w:r w:rsidR="008B35E8" w:rsidRPr="002866E5">
        <w:rPr>
          <w:noProof/>
        </w:rPr>
        <w:t xml:space="preserve"> z</w:t>
      </w:r>
      <w:r w:rsidR="008B35E8">
        <w:rPr>
          <w:noProof/>
        </w:rPr>
        <w:t> </w:t>
      </w:r>
      <w:r w:rsidR="008B35E8" w:rsidRPr="002866E5">
        <w:rPr>
          <w:noProof/>
        </w:rPr>
        <w:t>sie</w:t>
      </w:r>
      <w:r w:rsidR="00344CD8" w:rsidRPr="002866E5">
        <w:rPr>
          <w:noProof/>
        </w:rPr>
        <w:t>cią</w:t>
      </w:r>
      <w:r w:rsidR="008B35E8" w:rsidRPr="002866E5">
        <w:rPr>
          <w:noProof/>
        </w:rPr>
        <w:t xml:space="preserve"> i</w:t>
      </w:r>
      <w:r w:rsidR="008B35E8">
        <w:rPr>
          <w:noProof/>
        </w:rPr>
        <w:t> </w:t>
      </w:r>
      <w:r w:rsidR="008B35E8" w:rsidRPr="002866E5">
        <w:rPr>
          <w:noProof/>
        </w:rPr>
        <w:t>słu</w:t>
      </w:r>
      <w:r w:rsidR="00344CD8" w:rsidRPr="002866E5">
        <w:rPr>
          <w:noProof/>
        </w:rPr>
        <w:t>ży jako punkt wejścia do tej sieci;</w:t>
      </w:r>
    </w:p>
    <w:p w14:paraId="67ED873A" w14:textId="28C937E8" w:rsidR="00E80450" w:rsidRPr="002866E5" w:rsidRDefault="000340F9" w:rsidP="009C20DD">
      <w:pPr>
        <w:pStyle w:val="Point0"/>
        <w:rPr>
          <w:noProof/>
        </w:rPr>
      </w:pPr>
      <w:r>
        <w:rPr>
          <w:noProof/>
        </w:rPr>
        <w:t>16</w:t>
      </w:r>
      <w:r w:rsidR="009C20DD" w:rsidRPr="009C20DD">
        <w:rPr>
          <w:noProof/>
        </w:rPr>
        <w:t>)</w:t>
      </w:r>
      <w:r w:rsidR="009C20DD" w:rsidRPr="009C20DD">
        <w:rPr>
          <w:noProof/>
        </w:rPr>
        <w:tab/>
      </w:r>
      <w:r w:rsidR="00E80450" w:rsidRPr="002866E5">
        <w:rPr>
          <w:noProof/>
        </w:rPr>
        <w:t>„zasoby sieciowe lub obliczeniowe” oznaczają funkcjonalność</w:t>
      </w:r>
      <w:r w:rsidR="008B35E8" w:rsidRPr="002866E5">
        <w:rPr>
          <w:noProof/>
        </w:rPr>
        <w:t xml:space="preserve"> z</w:t>
      </w:r>
      <w:r w:rsidR="008B35E8">
        <w:rPr>
          <w:noProof/>
        </w:rPr>
        <w:t> </w:t>
      </w:r>
      <w:r w:rsidR="008B35E8" w:rsidRPr="002866E5">
        <w:rPr>
          <w:noProof/>
        </w:rPr>
        <w:t>zak</w:t>
      </w:r>
      <w:r w:rsidR="00E80450" w:rsidRPr="002866E5">
        <w:rPr>
          <w:noProof/>
        </w:rPr>
        <w:t>resu danych lub sprzętu lub oprogramowania, która jest dostępna lokalnie albo za pośrednictwem sieci lub innego urządzenia podłączonego do internetu;</w:t>
      </w:r>
    </w:p>
    <w:p w14:paraId="67ED873B" w14:textId="4C800410" w:rsidR="00655F84" w:rsidRPr="002866E5" w:rsidRDefault="000340F9" w:rsidP="009C20DD">
      <w:pPr>
        <w:pStyle w:val="Point0"/>
        <w:rPr>
          <w:noProof/>
        </w:rPr>
      </w:pPr>
      <w:r>
        <w:rPr>
          <w:noProof/>
        </w:rPr>
        <w:t>17</w:t>
      </w:r>
      <w:r w:rsidR="009C20DD" w:rsidRPr="009C20DD">
        <w:rPr>
          <w:noProof/>
        </w:rPr>
        <w:t>)</w:t>
      </w:r>
      <w:r w:rsidR="009C20DD" w:rsidRPr="009C20DD">
        <w:rPr>
          <w:noProof/>
        </w:rPr>
        <w:tab/>
      </w:r>
      <w:r w:rsidR="0030793B" w:rsidRPr="002866E5">
        <w:rPr>
          <w:noProof/>
        </w:rPr>
        <w:t>„podmiot gospodarczy” oznacza producenta, upoważnionego przedstawiciela, importera, dystrybutora lub każdą inną osobę fizyczną lub prawną, na której spoczywają obowiązki określone</w:t>
      </w:r>
      <w:r w:rsidR="008B35E8" w:rsidRPr="002866E5">
        <w:rPr>
          <w:noProof/>
        </w:rPr>
        <w:t xml:space="preserve"> w</w:t>
      </w:r>
      <w:r w:rsidR="008B35E8">
        <w:rPr>
          <w:noProof/>
        </w:rPr>
        <w:t> </w:t>
      </w:r>
      <w:r w:rsidR="008B35E8" w:rsidRPr="002866E5">
        <w:rPr>
          <w:noProof/>
        </w:rPr>
        <w:t>nin</w:t>
      </w:r>
      <w:r w:rsidR="0030793B" w:rsidRPr="002866E5">
        <w:rPr>
          <w:noProof/>
        </w:rPr>
        <w:t xml:space="preserve">iejszym rozporządzeniu; </w:t>
      </w:r>
    </w:p>
    <w:p w14:paraId="67ED873C" w14:textId="3F05E2A9" w:rsidR="00655F84" w:rsidRPr="002866E5" w:rsidRDefault="000340F9" w:rsidP="009C20DD">
      <w:pPr>
        <w:pStyle w:val="Point0"/>
        <w:rPr>
          <w:noProof/>
        </w:rPr>
      </w:pPr>
      <w:r>
        <w:rPr>
          <w:noProof/>
        </w:rPr>
        <w:t>18</w:t>
      </w:r>
      <w:r w:rsidR="009C20DD" w:rsidRPr="009C20DD">
        <w:rPr>
          <w:noProof/>
        </w:rPr>
        <w:t>)</w:t>
      </w:r>
      <w:r w:rsidR="009C20DD" w:rsidRPr="009C20DD">
        <w:rPr>
          <w:noProof/>
        </w:rPr>
        <w:tab/>
      </w:r>
      <w:r w:rsidR="00D769A1" w:rsidRPr="002866E5">
        <w:rPr>
          <w:noProof/>
        </w:rPr>
        <w:t>„producent” oznacza każdą osobę fizyczną lub prawną, która opracowuje lub wytwarza produkty</w:t>
      </w:r>
      <w:r w:rsidR="008B35E8" w:rsidRPr="002866E5">
        <w:rPr>
          <w:noProof/>
        </w:rPr>
        <w:t xml:space="preserve"> z</w:t>
      </w:r>
      <w:r w:rsidR="008B35E8">
        <w:rPr>
          <w:noProof/>
        </w:rPr>
        <w:t> </w:t>
      </w:r>
      <w:r w:rsidR="008B35E8" w:rsidRPr="002866E5">
        <w:rPr>
          <w:noProof/>
        </w:rPr>
        <w:t>ele</w:t>
      </w:r>
      <w:r w:rsidR="00D769A1" w:rsidRPr="002866E5">
        <w:rPr>
          <w:noProof/>
        </w:rPr>
        <w:t>mentami cyfrowymi lub zleca zaprojektowanie, opracowanie lub wytworzenie produktów</w:t>
      </w:r>
      <w:r w:rsidR="008B35E8" w:rsidRPr="002866E5">
        <w:rPr>
          <w:noProof/>
        </w:rPr>
        <w:t xml:space="preserve"> z</w:t>
      </w:r>
      <w:r w:rsidR="008B35E8">
        <w:rPr>
          <w:noProof/>
        </w:rPr>
        <w:t> </w:t>
      </w:r>
      <w:r w:rsidR="008B35E8" w:rsidRPr="002866E5">
        <w:rPr>
          <w:noProof/>
        </w:rPr>
        <w:t>ele</w:t>
      </w:r>
      <w:r w:rsidR="00D769A1" w:rsidRPr="002866E5">
        <w:rPr>
          <w:noProof/>
        </w:rPr>
        <w:t>mentami cyfrowymi</w:t>
      </w:r>
      <w:r w:rsidR="008B35E8" w:rsidRPr="002866E5">
        <w:rPr>
          <w:noProof/>
        </w:rPr>
        <w:t xml:space="preserve"> i</w:t>
      </w:r>
      <w:r w:rsidR="008B35E8">
        <w:rPr>
          <w:noProof/>
        </w:rPr>
        <w:t> </w:t>
      </w:r>
      <w:r w:rsidR="008B35E8" w:rsidRPr="002866E5">
        <w:rPr>
          <w:noProof/>
        </w:rPr>
        <w:t>wpr</w:t>
      </w:r>
      <w:r w:rsidR="00D769A1" w:rsidRPr="002866E5">
        <w:rPr>
          <w:noProof/>
        </w:rPr>
        <w:t>owadza te produkty do obrotu pod własną nazwą lub znakiem towarowym, odpłatnie lub nieodpłatnie;</w:t>
      </w:r>
    </w:p>
    <w:p w14:paraId="67ED873D" w14:textId="27D6E1FC" w:rsidR="00655F84" w:rsidRPr="002866E5" w:rsidRDefault="000340F9" w:rsidP="009C20DD">
      <w:pPr>
        <w:pStyle w:val="Point0"/>
        <w:rPr>
          <w:noProof/>
        </w:rPr>
      </w:pPr>
      <w:r>
        <w:rPr>
          <w:noProof/>
        </w:rPr>
        <w:t>19</w:t>
      </w:r>
      <w:r w:rsidR="009C20DD" w:rsidRPr="009C20DD">
        <w:rPr>
          <w:noProof/>
        </w:rPr>
        <w:t>)</w:t>
      </w:r>
      <w:r w:rsidR="009C20DD" w:rsidRPr="009C20DD">
        <w:rPr>
          <w:noProof/>
        </w:rPr>
        <w:tab/>
      </w:r>
      <w:r w:rsidR="00513C4F" w:rsidRPr="002866E5">
        <w:rPr>
          <w:noProof/>
        </w:rPr>
        <w:t>„upoważniony przedstawiciel” oznacza każdą osobę fizyczną lub prawną, która ma miejsce zamieszkania lub siedzibę</w:t>
      </w:r>
      <w:r w:rsidR="008B35E8" w:rsidRPr="002866E5">
        <w:rPr>
          <w:noProof/>
        </w:rPr>
        <w:t xml:space="preserve"> w</w:t>
      </w:r>
      <w:r w:rsidR="008B35E8">
        <w:rPr>
          <w:noProof/>
        </w:rPr>
        <w:t> </w:t>
      </w:r>
      <w:r w:rsidR="008B35E8" w:rsidRPr="002866E5">
        <w:rPr>
          <w:noProof/>
        </w:rPr>
        <w:t>Uni</w:t>
      </w:r>
      <w:r w:rsidR="00513C4F" w:rsidRPr="002866E5">
        <w:rPr>
          <w:noProof/>
        </w:rPr>
        <w:t>i</w:t>
      </w:r>
      <w:r w:rsidR="008B35E8" w:rsidRPr="002866E5">
        <w:rPr>
          <w:noProof/>
        </w:rPr>
        <w:t xml:space="preserve"> i</w:t>
      </w:r>
      <w:r w:rsidR="008B35E8">
        <w:rPr>
          <w:noProof/>
        </w:rPr>
        <w:t> </w:t>
      </w:r>
      <w:r w:rsidR="008B35E8" w:rsidRPr="002866E5">
        <w:rPr>
          <w:noProof/>
        </w:rPr>
        <w:t>otr</w:t>
      </w:r>
      <w:r w:rsidR="00513C4F" w:rsidRPr="002866E5">
        <w:rPr>
          <w:noProof/>
        </w:rPr>
        <w:t>zymała od producenta pisemne upoważnienie do występowania</w:t>
      </w:r>
      <w:r w:rsidR="008B35E8" w:rsidRPr="002866E5">
        <w:rPr>
          <w:noProof/>
        </w:rPr>
        <w:t xml:space="preserve"> w</w:t>
      </w:r>
      <w:r w:rsidR="008B35E8">
        <w:rPr>
          <w:noProof/>
        </w:rPr>
        <w:t> </w:t>
      </w:r>
      <w:r w:rsidR="008B35E8" w:rsidRPr="002866E5">
        <w:rPr>
          <w:noProof/>
        </w:rPr>
        <w:t>jeg</w:t>
      </w:r>
      <w:r w:rsidR="00513C4F" w:rsidRPr="002866E5">
        <w:rPr>
          <w:noProof/>
        </w:rPr>
        <w:t>o imieniu</w:t>
      </w:r>
      <w:r w:rsidR="008B35E8" w:rsidRPr="002866E5">
        <w:rPr>
          <w:noProof/>
        </w:rPr>
        <w:t xml:space="preserve"> w</w:t>
      </w:r>
      <w:r w:rsidR="008B35E8">
        <w:rPr>
          <w:noProof/>
        </w:rPr>
        <w:t> </w:t>
      </w:r>
      <w:r w:rsidR="008B35E8" w:rsidRPr="002866E5">
        <w:rPr>
          <w:noProof/>
        </w:rPr>
        <w:t>zak</w:t>
      </w:r>
      <w:r w:rsidR="00513C4F" w:rsidRPr="002866E5">
        <w:rPr>
          <w:noProof/>
        </w:rPr>
        <w:t>resie określonych zadań;</w:t>
      </w:r>
    </w:p>
    <w:p w14:paraId="67ED873E" w14:textId="61A48F22" w:rsidR="00655F84" w:rsidRPr="002866E5" w:rsidRDefault="000340F9" w:rsidP="009C20DD">
      <w:pPr>
        <w:pStyle w:val="Point0"/>
        <w:rPr>
          <w:noProof/>
        </w:rPr>
      </w:pPr>
      <w:r>
        <w:rPr>
          <w:noProof/>
        </w:rPr>
        <w:lastRenderedPageBreak/>
        <w:t>20</w:t>
      </w:r>
      <w:r w:rsidR="009C20DD" w:rsidRPr="009C20DD">
        <w:rPr>
          <w:noProof/>
        </w:rPr>
        <w:t>)</w:t>
      </w:r>
      <w:r w:rsidR="009C20DD" w:rsidRPr="009C20DD">
        <w:rPr>
          <w:noProof/>
        </w:rPr>
        <w:tab/>
      </w:r>
      <w:r w:rsidR="00513C4F" w:rsidRPr="002866E5">
        <w:rPr>
          <w:noProof/>
        </w:rPr>
        <w:t>„importer” oznacza każdą osobę fizyczną lub prawną, która ma miejsce zamieszkania lub siedzibę</w:t>
      </w:r>
      <w:r w:rsidR="008B35E8" w:rsidRPr="002866E5">
        <w:rPr>
          <w:noProof/>
        </w:rPr>
        <w:t xml:space="preserve"> w</w:t>
      </w:r>
      <w:r w:rsidR="008B35E8">
        <w:rPr>
          <w:noProof/>
        </w:rPr>
        <w:t> </w:t>
      </w:r>
      <w:r w:rsidR="008B35E8" w:rsidRPr="002866E5">
        <w:rPr>
          <w:noProof/>
        </w:rPr>
        <w:t>Uni</w:t>
      </w:r>
      <w:r w:rsidR="00513C4F" w:rsidRPr="002866E5">
        <w:rPr>
          <w:noProof/>
        </w:rPr>
        <w:t>i</w:t>
      </w:r>
      <w:r w:rsidR="008B35E8" w:rsidRPr="002866E5">
        <w:rPr>
          <w:noProof/>
        </w:rPr>
        <w:t xml:space="preserve"> i</w:t>
      </w:r>
      <w:r w:rsidR="008B35E8">
        <w:rPr>
          <w:noProof/>
        </w:rPr>
        <w:t> </w:t>
      </w:r>
      <w:r w:rsidR="008B35E8" w:rsidRPr="002866E5">
        <w:rPr>
          <w:noProof/>
        </w:rPr>
        <w:t>wpr</w:t>
      </w:r>
      <w:r w:rsidR="00513C4F" w:rsidRPr="002866E5">
        <w:rPr>
          <w:noProof/>
        </w:rPr>
        <w:t>owadza do obrotu produkt</w:t>
      </w:r>
      <w:r w:rsidR="008B35E8" w:rsidRPr="002866E5">
        <w:rPr>
          <w:noProof/>
        </w:rPr>
        <w:t xml:space="preserve"> z</w:t>
      </w:r>
      <w:r w:rsidR="008B35E8">
        <w:rPr>
          <w:noProof/>
        </w:rPr>
        <w:t> </w:t>
      </w:r>
      <w:r w:rsidR="008B35E8" w:rsidRPr="002866E5">
        <w:rPr>
          <w:noProof/>
        </w:rPr>
        <w:t>ele</w:t>
      </w:r>
      <w:r w:rsidR="00513C4F" w:rsidRPr="002866E5">
        <w:rPr>
          <w:noProof/>
        </w:rPr>
        <w:t xml:space="preserve">mentami cyfrowymi opatrzony nazwą handlową lub znakiem towarowym osoby fizycznej lub prawnej mającej miejsce zamieszkania lub siedzibę poza granicami Unii; </w:t>
      </w:r>
    </w:p>
    <w:p w14:paraId="67ED873F" w14:textId="18099E07" w:rsidR="00655F84" w:rsidRPr="002866E5" w:rsidRDefault="000340F9" w:rsidP="009C20DD">
      <w:pPr>
        <w:pStyle w:val="Point0"/>
        <w:rPr>
          <w:noProof/>
        </w:rPr>
      </w:pPr>
      <w:r>
        <w:rPr>
          <w:noProof/>
        </w:rPr>
        <w:t>21</w:t>
      </w:r>
      <w:r w:rsidR="009C20DD" w:rsidRPr="009C20DD">
        <w:rPr>
          <w:noProof/>
        </w:rPr>
        <w:t>)</w:t>
      </w:r>
      <w:r w:rsidR="009C20DD" w:rsidRPr="009C20DD">
        <w:rPr>
          <w:noProof/>
        </w:rPr>
        <w:tab/>
      </w:r>
      <w:r w:rsidR="00513C4F" w:rsidRPr="002866E5">
        <w:rPr>
          <w:noProof/>
        </w:rPr>
        <w:t>„dystrybutor” oznacza każdą osobę fizyczną lub prawną</w:t>
      </w:r>
      <w:r w:rsidR="008B35E8" w:rsidRPr="002866E5">
        <w:rPr>
          <w:noProof/>
        </w:rPr>
        <w:t xml:space="preserve"> w</w:t>
      </w:r>
      <w:r w:rsidR="008B35E8">
        <w:rPr>
          <w:noProof/>
        </w:rPr>
        <w:t> </w:t>
      </w:r>
      <w:r w:rsidR="008B35E8" w:rsidRPr="002866E5">
        <w:rPr>
          <w:noProof/>
        </w:rPr>
        <w:t>łań</w:t>
      </w:r>
      <w:r w:rsidR="00513C4F" w:rsidRPr="002866E5">
        <w:rPr>
          <w:noProof/>
        </w:rPr>
        <w:t>cuchu dostaw, inną niż producent lub importer, która udostępnia produkt</w:t>
      </w:r>
      <w:r w:rsidR="008B35E8" w:rsidRPr="002866E5">
        <w:rPr>
          <w:noProof/>
        </w:rPr>
        <w:t xml:space="preserve"> z</w:t>
      </w:r>
      <w:r w:rsidR="008B35E8">
        <w:rPr>
          <w:noProof/>
        </w:rPr>
        <w:t> </w:t>
      </w:r>
      <w:r w:rsidR="008B35E8" w:rsidRPr="002866E5">
        <w:rPr>
          <w:noProof/>
        </w:rPr>
        <w:t>ele</w:t>
      </w:r>
      <w:r w:rsidR="00513C4F" w:rsidRPr="002866E5">
        <w:rPr>
          <w:noProof/>
        </w:rPr>
        <w:t xml:space="preserve">mentami cyfrowymi na rynku unijnym bez zmiany jego właściwości; </w:t>
      </w:r>
    </w:p>
    <w:p w14:paraId="67ED8740" w14:textId="4842DF7E" w:rsidR="00655F84" w:rsidRPr="002866E5" w:rsidRDefault="000340F9" w:rsidP="009C20DD">
      <w:pPr>
        <w:pStyle w:val="Point0"/>
        <w:rPr>
          <w:noProof/>
        </w:rPr>
      </w:pPr>
      <w:r>
        <w:rPr>
          <w:noProof/>
        </w:rPr>
        <w:t>22</w:t>
      </w:r>
      <w:r w:rsidR="009C20DD" w:rsidRPr="009C20DD">
        <w:rPr>
          <w:noProof/>
        </w:rPr>
        <w:t>)</w:t>
      </w:r>
      <w:r w:rsidR="009C20DD" w:rsidRPr="009C20DD">
        <w:rPr>
          <w:noProof/>
        </w:rPr>
        <w:tab/>
      </w:r>
      <w:r w:rsidR="00513C4F" w:rsidRPr="002866E5">
        <w:rPr>
          <w:noProof/>
        </w:rPr>
        <w:t>„wprowadzenie do obrotu” oznacza udostępnienie produktu</w:t>
      </w:r>
      <w:r w:rsidR="008B35E8" w:rsidRPr="002866E5">
        <w:rPr>
          <w:noProof/>
        </w:rPr>
        <w:t xml:space="preserve"> z</w:t>
      </w:r>
      <w:r w:rsidR="008B35E8">
        <w:rPr>
          <w:noProof/>
        </w:rPr>
        <w:t> </w:t>
      </w:r>
      <w:r w:rsidR="008B35E8" w:rsidRPr="002866E5">
        <w:rPr>
          <w:noProof/>
        </w:rPr>
        <w:t>ele</w:t>
      </w:r>
      <w:r w:rsidR="00513C4F" w:rsidRPr="002866E5">
        <w:rPr>
          <w:noProof/>
        </w:rPr>
        <w:t xml:space="preserve">mentami cyfrowymi na rynku Unii po raz pierwszy; </w:t>
      </w:r>
    </w:p>
    <w:p w14:paraId="67ED8741" w14:textId="491188C4" w:rsidR="00655F84" w:rsidRPr="002866E5" w:rsidRDefault="000340F9" w:rsidP="009C20DD">
      <w:pPr>
        <w:pStyle w:val="Point0"/>
        <w:rPr>
          <w:noProof/>
        </w:rPr>
      </w:pPr>
      <w:r>
        <w:rPr>
          <w:noProof/>
        </w:rPr>
        <w:t>23</w:t>
      </w:r>
      <w:r w:rsidR="009C20DD" w:rsidRPr="009C20DD">
        <w:rPr>
          <w:noProof/>
        </w:rPr>
        <w:t>)</w:t>
      </w:r>
      <w:r w:rsidR="009C20DD" w:rsidRPr="009C20DD">
        <w:rPr>
          <w:noProof/>
        </w:rPr>
        <w:tab/>
      </w:r>
      <w:r w:rsidR="00513C4F" w:rsidRPr="002866E5">
        <w:rPr>
          <w:noProof/>
        </w:rPr>
        <w:t>„udostępnienie na rynku” oznacza dostarczenie produktu</w:t>
      </w:r>
      <w:r w:rsidR="008B35E8" w:rsidRPr="002866E5">
        <w:rPr>
          <w:noProof/>
        </w:rPr>
        <w:t xml:space="preserve"> z</w:t>
      </w:r>
      <w:r w:rsidR="008B35E8">
        <w:rPr>
          <w:noProof/>
        </w:rPr>
        <w:t> </w:t>
      </w:r>
      <w:r w:rsidR="008B35E8" w:rsidRPr="002866E5">
        <w:rPr>
          <w:noProof/>
        </w:rPr>
        <w:t>ele</w:t>
      </w:r>
      <w:r w:rsidR="00513C4F" w:rsidRPr="002866E5">
        <w:rPr>
          <w:noProof/>
        </w:rPr>
        <w:t>mentami cyfrowymi do celów dystrybucji lub używania na rynku Unii</w:t>
      </w:r>
      <w:r w:rsidR="008B35E8" w:rsidRPr="002866E5">
        <w:rPr>
          <w:noProof/>
        </w:rPr>
        <w:t xml:space="preserve"> w</w:t>
      </w:r>
      <w:r w:rsidR="008B35E8">
        <w:rPr>
          <w:noProof/>
        </w:rPr>
        <w:t> </w:t>
      </w:r>
      <w:r w:rsidR="008B35E8" w:rsidRPr="002866E5">
        <w:rPr>
          <w:noProof/>
        </w:rPr>
        <w:t>ram</w:t>
      </w:r>
      <w:r w:rsidR="00513C4F" w:rsidRPr="002866E5">
        <w:rPr>
          <w:noProof/>
        </w:rPr>
        <w:t>ach działalności handlowej, odpłatnie lub nieodpłatnie;</w:t>
      </w:r>
    </w:p>
    <w:p w14:paraId="67ED8742" w14:textId="6295A424" w:rsidR="00655F84" w:rsidRPr="002866E5" w:rsidRDefault="000340F9" w:rsidP="009C20DD">
      <w:pPr>
        <w:pStyle w:val="Point0"/>
        <w:rPr>
          <w:noProof/>
        </w:rPr>
      </w:pPr>
      <w:r>
        <w:rPr>
          <w:noProof/>
        </w:rPr>
        <w:t>24</w:t>
      </w:r>
      <w:r w:rsidR="009C20DD" w:rsidRPr="009C20DD">
        <w:rPr>
          <w:noProof/>
        </w:rPr>
        <w:t>)</w:t>
      </w:r>
      <w:r w:rsidR="009C20DD" w:rsidRPr="009C20DD">
        <w:rPr>
          <w:noProof/>
        </w:rPr>
        <w:tab/>
      </w:r>
      <w:r w:rsidR="00513C4F" w:rsidRPr="002866E5">
        <w:rPr>
          <w:noProof/>
        </w:rPr>
        <w:t>„przeznaczenie” oznacza zastosowanie, do którego produkt</w:t>
      </w:r>
      <w:r w:rsidR="008B35E8" w:rsidRPr="002866E5">
        <w:rPr>
          <w:noProof/>
        </w:rPr>
        <w:t xml:space="preserve"> z</w:t>
      </w:r>
      <w:r w:rsidR="008B35E8">
        <w:rPr>
          <w:noProof/>
        </w:rPr>
        <w:t> </w:t>
      </w:r>
      <w:r w:rsidR="008B35E8" w:rsidRPr="002866E5">
        <w:rPr>
          <w:noProof/>
        </w:rPr>
        <w:t>ele</w:t>
      </w:r>
      <w:r w:rsidR="00513C4F" w:rsidRPr="002866E5">
        <w:rPr>
          <w:noProof/>
        </w:rPr>
        <w:t>mentami cyfrowymi został przeznaczony przez jego producenta,</w:t>
      </w:r>
      <w:r w:rsidR="008B35E8" w:rsidRPr="002866E5">
        <w:rPr>
          <w:noProof/>
        </w:rPr>
        <w:t xml:space="preserve"> w</w:t>
      </w:r>
      <w:r w:rsidR="008B35E8">
        <w:rPr>
          <w:noProof/>
        </w:rPr>
        <w:t> </w:t>
      </w:r>
      <w:r w:rsidR="008B35E8" w:rsidRPr="002866E5">
        <w:rPr>
          <w:noProof/>
        </w:rPr>
        <w:t>tym</w:t>
      </w:r>
      <w:r w:rsidR="00513C4F" w:rsidRPr="002866E5">
        <w:rPr>
          <w:noProof/>
        </w:rPr>
        <w:t xml:space="preserve"> określony kontekst</w:t>
      </w:r>
      <w:r w:rsidR="008B35E8" w:rsidRPr="002866E5">
        <w:rPr>
          <w:noProof/>
        </w:rPr>
        <w:t xml:space="preserve"> i</w:t>
      </w:r>
      <w:r w:rsidR="008B35E8">
        <w:rPr>
          <w:noProof/>
        </w:rPr>
        <w:t> </w:t>
      </w:r>
      <w:r w:rsidR="008B35E8" w:rsidRPr="002866E5">
        <w:rPr>
          <w:noProof/>
        </w:rPr>
        <w:t>war</w:t>
      </w:r>
      <w:r w:rsidR="00513C4F" w:rsidRPr="002866E5">
        <w:rPr>
          <w:noProof/>
        </w:rPr>
        <w:t>unki wykorzystywania, wskazane</w:t>
      </w:r>
      <w:r w:rsidR="008B35E8" w:rsidRPr="002866E5">
        <w:rPr>
          <w:noProof/>
        </w:rPr>
        <w:t xml:space="preserve"> w</w:t>
      </w:r>
      <w:r w:rsidR="008B35E8">
        <w:rPr>
          <w:noProof/>
        </w:rPr>
        <w:t> </w:t>
      </w:r>
      <w:r w:rsidR="008B35E8" w:rsidRPr="002866E5">
        <w:rPr>
          <w:noProof/>
        </w:rPr>
        <w:t>inf</w:t>
      </w:r>
      <w:r w:rsidR="00513C4F" w:rsidRPr="002866E5">
        <w:rPr>
          <w:noProof/>
        </w:rPr>
        <w:t>ormacjach dostarczonych przez producenta</w:t>
      </w:r>
      <w:r w:rsidR="008B35E8" w:rsidRPr="002866E5">
        <w:rPr>
          <w:noProof/>
        </w:rPr>
        <w:t xml:space="preserve"> w</w:t>
      </w:r>
      <w:r w:rsidR="008B35E8">
        <w:rPr>
          <w:noProof/>
        </w:rPr>
        <w:t> </w:t>
      </w:r>
      <w:r w:rsidR="008B35E8" w:rsidRPr="002866E5">
        <w:rPr>
          <w:noProof/>
        </w:rPr>
        <w:t>ins</w:t>
      </w:r>
      <w:r w:rsidR="00513C4F" w:rsidRPr="002866E5">
        <w:rPr>
          <w:noProof/>
        </w:rPr>
        <w:t>trukcji obsługi, materiałach promocyjnych lub sprzedażowych</w:t>
      </w:r>
      <w:r w:rsidR="008B35E8" w:rsidRPr="002866E5">
        <w:rPr>
          <w:noProof/>
        </w:rPr>
        <w:t xml:space="preserve"> i</w:t>
      </w:r>
      <w:r w:rsidR="008B35E8">
        <w:rPr>
          <w:noProof/>
        </w:rPr>
        <w:t> </w:t>
      </w:r>
      <w:r w:rsidR="008B35E8" w:rsidRPr="002866E5">
        <w:rPr>
          <w:noProof/>
        </w:rPr>
        <w:t>ośw</w:t>
      </w:r>
      <w:r w:rsidR="00513C4F" w:rsidRPr="002866E5">
        <w:rPr>
          <w:noProof/>
        </w:rPr>
        <w:t>iadczeniach, jak również</w:t>
      </w:r>
      <w:r w:rsidR="008B35E8" w:rsidRPr="002866E5">
        <w:rPr>
          <w:noProof/>
        </w:rPr>
        <w:t xml:space="preserve"> w</w:t>
      </w:r>
      <w:r w:rsidR="008B35E8">
        <w:rPr>
          <w:noProof/>
        </w:rPr>
        <w:t> </w:t>
      </w:r>
      <w:r w:rsidR="008B35E8" w:rsidRPr="002866E5">
        <w:rPr>
          <w:noProof/>
        </w:rPr>
        <w:t>dok</w:t>
      </w:r>
      <w:r w:rsidR="00513C4F" w:rsidRPr="002866E5">
        <w:rPr>
          <w:noProof/>
        </w:rPr>
        <w:t xml:space="preserve">umentacji technicznej; </w:t>
      </w:r>
    </w:p>
    <w:p w14:paraId="67ED8743" w14:textId="1DFFE00D" w:rsidR="00655F84" w:rsidRPr="002866E5" w:rsidRDefault="000340F9" w:rsidP="009C20DD">
      <w:pPr>
        <w:pStyle w:val="Point0"/>
        <w:rPr>
          <w:noProof/>
        </w:rPr>
      </w:pPr>
      <w:r>
        <w:rPr>
          <w:noProof/>
        </w:rPr>
        <w:t>25</w:t>
      </w:r>
      <w:r w:rsidR="009C20DD" w:rsidRPr="009C20DD">
        <w:rPr>
          <w:noProof/>
        </w:rPr>
        <w:t>)</w:t>
      </w:r>
      <w:r w:rsidR="009C20DD" w:rsidRPr="009C20DD">
        <w:rPr>
          <w:noProof/>
        </w:rPr>
        <w:tab/>
      </w:r>
      <w:r w:rsidR="00D319F7" w:rsidRPr="002866E5">
        <w:rPr>
          <w:noProof/>
        </w:rPr>
        <w:t>„racjonalnie przewidywalne wykorzystanie” oznacza zastosowanie, które niekoniecznie jest przeznaczeniem podanym przez producenta</w:t>
      </w:r>
      <w:r w:rsidR="008B35E8" w:rsidRPr="002866E5">
        <w:rPr>
          <w:noProof/>
        </w:rPr>
        <w:t xml:space="preserve"> w</w:t>
      </w:r>
      <w:r w:rsidR="008B35E8">
        <w:rPr>
          <w:noProof/>
        </w:rPr>
        <w:t> </w:t>
      </w:r>
      <w:r w:rsidR="008B35E8" w:rsidRPr="002866E5">
        <w:rPr>
          <w:noProof/>
        </w:rPr>
        <w:t>ins</w:t>
      </w:r>
      <w:r w:rsidR="00D319F7" w:rsidRPr="002866E5">
        <w:rPr>
          <w:noProof/>
        </w:rPr>
        <w:t>trukcji obsługi, materiałach promocyjnych lub sprzedażowych</w:t>
      </w:r>
      <w:r w:rsidR="008B35E8" w:rsidRPr="002866E5">
        <w:rPr>
          <w:noProof/>
        </w:rPr>
        <w:t xml:space="preserve"> i</w:t>
      </w:r>
      <w:r w:rsidR="008B35E8">
        <w:rPr>
          <w:noProof/>
        </w:rPr>
        <w:t> </w:t>
      </w:r>
      <w:r w:rsidR="008B35E8" w:rsidRPr="002866E5">
        <w:rPr>
          <w:noProof/>
        </w:rPr>
        <w:t>ośw</w:t>
      </w:r>
      <w:r w:rsidR="00D319F7" w:rsidRPr="002866E5">
        <w:rPr>
          <w:noProof/>
        </w:rPr>
        <w:t>iadczeniach, jak również</w:t>
      </w:r>
      <w:r w:rsidR="008B35E8" w:rsidRPr="002866E5">
        <w:rPr>
          <w:noProof/>
        </w:rPr>
        <w:t xml:space="preserve"> w</w:t>
      </w:r>
      <w:r w:rsidR="008B35E8">
        <w:rPr>
          <w:noProof/>
        </w:rPr>
        <w:t> </w:t>
      </w:r>
      <w:r w:rsidR="008B35E8" w:rsidRPr="002866E5">
        <w:rPr>
          <w:noProof/>
        </w:rPr>
        <w:t>dok</w:t>
      </w:r>
      <w:r w:rsidR="00D319F7" w:rsidRPr="002866E5">
        <w:rPr>
          <w:noProof/>
        </w:rPr>
        <w:t>umentacji technicznej, ale które prawdopodobnie wynika</w:t>
      </w:r>
      <w:r w:rsidR="008B35E8" w:rsidRPr="002866E5">
        <w:rPr>
          <w:noProof/>
        </w:rPr>
        <w:t xml:space="preserve"> z</w:t>
      </w:r>
      <w:r w:rsidR="008B35E8">
        <w:rPr>
          <w:noProof/>
        </w:rPr>
        <w:t> </w:t>
      </w:r>
      <w:r w:rsidR="008B35E8" w:rsidRPr="002866E5">
        <w:rPr>
          <w:noProof/>
        </w:rPr>
        <w:t>daj</w:t>
      </w:r>
      <w:r w:rsidR="00D319F7" w:rsidRPr="002866E5">
        <w:rPr>
          <w:noProof/>
        </w:rPr>
        <w:t>ącego się racjonalnie przewidzieć zachowania człowieka, operacji technicznych lub interakcji;</w:t>
      </w:r>
    </w:p>
    <w:p w14:paraId="67ED8744" w14:textId="5DE565F8" w:rsidR="00655F84" w:rsidRPr="002866E5" w:rsidRDefault="000340F9" w:rsidP="009C20DD">
      <w:pPr>
        <w:pStyle w:val="Point0"/>
        <w:rPr>
          <w:noProof/>
        </w:rPr>
      </w:pPr>
      <w:r>
        <w:rPr>
          <w:noProof/>
        </w:rPr>
        <w:t>26</w:t>
      </w:r>
      <w:r w:rsidR="009C20DD" w:rsidRPr="009C20DD">
        <w:rPr>
          <w:noProof/>
        </w:rPr>
        <w:t>)</w:t>
      </w:r>
      <w:r w:rsidR="009C20DD" w:rsidRPr="009C20DD">
        <w:rPr>
          <w:noProof/>
        </w:rPr>
        <w:tab/>
      </w:r>
      <w:r w:rsidR="00A567BD" w:rsidRPr="002866E5">
        <w:rPr>
          <w:noProof/>
        </w:rPr>
        <w:t>„racjonalnie przewidywalne niewłaściwe wykorzystanie” oznacza wykorzystanie produktu</w:t>
      </w:r>
      <w:r w:rsidR="008B35E8" w:rsidRPr="002866E5">
        <w:rPr>
          <w:noProof/>
        </w:rPr>
        <w:t xml:space="preserve"> z</w:t>
      </w:r>
      <w:r w:rsidR="008B35E8">
        <w:rPr>
          <w:noProof/>
        </w:rPr>
        <w:t> </w:t>
      </w:r>
      <w:r w:rsidR="008B35E8" w:rsidRPr="002866E5">
        <w:rPr>
          <w:noProof/>
        </w:rPr>
        <w:t>ele</w:t>
      </w:r>
      <w:r w:rsidR="00A567BD" w:rsidRPr="002866E5">
        <w:rPr>
          <w:noProof/>
        </w:rPr>
        <w:t>mentami cyfrowymi</w:t>
      </w:r>
      <w:r w:rsidR="008B35E8" w:rsidRPr="002866E5">
        <w:rPr>
          <w:noProof/>
        </w:rPr>
        <w:t xml:space="preserve"> w</w:t>
      </w:r>
      <w:r w:rsidR="008B35E8">
        <w:rPr>
          <w:noProof/>
        </w:rPr>
        <w:t> </w:t>
      </w:r>
      <w:r w:rsidR="008B35E8" w:rsidRPr="002866E5">
        <w:rPr>
          <w:noProof/>
        </w:rPr>
        <w:t>spo</w:t>
      </w:r>
      <w:r w:rsidR="00A567BD" w:rsidRPr="002866E5">
        <w:rPr>
          <w:noProof/>
        </w:rPr>
        <w:t>sób niezgodny</w:t>
      </w:r>
      <w:r w:rsidR="008B35E8" w:rsidRPr="002866E5">
        <w:rPr>
          <w:noProof/>
        </w:rPr>
        <w:t xml:space="preserve"> z</w:t>
      </w:r>
      <w:r w:rsidR="008B35E8">
        <w:rPr>
          <w:noProof/>
        </w:rPr>
        <w:t> </w:t>
      </w:r>
      <w:r w:rsidR="008B35E8" w:rsidRPr="002866E5">
        <w:rPr>
          <w:noProof/>
        </w:rPr>
        <w:t>jeg</w:t>
      </w:r>
      <w:r w:rsidR="00A567BD" w:rsidRPr="002866E5">
        <w:rPr>
          <w:noProof/>
        </w:rPr>
        <w:t>o przeznaczeniem, które może jednak wynikać</w:t>
      </w:r>
      <w:r w:rsidR="008B35E8" w:rsidRPr="002866E5">
        <w:rPr>
          <w:noProof/>
        </w:rPr>
        <w:t xml:space="preserve"> z</w:t>
      </w:r>
      <w:r w:rsidR="008B35E8">
        <w:rPr>
          <w:noProof/>
        </w:rPr>
        <w:t> </w:t>
      </w:r>
      <w:r w:rsidR="008B35E8" w:rsidRPr="002866E5">
        <w:rPr>
          <w:noProof/>
        </w:rPr>
        <w:t>daj</w:t>
      </w:r>
      <w:r w:rsidR="00A567BD" w:rsidRPr="002866E5">
        <w:rPr>
          <w:noProof/>
        </w:rPr>
        <w:t>ącego się racjonalnie przewidzieć zachowania człowieka lub interakcji</w:t>
      </w:r>
      <w:r w:rsidR="008B35E8" w:rsidRPr="002866E5">
        <w:rPr>
          <w:noProof/>
        </w:rPr>
        <w:t xml:space="preserve"> z</w:t>
      </w:r>
      <w:r w:rsidR="008B35E8">
        <w:rPr>
          <w:noProof/>
        </w:rPr>
        <w:t> </w:t>
      </w:r>
      <w:r w:rsidR="008B35E8" w:rsidRPr="002866E5">
        <w:rPr>
          <w:noProof/>
        </w:rPr>
        <w:t>inn</w:t>
      </w:r>
      <w:r w:rsidR="00A567BD" w:rsidRPr="002866E5">
        <w:rPr>
          <w:noProof/>
        </w:rPr>
        <w:t>ymi systemami;</w:t>
      </w:r>
    </w:p>
    <w:p w14:paraId="67ED8745" w14:textId="4C861CE5" w:rsidR="00655F84" w:rsidRPr="002866E5" w:rsidRDefault="000340F9" w:rsidP="009C20DD">
      <w:pPr>
        <w:pStyle w:val="Point0"/>
        <w:rPr>
          <w:noProof/>
        </w:rPr>
      </w:pPr>
      <w:r>
        <w:rPr>
          <w:noProof/>
        </w:rPr>
        <w:t>27</w:t>
      </w:r>
      <w:r w:rsidR="009C20DD" w:rsidRPr="009C20DD">
        <w:rPr>
          <w:noProof/>
        </w:rPr>
        <w:t>)</w:t>
      </w:r>
      <w:r w:rsidR="009C20DD" w:rsidRPr="009C20DD">
        <w:rPr>
          <w:noProof/>
        </w:rPr>
        <w:tab/>
      </w:r>
      <w:r w:rsidR="00513C4F" w:rsidRPr="002866E5">
        <w:rPr>
          <w:noProof/>
        </w:rPr>
        <w:t>„organ notyfikujący” oznacza organ krajowy, który odpowiada za opracowanie</w:t>
      </w:r>
      <w:r w:rsidR="008B35E8" w:rsidRPr="002866E5">
        <w:rPr>
          <w:noProof/>
        </w:rPr>
        <w:t xml:space="preserve"> i</w:t>
      </w:r>
      <w:r w:rsidR="008B35E8">
        <w:rPr>
          <w:noProof/>
        </w:rPr>
        <w:t> </w:t>
      </w:r>
      <w:r w:rsidR="008B35E8" w:rsidRPr="002866E5">
        <w:rPr>
          <w:noProof/>
        </w:rPr>
        <w:t>sto</w:t>
      </w:r>
      <w:r w:rsidR="00513C4F" w:rsidRPr="002866E5">
        <w:rPr>
          <w:noProof/>
        </w:rPr>
        <w:t>sowanie procedur koniecznych do oceny, wyznaczania</w:t>
      </w:r>
      <w:r w:rsidR="008B35E8" w:rsidRPr="002866E5">
        <w:rPr>
          <w:noProof/>
        </w:rPr>
        <w:t xml:space="preserve"> i</w:t>
      </w:r>
      <w:r w:rsidR="008B35E8">
        <w:rPr>
          <w:noProof/>
        </w:rPr>
        <w:t> </w:t>
      </w:r>
      <w:r w:rsidR="008B35E8" w:rsidRPr="002866E5">
        <w:rPr>
          <w:noProof/>
        </w:rPr>
        <w:t>not</w:t>
      </w:r>
      <w:r w:rsidR="00513C4F" w:rsidRPr="002866E5">
        <w:rPr>
          <w:noProof/>
        </w:rPr>
        <w:t xml:space="preserve">yfikowania jednostek oceniających zgodność oraz za ich monitorowanie; </w:t>
      </w:r>
    </w:p>
    <w:p w14:paraId="67ED8746" w14:textId="5872A5C7" w:rsidR="00513C4F" w:rsidRPr="002866E5" w:rsidRDefault="000340F9" w:rsidP="009C20DD">
      <w:pPr>
        <w:pStyle w:val="Point0"/>
        <w:rPr>
          <w:noProof/>
        </w:rPr>
      </w:pPr>
      <w:r>
        <w:rPr>
          <w:noProof/>
        </w:rPr>
        <w:t>28</w:t>
      </w:r>
      <w:r w:rsidR="009C20DD" w:rsidRPr="009C20DD">
        <w:rPr>
          <w:noProof/>
        </w:rPr>
        <w:t>)</w:t>
      </w:r>
      <w:r w:rsidR="009C20DD" w:rsidRPr="009C20DD">
        <w:rPr>
          <w:noProof/>
        </w:rPr>
        <w:tab/>
      </w:r>
      <w:r w:rsidR="00513C4F" w:rsidRPr="002866E5">
        <w:rPr>
          <w:noProof/>
        </w:rPr>
        <w:t>„ocena zgodności” oznacza proces weryfikacji, czy spełniono zasadnicze wymogi określone</w:t>
      </w:r>
      <w:r w:rsidR="008B35E8" w:rsidRPr="002866E5">
        <w:rPr>
          <w:noProof/>
        </w:rPr>
        <w:t xml:space="preserve"> w</w:t>
      </w:r>
      <w:r w:rsidR="008B35E8">
        <w:rPr>
          <w:noProof/>
        </w:rPr>
        <w:t> </w:t>
      </w:r>
      <w:r w:rsidR="008B35E8" w:rsidRPr="002866E5">
        <w:rPr>
          <w:noProof/>
        </w:rPr>
        <w:t>zał</w:t>
      </w:r>
      <w:r w:rsidR="00513C4F" w:rsidRPr="002866E5">
        <w:rPr>
          <w:noProof/>
        </w:rPr>
        <w:t>ączniku I;</w:t>
      </w:r>
    </w:p>
    <w:p w14:paraId="67ED8747" w14:textId="7713E48A" w:rsidR="00513C4F" w:rsidRPr="002866E5" w:rsidRDefault="000340F9" w:rsidP="009C20DD">
      <w:pPr>
        <w:pStyle w:val="Point0"/>
        <w:rPr>
          <w:noProof/>
        </w:rPr>
      </w:pPr>
      <w:r>
        <w:rPr>
          <w:noProof/>
        </w:rPr>
        <w:t>29</w:t>
      </w:r>
      <w:r w:rsidR="009C20DD" w:rsidRPr="009C20DD">
        <w:rPr>
          <w:noProof/>
        </w:rPr>
        <w:t>)</w:t>
      </w:r>
      <w:r w:rsidR="009C20DD" w:rsidRPr="009C20DD">
        <w:rPr>
          <w:noProof/>
        </w:rPr>
        <w:tab/>
      </w:r>
      <w:r w:rsidR="00513C4F" w:rsidRPr="002866E5">
        <w:rPr>
          <w:noProof/>
        </w:rPr>
        <w:t>„jednostka oceniająca zgodność” oznacza jednostkę zdefiniowaną</w:t>
      </w:r>
      <w:r w:rsidR="008B35E8" w:rsidRPr="002866E5">
        <w:rPr>
          <w:noProof/>
        </w:rPr>
        <w:t xml:space="preserve"> w</w:t>
      </w:r>
      <w:r w:rsidR="008B35E8">
        <w:rPr>
          <w:noProof/>
        </w:rPr>
        <w:t> </w:t>
      </w:r>
      <w:r w:rsidR="008B35E8" w:rsidRPr="008B35E8">
        <w:rPr>
          <w:noProof/>
        </w:rPr>
        <w:t>art</w:t>
      </w:r>
      <w:r w:rsidR="00513C4F" w:rsidRPr="008B35E8">
        <w:rPr>
          <w:noProof/>
        </w:rPr>
        <w:t>.</w:t>
      </w:r>
      <w:r w:rsidR="008B35E8" w:rsidRPr="008B35E8">
        <w:rPr>
          <w:noProof/>
        </w:rPr>
        <w:t> </w:t>
      </w:r>
      <w:r w:rsidR="00513C4F" w:rsidRPr="008B35E8">
        <w:rPr>
          <w:noProof/>
        </w:rPr>
        <w:t>2</w:t>
      </w:r>
      <w:r w:rsidR="00513C4F" w:rsidRPr="002866E5">
        <w:rPr>
          <w:noProof/>
        </w:rPr>
        <w:t xml:space="preserve"> </w:t>
      </w:r>
      <w:r w:rsidR="00513C4F" w:rsidRPr="008B35E8">
        <w:rPr>
          <w:noProof/>
        </w:rPr>
        <w:t>pkt</w:t>
      </w:r>
      <w:r w:rsidR="008B35E8" w:rsidRPr="008B35E8">
        <w:rPr>
          <w:noProof/>
        </w:rPr>
        <w:t> </w:t>
      </w:r>
      <w:r w:rsidR="00513C4F" w:rsidRPr="008B35E8">
        <w:rPr>
          <w:noProof/>
        </w:rPr>
        <w:t>1</w:t>
      </w:r>
      <w:r w:rsidR="00513C4F" w:rsidRPr="002866E5">
        <w:rPr>
          <w:noProof/>
        </w:rPr>
        <w:t xml:space="preserve">3 rozporządzenia (UE) </w:t>
      </w:r>
      <w:r w:rsidR="00513C4F" w:rsidRPr="008B35E8">
        <w:rPr>
          <w:noProof/>
        </w:rPr>
        <w:t>nr</w:t>
      </w:r>
      <w:r w:rsidR="008B35E8" w:rsidRPr="008B35E8">
        <w:rPr>
          <w:noProof/>
        </w:rPr>
        <w:t> </w:t>
      </w:r>
      <w:r w:rsidR="00513C4F" w:rsidRPr="008B35E8">
        <w:rPr>
          <w:noProof/>
        </w:rPr>
        <w:t>7</w:t>
      </w:r>
      <w:r w:rsidR="00513C4F" w:rsidRPr="002866E5">
        <w:rPr>
          <w:noProof/>
        </w:rPr>
        <w:t>65/2008;</w:t>
      </w:r>
    </w:p>
    <w:p w14:paraId="67ED8748" w14:textId="53732505" w:rsidR="00513C4F" w:rsidRPr="002866E5" w:rsidRDefault="000340F9" w:rsidP="009C20DD">
      <w:pPr>
        <w:pStyle w:val="Point0"/>
        <w:rPr>
          <w:noProof/>
        </w:rPr>
      </w:pPr>
      <w:r>
        <w:rPr>
          <w:noProof/>
        </w:rPr>
        <w:t>30</w:t>
      </w:r>
      <w:r w:rsidR="009C20DD" w:rsidRPr="009C20DD">
        <w:rPr>
          <w:noProof/>
        </w:rPr>
        <w:t>)</w:t>
      </w:r>
      <w:r w:rsidR="009C20DD" w:rsidRPr="009C20DD">
        <w:rPr>
          <w:noProof/>
        </w:rPr>
        <w:tab/>
      </w:r>
      <w:r w:rsidR="00513C4F" w:rsidRPr="002866E5">
        <w:rPr>
          <w:noProof/>
        </w:rPr>
        <w:t>„jednostka notyfikowana” oznacza jednostkę oceniającą zgodność wyznaczoną zgodnie</w:t>
      </w:r>
      <w:r w:rsidR="008B35E8" w:rsidRPr="002866E5">
        <w:rPr>
          <w:noProof/>
        </w:rPr>
        <w:t xml:space="preserve"> z</w:t>
      </w:r>
      <w:r w:rsidR="008B35E8">
        <w:rPr>
          <w:noProof/>
        </w:rPr>
        <w:t> </w:t>
      </w:r>
      <w:r w:rsidR="008B35E8" w:rsidRPr="008B35E8">
        <w:rPr>
          <w:noProof/>
        </w:rPr>
        <w:t>art</w:t>
      </w:r>
      <w:r w:rsidR="00513C4F" w:rsidRPr="008B35E8">
        <w:rPr>
          <w:noProof/>
        </w:rPr>
        <w:t>.</w:t>
      </w:r>
      <w:r w:rsidR="008B35E8" w:rsidRPr="008B35E8">
        <w:rPr>
          <w:noProof/>
        </w:rPr>
        <w:t> </w:t>
      </w:r>
      <w:r w:rsidR="00513C4F" w:rsidRPr="008B35E8">
        <w:rPr>
          <w:noProof/>
        </w:rPr>
        <w:t>3</w:t>
      </w:r>
      <w:r w:rsidR="00513C4F" w:rsidRPr="002866E5">
        <w:rPr>
          <w:noProof/>
        </w:rPr>
        <w:t>3 niniejszego rozporządzenia</w:t>
      </w:r>
      <w:r w:rsidR="008B35E8" w:rsidRPr="002866E5">
        <w:rPr>
          <w:noProof/>
        </w:rPr>
        <w:t xml:space="preserve"> i</w:t>
      </w:r>
      <w:r w:rsidR="008B35E8">
        <w:rPr>
          <w:noProof/>
        </w:rPr>
        <w:t> </w:t>
      </w:r>
      <w:r w:rsidR="008B35E8" w:rsidRPr="002866E5">
        <w:rPr>
          <w:noProof/>
        </w:rPr>
        <w:t>inn</w:t>
      </w:r>
      <w:r w:rsidR="00513C4F" w:rsidRPr="002866E5">
        <w:rPr>
          <w:noProof/>
        </w:rPr>
        <w:t xml:space="preserve">ym stosownym unijnym prawodawstwem harmonizacyjnym; </w:t>
      </w:r>
    </w:p>
    <w:p w14:paraId="67ED8749" w14:textId="5A2A1AE0" w:rsidR="00513C4F" w:rsidRPr="002866E5" w:rsidRDefault="000340F9" w:rsidP="009C20DD">
      <w:pPr>
        <w:pStyle w:val="Point0"/>
        <w:rPr>
          <w:noProof/>
        </w:rPr>
      </w:pPr>
      <w:r>
        <w:rPr>
          <w:noProof/>
        </w:rPr>
        <w:t>31</w:t>
      </w:r>
      <w:r w:rsidR="009C20DD" w:rsidRPr="009C20DD">
        <w:rPr>
          <w:noProof/>
        </w:rPr>
        <w:t>)</w:t>
      </w:r>
      <w:r w:rsidR="009C20DD" w:rsidRPr="009C20DD">
        <w:rPr>
          <w:noProof/>
        </w:rPr>
        <w:tab/>
      </w:r>
      <w:r w:rsidR="00513C4F" w:rsidRPr="002866E5">
        <w:rPr>
          <w:noProof/>
        </w:rPr>
        <w:t>„istotna modyfikacja” oznacza zmianę</w:t>
      </w:r>
      <w:r w:rsidR="008B35E8" w:rsidRPr="002866E5">
        <w:rPr>
          <w:noProof/>
        </w:rPr>
        <w:t xml:space="preserve"> w</w:t>
      </w:r>
      <w:r w:rsidR="008B35E8">
        <w:rPr>
          <w:noProof/>
        </w:rPr>
        <w:t> </w:t>
      </w:r>
      <w:r w:rsidR="008B35E8" w:rsidRPr="002866E5">
        <w:rPr>
          <w:noProof/>
        </w:rPr>
        <w:t>pro</w:t>
      </w:r>
      <w:r w:rsidR="00513C4F" w:rsidRPr="002866E5">
        <w:rPr>
          <w:noProof/>
        </w:rPr>
        <w:t>dukcie</w:t>
      </w:r>
      <w:r w:rsidR="008B35E8" w:rsidRPr="002866E5">
        <w:rPr>
          <w:noProof/>
        </w:rPr>
        <w:t xml:space="preserve"> z</w:t>
      </w:r>
      <w:r w:rsidR="008B35E8">
        <w:rPr>
          <w:noProof/>
        </w:rPr>
        <w:t> </w:t>
      </w:r>
      <w:r w:rsidR="008B35E8" w:rsidRPr="002866E5">
        <w:rPr>
          <w:noProof/>
        </w:rPr>
        <w:t>ele</w:t>
      </w:r>
      <w:r w:rsidR="00513C4F" w:rsidRPr="002866E5">
        <w:rPr>
          <w:noProof/>
        </w:rPr>
        <w:t>mentami cyfrowymi po jego wprowadzeniu do obrotu, która wpływa na zgodność produktu</w:t>
      </w:r>
      <w:r w:rsidR="008B35E8" w:rsidRPr="002866E5">
        <w:rPr>
          <w:noProof/>
        </w:rPr>
        <w:t xml:space="preserve"> z</w:t>
      </w:r>
      <w:r w:rsidR="008B35E8">
        <w:rPr>
          <w:noProof/>
        </w:rPr>
        <w:t> </w:t>
      </w:r>
      <w:r w:rsidR="008B35E8" w:rsidRPr="002866E5">
        <w:rPr>
          <w:noProof/>
        </w:rPr>
        <w:t>ele</w:t>
      </w:r>
      <w:r w:rsidR="00513C4F" w:rsidRPr="002866E5">
        <w:rPr>
          <w:noProof/>
        </w:rPr>
        <w:t>mentami cyfrowymi</w:t>
      </w:r>
      <w:r w:rsidR="008B35E8" w:rsidRPr="002866E5">
        <w:rPr>
          <w:noProof/>
        </w:rPr>
        <w:t xml:space="preserve"> z</w:t>
      </w:r>
      <w:r w:rsidR="008B35E8">
        <w:rPr>
          <w:noProof/>
        </w:rPr>
        <w:t> </w:t>
      </w:r>
      <w:r w:rsidR="008B35E8" w:rsidRPr="002866E5">
        <w:rPr>
          <w:noProof/>
        </w:rPr>
        <w:t>zas</w:t>
      </w:r>
      <w:r w:rsidR="00513C4F" w:rsidRPr="002866E5">
        <w:rPr>
          <w:noProof/>
        </w:rPr>
        <w:t>adniczymi wymogami określonymi</w:t>
      </w:r>
      <w:r w:rsidR="008B35E8" w:rsidRPr="002866E5">
        <w:rPr>
          <w:noProof/>
        </w:rPr>
        <w:t xml:space="preserve"> w</w:t>
      </w:r>
      <w:r w:rsidR="008B35E8">
        <w:rPr>
          <w:noProof/>
        </w:rPr>
        <w:t> </w:t>
      </w:r>
      <w:r w:rsidR="008B35E8" w:rsidRPr="002866E5">
        <w:rPr>
          <w:noProof/>
        </w:rPr>
        <w:t>sek</w:t>
      </w:r>
      <w:r w:rsidR="00513C4F" w:rsidRPr="002866E5">
        <w:rPr>
          <w:noProof/>
        </w:rPr>
        <w:t>cji 1 załącznika I lub powoduje zmianę przeznaczenia,</w:t>
      </w:r>
      <w:r w:rsidR="008B35E8" w:rsidRPr="002866E5">
        <w:rPr>
          <w:noProof/>
        </w:rPr>
        <w:t xml:space="preserve"> w</w:t>
      </w:r>
      <w:r w:rsidR="008B35E8">
        <w:rPr>
          <w:noProof/>
        </w:rPr>
        <w:t> </w:t>
      </w:r>
      <w:r w:rsidR="008B35E8" w:rsidRPr="002866E5">
        <w:rPr>
          <w:noProof/>
        </w:rPr>
        <w:t>odn</w:t>
      </w:r>
      <w:r w:rsidR="00513C4F" w:rsidRPr="002866E5">
        <w:rPr>
          <w:noProof/>
        </w:rPr>
        <w:t>iesieniu do którego oceniono produkt</w:t>
      </w:r>
      <w:r w:rsidR="008B35E8" w:rsidRPr="002866E5">
        <w:rPr>
          <w:noProof/>
        </w:rPr>
        <w:t xml:space="preserve"> z</w:t>
      </w:r>
      <w:r w:rsidR="008B35E8">
        <w:rPr>
          <w:noProof/>
        </w:rPr>
        <w:t> </w:t>
      </w:r>
      <w:r w:rsidR="008B35E8" w:rsidRPr="002866E5">
        <w:rPr>
          <w:noProof/>
        </w:rPr>
        <w:t>ele</w:t>
      </w:r>
      <w:r w:rsidR="00513C4F" w:rsidRPr="002866E5">
        <w:rPr>
          <w:noProof/>
        </w:rPr>
        <w:t>mentami cyfrowymi;</w:t>
      </w:r>
    </w:p>
    <w:p w14:paraId="67ED874A" w14:textId="65B9CF7C" w:rsidR="00513C4F" w:rsidRPr="002866E5" w:rsidRDefault="000340F9" w:rsidP="009C20DD">
      <w:pPr>
        <w:pStyle w:val="Point0"/>
        <w:rPr>
          <w:noProof/>
        </w:rPr>
      </w:pPr>
      <w:r>
        <w:rPr>
          <w:noProof/>
        </w:rPr>
        <w:t>32</w:t>
      </w:r>
      <w:r w:rsidR="009C20DD" w:rsidRPr="009C20DD">
        <w:rPr>
          <w:noProof/>
        </w:rPr>
        <w:t>)</w:t>
      </w:r>
      <w:r w:rsidR="009C20DD" w:rsidRPr="009C20DD">
        <w:rPr>
          <w:noProof/>
        </w:rPr>
        <w:tab/>
      </w:r>
      <w:r w:rsidR="00513C4F" w:rsidRPr="002866E5">
        <w:rPr>
          <w:noProof/>
        </w:rPr>
        <w:t>„oznakowanie zgodności CE” oznacza oznakowanie, za pomocą którego producent wskazuje, że produkt</w:t>
      </w:r>
      <w:r w:rsidR="008B35E8" w:rsidRPr="002866E5">
        <w:rPr>
          <w:noProof/>
        </w:rPr>
        <w:t xml:space="preserve"> z</w:t>
      </w:r>
      <w:r w:rsidR="008B35E8">
        <w:rPr>
          <w:noProof/>
        </w:rPr>
        <w:t> </w:t>
      </w:r>
      <w:r w:rsidR="008B35E8" w:rsidRPr="002866E5">
        <w:rPr>
          <w:noProof/>
        </w:rPr>
        <w:t>ele</w:t>
      </w:r>
      <w:r w:rsidR="00513C4F" w:rsidRPr="002866E5">
        <w:rPr>
          <w:noProof/>
        </w:rPr>
        <w:t>mentami cyfrowymi</w:t>
      </w:r>
      <w:r w:rsidR="008B35E8" w:rsidRPr="002866E5">
        <w:rPr>
          <w:noProof/>
        </w:rPr>
        <w:t xml:space="preserve"> i</w:t>
      </w:r>
      <w:r w:rsidR="008B35E8">
        <w:rPr>
          <w:noProof/>
        </w:rPr>
        <w:t> </w:t>
      </w:r>
      <w:r w:rsidR="008B35E8" w:rsidRPr="002866E5">
        <w:rPr>
          <w:noProof/>
        </w:rPr>
        <w:t>pro</w:t>
      </w:r>
      <w:r w:rsidR="00513C4F" w:rsidRPr="002866E5">
        <w:rPr>
          <w:noProof/>
        </w:rPr>
        <w:t>cedury wprowadzone przez producenta spełniają zasadnicze wymogi określone</w:t>
      </w:r>
      <w:r w:rsidR="008B35E8" w:rsidRPr="002866E5">
        <w:rPr>
          <w:noProof/>
        </w:rPr>
        <w:t xml:space="preserve"> w</w:t>
      </w:r>
      <w:r w:rsidR="008B35E8">
        <w:rPr>
          <w:noProof/>
        </w:rPr>
        <w:t> </w:t>
      </w:r>
      <w:r w:rsidR="008B35E8" w:rsidRPr="002866E5">
        <w:rPr>
          <w:noProof/>
        </w:rPr>
        <w:t>zał</w:t>
      </w:r>
      <w:r w:rsidR="00513C4F" w:rsidRPr="002866E5">
        <w:rPr>
          <w:noProof/>
        </w:rPr>
        <w:t>ączniku I</w:t>
      </w:r>
      <w:r w:rsidR="008B35E8" w:rsidRPr="002866E5">
        <w:rPr>
          <w:noProof/>
        </w:rPr>
        <w:t xml:space="preserve"> i</w:t>
      </w:r>
      <w:r w:rsidR="008B35E8">
        <w:rPr>
          <w:noProof/>
        </w:rPr>
        <w:t> </w:t>
      </w:r>
      <w:r w:rsidR="008B35E8" w:rsidRPr="002866E5">
        <w:rPr>
          <w:noProof/>
        </w:rPr>
        <w:t>inn</w:t>
      </w:r>
      <w:r w:rsidR="00513C4F" w:rsidRPr="002866E5">
        <w:rPr>
          <w:noProof/>
        </w:rPr>
        <w:t xml:space="preserve">ych mających zastosowanie przepisach Unii harmonizujących warunki wprowadzania produktów </w:t>
      </w:r>
      <w:r w:rsidR="00513C4F" w:rsidRPr="002866E5">
        <w:rPr>
          <w:noProof/>
        </w:rPr>
        <w:lastRenderedPageBreak/>
        <w:t>do obrotu („unijne prawodawstwo harmonizacyjne”), przewidujących umieszczanie takiego oznakowania;</w:t>
      </w:r>
    </w:p>
    <w:p w14:paraId="67ED874B" w14:textId="5C685CCB" w:rsidR="00645597" w:rsidRPr="002866E5" w:rsidRDefault="000340F9" w:rsidP="009C20DD">
      <w:pPr>
        <w:pStyle w:val="Point0"/>
        <w:rPr>
          <w:noProof/>
        </w:rPr>
      </w:pPr>
      <w:r>
        <w:rPr>
          <w:noProof/>
        </w:rPr>
        <w:t>33</w:t>
      </w:r>
      <w:r w:rsidR="009C20DD" w:rsidRPr="009C20DD">
        <w:rPr>
          <w:noProof/>
        </w:rPr>
        <w:t>)</w:t>
      </w:r>
      <w:r w:rsidR="009C20DD" w:rsidRPr="009C20DD">
        <w:rPr>
          <w:noProof/>
        </w:rPr>
        <w:tab/>
      </w:r>
      <w:r w:rsidR="0093753E" w:rsidRPr="002866E5">
        <w:rPr>
          <w:noProof/>
        </w:rPr>
        <w:t>„organ nadzoru rynku” oznacza organ nadzoru rynku zgodnie</w:t>
      </w:r>
      <w:r w:rsidR="008B35E8" w:rsidRPr="002866E5">
        <w:rPr>
          <w:noProof/>
        </w:rPr>
        <w:t xml:space="preserve"> z</w:t>
      </w:r>
      <w:r w:rsidR="008B35E8">
        <w:rPr>
          <w:noProof/>
        </w:rPr>
        <w:t> </w:t>
      </w:r>
      <w:r w:rsidR="008B35E8" w:rsidRPr="002866E5">
        <w:rPr>
          <w:noProof/>
        </w:rPr>
        <w:t>def</w:t>
      </w:r>
      <w:r w:rsidR="0093753E" w:rsidRPr="002866E5">
        <w:rPr>
          <w:noProof/>
        </w:rPr>
        <w:t>inicją zawartą</w:t>
      </w:r>
      <w:r w:rsidR="008B35E8" w:rsidRPr="002866E5">
        <w:rPr>
          <w:noProof/>
        </w:rPr>
        <w:t xml:space="preserve"> w</w:t>
      </w:r>
      <w:r w:rsidR="008B35E8">
        <w:rPr>
          <w:noProof/>
        </w:rPr>
        <w:t> </w:t>
      </w:r>
      <w:r w:rsidR="008B35E8" w:rsidRPr="008B35E8">
        <w:rPr>
          <w:noProof/>
        </w:rPr>
        <w:t>art</w:t>
      </w:r>
      <w:r w:rsidR="0093753E" w:rsidRPr="008B35E8">
        <w:rPr>
          <w:noProof/>
        </w:rPr>
        <w:t>.</w:t>
      </w:r>
      <w:r w:rsidR="008B35E8" w:rsidRPr="008B35E8">
        <w:rPr>
          <w:noProof/>
        </w:rPr>
        <w:t> </w:t>
      </w:r>
      <w:r w:rsidR="0093753E" w:rsidRPr="008B35E8">
        <w:rPr>
          <w:noProof/>
        </w:rPr>
        <w:t>3</w:t>
      </w:r>
      <w:r w:rsidR="0093753E" w:rsidRPr="002866E5">
        <w:rPr>
          <w:noProof/>
        </w:rPr>
        <w:t xml:space="preserve"> </w:t>
      </w:r>
      <w:r w:rsidR="0093753E" w:rsidRPr="008B35E8">
        <w:rPr>
          <w:noProof/>
        </w:rPr>
        <w:t>pkt</w:t>
      </w:r>
      <w:r w:rsidR="008B35E8" w:rsidRPr="008B35E8">
        <w:rPr>
          <w:noProof/>
        </w:rPr>
        <w:t> </w:t>
      </w:r>
      <w:r w:rsidR="0093753E" w:rsidRPr="008B35E8">
        <w:rPr>
          <w:noProof/>
        </w:rPr>
        <w:t>4</w:t>
      </w:r>
      <w:r w:rsidR="0093753E" w:rsidRPr="002866E5">
        <w:rPr>
          <w:noProof/>
        </w:rPr>
        <w:t xml:space="preserve"> rozporządzenia (UE) 2019/1020; </w:t>
      </w:r>
    </w:p>
    <w:p w14:paraId="67ED874C" w14:textId="306DA2A2" w:rsidR="00513C4F" w:rsidRPr="002866E5" w:rsidRDefault="000340F9" w:rsidP="009C20DD">
      <w:pPr>
        <w:pStyle w:val="Point0"/>
        <w:rPr>
          <w:noProof/>
        </w:rPr>
      </w:pPr>
      <w:r>
        <w:rPr>
          <w:noProof/>
        </w:rPr>
        <w:t>34</w:t>
      </w:r>
      <w:r w:rsidR="009C20DD" w:rsidRPr="009C20DD">
        <w:rPr>
          <w:noProof/>
        </w:rPr>
        <w:t>)</w:t>
      </w:r>
      <w:r w:rsidR="009C20DD" w:rsidRPr="009C20DD">
        <w:rPr>
          <w:noProof/>
        </w:rPr>
        <w:tab/>
      </w:r>
      <w:r w:rsidR="0093753E" w:rsidRPr="002866E5">
        <w:rPr>
          <w:noProof/>
        </w:rPr>
        <w:t>„norma zharmonizowana” oznacza normę zharmonizowaną zgodnie</w:t>
      </w:r>
      <w:r w:rsidR="008B35E8" w:rsidRPr="002866E5">
        <w:rPr>
          <w:noProof/>
        </w:rPr>
        <w:t xml:space="preserve"> z</w:t>
      </w:r>
      <w:r w:rsidR="008B35E8">
        <w:rPr>
          <w:noProof/>
        </w:rPr>
        <w:t> </w:t>
      </w:r>
      <w:r w:rsidR="008B35E8" w:rsidRPr="002866E5">
        <w:rPr>
          <w:noProof/>
        </w:rPr>
        <w:t>def</w:t>
      </w:r>
      <w:r w:rsidR="0093753E" w:rsidRPr="002866E5">
        <w:rPr>
          <w:noProof/>
        </w:rPr>
        <w:t>inicją zawartą</w:t>
      </w:r>
      <w:r w:rsidR="008B35E8" w:rsidRPr="002866E5">
        <w:rPr>
          <w:noProof/>
        </w:rPr>
        <w:t xml:space="preserve"> w</w:t>
      </w:r>
      <w:r w:rsidR="008B35E8">
        <w:rPr>
          <w:noProof/>
        </w:rPr>
        <w:t> </w:t>
      </w:r>
      <w:r w:rsidR="008B35E8" w:rsidRPr="008B35E8">
        <w:rPr>
          <w:noProof/>
        </w:rPr>
        <w:t>art</w:t>
      </w:r>
      <w:r w:rsidR="0093753E" w:rsidRPr="008B35E8">
        <w:rPr>
          <w:noProof/>
        </w:rPr>
        <w:t>.</w:t>
      </w:r>
      <w:r w:rsidR="008B35E8" w:rsidRPr="008B35E8">
        <w:rPr>
          <w:noProof/>
        </w:rPr>
        <w:t> </w:t>
      </w:r>
      <w:r w:rsidR="0093753E" w:rsidRPr="008B35E8">
        <w:rPr>
          <w:noProof/>
        </w:rPr>
        <w:t>2</w:t>
      </w:r>
      <w:r w:rsidR="0093753E" w:rsidRPr="002866E5">
        <w:rPr>
          <w:noProof/>
        </w:rPr>
        <w:t xml:space="preserve"> </w:t>
      </w:r>
      <w:r w:rsidR="0093753E" w:rsidRPr="008B35E8">
        <w:rPr>
          <w:noProof/>
        </w:rPr>
        <w:t>pkt</w:t>
      </w:r>
      <w:r w:rsidR="008B35E8" w:rsidRPr="008B35E8">
        <w:rPr>
          <w:noProof/>
        </w:rPr>
        <w:t> </w:t>
      </w:r>
      <w:r w:rsidR="0093753E" w:rsidRPr="008B35E8">
        <w:rPr>
          <w:noProof/>
        </w:rPr>
        <w:t>1</w:t>
      </w:r>
      <w:r w:rsidR="0093753E" w:rsidRPr="002866E5">
        <w:rPr>
          <w:noProof/>
        </w:rPr>
        <w:t xml:space="preserve"> </w:t>
      </w:r>
      <w:r w:rsidR="0093753E" w:rsidRPr="008B35E8">
        <w:rPr>
          <w:noProof/>
        </w:rPr>
        <w:t>lit.</w:t>
      </w:r>
      <w:r w:rsidR="008B35E8" w:rsidRPr="008B35E8">
        <w:rPr>
          <w:noProof/>
        </w:rPr>
        <w:t> </w:t>
      </w:r>
      <w:r w:rsidR="0093753E" w:rsidRPr="008B35E8">
        <w:rPr>
          <w:noProof/>
        </w:rPr>
        <w:t>c)</w:t>
      </w:r>
      <w:r w:rsidR="0093753E" w:rsidRPr="002866E5">
        <w:rPr>
          <w:noProof/>
        </w:rPr>
        <w:t xml:space="preserve"> rozporządzenia (UE) </w:t>
      </w:r>
      <w:r w:rsidR="0093753E" w:rsidRPr="008B35E8">
        <w:rPr>
          <w:noProof/>
        </w:rPr>
        <w:t>nr</w:t>
      </w:r>
      <w:r w:rsidR="008B35E8" w:rsidRPr="008B35E8">
        <w:rPr>
          <w:noProof/>
        </w:rPr>
        <w:t> </w:t>
      </w:r>
      <w:r w:rsidR="0093753E" w:rsidRPr="008B35E8">
        <w:rPr>
          <w:noProof/>
        </w:rPr>
        <w:t>1</w:t>
      </w:r>
      <w:r w:rsidR="0093753E" w:rsidRPr="002866E5">
        <w:rPr>
          <w:noProof/>
        </w:rPr>
        <w:t>025/2012;</w:t>
      </w:r>
    </w:p>
    <w:p w14:paraId="67ED874D" w14:textId="0CF40C16" w:rsidR="000620DD" w:rsidRPr="002866E5" w:rsidRDefault="000340F9" w:rsidP="009C20DD">
      <w:pPr>
        <w:pStyle w:val="Point0"/>
        <w:rPr>
          <w:noProof/>
        </w:rPr>
      </w:pPr>
      <w:r>
        <w:rPr>
          <w:noProof/>
        </w:rPr>
        <w:t>35</w:t>
      </w:r>
      <w:r w:rsidR="009C20DD" w:rsidRPr="009C20DD">
        <w:rPr>
          <w:noProof/>
        </w:rPr>
        <w:t>)</w:t>
      </w:r>
      <w:r w:rsidR="009C20DD" w:rsidRPr="009C20DD">
        <w:rPr>
          <w:noProof/>
        </w:rPr>
        <w:tab/>
      </w:r>
      <w:r w:rsidR="00B957A4" w:rsidRPr="002866E5">
        <w:rPr>
          <w:noProof/>
        </w:rPr>
        <w:t>„ryzyko</w:t>
      </w:r>
      <w:r w:rsidR="008B35E8" w:rsidRPr="002866E5">
        <w:rPr>
          <w:noProof/>
        </w:rPr>
        <w:t xml:space="preserve"> w</w:t>
      </w:r>
      <w:r w:rsidR="008B35E8">
        <w:rPr>
          <w:noProof/>
        </w:rPr>
        <w:t> </w:t>
      </w:r>
      <w:r w:rsidR="008B35E8" w:rsidRPr="002866E5">
        <w:rPr>
          <w:noProof/>
        </w:rPr>
        <w:t>cyb</w:t>
      </w:r>
      <w:r w:rsidR="00B957A4" w:rsidRPr="002866E5">
        <w:rPr>
          <w:noProof/>
        </w:rPr>
        <w:t>erprzestrzeni” oznacza ryzyko zgodnie</w:t>
      </w:r>
      <w:r w:rsidR="008B35E8" w:rsidRPr="002866E5">
        <w:rPr>
          <w:noProof/>
        </w:rPr>
        <w:t xml:space="preserve"> z</w:t>
      </w:r>
      <w:r w:rsidR="008B35E8">
        <w:rPr>
          <w:noProof/>
        </w:rPr>
        <w:t> </w:t>
      </w:r>
      <w:r w:rsidR="008B35E8" w:rsidRPr="002866E5">
        <w:rPr>
          <w:noProof/>
        </w:rPr>
        <w:t>def</w:t>
      </w:r>
      <w:r w:rsidR="00B957A4" w:rsidRPr="002866E5">
        <w:rPr>
          <w:noProof/>
        </w:rPr>
        <w:t>inicją zawartą</w:t>
      </w:r>
      <w:r w:rsidR="008B35E8" w:rsidRPr="002866E5">
        <w:rPr>
          <w:noProof/>
        </w:rPr>
        <w:t xml:space="preserve"> w</w:t>
      </w:r>
      <w:r w:rsidR="008B35E8">
        <w:rPr>
          <w:noProof/>
        </w:rPr>
        <w:t> </w:t>
      </w:r>
      <w:r w:rsidR="008B35E8" w:rsidRPr="002866E5">
        <w:rPr>
          <w:noProof/>
        </w:rPr>
        <w:t>art</w:t>
      </w:r>
      <w:r w:rsidR="00B957A4" w:rsidRPr="002866E5">
        <w:rPr>
          <w:noProof/>
        </w:rPr>
        <w:t>. [art. X] dyrektywy [dyrektywy XXX/XXXX (NIS 2)];</w:t>
      </w:r>
    </w:p>
    <w:p w14:paraId="67ED874E" w14:textId="414FBE77" w:rsidR="00EC2738" w:rsidRPr="002866E5" w:rsidRDefault="000340F9" w:rsidP="009C20DD">
      <w:pPr>
        <w:pStyle w:val="Point0"/>
        <w:rPr>
          <w:noProof/>
        </w:rPr>
      </w:pPr>
      <w:r>
        <w:rPr>
          <w:noProof/>
        </w:rPr>
        <w:t>36</w:t>
      </w:r>
      <w:r w:rsidR="009C20DD" w:rsidRPr="009C20DD">
        <w:rPr>
          <w:noProof/>
        </w:rPr>
        <w:t>)</w:t>
      </w:r>
      <w:r w:rsidR="009C20DD" w:rsidRPr="009C20DD">
        <w:rPr>
          <w:noProof/>
        </w:rPr>
        <w:tab/>
      </w:r>
      <w:r w:rsidR="00EC2738" w:rsidRPr="002866E5">
        <w:rPr>
          <w:noProof/>
        </w:rPr>
        <w:t>„istotne ryzyko</w:t>
      </w:r>
      <w:r w:rsidR="008B35E8" w:rsidRPr="002866E5">
        <w:rPr>
          <w:noProof/>
        </w:rPr>
        <w:t xml:space="preserve"> w</w:t>
      </w:r>
      <w:r w:rsidR="008B35E8">
        <w:rPr>
          <w:noProof/>
        </w:rPr>
        <w:t> </w:t>
      </w:r>
      <w:r w:rsidR="008B35E8" w:rsidRPr="002866E5">
        <w:rPr>
          <w:noProof/>
        </w:rPr>
        <w:t>cyb</w:t>
      </w:r>
      <w:r w:rsidR="00EC2738" w:rsidRPr="002866E5">
        <w:rPr>
          <w:noProof/>
        </w:rPr>
        <w:t>erprzestrzeni” oznacza ryzyko</w:t>
      </w:r>
      <w:r w:rsidR="008B35E8" w:rsidRPr="002866E5">
        <w:rPr>
          <w:noProof/>
        </w:rPr>
        <w:t xml:space="preserve"> w</w:t>
      </w:r>
      <w:r w:rsidR="008B35E8">
        <w:rPr>
          <w:noProof/>
        </w:rPr>
        <w:t> </w:t>
      </w:r>
      <w:r w:rsidR="008B35E8" w:rsidRPr="002866E5">
        <w:rPr>
          <w:noProof/>
        </w:rPr>
        <w:t>cyb</w:t>
      </w:r>
      <w:r w:rsidR="00EC2738" w:rsidRPr="002866E5">
        <w:rPr>
          <w:noProof/>
        </w:rPr>
        <w:t>erprzestrzeni,</w:t>
      </w:r>
      <w:r w:rsidR="008B35E8" w:rsidRPr="002866E5">
        <w:rPr>
          <w:noProof/>
        </w:rPr>
        <w:t xml:space="preserve"> w</w:t>
      </w:r>
      <w:r w:rsidR="008B35E8">
        <w:rPr>
          <w:noProof/>
        </w:rPr>
        <w:t> </w:t>
      </w:r>
      <w:r w:rsidR="008B35E8" w:rsidRPr="002866E5">
        <w:rPr>
          <w:noProof/>
        </w:rPr>
        <w:t>prz</w:t>
      </w:r>
      <w:r w:rsidR="00EC2738" w:rsidRPr="002866E5">
        <w:rPr>
          <w:noProof/>
        </w:rPr>
        <w:t>ypadku którego, na podstawie jego charakterystyki technicznej, można założyć wysokie prawdopodobieństwo wystąpienia incydentu, który mógłby doprowadzić do poważnych negatywnych skutków,</w:t>
      </w:r>
      <w:r w:rsidR="008B35E8" w:rsidRPr="002866E5">
        <w:rPr>
          <w:noProof/>
        </w:rPr>
        <w:t xml:space="preserve"> w</w:t>
      </w:r>
      <w:r w:rsidR="008B35E8">
        <w:rPr>
          <w:noProof/>
        </w:rPr>
        <w:t> </w:t>
      </w:r>
      <w:r w:rsidR="008B35E8" w:rsidRPr="002866E5">
        <w:rPr>
          <w:noProof/>
        </w:rPr>
        <w:t>tym</w:t>
      </w:r>
      <w:r w:rsidR="00EC2738" w:rsidRPr="002866E5">
        <w:rPr>
          <w:noProof/>
        </w:rPr>
        <w:t xml:space="preserve"> przez spowodowanie znacznej straty materialnej lub niematerialnej lub znacznego zakłócenia;</w:t>
      </w:r>
    </w:p>
    <w:p w14:paraId="67ED874F" w14:textId="1B899521" w:rsidR="00645597" w:rsidRPr="002866E5" w:rsidRDefault="000340F9" w:rsidP="009C20DD">
      <w:pPr>
        <w:pStyle w:val="Point0"/>
        <w:rPr>
          <w:noProof/>
        </w:rPr>
      </w:pPr>
      <w:r>
        <w:rPr>
          <w:noProof/>
        </w:rPr>
        <w:t>37</w:t>
      </w:r>
      <w:r w:rsidR="009C20DD" w:rsidRPr="009C20DD">
        <w:rPr>
          <w:noProof/>
        </w:rPr>
        <w:t>)</w:t>
      </w:r>
      <w:r w:rsidR="009C20DD" w:rsidRPr="009C20DD">
        <w:rPr>
          <w:noProof/>
        </w:rPr>
        <w:tab/>
      </w:r>
      <w:r w:rsidR="003C3488" w:rsidRPr="002866E5">
        <w:rPr>
          <w:noProof/>
        </w:rPr>
        <w:t>„zestawienie podstawowych materiałów do produkcji oprogramowania” oznacza formalny zapis zawierający szczegóły</w:t>
      </w:r>
      <w:r w:rsidR="008B35E8" w:rsidRPr="002866E5">
        <w:rPr>
          <w:noProof/>
        </w:rPr>
        <w:t xml:space="preserve"> i</w:t>
      </w:r>
      <w:r w:rsidR="008B35E8">
        <w:rPr>
          <w:noProof/>
        </w:rPr>
        <w:t> </w:t>
      </w:r>
      <w:r w:rsidR="008B35E8" w:rsidRPr="002866E5">
        <w:rPr>
          <w:noProof/>
        </w:rPr>
        <w:t>rel</w:t>
      </w:r>
      <w:r w:rsidR="003C3488" w:rsidRPr="002866E5">
        <w:rPr>
          <w:noProof/>
        </w:rPr>
        <w:t>acje</w:t>
      </w:r>
      <w:r w:rsidR="008B35E8" w:rsidRPr="002866E5">
        <w:rPr>
          <w:noProof/>
        </w:rPr>
        <w:t xml:space="preserve"> w</w:t>
      </w:r>
      <w:r w:rsidR="008B35E8">
        <w:rPr>
          <w:noProof/>
        </w:rPr>
        <w:t> </w:t>
      </w:r>
      <w:r w:rsidR="008B35E8" w:rsidRPr="002866E5">
        <w:rPr>
          <w:noProof/>
        </w:rPr>
        <w:t>łań</w:t>
      </w:r>
      <w:r w:rsidR="003C3488" w:rsidRPr="002866E5">
        <w:rPr>
          <w:noProof/>
        </w:rPr>
        <w:t>cuchu dostaw składników wchodzących</w:t>
      </w:r>
      <w:r w:rsidR="008B35E8" w:rsidRPr="002866E5">
        <w:rPr>
          <w:noProof/>
        </w:rPr>
        <w:t xml:space="preserve"> w</w:t>
      </w:r>
      <w:r w:rsidR="008B35E8">
        <w:rPr>
          <w:noProof/>
        </w:rPr>
        <w:t> </w:t>
      </w:r>
      <w:r w:rsidR="008B35E8" w:rsidRPr="002866E5">
        <w:rPr>
          <w:noProof/>
        </w:rPr>
        <w:t>skł</w:t>
      </w:r>
      <w:r w:rsidR="003C3488" w:rsidRPr="002866E5">
        <w:rPr>
          <w:noProof/>
        </w:rPr>
        <w:t>ad elementów oprogramowania komputerowego produktu</w:t>
      </w:r>
      <w:r w:rsidR="008B35E8" w:rsidRPr="002866E5">
        <w:rPr>
          <w:noProof/>
        </w:rPr>
        <w:t xml:space="preserve"> z</w:t>
      </w:r>
      <w:r w:rsidR="008B35E8">
        <w:rPr>
          <w:noProof/>
        </w:rPr>
        <w:t> </w:t>
      </w:r>
      <w:r w:rsidR="008B35E8" w:rsidRPr="002866E5">
        <w:rPr>
          <w:noProof/>
        </w:rPr>
        <w:t>ele</w:t>
      </w:r>
      <w:r w:rsidR="003C3488" w:rsidRPr="002866E5">
        <w:rPr>
          <w:noProof/>
        </w:rPr>
        <w:t>mentami cyfrowymi;</w:t>
      </w:r>
    </w:p>
    <w:p w14:paraId="67ED8750" w14:textId="5EE51A2E" w:rsidR="00AC4A9E" w:rsidRPr="002866E5" w:rsidRDefault="000340F9" w:rsidP="009C20DD">
      <w:pPr>
        <w:pStyle w:val="Point0"/>
        <w:rPr>
          <w:noProof/>
        </w:rPr>
      </w:pPr>
      <w:r>
        <w:rPr>
          <w:noProof/>
        </w:rPr>
        <w:t>38</w:t>
      </w:r>
      <w:r w:rsidR="009C20DD" w:rsidRPr="009C20DD">
        <w:rPr>
          <w:noProof/>
        </w:rPr>
        <w:t>)</w:t>
      </w:r>
      <w:r w:rsidR="009C20DD" w:rsidRPr="009C20DD">
        <w:rPr>
          <w:noProof/>
        </w:rPr>
        <w:tab/>
      </w:r>
      <w:r w:rsidR="00AC4A9E" w:rsidRPr="002866E5">
        <w:rPr>
          <w:noProof/>
        </w:rPr>
        <w:t>„podatność” oznacza podatność zgodnie</w:t>
      </w:r>
      <w:r w:rsidR="008B35E8" w:rsidRPr="002866E5">
        <w:rPr>
          <w:noProof/>
        </w:rPr>
        <w:t xml:space="preserve"> z</w:t>
      </w:r>
      <w:r w:rsidR="008B35E8">
        <w:rPr>
          <w:noProof/>
        </w:rPr>
        <w:t> </w:t>
      </w:r>
      <w:r w:rsidR="008B35E8" w:rsidRPr="002866E5">
        <w:rPr>
          <w:noProof/>
        </w:rPr>
        <w:t>def</w:t>
      </w:r>
      <w:r w:rsidR="00AC4A9E" w:rsidRPr="002866E5">
        <w:rPr>
          <w:noProof/>
        </w:rPr>
        <w:t>inicją zawartą</w:t>
      </w:r>
      <w:r w:rsidR="008B35E8" w:rsidRPr="002866E5">
        <w:rPr>
          <w:noProof/>
        </w:rPr>
        <w:t xml:space="preserve"> w</w:t>
      </w:r>
      <w:r w:rsidR="008B35E8">
        <w:rPr>
          <w:noProof/>
        </w:rPr>
        <w:t> </w:t>
      </w:r>
      <w:r w:rsidR="008B35E8" w:rsidRPr="002866E5">
        <w:rPr>
          <w:noProof/>
        </w:rPr>
        <w:t>art</w:t>
      </w:r>
      <w:r w:rsidR="00AC4A9E" w:rsidRPr="002866E5">
        <w:rPr>
          <w:noProof/>
        </w:rPr>
        <w:t>. [art. X] dyrektywy [dyrektywy XXX/XXXX (NIS 2)];</w:t>
      </w:r>
    </w:p>
    <w:p w14:paraId="67ED8751" w14:textId="20C7DE8E" w:rsidR="002D6909" w:rsidRPr="002866E5" w:rsidRDefault="000340F9" w:rsidP="009C20DD">
      <w:pPr>
        <w:pStyle w:val="Point0"/>
        <w:rPr>
          <w:noProof/>
        </w:rPr>
      </w:pPr>
      <w:r>
        <w:rPr>
          <w:noProof/>
        </w:rPr>
        <w:t>39</w:t>
      </w:r>
      <w:r w:rsidR="009C20DD" w:rsidRPr="009C20DD">
        <w:rPr>
          <w:noProof/>
        </w:rPr>
        <w:t>)</w:t>
      </w:r>
      <w:r w:rsidR="009C20DD" w:rsidRPr="009C20DD">
        <w:rPr>
          <w:noProof/>
        </w:rPr>
        <w:tab/>
      </w:r>
      <w:r w:rsidR="00427805" w:rsidRPr="002866E5">
        <w:rPr>
          <w:noProof/>
        </w:rPr>
        <w:t>„aktywnie wykorzystywana podatność” oznacza podatność,</w:t>
      </w:r>
      <w:r w:rsidR="008B35E8" w:rsidRPr="002866E5">
        <w:rPr>
          <w:noProof/>
        </w:rPr>
        <w:t xml:space="preserve"> w</w:t>
      </w:r>
      <w:r w:rsidR="008B35E8">
        <w:rPr>
          <w:noProof/>
        </w:rPr>
        <w:t> </w:t>
      </w:r>
      <w:r w:rsidR="008B35E8" w:rsidRPr="002866E5">
        <w:rPr>
          <w:noProof/>
        </w:rPr>
        <w:t>prz</w:t>
      </w:r>
      <w:r w:rsidR="00427805" w:rsidRPr="002866E5">
        <w:rPr>
          <w:noProof/>
        </w:rPr>
        <w:t>ypadku której istnieją wiarygodne dowody, że podmiot wprowadził do systemu kod złośliwy bez zgody właściciela systemu;</w:t>
      </w:r>
    </w:p>
    <w:p w14:paraId="67ED8752" w14:textId="7E1D35F5" w:rsidR="00427805" w:rsidRPr="002866E5" w:rsidRDefault="000340F9" w:rsidP="009C20DD">
      <w:pPr>
        <w:pStyle w:val="Point0"/>
        <w:rPr>
          <w:noProof/>
        </w:rPr>
      </w:pPr>
      <w:r>
        <w:rPr>
          <w:noProof/>
        </w:rPr>
        <w:t>40</w:t>
      </w:r>
      <w:r w:rsidR="009C20DD" w:rsidRPr="009C20DD">
        <w:rPr>
          <w:noProof/>
        </w:rPr>
        <w:t>)</w:t>
      </w:r>
      <w:r w:rsidR="009C20DD" w:rsidRPr="009C20DD">
        <w:rPr>
          <w:noProof/>
        </w:rPr>
        <w:tab/>
      </w:r>
      <w:r w:rsidR="002D6909" w:rsidRPr="002866E5">
        <w:rPr>
          <w:noProof/>
        </w:rPr>
        <w:t>„dane osobowe” oznaczają dane zgodnie</w:t>
      </w:r>
      <w:r w:rsidR="008B35E8" w:rsidRPr="002866E5">
        <w:rPr>
          <w:noProof/>
        </w:rPr>
        <w:t xml:space="preserve"> z</w:t>
      </w:r>
      <w:r w:rsidR="008B35E8">
        <w:rPr>
          <w:noProof/>
        </w:rPr>
        <w:t> </w:t>
      </w:r>
      <w:r w:rsidR="008B35E8" w:rsidRPr="002866E5">
        <w:rPr>
          <w:noProof/>
        </w:rPr>
        <w:t>def</w:t>
      </w:r>
      <w:r w:rsidR="002D6909" w:rsidRPr="002866E5">
        <w:rPr>
          <w:noProof/>
        </w:rPr>
        <w:t>inicją zawartą</w:t>
      </w:r>
      <w:r w:rsidR="008B35E8" w:rsidRPr="002866E5">
        <w:rPr>
          <w:noProof/>
        </w:rPr>
        <w:t xml:space="preserve"> w</w:t>
      </w:r>
      <w:r w:rsidR="008B35E8">
        <w:rPr>
          <w:noProof/>
        </w:rPr>
        <w:t> </w:t>
      </w:r>
      <w:r w:rsidR="008B35E8" w:rsidRPr="008B35E8">
        <w:rPr>
          <w:noProof/>
        </w:rPr>
        <w:t>art</w:t>
      </w:r>
      <w:r w:rsidR="002D6909" w:rsidRPr="008B35E8">
        <w:rPr>
          <w:noProof/>
        </w:rPr>
        <w:t>.</w:t>
      </w:r>
      <w:r w:rsidR="008B35E8" w:rsidRPr="008B35E8">
        <w:rPr>
          <w:noProof/>
        </w:rPr>
        <w:t> </w:t>
      </w:r>
      <w:r w:rsidR="002D6909" w:rsidRPr="008B35E8">
        <w:rPr>
          <w:noProof/>
        </w:rPr>
        <w:t>4</w:t>
      </w:r>
      <w:r w:rsidR="002D6909" w:rsidRPr="002866E5">
        <w:rPr>
          <w:noProof/>
        </w:rPr>
        <w:t xml:space="preserve"> </w:t>
      </w:r>
      <w:r w:rsidR="002D6909" w:rsidRPr="008B35E8">
        <w:rPr>
          <w:noProof/>
        </w:rPr>
        <w:t>pkt</w:t>
      </w:r>
      <w:r w:rsidR="008B35E8" w:rsidRPr="008B35E8">
        <w:rPr>
          <w:noProof/>
        </w:rPr>
        <w:t> </w:t>
      </w:r>
      <w:r w:rsidR="002D6909" w:rsidRPr="008B35E8">
        <w:rPr>
          <w:noProof/>
        </w:rPr>
        <w:t>1</w:t>
      </w:r>
      <w:r w:rsidR="002D6909" w:rsidRPr="002866E5">
        <w:rPr>
          <w:noProof/>
        </w:rPr>
        <w:t xml:space="preserve"> rozporządzenia (UE) 2016/679.</w:t>
      </w:r>
    </w:p>
    <w:p w14:paraId="67ED8753" w14:textId="77777777" w:rsidR="00DA436F" w:rsidRPr="002866E5" w:rsidRDefault="00DA436F" w:rsidP="006E2804">
      <w:pPr>
        <w:pStyle w:val="Titrearticle0"/>
        <w:rPr>
          <w:noProof/>
        </w:rPr>
      </w:pPr>
      <w:r w:rsidRPr="002866E5">
        <w:rPr>
          <w:noProof/>
        </w:rPr>
        <w:t>Artykuł 4</w:t>
      </w:r>
    </w:p>
    <w:p w14:paraId="67ED8754" w14:textId="77777777" w:rsidR="00DA436F" w:rsidRPr="002866E5" w:rsidRDefault="00DA436F" w:rsidP="00DA436F">
      <w:pPr>
        <w:jc w:val="center"/>
        <w:rPr>
          <w:i/>
          <w:noProof/>
        </w:rPr>
      </w:pPr>
      <w:r w:rsidRPr="002866E5">
        <w:rPr>
          <w:i/>
          <w:noProof/>
        </w:rPr>
        <w:t>Swobodny przepływ</w:t>
      </w:r>
    </w:p>
    <w:p w14:paraId="67ED8755" w14:textId="20F00237" w:rsidR="00DA436F" w:rsidRPr="002866E5" w:rsidRDefault="00B4087C" w:rsidP="00B4087C">
      <w:pPr>
        <w:pStyle w:val="ManualNumPar1"/>
        <w:rPr>
          <w:noProof/>
        </w:rPr>
      </w:pPr>
      <w:r w:rsidRPr="00B4087C">
        <w:t>1.</w:t>
      </w:r>
      <w:r w:rsidRPr="00B4087C">
        <w:tab/>
      </w:r>
      <w:r w:rsidR="00DA436F" w:rsidRPr="002866E5">
        <w:rPr>
          <w:noProof/>
        </w:rPr>
        <w:t>Państwa członkowskie nie mogą –</w:t>
      </w:r>
      <w:r w:rsidR="008B35E8" w:rsidRPr="002866E5">
        <w:rPr>
          <w:noProof/>
        </w:rPr>
        <w:t xml:space="preserve"> w</w:t>
      </w:r>
      <w:r w:rsidR="008B35E8">
        <w:rPr>
          <w:noProof/>
        </w:rPr>
        <w:t> </w:t>
      </w:r>
      <w:r w:rsidR="008B35E8" w:rsidRPr="002866E5">
        <w:rPr>
          <w:noProof/>
        </w:rPr>
        <w:t>odn</w:t>
      </w:r>
      <w:r w:rsidR="00DA436F" w:rsidRPr="002866E5">
        <w:rPr>
          <w:noProof/>
        </w:rPr>
        <w:t>iesieniu do spraw objętych zakresem niniejszego rozporządzenia – utrudniać udostępniania na rynku produktów</w:t>
      </w:r>
      <w:r w:rsidR="008B35E8" w:rsidRPr="002866E5">
        <w:rPr>
          <w:noProof/>
        </w:rPr>
        <w:t xml:space="preserve"> z</w:t>
      </w:r>
      <w:r w:rsidR="008B35E8">
        <w:rPr>
          <w:noProof/>
        </w:rPr>
        <w:t> </w:t>
      </w:r>
      <w:r w:rsidR="008B35E8" w:rsidRPr="002866E5">
        <w:rPr>
          <w:noProof/>
        </w:rPr>
        <w:t>ele</w:t>
      </w:r>
      <w:r w:rsidR="00DA436F" w:rsidRPr="002866E5">
        <w:rPr>
          <w:noProof/>
        </w:rPr>
        <w:t>mentami cyfrowymi zgodnych</w:t>
      </w:r>
      <w:r w:rsidR="008B35E8" w:rsidRPr="002866E5">
        <w:rPr>
          <w:noProof/>
        </w:rPr>
        <w:t xml:space="preserve"> z</w:t>
      </w:r>
      <w:r w:rsidR="008B35E8">
        <w:rPr>
          <w:noProof/>
        </w:rPr>
        <w:t> </w:t>
      </w:r>
      <w:r w:rsidR="008B35E8" w:rsidRPr="002866E5">
        <w:rPr>
          <w:noProof/>
        </w:rPr>
        <w:t>nin</w:t>
      </w:r>
      <w:r w:rsidR="00DA436F" w:rsidRPr="002866E5">
        <w:rPr>
          <w:noProof/>
        </w:rPr>
        <w:t xml:space="preserve">iejszym rozporządzeniem. </w:t>
      </w:r>
    </w:p>
    <w:p w14:paraId="67ED8756" w14:textId="1108FD74" w:rsidR="00C806DB" w:rsidRPr="002866E5" w:rsidRDefault="00B4087C" w:rsidP="00B4087C">
      <w:pPr>
        <w:pStyle w:val="ManualNumPar1"/>
        <w:rPr>
          <w:noProof/>
        </w:rPr>
      </w:pPr>
      <w:r w:rsidRPr="00B4087C">
        <w:t>2.</w:t>
      </w:r>
      <w:r w:rsidRPr="00B4087C">
        <w:tab/>
      </w:r>
      <w:r w:rsidR="0023454A" w:rsidRPr="002866E5">
        <w:rPr>
          <w:noProof/>
        </w:rPr>
        <w:t>Podczas targów, wystaw</w:t>
      </w:r>
      <w:r w:rsidR="008B35E8" w:rsidRPr="002866E5">
        <w:rPr>
          <w:noProof/>
        </w:rPr>
        <w:t xml:space="preserve"> i</w:t>
      </w:r>
      <w:r w:rsidR="008B35E8">
        <w:rPr>
          <w:noProof/>
        </w:rPr>
        <w:t> </w:t>
      </w:r>
      <w:r w:rsidR="008B35E8" w:rsidRPr="002866E5">
        <w:rPr>
          <w:noProof/>
        </w:rPr>
        <w:t>pok</w:t>
      </w:r>
      <w:r w:rsidR="0023454A" w:rsidRPr="002866E5">
        <w:rPr>
          <w:noProof/>
        </w:rPr>
        <w:t>azów lub podobnych imprez państwa członkowskie nie mogą uniemożliwiać prezentowania</w:t>
      </w:r>
      <w:r w:rsidR="008B35E8" w:rsidRPr="002866E5">
        <w:rPr>
          <w:noProof/>
        </w:rPr>
        <w:t xml:space="preserve"> i</w:t>
      </w:r>
      <w:r w:rsidR="008B35E8">
        <w:rPr>
          <w:noProof/>
        </w:rPr>
        <w:t> </w:t>
      </w:r>
      <w:r w:rsidR="008B35E8" w:rsidRPr="002866E5">
        <w:rPr>
          <w:noProof/>
        </w:rPr>
        <w:t>uży</w:t>
      </w:r>
      <w:r w:rsidR="0023454A" w:rsidRPr="002866E5">
        <w:rPr>
          <w:noProof/>
        </w:rPr>
        <w:t>wania produktu</w:t>
      </w:r>
      <w:r w:rsidR="008B35E8" w:rsidRPr="002866E5">
        <w:rPr>
          <w:noProof/>
        </w:rPr>
        <w:t xml:space="preserve"> z</w:t>
      </w:r>
      <w:r w:rsidR="008B35E8">
        <w:rPr>
          <w:noProof/>
        </w:rPr>
        <w:t> </w:t>
      </w:r>
      <w:r w:rsidR="008B35E8" w:rsidRPr="002866E5">
        <w:rPr>
          <w:noProof/>
        </w:rPr>
        <w:t>ele</w:t>
      </w:r>
      <w:r w:rsidR="0023454A" w:rsidRPr="002866E5">
        <w:rPr>
          <w:noProof/>
        </w:rPr>
        <w:t>mentami cyfrowymi, który nie jest zgodny</w:t>
      </w:r>
      <w:r w:rsidR="008B35E8" w:rsidRPr="002866E5">
        <w:rPr>
          <w:noProof/>
        </w:rPr>
        <w:t xml:space="preserve"> z</w:t>
      </w:r>
      <w:r w:rsidR="008B35E8">
        <w:rPr>
          <w:noProof/>
        </w:rPr>
        <w:t> </w:t>
      </w:r>
      <w:r w:rsidR="008B35E8" w:rsidRPr="002866E5">
        <w:rPr>
          <w:noProof/>
        </w:rPr>
        <w:t>nin</w:t>
      </w:r>
      <w:r w:rsidR="0023454A" w:rsidRPr="002866E5">
        <w:rPr>
          <w:noProof/>
        </w:rPr>
        <w:t>iejszym rozporządzeniem.</w:t>
      </w:r>
    </w:p>
    <w:p w14:paraId="67ED8757" w14:textId="05E082DD" w:rsidR="0023454A" w:rsidRPr="002866E5" w:rsidRDefault="00B4087C" w:rsidP="00B4087C">
      <w:pPr>
        <w:pStyle w:val="ManualNumPar1"/>
        <w:rPr>
          <w:noProof/>
        </w:rPr>
      </w:pPr>
      <w:r w:rsidRPr="00B4087C">
        <w:t>3.</w:t>
      </w:r>
      <w:r w:rsidRPr="00B4087C">
        <w:tab/>
      </w:r>
      <w:r w:rsidR="00C806DB" w:rsidRPr="002866E5">
        <w:rPr>
          <w:noProof/>
        </w:rPr>
        <w:t>Państwa członkowskie nie mogą uniemożliwiać udostępniania nieukończonego oprogramowania, które nie jest zgodne</w:t>
      </w:r>
      <w:r w:rsidR="008B35E8" w:rsidRPr="002866E5">
        <w:rPr>
          <w:noProof/>
        </w:rPr>
        <w:t xml:space="preserve"> z</w:t>
      </w:r>
      <w:r w:rsidR="008B35E8">
        <w:rPr>
          <w:noProof/>
        </w:rPr>
        <w:t> </w:t>
      </w:r>
      <w:r w:rsidR="008B35E8" w:rsidRPr="002866E5">
        <w:rPr>
          <w:noProof/>
        </w:rPr>
        <w:t>nin</w:t>
      </w:r>
      <w:r w:rsidR="00C806DB" w:rsidRPr="002866E5">
        <w:rPr>
          <w:noProof/>
        </w:rPr>
        <w:t>iejszym rozporządzeniem, pod warunkiem że oprogramowanie to jest udostępniane jedynie na ograniczony okres wymagany do celów testowania oraz że widoczny znak wyraźnie wskazuje, że nie jest ono zgodne</w:t>
      </w:r>
      <w:r w:rsidR="008B35E8" w:rsidRPr="002866E5">
        <w:rPr>
          <w:noProof/>
        </w:rPr>
        <w:t xml:space="preserve"> z</w:t>
      </w:r>
      <w:r w:rsidR="008B35E8">
        <w:rPr>
          <w:noProof/>
        </w:rPr>
        <w:t> </w:t>
      </w:r>
      <w:r w:rsidR="008B35E8" w:rsidRPr="002866E5">
        <w:rPr>
          <w:noProof/>
        </w:rPr>
        <w:t>nin</w:t>
      </w:r>
      <w:r w:rsidR="00C806DB" w:rsidRPr="002866E5">
        <w:rPr>
          <w:noProof/>
        </w:rPr>
        <w:t>iejszym rozporządzeniem</w:t>
      </w:r>
      <w:r w:rsidR="008B35E8" w:rsidRPr="002866E5">
        <w:rPr>
          <w:noProof/>
        </w:rPr>
        <w:t xml:space="preserve"> i</w:t>
      </w:r>
      <w:r w:rsidR="008B35E8">
        <w:rPr>
          <w:noProof/>
        </w:rPr>
        <w:t> </w:t>
      </w:r>
      <w:r w:rsidR="008B35E8" w:rsidRPr="002866E5">
        <w:rPr>
          <w:noProof/>
        </w:rPr>
        <w:t>nie</w:t>
      </w:r>
      <w:r w:rsidR="00C806DB" w:rsidRPr="002866E5">
        <w:rPr>
          <w:noProof/>
        </w:rPr>
        <w:t xml:space="preserve"> będzie dostępne na rynku do celów innych niż testowanie.</w:t>
      </w:r>
    </w:p>
    <w:p w14:paraId="67ED8758" w14:textId="77777777" w:rsidR="001922D4" w:rsidRPr="002866E5" w:rsidRDefault="001922D4" w:rsidP="00C86872">
      <w:pPr>
        <w:pStyle w:val="Titrearticle0"/>
        <w:rPr>
          <w:i w:val="0"/>
          <w:noProof/>
        </w:rPr>
      </w:pPr>
      <w:r w:rsidRPr="002866E5">
        <w:rPr>
          <w:noProof/>
        </w:rPr>
        <w:t>Artykuł 5</w:t>
      </w:r>
    </w:p>
    <w:p w14:paraId="67ED8759" w14:textId="6EF63C41" w:rsidR="001922D4" w:rsidRPr="002866E5" w:rsidRDefault="001922D4" w:rsidP="00041DF8">
      <w:pPr>
        <w:jc w:val="center"/>
        <w:rPr>
          <w:i/>
          <w:noProof/>
        </w:rPr>
      </w:pPr>
      <w:r w:rsidRPr="002866E5">
        <w:rPr>
          <w:i/>
          <w:noProof/>
        </w:rPr>
        <w:t>Wymogi dotyczące produktów</w:t>
      </w:r>
      <w:r w:rsidR="008B35E8" w:rsidRPr="002866E5">
        <w:rPr>
          <w:i/>
          <w:noProof/>
        </w:rPr>
        <w:t xml:space="preserve"> z</w:t>
      </w:r>
      <w:r w:rsidR="008B35E8">
        <w:rPr>
          <w:i/>
          <w:noProof/>
        </w:rPr>
        <w:t> </w:t>
      </w:r>
      <w:r w:rsidR="008B35E8" w:rsidRPr="002866E5">
        <w:rPr>
          <w:i/>
          <w:noProof/>
        </w:rPr>
        <w:t>ele</w:t>
      </w:r>
      <w:r w:rsidRPr="002866E5">
        <w:rPr>
          <w:i/>
          <w:noProof/>
        </w:rPr>
        <w:t>mentami cyfrowymi</w:t>
      </w:r>
    </w:p>
    <w:p w14:paraId="67ED875A" w14:textId="141B2AA1" w:rsidR="00577E7E" w:rsidRPr="002866E5" w:rsidRDefault="004528C3" w:rsidP="00D602E1">
      <w:pPr>
        <w:pStyle w:val="Text1"/>
        <w:ind w:left="0"/>
        <w:rPr>
          <w:noProof/>
        </w:rPr>
      </w:pPr>
      <w:r w:rsidRPr="002866E5">
        <w:rPr>
          <w:noProof/>
        </w:rPr>
        <w:t>Produkty</w:t>
      </w:r>
      <w:r w:rsidR="008B35E8" w:rsidRPr="002866E5">
        <w:rPr>
          <w:noProof/>
        </w:rPr>
        <w:t xml:space="preserve"> z</w:t>
      </w:r>
      <w:r w:rsidR="008B35E8">
        <w:rPr>
          <w:noProof/>
        </w:rPr>
        <w:t> </w:t>
      </w:r>
      <w:r w:rsidR="008B35E8" w:rsidRPr="002866E5">
        <w:rPr>
          <w:noProof/>
        </w:rPr>
        <w:t>ele</w:t>
      </w:r>
      <w:r w:rsidRPr="002866E5">
        <w:rPr>
          <w:noProof/>
        </w:rPr>
        <w:t>mentami cyfrowymi udostępnia się na rynku tylko wtedy, gdy:</w:t>
      </w:r>
    </w:p>
    <w:p w14:paraId="67ED875B" w14:textId="1115C589" w:rsidR="00577E7E" w:rsidRPr="002866E5" w:rsidRDefault="000340F9" w:rsidP="000340F9">
      <w:pPr>
        <w:pStyle w:val="Point0"/>
        <w:rPr>
          <w:noProof/>
        </w:rPr>
      </w:pPr>
      <w:r w:rsidRPr="000340F9">
        <w:rPr>
          <w:noProof/>
        </w:rPr>
        <w:lastRenderedPageBreak/>
        <w:t>1)</w:t>
      </w:r>
      <w:r w:rsidRPr="000340F9">
        <w:rPr>
          <w:noProof/>
        </w:rPr>
        <w:tab/>
      </w:r>
      <w:r w:rsidR="004067BC" w:rsidRPr="002866E5">
        <w:rPr>
          <w:noProof/>
        </w:rPr>
        <w:t>spełniają one zasadnicze wymogi przewidziane</w:t>
      </w:r>
      <w:r w:rsidR="008B35E8" w:rsidRPr="002866E5">
        <w:rPr>
          <w:noProof/>
        </w:rPr>
        <w:t xml:space="preserve"> w</w:t>
      </w:r>
      <w:r w:rsidR="008B35E8">
        <w:rPr>
          <w:noProof/>
        </w:rPr>
        <w:t> </w:t>
      </w:r>
      <w:r w:rsidR="008B35E8" w:rsidRPr="002866E5">
        <w:rPr>
          <w:noProof/>
        </w:rPr>
        <w:t>sek</w:t>
      </w:r>
      <w:r w:rsidR="004067BC" w:rsidRPr="002866E5">
        <w:rPr>
          <w:noProof/>
        </w:rPr>
        <w:t>cji 1 załącznika I, pod warunkiem że zostały one prawidłowo zainstalowane oraz są prawidłowo utrzymywane</w:t>
      </w:r>
      <w:r w:rsidR="008B35E8" w:rsidRPr="002866E5">
        <w:rPr>
          <w:noProof/>
        </w:rPr>
        <w:t xml:space="preserve"> i</w:t>
      </w:r>
      <w:r w:rsidR="008B35E8">
        <w:rPr>
          <w:noProof/>
        </w:rPr>
        <w:t> </w:t>
      </w:r>
      <w:r w:rsidR="008B35E8" w:rsidRPr="002866E5">
        <w:rPr>
          <w:noProof/>
        </w:rPr>
        <w:t>wyk</w:t>
      </w:r>
      <w:r w:rsidR="004067BC" w:rsidRPr="002866E5">
        <w:rPr>
          <w:noProof/>
        </w:rPr>
        <w:t>orzystywane zgodnie</w:t>
      </w:r>
      <w:r w:rsidR="008B35E8" w:rsidRPr="002866E5">
        <w:rPr>
          <w:noProof/>
        </w:rPr>
        <w:t xml:space="preserve"> z</w:t>
      </w:r>
      <w:r w:rsidR="008B35E8">
        <w:rPr>
          <w:noProof/>
        </w:rPr>
        <w:t> </w:t>
      </w:r>
      <w:r w:rsidR="008B35E8" w:rsidRPr="002866E5">
        <w:rPr>
          <w:noProof/>
        </w:rPr>
        <w:t>ich</w:t>
      </w:r>
      <w:r w:rsidR="004067BC" w:rsidRPr="002866E5">
        <w:rPr>
          <w:noProof/>
        </w:rPr>
        <w:t xml:space="preserve"> przeznaczeniem lub</w:t>
      </w:r>
      <w:r w:rsidR="008B35E8" w:rsidRPr="002866E5">
        <w:rPr>
          <w:noProof/>
        </w:rPr>
        <w:t xml:space="preserve"> w</w:t>
      </w:r>
      <w:r w:rsidR="008B35E8">
        <w:rPr>
          <w:noProof/>
        </w:rPr>
        <w:t> </w:t>
      </w:r>
      <w:r w:rsidR="008B35E8" w:rsidRPr="002866E5">
        <w:rPr>
          <w:noProof/>
        </w:rPr>
        <w:t>war</w:t>
      </w:r>
      <w:r w:rsidR="004067BC" w:rsidRPr="002866E5">
        <w:rPr>
          <w:noProof/>
        </w:rPr>
        <w:t>unkach, które można racjonalnie przewidzieć,</w:t>
      </w:r>
      <w:r w:rsidR="008B35E8" w:rsidRPr="002866E5">
        <w:rPr>
          <w:noProof/>
        </w:rPr>
        <w:t xml:space="preserve"> a</w:t>
      </w:r>
      <w:r w:rsidR="008B35E8">
        <w:rPr>
          <w:noProof/>
        </w:rPr>
        <w:t> </w:t>
      </w:r>
      <w:r w:rsidR="008B35E8" w:rsidRPr="002866E5">
        <w:rPr>
          <w:noProof/>
        </w:rPr>
        <w:t>tak</w:t>
      </w:r>
      <w:r w:rsidR="004067BC" w:rsidRPr="002866E5">
        <w:rPr>
          <w:noProof/>
        </w:rPr>
        <w:t>że –</w:t>
      </w:r>
      <w:r w:rsidR="008B35E8" w:rsidRPr="002866E5">
        <w:rPr>
          <w:noProof/>
        </w:rPr>
        <w:t xml:space="preserve"> w</w:t>
      </w:r>
      <w:r w:rsidR="008B35E8">
        <w:rPr>
          <w:noProof/>
        </w:rPr>
        <w:t> </w:t>
      </w:r>
      <w:r w:rsidR="008B35E8" w:rsidRPr="002866E5">
        <w:rPr>
          <w:noProof/>
        </w:rPr>
        <w:t>sto</w:t>
      </w:r>
      <w:r w:rsidR="004067BC" w:rsidRPr="002866E5">
        <w:rPr>
          <w:noProof/>
        </w:rPr>
        <w:t xml:space="preserve">sownych przypadkach – są aktualizowane, oraz </w:t>
      </w:r>
    </w:p>
    <w:p w14:paraId="67ED875C" w14:textId="3C8D3C0F" w:rsidR="00875947" w:rsidRPr="002866E5" w:rsidRDefault="000340F9" w:rsidP="000340F9">
      <w:pPr>
        <w:pStyle w:val="Point0"/>
        <w:rPr>
          <w:noProof/>
        </w:rPr>
      </w:pPr>
      <w:r w:rsidRPr="000340F9">
        <w:rPr>
          <w:noProof/>
        </w:rPr>
        <w:t>2)</w:t>
      </w:r>
      <w:r w:rsidRPr="000340F9">
        <w:rPr>
          <w:noProof/>
        </w:rPr>
        <w:tab/>
      </w:r>
      <w:r w:rsidR="003A2F91" w:rsidRPr="002866E5">
        <w:rPr>
          <w:noProof/>
        </w:rPr>
        <w:t>procedury wprowadzone przez producenta są zgodne</w:t>
      </w:r>
      <w:r w:rsidR="008B35E8" w:rsidRPr="002866E5">
        <w:rPr>
          <w:noProof/>
        </w:rPr>
        <w:t xml:space="preserve"> z</w:t>
      </w:r>
      <w:r w:rsidR="008B35E8">
        <w:rPr>
          <w:noProof/>
        </w:rPr>
        <w:t> </w:t>
      </w:r>
      <w:r w:rsidR="008B35E8" w:rsidRPr="002866E5">
        <w:rPr>
          <w:noProof/>
        </w:rPr>
        <w:t>zas</w:t>
      </w:r>
      <w:r w:rsidR="003A2F91" w:rsidRPr="002866E5">
        <w:rPr>
          <w:noProof/>
        </w:rPr>
        <w:t>adniczymi wymogami określonymi</w:t>
      </w:r>
      <w:r w:rsidR="008B35E8" w:rsidRPr="002866E5">
        <w:rPr>
          <w:noProof/>
        </w:rPr>
        <w:t xml:space="preserve"> w</w:t>
      </w:r>
      <w:r w:rsidR="008B35E8">
        <w:rPr>
          <w:noProof/>
        </w:rPr>
        <w:t> </w:t>
      </w:r>
      <w:r w:rsidR="008B35E8" w:rsidRPr="002866E5">
        <w:rPr>
          <w:noProof/>
        </w:rPr>
        <w:t>sek</w:t>
      </w:r>
      <w:r w:rsidR="003A2F91" w:rsidRPr="002866E5">
        <w:rPr>
          <w:noProof/>
        </w:rPr>
        <w:t>cji 2 załącznika I.</w:t>
      </w:r>
    </w:p>
    <w:p w14:paraId="67ED875D" w14:textId="77777777" w:rsidR="009D1B93" w:rsidRPr="002866E5" w:rsidRDefault="009D1B93" w:rsidP="00C86872">
      <w:pPr>
        <w:pStyle w:val="Titrearticle0"/>
        <w:rPr>
          <w:noProof/>
        </w:rPr>
      </w:pPr>
      <w:r w:rsidRPr="002866E5">
        <w:rPr>
          <w:noProof/>
        </w:rPr>
        <w:t>Artykuł 6</w:t>
      </w:r>
    </w:p>
    <w:p w14:paraId="67ED875E" w14:textId="2E3AA174" w:rsidR="009D1B93" w:rsidRPr="002866E5" w:rsidRDefault="005A359C" w:rsidP="00041DF8">
      <w:pPr>
        <w:jc w:val="center"/>
        <w:rPr>
          <w:i/>
          <w:noProof/>
        </w:rPr>
      </w:pPr>
      <w:r w:rsidRPr="002866E5">
        <w:rPr>
          <w:i/>
          <w:noProof/>
        </w:rPr>
        <w:t>Produkty krytyczne</w:t>
      </w:r>
      <w:r w:rsidR="008B35E8" w:rsidRPr="002866E5">
        <w:rPr>
          <w:i/>
          <w:noProof/>
        </w:rPr>
        <w:t xml:space="preserve"> z</w:t>
      </w:r>
      <w:r w:rsidR="008B35E8">
        <w:rPr>
          <w:i/>
          <w:noProof/>
        </w:rPr>
        <w:t> </w:t>
      </w:r>
      <w:r w:rsidR="008B35E8" w:rsidRPr="002866E5">
        <w:rPr>
          <w:i/>
          <w:noProof/>
        </w:rPr>
        <w:t>ele</w:t>
      </w:r>
      <w:r w:rsidRPr="002866E5">
        <w:rPr>
          <w:i/>
          <w:noProof/>
        </w:rPr>
        <w:t>mentami cyfrowymi</w:t>
      </w:r>
    </w:p>
    <w:p w14:paraId="67ED875F" w14:textId="5E6FE63C" w:rsidR="009D1B93" w:rsidRPr="002866E5" w:rsidRDefault="00B4087C" w:rsidP="00B4087C">
      <w:pPr>
        <w:pStyle w:val="ManualNumPar1"/>
        <w:rPr>
          <w:noProof/>
        </w:rPr>
      </w:pPr>
      <w:r w:rsidRPr="00B4087C">
        <w:t>1.</w:t>
      </w:r>
      <w:r w:rsidRPr="00B4087C">
        <w:tab/>
      </w:r>
      <w:r w:rsidR="004F7AD9" w:rsidRPr="002866E5">
        <w:rPr>
          <w:noProof/>
        </w:rPr>
        <w:t>Produkty</w:t>
      </w:r>
      <w:r w:rsidR="008B35E8" w:rsidRPr="002866E5">
        <w:rPr>
          <w:noProof/>
        </w:rPr>
        <w:t xml:space="preserve"> z</w:t>
      </w:r>
      <w:r w:rsidR="008B35E8">
        <w:rPr>
          <w:noProof/>
        </w:rPr>
        <w:t> </w:t>
      </w:r>
      <w:r w:rsidR="008B35E8" w:rsidRPr="002866E5">
        <w:rPr>
          <w:noProof/>
        </w:rPr>
        <w:t>ele</w:t>
      </w:r>
      <w:r w:rsidR="004F7AD9" w:rsidRPr="002866E5">
        <w:rPr>
          <w:noProof/>
        </w:rPr>
        <w:t>mentami cyfrowymi należące do kategorii wskazanej</w:t>
      </w:r>
      <w:r w:rsidR="008B35E8" w:rsidRPr="002866E5">
        <w:rPr>
          <w:noProof/>
        </w:rPr>
        <w:t xml:space="preserve"> w</w:t>
      </w:r>
      <w:r w:rsidR="008B35E8">
        <w:rPr>
          <w:noProof/>
        </w:rPr>
        <w:t> </w:t>
      </w:r>
      <w:r w:rsidR="008B35E8" w:rsidRPr="002866E5">
        <w:rPr>
          <w:noProof/>
        </w:rPr>
        <w:t>zał</w:t>
      </w:r>
      <w:r w:rsidR="004F7AD9" w:rsidRPr="002866E5">
        <w:rPr>
          <w:noProof/>
        </w:rPr>
        <w:t>ączniku III uważa się za produkty krytyczne</w:t>
      </w:r>
      <w:r w:rsidR="008B35E8" w:rsidRPr="002866E5">
        <w:rPr>
          <w:noProof/>
        </w:rPr>
        <w:t xml:space="preserve"> z</w:t>
      </w:r>
      <w:r w:rsidR="008B35E8">
        <w:rPr>
          <w:noProof/>
        </w:rPr>
        <w:t> </w:t>
      </w:r>
      <w:r w:rsidR="008B35E8" w:rsidRPr="002866E5">
        <w:rPr>
          <w:noProof/>
        </w:rPr>
        <w:t>ele</w:t>
      </w:r>
      <w:r w:rsidR="004F7AD9" w:rsidRPr="002866E5">
        <w:rPr>
          <w:noProof/>
        </w:rPr>
        <w:t>mentami cyfrowymi. Produkty, których podstawowa funkcjonalność należy do jednej</w:t>
      </w:r>
      <w:r w:rsidR="008B35E8" w:rsidRPr="002866E5">
        <w:rPr>
          <w:noProof/>
        </w:rPr>
        <w:t xml:space="preserve"> z</w:t>
      </w:r>
      <w:r w:rsidR="008B35E8">
        <w:rPr>
          <w:noProof/>
        </w:rPr>
        <w:t> </w:t>
      </w:r>
      <w:r w:rsidR="008B35E8" w:rsidRPr="002866E5">
        <w:rPr>
          <w:noProof/>
        </w:rPr>
        <w:t>kat</w:t>
      </w:r>
      <w:r w:rsidR="004F7AD9" w:rsidRPr="002866E5">
        <w:rPr>
          <w:noProof/>
        </w:rPr>
        <w:t>egorii wymienionych</w:t>
      </w:r>
      <w:r w:rsidR="008B35E8" w:rsidRPr="002866E5">
        <w:rPr>
          <w:noProof/>
        </w:rPr>
        <w:t xml:space="preserve"> w</w:t>
      </w:r>
      <w:r w:rsidR="008B35E8">
        <w:rPr>
          <w:noProof/>
        </w:rPr>
        <w:t> </w:t>
      </w:r>
      <w:r w:rsidR="008B35E8" w:rsidRPr="002866E5">
        <w:rPr>
          <w:noProof/>
        </w:rPr>
        <w:t>zał</w:t>
      </w:r>
      <w:r w:rsidR="004F7AD9" w:rsidRPr="002866E5">
        <w:rPr>
          <w:noProof/>
        </w:rPr>
        <w:t>ączniku III do niniejszego rozporządzenia, uważa się za należące do tej kategorii. Kategorie produktów krytycznych</w:t>
      </w:r>
      <w:r w:rsidR="008B35E8" w:rsidRPr="002866E5">
        <w:rPr>
          <w:noProof/>
        </w:rPr>
        <w:t xml:space="preserve"> z</w:t>
      </w:r>
      <w:r w:rsidR="008B35E8">
        <w:rPr>
          <w:noProof/>
        </w:rPr>
        <w:t> </w:t>
      </w:r>
      <w:r w:rsidR="008B35E8" w:rsidRPr="002866E5">
        <w:rPr>
          <w:noProof/>
        </w:rPr>
        <w:t>ele</w:t>
      </w:r>
      <w:r w:rsidR="004F7AD9" w:rsidRPr="002866E5">
        <w:rPr>
          <w:noProof/>
        </w:rPr>
        <w:t>mentami cyfrowymi dzieli się na klasy I i II, jak określono</w:t>
      </w:r>
      <w:r w:rsidR="008B35E8" w:rsidRPr="002866E5">
        <w:rPr>
          <w:noProof/>
        </w:rPr>
        <w:t xml:space="preserve"> w</w:t>
      </w:r>
      <w:r w:rsidR="008B35E8">
        <w:rPr>
          <w:noProof/>
        </w:rPr>
        <w:t> </w:t>
      </w:r>
      <w:r w:rsidR="008B35E8" w:rsidRPr="002866E5">
        <w:rPr>
          <w:noProof/>
        </w:rPr>
        <w:t>zał</w:t>
      </w:r>
      <w:r w:rsidR="004F7AD9" w:rsidRPr="002866E5">
        <w:rPr>
          <w:noProof/>
        </w:rPr>
        <w:t>ączniku III, które odzwierciedlają poziom ryzyka</w:t>
      </w:r>
      <w:r w:rsidR="008B35E8" w:rsidRPr="002866E5">
        <w:rPr>
          <w:noProof/>
        </w:rPr>
        <w:t xml:space="preserve"> w</w:t>
      </w:r>
      <w:r w:rsidR="008B35E8">
        <w:rPr>
          <w:noProof/>
        </w:rPr>
        <w:t> </w:t>
      </w:r>
      <w:r w:rsidR="008B35E8" w:rsidRPr="002866E5">
        <w:rPr>
          <w:noProof/>
        </w:rPr>
        <w:t>cyb</w:t>
      </w:r>
      <w:r w:rsidR="004F7AD9" w:rsidRPr="002866E5">
        <w:rPr>
          <w:noProof/>
        </w:rPr>
        <w:t>erprzestrzeni związanego</w:t>
      </w:r>
      <w:r w:rsidR="008B35E8" w:rsidRPr="002866E5">
        <w:rPr>
          <w:noProof/>
        </w:rPr>
        <w:t xml:space="preserve"> z</w:t>
      </w:r>
      <w:r w:rsidR="008B35E8">
        <w:rPr>
          <w:noProof/>
        </w:rPr>
        <w:t> </w:t>
      </w:r>
      <w:r w:rsidR="008B35E8" w:rsidRPr="002866E5">
        <w:rPr>
          <w:noProof/>
        </w:rPr>
        <w:t>tym</w:t>
      </w:r>
      <w:r w:rsidR="004F7AD9" w:rsidRPr="002866E5">
        <w:rPr>
          <w:noProof/>
        </w:rPr>
        <w:t xml:space="preserve">i produktami. </w:t>
      </w:r>
    </w:p>
    <w:p w14:paraId="67ED8760" w14:textId="2E03AF7C" w:rsidR="009D1B93" w:rsidRPr="002866E5" w:rsidRDefault="00B4087C" w:rsidP="00B4087C">
      <w:pPr>
        <w:pStyle w:val="ManualNumPar1"/>
        <w:rPr>
          <w:noProof/>
        </w:rPr>
      </w:pPr>
      <w:r w:rsidRPr="00B4087C">
        <w:t>2.</w:t>
      </w:r>
      <w:r w:rsidRPr="00B4087C">
        <w:tab/>
      </w:r>
      <w:r w:rsidR="009D1B93" w:rsidRPr="002866E5">
        <w:rPr>
          <w:noProof/>
        </w:rPr>
        <w:t>Komisja jest uprawniona do przyjmowania aktów delegowanych zgodnie</w:t>
      </w:r>
      <w:r w:rsidR="008B35E8" w:rsidRPr="002866E5">
        <w:rPr>
          <w:noProof/>
        </w:rPr>
        <w:t xml:space="preserve"> z</w:t>
      </w:r>
      <w:r w:rsidR="008B35E8">
        <w:rPr>
          <w:noProof/>
        </w:rPr>
        <w:t> </w:t>
      </w:r>
      <w:r w:rsidR="008B35E8" w:rsidRPr="008B35E8">
        <w:rPr>
          <w:noProof/>
        </w:rPr>
        <w:t>art</w:t>
      </w:r>
      <w:r w:rsidR="009D1B93" w:rsidRPr="008B35E8">
        <w:rPr>
          <w:noProof/>
        </w:rPr>
        <w:t>.</w:t>
      </w:r>
      <w:r w:rsidR="008B35E8" w:rsidRPr="008B35E8">
        <w:rPr>
          <w:noProof/>
        </w:rPr>
        <w:t> </w:t>
      </w:r>
      <w:r w:rsidR="009D1B93" w:rsidRPr="008B35E8">
        <w:rPr>
          <w:noProof/>
        </w:rPr>
        <w:t>5</w:t>
      </w:r>
      <w:r w:rsidR="009D1B93" w:rsidRPr="002866E5">
        <w:rPr>
          <w:noProof/>
        </w:rPr>
        <w:t>0</w:t>
      </w:r>
      <w:r w:rsidR="008B35E8" w:rsidRPr="002866E5">
        <w:rPr>
          <w:noProof/>
        </w:rPr>
        <w:t xml:space="preserve"> w</w:t>
      </w:r>
      <w:r w:rsidR="008B35E8">
        <w:rPr>
          <w:noProof/>
        </w:rPr>
        <w:t> </w:t>
      </w:r>
      <w:r w:rsidR="008B35E8" w:rsidRPr="002866E5">
        <w:rPr>
          <w:noProof/>
        </w:rPr>
        <w:t>cel</w:t>
      </w:r>
      <w:r w:rsidR="009D1B93" w:rsidRPr="002866E5">
        <w:rPr>
          <w:noProof/>
        </w:rPr>
        <w:t>u zmiany załącznika III przez uwzględnienie</w:t>
      </w:r>
      <w:r w:rsidR="008B35E8" w:rsidRPr="002866E5">
        <w:rPr>
          <w:noProof/>
        </w:rPr>
        <w:t xml:space="preserve"> w</w:t>
      </w:r>
      <w:r w:rsidR="008B35E8">
        <w:rPr>
          <w:noProof/>
        </w:rPr>
        <w:t> </w:t>
      </w:r>
      <w:r w:rsidR="008B35E8" w:rsidRPr="002866E5">
        <w:rPr>
          <w:noProof/>
        </w:rPr>
        <w:t>wyk</w:t>
      </w:r>
      <w:r w:rsidR="009D1B93" w:rsidRPr="002866E5">
        <w:rPr>
          <w:noProof/>
        </w:rPr>
        <w:t>azie kategorii produktów krytycznych</w:t>
      </w:r>
      <w:r w:rsidR="008B35E8" w:rsidRPr="002866E5">
        <w:rPr>
          <w:noProof/>
        </w:rPr>
        <w:t xml:space="preserve"> z</w:t>
      </w:r>
      <w:r w:rsidR="008B35E8">
        <w:rPr>
          <w:noProof/>
        </w:rPr>
        <w:t> </w:t>
      </w:r>
      <w:r w:rsidR="008B35E8" w:rsidRPr="002866E5">
        <w:rPr>
          <w:noProof/>
        </w:rPr>
        <w:t>ele</w:t>
      </w:r>
      <w:r w:rsidR="009D1B93" w:rsidRPr="002866E5">
        <w:rPr>
          <w:noProof/>
        </w:rPr>
        <w:t>mentami cyfrowymi nowej kategorii lub usunięcie</w:t>
      </w:r>
      <w:r w:rsidR="008B35E8" w:rsidRPr="002866E5">
        <w:rPr>
          <w:noProof/>
        </w:rPr>
        <w:t xml:space="preserve"> z</w:t>
      </w:r>
      <w:r w:rsidR="008B35E8">
        <w:rPr>
          <w:noProof/>
        </w:rPr>
        <w:t> </w:t>
      </w:r>
      <w:r w:rsidR="008B35E8" w:rsidRPr="002866E5">
        <w:rPr>
          <w:noProof/>
        </w:rPr>
        <w:t>teg</w:t>
      </w:r>
      <w:r w:rsidR="009D1B93" w:rsidRPr="002866E5">
        <w:rPr>
          <w:noProof/>
        </w:rPr>
        <w:t>o wykazu istniejącej kategorii. Przy ocenianiu potrzeby zmiany wykazu zawartego</w:t>
      </w:r>
      <w:r w:rsidR="008B35E8" w:rsidRPr="002866E5">
        <w:rPr>
          <w:noProof/>
        </w:rPr>
        <w:t xml:space="preserve"> w</w:t>
      </w:r>
      <w:r w:rsidR="008B35E8">
        <w:rPr>
          <w:noProof/>
        </w:rPr>
        <w:t> </w:t>
      </w:r>
      <w:r w:rsidR="008B35E8" w:rsidRPr="002866E5">
        <w:rPr>
          <w:noProof/>
        </w:rPr>
        <w:t>zał</w:t>
      </w:r>
      <w:r w:rsidR="009D1B93" w:rsidRPr="002866E5">
        <w:rPr>
          <w:noProof/>
        </w:rPr>
        <w:t>ączniku III Komisja bierze pod uwagę poziom ryzyka</w:t>
      </w:r>
      <w:r w:rsidR="008B35E8" w:rsidRPr="002866E5">
        <w:rPr>
          <w:noProof/>
        </w:rPr>
        <w:t xml:space="preserve"> w</w:t>
      </w:r>
      <w:r w:rsidR="008B35E8">
        <w:rPr>
          <w:noProof/>
        </w:rPr>
        <w:t> </w:t>
      </w:r>
      <w:r w:rsidR="008B35E8" w:rsidRPr="002866E5">
        <w:rPr>
          <w:noProof/>
        </w:rPr>
        <w:t>cyb</w:t>
      </w:r>
      <w:r w:rsidR="009D1B93" w:rsidRPr="002866E5">
        <w:rPr>
          <w:noProof/>
        </w:rPr>
        <w:t>erprzestrzeni związanego</w:t>
      </w:r>
      <w:r w:rsidR="008B35E8" w:rsidRPr="002866E5">
        <w:rPr>
          <w:noProof/>
        </w:rPr>
        <w:t xml:space="preserve"> z</w:t>
      </w:r>
      <w:r w:rsidR="008B35E8">
        <w:rPr>
          <w:noProof/>
        </w:rPr>
        <w:t> </w:t>
      </w:r>
      <w:r w:rsidR="008B35E8" w:rsidRPr="002866E5">
        <w:rPr>
          <w:noProof/>
        </w:rPr>
        <w:t>kat</w:t>
      </w:r>
      <w:r w:rsidR="009D1B93" w:rsidRPr="002866E5">
        <w:rPr>
          <w:noProof/>
        </w:rPr>
        <w:t>egorią produktów</w:t>
      </w:r>
      <w:r w:rsidR="008B35E8" w:rsidRPr="002866E5">
        <w:rPr>
          <w:noProof/>
        </w:rPr>
        <w:t xml:space="preserve"> z</w:t>
      </w:r>
      <w:r w:rsidR="008B35E8">
        <w:rPr>
          <w:noProof/>
        </w:rPr>
        <w:t> </w:t>
      </w:r>
      <w:r w:rsidR="008B35E8" w:rsidRPr="002866E5">
        <w:rPr>
          <w:noProof/>
        </w:rPr>
        <w:t>ele</w:t>
      </w:r>
      <w:r w:rsidR="009D1B93" w:rsidRPr="002866E5">
        <w:rPr>
          <w:noProof/>
        </w:rPr>
        <w:t>mentami cyfrowymi. Przy określaniu poziomu ryzyka</w:t>
      </w:r>
      <w:r w:rsidR="008B35E8" w:rsidRPr="002866E5">
        <w:rPr>
          <w:noProof/>
        </w:rPr>
        <w:t xml:space="preserve"> w</w:t>
      </w:r>
      <w:r w:rsidR="008B35E8">
        <w:rPr>
          <w:noProof/>
        </w:rPr>
        <w:t> </w:t>
      </w:r>
      <w:r w:rsidR="008B35E8" w:rsidRPr="002866E5">
        <w:rPr>
          <w:noProof/>
        </w:rPr>
        <w:t>cyb</w:t>
      </w:r>
      <w:r w:rsidR="009D1B93" w:rsidRPr="002866E5">
        <w:rPr>
          <w:noProof/>
        </w:rPr>
        <w:t>erprzestrzeni bierze się pod uwagę co najmniej jedno</w:t>
      </w:r>
      <w:r w:rsidR="008B35E8" w:rsidRPr="002866E5">
        <w:rPr>
          <w:noProof/>
        </w:rPr>
        <w:t xml:space="preserve"> z</w:t>
      </w:r>
      <w:r w:rsidR="008B35E8">
        <w:rPr>
          <w:noProof/>
        </w:rPr>
        <w:t> </w:t>
      </w:r>
      <w:r w:rsidR="008B35E8" w:rsidRPr="002866E5">
        <w:rPr>
          <w:noProof/>
        </w:rPr>
        <w:t>nas</w:t>
      </w:r>
      <w:r w:rsidR="009D1B93" w:rsidRPr="002866E5">
        <w:rPr>
          <w:noProof/>
        </w:rPr>
        <w:t>tępujących kryteriów:</w:t>
      </w:r>
    </w:p>
    <w:p w14:paraId="67ED8761" w14:textId="2D52EE81" w:rsidR="009D1B93" w:rsidRPr="002866E5" w:rsidRDefault="000340F9" w:rsidP="000340F9">
      <w:pPr>
        <w:pStyle w:val="Point1"/>
        <w:rPr>
          <w:noProof/>
        </w:rPr>
      </w:pPr>
      <w:r w:rsidRPr="000340F9">
        <w:rPr>
          <w:noProof/>
        </w:rPr>
        <w:t>a)</w:t>
      </w:r>
      <w:r w:rsidRPr="000340F9">
        <w:rPr>
          <w:noProof/>
        </w:rPr>
        <w:tab/>
      </w:r>
      <w:r w:rsidR="00101C9B" w:rsidRPr="002866E5">
        <w:rPr>
          <w:noProof/>
        </w:rPr>
        <w:t>funkcjonalność produktu</w:t>
      </w:r>
      <w:r w:rsidR="008B35E8" w:rsidRPr="002866E5">
        <w:rPr>
          <w:noProof/>
        </w:rPr>
        <w:t xml:space="preserve"> z</w:t>
      </w:r>
      <w:r w:rsidR="008B35E8">
        <w:rPr>
          <w:noProof/>
        </w:rPr>
        <w:t> </w:t>
      </w:r>
      <w:r w:rsidR="008B35E8" w:rsidRPr="002866E5">
        <w:rPr>
          <w:noProof/>
        </w:rPr>
        <w:t>ele</w:t>
      </w:r>
      <w:r w:rsidR="00101C9B" w:rsidRPr="002866E5">
        <w:rPr>
          <w:noProof/>
        </w:rPr>
        <w:t>mentami cyfrowymi związaną</w:t>
      </w:r>
      <w:r w:rsidR="008B35E8" w:rsidRPr="002866E5">
        <w:rPr>
          <w:noProof/>
        </w:rPr>
        <w:t xml:space="preserve"> z</w:t>
      </w:r>
      <w:r w:rsidR="008B35E8">
        <w:rPr>
          <w:noProof/>
        </w:rPr>
        <w:t> </w:t>
      </w:r>
      <w:r w:rsidR="008B35E8" w:rsidRPr="002866E5">
        <w:rPr>
          <w:noProof/>
        </w:rPr>
        <w:t>cyb</w:t>
      </w:r>
      <w:r w:rsidR="00101C9B" w:rsidRPr="002866E5">
        <w:rPr>
          <w:noProof/>
        </w:rPr>
        <w:t>erbezpieczeństwem oraz posiadanie przez produkt</w:t>
      </w:r>
      <w:r w:rsidR="008B35E8" w:rsidRPr="002866E5">
        <w:rPr>
          <w:noProof/>
        </w:rPr>
        <w:t xml:space="preserve"> z</w:t>
      </w:r>
      <w:r w:rsidR="008B35E8">
        <w:rPr>
          <w:noProof/>
        </w:rPr>
        <w:t> </w:t>
      </w:r>
      <w:r w:rsidR="008B35E8" w:rsidRPr="002866E5">
        <w:rPr>
          <w:noProof/>
        </w:rPr>
        <w:t>ele</w:t>
      </w:r>
      <w:r w:rsidR="00101C9B" w:rsidRPr="002866E5">
        <w:rPr>
          <w:noProof/>
        </w:rPr>
        <w:t>mentami cyfrowymi co najmniej jednej</w:t>
      </w:r>
      <w:r w:rsidR="008B35E8" w:rsidRPr="002866E5">
        <w:rPr>
          <w:noProof/>
        </w:rPr>
        <w:t xml:space="preserve"> z</w:t>
      </w:r>
      <w:r w:rsidR="008B35E8">
        <w:rPr>
          <w:noProof/>
        </w:rPr>
        <w:t> </w:t>
      </w:r>
      <w:r w:rsidR="008B35E8" w:rsidRPr="002866E5">
        <w:rPr>
          <w:noProof/>
        </w:rPr>
        <w:t>nas</w:t>
      </w:r>
      <w:r w:rsidR="00101C9B" w:rsidRPr="002866E5">
        <w:rPr>
          <w:noProof/>
        </w:rPr>
        <w:t>tępujących cech:</w:t>
      </w:r>
    </w:p>
    <w:p w14:paraId="67ED8762" w14:textId="62D1056D" w:rsidR="009D1B93" w:rsidRPr="002866E5" w:rsidRDefault="008B35E8" w:rsidP="008B35E8">
      <w:pPr>
        <w:pStyle w:val="Point2"/>
        <w:rPr>
          <w:noProof/>
        </w:rPr>
      </w:pPr>
      <w:r>
        <w:rPr>
          <w:noProof/>
        </w:rPr>
        <w:t>(i)</w:t>
      </w:r>
      <w:r>
        <w:rPr>
          <w:noProof/>
        </w:rPr>
        <w:tab/>
      </w:r>
      <w:r w:rsidR="00082E35" w:rsidRPr="002866E5">
        <w:rPr>
          <w:noProof/>
        </w:rPr>
        <w:t>został zaprojektowany do eksploatacji przez użytkowników</w:t>
      </w:r>
      <w:r w:rsidRPr="002866E5">
        <w:rPr>
          <w:noProof/>
        </w:rPr>
        <w:t xml:space="preserve"> z</w:t>
      </w:r>
      <w:r>
        <w:rPr>
          <w:noProof/>
        </w:rPr>
        <w:t> </w:t>
      </w:r>
      <w:r w:rsidRPr="002866E5">
        <w:rPr>
          <w:noProof/>
        </w:rPr>
        <w:t>pod</w:t>
      </w:r>
      <w:r w:rsidR="00082E35" w:rsidRPr="002866E5">
        <w:rPr>
          <w:noProof/>
        </w:rPr>
        <w:t>wyższonym uprawnieniem lub</w:t>
      </w:r>
      <w:r w:rsidRPr="002866E5">
        <w:rPr>
          <w:noProof/>
        </w:rPr>
        <w:t xml:space="preserve"> z</w:t>
      </w:r>
      <w:r>
        <w:rPr>
          <w:noProof/>
        </w:rPr>
        <w:t> </w:t>
      </w:r>
      <w:r w:rsidRPr="002866E5">
        <w:rPr>
          <w:noProof/>
        </w:rPr>
        <w:t>upr</w:t>
      </w:r>
      <w:r w:rsidR="00082E35" w:rsidRPr="002866E5">
        <w:rPr>
          <w:noProof/>
        </w:rPr>
        <w:t>awnieniami do zarządzania;</w:t>
      </w:r>
    </w:p>
    <w:p w14:paraId="67ED8763" w14:textId="37B33486" w:rsidR="009D1B93" w:rsidRPr="002866E5" w:rsidRDefault="008B35E8" w:rsidP="008B35E8">
      <w:pPr>
        <w:pStyle w:val="Point2"/>
        <w:rPr>
          <w:noProof/>
        </w:rPr>
      </w:pPr>
      <w:r>
        <w:rPr>
          <w:noProof/>
        </w:rPr>
        <w:t>(ii)</w:t>
      </w:r>
      <w:r>
        <w:rPr>
          <w:noProof/>
        </w:rPr>
        <w:tab/>
      </w:r>
      <w:r w:rsidR="00082E35" w:rsidRPr="002866E5">
        <w:rPr>
          <w:noProof/>
        </w:rPr>
        <w:t>ma bezpośredni lub uprzywilejowany dostęp do zasobów sieciowych lub obliczeniowych;</w:t>
      </w:r>
    </w:p>
    <w:p w14:paraId="67ED8764" w14:textId="593CCC5B" w:rsidR="009D1B93" w:rsidRPr="002866E5" w:rsidRDefault="008B35E8" w:rsidP="008B35E8">
      <w:pPr>
        <w:pStyle w:val="Point2"/>
        <w:rPr>
          <w:noProof/>
        </w:rPr>
      </w:pPr>
      <w:r>
        <w:rPr>
          <w:noProof/>
        </w:rPr>
        <w:t>(iii)</w:t>
      </w:r>
      <w:r>
        <w:rPr>
          <w:noProof/>
        </w:rPr>
        <w:tab/>
      </w:r>
      <w:r w:rsidR="00082E35" w:rsidRPr="002866E5">
        <w:rPr>
          <w:noProof/>
        </w:rPr>
        <w:t>jest przeznaczony do kontrolowania dostępu do danych lub technologii operacyjnej;</w:t>
      </w:r>
    </w:p>
    <w:p w14:paraId="67ED8765" w14:textId="62CFEAC6" w:rsidR="009D1B93" w:rsidRPr="002866E5" w:rsidRDefault="008B35E8" w:rsidP="008B35E8">
      <w:pPr>
        <w:pStyle w:val="Point2"/>
        <w:rPr>
          <w:noProof/>
        </w:rPr>
      </w:pPr>
      <w:r>
        <w:rPr>
          <w:noProof/>
        </w:rPr>
        <w:t>(iv)</w:t>
      </w:r>
      <w:r>
        <w:rPr>
          <w:noProof/>
        </w:rPr>
        <w:tab/>
      </w:r>
      <w:r w:rsidR="00082E35" w:rsidRPr="002866E5">
        <w:rPr>
          <w:noProof/>
        </w:rPr>
        <w:t>pełni funkcję krytyczną dla zaufania,</w:t>
      </w:r>
      <w:r w:rsidRPr="002866E5">
        <w:rPr>
          <w:noProof/>
        </w:rPr>
        <w:t xml:space="preserve"> w</w:t>
      </w:r>
      <w:r>
        <w:rPr>
          <w:noProof/>
        </w:rPr>
        <w:t> </w:t>
      </w:r>
      <w:r w:rsidRPr="002866E5">
        <w:rPr>
          <w:noProof/>
        </w:rPr>
        <w:t>szc</w:t>
      </w:r>
      <w:r w:rsidR="00082E35" w:rsidRPr="002866E5">
        <w:rPr>
          <w:noProof/>
        </w:rPr>
        <w:t>zególności funkcje bezpieczeństwa, takie jak kontrola sieci, ochrona punktów końcowych</w:t>
      </w:r>
      <w:r w:rsidRPr="002866E5">
        <w:rPr>
          <w:noProof/>
        </w:rPr>
        <w:t xml:space="preserve"> i</w:t>
      </w:r>
      <w:r>
        <w:rPr>
          <w:noProof/>
        </w:rPr>
        <w:t> </w:t>
      </w:r>
      <w:r w:rsidRPr="002866E5">
        <w:rPr>
          <w:noProof/>
        </w:rPr>
        <w:t>och</w:t>
      </w:r>
      <w:r w:rsidR="00082E35" w:rsidRPr="002866E5">
        <w:rPr>
          <w:noProof/>
        </w:rPr>
        <w:t>rona sieci.</w:t>
      </w:r>
    </w:p>
    <w:p w14:paraId="67ED8766" w14:textId="5314B9F9" w:rsidR="00082E35" w:rsidRPr="002866E5" w:rsidRDefault="000340F9" w:rsidP="000340F9">
      <w:pPr>
        <w:pStyle w:val="Point1"/>
        <w:rPr>
          <w:noProof/>
        </w:rPr>
      </w:pPr>
      <w:r>
        <w:rPr>
          <w:noProof/>
        </w:rPr>
        <w:t>b</w:t>
      </w:r>
      <w:r w:rsidRPr="000340F9">
        <w:rPr>
          <w:noProof/>
        </w:rPr>
        <w:t>)</w:t>
      </w:r>
      <w:r w:rsidRPr="000340F9">
        <w:rPr>
          <w:noProof/>
        </w:rPr>
        <w:tab/>
      </w:r>
      <w:r w:rsidR="00082E35" w:rsidRPr="002866E5">
        <w:rPr>
          <w:noProof/>
        </w:rPr>
        <w:t>przeznaczenie do stosowania</w:t>
      </w:r>
      <w:r w:rsidR="008B35E8" w:rsidRPr="002866E5">
        <w:rPr>
          <w:noProof/>
        </w:rPr>
        <w:t xml:space="preserve"> w</w:t>
      </w:r>
      <w:r w:rsidR="008B35E8">
        <w:rPr>
          <w:noProof/>
        </w:rPr>
        <w:t> </w:t>
      </w:r>
      <w:r w:rsidR="008B35E8" w:rsidRPr="002866E5">
        <w:rPr>
          <w:noProof/>
        </w:rPr>
        <w:t>śro</w:t>
      </w:r>
      <w:r w:rsidR="00082E35" w:rsidRPr="002866E5">
        <w:rPr>
          <w:noProof/>
        </w:rPr>
        <w:t>dowiskach wrażliwych,</w:t>
      </w:r>
      <w:r w:rsidR="008B35E8" w:rsidRPr="002866E5">
        <w:rPr>
          <w:noProof/>
        </w:rPr>
        <w:t xml:space="preserve"> w</w:t>
      </w:r>
      <w:r w:rsidR="008B35E8">
        <w:rPr>
          <w:noProof/>
        </w:rPr>
        <w:t> </w:t>
      </w:r>
      <w:r w:rsidR="008B35E8" w:rsidRPr="002866E5">
        <w:rPr>
          <w:noProof/>
        </w:rPr>
        <w:t>tym w</w:t>
      </w:r>
      <w:r w:rsidR="008B35E8">
        <w:rPr>
          <w:noProof/>
        </w:rPr>
        <w:t> </w:t>
      </w:r>
      <w:r w:rsidR="008B35E8" w:rsidRPr="002866E5">
        <w:rPr>
          <w:noProof/>
        </w:rPr>
        <w:t>śro</w:t>
      </w:r>
      <w:r w:rsidR="00082E35" w:rsidRPr="002866E5">
        <w:rPr>
          <w:noProof/>
        </w:rPr>
        <w:t>dowisku przemysłowym lub przez podmioty niezbędne takie jak podmioty,</w:t>
      </w:r>
      <w:r w:rsidR="008B35E8" w:rsidRPr="002866E5">
        <w:rPr>
          <w:noProof/>
        </w:rPr>
        <w:t xml:space="preserve"> o</w:t>
      </w:r>
      <w:r w:rsidR="008B35E8">
        <w:rPr>
          <w:noProof/>
        </w:rPr>
        <w:t> </w:t>
      </w:r>
      <w:r w:rsidR="008B35E8" w:rsidRPr="002866E5">
        <w:rPr>
          <w:noProof/>
        </w:rPr>
        <w:t>któ</w:t>
      </w:r>
      <w:r w:rsidR="00082E35" w:rsidRPr="002866E5">
        <w:rPr>
          <w:noProof/>
        </w:rPr>
        <w:t>rych mowa</w:t>
      </w:r>
      <w:r w:rsidR="008B35E8" w:rsidRPr="002866E5">
        <w:rPr>
          <w:noProof/>
        </w:rPr>
        <w:t xml:space="preserve"> w</w:t>
      </w:r>
      <w:r w:rsidR="008B35E8">
        <w:rPr>
          <w:noProof/>
        </w:rPr>
        <w:t> </w:t>
      </w:r>
      <w:r w:rsidR="008B35E8" w:rsidRPr="002866E5">
        <w:rPr>
          <w:noProof/>
        </w:rPr>
        <w:t>zał</w:t>
      </w:r>
      <w:r w:rsidR="00082E35" w:rsidRPr="002866E5">
        <w:rPr>
          <w:noProof/>
        </w:rPr>
        <w:t xml:space="preserve">ączniku [załączniku I] do dyrektywy [dyrektywy XXX/XXXX (NIS 2)]; </w:t>
      </w:r>
    </w:p>
    <w:p w14:paraId="67ED8767" w14:textId="3AB6B248" w:rsidR="00082E35" w:rsidRPr="002866E5" w:rsidRDefault="000340F9" w:rsidP="000340F9">
      <w:pPr>
        <w:pStyle w:val="Point1"/>
        <w:rPr>
          <w:noProof/>
        </w:rPr>
      </w:pPr>
      <w:r>
        <w:rPr>
          <w:noProof/>
        </w:rPr>
        <w:t>c</w:t>
      </w:r>
      <w:r w:rsidRPr="000340F9">
        <w:rPr>
          <w:noProof/>
        </w:rPr>
        <w:t>)</w:t>
      </w:r>
      <w:r w:rsidRPr="000340F9">
        <w:rPr>
          <w:noProof/>
        </w:rPr>
        <w:tab/>
      </w:r>
      <w:r w:rsidR="00082E35" w:rsidRPr="002866E5">
        <w:rPr>
          <w:noProof/>
        </w:rPr>
        <w:t xml:space="preserve">przeznaczenie do wykonywania funkcji krytycznych lub wrażliwych, takich jak przetwarzanie danych osobowych; </w:t>
      </w:r>
    </w:p>
    <w:p w14:paraId="67ED8768" w14:textId="7A91A1D4" w:rsidR="00082E35" w:rsidRPr="002866E5" w:rsidRDefault="000340F9" w:rsidP="000340F9">
      <w:pPr>
        <w:pStyle w:val="Point1"/>
        <w:rPr>
          <w:noProof/>
        </w:rPr>
      </w:pPr>
      <w:r>
        <w:rPr>
          <w:noProof/>
        </w:rPr>
        <w:t>d</w:t>
      </w:r>
      <w:r w:rsidRPr="000340F9">
        <w:rPr>
          <w:noProof/>
        </w:rPr>
        <w:t>)</w:t>
      </w:r>
      <w:r w:rsidRPr="000340F9">
        <w:rPr>
          <w:noProof/>
        </w:rPr>
        <w:tab/>
      </w:r>
      <w:r w:rsidR="00082E35" w:rsidRPr="002866E5">
        <w:rPr>
          <w:noProof/>
        </w:rPr>
        <w:t>potencjalny zakres niekorzystnego wpływu,</w:t>
      </w:r>
      <w:r w:rsidR="008B35E8" w:rsidRPr="002866E5">
        <w:rPr>
          <w:noProof/>
        </w:rPr>
        <w:t xml:space="preserve"> w</w:t>
      </w:r>
      <w:r w:rsidR="008B35E8">
        <w:rPr>
          <w:noProof/>
        </w:rPr>
        <w:t> </w:t>
      </w:r>
      <w:r w:rsidR="008B35E8" w:rsidRPr="002866E5">
        <w:rPr>
          <w:noProof/>
        </w:rPr>
        <w:t>szc</w:t>
      </w:r>
      <w:r w:rsidR="00082E35" w:rsidRPr="002866E5">
        <w:rPr>
          <w:noProof/>
        </w:rPr>
        <w:t>zególności pod względem jego nasilenia</w:t>
      </w:r>
      <w:r w:rsidR="008B35E8" w:rsidRPr="002866E5">
        <w:rPr>
          <w:noProof/>
        </w:rPr>
        <w:t xml:space="preserve"> i</w:t>
      </w:r>
      <w:r w:rsidR="008B35E8">
        <w:rPr>
          <w:noProof/>
        </w:rPr>
        <w:t> </w:t>
      </w:r>
      <w:r w:rsidR="008B35E8" w:rsidRPr="002866E5">
        <w:rPr>
          <w:noProof/>
        </w:rPr>
        <w:t>moż</w:t>
      </w:r>
      <w:r w:rsidR="00082E35" w:rsidRPr="002866E5">
        <w:rPr>
          <w:noProof/>
        </w:rPr>
        <w:t>liwości oddziaływania na wiele osób;</w:t>
      </w:r>
    </w:p>
    <w:p w14:paraId="67ED8769" w14:textId="2BD95E68" w:rsidR="00313E00" w:rsidRPr="002866E5" w:rsidRDefault="000340F9" w:rsidP="000340F9">
      <w:pPr>
        <w:pStyle w:val="Point1"/>
        <w:rPr>
          <w:noProof/>
        </w:rPr>
      </w:pPr>
      <w:r>
        <w:rPr>
          <w:noProof/>
        </w:rPr>
        <w:lastRenderedPageBreak/>
        <w:t>e</w:t>
      </w:r>
      <w:r w:rsidRPr="000340F9">
        <w:rPr>
          <w:noProof/>
        </w:rPr>
        <w:t>)</w:t>
      </w:r>
      <w:r w:rsidRPr="000340F9">
        <w:rPr>
          <w:noProof/>
        </w:rPr>
        <w:tab/>
      </w:r>
      <w:r w:rsidR="00082E35" w:rsidRPr="002866E5">
        <w:rPr>
          <w:noProof/>
        </w:rPr>
        <w:t>zakres,</w:t>
      </w:r>
      <w:r w:rsidR="008B35E8" w:rsidRPr="002866E5">
        <w:rPr>
          <w:noProof/>
        </w:rPr>
        <w:t xml:space="preserve"> w</w:t>
      </w:r>
      <w:r w:rsidR="008B35E8">
        <w:rPr>
          <w:noProof/>
        </w:rPr>
        <w:t> </w:t>
      </w:r>
      <w:r w:rsidR="008B35E8" w:rsidRPr="002866E5">
        <w:rPr>
          <w:noProof/>
        </w:rPr>
        <w:t>jak</w:t>
      </w:r>
      <w:r w:rsidR="00082E35" w:rsidRPr="002866E5">
        <w:rPr>
          <w:noProof/>
        </w:rPr>
        <w:t>im wykorzystywanie produktów</w:t>
      </w:r>
      <w:r w:rsidR="008B35E8" w:rsidRPr="002866E5">
        <w:rPr>
          <w:noProof/>
        </w:rPr>
        <w:t xml:space="preserve"> z</w:t>
      </w:r>
      <w:r w:rsidR="008B35E8">
        <w:rPr>
          <w:noProof/>
        </w:rPr>
        <w:t> </w:t>
      </w:r>
      <w:r w:rsidR="008B35E8" w:rsidRPr="002866E5">
        <w:rPr>
          <w:noProof/>
        </w:rPr>
        <w:t>ele</w:t>
      </w:r>
      <w:r w:rsidR="00082E35" w:rsidRPr="002866E5">
        <w:rPr>
          <w:noProof/>
        </w:rPr>
        <w:t>mentami cyfrowymi spowodowało już stratę materialną lub niematerialną lub zakłócenie lub wzbudziło istotne obawy co do możliwości wystąpienia niekorzystnego wpływu.</w:t>
      </w:r>
    </w:p>
    <w:p w14:paraId="67ED876A" w14:textId="4B163532" w:rsidR="006E2804" w:rsidRPr="002866E5" w:rsidRDefault="00B4087C" w:rsidP="00B4087C">
      <w:pPr>
        <w:pStyle w:val="ManualNumPar1"/>
        <w:rPr>
          <w:noProof/>
        </w:rPr>
      </w:pPr>
      <w:r w:rsidRPr="00B4087C">
        <w:t>3.</w:t>
      </w:r>
      <w:r w:rsidRPr="00B4087C">
        <w:tab/>
      </w:r>
      <w:r w:rsidR="00226782" w:rsidRPr="002866E5">
        <w:rPr>
          <w:noProof/>
        </w:rPr>
        <w:t>Komisja jest uprawniona do przyjęcia aktu delegowanego zgodnie</w:t>
      </w:r>
      <w:r w:rsidR="008B35E8" w:rsidRPr="002866E5">
        <w:rPr>
          <w:noProof/>
        </w:rPr>
        <w:t xml:space="preserve"> z</w:t>
      </w:r>
      <w:r w:rsidR="008B35E8">
        <w:rPr>
          <w:noProof/>
        </w:rPr>
        <w:t> </w:t>
      </w:r>
      <w:r w:rsidR="008B35E8" w:rsidRPr="008B35E8">
        <w:rPr>
          <w:noProof/>
        </w:rPr>
        <w:t>art</w:t>
      </w:r>
      <w:r w:rsidR="00226782" w:rsidRPr="008B35E8">
        <w:rPr>
          <w:noProof/>
        </w:rPr>
        <w:t>.</w:t>
      </w:r>
      <w:r w:rsidR="008B35E8" w:rsidRPr="008B35E8">
        <w:rPr>
          <w:noProof/>
        </w:rPr>
        <w:t> </w:t>
      </w:r>
      <w:r w:rsidR="00226782" w:rsidRPr="008B35E8">
        <w:rPr>
          <w:noProof/>
        </w:rPr>
        <w:t>5</w:t>
      </w:r>
      <w:r w:rsidR="00226782" w:rsidRPr="002866E5">
        <w:rPr>
          <w:noProof/>
        </w:rPr>
        <w:t>0</w:t>
      </w:r>
      <w:r w:rsidR="008B35E8" w:rsidRPr="002866E5">
        <w:rPr>
          <w:noProof/>
        </w:rPr>
        <w:t xml:space="preserve"> w</w:t>
      </w:r>
      <w:r w:rsidR="008B35E8">
        <w:rPr>
          <w:noProof/>
        </w:rPr>
        <w:t> </w:t>
      </w:r>
      <w:r w:rsidR="008B35E8" w:rsidRPr="002866E5">
        <w:rPr>
          <w:noProof/>
        </w:rPr>
        <w:t>cel</w:t>
      </w:r>
      <w:r w:rsidR="00226782" w:rsidRPr="002866E5">
        <w:rPr>
          <w:noProof/>
        </w:rPr>
        <w:t>u uzupełnienia niniejszego rozporządzenia przez określenie definicji kategorii produktów</w:t>
      </w:r>
      <w:r w:rsidR="008B35E8" w:rsidRPr="002866E5">
        <w:rPr>
          <w:noProof/>
        </w:rPr>
        <w:t xml:space="preserve"> w</w:t>
      </w:r>
      <w:r w:rsidR="008B35E8">
        <w:rPr>
          <w:noProof/>
        </w:rPr>
        <w:t> </w:t>
      </w:r>
      <w:r w:rsidR="008B35E8" w:rsidRPr="002866E5">
        <w:rPr>
          <w:noProof/>
        </w:rPr>
        <w:t>kla</w:t>
      </w:r>
      <w:r w:rsidR="00226782" w:rsidRPr="002866E5">
        <w:rPr>
          <w:noProof/>
        </w:rPr>
        <w:t>sie I</w:t>
      </w:r>
      <w:r w:rsidR="008B35E8" w:rsidRPr="002866E5">
        <w:rPr>
          <w:noProof/>
        </w:rPr>
        <w:t xml:space="preserve"> i</w:t>
      </w:r>
      <w:r w:rsidR="008B35E8">
        <w:rPr>
          <w:noProof/>
        </w:rPr>
        <w:t> </w:t>
      </w:r>
      <w:r w:rsidR="008B35E8" w:rsidRPr="002866E5">
        <w:rPr>
          <w:noProof/>
        </w:rPr>
        <w:t>kla</w:t>
      </w:r>
      <w:r w:rsidR="00226782" w:rsidRPr="002866E5">
        <w:rPr>
          <w:noProof/>
        </w:rPr>
        <w:t>sie II zgodnie</w:t>
      </w:r>
      <w:r w:rsidR="008B35E8" w:rsidRPr="002866E5">
        <w:rPr>
          <w:noProof/>
        </w:rPr>
        <w:t xml:space="preserve"> z</w:t>
      </w:r>
      <w:r w:rsidR="008B35E8">
        <w:rPr>
          <w:noProof/>
        </w:rPr>
        <w:t> </w:t>
      </w:r>
      <w:r w:rsidR="008B35E8" w:rsidRPr="002866E5">
        <w:rPr>
          <w:noProof/>
        </w:rPr>
        <w:t>zał</w:t>
      </w:r>
      <w:r w:rsidR="00226782" w:rsidRPr="002866E5">
        <w:rPr>
          <w:noProof/>
        </w:rPr>
        <w:t>ącznikiem III. Akt delegowany przyjmuje się [w terminie 12 miesięcy od wejścia</w:t>
      </w:r>
      <w:r w:rsidR="008B35E8" w:rsidRPr="002866E5">
        <w:rPr>
          <w:noProof/>
        </w:rPr>
        <w:t xml:space="preserve"> w</w:t>
      </w:r>
      <w:r w:rsidR="008B35E8">
        <w:rPr>
          <w:noProof/>
        </w:rPr>
        <w:t> </w:t>
      </w:r>
      <w:r w:rsidR="008B35E8" w:rsidRPr="002866E5">
        <w:rPr>
          <w:noProof/>
        </w:rPr>
        <w:t>życ</w:t>
      </w:r>
      <w:r w:rsidR="00226782" w:rsidRPr="002866E5">
        <w:rPr>
          <w:noProof/>
        </w:rPr>
        <w:t>ie niniejszego rozporządzenia].</w:t>
      </w:r>
    </w:p>
    <w:p w14:paraId="67ED876B" w14:textId="06CEEAE6" w:rsidR="006E2804" w:rsidRPr="002866E5" w:rsidRDefault="00B4087C" w:rsidP="00B4087C">
      <w:pPr>
        <w:pStyle w:val="ManualNumPar1"/>
        <w:rPr>
          <w:noProof/>
        </w:rPr>
      </w:pPr>
      <w:r w:rsidRPr="00B4087C">
        <w:t>4.</w:t>
      </w:r>
      <w:r w:rsidRPr="00B4087C">
        <w:tab/>
      </w:r>
      <w:r w:rsidR="005A6813" w:rsidRPr="002866E5">
        <w:rPr>
          <w:noProof/>
        </w:rPr>
        <w:t>Produkty krytyczne</w:t>
      </w:r>
      <w:r w:rsidR="008B35E8" w:rsidRPr="002866E5">
        <w:rPr>
          <w:noProof/>
        </w:rPr>
        <w:t xml:space="preserve"> z</w:t>
      </w:r>
      <w:r w:rsidR="008B35E8">
        <w:rPr>
          <w:noProof/>
        </w:rPr>
        <w:t> </w:t>
      </w:r>
      <w:r w:rsidR="008B35E8" w:rsidRPr="002866E5">
        <w:rPr>
          <w:noProof/>
        </w:rPr>
        <w:t>ele</w:t>
      </w:r>
      <w:r w:rsidR="005A6813" w:rsidRPr="002866E5">
        <w:rPr>
          <w:noProof/>
        </w:rPr>
        <w:t>mentami cyfrowymi podlegają procedurom oceny zgodności,</w:t>
      </w:r>
      <w:r w:rsidR="008B35E8" w:rsidRPr="002866E5">
        <w:rPr>
          <w:noProof/>
        </w:rPr>
        <w:t xml:space="preserve"> o</w:t>
      </w:r>
      <w:r w:rsidR="008B35E8">
        <w:rPr>
          <w:noProof/>
        </w:rPr>
        <w:t> </w:t>
      </w:r>
      <w:r w:rsidR="008B35E8" w:rsidRPr="002866E5">
        <w:rPr>
          <w:noProof/>
        </w:rPr>
        <w:t>któ</w:t>
      </w:r>
      <w:r w:rsidR="005A6813" w:rsidRPr="002866E5">
        <w:rPr>
          <w:noProof/>
        </w:rPr>
        <w:t>rych mowa</w:t>
      </w:r>
      <w:r w:rsidR="008B35E8" w:rsidRPr="002866E5">
        <w:rPr>
          <w:noProof/>
        </w:rPr>
        <w:t xml:space="preserve"> w</w:t>
      </w:r>
      <w:r w:rsidR="008B35E8">
        <w:rPr>
          <w:noProof/>
        </w:rPr>
        <w:t> </w:t>
      </w:r>
      <w:r w:rsidR="008B35E8" w:rsidRPr="008B35E8">
        <w:rPr>
          <w:noProof/>
        </w:rPr>
        <w:t>art</w:t>
      </w:r>
      <w:r w:rsidR="005A6813" w:rsidRPr="008B35E8">
        <w:rPr>
          <w:noProof/>
        </w:rPr>
        <w:t>.</w:t>
      </w:r>
      <w:r w:rsidR="008B35E8" w:rsidRPr="008B35E8">
        <w:rPr>
          <w:noProof/>
        </w:rPr>
        <w:t> </w:t>
      </w:r>
      <w:r w:rsidR="005A6813" w:rsidRPr="008B35E8">
        <w:rPr>
          <w:noProof/>
        </w:rPr>
        <w:t>2</w:t>
      </w:r>
      <w:r w:rsidR="005A6813" w:rsidRPr="002866E5">
        <w:rPr>
          <w:noProof/>
        </w:rPr>
        <w:t xml:space="preserve">4 </w:t>
      </w:r>
      <w:r w:rsidR="005A6813" w:rsidRPr="008B35E8">
        <w:rPr>
          <w:noProof/>
        </w:rPr>
        <w:t>ust.</w:t>
      </w:r>
      <w:r w:rsidR="008B35E8" w:rsidRPr="008B35E8">
        <w:rPr>
          <w:noProof/>
        </w:rPr>
        <w:t> </w:t>
      </w:r>
      <w:r w:rsidR="005A6813" w:rsidRPr="008B35E8">
        <w:rPr>
          <w:noProof/>
        </w:rPr>
        <w:t>2</w:t>
      </w:r>
      <w:r w:rsidR="008B35E8" w:rsidRPr="002866E5">
        <w:rPr>
          <w:noProof/>
        </w:rPr>
        <w:t xml:space="preserve"> i</w:t>
      </w:r>
      <w:r w:rsidR="008B35E8">
        <w:rPr>
          <w:noProof/>
        </w:rPr>
        <w:t> </w:t>
      </w:r>
      <w:r w:rsidR="008B35E8" w:rsidRPr="002866E5">
        <w:rPr>
          <w:noProof/>
        </w:rPr>
        <w:t>3</w:t>
      </w:r>
      <w:r w:rsidR="005A6813" w:rsidRPr="002866E5">
        <w:rPr>
          <w:noProof/>
        </w:rPr>
        <w:t xml:space="preserve">. </w:t>
      </w:r>
    </w:p>
    <w:p w14:paraId="67ED876C" w14:textId="227893E8" w:rsidR="00CD4AA7" w:rsidRPr="002866E5" w:rsidRDefault="00B4087C" w:rsidP="00B4087C">
      <w:pPr>
        <w:pStyle w:val="ManualNumPar1"/>
        <w:rPr>
          <w:noProof/>
        </w:rPr>
      </w:pPr>
      <w:r w:rsidRPr="00B4087C">
        <w:t>5.</w:t>
      </w:r>
      <w:r w:rsidRPr="00B4087C">
        <w:tab/>
      </w:r>
      <w:r w:rsidR="004A4E03" w:rsidRPr="002866E5">
        <w:rPr>
          <w:noProof/>
        </w:rPr>
        <w:t>Komisja jest uprawniona do przyjmowania aktów delegowanych zgodnie</w:t>
      </w:r>
      <w:r w:rsidR="008B35E8" w:rsidRPr="002866E5">
        <w:rPr>
          <w:noProof/>
        </w:rPr>
        <w:t xml:space="preserve"> z</w:t>
      </w:r>
      <w:r w:rsidR="008B35E8">
        <w:rPr>
          <w:noProof/>
        </w:rPr>
        <w:t> </w:t>
      </w:r>
      <w:r w:rsidR="008B35E8" w:rsidRPr="008B35E8">
        <w:rPr>
          <w:noProof/>
        </w:rPr>
        <w:t>art</w:t>
      </w:r>
      <w:r w:rsidR="004A4E03" w:rsidRPr="008B35E8">
        <w:rPr>
          <w:noProof/>
        </w:rPr>
        <w:t>.</w:t>
      </w:r>
      <w:r w:rsidR="008B35E8" w:rsidRPr="008B35E8">
        <w:rPr>
          <w:noProof/>
        </w:rPr>
        <w:t> </w:t>
      </w:r>
      <w:r w:rsidR="004A4E03" w:rsidRPr="008B35E8">
        <w:rPr>
          <w:noProof/>
        </w:rPr>
        <w:t>5</w:t>
      </w:r>
      <w:r w:rsidR="004A4E03" w:rsidRPr="002866E5">
        <w:rPr>
          <w:noProof/>
        </w:rPr>
        <w:t>0</w:t>
      </w:r>
      <w:r w:rsidR="008B35E8" w:rsidRPr="002866E5">
        <w:rPr>
          <w:noProof/>
        </w:rPr>
        <w:t xml:space="preserve"> w</w:t>
      </w:r>
      <w:r w:rsidR="008B35E8">
        <w:rPr>
          <w:noProof/>
        </w:rPr>
        <w:t> </w:t>
      </w:r>
      <w:r w:rsidR="008B35E8" w:rsidRPr="002866E5">
        <w:rPr>
          <w:noProof/>
        </w:rPr>
        <w:t>cel</w:t>
      </w:r>
      <w:r w:rsidR="004A4E03" w:rsidRPr="002866E5">
        <w:rPr>
          <w:noProof/>
        </w:rPr>
        <w:t>u uzupełnienia niniejszego rozporządzenia przez określenie kategorii produktów wysoce krytycznych</w:t>
      </w:r>
      <w:r w:rsidR="008B35E8" w:rsidRPr="002866E5">
        <w:rPr>
          <w:noProof/>
        </w:rPr>
        <w:t xml:space="preserve"> z</w:t>
      </w:r>
      <w:r w:rsidR="008B35E8">
        <w:rPr>
          <w:noProof/>
        </w:rPr>
        <w:t> </w:t>
      </w:r>
      <w:r w:rsidR="008B35E8" w:rsidRPr="002866E5">
        <w:rPr>
          <w:noProof/>
        </w:rPr>
        <w:t>ele</w:t>
      </w:r>
      <w:r w:rsidR="004A4E03" w:rsidRPr="002866E5">
        <w:rPr>
          <w:noProof/>
        </w:rPr>
        <w:t>mentami cyfrowymi,</w:t>
      </w:r>
      <w:r w:rsidR="008B35E8" w:rsidRPr="002866E5">
        <w:rPr>
          <w:noProof/>
        </w:rPr>
        <w:t xml:space="preserve"> w</w:t>
      </w:r>
      <w:r w:rsidR="008B35E8">
        <w:rPr>
          <w:noProof/>
        </w:rPr>
        <w:t> </w:t>
      </w:r>
      <w:r w:rsidR="008B35E8" w:rsidRPr="002866E5">
        <w:rPr>
          <w:noProof/>
        </w:rPr>
        <w:t>odn</w:t>
      </w:r>
      <w:r w:rsidR="004A4E03" w:rsidRPr="002866E5">
        <w:rPr>
          <w:noProof/>
        </w:rPr>
        <w:t>iesieniu do których producenci mają obowiązek uzyskać europejski certyfikat cyberbezpieczeństwa</w:t>
      </w:r>
      <w:r w:rsidR="008B35E8" w:rsidRPr="002866E5">
        <w:rPr>
          <w:noProof/>
        </w:rPr>
        <w:t xml:space="preserve"> w</w:t>
      </w:r>
      <w:r w:rsidR="008B35E8">
        <w:rPr>
          <w:noProof/>
        </w:rPr>
        <w:t> </w:t>
      </w:r>
      <w:r w:rsidR="008B35E8" w:rsidRPr="002866E5">
        <w:rPr>
          <w:noProof/>
        </w:rPr>
        <w:t>ram</w:t>
      </w:r>
      <w:r w:rsidR="004A4E03" w:rsidRPr="002866E5">
        <w:rPr>
          <w:noProof/>
        </w:rPr>
        <w:t>ach europejskiego programu certyfikacji cyberbezpieczeństwa zgodnie</w:t>
      </w:r>
      <w:r w:rsidR="008B35E8" w:rsidRPr="002866E5">
        <w:rPr>
          <w:noProof/>
        </w:rPr>
        <w:t xml:space="preserve"> z</w:t>
      </w:r>
      <w:r w:rsidR="008B35E8">
        <w:rPr>
          <w:noProof/>
        </w:rPr>
        <w:t> </w:t>
      </w:r>
      <w:r w:rsidR="008B35E8" w:rsidRPr="002866E5">
        <w:rPr>
          <w:noProof/>
        </w:rPr>
        <w:t>roz</w:t>
      </w:r>
      <w:r w:rsidR="004A4E03" w:rsidRPr="002866E5">
        <w:rPr>
          <w:noProof/>
        </w:rPr>
        <w:t>porządzeniem (UE) 2019/881, aby wykazać zgodność</w:t>
      </w:r>
      <w:r w:rsidR="008B35E8" w:rsidRPr="002866E5">
        <w:rPr>
          <w:noProof/>
        </w:rPr>
        <w:t xml:space="preserve"> z</w:t>
      </w:r>
      <w:r w:rsidR="008B35E8">
        <w:rPr>
          <w:noProof/>
        </w:rPr>
        <w:t> </w:t>
      </w:r>
      <w:r w:rsidR="008B35E8" w:rsidRPr="002866E5">
        <w:rPr>
          <w:noProof/>
        </w:rPr>
        <w:t>zas</w:t>
      </w:r>
      <w:r w:rsidR="004A4E03" w:rsidRPr="002866E5">
        <w:rPr>
          <w:noProof/>
        </w:rPr>
        <w:t>adniczymi wymogami określonymi</w:t>
      </w:r>
      <w:r w:rsidR="008B35E8" w:rsidRPr="002866E5">
        <w:rPr>
          <w:noProof/>
        </w:rPr>
        <w:t xml:space="preserve"> w</w:t>
      </w:r>
      <w:r w:rsidR="008B35E8">
        <w:rPr>
          <w:noProof/>
        </w:rPr>
        <w:t> </w:t>
      </w:r>
      <w:r w:rsidR="008B35E8" w:rsidRPr="002866E5">
        <w:rPr>
          <w:noProof/>
        </w:rPr>
        <w:t>zał</w:t>
      </w:r>
      <w:r w:rsidR="004A4E03" w:rsidRPr="002866E5">
        <w:rPr>
          <w:noProof/>
        </w:rPr>
        <w:t>ączniku I lub jego częściach. Przy określaniu takich kategorii produktów wysoce krytycznych</w:t>
      </w:r>
      <w:r w:rsidR="008B35E8" w:rsidRPr="002866E5">
        <w:rPr>
          <w:noProof/>
        </w:rPr>
        <w:t xml:space="preserve"> z</w:t>
      </w:r>
      <w:r w:rsidR="008B35E8">
        <w:rPr>
          <w:noProof/>
        </w:rPr>
        <w:t> </w:t>
      </w:r>
      <w:r w:rsidR="008B35E8" w:rsidRPr="002866E5">
        <w:rPr>
          <w:noProof/>
        </w:rPr>
        <w:t>ele</w:t>
      </w:r>
      <w:r w:rsidR="004A4E03" w:rsidRPr="002866E5">
        <w:rPr>
          <w:noProof/>
        </w:rPr>
        <w:t>mentami cyfrowymi Komisja uwzględnia poziom ryzyka</w:t>
      </w:r>
      <w:r w:rsidR="008B35E8" w:rsidRPr="002866E5">
        <w:rPr>
          <w:noProof/>
        </w:rPr>
        <w:t xml:space="preserve"> w</w:t>
      </w:r>
      <w:r w:rsidR="008B35E8">
        <w:rPr>
          <w:noProof/>
        </w:rPr>
        <w:t> </w:t>
      </w:r>
      <w:r w:rsidR="008B35E8" w:rsidRPr="002866E5">
        <w:rPr>
          <w:noProof/>
        </w:rPr>
        <w:t>cyb</w:t>
      </w:r>
      <w:r w:rsidR="004A4E03" w:rsidRPr="002866E5">
        <w:rPr>
          <w:noProof/>
        </w:rPr>
        <w:t>erprzestrzeni związanego</w:t>
      </w:r>
      <w:r w:rsidR="008B35E8" w:rsidRPr="002866E5">
        <w:rPr>
          <w:noProof/>
        </w:rPr>
        <w:t xml:space="preserve"> z</w:t>
      </w:r>
      <w:r w:rsidR="008B35E8">
        <w:rPr>
          <w:noProof/>
        </w:rPr>
        <w:t> </w:t>
      </w:r>
      <w:r w:rsidR="008B35E8" w:rsidRPr="002866E5">
        <w:rPr>
          <w:noProof/>
        </w:rPr>
        <w:t>kat</w:t>
      </w:r>
      <w:r w:rsidR="004A4E03" w:rsidRPr="002866E5">
        <w:rPr>
          <w:noProof/>
        </w:rPr>
        <w:t>egorią produktów</w:t>
      </w:r>
      <w:r w:rsidR="008B35E8" w:rsidRPr="002866E5">
        <w:rPr>
          <w:noProof/>
        </w:rPr>
        <w:t xml:space="preserve"> z</w:t>
      </w:r>
      <w:r w:rsidR="008B35E8">
        <w:rPr>
          <w:noProof/>
        </w:rPr>
        <w:t> </w:t>
      </w:r>
      <w:r w:rsidR="008B35E8" w:rsidRPr="002866E5">
        <w:rPr>
          <w:noProof/>
        </w:rPr>
        <w:t>ele</w:t>
      </w:r>
      <w:r w:rsidR="004A4E03" w:rsidRPr="002866E5">
        <w:rPr>
          <w:noProof/>
        </w:rPr>
        <w:t>mentami cyfrowymi</w:t>
      </w:r>
      <w:r w:rsidR="008B35E8" w:rsidRPr="002866E5">
        <w:rPr>
          <w:noProof/>
        </w:rPr>
        <w:t xml:space="preserve"> w</w:t>
      </w:r>
      <w:r w:rsidR="008B35E8">
        <w:rPr>
          <w:noProof/>
        </w:rPr>
        <w:t> </w:t>
      </w:r>
      <w:r w:rsidR="008B35E8" w:rsidRPr="002866E5">
        <w:rPr>
          <w:noProof/>
        </w:rPr>
        <w:t>świ</w:t>
      </w:r>
      <w:r w:rsidR="004A4E03" w:rsidRPr="002866E5">
        <w:rPr>
          <w:noProof/>
        </w:rPr>
        <w:t>etle co najmniej jednego</w:t>
      </w:r>
      <w:r w:rsidR="008B35E8" w:rsidRPr="002866E5">
        <w:rPr>
          <w:noProof/>
        </w:rPr>
        <w:t xml:space="preserve"> z</w:t>
      </w:r>
      <w:r w:rsidR="008B35E8">
        <w:rPr>
          <w:noProof/>
        </w:rPr>
        <w:t> </w:t>
      </w:r>
      <w:r w:rsidR="008B35E8" w:rsidRPr="002866E5">
        <w:rPr>
          <w:noProof/>
        </w:rPr>
        <w:t>kry</w:t>
      </w:r>
      <w:r w:rsidR="004A4E03" w:rsidRPr="002866E5">
        <w:rPr>
          <w:noProof/>
        </w:rPr>
        <w:t>teriów wymienionych</w:t>
      </w:r>
      <w:r w:rsidR="008B35E8" w:rsidRPr="002866E5">
        <w:rPr>
          <w:noProof/>
        </w:rPr>
        <w:t xml:space="preserve"> w</w:t>
      </w:r>
      <w:r w:rsidR="008B35E8">
        <w:rPr>
          <w:noProof/>
        </w:rPr>
        <w:t> </w:t>
      </w:r>
      <w:r w:rsidR="008B35E8" w:rsidRPr="008B35E8">
        <w:rPr>
          <w:noProof/>
        </w:rPr>
        <w:t>ust</w:t>
      </w:r>
      <w:r w:rsidR="004A4E03" w:rsidRPr="008B35E8">
        <w:rPr>
          <w:noProof/>
        </w:rPr>
        <w:t>.</w:t>
      </w:r>
      <w:r w:rsidR="008B35E8" w:rsidRPr="008B35E8">
        <w:rPr>
          <w:noProof/>
        </w:rPr>
        <w:t> </w:t>
      </w:r>
      <w:r w:rsidR="004A4E03" w:rsidRPr="008B35E8">
        <w:rPr>
          <w:noProof/>
        </w:rPr>
        <w:t>2</w:t>
      </w:r>
      <w:r w:rsidR="004A4E03" w:rsidRPr="002866E5">
        <w:rPr>
          <w:noProof/>
        </w:rPr>
        <w:t>,</w:t>
      </w:r>
      <w:r w:rsidR="008B35E8" w:rsidRPr="002866E5">
        <w:rPr>
          <w:noProof/>
        </w:rPr>
        <w:t xml:space="preserve"> a</w:t>
      </w:r>
      <w:r w:rsidR="008B35E8">
        <w:rPr>
          <w:noProof/>
        </w:rPr>
        <w:t> </w:t>
      </w:r>
      <w:r w:rsidR="008B35E8" w:rsidRPr="002866E5">
        <w:rPr>
          <w:noProof/>
        </w:rPr>
        <w:t>tak</w:t>
      </w:r>
      <w:r w:rsidR="004A4E03" w:rsidRPr="002866E5">
        <w:rPr>
          <w:noProof/>
        </w:rPr>
        <w:t>że</w:t>
      </w:r>
      <w:r w:rsidR="008B35E8" w:rsidRPr="002866E5">
        <w:rPr>
          <w:noProof/>
        </w:rPr>
        <w:t xml:space="preserve"> w</w:t>
      </w:r>
      <w:r w:rsidR="008B35E8">
        <w:rPr>
          <w:noProof/>
        </w:rPr>
        <w:t> </w:t>
      </w:r>
      <w:r w:rsidR="008B35E8" w:rsidRPr="002866E5">
        <w:rPr>
          <w:noProof/>
        </w:rPr>
        <w:t>kon</w:t>
      </w:r>
      <w:r w:rsidR="004A4E03" w:rsidRPr="002866E5">
        <w:rPr>
          <w:noProof/>
        </w:rPr>
        <w:t>tekście oceny, czy ta kategoria produktów jest:</w:t>
      </w:r>
    </w:p>
    <w:p w14:paraId="67ED876D" w14:textId="203F7523" w:rsidR="009D1B93" w:rsidRPr="002866E5" w:rsidRDefault="000340F9" w:rsidP="000340F9">
      <w:pPr>
        <w:pStyle w:val="Point1"/>
        <w:rPr>
          <w:noProof/>
        </w:rPr>
      </w:pPr>
      <w:r w:rsidRPr="000340F9">
        <w:rPr>
          <w:noProof/>
        </w:rPr>
        <w:t>a)</w:t>
      </w:r>
      <w:r w:rsidRPr="000340F9">
        <w:rPr>
          <w:noProof/>
        </w:rPr>
        <w:tab/>
      </w:r>
      <w:r w:rsidR="009D1B93" w:rsidRPr="002866E5">
        <w:rPr>
          <w:noProof/>
        </w:rPr>
        <w:t>wykorzystywana przez podmioty niezbędne takie jak podmioty,</w:t>
      </w:r>
      <w:r w:rsidR="008B35E8" w:rsidRPr="002866E5">
        <w:rPr>
          <w:noProof/>
        </w:rPr>
        <w:t xml:space="preserve"> o</w:t>
      </w:r>
      <w:r w:rsidR="008B35E8">
        <w:rPr>
          <w:noProof/>
        </w:rPr>
        <w:t> </w:t>
      </w:r>
      <w:r w:rsidR="008B35E8" w:rsidRPr="002866E5">
        <w:rPr>
          <w:noProof/>
        </w:rPr>
        <w:t>któ</w:t>
      </w:r>
      <w:r w:rsidR="009D1B93" w:rsidRPr="002866E5">
        <w:rPr>
          <w:noProof/>
        </w:rPr>
        <w:t>rych mowa</w:t>
      </w:r>
      <w:r w:rsidR="008B35E8" w:rsidRPr="002866E5">
        <w:rPr>
          <w:noProof/>
        </w:rPr>
        <w:t xml:space="preserve"> w</w:t>
      </w:r>
      <w:r w:rsidR="008B35E8">
        <w:rPr>
          <w:noProof/>
        </w:rPr>
        <w:t> </w:t>
      </w:r>
      <w:r w:rsidR="008B35E8" w:rsidRPr="002866E5">
        <w:rPr>
          <w:noProof/>
        </w:rPr>
        <w:t>zał</w:t>
      </w:r>
      <w:r w:rsidR="009D1B93" w:rsidRPr="002866E5">
        <w:rPr>
          <w:noProof/>
        </w:rPr>
        <w:t>ączniku [załączniku I] do dyrektywy [dyrektywy XXX/XXXX (NIS 2)], czy wspomniane podmioty polegają na tej kategorii produktów lub czy będzie ona miała potencjalne przyszłe znaczenie dla działalności tych podmiotów lub</w:t>
      </w:r>
    </w:p>
    <w:p w14:paraId="67ED876E" w14:textId="5069545A" w:rsidR="009D1B93" w:rsidRPr="002866E5" w:rsidRDefault="000340F9" w:rsidP="000340F9">
      <w:pPr>
        <w:pStyle w:val="Point1"/>
        <w:rPr>
          <w:noProof/>
        </w:rPr>
      </w:pPr>
      <w:r w:rsidRPr="000340F9">
        <w:rPr>
          <w:noProof/>
        </w:rPr>
        <w:t>b)</w:t>
      </w:r>
      <w:r w:rsidRPr="000340F9">
        <w:rPr>
          <w:noProof/>
        </w:rPr>
        <w:tab/>
      </w:r>
      <w:r w:rsidR="00867E3A" w:rsidRPr="002866E5">
        <w:rPr>
          <w:noProof/>
        </w:rPr>
        <w:t>istotna dla odporności całego łańcucha dostaw produktów</w:t>
      </w:r>
      <w:r w:rsidR="008B35E8" w:rsidRPr="002866E5">
        <w:rPr>
          <w:noProof/>
        </w:rPr>
        <w:t xml:space="preserve"> z</w:t>
      </w:r>
      <w:r w:rsidR="008B35E8">
        <w:rPr>
          <w:noProof/>
        </w:rPr>
        <w:t> </w:t>
      </w:r>
      <w:r w:rsidR="008B35E8" w:rsidRPr="002866E5">
        <w:rPr>
          <w:noProof/>
        </w:rPr>
        <w:t>ele</w:t>
      </w:r>
      <w:r w:rsidR="00867E3A" w:rsidRPr="002866E5">
        <w:rPr>
          <w:noProof/>
        </w:rPr>
        <w:t>mentami cyfrowymi na zdarzenia powodujące zakłócenia.</w:t>
      </w:r>
    </w:p>
    <w:p w14:paraId="67ED876F" w14:textId="77777777" w:rsidR="00156B5A" w:rsidRPr="002866E5" w:rsidRDefault="00B34EB6" w:rsidP="00C86872">
      <w:pPr>
        <w:pStyle w:val="Titrearticle0"/>
        <w:rPr>
          <w:noProof/>
        </w:rPr>
      </w:pPr>
      <w:r w:rsidRPr="002866E5">
        <w:rPr>
          <w:noProof/>
        </w:rPr>
        <w:t>Artykuł 7</w:t>
      </w:r>
    </w:p>
    <w:p w14:paraId="32A3B15E" w14:textId="52822D6B" w:rsidR="00250A70" w:rsidRPr="002866E5" w:rsidRDefault="00250A70" w:rsidP="00250A70">
      <w:pPr>
        <w:jc w:val="center"/>
        <w:rPr>
          <w:i/>
          <w:noProof/>
        </w:rPr>
      </w:pPr>
      <w:r w:rsidRPr="002866E5">
        <w:rPr>
          <w:i/>
          <w:noProof/>
        </w:rPr>
        <w:t>Ogólne bezpieczeństwo produktów</w:t>
      </w:r>
    </w:p>
    <w:p w14:paraId="146291D7" w14:textId="7E3FF522" w:rsidR="00250A70" w:rsidRPr="002866E5" w:rsidRDefault="00250A70" w:rsidP="00250A70">
      <w:pPr>
        <w:pStyle w:val="Text1"/>
        <w:ind w:left="0"/>
        <w:rPr>
          <w:noProof/>
        </w:rPr>
      </w:pPr>
      <w:r w:rsidRPr="002866E5">
        <w:rPr>
          <w:noProof/>
        </w:rPr>
        <w:t xml:space="preserve">Na zasadzie odstępstwa od </w:t>
      </w:r>
      <w:r w:rsidRPr="008B35E8">
        <w:rPr>
          <w:noProof/>
        </w:rPr>
        <w:t>art.</w:t>
      </w:r>
      <w:r w:rsidR="008B35E8" w:rsidRPr="008B35E8">
        <w:rPr>
          <w:noProof/>
        </w:rPr>
        <w:t> </w:t>
      </w:r>
      <w:r w:rsidRPr="008B35E8">
        <w:rPr>
          <w:noProof/>
        </w:rPr>
        <w:t>2</w:t>
      </w:r>
      <w:r w:rsidRPr="002866E5">
        <w:rPr>
          <w:noProof/>
        </w:rPr>
        <w:t xml:space="preserve"> </w:t>
      </w:r>
      <w:r w:rsidRPr="008B35E8">
        <w:rPr>
          <w:noProof/>
        </w:rPr>
        <w:t>ust.</w:t>
      </w:r>
      <w:r w:rsidR="008B35E8" w:rsidRPr="008B35E8">
        <w:rPr>
          <w:noProof/>
        </w:rPr>
        <w:t> </w:t>
      </w:r>
      <w:r w:rsidRPr="008B35E8">
        <w:rPr>
          <w:noProof/>
        </w:rPr>
        <w:t>1</w:t>
      </w:r>
      <w:r w:rsidRPr="002866E5">
        <w:rPr>
          <w:noProof/>
        </w:rPr>
        <w:t xml:space="preserve"> akapit trzeci </w:t>
      </w:r>
      <w:r w:rsidRPr="008B35E8">
        <w:rPr>
          <w:noProof/>
        </w:rPr>
        <w:t>lit.</w:t>
      </w:r>
      <w:r w:rsidR="008B35E8" w:rsidRPr="008B35E8">
        <w:rPr>
          <w:noProof/>
        </w:rPr>
        <w:t> </w:t>
      </w:r>
      <w:r w:rsidRPr="008B35E8">
        <w:rPr>
          <w:noProof/>
        </w:rPr>
        <w:t>b)</w:t>
      </w:r>
      <w:r w:rsidRPr="002866E5">
        <w:rPr>
          <w:noProof/>
        </w:rPr>
        <w:t xml:space="preserve"> rozporządzenia [rozporządzenia</w:t>
      </w:r>
      <w:r w:rsidR="008B35E8" w:rsidRPr="002866E5">
        <w:rPr>
          <w:noProof/>
        </w:rPr>
        <w:t xml:space="preserve"> w</w:t>
      </w:r>
      <w:r w:rsidR="008B35E8">
        <w:rPr>
          <w:noProof/>
        </w:rPr>
        <w:t> </w:t>
      </w:r>
      <w:r w:rsidR="008B35E8" w:rsidRPr="002866E5">
        <w:rPr>
          <w:noProof/>
        </w:rPr>
        <w:t>spr</w:t>
      </w:r>
      <w:r w:rsidRPr="002866E5">
        <w:rPr>
          <w:noProof/>
        </w:rPr>
        <w:t>awie ogólnego bezpieczeństwa produktów],</w:t>
      </w:r>
      <w:r w:rsidR="008B35E8" w:rsidRPr="002866E5">
        <w:rPr>
          <w:noProof/>
        </w:rPr>
        <w:t xml:space="preserve"> w</w:t>
      </w:r>
      <w:r w:rsidR="008B35E8">
        <w:rPr>
          <w:noProof/>
        </w:rPr>
        <w:t> </w:t>
      </w:r>
      <w:r w:rsidR="008B35E8" w:rsidRPr="002866E5">
        <w:rPr>
          <w:noProof/>
        </w:rPr>
        <w:t>prz</w:t>
      </w:r>
      <w:r w:rsidRPr="002866E5">
        <w:rPr>
          <w:noProof/>
        </w:rPr>
        <w:t>ypadku gdy produkty</w:t>
      </w:r>
      <w:r w:rsidR="008B35E8" w:rsidRPr="002866E5">
        <w:rPr>
          <w:noProof/>
        </w:rPr>
        <w:t xml:space="preserve"> z</w:t>
      </w:r>
      <w:r w:rsidR="008B35E8">
        <w:rPr>
          <w:noProof/>
        </w:rPr>
        <w:t> </w:t>
      </w:r>
      <w:r w:rsidR="008B35E8" w:rsidRPr="002866E5">
        <w:rPr>
          <w:noProof/>
        </w:rPr>
        <w:t>ele</w:t>
      </w:r>
      <w:r w:rsidRPr="002866E5">
        <w:rPr>
          <w:noProof/>
        </w:rPr>
        <w:t>mentami cyfrowymi nie podlegają szczególnym wymogom określonym</w:t>
      </w:r>
      <w:r w:rsidR="008B35E8" w:rsidRPr="002866E5">
        <w:rPr>
          <w:noProof/>
        </w:rPr>
        <w:t xml:space="preserve"> w</w:t>
      </w:r>
      <w:r w:rsidR="008B35E8">
        <w:rPr>
          <w:noProof/>
        </w:rPr>
        <w:t> </w:t>
      </w:r>
      <w:r w:rsidR="008B35E8" w:rsidRPr="002866E5">
        <w:rPr>
          <w:noProof/>
        </w:rPr>
        <w:t>inn</w:t>
      </w:r>
      <w:r w:rsidRPr="002866E5">
        <w:rPr>
          <w:noProof/>
        </w:rPr>
        <w:t>ym unijnym prawodawstwie harmonizacyjnym</w:t>
      </w:r>
      <w:r w:rsidR="008B35E8" w:rsidRPr="002866E5">
        <w:rPr>
          <w:noProof/>
        </w:rPr>
        <w:t xml:space="preserve"> w</w:t>
      </w:r>
      <w:r w:rsidR="008B35E8">
        <w:rPr>
          <w:noProof/>
        </w:rPr>
        <w:t> </w:t>
      </w:r>
      <w:r w:rsidR="008B35E8" w:rsidRPr="002866E5">
        <w:rPr>
          <w:noProof/>
        </w:rPr>
        <w:t>roz</w:t>
      </w:r>
      <w:r w:rsidRPr="002866E5">
        <w:rPr>
          <w:noProof/>
        </w:rPr>
        <w:t>umieniu [</w:t>
      </w:r>
      <w:r w:rsidRPr="008B35E8">
        <w:rPr>
          <w:noProof/>
        </w:rPr>
        <w:t>art.</w:t>
      </w:r>
      <w:r w:rsidR="008B35E8" w:rsidRPr="008B35E8">
        <w:rPr>
          <w:noProof/>
        </w:rPr>
        <w:t> </w:t>
      </w:r>
      <w:r w:rsidRPr="008B35E8">
        <w:rPr>
          <w:noProof/>
        </w:rPr>
        <w:t>3</w:t>
      </w:r>
      <w:r w:rsidRPr="002866E5">
        <w:rPr>
          <w:noProof/>
        </w:rPr>
        <w:t xml:space="preserve"> </w:t>
      </w:r>
      <w:r w:rsidRPr="008B35E8">
        <w:rPr>
          <w:noProof/>
        </w:rPr>
        <w:t>pkt</w:t>
      </w:r>
      <w:r w:rsidR="008B35E8" w:rsidRPr="008B35E8">
        <w:rPr>
          <w:noProof/>
        </w:rPr>
        <w:t> </w:t>
      </w:r>
      <w:r w:rsidRPr="008B35E8">
        <w:rPr>
          <w:noProof/>
        </w:rPr>
        <w:t>2</w:t>
      </w:r>
      <w:r w:rsidRPr="002866E5">
        <w:rPr>
          <w:noProof/>
        </w:rPr>
        <w:t>5 rozporządzenia</w:t>
      </w:r>
      <w:r w:rsidR="008B35E8" w:rsidRPr="002866E5">
        <w:rPr>
          <w:noProof/>
        </w:rPr>
        <w:t xml:space="preserve"> w</w:t>
      </w:r>
      <w:r w:rsidR="008B35E8">
        <w:rPr>
          <w:noProof/>
        </w:rPr>
        <w:t> </w:t>
      </w:r>
      <w:r w:rsidR="008B35E8" w:rsidRPr="002866E5">
        <w:rPr>
          <w:noProof/>
        </w:rPr>
        <w:t>spr</w:t>
      </w:r>
      <w:r w:rsidRPr="002866E5">
        <w:rPr>
          <w:noProof/>
        </w:rPr>
        <w:t>awie ogólnego bezpieczeństwa produktów], zastosowanie do tych produktów</w:t>
      </w:r>
      <w:r w:rsidR="008B35E8" w:rsidRPr="002866E5">
        <w:rPr>
          <w:noProof/>
        </w:rPr>
        <w:t xml:space="preserve"> w</w:t>
      </w:r>
      <w:r w:rsidR="008B35E8">
        <w:rPr>
          <w:noProof/>
        </w:rPr>
        <w:t> </w:t>
      </w:r>
      <w:r w:rsidR="008B35E8" w:rsidRPr="002866E5">
        <w:rPr>
          <w:noProof/>
        </w:rPr>
        <w:t>odn</w:t>
      </w:r>
      <w:r w:rsidRPr="002866E5">
        <w:rPr>
          <w:noProof/>
        </w:rPr>
        <w:t>iesieniu do zagrożeń dla bezpieczeństwa nieobjętych niniejszym rozporządzeniem mają rozdział III sekcja 1, rozdziały V i VII oraz rozdziały IX–XI rozporządzenia [rozporządzenia</w:t>
      </w:r>
      <w:r w:rsidR="008B35E8" w:rsidRPr="002866E5">
        <w:rPr>
          <w:noProof/>
        </w:rPr>
        <w:t xml:space="preserve"> w</w:t>
      </w:r>
      <w:r w:rsidR="008B35E8">
        <w:rPr>
          <w:noProof/>
        </w:rPr>
        <w:t> </w:t>
      </w:r>
      <w:r w:rsidR="008B35E8" w:rsidRPr="002866E5">
        <w:rPr>
          <w:noProof/>
        </w:rPr>
        <w:t>spr</w:t>
      </w:r>
      <w:r w:rsidRPr="002866E5">
        <w:rPr>
          <w:noProof/>
        </w:rPr>
        <w:t>awie ogólnego bezpieczeństwa produktów].</w:t>
      </w:r>
    </w:p>
    <w:p w14:paraId="18681C62" w14:textId="73906B39" w:rsidR="00250A70" w:rsidRPr="002866E5" w:rsidRDefault="00250A70" w:rsidP="000D38CA">
      <w:pPr>
        <w:pStyle w:val="Titrearticlea"/>
        <w:rPr>
          <w:noProof/>
        </w:rPr>
      </w:pPr>
      <w:r w:rsidRPr="002866E5">
        <w:rPr>
          <w:noProof/>
        </w:rPr>
        <w:t>Artykuł 8</w:t>
      </w:r>
    </w:p>
    <w:p w14:paraId="67ED8770" w14:textId="77777777" w:rsidR="00690D48" w:rsidRPr="002866E5" w:rsidRDefault="00FC6DD1" w:rsidP="00F55C4D">
      <w:pPr>
        <w:jc w:val="center"/>
        <w:rPr>
          <w:i/>
          <w:noProof/>
        </w:rPr>
      </w:pPr>
      <w:r w:rsidRPr="002866E5">
        <w:rPr>
          <w:i/>
          <w:noProof/>
        </w:rPr>
        <w:t>Systemy sztucznej inteligencji wysokiego ryzyka</w:t>
      </w:r>
    </w:p>
    <w:p w14:paraId="67ED8771" w14:textId="2BBA3B10" w:rsidR="00FC6DD1" w:rsidRPr="002866E5" w:rsidRDefault="00B4087C" w:rsidP="00B4087C">
      <w:pPr>
        <w:pStyle w:val="ManualNumPar1"/>
        <w:rPr>
          <w:noProof/>
        </w:rPr>
      </w:pPr>
      <w:r w:rsidRPr="00B4087C">
        <w:t>1.</w:t>
      </w:r>
      <w:r w:rsidRPr="00B4087C">
        <w:tab/>
      </w:r>
      <w:r w:rsidR="00FC6DD1" w:rsidRPr="002866E5">
        <w:rPr>
          <w:noProof/>
        </w:rPr>
        <w:t>Produkty</w:t>
      </w:r>
      <w:r w:rsidR="008B35E8" w:rsidRPr="002866E5">
        <w:rPr>
          <w:noProof/>
        </w:rPr>
        <w:t xml:space="preserve"> z</w:t>
      </w:r>
      <w:r w:rsidR="008B35E8">
        <w:rPr>
          <w:noProof/>
        </w:rPr>
        <w:t> </w:t>
      </w:r>
      <w:r w:rsidR="008B35E8" w:rsidRPr="002866E5">
        <w:rPr>
          <w:noProof/>
        </w:rPr>
        <w:t>ele</w:t>
      </w:r>
      <w:r w:rsidR="00FC6DD1" w:rsidRPr="002866E5">
        <w:rPr>
          <w:noProof/>
        </w:rPr>
        <w:t>mentami cyfrowymi sklasyfikowane jako systemy sztucznej inteligencji wysokiego ryzyka zgodnie</w:t>
      </w:r>
      <w:r w:rsidR="008B35E8" w:rsidRPr="002866E5">
        <w:rPr>
          <w:noProof/>
        </w:rPr>
        <w:t xml:space="preserve"> z</w:t>
      </w:r>
      <w:r w:rsidR="008B35E8">
        <w:rPr>
          <w:noProof/>
        </w:rPr>
        <w:t> </w:t>
      </w:r>
      <w:r w:rsidR="008B35E8" w:rsidRPr="002866E5">
        <w:rPr>
          <w:noProof/>
        </w:rPr>
        <w:t>art</w:t>
      </w:r>
      <w:r w:rsidR="00FC6DD1" w:rsidRPr="002866E5">
        <w:rPr>
          <w:noProof/>
        </w:rPr>
        <w:t>. [</w:t>
      </w:r>
      <w:r w:rsidR="00FC6DD1" w:rsidRPr="008B35E8">
        <w:rPr>
          <w:noProof/>
        </w:rPr>
        <w:t>art.</w:t>
      </w:r>
      <w:r w:rsidR="008B35E8" w:rsidRPr="008B35E8">
        <w:rPr>
          <w:noProof/>
        </w:rPr>
        <w:t> </w:t>
      </w:r>
      <w:r w:rsidR="00FC6DD1" w:rsidRPr="008B35E8">
        <w:rPr>
          <w:noProof/>
        </w:rPr>
        <w:t>6</w:t>
      </w:r>
      <w:r w:rsidR="00FC6DD1" w:rsidRPr="002866E5">
        <w:rPr>
          <w:noProof/>
        </w:rPr>
        <w:t>] rozporządzenia [rozporządzenia</w:t>
      </w:r>
      <w:r w:rsidR="008B35E8" w:rsidRPr="002866E5">
        <w:rPr>
          <w:noProof/>
        </w:rPr>
        <w:t xml:space="preserve"> w</w:t>
      </w:r>
      <w:r w:rsidR="008B35E8">
        <w:rPr>
          <w:noProof/>
        </w:rPr>
        <w:t> </w:t>
      </w:r>
      <w:r w:rsidR="008B35E8" w:rsidRPr="002866E5">
        <w:rPr>
          <w:noProof/>
        </w:rPr>
        <w:t>spr</w:t>
      </w:r>
      <w:r w:rsidR="00FC6DD1" w:rsidRPr="002866E5">
        <w:rPr>
          <w:noProof/>
        </w:rPr>
        <w:t>awie sztucznej inteligencji], które wchodzą</w:t>
      </w:r>
      <w:r w:rsidR="008B35E8" w:rsidRPr="002866E5">
        <w:rPr>
          <w:noProof/>
        </w:rPr>
        <w:t xml:space="preserve"> w</w:t>
      </w:r>
      <w:r w:rsidR="008B35E8">
        <w:rPr>
          <w:noProof/>
        </w:rPr>
        <w:t> </w:t>
      </w:r>
      <w:r w:rsidR="008B35E8" w:rsidRPr="002866E5">
        <w:rPr>
          <w:noProof/>
        </w:rPr>
        <w:t>zak</w:t>
      </w:r>
      <w:r w:rsidR="00FC6DD1" w:rsidRPr="002866E5">
        <w:rPr>
          <w:noProof/>
        </w:rPr>
        <w:t xml:space="preserve">res niniejszego </w:t>
      </w:r>
      <w:r w:rsidR="00FC6DD1" w:rsidRPr="002866E5">
        <w:rPr>
          <w:noProof/>
        </w:rPr>
        <w:lastRenderedPageBreak/>
        <w:t>rozporządzenia</w:t>
      </w:r>
      <w:r w:rsidR="008B35E8" w:rsidRPr="002866E5">
        <w:rPr>
          <w:noProof/>
        </w:rPr>
        <w:t xml:space="preserve"> i</w:t>
      </w:r>
      <w:r w:rsidR="008B35E8">
        <w:rPr>
          <w:noProof/>
        </w:rPr>
        <w:t> </w:t>
      </w:r>
      <w:r w:rsidR="008B35E8" w:rsidRPr="002866E5">
        <w:rPr>
          <w:noProof/>
        </w:rPr>
        <w:t>spe</w:t>
      </w:r>
      <w:r w:rsidR="00FC6DD1" w:rsidRPr="002866E5">
        <w:rPr>
          <w:noProof/>
        </w:rPr>
        <w:t>łniają zasadnicze wymogi określone</w:t>
      </w:r>
      <w:r w:rsidR="008B35E8" w:rsidRPr="002866E5">
        <w:rPr>
          <w:noProof/>
        </w:rPr>
        <w:t xml:space="preserve"> w</w:t>
      </w:r>
      <w:r w:rsidR="008B35E8">
        <w:rPr>
          <w:noProof/>
        </w:rPr>
        <w:t> </w:t>
      </w:r>
      <w:r w:rsidR="008B35E8" w:rsidRPr="002866E5">
        <w:rPr>
          <w:noProof/>
        </w:rPr>
        <w:t>sek</w:t>
      </w:r>
      <w:r w:rsidR="00FC6DD1" w:rsidRPr="002866E5">
        <w:rPr>
          <w:noProof/>
        </w:rPr>
        <w:t>cji 1 załącznika I do niniejszego rozporządzenia oraz</w:t>
      </w:r>
      <w:r w:rsidR="008B35E8" w:rsidRPr="002866E5">
        <w:rPr>
          <w:noProof/>
        </w:rPr>
        <w:t xml:space="preserve"> w</w:t>
      </w:r>
      <w:r w:rsidR="008B35E8">
        <w:rPr>
          <w:noProof/>
        </w:rPr>
        <w:t> </w:t>
      </w:r>
      <w:r w:rsidR="008B35E8" w:rsidRPr="002866E5">
        <w:rPr>
          <w:noProof/>
        </w:rPr>
        <w:t>prz</w:t>
      </w:r>
      <w:r w:rsidR="00FC6DD1" w:rsidRPr="002866E5">
        <w:rPr>
          <w:noProof/>
        </w:rPr>
        <w:t>ypadku których procedury wprowadzone przez producenta są zgodne</w:t>
      </w:r>
      <w:r w:rsidR="008B35E8" w:rsidRPr="002866E5">
        <w:rPr>
          <w:noProof/>
        </w:rPr>
        <w:t xml:space="preserve"> z</w:t>
      </w:r>
      <w:r w:rsidR="008B35E8">
        <w:rPr>
          <w:noProof/>
        </w:rPr>
        <w:t> </w:t>
      </w:r>
      <w:r w:rsidR="008B35E8" w:rsidRPr="002866E5">
        <w:rPr>
          <w:noProof/>
        </w:rPr>
        <w:t>zas</w:t>
      </w:r>
      <w:r w:rsidR="00FC6DD1" w:rsidRPr="002866E5">
        <w:rPr>
          <w:noProof/>
        </w:rPr>
        <w:t>adniczymi wymogami określonymi</w:t>
      </w:r>
      <w:r w:rsidR="008B35E8" w:rsidRPr="002866E5">
        <w:rPr>
          <w:noProof/>
        </w:rPr>
        <w:t xml:space="preserve"> w</w:t>
      </w:r>
      <w:r w:rsidR="008B35E8">
        <w:rPr>
          <w:noProof/>
        </w:rPr>
        <w:t> </w:t>
      </w:r>
      <w:r w:rsidR="008B35E8" w:rsidRPr="002866E5">
        <w:rPr>
          <w:noProof/>
        </w:rPr>
        <w:t>sek</w:t>
      </w:r>
      <w:r w:rsidR="00FC6DD1" w:rsidRPr="002866E5">
        <w:rPr>
          <w:noProof/>
        </w:rPr>
        <w:t>cji 2 załącznika I, uznaje się za spełniające wymogi dotyczące cyberbezpieczeństwa określone</w:t>
      </w:r>
      <w:r w:rsidR="008B35E8" w:rsidRPr="002866E5">
        <w:rPr>
          <w:noProof/>
        </w:rPr>
        <w:t xml:space="preserve"> w</w:t>
      </w:r>
      <w:r w:rsidR="008B35E8">
        <w:rPr>
          <w:noProof/>
        </w:rPr>
        <w:t> </w:t>
      </w:r>
      <w:r w:rsidR="008B35E8" w:rsidRPr="002866E5">
        <w:rPr>
          <w:noProof/>
        </w:rPr>
        <w:t>art</w:t>
      </w:r>
      <w:r w:rsidR="00FC6DD1" w:rsidRPr="002866E5">
        <w:rPr>
          <w:noProof/>
        </w:rPr>
        <w:t>. [</w:t>
      </w:r>
      <w:r w:rsidR="00FC6DD1" w:rsidRPr="008B35E8">
        <w:rPr>
          <w:noProof/>
        </w:rPr>
        <w:t>art.</w:t>
      </w:r>
      <w:r w:rsidR="008B35E8" w:rsidRPr="008B35E8">
        <w:rPr>
          <w:noProof/>
        </w:rPr>
        <w:t> </w:t>
      </w:r>
      <w:r w:rsidR="00FC6DD1" w:rsidRPr="008B35E8">
        <w:rPr>
          <w:noProof/>
        </w:rPr>
        <w:t>1</w:t>
      </w:r>
      <w:r w:rsidR="00FC6DD1" w:rsidRPr="002866E5">
        <w:rPr>
          <w:noProof/>
        </w:rPr>
        <w:t>5] rozporządzenia [rozporządzenia</w:t>
      </w:r>
      <w:r w:rsidR="008B35E8" w:rsidRPr="002866E5">
        <w:rPr>
          <w:noProof/>
        </w:rPr>
        <w:t xml:space="preserve"> w</w:t>
      </w:r>
      <w:r w:rsidR="008B35E8">
        <w:rPr>
          <w:noProof/>
        </w:rPr>
        <w:t> </w:t>
      </w:r>
      <w:r w:rsidR="008B35E8" w:rsidRPr="002866E5">
        <w:rPr>
          <w:noProof/>
        </w:rPr>
        <w:t>spr</w:t>
      </w:r>
      <w:r w:rsidR="00FC6DD1" w:rsidRPr="002866E5">
        <w:rPr>
          <w:noProof/>
        </w:rPr>
        <w:t>awie sztucznej inteligencji], bez uszczerbku dla innych wymogów dotyczących dokładności</w:t>
      </w:r>
      <w:r w:rsidR="008B35E8" w:rsidRPr="002866E5">
        <w:rPr>
          <w:noProof/>
        </w:rPr>
        <w:t xml:space="preserve"> i</w:t>
      </w:r>
      <w:r w:rsidR="008B35E8">
        <w:rPr>
          <w:noProof/>
        </w:rPr>
        <w:t> </w:t>
      </w:r>
      <w:r w:rsidR="008B35E8" w:rsidRPr="002866E5">
        <w:rPr>
          <w:noProof/>
        </w:rPr>
        <w:t>sol</w:t>
      </w:r>
      <w:r w:rsidR="00FC6DD1" w:rsidRPr="002866E5">
        <w:rPr>
          <w:noProof/>
        </w:rPr>
        <w:t>idności zawartych</w:t>
      </w:r>
      <w:r w:rsidR="008B35E8" w:rsidRPr="002866E5">
        <w:rPr>
          <w:noProof/>
        </w:rPr>
        <w:t xml:space="preserve"> w</w:t>
      </w:r>
      <w:r w:rsidR="008B35E8">
        <w:rPr>
          <w:noProof/>
        </w:rPr>
        <w:t> </w:t>
      </w:r>
      <w:r w:rsidR="008B35E8" w:rsidRPr="002866E5">
        <w:rPr>
          <w:noProof/>
        </w:rPr>
        <w:t>wyż</w:t>
      </w:r>
      <w:r w:rsidR="00FC6DD1" w:rsidRPr="002866E5">
        <w:rPr>
          <w:noProof/>
        </w:rPr>
        <w:t>ej wymienionym artykule oraz</w:t>
      </w:r>
      <w:r w:rsidR="008B35E8" w:rsidRPr="002866E5">
        <w:rPr>
          <w:noProof/>
        </w:rPr>
        <w:t xml:space="preserve"> w</w:t>
      </w:r>
      <w:r w:rsidR="008B35E8">
        <w:rPr>
          <w:noProof/>
        </w:rPr>
        <w:t> </w:t>
      </w:r>
      <w:r w:rsidR="008B35E8" w:rsidRPr="002866E5">
        <w:rPr>
          <w:noProof/>
        </w:rPr>
        <w:t>zak</w:t>
      </w:r>
      <w:r w:rsidR="00FC6DD1" w:rsidRPr="002866E5">
        <w:rPr>
          <w:noProof/>
        </w:rPr>
        <w:t>resie,</w:t>
      </w:r>
      <w:r w:rsidR="008B35E8" w:rsidRPr="002866E5">
        <w:rPr>
          <w:noProof/>
        </w:rPr>
        <w:t xml:space="preserve"> w</w:t>
      </w:r>
      <w:r w:rsidR="008B35E8">
        <w:rPr>
          <w:noProof/>
        </w:rPr>
        <w:t> </w:t>
      </w:r>
      <w:r w:rsidR="008B35E8" w:rsidRPr="002866E5">
        <w:rPr>
          <w:noProof/>
        </w:rPr>
        <w:t>jak</w:t>
      </w:r>
      <w:r w:rsidR="00FC6DD1" w:rsidRPr="002866E5">
        <w:rPr>
          <w:noProof/>
        </w:rPr>
        <w:t>im osiągnięcie poziomu ochrony określonego</w:t>
      </w:r>
      <w:r w:rsidR="008B35E8" w:rsidRPr="002866E5">
        <w:rPr>
          <w:noProof/>
        </w:rPr>
        <w:t xml:space="preserve"> w</w:t>
      </w:r>
      <w:r w:rsidR="008B35E8">
        <w:rPr>
          <w:noProof/>
        </w:rPr>
        <w:t> </w:t>
      </w:r>
      <w:r w:rsidR="008B35E8" w:rsidRPr="002866E5">
        <w:rPr>
          <w:noProof/>
        </w:rPr>
        <w:t>tyc</w:t>
      </w:r>
      <w:r w:rsidR="00FC6DD1" w:rsidRPr="002866E5">
        <w:rPr>
          <w:noProof/>
        </w:rPr>
        <w:t>h wymogach wykazano</w:t>
      </w:r>
      <w:r w:rsidR="008B35E8" w:rsidRPr="002866E5">
        <w:rPr>
          <w:noProof/>
        </w:rPr>
        <w:t xml:space="preserve"> w</w:t>
      </w:r>
      <w:r w:rsidR="008B35E8">
        <w:rPr>
          <w:noProof/>
        </w:rPr>
        <w:t> </w:t>
      </w:r>
      <w:r w:rsidR="008B35E8" w:rsidRPr="002866E5">
        <w:rPr>
          <w:noProof/>
        </w:rPr>
        <w:t>dek</w:t>
      </w:r>
      <w:r w:rsidR="00FC6DD1" w:rsidRPr="002866E5">
        <w:rPr>
          <w:noProof/>
        </w:rPr>
        <w:t xml:space="preserve">laracji zgodności UE wydanej na podstawie niniejszego rozporządzenia. </w:t>
      </w:r>
    </w:p>
    <w:p w14:paraId="67ED8772" w14:textId="0053D90B" w:rsidR="006A5001" w:rsidRPr="002866E5" w:rsidRDefault="00B4087C" w:rsidP="00B4087C">
      <w:pPr>
        <w:pStyle w:val="ManualNumPar1"/>
        <w:rPr>
          <w:noProof/>
        </w:rPr>
      </w:pPr>
      <w:r w:rsidRPr="00B4087C">
        <w:t>2.</w:t>
      </w:r>
      <w:r w:rsidRPr="00B4087C">
        <w:tab/>
      </w:r>
      <w:r w:rsidR="00FC6DD1" w:rsidRPr="002866E5">
        <w:rPr>
          <w:noProof/>
        </w:rPr>
        <w:t>W przypadku produktów</w:t>
      </w:r>
      <w:r w:rsidR="008B35E8" w:rsidRPr="002866E5">
        <w:rPr>
          <w:noProof/>
        </w:rPr>
        <w:t xml:space="preserve"> i</w:t>
      </w:r>
      <w:r w:rsidR="008B35E8">
        <w:rPr>
          <w:noProof/>
        </w:rPr>
        <w:t> </w:t>
      </w:r>
      <w:r w:rsidR="008B35E8" w:rsidRPr="002866E5">
        <w:rPr>
          <w:noProof/>
        </w:rPr>
        <w:t>wym</w:t>
      </w:r>
      <w:r w:rsidR="00FC6DD1" w:rsidRPr="002866E5">
        <w:rPr>
          <w:noProof/>
        </w:rPr>
        <w:t>ogów cyberbezpieczeństwa,</w:t>
      </w:r>
      <w:r w:rsidR="008B35E8" w:rsidRPr="002866E5">
        <w:rPr>
          <w:noProof/>
        </w:rPr>
        <w:t xml:space="preserve"> o</w:t>
      </w:r>
      <w:r w:rsidR="008B35E8">
        <w:rPr>
          <w:noProof/>
        </w:rPr>
        <w:t> </w:t>
      </w:r>
      <w:r w:rsidR="008B35E8" w:rsidRPr="002866E5">
        <w:rPr>
          <w:noProof/>
        </w:rPr>
        <w:t>któ</w:t>
      </w:r>
      <w:r w:rsidR="00FC6DD1" w:rsidRPr="002866E5">
        <w:rPr>
          <w:noProof/>
        </w:rPr>
        <w:t>rych mowa</w:t>
      </w:r>
      <w:r w:rsidR="008B35E8" w:rsidRPr="002866E5">
        <w:rPr>
          <w:noProof/>
        </w:rPr>
        <w:t xml:space="preserve"> w</w:t>
      </w:r>
      <w:r w:rsidR="008B35E8">
        <w:rPr>
          <w:noProof/>
        </w:rPr>
        <w:t> </w:t>
      </w:r>
      <w:r w:rsidR="008B35E8" w:rsidRPr="008B35E8">
        <w:rPr>
          <w:noProof/>
        </w:rPr>
        <w:t>ust</w:t>
      </w:r>
      <w:r w:rsidR="00FC6DD1" w:rsidRPr="008B35E8">
        <w:rPr>
          <w:noProof/>
        </w:rPr>
        <w:t>.</w:t>
      </w:r>
      <w:r w:rsidR="008B35E8" w:rsidRPr="008B35E8">
        <w:rPr>
          <w:noProof/>
        </w:rPr>
        <w:t> </w:t>
      </w:r>
      <w:r w:rsidR="00FC6DD1" w:rsidRPr="008B35E8">
        <w:rPr>
          <w:noProof/>
        </w:rPr>
        <w:t>1</w:t>
      </w:r>
      <w:r w:rsidR="00FC6DD1" w:rsidRPr="002866E5">
        <w:rPr>
          <w:noProof/>
        </w:rPr>
        <w:t>, stosuje się odpowiednią procedurę oceny zgodności wymaganą na mocy art. [</w:t>
      </w:r>
      <w:r w:rsidR="00FC6DD1" w:rsidRPr="008B35E8">
        <w:rPr>
          <w:noProof/>
        </w:rPr>
        <w:t>art.</w:t>
      </w:r>
      <w:r w:rsidR="008B35E8" w:rsidRPr="008B35E8">
        <w:rPr>
          <w:noProof/>
        </w:rPr>
        <w:t> </w:t>
      </w:r>
      <w:r w:rsidR="00FC6DD1" w:rsidRPr="008B35E8">
        <w:rPr>
          <w:noProof/>
        </w:rPr>
        <w:t>4</w:t>
      </w:r>
      <w:r w:rsidR="00FC6DD1" w:rsidRPr="002866E5">
        <w:rPr>
          <w:noProof/>
        </w:rPr>
        <w:t>3] rozporządzenia [rozporządzenia</w:t>
      </w:r>
      <w:r w:rsidR="008B35E8" w:rsidRPr="002866E5">
        <w:rPr>
          <w:noProof/>
        </w:rPr>
        <w:t xml:space="preserve"> w</w:t>
      </w:r>
      <w:r w:rsidR="008B35E8">
        <w:rPr>
          <w:noProof/>
        </w:rPr>
        <w:t> </w:t>
      </w:r>
      <w:r w:rsidR="008B35E8" w:rsidRPr="002866E5">
        <w:rPr>
          <w:noProof/>
        </w:rPr>
        <w:t>spr</w:t>
      </w:r>
      <w:r w:rsidR="00FC6DD1" w:rsidRPr="002866E5">
        <w:rPr>
          <w:noProof/>
        </w:rPr>
        <w:t>awie sztucznej inteligencji]. Do celów tej oceny jednostki notyfikowane, które są uprawnione do kontroli zgodności systemów sztucznej inteligencji wysokiego ryzyka zgodnie</w:t>
      </w:r>
      <w:r w:rsidR="008B35E8" w:rsidRPr="002866E5">
        <w:rPr>
          <w:noProof/>
        </w:rPr>
        <w:t xml:space="preserve"> z</w:t>
      </w:r>
      <w:r w:rsidR="008B35E8">
        <w:rPr>
          <w:noProof/>
        </w:rPr>
        <w:t> </w:t>
      </w:r>
      <w:r w:rsidR="008B35E8" w:rsidRPr="002866E5">
        <w:rPr>
          <w:noProof/>
        </w:rPr>
        <w:t>roz</w:t>
      </w:r>
      <w:r w:rsidR="00FC6DD1" w:rsidRPr="002866E5">
        <w:rPr>
          <w:noProof/>
        </w:rPr>
        <w:t>porządzeniem [rozporządzeniem</w:t>
      </w:r>
      <w:r w:rsidR="008B35E8" w:rsidRPr="002866E5">
        <w:rPr>
          <w:noProof/>
        </w:rPr>
        <w:t xml:space="preserve"> w</w:t>
      </w:r>
      <w:r w:rsidR="008B35E8">
        <w:rPr>
          <w:noProof/>
        </w:rPr>
        <w:t> </w:t>
      </w:r>
      <w:r w:rsidR="008B35E8" w:rsidRPr="002866E5">
        <w:rPr>
          <w:noProof/>
        </w:rPr>
        <w:t>spr</w:t>
      </w:r>
      <w:r w:rsidR="00FC6DD1" w:rsidRPr="002866E5">
        <w:rPr>
          <w:noProof/>
        </w:rPr>
        <w:t>awie sztucznej inteligencji], są również uprawnione do kontroli zgodności systemów sztucznej inteligencji wysokiego ryzyka objętych zakresem niniejszego rozporządzenia</w:t>
      </w:r>
      <w:r w:rsidR="008B35E8" w:rsidRPr="002866E5">
        <w:rPr>
          <w:noProof/>
        </w:rPr>
        <w:t xml:space="preserve"> z</w:t>
      </w:r>
      <w:r w:rsidR="008B35E8">
        <w:rPr>
          <w:noProof/>
        </w:rPr>
        <w:t> </w:t>
      </w:r>
      <w:r w:rsidR="008B35E8" w:rsidRPr="002866E5">
        <w:rPr>
          <w:noProof/>
        </w:rPr>
        <w:t>wym</w:t>
      </w:r>
      <w:r w:rsidR="00FC6DD1" w:rsidRPr="002866E5">
        <w:rPr>
          <w:noProof/>
        </w:rPr>
        <w:t>ogami określonymi</w:t>
      </w:r>
      <w:r w:rsidR="008B35E8" w:rsidRPr="002866E5">
        <w:rPr>
          <w:noProof/>
        </w:rPr>
        <w:t xml:space="preserve"> w</w:t>
      </w:r>
      <w:r w:rsidR="008B35E8">
        <w:rPr>
          <w:noProof/>
        </w:rPr>
        <w:t> </w:t>
      </w:r>
      <w:r w:rsidR="008B35E8" w:rsidRPr="002866E5">
        <w:rPr>
          <w:noProof/>
        </w:rPr>
        <w:t>zał</w:t>
      </w:r>
      <w:r w:rsidR="00FC6DD1" w:rsidRPr="002866E5">
        <w:rPr>
          <w:noProof/>
        </w:rPr>
        <w:t>ączniku I do niniejszego rozporządzenia, pod warunkiem że zgodność tych jednostek notyfikowanych</w:t>
      </w:r>
      <w:r w:rsidR="008B35E8" w:rsidRPr="002866E5">
        <w:rPr>
          <w:noProof/>
        </w:rPr>
        <w:t xml:space="preserve"> z</w:t>
      </w:r>
      <w:r w:rsidR="008B35E8">
        <w:rPr>
          <w:noProof/>
        </w:rPr>
        <w:t> </w:t>
      </w:r>
      <w:r w:rsidR="008B35E8" w:rsidRPr="002866E5">
        <w:rPr>
          <w:noProof/>
        </w:rPr>
        <w:t>wym</w:t>
      </w:r>
      <w:r w:rsidR="00FC6DD1" w:rsidRPr="002866E5">
        <w:rPr>
          <w:noProof/>
        </w:rPr>
        <w:t>ogami określonymi</w:t>
      </w:r>
      <w:r w:rsidR="008B35E8" w:rsidRPr="002866E5">
        <w:rPr>
          <w:noProof/>
        </w:rPr>
        <w:t xml:space="preserve"> w</w:t>
      </w:r>
      <w:r w:rsidR="008B35E8">
        <w:rPr>
          <w:noProof/>
        </w:rPr>
        <w:t> </w:t>
      </w:r>
      <w:r w:rsidR="008B35E8" w:rsidRPr="008B35E8">
        <w:rPr>
          <w:noProof/>
        </w:rPr>
        <w:t>art</w:t>
      </w:r>
      <w:r w:rsidR="00FC6DD1" w:rsidRPr="008B35E8">
        <w:rPr>
          <w:noProof/>
        </w:rPr>
        <w:t>.</w:t>
      </w:r>
      <w:r w:rsidR="008B35E8" w:rsidRPr="008B35E8">
        <w:rPr>
          <w:noProof/>
        </w:rPr>
        <w:t> </w:t>
      </w:r>
      <w:r w:rsidR="00FC6DD1" w:rsidRPr="008B35E8">
        <w:rPr>
          <w:noProof/>
        </w:rPr>
        <w:t>2</w:t>
      </w:r>
      <w:r w:rsidR="00FC6DD1" w:rsidRPr="002866E5">
        <w:rPr>
          <w:noProof/>
        </w:rPr>
        <w:t>9 niniejszego rozporządzenia oceniono</w:t>
      </w:r>
      <w:r w:rsidR="008B35E8" w:rsidRPr="002866E5">
        <w:rPr>
          <w:noProof/>
        </w:rPr>
        <w:t xml:space="preserve"> w</w:t>
      </w:r>
      <w:r w:rsidR="008B35E8">
        <w:rPr>
          <w:noProof/>
        </w:rPr>
        <w:t> </w:t>
      </w:r>
      <w:r w:rsidR="008B35E8" w:rsidRPr="002866E5">
        <w:rPr>
          <w:noProof/>
        </w:rPr>
        <w:t>kon</w:t>
      </w:r>
      <w:r w:rsidR="00FC6DD1" w:rsidRPr="002866E5">
        <w:rPr>
          <w:noProof/>
        </w:rPr>
        <w:t>tekście procedury notyfikacyjnej zgodnie</w:t>
      </w:r>
      <w:r w:rsidR="008B35E8" w:rsidRPr="002866E5">
        <w:rPr>
          <w:noProof/>
        </w:rPr>
        <w:t xml:space="preserve"> z</w:t>
      </w:r>
      <w:r w:rsidR="008B35E8">
        <w:rPr>
          <w:noProof/>
        </w:rPr>
        <w:t> </w:t>
      </w:r>
      <w:r w:rsidR="008B35E8" w:rsidRPr="002866E5">
        <w:rPr>
          <w:noProof/>
        </w:rPr>
        <w:t>roz</w:t>
      </w:r>
      <w:r w:rsidR="00FC6DD1" w:rsidRPr="002866E5">
        <w:rPr>
          <w:noProof/>
        </w:rPr>
        <w:t>porządzeniem [rozporządzeniem</w:t>
      </w:r>
      <w:r w:rsidR="008B35E8" w:rsidRPr="002866E5">
        <w:rPr>
          <w:noProof/>
        </w:rPr>
        <w:t xml:space="preserve"> w</w:t>
      </w:r>
      <w:r w:rsidR="008B35E8">
        <w:rPr>
          <w:noProof/>
        </w:rPr>
        <w:t> </w:t>
      </w:r>
      <w:r w:rsidR="008B35E8" w:rsidRPr="002866E5">
        <w:rPr>
          <w:noProof/>
        </w:rPr>
        <w:t>spr</w:t>
      </w:r>
      <w:r w:rsidR="00FC6DD1" w:rsidRPr="002866E5">
        <w:rPr>
          <w:noProof/>
        </w:rPr>
        <w:t xml:space="preserve">awie sztucznej inteligencji]. </w:t>
      </w:r>
    </w:p>
    <w:p w14:paraId="67ED8773" w14:textId="1875F565" w:rsidR="00FC6DD1" w:rsidRPr="002866E5" w:rsidRDefault="00B4087C" w:rsidP="00B4087C">
      <w:pPr>
        <w:pStyle w:val="ManualNumPar1"/>
        <w:rPr>
          <w:noProof/>
        </w:rPr>
      </w:pPr>
      <w:r w:rsidRPr="00B4087C">
        <w:t>3.</w:t>
      </w:r>
      <w:r w:rsidRPr="00B4087C">
        <w:tab/>
      </w:r>
      <w:r w:rsidR="00FC6DD1" w:rsidRPr="002866E5">
        <w:rPr>
          <w:noProof/>
        </w:rPr>
        <w:t xml:space="preserve">Na zasadzie odstępstwa od </w:t>
      </w:r>
      <w:r w:rsidR="00FC6DD1" w:rsidRPr="008B35E8">
        <w:rPr>
          <w:noProof/>
        </w:rPr>
        <w:t>ust.</w:t>
      </w:r>
      <w:r w:rsidR="008B35E8" w:rsidRPr="008B35E8">
        <w:rPr>
          <w:noProof/>
        </w:rPr>
        <w:t> </w:t>
      </w:r>
      <w:r w:rsidR="00FC6DD1" w:rsidRPr="008B35E8">
        <w:rPr>
          <w:noProof/>
        </w:rPr>
        <w:t>2</w:t>
      </w:r>
      <w:r w:rsidR="00FC6DD1" w:rsidRPr="002866E5">
        <w:rPr>
          <w:noProof/>
        </w:rPr>
        <w:t xml:space="preserve"> produkty krytyczne</w:t>
      </w:r>
      <w:r w:rsidR="008B35E8" w:rsidRPr="002866E5">
        <w:rPr>
          <w:noProof/>
        </w:rPr>
        <w:t xml:space="preserve"> z</w:t>
      </w:r>
      <w:r w:rsidR="008B35E8">
        <w:rPr>
          <w:noProof/>
        </w:rPr>
        <w:t> </w:t>
      </w:r>
      <w:r w:rsidR="008B35E8" w:rsidRPr="002866E5">
        <w:rPr>
          <w:noProof/>
        </w:rPr>
        <w:t>ele</w:t>
      </w:r>
      <w:r w:rsidR="00FC6DD1" w:rsidRPr="002866E5">
        <w:rPr>
          <w:noProof/>
        </w:rPr>
        <w:t>mentami cyfrowymi wymienione</w:t>
      </w:r>
      <w:r w:rsidR="008B35E8" w:rsidRPr="002866E5">
        <w:rPr>
          <w:noProof/>
        </w:rPr>
        <w:t xml:space="preserve"> w</w:t>
      </w:r>
      <w:r w:rsidR="008B35E8">
        <w:rPr>
          <w:noProof/>
        </w:rPr>
        <w:t> </w:t>
      </w:r>
      <w:r w:rsidR="008B35E8" w:rsidRPr="002866E5">
        <w:rPr>
          <w:noProof/>
        </w:rPr>
        <w:t>zał</w:t>
      </w:r>
      <w:r w:rsidR="00FC6DD1" w:rsidRPr="002866E5">
        <w:rPr>
          <w:noProof/>
        </w:rPr>
        <w:t>ączniku III do niniejszego rozporządzenia, które muszą być objęte procedurami oceny zgodności,</w:t>
      </w:r>
      <w:r w:rsidR="008B35E8" w:rsidRPr="002866E5">
        <w:rPr>
          <w:noProof/>
        </w:rPr>
        <w:t xml:space="preserve"> o</w:t>
      </w:r>
      <w:r w:rsidR="008B35E8">
        <w:rPr>
          <w:noProof/>
        </w:rPr>
        <w:t> </w:t>
      </w:r>
      <w:r w:rsidR="008B35E8" w:rsidRPr="002866E5">
        <w:rPr>
          <w:noProof/>
        </w:rPr>
        <w:t>któ</w:t>
      </w:r>
      <w:r w:rsidR="00FC6DD1" w:rsidRPr="002866E5">
        <w:rPr>
          <w:noProof/>
        </w:rPr>
        <w:t>rych mowa</w:t>
      </w:r>
      <w:r w:rsidR="008B35E8" w:rsidRPr="002866E5">
        <w:rPr>
          <w:noProof/>
        </w:rPr>
        <w:t xml:space="preserve"> w</w:t>
      </w:r>
      <w:r w:rsidR="008B35E8">
        <w:rPr>
          <w:noProof/>
        </w:rPr>
        <w:t> </w:t>
      </w:r>
      <w:r w:rsidR="008B35E8" w:rsidRPr="008B35E8">
        <w:rPr>
          <w:noProof/>
        </w:rPr>
        <w:t>art</w:t>
      </w:r>
      <w:r w:rsidR="00FC6DD1" w:rsidRPr="008B35E8">
        <w:rPr>
          <w:noProof/>
        </w:rPr>
        <w:t>.</w:t>
      </w:r>
      <w:r w:rsidR="008B35E8" w:rsidRPr="008B35E8">
        <w:rPr>
          <w:noProof/>
        </w:rPr>
        <w:t> </w:t>
      </w:r>
      <w:r w:rsidR="00FC6DD1" w:rsidRPr="008B35E8">
        <w:rPr>
          <w:noProof/>
        </w:rPr>
        <w:t>2</w:t>
      </w:r>
      <w:r w:rsidR="00FC6DD1" w:rsidRPr="002866E5">
        <w:rPr>
          <w:noProof/>
        </w:rPr>
        <w:t xml:space="preserve">4 </w:t>
      </w:r>
      <w:r w:rsidR="00FC6DD1" w:rsidRPr="008B35E8">
        <w:rPr>
          <w:noProof/>
        </w:rPr>
        <w:t>ust.</w:t>
      </w:r>
      <w:r w:rsidR="008B35E8" w:rsidRPr="008B35E8">
        <w:rPr>
          <w:noProof/>
        </w:rPr>
        <w:t> </w:t>
      </w:r>
      <w:r w:rsidR="00FC6DD1" w:rsidRPr="008B35E8">
        <w:rPr>
          <w:noProof/>
        </w:rPr>
        <w:t>2</w:t>
      </w:r>
      <w:r w:rsidR="00FC6DD1" w:rsidRPr="002866E5">
        <w:rPr>
          <w:noProof/>
        </w:rPr>
        <w:t xml:space="preserve"> </w:t>
      </w:r>
      <w:r w:rsidR="00FC6DD1" w:rsidRPr="008B35E8">
        <w:rPr>
          <w:noProof/>
        </w:rPr>
        <w:t>lit.</w:t>
      </w:r>
      <w:r w:rsidR="008B35E8" w:rsidRPr="008B35E8">
        <w:rPr>
          <w:noProof/>
        </w:rPr>
        <w:t> </w:t>
      </w:r>
      <w:r w:rsidR="00FC6DD1" w:rsidRPr="008B35E8">
        <w:rPr>
          <w:noProof/>
        </w:rPr>
        <w:t>a)</w:t>
      </w:r>
      <w:r w:rsidR="00FC6DD1" w:rsidRPr="002866E5">
        <w:rPr>
          <w:noProof/>
        </w:rPr>
        <w:t xml:space="preserve"> i b) oraz </w:t>
      </w:r>
      <w:r w:rsidR="00FC6DD1" w:rsidRPr="008B35E8">
        <w:rPr>
          <w:noProof/>
        </w:rPr>
        <w:t>art.</w:t>
      </w:r>
      <w:r w:rsidR="008B35E8" w:rsidRPr="008B35E8">
        <w:rPr>
          <w:noProof/>
        </w:rPr>
        <w:t> </w:t>
      </w:r>
      <w:r w:rsidR="00FC6DD1" w:rsidRPr="008B35E8">
        <w:rPr>
          <w:noProof/>
        </w:rPr>
        <w:t>2</w:t>
      </w:r>
      <w:r w:rsidR="00FC6DD1" w:rsidRPr="002866E5">
        <w:rPr>
          <w:noProof/>
        </w:rPr>
        <w:t xml:space="preserve">4 </w:t>
      </w:r>
      <w:r w:rsidR="00FC6DD1" w:rsidRPr="008B35E8">
        <w:rPr>
          <w:noProof/>
        </w:rPr>
        <w:t>ust.</w:t>
      </w:r>
      <w:r w:rsidR="008B35E8" w:rsidRPr="008B35E8">
        <w:rPr>
          <w:noProof/>
        </w:rPr>
        <w:t> </w:t>
      </w:r>
      <w:r w:rsidR="00FC6DD1" w:rsidRPr="008B35E8">
        <w:rPr>
          <w:noProof/>
        </w:rPr>
        <w:t>3</w:t>
      </w:r>
      <w:r w:rsidR="00FC6DD1" w:rsidRPr="002866E5">
        <w:rPr>
          <w:noProof/>
        </w:rPr>
        <w:t xml:space="preserve"> </w:t>
      </w:r>
      <w:r w:rsidR="00FC6DD1" w:rsidRPr="008B35E8">
        <w:rPr>
          <w:noProof/>
        </w:rPr>
        <w:t>lit.</w:t>
      </w:r>
      <w:r w:rsidR="008B35E8" w:rsidRPr="008B35E8">
        <w:rPr>
          <w:noProof/>
        </w:rPr>
        <w:t> </w:t>
      </w:r>
      <w:r w:rsidR="00FC6DD1" w:rsidRPr="008B35E8">
        <w:rPr>
          <w:noProof/>
        </w:rPr>
        <w:t>a)</w:t>
      </w:r>
      <w:r w:rsidR="00FC6DD1" w:rsidRPr="002866E5">
        <w:rPr>
          <w:noProof/>
        </w:rPr>
        <w:t xml:space="preserve"> i b) niniejszego rozporządzenia,</w:t>
      </w:r>
      <w:r w:rsidR="008B35E8" w:rsidRPr="002866E5">
        <w:rPr>
          <w:noProof/>
        </w:rPr>
        <w:t xml:space="preserve"> i</w:t>
      </w:r>
      <w:r w:rsidR="008B35E8">
        <w:rPr>
          <w:noProof/>
        </w:rPr>
        <w:t> </w:t>
      </w:r>
      <w:r w:rsidR="008B35E8" w:rsidRPr="002866E5">
        <w:rPr>
          <w:noProof/>
        </w:rPr>
        <w:t>któ</w:t>
      </w:r>
      <w:r w:rsidR="00FC6DD1" w:rsidRPr="002866E5">
        <w:rPr>
          <w:noProof/>
        </w:rPr>
        <w:t>re są również sklasyfikowane jako systemy sztucznej inteligencji wysokiego ryzyka zgodnie</w:t>
      </w:r>
      <w:r w:rsidR="008B35E8" w:rsidRPr="002866E5">
        <w:rPr>
          <w:noProof/>
        </w:rPr>
        <w:t xml:space="preserve"> z</w:t>
      </w:r>
      <w:r w:rsidR="008B35E8">
        <w:rPr>
          <w:noProof/>
        </w:rPr>
        <w:t> </w:t>
      </w:r>
      <w:r w:rsidR="008B35E8" w:rsidRPr="002866E5">
        <w:rPr>
          <w:noProof/>
        </w:rPr>
        <w:t>art</w:t>
      </w:r>
      <w:r w:rsidR="00FC6DD1" w:rsidRPr="002866E5">
        <w:rPr>
          <w:noProof/>
        </w:rPr>
        <w:t>. [</w:t>
      </w:r>
      <w:r w:rsidR="00FC6DD1" w:rsidRPr="008B35E8">
        <w:rPr>
          <w:noProof/>
        </w:rPr>
        <w:t>art.</w:t>
      </w:r>
      <w:r w:rsidR="008B35E8" w:rsidRPr="008B35E8">
        <w:rPr>
          <w:noProof/>
        </w:rPr>
        <w:t> </w:t>
      </w:r>
      <w:r w:rsidR="00FC6DD1" w:rsidRPr="008B35E8">
        <w:rPr>
          <w:noProof/>
        </w:rPr>
        <w:t>6</w:t>
      </w:r>
      <w:r w:rsidR="00FC6DD1" w:rsidRPr="002866E5">
        <w:rPr>
          <w:noProof/>
        </w:rPr>
        <w:t>] rozporządzenia [rozporządzenia</w:t>
      </w:r>
      <w:r w:rsidR="008B35E8" w:rsidRPr="002866E5">
        <w:rPr>
          <w:noProof/>
        </w:rPr>
        <w:t xml:space="preserve"> w</w:t>
      </w:r>
      <w:r w:rsidR="008B35E8">
        <w:rPr>
          <w:noProof/>
        </w:rPr>
        <w:t> </w:t>
      </w:r>
      <w:r w:rsidR="008B35E8" w:rsidRPr="002866E5">
        <w:rPr>
          <w:noProof/>
        </w:rPr>
        <w:t>spr</w:t>
      </w:r>
      <w:r w:rsidR="00FC6DD1" w:rsidRPr="002866E5">
        <w:rPr>
          <w:noProof/>
        </w:rPr>
        <w:t>awie sztucznej inteligencji] i do których stosuje się procedurę oceny zgodności opierającą się na kontroli wewnętrznej,</w:t>
      </w:r>
      <w:r w:rsidR="008B35E8" w:rsidRPr="002866E5">
        <w:rPr>
          <w:noProof/>
        </w:rPr>
        <w:t xml:space="preserve"> o</w:t>
      </w:r>
      <w:r w:rsidR="008B35E8">
        <w:rPr>
          <w:noProof/>
        </w:rPr>
        <w:t> </w:t>
      </w:r>
      <w:r w:rsidR="008B35E8" w:rsidRPr="002866E5">
        <w:rPr>
          <w:noProof/>
        </w:rPr>
        <w:t>któ</w:t>
      </w:r>
      <w:r w:rsidR="00FC6DD1" w:rsidRPr="002866E5">
        <w:rPr>
          <w:noProof/>
        </w:rPr>
        <w:t>rej mowa</w:t>
      </w:r>
      <w:r w:rsidR="008B35E8" w:rsidRPr="002866E5">
        <w:rPr>
          <w:noProof/>
        </w:rPr>
        <w:t xml:space="preserve"> w</w:t>
      </w:r>
      <w:r w:rsidR="008B35E8">
        <w:rPr>
          <w:noProof/>
        </w:rPr>
        <w:t> </w:t>
      </w:r>
      <w:r w:rsidR="008B35E8" w:rsidRPr="002866E5">
        <w:rPr>
          <w:noProof/>
        </w:rPr>
        <w:t>zał</w:t>
      </w:r>
      <w:r w:rsidR="00FC6DD1" w:rsidRPr="002866E5">
        <w:rPr>
          <w:noProof/>
        </w:rPr>
        <w:t>ączniku [załączniku VI] do rozporządzenia [rozporządzenia</w:t>
      </w:r>
      <w:r w:rsidR="008B35E8" w:rsidRPr="002866E5">
        <w:rPr>
          <w:noProof/>
        </w:rPr>
        <w:t xml:space="preserve"> w</w:t>
      </w:r>
      <w:r w:rsidR="008B35E8">
        <w:rPr>
          <w:noProof/>
        </w:rPr>
        <w:t> </w:t>
      </w:r>
      <w:r w:rsidR="008B35E8" w:rsidRPr="002866E5">
        <w:rPr>
          <w:noProof/>
        </w:rPr>
        <w:t>spr</w:t>
      </w:r>
      <w:r w:rsidR="00FC6DD1" w:rsidRPr="002866E5">
        <w:rPr>
          <w:noProof/>
        </w:rPr>
        <w:t>awie sztucznej inteligencji], podlegają procedurom oceny zgodności wymaganym zgodnie</w:t>
      </w:r>
      <w:r w:rsidR="008B35E8" w:rsidRPr="002866E5">
        <w:rPr>
          <w:noProof/>
        </w:rPr>
        <w:t xml:space="preserve"> z</w:t>
      </w:r>
      <w:r w:rsidR="008B35E8">
        <w:rPr>
          <w:noProof/>
        </w:rPr>
        <w:t> </w:t>
      </w:r>
      <w:r w:rsidR="008B35E8" w:rsidRPr="002866E5">
        <w:rPr>
          <w:noProof/>
        </w:rPr>
        <w:t>nin</w:t>
      </w:r>
      <w:r w:rsidR="00FC6DD1" w:rsidRPr="002866E5">
        <w:rPr>
          <w:noProof/>
        </w:rPr>
        <w:t>iejszym rozporządzeniem</w:t>
      </w:r>
      <w:r w:rsidR="008B35E8" w:rsidRPr="002866E5">
        <w:rPr>
          <w:noProof/>
        </w:rPr>
        <w:t xml:space="preserve"> w</w:t>
      </w:r>
      <w:r w:rsidR="008B35E8">
        <w:rPr>
          <w:noProof/>
        </w:rPr>
        <w:t> </w:t>
      </w:r>
      <w:r w:rsidR="008B35E8" w:rsidRPr="002866E5">
        <w:rPr>
          <w:noProof/>
        </w:rPr>
        <w:t>zak</w:t>
      </w:r>
      <w:r w:rsidR="00FC6DD1" w:rsidRPr="002866E5">
        <w:rPr>
          <w:noProof/>
        </w:rPr>
        <w:t>resie,</w:t>
      </w:r>
      <w:r w:rsidR="008B35E8" w:rsidRPr="002866E5">
        <w:rPr>
          <w:noProof/>
        </w:rPr>
        <w:t xml:space="preserve"> w</w:t>
      </w:r>
      <w:r w:rsidR="008B35E8">
        <w:rPr>
          <w:noProof/>
        </w:rPr>
        <w:t> </w:t>
      </w:r>
      <w:r w:rsidR="008B35E8" w:rsidRPr="002866E5">
        <w:rPr>
          <w:noProof/>
        </w:rPr>
        <w:t>jak</w:t>
      </w:r>
      <w:r w:rsidR="00FC6DD1" w:rsidRPr="002866E5">
        <w:rPr>
          <w:noProof/>
        </w:rPr>
        <w:t xml:space="preserve">im dotyczy to zasadniczych wymogów niniejszego rozporządzenia. </w:t>
      </w:r>
    </w:p>
    <w:p w14:paraId="67ED8774" w14:textId="262927E3" w:rsidR="00690D48" w:rsidRPr="002866E5" w:rsidRDefault="009650F4" w:rsidP="00C86872">
      <w:pPr>
        <w:pStyle w:val="Titrearticle0"/>
        <w:rPr>
          <w:noProof/>
        </w:rPr>
      </w:pPr>
      <w:r w:rsidRPr="002866E5">
        <w:rPr>
          <w:noProof/>
        </w:rPr>
        <w:t>Artykuł 9</w:t>
      </w:r>
    </w:p>
    <w:p w14:paraId="67ED8775" w14:textId="77777777" w:rsidR="009650F4" w:rsidRPr="002866E5" w:rsidRDefault="00FC6DD1" w:rsidP="00F55C4D">
      <w:pPr>
        <w:jc w:val="center"/>
        <w:rPr>
          <w:i/>
          <w:noProof/>
        </w:rPr>
      </w:pPr>
      <w:r w:rsidRPr="002866E5">
        <w:rPr>
          <w:i/>
          <w:noProof/>
        </w:rPr>
        <w:t>Produkty maszynowe</w:t>
      </w:r>
    </w:p>
    <w:p w14:paraId="67ED8776" w14:textId="0BA8607F" w:rsidR="00A821DA" w:rsidRPr="002866E5" w:rsidRDefault="007353B9" w:rsidP="000A6E88">
      <w:pPr>
        <w:pStyle w:val="Text1"/>
        <w:ind w:left="0"/>
        <w:rPr>
          <w:noProof/>
        </w:rPr>
      </w:pPr>
      <w:r w:rsidRPr="002866E5">
        <w:rPr>
          <w:noProof/>
        </w:rPr>
        <w:t>Produkty maszynowe objęte zakresem rozporządzenia [wniosku dotyczącego rozporządzenia</w:t>
      </w:r>
      <w:r w:rsidR="008B35E8" w:rsidRPr="002866E5">
        <w:rPr>
          <w:noProof/>
        </w:rPr>
        <w:t xml:space="preserve"> w</w:t>
      </w:r>
      <w:r w:rsidR="008B35E8">
        <w:rPr>
          <w:noProof/>
        </w:rPr>
        <w:t> </w:t>
      </w:r>
      <w:r w:rsidR="008B35E8" w:rsidRPr="002866E5">
        <w:rPr>
          <w:noProof/>
        </w:rPr>
        <w:t>spr</w:t>
      </w:r>
      <w:r w:rsidRPr="002866E5">
        <w:rPr>
          <w:noProof/>
        </w:rPr>
        <w:t>awie maszyn], które są produktami</w:t>
      </w:r>
      <w:r w:rsidR="008B35E8" w:rsidRPr="002866E5">
        <w:rPr>
          <w:noProof/>
        </w:rPr>
        <w:t xml:space="preserve"> z</w:t>
      </w:r>
      <w:r w:rsidR="008B35E8">
        <w:rPr>
          <w:noProof/>
        </w:rPr>
        <w:t> </w:t>
      </w:r>
      <w:r w:rsidR="008B35E8" w:rsidRPr="002866E5">
        <w:rPr>
          <w:noProof/>
        </w:rPr>
        <w:t>ele</w:t>
      </w:r>
      <w:r w:rsidRPr="002866E5">
        <w:rPr>
          <w:noProof/>
        </w:rPr>
        <w:t>mentami cyfrowymi</w:t>
      </w:r>
      <w:r w:rsidR="008B35E8" w:rsidRPr="002866E5">
        <w:rPr>
          <w:noProof/>
        </w:rPr>
        <w:t xml:space="preserve"> w</w:t>
      </w:r>
      <w:r w:rsidR="008B35E8">
        <w:rPr>
          <w:noProof/>
        </w:rPr>
        <w:t> </w:t>
      </w:r>
      <w:r w:rsidR="008B35E8" w:rsidRPr="002866E5">
        <w:rPr>
          <w:noProof/>
        </w:rPr>
        <w:t>roz</w:t>
      </w:r>
      <w:r w:rsidRPr="002866E5">
        <w:rPr>
          <w:noProof/>
        </w:rPr>
        <w:t>umieniu niniejszego rozporządzenia</w:t>
      </w:r>
      <w:r w:rsidR="008B35E8" w:rsidRPr="002866E5">
        <w:rPr>
          <w:noProof/>
        </w:rPr>
        <w:t xml:space="preserve"> i</w:t>
      </w:r>
      <w:r w:rsidR="008B35E8">
        <w:rPr>
          <w:noProof/>
        </w:rPr>
        <w:t> </w:t>
      </w:r>
      <w:r w:rsidR="008B35E8" w:rsidRPr="002866E5">
        <w:rPr>
          <w:noProof/>
        </w:rPr>
        <w:t>w</w:t>
      </w:r>
      <w:r w:rsidR="008B35E8">
        <w:rPr>
          <w:noProof/>
        </w:rPr>
        <w:t> </w:t>
      </w:r>
      <w:r w:rsidR="008B35E8" w:rsidRPr="002866E5">
        <w:rPr>
          <w:noProof/>
        </w:rPr>
        <w:t>odn</w:t>
      </w:r>
      <w:r w:rsidRPr="002866E5">
        <w:rPr>
          <w:noProof/>
        </w:rPr>
        <w:t>iesieniu do których wydano deklarację zgodności UE na podstawie niniejszego rozporządzenia, uznaje się za zgodne</w:t>
      </w:r>
      <w:r w:rsidR="008B35E8" w:rsidRPr="002866E5">
        <w:rPr>
          <w:noProof/>
        </w:rPr>
        <w:t xml:space="preserve"> z</w:t>
      </w:r>
      <w:r w:rsidR="008B35E8">
        <w:rPr>
          <w:noProof/>
        </w:rPr>
        <w:t> </w:t>
      </w:r>
      <w:r w:rsidR="008B35E8" w:rsidRPr="002866E5">
        <w:rPr>
          <w:noProof/>
        </w:rPr>
        <w:t>zas</w:t>
      </w:r>
      <w:r w:rsidRPr="002866E5">
        <w:rPr>
          <w:noProof/>
        </w:rPr>
        <w:t>adniczymi wymaganiami</w:t>
      </w:r>
      <w:r w:rsidR="008B35E8" w:rsidRPr="002866E5">
        <w:rPr>
          <w:noProof/>
        </w:rPr>
        <w:t xml:space="preserve"> w</w:t>
      </w:r>
      <w:r w:rsidR="008B35E8">
        <w:rPr>
          <w:noProof/>
        </w:rPr>
        <w:t> </w:t>
      </w:r>
      <w:r w:rsidR="008B35E8" w:rsidRPr="002866E5">
        <w:rPr>
          <w:noProof/>
        </w:rPr>
        <w:t>zak</w:t>
      </w:r>
      <w:r w:rsidRPr="002866E5">
        <w:rPr>
          <w:noProof/>
        </w:rPr>
        <w:t>resie ochrony zdrowia</w:t>
      </w:r>
      <w:r w:rsidR="008B35E8" w:rsidRPr="002866E5">
        <w:rPr>
          <w:noProof/>
        </w:rPr>
        <w:t xml:space="preserve"> i</w:t>
      </w:r>
      <w:r w:rsidR="008B35E8">
        <w:rPr>
          <w:noProof/>
        </w:rPr>
        <w:t> </w:t>
      </w:r>
      <w:r w:rsidR="008B35E8" w:rsidRPr="002866E5">
        <w:rPr>
          <w:noProof/>
        </w:rPr>
        <w:t>bez</w:t>
      </w:r>
      <w:r w:rsidRPr="002866E5">
        <w:rPr>
          <w:noProof/>
        </w:rPr>
        <w:t>pieczeństwa określonymi</w:t>
      </w:r>
      <w:r w:rsidR="008B35E8" w:rsidRPr="002866E5">
        <w:rPr>
          <w:noProof/>
        </w:rPr>
        <w:t xml:space="preserve"> w</w:t>
      </w:r>
      <w:r w:rsidR="008B35E8">
        <w:rPr>
          <w:noProof/>
        </w:rPr>
        <w:t> </w:t>
      </w:r>
      <w:r w:rsidR="008B35E8" w:rsidRPr="002866E5">
        <w:rPr>
          <w:noProof/>
        </w:rPr>
        <w:t>zał</w:t>
      </w:r>
      <w:r w:rsidRPr="002866E5">
        <w:rPr>
          <w:noProof/>
        </w:rPr>
        <w:t>ączniku [sekcjach 1.1.9</w:t>
      </w:r>
      <w:r w:rsidR="008B35E8" w:rsidRPr="002866E5">
        <w:rPr>
          <w:noProof/>
        </w:rPr>
        <w:t xml:space="preserve"> i</w:t>
      </w:r>
      <w:r w:rsidR="008B35E8">
        <w:rPr>
          <w:noProof/>
        </w:rPr>
        <w:t> </w:t>
      </w:r>
      <w:r w:rsidR="008B35E8" w:rsidRPr="002866E5">
        <w:rPr>
          <w:noProof/>
        </w:rPr>
        <w:t>1</w:t>
      </w:r>
      <w:r w:rsidRPr="002866E5">
        <w:rPr>
          <w:noProof/>
        </w:rPr>
        <w:t>.2.1 załącznika III] do rozporządzenia [wniosku dotyczącego rozporządzenia</w:t>
      </w:r>
      <w:r w:rsidR="008B35E8" w:rsidRPr="002866E5">
        <w:rPr>
          <w:noProof/>
        </w:rPr>
        <w:t xml:space="preserve"> w</w:t>
      </w:r>
      <w:r w:rsidR="008B35E8">
        <w:rPr>
          <w:noProof/>
        </w:rPr>
        <w:t> </w:t>
      </w:r>
      <w:r w:rsidR="008B35E8" w:rsidRPr="002866E5">
        <w:rPr>
          <w:noProof/>
        </w:rPr>
        <w:t>spr</w:t>
      </w:r>
      <w:r w:rsidRPr="002866E5">
        <w:rPr>
          <w:noProof/>
        </w:rPr>
        <w:t>awie maszyn]</w:t>
      </w:r>
      <w:r w:rsidR="008B35E8" w:rsidRPr="002866E5">
        <w:rPr>
          <w:noProof/>
        </w:rPr>
        <w:t xml:space="preserve"> w</w:t>
      </w:r>
      <w:r w:rsidR="008B35E8">
        <w:rPr>
          <w:noProof/>
        </w:rPr>
        <w:t> </w:t>
      </w:r>
      <w:r w:rsidR="008B35E8" w:rsidRPr="002866E5">
        <w:rPr>
          <w:noProof/>
        </w:rPr>
        <w:t>odn</w:t>
      </w:r>
      <w:r w:rsidRPr="002866E5">
        <w:rPr>
          <w:noProof/>
        </w:rPr>
        <w:t>iesieniu do zabezpieczenia przed uszkodzeniem oraz bezpieczeństwa</w:t>
      </w:r>
      <w:r w:rsidR="008B35E8" w:rsidRPr="002866E5">
        <w:rPr>
          <w:noProof/>
        </w:rPr>
        <w:t xml:space="preserve"> i</w:t>
      </w:r>
      <w:r w:rsidR="008B35E8">
        <w:rPr>
          <w:noProof/>
        </w:rPr>
        <w:t> </w:t>
      </w:r>
      <w:r w:rsidR="008B35E8" w:rsidRPr="002866E5">
        <w:rPr>
          <w:noProof/>
        </w:rPr>
        <w:t>nie</w:t>
      </w:r>
      <w:r w:rsidRPr="002866E5">
        <w:rPr>
          <w:noProof/>
        </w:rPr>
        <w:t>zawodności układów sterowania oraz</w:t>
      </w:r>
      <w:r w:rsidR="008B35E8" w:rsidRPr="002866E5">
        <w:rPr>
          <w:noProof/>
        </w:rPr>
        <w:t xml:space="preserve"> w</w:t>
      </w:r>
      <w:r w:rsidR="008B35E8">
        <w:rPr>
          <w:noProof/>
        </w:rPr>
        <w:t> </w:t>
      </w:r>
      <w:r w:rsidR="008B35E8" w:rsidRPr="002866E5">
        <w:rPr>
          <w:noProof/>
        </w:rPr>
        <w:t>zak</w:t>
      </w:r>
      <w:r w:rsidRPr="002866E5">
        <w:rPr>
          <w:noProof/>
        </w:rPr>
        <w:t>resie,</w:t>
      </w:r>
      <w:r w:rsidR="008B35E8" w:rsidRPr="002866E5">
        <w:rPr>
          <w:noProof/>
        </w:rPr>
        <w:t xml:space="preserve"> w</w:t>
      </w:r>
      <w:r w:rsidR="008B35E8">
        <w:rPr>
          <w:noProof/>
        </w:rPr>
        <w:t> </w:t>
      </w:r>
      <w:r w:rsidR="008B35E8" w:rsidRPr="002866E5">
        <w:rPr>
          <w:noProof/>
        </w:rPr>
        <w:t>jak</w:t>
      </w:r>
      <w:r w:rsidRPr="002866E5">
        <w:rPr>
          <w:noProof/>
        </w:rPr>
        <w:t>im osiągnięcie poziomu ochrony przewidzianego</w:t>
      </w:r>
      <w:r w:rsidR="008B35E8" w:rsidRPr="002866E5">
        <w:rPr>
          <w:noProof/>
        </w:rPr>
        <w:t xml:space="preserve"> w</w:t>
      </w:r>
      <w:r w:rsidR="008B35E8">
        <w:rPr>
          <w:noProof/>
        </w:rPr>
        <w:t> </w:t>
      </w:r>
      <w:r w:rsidR="008B35E8" w:rsidRPr="002866E5">
        <w:rPr>
          <w:noProof/>
        </w:rPr>
        <w:t>tyc</w:t>
      </w:r>
      <w:r w:rsidRPr="002866E5">
        <w:rPr>
          <w:noProof/>
        </w:rPr>
        <w:t>h wymaganiach wykazano</w:t>
      </w:r>
      <w:r w:rsidR="008B35E8" w:rsidRPr="002866E5">
        <w:rPr>
          <w:noProof/>
        </w:rPr>
        <w:t xml:space="preserve"> w</w:t>
      </w:r>
      <w:r w:rsidR="008B35E8">
        <w:rPr>
          <w:noProof/>
        </w:rPr>
        <w:t> </w:t>
      </w:r>
      <w:r w:rsidR="008B35E8" w:rsidRPr="002866E5">
        <w:rPr>
          <w:noProof/>
        </w:rPr>
        <w:t>dek</w:t>
      </w:r>
      <w:r w:rsidRPr="002866E5">
        <w:rPr>
          <w:noProof/>
        </w:rPr>
        <w:t>laracji zgodności UE wydanej na podstawie niniejszego rozporządzenia.</w:t>
      </w:r>
    </w:p>
    <w:p w14:paraId="67ED8777" w14:textId="77777777" w:rsidR="00105BD1" w:rsidRPr="002866E5" w:rsidRDefault="0055391A" w:rsidP="00C86872">
      <w:pPr>
        <w:pStyle w:val="Titrearticle0"/>
        <w:rPr>
          <w:b/>
          <w:i w:val="0"/>
          <w:noProof/>
        </w:rPr>
      </w:pPr>
      <w:r w:rsidRPr="002866E5">
        <w:rPr>
          <w:b/>
          <w:i w:val="0"/>
          <w:noProof/>
        </w:rPr>
        <w:lastRenderedPageBreak/>
        <w:t xml:space="preserve">ROZDZIAŁ II </w:t>
      </w:r>
    </w:p>
    <w:p w14:paraId="67ED8778" w14:textId="77777777" w:rsidR="0055391A" w:rsidRPr="002866E5" w:rsidRDefault="0055391A" w:rsidP="00C86872">
      <w:pPr>
        <w:pStyle w:val="Titrearticle0"/>
        <w:rPr>
          <w:b/>
          <w:i w:val="0"/>
          <w:noProof/>
        </w:rPr>
      </w:pPr>
      <w:r w:rsidRPr="002866E5">
        <w:rPr>
          <w:b/>
          <w:i w:val="0"/>
          <w:noProof/>
        </w:rPr>
        <w:t>OBOWIĄZKI PODMIOTÓW GOSPODARCZYCH</w:t>
      </w:r>
    </w:p>
    <w:p w14:paraId="67ED8779" w14:textId="13EBF5FA" w:rsidR="00BB10BC" w:rsidRPr="002866E5" w:rsidRDefault="00B34EB6" w:rsidP="00C86872">
      <w:pPr>
        <w:pStyle w:val="Titrearticle0"/>
        <w:rPr>
          <w:noProof/>
        </w:rPr>
      </w:pPr>
      <w:r w:rsidRPr="002866E5">
        <w:rPr>
          <w:noProof/>
        </w:rPr>
        <w:t>Artykuł 10</w:t>
      </w:r>
    </w:p>
    <w:p w14:paraId="67ED877A" w14:textId="77777777" w:rsidR="00BB10BC" w:rsidRPr="002866E5" w:rsidRDefault="00BB10BC" w:rsidP="00F55C4D">
      <w:pPr>
        <w:jc w:val="center"/>
        <w:rPr>
          <w:i/>
          <w:noProof/>
        </w:rPr>
      </w:pPr>
      <w:r w:rsidRPr="002866E5">
        <w:rPr>
          <w:i/>
          <w:noProof/>
        </w:rPr>
        <w:t>Obowiązki producentów</w:t>
      </w:r>
    </w:p>
    <w:p w14:paraId="67ED877B" w14:textId="18413409" w:rsidR="00882283" w:rsidRPr="002866E5" w:rsidRDefault="00B4087C" w:rsidP="00B4087C">
      <w:pPr>
        <w:pStyle w:val="ManualNumPar1"/>
        <w:rPr>
          <w:noProof/>
        </w:rPr>
      </w:pPr>
      <w:r w:rsidRPr="00B4087C">
        <w:t>1.</w:t>
      </w:r>
      <w:r w:rsidRPr="00B4087C">
        <w:tab/>
      </w:r>
      <w:r w:rsidR="00053BA7" w:rsidRPr="002866E5">
        <w:rPr>
          <w:noProof/>
        </w:rPr>
        <w:t>Wprowadzając produkt</w:t>
      </w:r>
      <w:r w:rsidR="008B35E8" w:rsidRPr="002866E5">
        <w:rPr>
          <w:noProof/>
        </w:rPr>
        <w:t xml:space="preserve"> z</w:t>
      </w:r>
      <w:r w:rsidR="008B35E8">
        <w:rPr>
          <w:noProof/>
        </w:rPr>
        <w:t> </w:t>
      </w:r>
      <w:r w:rsidR="008B35E8" w:rsidRPr="002866E5">
        <w:rPr>
          <w:noProof/>
        </w:rPr>
        <w:t>ele</w:t>
      </w:r>
      <w:r w:rsidR="00053BA7" w:rsidRPr="002866E5">
        <w:rPr>
          <w:noProof/>
        </w:rPr>
        <w:t>mentami cyfrowymi do obrotu, producenci zapewniają, aby został on zaprojektowany, opracowany</w:t>
      </w:r>
      <w:r w:rsidR="008B35E8" w:rsidRPr="002866E5">
        <w:rPr>
          <w:noProof/>
        </w:rPr>
        <w:t xml:space="preserve"> i</w:t>
      </w:r>
      <w:r w:rsidR="008B35E8">
        <w:rPr>
          <w:noProof/>
        </w:rPr>
        <w:t> </w:t>
      </w:r>
      <w:r w:rsidR="008B35E8" w:rsidRPr="002866E5">
        <w:rPr>
          <w:noProof/>
        </w:rPr>
        <w:t>wyp</w:t>
      </w:r>
      <w:r w:rsidR="00053BA7" w:rsidRPr="002866E5">
        <w:rPr>
          <w:noProof/>
        </w:rPr>
        <w:t>rodukowany zgodnie</w:t>
      </w:r>
      <w:r w:rsidR="008B35E8" w:rsidRPr="002866E5">
        <w:rPr>
          <w:noProof/>
        </w:rPr>
        <w:t xml:space="preserve"> z</w:t>
      </w:r>
      <w:r w:rsidR="008B35E8">
        <w:rPr>
          <w:noProof/>
        </w:rPr>
        <w:t> </w:t>
      </w:r>
      <w:r w:rsidR="008B35E8" w:rsidRPr="002866E5">
        <w:rPr>
          <w:noProof/>
        </w:rPr>
        <w:t>zas</w:t>
      </w:r>
      <w:r w:rsidR="00053BA7" w:rsidRPr="002866E5">
        <w:rPr>
          <w:noProof/>
        </w:rPr>
        <w:t>adniczymi wymogami określonymi</w:t>
      </w:r>
      <w:r w:rsidR="008B35E8" w:rsidRPr="002866E5">
        <w:rPr>
          <w:noProof/>
        </w:rPr>
        <w:t xml:space="preserve"> w</w:t>
      </w:r>
      <w:r w:rsidR="008B35E8">
        <w:rPr>
          <w:noProof/>
        </w:rPr>
        <w:t> </w:t>
      </w:r>
      <w:r w:rsidR="008B35E8" w:rsidRPr="002866E5">
        <w:rPr>
          <w:noProof/>
        </w:rPr>
        <w:t>sek</w:t>
      </w:r>
      <w:r w:rsidR="00053BA7" w:rsidRPr="002866E5">
        <w:rPr>
          <w:noProof/>
        </w:rPr>
        <w:t>cji 1 załącznika I.</w:t>
      </w:r>
    </w:p>
    <w:p w14:paraId="67ED877C" w14:textId="2A0B8D87" w:rsidR="00F23C08" w:rsidRPr="002866E5" w:rsidRDefault="00B4087C" w:rsidP="00B4087C">
      <w:pPr>
        <w:pStyle w:val="ManualNumPar1"/>
        <w:rPr>
          <w:noProof/>
        </w:rPr>
      </w:pPr>
      <w:r w:rsidRPr="00B4087C">
        <w:t>2.</w:t>
      </w:r>
      <w:r w:rsidRPr="00B4087C">
        <w:tab/>
      </w:r>
      <w:r w:rsidR="00767524" w:rsidRPr="002866E5">
        <w:rPr>
          <w:noProof/>
        </w:rPr>
        <w:t>Aby spełnić obowiązek określony</w:t>
      </w:r>
      <w:r w:rsidR="008B35E8" w:rsidRPr="002866E5">
        <w:rPr>
          <w:noProof/>
        </w:rPr>
        <w:t xml:space="preserve"> w</w:t>
      </w:r>
      <w:r w:rsidR="008B35E8">
        <w:rPr>
          <w:noProof/>
        </w:rPr>
        <w:t> </w:t>
      </w:r>
      <w:r w:rsidR="008B35E8" w:rsidRPr="008B35E8">
        <w:rPr>
          <w:noProof/>
        </w:rPr>
        <w:t>ust</w:t>
      </w:r>
      <w:r w:rsidR="00767524" w:rsidRPr="008B35E8">
        <w:rPr>
          <w:noProof/>
        </w:rPr>
        <w:t>.</w:t>
      </w:r>
      <w:r w:rsidR="008B35E8" w:rsidRPr="008B35E8">
        <w:rPr>
          <w:noProof/>
        </w:rPr>
        <w:t> </w:t>
      </w:r>
      <w:r w:rsidR="00767524" w:rsidRPr="008B35E8">
        <w:rPr>
          <w:noProof/>
        </w:rPr>
        <w:t>1</w:t>
      </w:r>
      <w:r w:rsidR="00767524" w:rsidRPr="002866E5">
        <w:rPr>
          <w:noProof/>
        </w:rPr>
        <w:t>, producenci przeprowadzają ocenę ryzyka</w:t>
      </w:r>
      <w:r w:rsidR="008B35E8" w:rsidRPr="002866E5">
        <w:rPr>
          <w:noProof/>
        </w:rPr>
        <w:t xml:space="preserve"> w</w:t>
      </w:r>
      <w:r w:rsidR="008B35E8">
        <w:rPr>
          <w:noProof/>
        </w:rPr>
        <w:t> </w:t>
      </w:r>
      <w:r w:rsidR="008B35E8" w:rsidRPr="002866E5">
        <w:rPr>
          <w:noProof/>
        </w:rPr>
        <w:t>cyb</w:t>
      </w:r>
      <w:r w:rsidR="00767524" w:rsidRPr="002866E5">
        <w:rPr>
          <w:noProof/>
        </w:rPr>
        <w:t>erprzestrzeni związanego</w:t>
      </w:r>
      <w:r w:rsidR="008B35E8" w:rsidRPr="002866E5">
        <w:rPr>
          <w:noProof/>
        </w:rPr>
        <w:t xml:space="preserve"> z</w:t>
      </w:r>
      <w:r w:rsidR="008B35E8">
        <w:rPr>
          <w:noProof/>
        </w:rPr>
        <w:t> </w:t>
      </w:r>
      <w:r w:rsidR="008B35E8" w:rsidRPr="002866E5">
        <w:rPr>
          <w:noProof/>
        </w:rPr>
        <w:t>pro</w:t>
      </w:r>
      <w:r w:rsidR="00767524" w:rsidRPr="002866E5">
        <w:rPr>
          <w:noProof/>
        </w:rPr>
        <w:t>duktem</w:t>
      </w:r>
      <w:r w:rsidR="008B35E8" w:rsidRPr="002866E5">
        <w:rPr>
          <w:noProof/>
        </w:rPr>
        <w:t xml:space="preserve"> z</w:t>
      </w:r>
      <w:r w:rsidR="008B35E8">
        <w:rPr>
          <w:noProof/>
        </w:rPr>
        <w:t> </w:t>
      </w:r>
      <w:r w:rsidR="008B35E8" w:rsidRPr="002866E5">
        <w:rPr>
          <w:noProof/>
        </w:rPr>
        <w:t>ele</w:t>
      </w:r>
      <w:r w:rsidR="00767524" w:rsidRPr="002866E5">
        <w:rPr>
          <w:noProof/>
        </w:rPr>
        <w:t>mentami cyfrowymi</w:t>
      </w:r>
      <w:r w:rsidR="008B35E8" w:rsidRPr="002866E5">
        <w:rPr>
          <w:noProof/>
        </w:rPr>
        <w:t xml:space="preserve"> i</w:t>
      </w:r>
      <w:r w:rsidR="008B35E8">
        <w:rPr>
          <w:noProof/>
        </w:rPr>
        <w:t> </w:t>
      </w:r>
      <w:r w:rsidR="008B35E8" w:rsidRPr="002866E5">
        <w:rPr>
          <w:noProof/>
        </w:rPr>
        <w:t>uwz</w:t>
      </w:r>
      <w:r w:rsidR="00767524" w:rsidRPr="002866E5">
        <w:rPr>
          <w:noProof/>
        </w:rPr>
        <w:t>ględniają wynik tej oceny na etapie planowania, projektowania, opracowywania, produkcji, dostarczania</w:t>
      </w:r>
      <w:r w:rsidR="008B35E8" w:rsidRPr="002866E5">
        <w:rPr>
          <w:noProof/>
        </w:rPr>
        <w:t xml:space="preserve"> i</w:t>
      </w:r>
      <w:r w:rsidR="008B35E8">
        <w:rPr>
          <w:noProof/>
        </w:rPr>
        <w:t> </w:t>
      </w:r>
      <w:r w:rsidR="008B35E8" w:rsidRPr="002866E5">
        <w:rPr>
          <w:noProof/>
        </w:rPr>
        <w:t>utr</w:t>
      </w:r>
      <w:r w:rsidR="00767524" w:rsidRPr="002866E5">
        <w:rPr>
          <w:noProof/>
        </w:rPr>
        <w:t>zymania produktu</w:t>
      </w:r>
      <w:r w:rsidR="008B35E8" w:rsidRPr="002866E5">
        <w:rPr>
          <w:noProof/>
        </w:rPr>
        <w:t xml:space="preserve"> z</w:t>
      </w:r>
      <w:r w:rsidR="008B35E8">
        <w:rPr>
          <w:noProof/>
        </w:rPr>
        <w:t> </w:t>
      </w:r>
      <w:r w:rsidR="008B35E8" w:rsidRPr="002866E5">
        <w:rPr>
          <w:noProof/>
        </w:rPr>
        <w:t>ele</w:t>
      </w:r>
      <w:r w:rsidR="00767524" w:rsidRPr="002866E5">
        <w:rPr>
          <w:noProof/>
        </w:rPr>
        <w:t>mentami cyfrowymi</w:t>
      </w:r>
      <w:r w:rsidR="008B35E8" w:rsidRPr="002866E5">
        <w:rPr>
          <w:noProof/>
        </w:rPr>
        <w:t xml:space="preserve"> w</w:t>
      </w:r>
      <w:r w:rsidR="008B35E8">
        <w:rPr>
          <w:noProof/>
        </w:rPr>
        <w:t> </w:t>
      </w:r>
      <w:r w:rsidR="008B35E8" w:rsidRPr="002866E5">
        <w:rPr>
          <w:noProof/>
        </w:rPr>
        <w:t>cel</w:t>
      </w:r>
      <w:r w:rsidR="00767524" w:rsidRPr="002866E5">
        <w:rPr>
          <w:noProof/>
        </w:rPr>
        <w:t>u zminimalizowania ryzyka</w:t>
      </w:r>
      <w:r w:rsidR="008B35E8" w:rsidRPr="002866E5">
        <w:rPr>
          <w:noProof/>
        </w:rPr>
        <w:t xml:space="preserve"> w</w:t>
      </w:r>
      <w:r w:rsidR="008B35E8">
        <w:rPr>
          <w:noProof/>
        </w:rPr>
        <w:t> </w:t>
      </w:r>
      <w:r w:rsidR="008B35E8" w:rsidRPr="002866E5">
        <w:rPr>
          <w:noProof/>
        </w:rPr>
        <w:t>cyb</w:t>
      </w:r>
      <w:r w:rsidR="00767524" w:rsidRPr="002866E5">
        <w:rPr>
          <w:noProof/>
        </w:rPr>
        <w:t>erprzestrzeni, zapobiegania incydentom</w:t>
      </w:r>
      <w:r w:rsidR="008B35E8" w:rsidRPr="002866E5">
        <w:rPr>
          <w:noProof/>
        </w:rPr>
        <w:t xml:space="preserve"> i</w:t>
      </w:r>
      <w:r w:rsidR="008B35E8">
        <w:rPr>
          <w:noProof/>
        </w:rPr>
        <w:t> </w:t>
      </w:r>
      <w:r w:rsidR="008B35E8" w:rsidRPr="002866E5">
        <w:rPr>
          <w:noProof/>
        </w:rPr>
        <w:t>zmi</w:t>
      </w:r>
      <w:r w:rsidR="00767524" w:rsidRPr="002866E5">
        <w:rPr>
          <w:noProof/>
        </w:rPr>
        <w:t>nimalizowania skutków takich incydentów,</w:t>
      </w:r>
      <w:r w:rsidR="008B35E8" w:rsidRPr="002866E5">
        <w:rPr>
          <w:noProof/>
        </w:rPr>
        <w:t xml:space="preserve"> w</w:t>
      </w:r>
      <w:r w:rsidR="008B35E8">
        <w:rPr>
          <w:noProof/>
        </w:rPr>
        <w:t> </w:t>
      </w:r>
      <w:r w:rsidR="008B35E8" w:rsidRPr="002866E5">
        <w:rPr>
          <w:noProof/>
        </w:rPr>
        <w:t>tym w</w:t>
      </w:r>
      <w:r w:rsidR="008B35E8">
        <w:rPr>
          <w:noProof/>
        </w:rPr>
        <w:t> </w:t>
      </w:r>
      <w:r w:rsidR="008B35E8" w:rsidRPr="002866E5">
        <w:rPr>
          <w:noProof/>
        </w:rPr>
        <w:t>odn</w:t>
      </w:r>
      <w:r w:rsidR="00767524" w:rsidRPr="002866E5">
        <w:rPr>
          <w:noProof/>
        </w:rPr>
        <w:t>iesieniu do zdrowia</w:t>
      </w:r>
      <w:r w:rsidR="008B35E8" w:rsidRPr="002866E5">
        <w:rPr>
          <w:noProof/>
        </w:rPr>
        <w:t xml:space="preserve"> i</w:t>
      </w:r>
      <w:r w:rsidR="008B35E8">
        <w:rPr>
          <w:noProof/>
        </w:rPr>
        <w:t> </w:t>
      </w:r>
      <w:r w:rsidR="008B35E8" w:rsidRPr="002866E5">
        <w:rPr>
          <w:noProof/>
        </w:rPr>
        <w:t>bez</w:t>
      </w:r>
      <w:r w:rsidR="00767524" w:rsidRPr="002866E5">
        <w:rPr>
          <w:noProof/>
        </w:rPr>
        <w:t xml:space="preserve">pieczeństwa użytkowników. </w:t>
      </w:r>
    </w:p>
    <w:p w14:paraId="67ED877D" w14:textId="4DE6CB21" w:rsidR="00992874" w:rsidRPr="002866E5" w:rsidRDefault="00B4087C" w:rsidP="00B4087C">
      <w:pPr>
        <w:pStyle w:val="ManualNumPar1"/>
        <w:rPr>
          <w:noProof/>
        </w:rPr>
      </w:pPr>
      <w:r w:rsidRPr="00B4087C">
        <w:t>3.</w:t>
      </w:r>
      <w:r w:rsidRPr="00B4087C">
        <w:tab/>
      </w:r>
      <w:r w:rsidR="00992874" w:rsidRPr="002866E5">
        <w:rPr>
          <w:noProof/>
        </w:rPr>
        <w:t>Wprowadzając produkt</w:t>
      </w:r>
      <w:r w:rsidR="008B35E8" w:rsidRPr="002866E5">
        <w:rPr>
          <w:noProof/>
        </w:rPr>
        <w:t xml:space="preserve"> z</w:t>
      </w:r>
      <w:r w:rsidR="008B35E8">
        <w:rPr>
          <w:noProof/>
        </w:rPr>
        <w:t> </w:t>
      </w:r>
      <w:r w:rsidR="008B35E8" w:rsidRPr="002866E5">
        <w:rPr>
          <w:noProof/>
        </w:rPr>
        <w:t>ele</w:t>
      </w:r>
      <w:r w:rsidR="00992874" w:rsidRPr="002866E5">
        <w:rPr>
          <w:noProof/>
        </w:rPr>
        <w:t>mentami cyfrowymi do obrotu, producent włącza ocenę ryzyka</w:t>
      </w:r>
      <w:r w:rsidR="008B35E8" w:rsidRPr="002866E5">
        <w:rPr>
          <w:noProof/>
        </w:rPr>
        <w:t xml:space="preserve"> w</w:t>
      </w:r>
      <w:r w:rsidR="008B35E8">
        <w:rPr>
          <w:noProof/>
        </w:rPr>
        <w:t> </w:t>
      </w:r>
      <w:r w:rsidR="008B35E8" w:rsidRPr="002866E5">
        <w:rPr>
          <w:noProof/>
        </w:rPr>
        <w:t>cyb</w:t>
      </w:r>
      <w:r w:rsidR="00992874" w:rsidRPr="002866E5">
        <w:rPr>
          <w:noProof/>
        </w:rPr>
        <w:t>erprzestrzeni do dokumentacji technicznej określonej</w:t>
      </w:r>
      <w:r w:rsidR="008B35E8" w:rsidRPr="002866E5">
        <w:rPr>
          <w:noProof/>
        </w:rPr>
        <w:t xml:space="preserve"> w</w:t>
      </w:r>
      <w:r w:rsidR="008B35E8">
        <w:rPr>
          <w:noProof/>
        </w:rPr>
        <w:t> </w:t>
      </w:r>
      <w:r w:rsidR="008B35E8" w:rsidRPr="008B35E8">
        <w:rPr>
          <w:noProof/>
        </w:rPr>
        <w:t>art</w:t>
      </w:r>
      <w:r w:rsidR="00992874" w:rsidRPr="008B35E8">
        <w:rPr>
          <w:noProof/>
        </w:rPr>
        <w:t>.</w:t>
      </w:r>
      <w:r w:rsidR="008B35E8" w:rsidRPr="008B35E8">
        <w:rPr>
          <w:noProof/>
        </w:rPr>
        <w:t> </w:t>
      </w:r>
      <w:r w:rsidR="00992874" w:rsidRPr="008B35E8">
        <w:rPr>
          <w:noProof/>
        </w:rPr>
        <w:t>2</w:t>
      </w:r>
      <w:r w:rsidR="00992874" w:rsidRPr="002866E5">
        <w:rPr>
          <w:noProof/>
        </w:rPr>
        <w:t>3</w:t>
      </w:r>
      <w:r w:rsidR="008B35E8" w:rsidRPr="002866E5">
        <w:rPr>
          <w:noProof/>
        </w:rPr>
        <w:t xml:space="preserve"> i</w:t>
      </w:r>
      <w:r w:rsidR="008B35E8">
        <w:rPr>
          <w:noProof/>
        </w:rPr>
        <w:t> </w:t>
      </w:r>
      <w:r w:rsidR="008B35E8" w:rsidRPr="002866E5">
        <w:rPr>
          <w:noProof/>
        </w:rPr>
        <w:t>zał</w:t>
      </w:r>
      <w:r w:rsidR="00992874" w:rsidRPr="002866E5">
        <w:rPr>
          <w:noProof/>
        </w:rPr>
        <w:t>ączniku V</w:t>
      </w:r>
      <w:r w:rsidR="008B35E8" w:rsidRPr="002866E5">
        <w:rPr>
          <w:noProof/>
        </w:rPr>
        <w:t>. W</w:t>
      </w:r>
      <w:r w:rsidR="008B35E8">
        <w:rPr>
          <w:noProof/>
        </w:rPr>
        <w:t> </w:t>
      </w:r>
      <w:r w:rsidR="008B35E8" w:rsidRPr="002866E5">
        <w:rPr>
          <w:noProof/>
        </w:rPr>
        <w:t>prz</w:t>
      </w:r>
      <w:r w:rsidR="00992874" w:rsidRPr="002866E5">
        <w:rPr>
          <w:noProof/>
        </w:rPr>
        <w:t>ypadku produktów</w:t>
      </w:r>
      <w:r w:rsidR="008B35E8" w:rsidRPr="002866E5">
        <w:rPr>
          <w:noProof/>
        </w:rPr>
        <w:t xml:space="preserve"> z</w:t>
      </w:r>
      <w:r w:rsidR="008B35E8">
        <w:rPr>
          <w:noProof/>
        </w:rPr>
        <w:t> </w:t>
      </w:r>
      <w:r w:rsidR="008B35E8" w:rsidRPr="002866E5">
        <w:rPr>
          <w:noProof/>
        </w:rPr>
        <w:t>ele</w:t>
      </w:r>
      <w:r w:rsidR="00992874" w:rsidRPr="002866E5">
        <w:rPr>
          <w:noProof/>
        </w:rPr>
        <w:t>mentami cyfrowymi,</w:t>
      </w:r>
      <w:r w:rsidR="008B35E8" w:rsidRPr="002866E5">
        <w:rPr>
          <w:noProof/>
        </w:rPr>
        <w:t xml:space="preserve"> o</w:t>
      </w:r>
      <w:r w:rsidR="008B35E8">
        <w:rPr>
          <w:noProof/>
        </w:rPr>
        <w:t> </w:t>
      </w:r>
      <w:r w:rsidR="008B35E8" w:rsidRPr="002866E5">
        <w:rPr>
          <w:noProof/>
        </w:rPr>
        <w:t>któ</w:t>
      </w:r>
      <w:r w:rsidR="00992874" w:rsidRPr="002866E5">
        <w:rPr>
          <w:noProof/>
        </w:rPr>
        <w:t>rych mowa</w:t>
      </w:r>
      <w:r w:rsidR="008B35E8" w:rsidRPr="002866E5">
        <w:rPr>
          <w:noProof/>
        </w:rPr>
        <w:t xml:space="preserve"> w</w:t>
      </w:r>
      <w:r w:rsidR="008B35E8">
        <w:rPr>
          <w:noProof/>
        </w:rPr>
        <w:t> </w:t>
      </w:r>
      <w:r w:rsidR="008B35E8" w:rsidRPr="008B35E8">
        <w:rPr>
          <w:noProof/>
        </w:rPr>
        <w:t>art</w:t>
      </w:r>
      <w:r w:rsidR="00992874" w:rsidRPr="008B35E8">
        <w:rPr>
          <w:noProof/>
        </w:rPr>
        <w:t>.</w:t>
      </w:r>
      <w:r w:rsidR="008B35E8" w:rsidRPr="008B35E8">
        <w:rPr>
          <w:noProof/>
        </w:rPr>
        <w:t> </w:t>
      </w:r>
      <w:r w:rsidR="00992874" w:rsidRPr="008B35E8">
        <w:rPr>
          <w:noProof/>
        </w:rPr>
        <w:t>8</w:t>
      </w:r>
      <w:r w:rsidR="008B35E8" w:rsidRPr="002866E5">
        <w:rPr>
          <w:noProof/>
        </w:rPr>
        <w:t xml:space="preserve"> i</w:t>
      </w:r>
      <w:r w:rsidR="008B35E8">
        <w:rPr>
          <w:noProof/>
        </w:rPr>
        <w:t> </w:t>
      </w:r>
      <w:r w:rsidR="008B35E8" w:rsidRPr="008B35E8">
        <w:rPr>
          <w:noProof/>
        </w:rPr>
        <w:t>art</w:t>
      </w:r>
      <w:r w:rsidR="00992874" w:rsidRPr="008B35E8">
        <w:rPr>
          <w:noProof/>
        </w:rPr>
        <w:t>.</w:t>
      </w:r>
      <w:r w:rsidR="008B35E8" w:rsidRPr="008B35E8">
        <w:rPr>
          <w:noProof/>
        </w:rPr>
        <w:t> </w:t>
      </w:r>
      <w:r w:rsidR="00992874" w:rsidRPr="008B35E8">
        <w:rPr>
          <w:noProof/>
        </w:rPr>
        <w:t>2</w:t>
      </w:r>
      <w:r w:rsidR="00992874" w:rsidRPr="002866E5">
        <w:rPr>
          <w:noProof/>
        </w:rPr>
        <w:t xml:space="preserve">4 </w:t>
      </w:r>
      <w:r w:rsidR="00992874" w:rsidRPr="008B35E8">
        <w:rPr>
          <w:noProof/>
        </w:rPr>
        <w:t>ust.</w:t>
      </w:r>
      <w:r w:rsidR="008B35E8" w:rsidRPr="008B35E8">
        <w:rPr>
          <w:noProof/>
        </w:rPr>
        <w:t> </w:t>
      </w:r>
      <w:r w:rsidR="00992874" w:rsidRPr="008B35E8">
        <w:rPr>
          <w:noProof/>
        </w:rPr>
        <w:t>4</w:t>
      </w:r>
      <w:r w:rsidR="00992874" w:rsidRPr="002866E5">
        <w:rPr>
          <w:noProof/>
        </w:rPr>
        <w:t>, podlegających również innym aktom Unii, ocena ryzyka</w:t>
      </w:r>
      <w:r w:rsidR="008B35E8" w:rsidRPr="002866E5">
        <w:rPr>
          <w:noProof/>
        </w:rPr>
        <w:t xml:space="preserve"> w</w:t>
      </w:r>
      <w:r w:rsidR="008B35E8">
        <w:rPr>
          <w:noProof/>
        </w:rPr>
        <w:t> </w:t>
      </w:r>
      <w:r w:rsidR="008B35E8" w:rsidRPr="002866E5">
        <w:rPr>
          <w:noProof/>
        </w:rPr>
        <w:t>cyb</w:t>
      </w:r>
      <w:r w:rsidR="00992874" w:rsidRPr="002866E5">
        <w:rPr>
          <w:noProof/>
        </w:rPr>
        <w:t>erprzestrzeni może być częścią oceny ryzyka wymaganej na podstawie tych odpowiednich aktów Unii. Jeżeli niektóre zasadnicze wymogi nie mają zastosowania do wprowadzonego do obrotu produktu</w:t>
      </w:r>
      <w:r w:rsidR="008B35E8" w:rsidRPr="002866E5">
        <w:rPr>
          <w:noProof/>
        </w:rPr>
        <w:t xml:space="preserve"> z</w:t>
      </w:r>
      <w:r w:rsidR="008B35E8">
        <w:rPr>
          <w:noProof/>
        </w:rPr>
        <w:t> </w:t>
      </w:r>
      <w:r w:rsidR="008B35E8" w:rsidRPr="002866E5">
        <w:rPr>
          <w:noProof/>
        </w:rPr>
        <w:t>ele</w:t>
      </w:r>
      <w:r w:rsidR="00992874" w:rsidRPr="002866E5">
        <w:rPr>
          <w:noProof/>
        </w:rPr>
        <w:t>mentami cyfrowymi, producent zamieszcza</w:t>
      </w:r>
      <w:r w:rsidR="008B35E8" w:rsidRPr="002866E5">
        <w:rPr>
          <w:noProof/>
        </w:rPr>
        <w:t xml:space="preserve"> w</w:t>
      </w:r>
      <w:r w:rsidR="008B35E8">
        <w:rPr>
          <w:noProof/>
        </w:rPr>
        <w:t> </w:t>
      </w:r>
      <w:r w:rsidR="008B35E8" w:rsidRPr="002866E5">
        <w:rPr>
          <w:noProof/>
        </w:rPr>
        <w:t>tej</w:t>
      </w:r>
      <w:r w:rsidR="00992874" w:rsidRPr="002866E5">
        <w:rPr>
          <w:noProof/>
        </w:rPr>
        <w:t xml:space="preserve"> dokumentacji wyraźne uzasadnienie. </w:t>
      </w:r>
    </w:p>
    <w:p w14:paraId="67ED877E" w14:textId="4AAC452E" w:rsidR="001471C1" w:rsidRPr="002866E5" w:rsidRDefault="00B4087C" w:rsidP="00B4087C">
      <w:pPr>
        <w:pStyle w:val="ManualNumPar1"/>
        <w:rPr>
          <w:noProof/>
        </w:rPr>
      </w:pPr>
      <w:r w:rsidRPr="00B4087C">
        <w:t>4.</w:t>
      </w:r>
      <w:r w:rsidRPr="00B4087C">
        <w:tab/>
      </w:r>
      <w:r w:rsidR="007F210E" w:rsidRPr="002866E5">
        <w:rPr>
          <w:noProof/>
        </w:rPr>
        <w:t>W celu wypełnienia obowiązku określonego</w:t>
      </w:r>
      <w:r w:rsidR="008B35E8" w:rsidRPr="002866E5">
        <w:rPr>
          <w:noProof/>
        </w:rPr>
        <w:t xml:space="preserve"> w</w:t>
      </w:r>
      <w:r w:rsidR="008B35E8">
        <w:rPr>
          <w:noProof/>
        </w:rPr>
        <w:t> </w:t>
      </w:r>
      <w:r w:rsidR="008B35E8" w:rsidRPr="008B35E8">
        <w:rPr>
          <w:noProof/>
        </w:rPr>
        <w:t>ust</w:t>
      </w:r>
      <w:r w:rsidR="007F210E" w:rsidRPr="008B35E8">
        <w:rPr>
          <w:noProof/>
        </w:rPr>
        <w:t>.</w:t>
      </w:r>
      <w:r w:rsidR="008B35E8" w:rsidRPr="008B35E8">
        <w:rPr>
          <w:noProof/>
        </w:rPr>
        <w:t> </w:t>
      </w:r>
      <w:r w:rsidR="007F210E" w:rsidRPr="008B35E8">
        <w:rPr>
          <w:noProof/>
        </w:rPr>
        <w:t>1</w:t>
      </w:r>
      <w:r w:rsidR="007F210E" w:rsidRPr="002866E5">
        <w:rPr>
          <w:noProof/>
        </w:rPr>
        <w:t xml:space="preserve"> producenci dokładają należytej staranności przy integrowaniu</w:t>
      </w:r>
      <w:r w:rsidR="008B35E8" w:rsidRPr="002866E5">
        <w:rPr>
          <w:noProof/>
        </w:rPr>
        <w:t xml:space="preserve"> z</w:t>
      </w:r>
      <w:r w:rsidR="008B35E8">
        <w:rPr>
          <w:noProof/>
        </w:rPr>
        <w:t> </w:t>
      </w:r>
      <w:r w:rsidR="008B35E8" w:rsidRPr="002866E5">
        <w:rPr>
          <w:noProof/>
        </w:rPr>
        <w:t>pro</w:t>
      </w:r>
      <w:r w:rsidR="007F210E" w:rsidRPr="002866E5">
        <w:rPr>
          <w:noProof/>
        </w:rPr>
        <w:t>duktami</w:t>
      </w:r>
      <w:r w:rsidR="008B35E8" w:rsidRPr="002866E5">
        <w:rPr>
          <w:noProof/>
        </w:rPr>
        <w:t xml:space="preserve"> z</w:t>
      </w:r>
      <w:r w:rsidR="008B35E8">
        <w:rPr>
          <w:noProof/>
        </w:rPr>
        <w:t> </w:t>
      </w:r>
      <w:r w:rsidR="008B35E8" w:rsidRPr="002866E5">
        <w:rPr>
          <w:noProof/>
        </w:rPr>
        <w:t>ele</w:t>
      </w:r>
      <w:r w:rsidR="007F210E" w:rsidRPr="002866E5">
        <w:rPr>
          <w:noProof/>
        </w:rPr>
        <w:t>mentami cyfrowymi komponentów pochodzących od stron trzecich. Producenci zapewniają, aby takie komponenty nie naruszały bezpieczeństwa produktu</w:t>
      </w:r>
      <w:r w:rsidR="008B35E8" w:rsidRPr="002866E5">
        <w:rPr>
          <w:noProof/>
        </w:rPr>
        <w:t xml:space="preserve"> z</w:t>
      </w:r>
      <w:r w:rsidR="008B35E8">
        <w:rPr>
          <w:noProof/>
        </w:rPr>
        <w:t> </w:t>
      </w:r>
      <w:r w:rsidR="008B35E8" w:rsidRPr="002866E5">
        <w:rPr>
          <w:noProof/>
        </w:rPr>
        <w:t>ele</w:t>
      </w:r>
      <w:r w:rsidR="007F210E" w:rsidRPr="002866E5">
        <w:rPr>
          <w:noProof/>
        </w:rPr>
        <w:t>mentami cyfrowymi.</w:t>
      </w:r>
    </w:p>
    <w:p w14:paraId="67ED877F" w14:textId="1DE3E3F1" w:rsidR="00573ED2" w:rsidRPr="002866E5" w:rsidRDefault="00B4087C" w:rsidP="00B4087C">
      <w:pPr>
        <w:pStyle w:val="ManualNumPar1"/>
        <w:rPr>
          <w:noProof/>
        </w:rPr>
      </w:pPr>
      <w:r w:rsidRPr="00B4087C">
        <w:t>5.</w:t>
      </w:r>
      <w:r w:rsidRPr="00B4087C">
        <w:tab/>
      </w:r>
      <w:r w:rsidR="00F03CB2" w:rsidRPr="002866E5">
        <w:rPr>
          <w:noProof/>
        </w:rPr>
        <w:t>Producent systematycznie dokumentuje,</w:t>
      </w:r>
      <w:r w:rsidR="008B35E8" w:rsidRPr="002866E5">
        <w:rPr>
          <w:noProof/>
        </w:rPr>
        <w:t xml:space="preserve"> w</w:t>
      </w:r>
      <w:r w:rsidR="008B35E8">
        <w:rPr>
          <w:noProof/>
        </w:rPr>
        <w:t> </w:t>
      </w:r>
      <w:r w:rsidR="008B35E8" w:rsidRPr="002866E5">
        <w:rPr>
          <w:noProof/>
        </w:rPr>
        <w:t>spo</w:t>
      </w:r>
      <w:r w:rsidR="00F03CB2" w:rsidRPr="002866E5">
        <w:rPr>
          <w:noProof/>
        </w:rPr>
        <w:t>sób proporcjonalny do charakteru</w:t>
      </w:r>
      <w:r w:rsidR="008B35E8" w:rsidRPr="002866E5">
        <w:rPr>
          <w:noProof/>
        </w:rPr>
        <w:t xml:space="preserve"> i</w:t>
      </w:r>
      <w:r w:rsidR="008B35E8">
        <w:rPr>
          <w:noProof/>
        </w:rPr>
        <w:t> </w:t>
      </w:r>
      <w:r w:rsidR="008B35E8" w:rsidRPr="002866E5">
        <w:rPr>
          <w:noProof/>
        </w:rPr>
        <w:t>ryz</w:t>
      </w:r>
      <w:r w:rsidR="00F03CB2" w:rsidRPr="002866E5">
        <w:rPr>
          <w:noProof/>
        </w:rPr>
        <w:t>yka</w:t>
      </w:r>
      <w:r w:rsidR="008B35E8" w:rsidRPr="002866E5">
        <w:rPr>
          <w:noProof/>
        </w:rPr>
        <w:t xml:space="preserve"> w</w:t>
      </w:r>
      <w:r w:rsidR="008B35E8">
        <w:rPr>
          <w:noProof/>
        </w:rPr>
        <w:t> </w:t>
      </w:r>
      <w:r w:rsidR="008B35E8" w:rsidRPr="002866E5">
        <w:rPr>
          <w:noProof/>
        </w:rPr>
        <w:t>cyb</w:t>
      </w:r>
      <w:r w:rsidR="00F03CB2" w:rsidRPr="002866E5">
        <w:rPr>
          <w:noProof/>
        </w:rPr>
        <w:t>erprzestrzeni, istotne aspekty cyberbezpieczeństwa dotyczące produktu</w:t>
      </w:r>
      <w:r w:rsidR="008B35E8" w:rsidRPr="002866E5">
        <w:rPr>
          <w:noProof/>
        </w:rPr>
        <w:t xml:space="preserve"> z</w:t>
      </w:r>
      <w:r w:rsidR="008B35E8">
        <w:rPr>
          <w:noProof/>
        </w:rPr>
        <w:t> </w:t>
      </w:r>
      <w:r w:rsidR="008B35E8" w:rsidRPr="002866E5">
        <w:rPr>
          <w:noProof/>
        </w:rPr>
        <w:t>ele</w:t>
      </w:r>
      <w:r w:rsidR="00F03CB2" w:rsidRPr="002866E5">
        <w:rPr>
          <w:noProof/>
        </w:rPr>
        <w:t>mentami cyfrowymi,</w:t>
      </w:r>
      <w:r w:rsidR="008B35E8" w:rsidRPr="002866E5">
        <w:rPr>
          <w:noProof/>
        </w:rPr>
        <w:t xml:space="preserve"> w</w:t>
      </w:r>
      <w:r w:rsidR="008B35E8">
        <w:rPr>
          <w:noProof/>
        </w:rPr>
        <w:t> </w:t>
      </w:r>
      <w:r w:rsidR="008B35E8" w:rsidRPr="002866E5">
        <w:rPr>
          <w:noProof/>
        </w:rPr>
        <w:t>tym</w:t>
      </w:r>
      <w:r w:rsidR="00F03CB2" w:rsidRPr="002866E5">
        <w:rPr>
          <w:noProof/>
        </w:rPr>
        <w:t xml:space="preserve"> podatności,</w:t>
      </w:r>
      <w:r w:rsidR="008B35E8" w:rsidRPr="002866E5">
        <w:rPr>
          <w:noProof/>
        </w:rPr>
        <w:t xml:space="preserve"> o</w:t>
      </w:r>
      <w:r w:rsidR="008B35E8">
        <w:rPr>
          <w:noProof/>
        </w:rPr>
        <w:t> </w:t>
      </w:r>
      <w:r w:rsidR="008B35E8" w:rsidRPr="002866E5">
        <w:rPr>
          <w:noProof/>
        </w:rPr>
        <w:t>któ</w:t>
      </w:r>
      <w:r w:rsidR="00F03CB2" w:rsidRPr="002866E5">
        <w:rPr>
          <w:noProof/>
        </w:rPr>
        <w:t>rych się dowiedział, oraz wszelkie istotne informacje przekazane przez strony trzecie,</w:t>
      </w:r>
      <w:r w:rsidR="008B35E8" w:rsidRPr="002866E5">
        <w:rPr>
          <w:noProof/>
        </w:rPr>
        <w:t xml:space="preserve"> a</w:t>
      </w:r>
      <w:r w:rsidR="008B35E8">
        <w:rPr>
          <w:noProof/>
        </w:rPr>
        <w:t> </w:t>
      </w:r>
      <w:r w:rsidR="008B35E8" w:rsidRPr="002866E5">
        <w:rPr>
          <w:noProof/>
        </w:rPr>
        <w:t>tak</w:t>
      </w:r>
      <w:r w:rsidR="00F03CB2" w:rsidRPr="002866E5">
        <w:rPr>
          <w:noProof/>
        </w:rPr>
        <w:t>że,</w:t>
      </w:r>
      <w:r w:rsidR="008B35E8" w:rsidRPr="002866E5">
        <w:rPr>
          <w:noProof/>
        </w:rPr>
        <w:t xml:space="preserve"> w</w:t>
      </w:r>
      <w:r w:rsidR="008B35E8">
        <w:rPr>
          <w:noProof/>
        </w:rPr>
        <w:t> </w:t>
      </w:r>
      <w:r w:rsidR="008B35E8" w:rsidRPr="002866E5">
        <w:rPr>
          <w:noProof/>
        </w:rPr>
        <w:t>sto</w:t>
      </w:r>
      <w:r w:rsidR="00F03CB2" w:rsidRPr="002866E5">
        <w:rPr>
          <w:noProof/>
        </w:rPr>
        <w:t>sownych przypadkach, aktualizuje ocenę ryzyka produktu.</w:t>
      </w:r>
    </w:p>
    <w:p w14:paraId="67ED8780" w14:textId="171F1135" w:rsidR="00085179" w:rsidRPr="002866E5" w:rsidRDefault="00B4087C" w:rsidP="00B4087C">
      <w:pPr>
        <w:pStyle w:val="ManualNumPar1"/>
        <w:rPr>
          <w:noProof/>
        </w:rPr>
      </w:pPr>
      <w:r w:rsidRPr="00B4087C">
        <w:t>6.</w:t>
      </w:r>
      <w:r w:rsidRPr="00B4087C">
        <w:tab/>
      </w:r>
      <w:r w:rsidR="00085179" w:rsidRPr="002866E5">
        <w:rPr>
          <w:noProof/>
        </w:rPr>
        <w:t>Przy wprowadzaniu produktu</w:t>
      </w:r>
      <w:r w:rsidR="008B35E8" w:rsidRPr="002866E5">
        <w:rPr>
          <w:noProof/>
        </w:rPr>
        <w:t xml:space="preserve"> z</w:t>
      </w:r>
      <w:r w:rsidR="008B35E8">
        <w:rPr>
          <w:noProof/>
        </w:rPr>
        <w:t> </w:t>
      </w:r>
      <w:r w:rsidR="008B35E8" w:rsidRPr="002866E5">
        <w:rPr>
          <w:noProof/>
        </w:rPr>
        <w:t>ele</w:t>
      </w:r>
      <w:r w:rsidR="00085179" w:rsidRPr="002866E5">
        <w:rPr>
          <w:noProof/>
        </w:rPr>
        <w:t>mentami cyfrowymi do obrotu oraz przez cały przewidywany okres eksploatacji produktu lub przez okres pięciu lat od wprowadzenia produktu do obrotu,</w:t>
      </w:r>
      <w:r w:rsidR="008B35E8" w:rsidRPr="002866E5">
        <w:rPr>
          <w:noProof/>
        </w:rPr>
        <w:t xml:space="preserve"> w</w:t>
      </w:r>
      <w:r w:rsidR="008B35E8">
        <w:rPr>
          <w:noProof/>
        </w:rPr>
        <w:t> </w:t>
      </w:r>
      <w:r w:rsidR="008B35E8" w:rsidRPr="002866E5">
        <w:rPr>
          <w:noProof/>
        </w:rPr>
        <w:t>zal</w:t>
      </w:r>
      <w:r w:rsidR="00085179" w:rsidRPr="002866E5">
        <w:rPr>
          <w:noProof/>
        </w:rPr>
        <w:t>eżności od tego, który</w:t>
      </w:r>
      <w:r w:rsidR="008B35E8" w:rsidRPr="002866E5">
        <w:rPr>
          <w:noProof/>
        </w:rPr>
        <w:t xml:space="preserve"> z</w:t>
      </w:r>
      <w:r w:rsidR="008B35E8">
        <w:rPr>
          <w:noProof/>
        </w:rPr>
        <w:t> </w:t>
      </w:r>
      <w:r w:rsidR="008B35E8" w:rsidRPr="002866E5">
        <w:rPr>
          <w:noProof/>
        </w:rPr>
        <w:t>tyc</w:t>
      </w:r>
      <w:r w:rsidR="00085179" w:rsidRPr="002866E5">
        <w:rPr>
          <w:noProof/>
        </w:rPr>
        <w:t>h okresów jest krótszy, producenci zapewniają skuteczne</w:t>
      </w:r>
      <w:r w:rsidR="008B35E8" w:rsidRPr="002866E5">
        <w:rPr>
          <w:noProof/>
        </w:rPr>
        <w:t xml:space="preserve"> i</w:t>
      </w:r>
      <w:r w:rsidR="008B35E8">
        <w:rPr>
          <w:noProof/>
        </w:rPr>
        <w:t> </w:t>
      </w:r>
      <w:r w:rsidR="008B35E8" w:rsidRPr="002866E5">
        <w:rPr>
          <w:noProof/>
        </w:rPr>
        <w:t>zgo</w:t>
      </w:r>
      <w:r w:rsidR="00085179" w:rsidRPr="002866E5">
        <w:rPr>
          <w:noProof/>
        </w:rPr>
        <w:t>dne</w:t>
      </w:r>
      <w:r w:rsidR="008B35E8" w:rsidRPr="002866E5">
        <w:rPr>
          <w:noProof/>
        </w:rPr>
        <w:t xml:space="preserve"> z</w:t>
      </w:r>
      <w:r w:rsidR="008B35E8">
        <w:rPr>
          <w:noProof/>
        </w:rPr>
        <w:t> </w:t>
      </w:r>
      <w:r w:rsidR="008B35E8" w:rsidRPr="002866E5">
        <w:rPr>
          <w:noProof/>
        </w:rPr>
        <w:t>zas</w:t>
      </w:r>
      <w:r w:rsidR="00085179" w:rsidRPr="002866E5">
        <w:rPr>
          <w:noProof/>
        </w:rPr>
        <w:t>adniczymi wymogami określonymi</w:t>
      </w:r>
      <w:r w:rsidR="008B35E8" w:rsidRPr="002866E5">
        <w:rPr>
          <w:noProof/>
        </w:rPr>
        <w:t xml:space="preserve"> w</w:t>
      </w:r>
      <w:r w:rsidR="008B35E8">
        <w:rPr>
          <w:noProof/>
        </w:rPr>
        <w:t> </w:t>
      </w:r>
      <w:r w:rsidR="008B35E8" w:rsidRPr="002866E5">
        <w:rPr>
          <w:noProof/>
        </w:rPr>
        <w:t>sek</w:t>
      </w:r>
      <w:r w:rsidR="00085179" w:rsidRPr="002866E5">
        <w:rPr>
          <w:noProof/>
        </w:rPr>
        <w:t>cji 2 załącznika I postępowanie</w:t>
      </w:r>
      <w:r w:rsidR="008B35E8" w:rsidRPr="002866E5">
        <w:rPr>
          <w:noProof/>
        </w:rPr>
        <w:t xml:space="preserve"> w</w:t>
      </w:r>
      <w:r w:rsidR="008B35E8">
        <w:rPr>
          <w:noProof/>
        </w:rPr>
        <w:t> </w:t>
      </w:r>
      <w:r w:rsidR="008B35E8" w:rsidRPr="002866E5">
        <w:rPr>
          <w:noProof/>
        </w:rPr>
        <w:t>prz</w:t>
      </w:r>
      <w:r w:rsidR="00085179" w:rsidRPr="002866E5">
        <w:rPr>
          <w:noProof/>
        </w:rPr>
        <w:t>ypadku wykrycia podatności.</w:t>
      </w:r>
    </w:p>
    <w:p w14:paraId="67ED8781" w14:textId="26B129B6" w:rsidR="00CA05D6" w:rsidRPr="002866E5" w:rsidRDefault="00AD7F7C" w:rsidP="000A6E88">
      <w:pPr>
        <w:pStyle w:val="Text1"/>
        <w:rPr>
          <w:noProof/>
        </w:rPr>
      </w:pPr>
      <w:r w:rsidRPr="002866E5">
        <w:rPr>
          <w:noProof/>
        </w:rPr>
        <w:t>Producenci muszą posiadać odpowiednią politykę</w:t>
      </w:r>
      <w:r w:rsidR="008B35E8" w:rsidRPr="002866E5">
        <w:rPr>
          <w:noProof/>
        </w:rPr>
        <w:t xml:space="preserve"> i</w:t>
      </w:r>
      <w:r w:rsidR="008B35E8">
        <w:rPr>
          <w:noProof/>
        </w:rPr>
        <w:t> </w:t>
      </w:r>
      <w:r w:rsidR="008B35E8" w:rsidRPr="002866E5">
        <w:rPr>
          <w:noProof/>
        </w:rPr>
        <w:t>sto</w:t>
      </w:r>
      <w:r w:rsidRPr="002866E5">
        <w:rPr>
          <w:noProof/>
        </w:rPr>
        <w:t>sowne procedury,</w:t>
      </w:r>
      <w:r w:rsidR="008B35E8" w:rsidRPr="002866E5">
        <w:rPr>
          <w:noProof/>
        </w:rPr>
        <w:t xml:space="preserve"> w</w:t>
      </w:r>
      <w:r w:rsidR="008B35E8">
        <w:rPr>
          <w:noProof/>
        </w:rPr>
        <w:t> </w:t>
      </w:r>
      <w:r w:rsidR="008B35E8" w:rsidRPr="002866E5">
        <w:rPr>
          <w:noProof/>
        </w:rPr>
        <w:t>tym</w:t>
      </w:r>
      <w:r w:rsidRPr="002866E5">
        <w:rPr>
          <w:noProof/>
        </w:rPr>
        <w:t xml:space="preserve"> politykę regulującą skoordynowane ujawnianie podatności,</w:t>
      </w:r>
      <w:r w:rsidR="008B35E8" w:rsidRPr="002866E5">
        <w:rPr>
          <w:noProof/>
        </w:rPr>
        <w:t xml:space="preserve"> o</w:t>
      </w:r>
      <w:r w:rsidR="008B35E8">
        <w:rPr>
          <w:noProof/>
        </w:rPr>
        <w:t> </w:t>
      </w:r>
      <w:r w:rsidR="008B35E8" w:rsidRPr="002866E5">
        <w:rPr>
          <w:noProof/>
        </w:rPr>
        <w:t>któ</w:t>
      </w:r>
      <w:r w:rsidRPr="002866E5">
        <w:rPr>
          <w:noProof/>
        </w:rPr>
        <w:t>rej mowa</w:t>
      </w:r>
      <w:r w:rsidR="008B35E8" w:rsidRPr="002866E5">
        <w:rPr>
          <w:noProof/>
        </w:rPr>
        <w:t xml:space="preserve"> w</w:t>
      </w:r>
      <w:r w:rsidR="008B35E8">
        <w:rPr>
          <w:noProof/>
        </w:rPr>
        <w:t> </w:t>
      </w:r>
      <w:r w:rsidR="008B35E8" w:rsidRPr="002866E5">
        <w:rPr>
          <w:noProof/>
        </w:rPr>
        <w:t>sek</w:t>
      </w:r>
      <w:r w:rsidRPr="002866E5">
        <w:rPr>
          <w:noProof/>
        </w:rPr>
        <w:t xml:space="preserve">cji 2 </w:t>
      </w:r>
      <w:r w:rsidRPr="008B35E8">
        <w:rPr>
          <w:noProof/>
        </w:rPr>
        <w:t>pkt</w:t>
      </w:r>
      <w:r w:rsidR="008B35E8" w:rsidRPr="008B35E8">
        <w:rPr>
          <w:noProof/>
        </w:rPr>
        <w:t> </w:t>
      </w:r>
      <w:r w:rsidRPr="008B35E8">
        <w:rPr>
          <w:noProof/>
        </w:rPr>
        <w:t>5</w:t>
      </w:r>
      <w:r w:rsidRPr="002866E5">
        <w:rPr>
          <w:noProof/>
        </w:rPr>
        <w:t xml:space="preserve"> załącznika I, do celów przetwarzania</w:t>
      </w:r>
      <w:r w:rsidR="008B35E8" w:rsidRPr="002866E5">
        <w:rPr>
          <w:noProof/>
        </w:rPr>
        <w:t xml:space="preserve"> i</w:t>
      </w:r>
      <w:r w:rsidR="008B35E8">
        <w:rPr>
          <w:noProof/>
        </w:rPr>
        <w:t> </w:t>
      </w:r>
      <w:r w:rsidR="008B35E8" w:rsidRPr="002866E5">
        <w:rPr>
          <w:noProof/>
        </w:rPr>
        <w:t>eli</w:t>
      </w:r>
      <w:r w:rsidRPr="002866E5">
        <w:rPr>
          <w:noProof/>
        </w:rPr>
        <w:t>minowania potencjalnych podatności produktu</w:t>
      </w:r>
      <w:r w:rsidR="008B35E8" w:rsidRPr="002866E5">
        <w:rPr>
          <w:noProof/>
        </w:rPr>
        <w:t xml:space="preserve"> z</w:t>
      </w:r>
      <w:r w:rsidR="008B35E8">
        <w:rPr>
          <w:noProof/>
        </w:rPr>
        <w:t> </w:t>
      </w:r>
      <w:r w:rsidR="008B35E8" w:rsidRPr="002866E5">
        <w:rPr>
          <w:noProof/>
        </w:rPr>
        <w:t>ele</w:t>
      </w:r>
      <w:r w:rsidRPr="002866E5">
        <w:rPr>
          <w:noProof/>
        </w:rPr>
        <w:t>mentami cyfrowymi, zgłoszonych przez źródła wewnętrzne lub zewnętrzne.</w:t>
      </w:r>
    </w:p>
    <w:p w14:paraId="67ED8782" w14:textId="20A28D9A" w:rsidR="00D62A6B" w:rsidRPr="002866E5" w:rsidRDefault="00B4087C" w:rsidP="00B4087C">
      <w:pPr>
        <w:pStyle w:val="ManualNumPar1"/>
        <w:rPr>
          <w:noProof/>
        </w:rPr>
      </w:pPr>
      <w:r w:rsidRPr="00B4087C">
        <w:t>7.</w:t>
      </w:r>
      <w:r w:rsidRPr="00B4087C">
        <w:tab/>
      </w:r>
      <w:r w:rsidR="00053BA7" w:rsidRPr="002866E5">
        <w:rPr>
          <w:noProof/>
        </w:rPr>
        <w:t>Przed wprowadzeniem produktu</w:t>
      </w:r>
      <w:r w:rsidR="008B35E8" w:rsidRPr="002866E5">
        <w:rPr>
          <w:noProof/>
        </w:rPr>
        <w:t xml:space="preserve"> z</w:t>
      </w:r>
      <w:r w:rsidR="008B35E8">
        <w:rPr>
          <w:noProof/>
        </w:rPr>
        <w:t> </w:t>
      </w:r>
      <w:r w:rsidR="008B35E8" w:rsidRPr="002866E5">
        <w:rPr>
          <w:noProof/>
        </w:rPr>
        <w:t>ele</w:t>
      </w:r>
      <w:r w:rsidR="00053BA7" w:rsidRPr="002866E5">
        <w:rPr>
          <w:noProof/>
        </w:rPr>
        <w:t>mentami cyfrowymi do obrotu producenci sporządzają dokumentację techniczną,</w:t>
      </w:r>
      <w:r w:rsidR="008B35E8" w:rsidRPr="002866E5">
        <w:rPr>
          <w:noProof/>
        </w:rPr>
        <w:t xml:space="preserve"> o</w:t>
      </w:r>
      <w:r w:rsidR="008B35E8">
        <w:rPr>
          <w:noProof/>
        </w:rPr>
        <w:t> </w:t>
      </w:r>
      <w:r w:rsidR="008B35E8" w:rsidRPr="002866E5">
        <w:rPr>
          <w:noProof/>
        </w:rPr>
        <w:t>któ</w:t>
      </w:r>
      <w:r w:rsidR="00053BA7" w:rsidRPr="002866E5">
        <w:rPr>
          <w:noProof/>
        </w:rPr>
        <w:t>rej mowa</w:t>
      </w:r>
      <w:r w:rsidR="008B35E8" w:rsidRPr="002866E5">
        <w:rPr>
          <w:noProof/>
        </w:rPr>
        <w:t xml:space="preserve"> w</w:t>
      </w:r>
      <w:r w:rsidR="008B35E8">
        <w:rPr>
          <w:noProof/>
        </w:rPr>
        <w:t> </w:t>
      </w:r>
      <w:r w:rsidR="008B35E8" w:rsidRPr="008B35E8">
        <w:rPr>
          <w:noProof/>
        </w:rPr>
        <w:t>art</w:t>
      </w:r>
      <w:r w:rsidR="00053BA7" w:rsidRPr="008B35E8">
        <w:rPr>
          <w:noProof/>
        </w:rPr>
        <w:t>.</w:t>
      </w:r>
      <w:r w:rsidR="008B35E8" w:rsidRPr="008B35E8">
        <w:rPr>
          <w:noProof/>
        </w:rPr>
        <w:t> </w:t>
      </w:r>
      <w:r w:rsidR="00053BA7" w:rsidRPr="008B35E8">
        <w:rPr>
          <w:noProof/>
        </w:rPr>
        <w:t>2</w:t>
      </w:r>
      <w:r w:rsidR="00053BA7" w:rsidRPr="002866E5">
        <w:rPr>
          <w:noProof/>
        </w:rPr>
        <w:t xml:space="preserve">3. </w:t>
      </w:r>
    </w:p>
    <w:p w14:paraId="67ED8783" w14:textId="777E18D5" w:rsidR="0081666C" w:rsidRPr="002866E5" w:rsidRDefault="00EC3B8E" w:rsidP="000A6E88">
      <w:pPr>
        <w:pStyle w:val="Text1"/>
        <w:rPr>
          <w:noProof/>
        </w:rPr>
      </w:pPr>
      <w:r w:rsidRPr="002866E5">
        <w:rPr>
          <w:noProof/>
        </w:rPr>
        <w:lastRenderedPageBreak/>
        <w:t>Producenci przeprowadzają wybrane procedury oceny zgodności,</w:t>
      </w:r>
      <w:r w:rsidR="008B35E8" w:rsidRPr="002866E5">
        <w:rPr>
          <w:noProof/>
        </w:rPr>
        <w:t xml:space="preserve"> o</w:t>
      </w:r>
      <w:r w:rsidR="008B35E8">
        <w:rPr>
          <w:noProof/>
        </w:rPr>
        <w:t> </w:t>
      </w:r>
      <w:r w:rsidR="008B35E8" w:rsidRPr="002866E5">
        <w:rPr>
          <w:noProof/>
        </w:rPr>
        <w:t>któ</w:t>
      </w:r>
      <w:r w:rsidRPr="002866E5">
        <w:rPr>
          <w:noProof/>
        </w:rPr>
        <w:t>rych mowa</w:t>
      </w:r>
      <w:r w:rsidR="008B35E8" w:rsidRPr="002866E5">
        <w:rPr>
          <w:noProof/>
        </w:rPr>
        <w:t xml:space="preserve"> w</w:t>
      </w:r>
      <w:r w:rsidR="008B35E8">
        <w:rPr>
          <w:noProof/>
        </w:rPr>
        <w:t> </w:t>
      </w:r>
      <w:r w:rsidR="008B35E8" w:rsidRPr="008B35E8">
        <w:rPr>
          <w:noProof/>
        </w:rPr>
        <w:t>art</w:t>
      </w:r>
      <w:r w:rsidRPr="008B35E8">
        <w:rPr>
          <w:noProof/>
        </w:rPr>
        <w:t>.</w:t>
      </w:r>
      <w:r w:rsidR="008B35E8" w:rsidRPr="008B35E8">
        <w:rPr>
          <w:noProof/>
        </w:rPr>
        <w:t> </w:t>
      </w:r>
      <w:r w:rsidRPr="008B35E8">
        <w:rPr>
          <w:noProof/>
        </w:rPr>
        <w:t>2</w:t>
      </w:r>
      <w:r w:rsidRPr="002866E5">
        <w:rPr>
          <w:noProof/>
        </w:rPr>
        <w:t>4, lub zlecają ich przeprowadzenie.</w:t>
      </w:r>
    </w:p>
    <w:p w14:paraId="67ED8784" w14:textId="144915C3" w:rsidR="00053BA7" w:rsidRPr="002866E5" w:rsidRDefault="00053BA7" w:rsidP="000A6E88">
      <w:pPr>
        <w:pStyle w:val="Text1"/>
        <w:rPr>
          <w:noProof/>
        </w:rPr>
      </w:pPr>
      <w:r w:rsidRPr="002866E5">
        <w:rPr>
          <w:noProof/>
        </w:rPr>
        <w:t>W przypadku wykazania zgodności produktu</w:t>
      </w:r>
      <w:r w:rsidR="008B35E8" w:rsidRPr="002866E5">
        <w:rPr>
          <w:noProof/>
        </w:rPr>
        <w:t xml:space="preserve"> z</w:t>
      </w:r>
      <w:r w:rsidR="008B35E8">
        <w:rPr>
          <w:noProof/>
        </w:rPr>
        <w:t> </w:t>
      </w:r>
      <w:r w:rsidR="008B35E8" w:rsidRPr="002866E5">
        <w:rPr>
          <w:noProof/>
        </w:rPr>
        <w:t>ele</w:t>
      </w:r>
      <w:r w:rsidRPr="002866E5">
        <w:rPr>
          <w:noProof/>
        </w:rPr>
        <w:t>mentami cyfrowymi</w:t>
      </w:r>
      <w:r w:rsidR="008B35E8" w:rsidRPr="002866E5">
        <w:rPr>
          <w:noProof/>
        </w:rPr>
        <w:t xml:space="preserve"> z</w:t>
      </w:r>
      <w:r w:rsidR="008B35E8">
        <w:rPr>
          <w:noProof/>
        </w:rPr>
        <w:t> </w:t>
      </w:r>
      <w:r w:rsidR="008B35E8" w:rsidRPr="002866E5">
        <w:rPr>
          <w:noProof/>
        </w:rPr>
        <w:t>zas</w:t>
      </w:r>
      <w:r w:rsidRPr="002866E5">
        <w:rPr>
          <w:noProof/>
        </w:rPr>
        <w:t>adniczymi wymogami określonymi</w:t>
      </w:r>
      <w:r w:rsidR="008B35E8" w:rsidRPr="002866E5">
        <w:rPr>
          <w:noProof/>
        </w:rPr>
        <w:t xml:space="preserve"> w</w:t>
      </w:r>
      <w:r w:rsidR="008B35E8">
        <w:rPr>
          <w:noProof/>
        </w:rPr>
        <w:t> </w:t>
      </w:r>
      <w:r w:rsidR="008B35E8" w:rsidRPr="002866E5">
        <w:rPr>
          <w:noProof/>
        </w:rPr>
        <w:t>sek</w:t>
      </w:r>
      <w:r w:rsidRPr="002866E5">
        <w:rPr>
          <w:noProof/>
        </w:rPr>
        <w:t>cji 1 załącznika I oraz zgodności procedur wprowadzonych przez producenta</w:t>
      </w:r>
      <w:r w:rsidR="008B35E8" w:rsidRPr="002866E5">
        <w:rPr>
          <w:noProof/>
        </w:rPr>
        <w:t xml:space="preserve"> z</w:t>
      </w:r>
      <w:r w:rsidR="008B35E8">
        <w:rPr>
          <w:noProof/>
        </w:rPr>
        <w:t> </w:t>
      </w:r>
      <w:r w:rsidR="008B35E8" w:rsidRPr="002866E5">
        <w:rPr>
          <w:noProof/>
        </w:rPr>
        <w:t>zas</w:t>
      </w:r>
      <w:r w:rsidRPr="002866E5">
        <w:rPr>
          <w:noProof/>
        </w:rPr>
        <w:t>adniczymi wymogami określonymi</w:t>
      </w:r>
      <w:r w:rsidR="008B35E8" w:rsidRPr="002866E5">
        <w:rPr>
          <w:noProof/>
        </w:rPr>
        <w:t xml:space="preserve"> w</w:t>
      </w:r>
      <w:r w:rsidR="008B35E8">
        <w:rPr>
          <w:noProof/>
        </w:rPr>
        <w:t> </w:t>
      </w:r>
      <w:r w:rsidR="008B35E8" w:rsidRPr="002866E5">
        <w:rPr>
          <w:noProof/>
        </w:rPr>
        <w:t>sek</w:t>
      </w:r>
      <w:r w:rsidRPr="002866E5">
        <w:rPr>
          <w:noProof/>
        </w:rPr>
        <w:t>cji 2 załącznika I</w:t>
      </w:r>
      <w:r w:rsidR="008B35E8" w:rsidRPr="002866E5">
        <w:rPr>
          <w:noProof/>
        </w:rPr>
        <w:t xml:space="preserve"> w</w:t>
      </w:r>
      <w:r w:rsidR="008B35E8">
        <w:rPr>
          <w:noProof/>
        </w:rPr>
        <w:t> </w:t>
      </w:r>
      <w:r w:rsidR="008B35E8" w:rsidRPr="002866E5">
        <w:rPr>
          <w:noProof/>
        </w:rPr>
        <w:t>wyn</w:t>
      </w:r>
      <w:r w:rsidRPr="002866E5">
        <w:rPr>
          <w:noProof/>
        </w:rPr>
        <w:t>iku przeprowadzenia takiej procedury oceny zgodności producenci sporządzają deklarację zgodności UE zgodnie</w:t>
      </w:r>
      <w:r w:rsidR="008B35E8" w:rsidRPr="002866E5">
        <w:rPr>
          <w:noProof/>
        </w:rPr>
        <w:t xml:space="preserve"> z</w:t>
      </w:r>
      <w:r w:rsidR="008B35E8">
        <w:rPr>
          <w:noProof/>
        </w:rPr>
        <w:t> </w:t>
      </w:r>
      <w:r w:rsidR="008B35E8" w:rsidRPr="008B35E8">
        <w:rPr>
          <w:noProof/>
        </w:rPr>
        <w:t>art</w:t>
      </w:r>
      <w:r w:rsidRPr="008B35E8">
        <w:rPr>
          <w:noProof/>
        </w:rPr>
        <w:t>.</w:t>
      </w:r>
      <w:r w:rsidR="008B35E8" w:rsidRPr="008B35E8">
        <w:rPr>
          <w:noProof/>
        </w:rPr>
        <w:t> </w:t>
      </w:r>
      <w:r w:rsidRPr="008B35E8">
        <w:rPr>
          <w:noProof/>
        </w:rPr>
        <w:t>2</w:t>
      </w:r>
      <w:r w:rsidRPr="002866E5">
        <w:rPr>
          <w:noProof/>
        </w:rPr>
        <w:t>0</w:t>
      </w:r>
      <w:r w:rsidR="008B35E8" w:rsidRPr="002866E5">
        <w:rPr>
          <w:noProof/>
        </w:rPr>
        <w:t xml:space="preserve"> i</w:t>
      </w:r>
      <w:r w:rsidR="008B35E8">
        <w:rPr>
          <w:noProof/>
        </w:rPr>
        <w:t> </w:t>
      </w:r>
      <w:r w:rsidR="008B35E8" w:rsidRPr="002866E5">
        <w:rPr>
          <w:noProof/>
        </w:rPr>
        <w:t>umi</w:t>
      </w:r>
      <w:r w:rsidRPr="002866E5">
        <w:rPr>
          <w:noProof/>
        </w:rPr>
        <w:t>eszczają oznakowanie zgodności CE zgodnie</w:t>
      </w:r>
      <w:r w:rsidR="008B35E8" w:rsidRPr="002866E5">
        <w:rPr>
          <w:noProof/>
        </w:rPr>
        <w:t xml:space="preserve"> z</w:t>
      </w:r>
      <w:r w:rsidR="008B35E8">
        <w:rPr>
          <w:noProof/>
        </w:rPr>
        <w:t> </w:t>
      </w:r>
      <w:r w:rsidR="008B35E8" w:rsidRPr="008B35E8">
        <w:rPr>
          <w:noProof/>
        </w:rPr>
        <w:t>art</w:t>
      </w:r>
      <w:r w:rsidRPr="008B35E8">
        <w:rPr>
          <w:noProof/>
        </w:rPr>
        <w:t>.</w:t>
      </w:r>
      <w:r w:rsidR="008B35E8" w:rsidRPr="008B35E8">
        <w:rPr>
          <w:noProof/>
        </w:rPr>
        <w:t> </w:t>
      </w:r>
      <w:r w:rsidRPr="008B35E8">
        <w:rPr>
          <w:noProof/>
        </w:rPr>
        <w:t>2</w:t>
      </w:r>
      <w:r w:rsidRPr="002866E5">
        <w:rPr>
          <w:noProof/>
        </w:rPr>
        <w:t>2.</w:t>
      </w:r>
    </w:p>
    <w:p w14:paraId="67ED8785" w14:textId="3583E986" w:rsidR="00755477" w:rsidRPr="002866E5" w:rsidRDefault="00B4087C" w:rsidP="00B4087C">
      <w:pPr>
        <w:pStyle w:val="ManualNumPar1"/>
        <w:rPr>
          <w:noProof/>
        </w:rPr>
      </w:pPr>
      <w:r w:rsidRPr="00B4087C">
        <w:t>8.</w:t>
      </w:r>
      <w:r w:rsidRPr="00B4087C">
        <w:tab/>
      </w:r>
      <w:r w:rsidR="00053BA7" w:rsidRPr="002866E5">
        <w:rPr>
          <w:noProof/>
        </w:rPr>
        <w:t>Producenci przechowują dokumentację techniczną</w:t>
      </w:r>
      <w:r w:rsidR="008B35E8" w:rsidRPr="002866E5">
        <w:rPr>
          <w:noProof/>
        </w:rPr>
        <w:t xml:space="preserve"> i</w:t>
      </w:r>
      <w:r w:rsidR="008B35E8">
        <w:rPr>
          <w:noProof/>
        </w:rPr>
        <w:t> </w:t>
      </w:r>
      <w:r w:rsidR="008B35E8" w:rsidRPr="002866E5">
        <w:rPr>
          <w:noProof/>
        </w:rPr>
        <w:t>dek</w:t>
      </w:r>
      <w:r w:rsidR="00053BA7" w:rsidRPr="002866E5">
        <w:rPr>
          <w:noProof/>
        </w:rPr>
        <w:t>larację zgodności UE –</w:t>
      </w:r>
      <w:r w:rsidR="008B35E8" w:rsidRPr="002866E5">
        <w:rPr>
          <w:noProof/>
        </w:rPr>
        <w:t xml:space="preserve"> w</w:t>
      </w:r>
      <w:r w:rsidR="008B35E8">
        <w:rPr>
          <w:noProof/>
        </w:rPr>
        <w:t> </w:t>
      </w:r>
      <w:r w:rsidR="008B35E8" w:rsidRPr="002866E5">
        <w:rPr>
          <w:noProof/>
        </w:rPr>
        <w:t>sto</w:t>
      </w:r>
      <w:r w:rsidR="00053BA7" w:rsidRPr="002866E5">
        <w:rPr>
          <w:noProof/>
        </w:rPr>
        <w:t>sownych przypadkach – do dyspozycji organów nadzoru rynku przez okres dziesięciu lat po wprowadzeniu produktu</w:t>
      </w:r>
      <w:r w:rsidR="008B35E8" w:rsidRPr="002866E5">
        <w:rPr>
          <w:noProof/>
        </w:rPr>
        <w:t xml:space="preserve"> z</w:t>
      </w:r>
      <w:r w:rsidR="008B35E8">
        <w:rPr>
          <w:noProof/>
        </w:rPr>
        <w:t> </w:t>
      </w:r>
      <w:r w:rsidR="008B35E8" w:rsidRPr="002866E5">
        <w:rPr>
          <w:noProof/>
        </w:rPr>
        <w:t>ele</w:t>
      </w:r>
      <w:r w:rsidR="00053BA7" w:rsidRPr="002866E5">
        <w:rPr>
          <w:noProof/>
        </w:rPr>
        <w:t xml:space="preserve">mentami cyfrowymi do obrotu. </w:t>
      </w:r>
    </w:p>
    <w:p w14:paraId="67ED8786" w14:textId="4135517C" w:rsidR="00053BA7" w:rsidRPr="002866E5" w:rsidRDefault="00B4087C" w:rsidP="00B4087C">
      <w:pPr>
        <w:pStyle w:val="ManualNumPar1"/>
        <w:rPr>
          <w:noProof/>
        </w:rPr>
      </w:pPr>
      <w:r w:rsidRPr="00B4087C">
        <w:t>9.</w:t>
      </w:r>
      <w:r w:rsidRPr="00B4087C">
        <w:tab/>
      </w:r>
      <w:r w:rsidR="00053BA7" w:rsidRPr="002866E5">
        <w:rPr>
          <w:noProof/>
        </w:rPr>
        <w:t>Producenci zapewniają wprowadzenie procedur mających na celu utrzymanie zgodności produktów</w:t>
      </w:r>
      <w:r w:rsidR="008B35E8" w:rsidRPr="002866E5">
        <w:rPr>
          <w:noProof/>
        </w:rPr>
        <w:t xml:space="preserve"> z</w:t>
      </w:r>
      <w:r w:rsidR="008B35E8">
        <w:rPr>
          <w:noProof/>
        </w:rPr>
        <w:t> </w:t>
      </w:r>
      <w:r w:rsidR="008B35E8" w:rsidRPr="002866E5">
        <w:rPr>
          <w:noProof/>
        </w:rPr>
        <w:t>ele</w:t>
      </w:r>
      <w:r w:rsidR="00053BA7" w:rsidRPr="002866E5">
        <w:rPr>
          <w:noProof/>
        </w:rPr>
        <w:t>mentami cyfrowymi, które są częścią serii produkcyjnej. Producent odpowiednio uwzględnia zmiany</w:t>
      </w:r>
      <w:r w:rsidR="008B35E8" w:rsidRPr="002866E5">
        <w:rPr>
          <w:noProof/>
        </w:rPr>
        <w:t xml:space="preserve"> w</w:t>
      </w:r>
      <w:r w:rsidR="008B35E8">
        <w:rPr>
          <w:noProof/>
        </w:rPr>
        <w:t> </w:t>
      </w:r>
      <w:r w:rsidR="008B35E8" w:rsidRPr="002866E5">
        <w:rPr>
          <w:noProof/>
        </w:rPr>
        <w:t>pro</w:t>
      </w:r>
      <w:r w:rsidR="00053BA7" w:rsidRPr="002866E5">
        <w:rPr>
          <w:noProof/>
        </w:rPr>
        <w:t>cesie rozwoju</w:t>
      </w:r>
      <w:r w:rsidR="008B35E8" w:rsidRPr="002866E5">
        <w:rPr>
          <w:noProof/>
        </w:rPr>
        <w:t xml:space="preserve"> i</w:t>
      </w:r>
      <w:r w:rsidR="008B35E8">
        <w:rPr>
          <w:noProof/>
        </w:rPr>
        <w:t> </w:t>
      </w:r>
      <w:r w:rsidR="008B35E8" w:rsidRPr="002866E5">
        <w:rPr>
          <w:noProof/>
        </w:rPr>
        <w:t>pro</w:t>
      </w:r>
      <w:r w:rsidR="00053BA7" w:rsidRPr="002866E5">
        <w:rPr>
          <w:noProof/>
        </w:rPr>
        <w:t>dukcji lub</w:t>
      </w:r>
      <w:r w:rsidR="008B35E8" w:rsidRPr="002866E5">
        <w:rPr>
          <w:noProof/>
        </w:rPr>
        <w:t xml:space="preserve"> w</w:t>
      </w:r>
      <w:r w:rsidR="008B35E8">
        <w:rPr>
          <w:noProof/>
        </w:rPr>
        <w:t> </w:t>
      </w:r>
      <w:r w:rsidR="008B35E8" w:rsidRPr="002866E5">
        <w:rPr>
          <w:noProof/>
        </w:rPr>
        <w:t>pro</w:t>
      </w:r>
      <w:r w:rsidR="00053BA7" w:rsidRPr="002866E5">
        <w:rPr>
          <w:noProof/>
        </w:rPr>
        <w:t>jekcie lub właściwościach produktu</w:t>
      </w:r>
      <w:r w:rsidR="008B35E8" w:rsidRPr="002866E5">
        <w:rPr>
          <w:noProof/>
        </w:rPr>
        <w:t xml:space="preserve"> z</w:t>
      </w:r>
      <w:r w:rsidR="008B35E8">
        <w:rPr>
          <w:noProof/>
        </w:rPr>
        <w:t> </w:t>
      </w:r>
      <w:r w:rsidR="008B35E8" w:rsidRPr="002866E5">
        <w:rPr>
          <w:noProof/>
        </w:rPr>
        <w:t>ele</w:t>
      </w:r>
      <w:r w:rsidR="00053BA7" w:rsidRPr="002866E5">
        <w:rPr>
          <w:noProof/>
        </w:rPr>
        <w:t>mentami cyfrowymi oraz zmiany</w:t>
      </w:r>
      <w:r w:rsidR="008B35E8" w:rsidRPr="002866E5">
        <w:rPr>
          <w:noProof/>
        </w:rPr>
        <w:t xml:space="preserve"> w</w:t>
      </w:r>
      <w:r w:rsidR="008B35E8">
        <w:rPr>
          <w:noProof/>
        </w:rPr>
        <w:t> </w:t>
      </w:r>
      <w:r w:rsidR="008B35E8" w:rsidRPr="002866E5">
        <w:rPr>
          <w:noProof/>
        </w:rPr>
        <w:t>nor</w:t>
      </w:r>
      <w:r w:rsidR="00053BA7" w:rsidRPr="002866E5">
        <w:rPr>
          <w:noProof/>
        </w:rPr>
        <w:t>mach zharmonizowanych, europejskich programach certyfikacji cyberbezpieczeństwa lub wspólnych specyfikacjach,</w:t>
      </w:r>
      <w:r w:rsidR="008B35E8" w:rsidRPr="002866E5">
        <w:rPr>
          <w:noProof/>
        </w:rPr>
        <w:t xml:space="preserve"> o</w:t>
      </w:r>
      <w:r w:rsidR="008B35E8">
        <w:rPr>
          <w:noProof/>
        </w:rPr>
        <w:t> </w:t>
      </w:r>
      <w:r w:rsidR="008B35E8" w:rsidRPr="002866E5">
        <w:rPr>
          <w:noProof/>
        </w:rPr>
        <w:t>któ</w:t>
      </w:r>
      <w:r w:rsidR="00053BA7" w:rsidRPr="002866E5">
        <w:rPr>
          <w:noProof/>
        </w:rPr>
        <w:t>rych mowa</w:t>
      </w:r>
      <w:r w:rsidR="008B35E8" w:rsidRPr="002866E5">
        <w:rPr>
          <w:noProof/>
        </w:rPr>
        <w:t xml:space="preserve"> w</w:t>
      </w:r>
      <w:r w:rsidR="008B35E8">
        <w:rPr>
          <w:noProof/>
        </w:rPr>
        <w:t> </w:t>
      </w:r>
      <w:r w:rsidR="008B35E8" w:rsidRPr="008B35E8">
        <w:rPr>
          <w:noProof/>
        </w:rPr>
        <w:t>art</w:t>
      </w:r>
      <w:r w:rsidR="00053BA7" w:rsidRPr="008B35E8">
        <w:rPr>
          <w:noProof/>
        </w:rPr>
        <w:t>.</w:t>
      </w:r>
      <w:r w:rsidR="008B35E8" w:rsidRPr="008B35E8">
        <w:rPr>
          <w:noProof/>
        </w:rPr>
        <w:t> </w:t>
      </w:r>
      <w:r w:rsidR="00053BA7" w:rsidRPr="008B35E8">
        <w:rPr>
          <w:noProof/>
        </w:rPr>
        <w:t>1</w:t>
      </w:r>
      <w:r w:rsidR="00053BA7" w:rsidRPr="002866E5">
        <w:rPr>
          <w:noProof/>
        </w:rPr>
        <w:t>9,</w:t>
      </w:r>
      <w:r w:rsidR="008B35E8" w:rsidRPr="002866E5">
        <w:rPr>
          <w:noProof/>
        </w:rPr>
        <w:t xml:space="preserve"> w</w:t>
      </w:r>
      <w:r w:rsidR="008B35E8">
        <w:rPr>
          <w:noProof/>
        </w:rPr>
        <w:t> </w:t>
      </w:r>
      <w:r w:rsidR="008B35E8" w:rsidRPr="002866E5">
        <w:rPr>
          <w:noProof/>
        </w:rPr>
        <w:t>odn</w:t>
      </w:r>
      <w:r w:rsidR="00053BA7" w:rsidRPr="002866E5">
        <w:rPr>
          <w:noProof/>
        </w:rPr>
        <w:t>iesieniu do których deklaruje się zgodność produktu</w:t>
      </w:r>
      <w:r w:rsidR="008B35E8" w:rsidRPr="002866E5">
        <w:rPr>
          <w:noProof/>
        </w:rPr>
        <w:t xml:space="preserve"> z</w:t>
      </w:r>
      <w:r w:rsidR="008B35E8">
        <w:rPr>
          <w:noProof/>
        </w:rPr>
        <w:t> </w:t>
      </w:r>
      <w:r w:rsidR="008B35E8" w:rsidRPr="002866E5">
        <w:rPr>
          <w:noProof/>
        </w:rPr>
        <w:t>ele</w:t>
      </w:r>
      <w:r w:rsidR="00053BA7" w:rsidRPr="002866E5">
        <w:rPr>
          <w:noProof/>
        </w:rPr>
        <w:t>mentami cyfrowymi lub przez stosowanie których weryfikuje się jego zgodność.</w:t>
      </w:r>
    </w:p>
    <w:p w14:paraId="67ED8787" w14:textId="13B5D191" w:rsidR="00401C75" w:rsidRPr="002866E5" w:rsidRDefault="00B4087C" w:rsidP="00B4087C">
      <w:pPr>
        <w:pStyle w:val="ManualNumPar1"/>
        <w:rPr>
          <w:noProof/>
        </w:rPr>
      </w:pPr>
      <w:r w:rsidRPr="00B4087C">
        <w:t>10.</w:t>
      </w:r>
      <w:r w:rsidRPr="00B4087C">
        <w:tab/>
      </w:r>
      <w:r w:rsidR="00401C75" w:rsidRPr="002866E5">
        <w:rPr>
          <w:noProof/>
        </w:rPr>
        <w:t>Producenci zapewniają, aby do produktów</w:t>
      </w:r>
      <w:r w:rsidR="008B35E8" w:rsidRPr="002866E5">
        <w:rPr>
          <w:noProof/>
        </w:rPr>
        <w:t xml:space="preserve"> z</w:t>
      </w:r>
      <w:r w:rsidR="008B35E8">
        <w:rPr>
          <w:noProof/>
        </w:rPr>
        <w:t> </w:t>
      </w:r>
      <w:r w:rsidR="008B35E8" w:rsidRPr="002866E5">
        <w:rPr>
          <w:noProof/>
        </w:rPr>
        <w:t>ele</w:t>
      </w:r>
      <w:r w:rsidR="00401C75" w:rsidRPr="002866E5">
        <w:rPr>
          <w:noProof/>
        </w:rPr>
        <w:t>mentami cyfrowymi dołączano informacje</w:t>
      </w:r>
      <w:r w:rsidR="008B35E8" w:rsidRPr="002866E5">
        <w:rPr>
          <w:noProof/>
        </w:rPr>
        <w:t xml:space="preserve"> i</w:t>
      </w:r>
      <w:r w:rsidR="008B35E8">
        <w:rPr>
          <w:noProof/>
        </w:rPr>
        <w:t> </w:t>
      </w:r>
      <w:r w:rsidR="008B35E8" w:rsidRPr="002866E5">
        <w:rPr>
          <w:noProof/>
        </w:rPr>
        <w:t>ins</w:t>
      </w:r>
      <w:r w:rsidR="00401C75" w:rsidRPr="002866E5">
        <w:rPr>
          <w:noProof/>
        </w:rPr>
        <w:t>trukcje określone</w:t>
      </w:r>
      <w:r w:rsidR="008B35E8" w:rsidRPr="002866E5">
        <w:rPr>
          <w:noProof/>
        </w:rPr>
        <w:t xml:space="preserve"> w</w:t>
      </w:r>
      <w:r w:rsidR="008B35E8">
        <w:rPr>
          <w:noProof/>
        </w:rPr>
        <w:t> </w:t>
      </w:r>
      <w:r w:rsidR="008B35E8" w:rsidRPr="002866E5">
        <w:rPr>
          <w:noProof/>
        </w:rPr>
        <w:t>zał</w:t>
      </w:r>
      <w:r w:rsidR="00401C75" w:rsidRPr="002866E5">
        <w:rPr>
          <w:noProof/>
        </w:rPr>
        <w:t>ączniku II,</w:t>
      </w:r>
      <w:r w:rsidR="008B35E8" w:rsidRPr="002866E5">
        <w:rPr>
          <w:noProof/>
        </w:rPr>
        <w:t xml:space="preserve"> w</w:t>
      </w:r>
      <w:r w:rsidR="008B35E8">
        <w:rPr>
          <w:noProof/>
        </w:rPr>
        <w:t> </w:t>
      </w:r>
      <w:r w:rsidR="008B35E8" w:rsidRPr="002866E5">
        <w:rPr>
          <w:noProof/>
        </w:rPr>
        <w:t>pos</w:t>
      </w:r>
      <w:r w:rsidR="00401C75" w:rsidRPr="002866E5">
        <w:rPr>
          <w:noProof/>
        </w:rPr>
        <w:t>taci elektronicznej lub fizycznej. Takie informacje</w:t>
      </w:r>
      <w:r w:rsidR="008B35E8" w:rsidRPr="002866E5">
        <w:rPr>
          <w:noProof/>
        </w:rPr>
        <w:t xml:space="preserve"> i</w:t>
      </w:r>
      <w:r w:rsidR="008B35E8">
        <w:rPr>
          <w:noProof/>
        </w:rPr>
        <w:t> </w:t>
      </w:r>
      <w:r w:rsidR="008B35E8" w:rsidRPr="002866E5">
        <w:rPr>
          <w:noProof/>
        </w:rPr>
        <w:t>ins</w:t>
      </w:r>
      <w:r w:rsidR="00401C75" w:rsidRPr="002866E5">
        <w:rPr>
          <w:noProof/>
        </w:rPr>
        <w:t>trukcje podaje się</w:t>
      </w:r>
      <w:r w:rsidR="008B35E8" w:rsidRPr="002866E5">
        <w:rPr>
          <w:noProof/>
        </w:rPr>
        <w:t xml:space="preserve"> w</w:t>
      </w:r>
      <w:r w:rsidR="008B35E8">
        <w:rPr>
          <w:noProof/>
        </w:rPr>
        <w:t> </w:t>
      </w:r>
      <w:r w:rsidR="008B35E8" w:rsidRPr="002866E5">
        <w:rPr>
          <w:noProof/>
        </w:rPr>
        <w:t>jęz</w:t>
      </w:r>
      <w:r w:rsidR="00401C75" w:rsidRPr="002866E5">
        <w:rPr>
          <w:noProof/>
        </w:rPr>
        <w:t>yku łatwo zrozumiałym dla użytkowników. Muszą być one jasne, zrozumiałe, przystępne</w:t>
      </w:r>
      <w:r w:rsidR="008B35E8" w:rsidRPr="002866E5">
        <w:rPr>
          <w:noProof/>
        </w:rPr>
        <w:t xml:space="preserve"> i</w:t>
      </w:r>
      <w:r w:rsidR="008B35E8">
        <w:rPr>
          <w:noProof/>
        </w:rPr>
        <w:t> </w:t>
      </w:r>
      <w:r w:rsidR="008B35E8" w:rsidRPr="002866E5">
        <w:rPr>
          <w:noProof/>
        </w:rPr>
        <w:t>czy</w:t>
      </w:r>
      <w:r w:rsidR="00401C75" w:rsidRPr="002866E5">
        <w:rPr>
          <w:noProof/>
        </w:rPr>
        <w:t>telne. Umożliwiają one bezpieczną instalację, obsługę</w:t>
      </w:r>
      <w:r w:rsidR="008B35E8" w:rsidRPr="002866E5">
        <w:rPr>
          <w:noProof/>
        </w:rPr>
        <w:t xml:space="preserve"> i</w:t>
      </w:r>
      <w:r w:rsidR="008B35E8">
        <w:rPr>
          <w:noProof/>
        </w:rPr>
        <w:t> </w:t>
      </w:r>
      <w:r w:rsidR="008B35E8" w:rsidRPr="002866E5">
        <w:rPr>
          <w:noProof/>
        </w:rPr>
        <w:t>bez</w:t>
      </w:r>
      <w:r w:rsidR="00401C75" w:rsidRPr="002866E5">
        <w:rPr>
          <w:noProof/>
        </w:rPr>
        <w:t>pieczne użytkowanie produktów</w:t>
      </w:r>
      <w:r w:rsidR="008B35E8" w:rsidRPr="002866E5">
        <w:rPr>
          <w:noProof/>
        </w:rPr>
        <w:t xml:space="preserve"> z</w:t>
      </w:r>
      <w:r w:rsidR="008B35E8">
        <w:rPr>
          <w:noProof/>
        </w:rPr>
        <w:t> </w:t>
      </w:r>
      <w:r w:rsidR="008B35E8" w:rsidRPr="002866E5">
        <w:rPr>
          <w:noProof/>
        </w:rPr>
        <w:t>ele</w:t>
      </w:r>
      <w:r w:rsidR="00401C75" w:rsidRPr="002866E5">
        <w:rPr>
          <w:noProof/>
        </w:rPr>
        <w:t>mentami cyfrowymi.</w:t>
      </w:r>
    </w:p>
    <w:p w14:paraId="67ED8788" w14:textId="4CE1F661" w:rsidR="00401C75" w:rsidRPr="002866E5" w:rsidRDefault="00B4087C" w:rsidP="00B4087C">
      <w:pPr>
        <w:pStyle w:val="ManualNumPar1"/>
        <w:rPr>
          <w:noProof/>
        </w:rPr>
      </w:pPr>
      <w:r w:rsidRPr="00B4087C">
        <w:t>11.</w:t>
      </w:r>
      <w:r w:rsidRPr="00B4087C">
        <w:tab/>
      </w:r>
      <w:r w:rsidR="00401C75" w:rsidRPr="002866E5">
        <w:rPr>
          <w:noProof/>
        </w:rPr>
        <w:t>Producenci dołączają do produktu</w:t>
      </w:r>
      <w:r w:rsidR="008B35E8" w:rsidRPr="002866E5">
        <w:rPr>
          <w:noProof/>
        </w:rPr>
        <w:t xml:space="preserve"> z</w:t>
      </w:r>
      <w:r w:rsidR="008B35E8">
        <w:rPr>
          <w:noProof/>
        </w:rPr>
        <w:t> </w:t>
      </w:r>
      <w:r w:rsidR="008B35E8" w:rsidRPr="002866E5">
        <w:rPr>
          <w:noProof/>
        </w:rPr>
        <w:t>ele</w:t>
      </w:r>
      <w:r w:rsidR="00401C75" w:rsidRPr="002866E5">
        <w:rPr>
          <w:noProof/>
        </w:rPr>
        <w:t>mentami cyfrowymi deklarację zgodności UE albo umieszczają</w:t>
      </w:r>
      <w:r w:rsidR="008B35E8" w:rsidRPr="002866E5">
        <w:rPr>
          <w:noProof/>
        </w:rPr>
        <w:t xml:space="preserve"> w</w:t>
      </w:r>
      <w:r w:rsidR="008B35E8">
        <w:rPr>
          <w:noProof/>
        </w:rPr>
        <w:t> </w:t>
      </w:r>
      <w:r w:rsidR="008B35E8" w:rsidRPr="002866E5">
        <w:rPr>
          <w:noProof/>
        </w:rPr>
        <w:t>ins</w:t>
      </w:r>
      <w:r w:rsidR="00401C75" w:rsidRPr="002866E5">
        <w:rPr>
          <w:noProof/>
        </w:rPr>
        <w:t>trukcjach oraz informacjach określonych</w:t>
      </w:r>
      <w:r w:rsidR="008B35E8" w:rsidRPr="002866E5">
        <w:rPr>
          <w:noProof/>
        </w:rPr>
        <w:t xml:space="preserve"> w</w:t>
      </w:r>
      <w:r w:rsidR="008B35E8">
        <w:rPr>
          <w:noProof/>
        </w:rPr>
        <w:t> </w:t>
      </w:r>
      <w:r w:rsidR="008B35E8" w:rsidRPr="002866E5">
        <w:rPr>
          <w:noProof/>
        </w:rPr>
        <w:t>zał</w:t>
      </w:r>
      <w:r w:rsidR="00401C75" w:rsidRPr="002866E5">
        <w:rPr>
          <w:noProof/>
        </w:rPr>
        <w:t>ączniku II adres strony internetowej, na której jest dostępna deklaracja zgodności UE.</w:t>
      </w:r>
    </w:p>
    <w:p w14:paraId="67ED8789" w14:textId="2EC81532" w:rsidR="00DD5BE3" w:rsidRPr="002866E5" w:rsidRDefault="00B4087C" w:rsidP="00B4087C">
      <w:pPr>
        <w:pStyle w:val="ManualNumPar1"/>
        <w:rPr>
          <w:noProof/>
        </w:rPr>
      </w:pPr>
      <w:r w:rsidRPr="00B4087C">
        <w:t>12.</w:t>
      </w:r>
      <w:r w:rsidRPr="00B4087C">
        <w:tab/>
      </w:r>
      <w:r w:rsidR="00731448" w:rsidRPr="002866E5">
        <w:rPr>
          <w:noProof/>
        </w:rPr>
        <w:t>Od chwili wprowadzenia do obrotu</w:t>
      </w:r>
      <w:r w:rsidR="008B35E8" w:rsidRPr="002866E5">
        <w:rPr>
          <w:noProof/>
        </w:rPr>
        <w:t xml:space="preserve"> i</w:t>
      </w:r>
      <w:r w:rsidR="008B35E8">
        <w:rPr>
          <w:noProof/>
        </w:rPr>
        <w:t> </w:t>
      </w:r>
      <w:r w:rsidR="008B35E8" w:rsidRPr="002866E5">
        <w:rPr>
          <w:noProof/>
        </w:rPr>
        <w:t>prz</w:t>
      </w:r>
      <w:r w:rsidR="00731448" w:rsidRPr="002866E5">
        <w:rPr>
          <w:noProof/>
        </w:rPr>
        <w:t>ez cały oczekiwany okres eksploatacji produktu lub przez okres pięciu lat po wprowadzeniu do obrotu produktu</w:t>
      </w:r>
      <w:r w:rsidR="008B35E8" w:rsidRPr="002866E5">
        <w:rPr>
          <w:noProof/>
        </w:rPr>
        <w:t xml:space="preserve"> z</w:t>
      </w:r>
      <w:r w:rsidR="008B35E8">
        <w:rPr>
          <w:noProof/>
        </w:rPr>
        <w:t> </w:t>
      </w:r>
      <w:r w:rsidR="008B35E8" w:rsidRPr="002866E5">
        <w:rPr>
          <w:noProof/>
        </w:rPr>
        <w:t>ele</w:t>
      </w:r>
      <w:r w:rsidR="00731448" w:rsidRPr="002866E5">
        <w:rPr>
          <w:noProof/>
        </w:rPr>
        <w:t>mentami cyfrowymi,</w:t>
      </w:r>
      <w:r w:rsidR="008B35E8" w:rsidRPr="002866E5">
        <w:rPr>
          <w:noProof/>
        </w:rPr>
        <w:t xml:space="preserve"> w</w:t>
      </w:r>
      <w:r w:rsidR="008B35E8">
        <w:rPr>
          <w:noProof/>
        </w:rPr>
        <w:t> </w:t>
      </w:r>
      <w:r w:rsidR="008B35E8" w:rsidRPr="002866E5">
        <w:rPr>
          <w:noProof/>
        </w:rPr>
        <w:t>zal</w:t>
      </w:r>
      <w:r w:rsidR="00731448" w:rsidRPr="002866E5">
        <w:rPr>
          <w:noProof/>
        </w:rPr>
        <w:t>eżności od tego, który</w:t>
      </w:r>
      <w:r w:rsidR="008B35E8" w:rsidRPr="002866E5">
        <w:rPr>
          <w:noProof/>
        </w:rPr>
        <w:t xml:space="preserve"> z</w:t>
      </w:r>
      <w:r w:rsidR="008B35E8">
        <w:rPr>
          <w:noProof/>
        </w:rPr>
        <w:t> </w:t>
      </w:r>
      <w:r w:rsidR="008B35E8" w:rsidRPr="002866E5">
        <w:rPr>
          <w:noProof/>
        </w:rPr>
        <w:t>tyc</w:t>
      </w:r>
      <w:r w:rsidR="00731448" w:rsidRPr="002866E5">
        <w:rPr>
          <w:noProof/>
        </w:rPr>
        <w:t>h okresów jest krótszy, producenci, którzy wiedzą lub mają powody, by sądzić, że produkt</w:t>
      </w:r>
      <w:r w:rsidR="008B35E8" w:rsidRPr="002866E5">
        <w:rPr>
          <w:noProof/>
        </w:rPr>
        <w:t xml:space="preserve"> z</w:t>
      </w:r>
      <w:r w:rsidR="008B35E8">
        <w:rPr>
          <w:noProof/>
        </w:rPr>
        <w:t> </w:t>
      </w:r>
      <w:r w:rsidR="008B35E8" w:rsidRPr="002866E5">
        <w:rPr>
          <w:noProof/>
        </w:rPr>
        <w:t>ele</w:t>
      </w:r>
      <w:r w:rsidR="00731448" w:rsidRPr="002866E5">
        <w:rPr>
          <w:noProof/>
        </w:rPr>
        <w:t>mentami cyfrowymi lub procedury wprowadzone przez producenta nie są zgodne</w:t>
      </w:r>
      <w:r w:rsidR="008B35E8" w:rsidRPr="002866E5">
        <w:rPr>
          <w:noProof/>
        </w:rPr>
        <w:t xml:space="preserve"> z</w:t>
      </w:r>
      <w:r w:rsidR="008B35E8">
        <w:rPr>
          <w:noProof/>
        </w:rPr>
        <w:t> </w:t>
      </w:r>
      <w:r w:rsidR="008B35E8" w:rsidRPr="002866E5">
        <w:rPr>
          <w:noProof/>
        </w:rPr>
        <w:t>zas</w:t>
      </w:r>
      <w:r w:rsidR="00731448" w:rsidRPr="002866E5">
        <w:rPr>
          <w:noProof/>
        </w:rPr>
        <w:t>adniczymi wymogami określonymi</w:t>
      </w:r>
      <w:r w:rsidR="008B35E8" w:rsidRPr="002866E5">
        <w:rPr>
          <w:noProof/>
        </w:rPr>
        <w:t xml:space="preserve"> w</w:t>
      </w:r>
      <w:r w:rsidR="008B35E8">
        <w:rPr>
          <w:noProof/>
        </w:rPr>
        <w:t> </w:t>
      </w:r>
      <w:r w:rsidR="008B35E8" w:rsidRPr="002866E5">
        <w:rPr>
          <w:noProof/>
        </w:rPr>
        <w:t>zał</w:t>
      </w:r>
      <w:r w:rsidR="00731448" w:rsidRPr="002866E5">
        <w:rPr>
          <w:noProof/>
        </w:rPr>
        <w:t>ączniku I, niezwłocznie wprowadzają środki naprawcze niezbędne do zapewnienia zgodności tego produktu</w:t>
      </w:r>
      <w:r w:rsidR="008B35E8" w:rsidRPr="002866E5">
        <w:rPr>
          <w:noProof/>
        </w:rPr>
        <w:t xml:space="preserve"> z</w:t>
      </w:r>
      <w:r w:rsidR="008B35E8">
        <w:rPr>
          <w:noProof/>
        </w:rPr>
        <w:t> </w:t>
      </w:r>
      <w:r w:rsidR="008B35E8" w:rsidRPr="002866E5">
        <w:rPr>
          <w:noProof/>
        </w:rPr>
        <w:t>ele</w:t>
      </w:r>
      <w:r w:rsidR="00731448" w:rsidRPr="002866E5">
        <w:rPr>
          <w:noProof/>
        </w:rPr>
        <w:t>mentami cyfrowymi lub procedur producenta, do wycofania produktu</w:t>
      </w:r>
      <w:r w:rsidR="008B35E8" w:rsidRPr="002866E5">
        <w:rPr>
          <w:noProof/>
        </w:rPr>
        <w:t xml:space="preserve"> z</w:t>
      </w:r>
      <w:r w:rsidR="008B35E8">
        <w:rPr>
          <w:noProof/>
        </w:rPr>
        <w:t> </w:t>
      </w:r>
      <w:r w:rsidR="008B35E8" w:rsidRPr="002866E5">
        <w:rPr>
          <w:noProof/>
        </w:rPr>
        <w:t>obr</w:t>
      </w:r>
      <w:r w:rsidR="00731448" w:rsidRPr="002866E5">
        <w:rPr>
          <w:noProof/>
        </w:rPr>
        <w:t>otu lub odzyskania go,</w:t>
      </w:r>
      <w:r w:rsidR="008B35E8" w:rsidRPr="002866E5">
        <w:rPr>
          <w:noProof/>
        </w:rPr>
        <w:t xml:space="preserve"> w</w:t>
      </w:r>
      <w:r w:rsidR="008B35E8">
        <w:rPr>
          <w:noProof/>
        </w:rPr>
        <w:t> </w:t>
      </w:r>
      <w:r w:rsidR="008B35E8" w:rsidRPr="002866E5">
        <w:rPr>
          <w:noProof/>
        </w:rPr>
        <w:t>sto</w:t>
      </w:r>
      <w:r w:rsidR="00731448" w:rsidRPr="002866E5">
        <w:rPr>
          <w:noProof/>
        </w:rPr>
        <w:t>sownych przypadkach.</w:t>
      </w:r>
    </w:p>
    <w:p w14:paraId="67ED878A" w14:textId="5A88022B" w:rsidR="00BF2BC8" w:rsidRPr="002866E5" w:rsidRDefault="00B4087C" w:rsidP="00B4087C">
      <w:pPr>
        <w:pStyle w:val="ManualNumPar1"/>
        <w:rPr>
          <w:noProof/>
        </w:rPr>
      </w:pPr>
      <w:r w:rsidRPr="00B4087C">
        <w:t>13.</w:t>
      </w:r>
      <w:r w:rsidRPr="00B4087C">
        <w:tab/>
      </w:r>
      <w:r w:rsidR="00731448" w:rsidRPr="002866E5">
        <w:rPr>
          <w:noProof/>
        </w:rPr>
        <w:t>Na uzasadniony wniosek organu nadzoru rynku producenci przekazują temu organowi,</w:t>
      </w:r>
      <w:r w:rsidR="008B35E8" w:rsidRPr="002866E5">
        <w:rPr>
          <w:noProof/>
        </w:rPr>
        <w:t xml:space="preserve"> w</w:t>
      </w:r>
      <w:r w:rsidR="008B35E8">
        <w:rPr>
          <w:noProof/>
        </w:rPr>
        <w:t> </w:t>
      </w:r>
      <w:r w:rsidR="008B35E8" w:rsidRPr="002866E5">
        <w:rPr>
          <w:noProof/>
        </w:rPr>
        <w:t>łat</w:t>
      </w:r>
      <w:r w:rsidR="00731448" w:rsidRPr="002866E5">
        <w:rPr>
          <w:noProof/>
        </w:rPr>
        <w:t>wo zrozumiałym dla niego języku, wszelkie informacje</w:t>
      </w:r>
      <w:r w:rsidR="008B35E8" w:rsidRPr="002866E5">
        <w:rPr>
          <w:noProof/>
        </w:rPr>
        <w:t xml:space="preserve"> i</w:t>
      </w:r>
      <w:r w:rsidR="008B35E8">
        <w:rPr>
          <w:noProof/>
        </w:rPr>
        <w:t> </w:t>
      </w:r>
      <w:r w:rsidR="008B35E8" w:rsidRPr="002866E5">
        <w:rPr>
          <w:noProof/>
        </w:rPr>
        <w:t>dok</w:t>
      </w:r>
      <w:r w:rsidR="00731448" w:rsidRPr="002866E5">
        <w:rPr>
          <w:noProof/>
        </w:rPr>
        <w:t>umentację –</w:t>
      </w:r>
      <w:r w:rsidR="008B35E8" w:rsidRPr="002866E5">
        <w:rPr>
          <w:noProof/>
        </w:rPr>
        <w:t xml:space="preserve"> w</w:t>
      </w:r>
      <w:r w:rsidR="008B35E8">
        <w:rPr>
          <w:noProof/>
        </w:rPr>
        <w:t> </w:t>
      </w:r>
      <w:r w:rsidR="008B35E8" w:rsidRPr="002866E5">
        <w:rPr>
          <w:noProof/>
        </w:rPr>
        <w:t>for</w:t>
      </w:r>
      <w:r w:rsidR="00731448" w:rsidRPr="002866E5">
        <w:rPr>
          <w:noProof/>
        </w:rPr>
        <w:t>mie papierowej lub elektronicznej – niezbędne do wykazania zgodności produktu</w:t>
      </w:r>
      <w:r w:rsidR="008B35E8" w:rsidRPr="002866E5">
        <w:rPr>
          <w:noProof/>
        </w:rPr>
        <w:t xml:space="preserve"> z</w:t>
      </w:r>
      <w:r w:rsidR="008B35E8">
        <w:rPr>
          <w:noProof/>
        </w:rPr>
        <w:t> </w:t>
      </w:r>
      <w:r w:rsidR="008B35E8" w:rsidRPr="002866E5">
        <w:rPr>
          <w:noProof/>
        </w:rPr>
        <w:t>ele</w:t>
      </w:r>
      <w:r w:rsidR="00731448" w:rsidRPr="002866E5">
        <w:rPr>
          <w:noProof/>
        </w:rPr>
        <w:t>mentami cyfrowymi</w:t>
      </w:r>
      <w:r w:rsidR="008B35E8" w:rsidRPr="002866E5">
        <w:rPr>
          <w:noProof/>
        </w:rPr>
        <w:t xml:space="preserve"> i</w:t>
      </w:r>
      <w:r w:rsidR="008B35E8">
        <w:rPr>
          <w:noProof/>
        </w:rPr>
        <w:t> </w:t>
      </w:r>
      <w:r w:rsidR="008B35E8" w:rsidRPr="002866E5">
        <w:rPr>
          <w:noProof/>
        </w:rPr>
        <w:t>pro</w:t>
      </w:r>
      <w:r w:rsidR="00731448" w:rsidRPr="002866E5">
        <w:rPr>
          <w:noProof/>
        </w:rPr>
        <w:t>cedur wprowadzonych przez producenta</w:t>
      </w:r>
      <w:r w:rsidR="008B35E8" w:rsidRPr="002866E5">
        <w:rPr>
          <w:noProof/>
        </w:rPr>
        <w:t xml:space="preserve"> z</w:t>
      </w:r>
      <w:r w:rsidR="008B35E8">
        <w:rPr>
          <w:noProof/>
        </w:rPr>
        <w:t> </w:t>
      </w:r>
      <w:r w:rsidR="008B35E8" w:rsidRPr="002866E5">
        <w:rPr>
          <w:noProof/>
        </w:rPr>
        <w:t>zas</w:t>
      </w:r>
      <w:r w:rsidR="00731448" w:rsidRPr="002866E5">
        <w:rPr>
          <w:noProof/>
        </w:rPr>
        <w:t>adniczymi wymogami określonymi</w:t>
      </w:r>
      <w:r w:rsidR="008B35E8" w:rsidRPr="002866E5">
        <w:rPr>
          <w:noProof/>
        </w:rPr>
        <w:t xml:space="preserve"> w</w:t>
      </w:r>
      <w:r w:rsidR="008B35E8">
        <w:rPr>
          <w:noProof/>
        </w:rPr>
        <w:t> </w:t>
      </w:r>
      <w:r w:rsidR="008B35E8" w:rsidRPr="002866E5">
        <w:rPr>
          <w:noProof/>
        </w:rPr>
        <w:t>zał</w:t>
      </w:r>
      <w:r w:rsidR="00731448" w:rsidRPr="002866E5">
        <w:rPr>
          <w:noProof/>
        </w:rPr>
        <w:t>ączniku I. Na żądanie tego organu współpracują</w:t>
      </w:r>
      <w:r w:rsidR="008B35E8" w:rsidRPr="002866E5">
        <w:rPr>
          <w:noProof/>
        </w:rPr>
        <w:t xml:space="preserve"> z</w:t>
      </w:r>
      <w:r w:rsidR="008B35E8">
        <w:rPr>
          <w:noProof/>
        </w:rPr>
        <w:t> </w:t>
      </w:r>
      <w:r w:rsidR="008B35E8" w:rsidRPr="002866E5">
        <w:rPr>
          <w:noProof/>
        </w:rPr>
        <w:t>nim w</w:t>
      </w:r>
      <w:r w:rsidR="008B35E8">
        <w:rPr>
          <w:noProof/>
        </w:rPr>
        <w:t> </w:t>
      </w:r>
      <w:r w:rsidR="008B35E8" w:rsidRPr="002866E5">
        <w:rPr>
          <w:noProof/>
        </w:rPr>
        <w:t>zak</w:t>
      </w:r>
      <w:r w:rsidR="00731448" w:rsidRPr="002866E5">
        <w:rPr>
          <w:noProof/>
        </w:rPr>
        <w:t>resie wszelkich środków wprowadzonych</w:t>
      </w:r>
      <w:r w:rsidR="008B35E8" w:rsidRPr="002866E5">
        <w:rPr>
          <w:noProof/>
        </w:rPr>
        <w:t xml:space="preserve"> w</w:t>
      </w:r>
      <w:r w:rsidR="008B35E8">
        <w:rPr>
          <w:noProof/>
        </w:rPr>
        <w:t> </w:t>
      </w:r>
      <w:r w:rsidR="008B35E8" w:rsidRPr="002866E5">
        <w:rPr>
          <w:noProof/>
        </w:rPr>
        <w:t>cel</w:t>
      </w:r>
      <w:r w:rsidR="00731448" w:rsidRPr="002866E5">
        <w:rPr>
          <w:noProof/>
        </w:rPr>
        <w:t>u wyeliminowania ryzyka</w:t>
      </w:r>
      <w:r w:rsidR="008B35E8" w:rsidRPr="002866E5">
        <w:rPr>
          <w:noProof/>
        </w:rPr>
        <w:t xml:space="preserve"> w</w:t>
      </w:r>
      <w:r w:rsidR="008B35E8">
        <w:rPr>
          <w:noProof/>
        </w:rPr>
        <w:t> </w:t>
      </w:r>
      <w:r w:rsidR="008B35E8" w:rsidRPr="002866E5">
        <w:rPr>
          <w:noProof/>
        </w:rPr>
        <w:t>cyb</w:t>
      </w:r>
      <w:r w:rsidR="00731448" w:rsidRPr="002866E5">
        <w:rPr>
          <w:noProof/>
        </w:rPr>
        <w:t>erprzestrzeni, jakie stwarza produkt</w:t>
      </w:r>
      <w:r w:rsidR="008B35E8" w:rsidRPr="002866E5">
        <w:rPr>
          <w:noProof/>
        </w:rPr>
        <w:t xml:space="preserve"> z</w:t>
      </w:r>
      <w:r w:rsidR="008B35E8">
        <w:rPr>
          <w:noProof/>
        </w:rPr>
        <w:t> </w:t>
      </w:r>
      <w:r w:rsidR="008B35E8" w:rsidRPr="002866E5">
        <w:rPr>
          <w:noProof/>
        </w:rPr>
        <w:t>ele</w:t>
      </w:r>
      <w:r w:rsidR="00731448" w:rsidRPr="002866E5">
        <w:rPr>
          <w:noProof/>
        </w:rPr>
        <w:t>mentami cyfrowymi wprowadzony przez nich do obrotu.</w:t>
      </w:r>
    </w:p>
    <w:p w14:paraId="67ED878B" w14:textId="6E9B653F" w:rsidR="00BF2BC8" w:rsidRPr="002866E5" w:rsidRDefault="00B4087C" w:rsidP="00B4087C">
      <w:pPr>
        <w:pStyle w:val="ManualNumPar1"/>
        <w:rPr>
          <w:noProof/>
        </w:rPr>
      </w:pPr>
      <w:r w:rsidRPr="00B4087C">
        <w:t>14.</w:t>
      </w:r>
      <w:r w:rsidRPr="00B4087C">
        <w:tab/>
      </w:r>
      <w:r w:rsidR="007C40FB" w:rsidRPr="002866E5">
        <w:rPr>
          <w:noProof/>
        </w:rPr>
        <w:t>Producent, który zaprzestaje działalności</w:t>
      </w:r>
      <w:r w:rsidR="008B35E8" w:rsidRPr="002866E5">
        <w:rPr>
          <w:noProof/>
        </w:rPr>
        <w:t xml:space="preserve"> i</w:t>
      </w:r>
      <w:r w:rsidR="008B35E8">
        <w:rPr>
          <w:noProof/>
        </w:rPr>
        <w:t> </w:t>
      </w:r>
      <w:r w:rsidR="008B35E8" w:rsidRPr="002866E5">
        <w:rPr>
          <w:noProof/>
        </w:rPr>
        <w:t>w</w:t>
      </w:r>
      <w:r w:rsidR="008B35E8">
        <w:rPr>
          <w:noProof/>
        </w:rPr>
        <w:t> </w:t>
      </w:r>
      <w:r w:rsidR="008B35E8" w:rsidRPr="002866E5">
        <w:rPr>
          <w:noProof/>
        </w:rPr>
        <w:t>rez</w:t>
      </w:r>
      <w:r w:rsidR="007C40FB" w:rsidRPr="002866E5">
        <w:rPr>
          <w:noProof/>
        </w:rPr>
        <w:t>ultacie nie jest</w:t>
      </w:r>
      <w:r w:rsidR="008B35E8" w:rsidRPr="002866E5">
        <w:rPr>
          <w:noProof/>
        </w:rPr>
        <w:t xml:space="preserve"> w</w:t>
      </w:r>
      <w:r w:rsidR="008B35E8">
        <w:rPr>
          <w:noProof/>
        </w:rPr>
        <w:t> </w:t>
      </w:r>
      <w:r w:rsidR="008B35E8" w:rsidRPr="002866E5">
        <w:rPr>
          <w:noProof/>
        </w:rPr>
        <w:t>sta</w:t>
      </w:r>
      <w:r w:rsidR="007C40FB" w:rsidRPr="002866E5">
        <w:rPr>
          <w:noProof/>
        </w:rPr>
        <w:t>nie spełnić obowiązków ustanowionych</w:t>
      </w:r>
      <w:r w:rsidR="008B35E8" w:rsidRPr="002866E5">
        <w:rPr>
          <w:noProof/>
        </w:rPr>
        <w:t xml:space="preserve"> w</w:t>
      </w:r>
      <w:r w:rsidR="008B35E8">
        <w:rPr>
          <w:noProof/>
        </w:rPr>
        <w:t> </w:t>
      </w:r>
      <w:r w:rsidR="008B35E8" w:rsidRPr="002866E5">
        <w:rPr>
          <w:noProof/>
        </w:rPr>
        <w:t>nin</w:t>
      </w:r>
      <w:r w:rsidR="007C40FB" w:rsidRPr="002866E5">
        <w:rPr>
          <w:noProof/>
        </w:rPr>
        <w:t>iejszym rozporządzeniu, informuje</w:t>
      </w:r>
      <w:r w:rsidR="008B35E8" w:rsidRPr="002866E5">
        <w:rPr>
          <w:noProof/>
        </w:rPr>
        <w:t xml:space="preserve"> o</w:t>
      </w:r>
      <w:r w:rsidR="008B35E8">
        <w:rPr>
          <w:noProof/>
        </w:rPr>
        <w:t> </w:t>
      </w:r>
      <w:r w:rsidR="008B35E8" w:rsidRPr="002866E5">
        <w:rPr>
          <w:noProof/>
        </w:rPr>
        <w:t>tej</w:t>
      </w:r>
      <w:r w:rsidR="007C40FB" w:rsidRPr="002866E5">
        <w:rPr>
          <w:noProof/>
        </w:rPr>
        <w:t xml:space="preserve"> sytuacji </w:t>
      </w:r>
      <w:r w:rsidR="007C40FB" w:rsidRPr="002866E5">
        <w:rPr>
          <w:noProof/>
        </w:rPr>
        <w:lastRenderedPageBreak/>
        <w:t>przed zaprzestaniem działalności odpowiednie organy nadzoru rynku,</w:t>
      </w:r>
      <w:r w:rsidR="008B35E8" w:rsidRPr="002866E5">
        <w:rPr>
          <w:noProof/>
        </w:rPr>
        <w:t xml:space="preserve"> a</w:t>
      </w:r>
      <w:r w:rsidR="008B35E8">
        <w:rPr>
          <w:noProof/>
        </w:rPr>
        <w:t> </w:t>
      </w:r>
      <w:r w:rsidR="008B35E8" w:rsidRPr="002866E5">
        <w:rPr>
          <w:noProof/>
        </w:rPr>
        <w:t>tak</w:t>
      </w:r>
      <w:r w:rsidR="007C40FB" w:rsidRPr="002866E5">
        <w:rPr>
          <w:noProof/>
        </w:rPr>
        <w:t>że, za pomocą wszelkich dostępnych środków</w:t>
      </w:r>
      <w:r w:rsidR="008B35E8" w:rsidRPr="002866E5">
        <w:rPr>
          <w:noProof/>
        </w:rPr>
        <w:t xml:space="preserve"> i</w:t>
      </w:r>
      <w:r w:rsidR="008B35E8">
        <w:rPr>
          <w:noProof/>
        </w:rPr>
        <w:t> </w:t>
      </w:r>
      <w:r w:rsidR="008B35E8" w:rsidRPr="002866E5">
        <w:rPr>
          <w:noProof/>
        </w:rPr>
        <w:t>w</w:t>
      </w:r>
      <w:r w:rsidR="008B35E8">
        <w:rPr>
          <w:noProof/>
        </w:rPr>
        <w:t> </w:t>
      </w:r>
      <w:r w:rsidR="008B35E8" w:rsidRPr="002866E5">
        <w:rPr>
          <w:noProof/>
        </w:rPr>
        <w:t>moż</w:t>
      </w:r>
      <w:r w:rsidR="007C40FB" w:rsidRPr="002866E5">
        <w:rPr>
          <w:noProof/>
        </w:rPr>
        <w:t>liwie jak najszerszym zakresie, użytkowników odnośnych produktów</w:t>
      </w:r>
      <w:r w:rsidR="008B35E8" w:rsidRPr="002866E5">
        <w:rPr>
          <w:noProof/>
        </w:rPr>
        <w:t xml:space="preserve"> z</w:t>
      </w:r>
      <w:r w:rsidR="008B35E8">
        <w:rPr>
          <w:noProof/>
        </w:rPr>
        <w:t> </w:t>
      </w:r>
      <w:r w:rsidR="008B35E8" w:rsidRPr="002866E5">
        <w:rPr>
          <w:noProof/>
        </w:rPr>
        <w:t>ele</w:t>
      </w:r>
      <w:r w:rsidR="007C40FB" w:rsidRPr="002866E5">
        <w:rPr>
          <w:noProof/>
        </w:rPr>
        <w:t>mentami cyfrowymi wprowadzonych do obrotu.</w:t>
      </w:r>
    </w:p>
    <w:p w14:paraId="67ED878C" w14:textId="0D1EB892" w:rsidR="00285B6C" w:rsidRPr="002866E5" w:rsidRDefault="00B4087C" w:rsidP="00B4087C">
      <w:pPr>
        <w:pStyle w:val="ManualNumPar1"/>
        <w:rPr>
          <w:noProof/>
        </w:rPr>
      </w:pPr>
      <w:r w:rsidRPr="00B4087C">
        <w:t>15.</w:t>
      </w:r>
      <w:r w:rsidRPr="00B4087C">
        <w:tab/>
      </w:r>
      <w:r w:rsidR="00285B6C" w:rsidRPr="002866E5">
        <w:rPr>
          <w:noProof/>
        </w:rPr>
        <w:t>Komisja może</w:t>
      </w:r>
      <w:r w:rsidR="008B35E8" w:rsidRPr="002866E5">
        <w:rPr>
          <w:noProof/>
        </w:rPr>
        <w:t xml:space="preserve"> w</w:t>
      </w:r>
      <w:r w:rsidR="008B35E8">
        <w:rPr>
          <w:noProof/>
        </w:rPr>
        <w:t> </w:t>
      </w:r>
      <w:r w:rsidR="008B35E8" w:rsidRPr="002866E5">
        <w:rPr>
          <w:noProof/>
        </w:rPr>
        <w:t>dro</w:t>
      </w:r>
      <w:r w:rsidR="00285B6C" w:rsidRPr="002866E5">
        <w:rPr>
          <w:noProof/>
        </w:rPr>
        <w:t>dze aktów wykonawczych określić format</w:t>
      </w:r>
      <w:r w:rsidR="008B35E8" w:rsidRPr="002866E5">
        <w:rPr>
          <w:noProof/>
        </w:rPr>
        <w:t xml:space="preserve"> i</w:t>
      </w:r>
      <w:r w:rsidR="008B35E8">
        <w:rPr>
          <w:noProof/>
        </w:rPr>
        <w:t> </w:t>
      </w:r>
      <w:r w:rsidR="008B35E8" w:rsidRPr="002866E5">
        <w:rPr>
          <w:noProof/>
        </w:rPr>
        <w:t>ele</w:t>
      </w:r>
      <w:r w:rsidR="00285B6C" w:rsidRPr="002866E5">
        <w:rPr>
          <w:noProof/>
        </w:rPr>
        <w:t>menty zestawienia podstawowych materiałów do produkcji oprogramowania określonego</w:t>
      </w:r>
      <w:r w:rsidR="008B35E8" w:rsidRPr="002866E5">
        <w:rPr>
          <w:noProof/>
        </w:rPr>
        <w:t xml:space="preserve"> w</w:t>
      </w:r>
      <w:r w:rsidR="008B35E8">
        <w:rPr>
          <w:noProof/>
        </w:rPr>
        <w:t> </w:t>
      </w:r>
      <w:r w:rsidR="008B35E8" w:rsidRPr="002866E5">
        <w:rPr>
          <w:noProof/>
        </w:rPr>
        <w:t>sek</w:t>
      </w:r>
      <w:r w:rsidR="00285B6C" w:rsidRPr="002866E5">
        <w:rPr>
          <w:noProof/>
        </w:rPr>
        <w:t xml:space="preserve">cji 2 </w:t>
      </w:r>
      <w:r w:rsidR="00285B6C" w:rsidRPr="008B35E8">
        <w:rPr>
          <w:noProof/>
        </w:rPr>
        <w:t>pkt</w:t>
      </w:r>
      <w:r w:rsidR="008B35E8" w:rsidRPr="008B35E8">
        <w:rPr>
          <w:noProof/>
        </w:rPr>
        <w:t> </w:t>
      </w:r>
      <w:r w:rsidR="00285B6C" w:rsidRPr="008B35E8">
        <w:rPr>
          <w:noProof/>
        </w:rPr>
        <w:t>1</w:t>
      </w:r>
      <w:r w:rsidR="00285B6C" w:rsidRPr="002866E5">
        <w:rPr>
          <w:noProof/>
        </w:rPr>
        <w:t xml:space="preserve"> załącznika I. Te akty wykonawcze przyjmuje się zgodnie</w:t>
      </w:r>
      <w:r w:rsidR="008B35E8" w:rsidRPr="002866E5">
        <w:rPr>
          <w:noProof/>
        </w:rPr>
        <w:t xml:space="preserve"> z</w:t>
      </w:r>
      <w:r w:rsidR="008B35E8">
        <w:rPr>
          <w:noProof/>
        </w:rPr>
        <w:t> </w:t>
      </w:r>
      <w:r w:rsidR="008B35E8" w:rsidRPr="002866E5">
        <w:rPr>
          <w:noProof/>
        </w:rPr>
        <w:t>pro</w:t>
      </w:r>
      <w:r w:rsidR="00285B6C" w:rsidRPr="002866E5">
        <w:rPr>
          <w:noProof/>
        </w:rPr>
        <w:t>cedurą sprawdzającą,</w:t>
      </w:r>
      <w:r w:rsidR="008B35E8" w:rsidRPr="002866E5">
        <w:rPr>
          <w:noProof/>
        </w:rPr>
        <w:t xml:space="preserve"> o</w:t>
      </w:r>
      <w:r w:rsidR="008B35E8">
        <w:rPr>
          <w:noProof/>
        </w:rPr>
        <w:t> </w:t>
      </w:r>
      <w:r w:rsidR="008B35E8" w:rsidRPr="002866E5">
        <w:rPr>
          <w:noProof/>
        </w:rPr>
        <w:t>któ</w:t>
      </w:r>
      <w:r w:rsidR="00285B6C" w:rsidRPr="002866E5">
        <w:rPr>
          <w:noProof/>
        </w:rPr>
        <w:t>rej mowa</w:t>
      </w:r>
      <w:r w:rsidR="008B35E8" w:rsidRPr="002866E5">
        <w:rPr>
          <w:noProof/>
        </w:rPr>
        <w:t xml:space="preserve"> w</w:t>
      </w:r>
      <w:r w:rsidR="008B35E8">
        <w:rPr>
          <w:noProof/>
        </w:rPr>
        <w:t> </w:t>
      </w:r>
      <w:r w:rsidR="008B35E8" w:rsidRPr="008B35E8">
        <w:rPr>
          <w:noProof/>
        </w:rPr>
        <w:t>art</w:t>
      </w:r>
      <w:r w:rsidR="00285B6C" w:rsidRPr="008B35E8">
        <w:rPr>
          <w:noProof/>
        </w:rPr>
        <w:t>.</w:t>
      </w:r>
      <w:r w:rsidR="008B35E8" w:rsidRPr="008B35E8">
        <w:rPr>
          <w:noProof/>
        </w:rPr>
        <w:t> </w:t>
      </w:r>
      <w:r w:rsidR="00285B6C" w:rsidRPr="008B35E8">
        <w:rPr>
          <w:noProof/>
        </w:rPr>
        <w:t>5</w:t>
      </w:r>
      <w:r w:rsidR="00285B6C" w:rsidRPr="002866E5">
        <w:rPr>
          <w:noProof/>
        </w:rPr>
        <w:t xml:space="preserve">1 </w:t>
      </w:r>
      <w:r w:rsidR="00285B6C" w:rsidRPr="008B35E8">
        <w:rPr>
          <w:noProof/>
        </w:rPr>
        <w:t>ust.</w:t>
      </w:r>
      <w:r w:rsidR="008B35E8" w:rsidRPr="008B35E8">
        <w:rPr>
          <w:noProof/>
        </w:rPr>
        <w:t> </w:t>
      </w:r>
      <w:r w:rsidR="00285B6C" w:rsidRPr="008B35E8">
        <w:rPr>
          <w:noProof/>
        </w:rPr>
        <w:t>2</w:t>
      </w:r>
      <w:r w:rsidR="00285B6C" w:rsidRPr="002866E5">
        <w:rPr>
          <w:noProof/>
        </w:rPr>
        <w:t>.</w:t>
      </w:r>
    </w:p>
    <w:p w14:paraId="67ED878D" w14:textId="3581D5F6" w:rsidR="005F3239" w:rsidRPr="002866E5" w:rsidRDefault="005F3239" w:rsidP="0027065F">
      <w:pPr>
        <w:pStyle w:val="Titrearticle0"/>
        <w:rPr>
          <w:noProof/>
        </w:rPr>
      </w:pPr>
      <w:r w:rsidRPr="002866E5">
        <w:rPr>
          <w:noProof/>
        </w:rPr>
        <w:t>Artykuł 11</w:t>
      </w:r>
    </w:p>
    <w:p w14:paraId="67ED878E" w14:textId="75B4BA94" w:rsidR="00C631DD" w:rsidRPr="002866E5" w:rsidRDefault="00C631DD" w:rsidP="00084E38">
      <w:pPr>
        <w:jc w:val="center"/>
        <w:rPr>
          <w:i/>
          <w:noProof/>
        </w:rPr>
      </w:pPr>
      <w:r w:rsidRPr="002866E5">
        <w:rPr>
          <w:i/>
          <w:noProof/>
        </w:rPr>
        <w:t>Obowiązki producentów</w:t>
      </w:r>
      <w:r w:rsidR="008B35E8" w:rsidRPr="002866E5">
        <w:rPr>
          <w:i/>
          <w:noProof/>
        </w:rPr>
        <w:t xml:space="preserve"> w</w:t>
      </w:r>
      <w:r w:rsidR="008B35E8">
        <w:rPr>
          <w:i/>
          <w:noProof/>
        </w:rPr>
        <w:t> </w:t>
      </w:r>
      <w:r w:rsidR="008B35E8" w:rsidRPr="002866E5">
        <w:rPr>
          <w:i/>
          <w:noProof/>
        </w:rPr>
        <w:t>zak</w:t>
      </w:r>
      <w:r w:rsidRPr="002866E5">
        <w:rPr>
          <w:i/>
          <w:noProof/>
        </w:rPr>
        <w:t>resie zgłaszania incydentów</w:t>
      </w:r>
    </w:p>
    <w:p w14:paraId="67ED878F" w14:textId="4DD20536" w:rsidR="00CA5206" w:rsidRPr="002866E5" w:rsidRDefault="00B4087C" w:rsidP="00B4087C">
      <w:pPr>
        <w:pStyle w:val="ManualNumPar1"/>
        <w:rPr>
          <w:noProof/>
        </w:rPr>
      </w:pPr>
      <w:r w:rsidRPr="00B4087C">
        <w:t>1.</w:t>
      </w:r>
      <w:r w:rsidRPr="00B4087C">
        <w:tab/>
      </w:r>
      <w:r w:rsidR="00335924" w:rsidRPr="002866E5">
        <w:rPr>
          <w:noProof/>
        </w:rPr>
        <w:t>Producent bez zbędnej zwłoki,</w:t>
      </w:r>
      <w:r w:rsidR="008B35E8" w:rsidRPr="002866E5">
        <w:rPr>
          <w:noProof/>
        </w:rPr>
        <w:t xml:space="preserve"> a</w:t>
      </w:r>
      <w:r w:rsidR="008B35E8">
        <w:rPr>
          <w:noProof/>
        </w:rPr>
        <w:t> </w:t>
      </w:r>
      <w:r w:rsidR="008B35E8" w:rsidRPr="002866E5">
        <w:rPr>
          <w:noProof/>
        </w:rPr>
        <w:t>w</w:t>
      </w:r>
      <w:r w:rsidR="008B35E8">
        <w:rPr>
          <w:noProof/>
        </w:rPr>
        <w:t> </w:t>
      </w:r>
      <w:r w:rsidR="008B35E8" w:rsidRPr="002866E5">
        <w:rPr>
          <w:noProof/>
        </w:rPr>
        <w:t>każ</w:t>
      </w:r>
      <w:r w:rsidR="00335924" w:rsidRPr="002866E5">
        <w:rPr>
          <w:noProof/>
        </w:rPr>
        <w:t>dym razie</w:t>
      </w:r>
      <w:r w:rsidR="008B35E8" w:rsidRPr="002866E5">
        <w:rPr>
          <w:noProof/>
        </w:rPr>
        <w:t xml:space="preserve"> w</w:t>
      </w:r>
      <w:r w:rsidR="008B35E8">
        <w:rPr>
          <w:noProof/>
        </w:rPr>
        <w:t> </w:t>
      </w:r>
      <w:r w:rsidR="008B35E8" w:rsidRPr="002866E5">
        <w:rPr>
          <w:noProof/>
        </w:rPr>
        <w:t>ter</w:t>
      </w:r>
      <w:r w:rsidR="00335924" w:rsidRPr="002866E5">
        <w:rPr>
          <w:noProof/>
        </w:rPr>
        <w:t>minie 24 godzin od uzyskania informacji</w:t>
      </w:r>
      <w:r w:rsidR="008B35E8" w:rsidRPr="002866E5">
        <w:rPr>
          <w:noProof/>
        </w:rPr>
        <w:t xml:space="preserve"> o</w:t>
      </w:r>
      <w:r w:rsidR="008B35E8">
        <w:rPr>
          <w:noProof/>
        </w:rPr>
        <w:t> </w:t>
      </w:r>
      <w:r w:rsidR="008B35E8" w:rsidRPr="002866E5">
        <w:rPr>
          <w:noProof/>
        </w:rPr>
        <w:t>jak</w:t>
      </w:r>
      <w:r w:rsidR="00335924" w:rsidRPr="002866E5">
        <w:rPr>
          <w:noProof/>
        </w:rPr>
        <w:t>iejkolwiek aktywnie wykorzystywanej podatności zawartej</w:t>
      </w:r>
      <w:r w:rsidR="008B35E8" w:rsidRPr="002866E5">
        <w:rPr>
          <w:noProof/>
        </w:rPr>
        <w:t xml:space="preserve"> w</w:t>
      </w:r>
      <w:r w:rsidR="008B35E8">
        <w:rPr>
          <w:noProof/>
        </w:rPr>
        <w:t> </w:t>
      </w:r>
      <w:r w:rsidR="008B35E8" w:rsidRPr="002866E5">
        <w:rPr>
          <w:noProof/>
        </w:rPr>
        <w:t>pro</w:t>
      </w:r>
      <w:r w:rsidR="00335924" w:rsidRPr="002866E5">
        <w:rPr>
          <w:noProof/>
        </w:rPr>
        <w:t>dukcie</w:t>
      </w:r>
      <w:r w:rsidR="008B35E8" w:rsidRPr="002866E5">
        <w:rPr>
          <w:noProof/>
        </w:rPr>
        <w:t xml:space="preserve"> z</w:t>
      </w:r>
      <w:r w:rsidR="008B35E8">
        <w:rPr>
          <w:noProof/>
        </w:rPr>
        <w:t> </w:t>
      </w:r>
      <w:r w:rsidR="008B35E8" w:rsidRPr="002866E5">
        <w:rPr>
          <w:noProof/>
        </w:rPr>
        <w:t>ele</w:t>
      </w:r>
      <w:r w:rsidR="00335924" w:rsidRPr="002866E5">
        <w:rPr>
          <w:noProof/>
        </w:rPr>
        <w:t>mentami cyfrowymi zgłasza taką podatność ENISA</w:t>
      </w:r>
      <w:r w:rsidR="008B35E8" w:rsidRPr="002866E5">
        <w:rPr>
          <w:noProof/>
        </w:rPr>
        <w:t>. W</w:t>
      </w:r>
      <w:r w:rsidR="008B35E8">
        <w:rPr>
          <w:noProof/>
        </w:rPr>
        <w:t> </w:t>
      </w:r>
      <w:r w:rsidR="008B35E8" w:rsidRPr="002866E5">
        <w:rPr>
          <w:noProof/>
        </w:rPr>
        <w:t>zgł</w:t>
      </w:r>
      <w:r w:rsidR="00335924" w:rsidRPr="002866E5">
        <w:rPr>
          <w:noProof/>
        </w:rPr>
        <w:t>oszeniu tym podaje się szczegóły dotyczące tej podatności oraz,</w:t>
      </w:r>
      <w:r w:rsidR="008B35E8" w:rsidRPr="002866E5">
        <w:rPr>
          <w:noProof/>
        </w:rPr>
        <w:t xml:space="preserve"> w</w:t>
      </w:r>
      <w:r w:rsidR="008B35E8">
        <w:rPr>
          <w:noProof/>
        </w:rPr>
        <w:t> </w:t>
      </w:r>
      <w:r w:rsidR="008B35E8" w:rsidRPr="002866E5">
        <w:rPr>
          <w:noProof/>
        </w:rPr>
        <w:t>sto</w:t>
      </w:r>
      <w:r w:rsidR="00335924" w:rsidRPr="002866E5">
        <w:rPr>
          <w:noProof/>
        </w:rPr>
        <w:t>sownych przypadkach, wszelkie wprowadzone środki naprawcze lub łagodzące. Po otrzymaniu zgłoszenia ENISA bez zbędnej zwłoki, chyba że opóźnienie wynika</w:t>
      </w:r>
      <w:r w:rsidR="008B35E8" w:rsidRPr="002866E5">
        <w:rPr>
          <w:noProof/>
        </w:rPr>
        <w:t xml:space="preserve"> z</w:t>
      </w:r>
      <w:r w:rsidR="008B35E8">
        <w:rPr>
          <w:noProof/>
        </w:rPr>
        <w:t> </w:t>
      </w:r>
      <w:r w:rsidR="008B35E8" w:rsidRPr="002866E5">
        <w:rPr>
          <w:noProof/>
        </w:rPr>
        <w:t>uza</w:t>
      </w:r>
      <w:r w:rsidR="00335924" w:rsidRPr="002866E5">
        <w:rPr>
          <w:noProof/>
        </w:rPr>
        <w:t>sadnionych przyczyn związanych</w:t>
      </w:r>
      <w:r w:rsidR="008B35E8" w:rsidRPr="002866E5">
        <w:rPr>
          <w:noProof/>
        </w:rPr>
        <w:t xml:space="preserve"> z</w:t>
      </w:r>
      <w:r w:rsidR="008B35E8">
        <w:rPr>
          <w:noProof/>
        </w:rPr>
        <w:t> </w:t>
      </w:r>
      <w:r w:rsidR="008B35E8" w:rsidRPr="002866E5">
        <w:rPr>
          <w:noProof/>
        </w:rPr>
        <w:t>ryz</w:t>
      </w:r>
      <w:r w:rsidR="00335924" w:rsidRPr="002866E5">
        <w:rPr>
          <w:noProof/>
        </w:rPr>
        <w:t>ykiem</w:t>
      </w:r>
      <w:r w:rsidR="008B35E8" w:rsidRPr="002866E5">
        <w:rPr>
          <w:noProof/>
        </w:rPr>
        <w:t xml:space="preserve"> w</w:t>
      </w:r>
      <w:r w:rsidR="008B35E8">
        <w:rPr>
          <w:noProof/>
        </w:rPr>
        <w:t> </w:t>
      </w:r>
      <w:r w:rsidR="008B35E8" w:rsidRPr="002866E5">
        <w:rPr>
          <w:noProof/>
        </w:rPr>
        <w:t>cyb</w:t>
      </w:r>
      <w:r w:rsidR="00335924" w:rsidRPr="002866E5">
        <w:rPr>
          <w:noProof/>
        </w:rPr>
        <w:t>erprzestrzeni, przekazuje je do CSIRT wyznaczonego do celów skoordynowanego ujawniania podatności</w:t>
      </w:r>
      <w:r w:rsidR="008B35E8" w:rsidRPr="002866E5">
        <w:rPr>
          <w:noProof/>
        </w:rPr>
        <w:t xml:space="preserve"> w</w:t>
      </w:r>
      <w:r w:rsidR="008B35E8">
        <w:rPr>
          <w:noProof/>
        </w:rPr>
        <w:t> </w:t>
      </w:r>
      <w:r w:rsidR="008B35E8" w:rsidRPr="002866E5">
        <w:rPr>
          <w:noProof/>
        </w:rPr>
        <w:t>zai</w:t>
      </w:r>
      <w:r w:rsidR="00335924" w:rsidRPr="002866E5">
        <w:rPr>
          <w:noProof/>
        </w:rPr>
        <w:t>nteresowanym państwie członkowskim zgodnie</w:t>
      </w:r>
      <w:r w:rsidR="008B35E8" w:rsidRPr="002866E5">
        <w:rPr>
          <w:noProof/>
        </w:rPr>
        <w:t xml:space="preserve"> z</w:t>
      </w:r>
      <w:r w:rsidR="008B35E8">
        <w:rPr>
          <w:noProof/>
        </w:rPr>
        <w:t> </w:t>
      </w:r>
      <w:r w:rsidR="008B35E8" w:rsidRPr="002866E5">
        <w:rPr>
          <w:noProof/>
        </w:rPr>
        <w:t>art</w:t>
      </w:r>
      <w:r w:rsidR="00335924" w:rsidRPr="002866E5">
        <w:rPr>
          <w:noProof/>
        </w:rPr>
        <w:t>. [art. X] dyrektywy [dyrektywy XXX/XXXX (NIS 2)],</w:t>
      </w:r>
      <w:r w:rsidR="008B35E8" w:rsidRPr="002866E5">
        <w:rPr>
          <w:noProof/>
        </w:rPr>
        <w:t xml:space="preserve"> a</w:t>
      </w:r>
      <w:r w:rsidR="008B35E8">
        <w:rPr>
          <w:noProof/>
        </w:rPr>
        <w:t> </w:t>
      </w:r>
      <w:r w:rsidR="008B35E8" w:rsidRPr="002866E5">
        <w:rPr>
          <w:noProof/>
        </w:rPr>
        <w:t>tak</w:t>
      </w:r>
      <w:r w:rsidR="00335924" w:rsidRPr="002866E5">
        <w:rPr>
          <w:noProof/>
        </w:rPr>
        <w:t>że informuje organ nadzoru rynku</w:t>
      </w:r>
      <w:r w:rsidR="008B35E8" w:rsidRPr="002866E5">
        <w:rPr>
          <w:noProof/>
        </w:rPr>
        <w:t xml:space="preserve"> o</w:t>
      </w:r>
      <w:r w:rsidR="008B35E8">
        <w:rPr>
          <w:noProof/>
        </w:rPr>
        <w:t> </w:t>
      </w:r>
      <w:r w:rsidR="008B35E8" w:rsidRPr="002866E5">
        <w:rPr>
          <w:noProof/>
        </w:rPr>
        <w:t>zgł</w:t>
      </w:r>
      <w:r w:rsidR="00335924" w:rsidRPr="002866E5">
        <w:rPr>
          <w:noProof/>
        </w:rPr>
        <w:t xml:space="preserve">oszonej podatności. </w:t>
      </w:r>
    </w:p>
    <w:p w14:paraId="67ED8790" w14:textId="0FDDDF73" w:rsidR="006739F8" w:rsidRPr="002866E5" w:rsidRDefault="00B4087C" w:rsidP="00B4087C">
      <w:pPr>
        <w:pStyle w:val="ManualNumPar1"/>
        <w:rPr>
          <w:noProof/>
        </w:rPr>
      </w:pPr>
      <w:r w:rsidRPr="00B4087C">
        <w:t>2.</w:t>
      </w:r>
      <w:r w:rsidRPr="00B4087C">
        <w:tab/>
      </w:r>
      <w:r w:rsidR="00335924" w:rsidRPr="002866E5">
        <w:rPr>
          <w:noProof/>
        </w:rPr>
        <w:t>Producent bez zbędnej zwłoki,</w:t>
      </w:r>
      <w:r w:rsidR="008B35E8" w:rsidRPr="002866E5">
        <w:rPr>
          <w:noProof/>
        </w:rPr>
        <w:t xml:space="preserve"> a</w:t>
      </w:r>
      <w:r w:rsidR="008B35E8">
        <w:rPr>
          <w:noProof/>
        </w:rPr>
        <w:t> </w:t>
      </w:r>
      <w:r w:rsidR="008B35E8" w:rsidRPr="002866E5">
        <w:rPr>
          <w:noProof/>
        </w:rPr>
        <w:t>w</w:t>
      </w:r>
      <w:r w:rsidR="008B35E8">
        <w:rPr>
          <w:noProof/>
        </w:rPr>
        <w:t> </w:t>
      </w:r>
      <w:r w:rsidR="008B35E8" w:rsidRPr="002866E5">
        <w:rPr>
          <w:noProof/>
        </w:rPr>
        <w:t>każ</w:t>
      </w:r>
      <w:r w:rsidR="00335924" w:rsidRPr="002866E5">
        <w:rPr>
          <w:noProof/>
        </w:rPr>
        <w:t>dym razie</w:t>
      </w:r>
      <w:r w:rsidR="008B35E8" w:rsidRPr="002866E5">
        <w:rPr>
          <w:noProof/>
        </w:rPr>
        <w:t xml:space="preserve"> w</w:t>
      </w:r>
      <w:r w:rsidR="008B35E8">
        <w:rPr>
          <w:noProof/>
        </w:rPr>
        <w:t> </w:t>
      </w:r>
      <w:r w:rsidR="008B35E8" w:rsidRPr="002866E5">
        <w:rPr>
          <w:noProof/>
        </w:rPr>
        <w:t>ter</w:t>
      </w:r>
      <w:r w:rsidR="00335924" w:rsidRPr="002866E5">
        <w:rPr>
          <w:noProof/>
        </w:rPr>
        <w:t>minie 24 godzin od uzyskania informacji</w:t>
      </w:r>
      <w:r w:rsidR="008B35E8" w:rsidRPr="002866E5">
        <w:rPr>
          <w:noProof/>
        </w:rPr>
        <w:t xml:space="preserve"> o</w:t>
      </w:r>
      <w:r w:rsidR="008B35E8">
        <w:rPr>
          <w:noProof/>
        </w:rPr>
        <w:t> </w:t>
      </w:r>
      <w:r w:rsidR="008B35E8" w:rsidRPr="002866E5">
        <w:rPr>
          <w:noProof/>
        </w:rPr>
        <w:t>jak</w:t>
      </w:r>
      <w:r w:rsidR="00335924" w:rsidRPr="002866E5">
        <w:rPr>
          <w:noProof/>
        </w:rPr>
        <w:t>imkolwiek incydencie mającym wpływ na bezpieczeństwo produktu</w:t>
      </w:r>
      <w:r w:rsidR="008B35E8" w:rsidRPr="002866E5">
        <w:rPr>
          <w:noProof/>
        </w:rPr>
        <w:t xml:space="preserve"> z</w:t>
      </w:r>
      <w:r w:rsidR="008B35E8">
        <w:rPr>
          <w:noProof/>
        </w:rPr>
        <w:t> </w:t>
      </w:r>
      <w:r w:rsidR="008B35E8" w:rsidRPr="002866E5">
        <w:rPr>
          <w:noProof/>
        </w:rPr>
        <w:t>ele</w:t>
      </w:r>
      <w:r w:rsidR="00335924" w:rsidRPr="002866E5">
        <w:rPr>
          <w:noProof/>
        </w:rPr>
        <w:t>mentami cyfrowymi zgłasza taki incydent ENISA. ENISA bez zbędnej zwłoki, chyba że opóźnienie wynika</w:t>
      </w:r>
      <w:r w:rsidR="008B35E8" w:rsidRPr="002866E5">
        <w:rPr>
          <w:noProof/>
        </w:rPr>
        <w:t xml:space="preserve"> z</w:t>
      </w:r>
      <w:r w:rsidR="008B35E8">
        <w:rPr>
          <w:noProof/>
        </w:rPr>
        <w:t> </w:t>
      </w:r>
      <w:r w:rsidR="008B35E8" w:rsidRPr="002866E5">
        <w:rPr>
          <w:noProof/>
        </w:rPr>
        <w:t>uza</w:t>
      </w:r>
      <w:r w:rsidR="00335924" w:rsidRPr="002866E5">
        <w:rPr>
          <w:noProof/>
        </w:rPr>
        <w:t>sadnionych przyczyn związanych</w:t>
      </w:r>
      <w:r w:rsidR="008B35E8" w:rsidRPr="002866E5">
        <w:rPr>
          <w:noProof/>
        </w:rPr>
        <w:t xml:space="preserve"> z</w:t>
      </w:r>
      <w:r w:rsidR="008B35E8">
        <w:rPr>
          <w:noProof/>
        </w:rPr>
        <w:t> </w:t>
      </w:r>
      <w:r w:rsidR="008B35E8" w:rsidRPr="002866E5">
        <w:rPr>
          <w:noProof/>
        </w:rPr>
        <w:t>ryz</w:t>
      </w:r>
      <w:r w:rsidR="00335924" w:rsidRPr="002866E5">
        <w:rPr>
          <w:noProof/>
        </w:rPr>
        <w:t>ykiem</w:t>
      </w:r>
      <w:r w:rsidR="008B35E8" w:rsidRPr="002866E5">
        <w:rPr>
          <w:noProof/>
        </w:rPr>
        <w:t xml:space="preserve"> w</w:t>
      </w:r>
      <w:r w:rsidR="008B35E8">
        <w:rPr>
          <w:noProof/>
        </w:rPr>
        <w:t> </w:t>
      </w:r>
      <w:r w:rsidR="008B35E8" w:rsidRPr="002866E5">
        <w:rPr>
          <w:noProof/>
        </w:rPr>
        <w:t>cyb</w:t>
      </w:r>
      <w:r w:rsidR="00335924" w:rsidRPr="002866E5">
        <w:rPr>
          <w:noProof/>
        </w:rPr>
        <w:t>erprzestrzeni, przekazuje zgłoszenia do pojedynczego punktu kontaktowego wyznaczonego</w:t>
      </w:r>
      <w:r w:rsidR="008B35E8" w:rsidRPr="002866E5">
        <w:rPr>
          <w:noProof/>
        </w:rPr>
        <w:t xml:space="preserve"> w</w:t>
      </w:r>
      <w:r w:rsidR="008B35E8">
        <w:rPr>
          <w:noProof/>
        </w:rPr>
        <w:t> </w:t>
      </w:r>
      <w:r w:rsidR="008B35E8" w:rsidRPr="002866E5">
        <w:rPr>
          <w:noProof/>
        </w:rPr>
        <w:t>zai</w:t>
      </w:r>
      <w:r w:rsidR="00335924" w:rsidRPr="002866E5">
        <w:rPr>
          <w:noProof/>
        </w:rPr>
        <w:t>nteresowanym państwie członkowskim zgodnie</w:t>
      </w:r>
      <w:r w:rsidR="008B35E8" w:rsidRPr="002866E5">
        <w:rPr>
          <w:noProof/>
        </w:rPr>
        <w:t xml:space="preserve"> z</w:t>
      </w:r>
      <w:r w:rsidR="008B35E8">
        <w:rPr>
          <w:noProof/>
        </w:rPr>
        <w:t> </w:t>
      </w:r>
      <w:r w:rsidR="008B35E8" w:rsidRPr="002866E5">
        <w:rPr>
          <w:noProof/>
        </w:rPr>
        <w:t>art</w:t>
      </w:r>
      <w:r w:rsidR="00335924" w:rsidRPr="002866E5">
        <w:rPr>
          <w:noProof/>
        </w:rPr>
        <w:t>. [art. X] dyrektywy [dyrektywy XXX/XXXX (NIS 2)],</w:t>
      </w:r>
      <w:r w:rsidR="008B35E8" w:rsidRPr="002866E5">
        <w:rPr>
          <w:noProof/>
        </w:rPr>
        <w:t xml:space="preserve"> a</w:t>
      </w:r>
      <w:r w:rsidR="008B35E8">
        <w:rPr>
          <w:noProof/>
        </w:rPr>
        <w:t> </w:t>
      </w:r>
      <w:r w:rsidR="008B35E8" w:rsidRPr="002866E5">
        <w:rPr>
          <w:noProof/>
        </w:rPr>
        <w:t>tak</w:t>
      </w:r>
      <w:r w:rsidR="00335924" w:rsidRPr="002866E5">
        <w:rPr>
          <w:noProof/>
        </w:rPr>
        <w:t>że informuje organ nadzoru rynku</w:t>
      </w:r>
      <w:r w:rsidR="008B35E8" w:rsidRPr="002866E5">
        <w:rPr>
          <w:noProof/>
        </w:rPr>
        <w:t xml:space="preserve"> o</w:t>
      </w:r>
      <w:r w:rsidR="008B35E8">
        <w:rPr>
          <w:noProof/>
        </w:rPr>
        <w:t> </w:t>
      </w:r>
      <w:r w:rsidR="008B35E8" w:rsidRPr="002866E5">
        <w:rPr>
          <w:noProof/>
        </w:rPr>
        <w:t>zgł</w:t>
      </w:r>
      <w:r w:rsidR="00335924" w:rsidRPr="002866E5">
        <w:rPr>
          <w:noProof/>
        </w:rPr>
        <w:t>oszonych incydentach</w:t>
      </w:r>
      <w:r w:rsidR="008B35E8" w:rsidRPr="002866E5">
        <w:rPr>
          <w:noProof/>
        </w:rPr>
        <w:t>. W</w:t>
      </w:r>
      <w:r w:rsidR="008B35E8">
        <w:rPr>
          <w:noProof/>
        </w:rPr>
        <w:t> </w:t>
      </w:r>
      <w:r w:rsidR="008B35E8" w:rsidRPr="002866E5">
        <w:rPr>
          <w:noProof/>
        </w:rPr>
        <w:t>zgł</w:t>
      </w:r>
      <w:r w:rsidR="00335924" w:rsidRPr="002866E5">
        <w:rPr>
          <w:noProof/>
        </w:rPr>
        <w:t>oszeniu incydentu należy zawrzeć informacje na temat dotkliwości</w:t>
      </w:r>
      <w:r w:rsidR="008B35E8" w:rsidRPr="002866E5">
        <w:rPr>
          <w:noProof/>
        </w:rPr>
        <w:t xml:space="preserve"> i</w:t>
      </w:r>
      <w:r w:rsidR="008B35E8">
        <w:rPr>
          <w:noProof/>
        </w:rPr>
        <w:t> </w:t>
      </w:r>
      <w:r w:rsidR="008B35E8" w:rsidRPr="002866E5">
        <w:rPr>
          <w:noProof/>
        </w:rPr>
        <w:t>wpł</w:t>
      </w:r>
      <w:r w:rsidR="00335924" w:rsidRPr="002866E5">
        <w:rPr>
          <w:noProof/>
        </w:rPr>
        <w:t>ywu incydentu oraz,</w:t>
      </w:r>
      <w:r w:rsidR="008B35E8" w:rsidRPr="002866E5">
        <w:rPr>
          <w:noProof/>
        </w:rPr>
        <w:t xml:space="preserve"> w</w:t>
      </w:r>
      <w:r w:rsidR="008B35E8">
        <w:rPr>
          <w:noProof/>
        </w:rPr>
        <w:t> </w:t>
      </w:r>
      <w:r w:rsidR="008B35E8" w:rsidRPr="002866E5">
        <w:rPr>
          <w:noProof/>
        </w:rPr>
        <w:t>sto</w:t>
      </w:r>
      <w:r w:rsidR="00335924" w:rsidRPr="002866E5">
        <w:rPr>
          <w:noProof/>
        </w:rPr>
        <w:t>sownych przypadkach, wskazać, czy producent podejrzewa, że incydent jest spowodowany działaniami niezgodnymi</w:t>
      </w:r>
      <w:r w:rsidR="008B35E8" w:rsidRPr="002866E5">
        <w:rPr>
          <w:noProof/>
        </w:rPr>
        <w:t xml:space="preserve"> z</w:t>
      </w:r>
      <w:r w:rsidR="008B35E8">
        <w:rPr>
          <w:noProof/>
        </w:rPr>
        <w:t> </w:t>
      </w:r>
      <w:r w:rsidR="008B35E8" w:rsidRPr="002866E5">
        <w:rPr>
          <w:noProof/>
        </w:rPr>
        <w:t>pra</w:t>
      </w:r>
      <w:r w:rsidR="00335924" w:rsidRPr="002866E5">
        <w:rPr>
          <w:noProof/>
        </w:rPr>
        <w:t>wem lub czynami dokonanymi</w:t>
      </w:r>
      <w:r w:rsidR="008B35E8" w:rsidRPr="002866E5">
        <w:rPr>
          <w:noProof/>
        </w:rPr>
        <w:t xml:space="preserve"> w</w:t>
      </w:r>
      <w:r w:rsidR="008B35E8">
        <w:rPr>
          <w:noProof/>
        </w:rPr>
        <w:t> </w:t>
      </w:r>
      <w:r w:rsidR="008B35E8" w:rsidRPr="002866E5">
        <w:rPr>
          <w:noProof/>
        </w:rPr>
        <w:t>zły</w:t>
      </w:r>
      <w:r w:rsidR="00335924" w:rsidRPr="002866E5">
        <w:rPr>
          <w:noProof/>
        </w:rPr>
        <w:t>m zamiarze, lub uważa, że ma on wpływ transgraniczny.</w:t>
      </w:r>
    </w:p>
    <w:p w14:paraId="67ED8791" w14:textId="256ADE46" w:rsidR="00D614B7" w:rsidRPr="002866E5" w:rsidRDefault="00B4087C" w:rsidP="00B4087C">
      <w:pPr>
        <w:pStyle w:val="ManualNumPar1"/>
        <w:rPr>
          <w:noProof/>
        </w:rPr>
      </w:pPr>
      <w:r w:rsidRPr="00B4087C">
        <w:t>3.</w:t>
      </w:r>
      <w:r w:rsidRPr="00B4087C">
        <w:tab/>
      </w:r>
      <w:r w:rsidR="00FD1940" w:rsidRPr="002866E5">
        <w:rPr>
          <w:noProof/>
        </w:rPr>
        <w:t>ENISA przekazuje europejskiej sieci organizacji łącznikowych do spraw kryzysów cyberbezpieczeństwa (EU-CyCLONe) ustanowionej na mocy art. [art. X] dyrektywy [dyrektywy XXX/XXXX (NIS 2)] informacje zgłoszone zgodnie</w:t>
      </w:r>
      <w:r w:rsidR="008B35E8" w:rsidRPr="002866E5">
        <w:rPr>
          <w:noProof/>
        </w:rPr>
        <w:t xml:space="preserve"> z</w:t>
      </w:r>
      <w:r w:rsidR="008B35E8">
        <w:rPr>
          <w:noProof/>
        </w:rPr>
        <w:t> </w:t>
      </w:r>
      <w:r w:rsidR="008B35E8" w:rsidRPr="008B35E8">
        <w:rPr>
          <w:noProof/>
        </w:rPr>
        <w:t>ust</w:t>
      </w:r>
      <w:r w:rsidR="00FD1940" w:rsidRPr="008B35E8">
        <w:rPr>
          <w:noProof/>
        </w:rPr>
        <w:t>.</w:t>
      </w:r>
      <w:r w:rsidR="008B35E8" w:rsidRPr="008B35E8">
        <w:rPr>
          <w:noProof/>
        </w:rPr>
        <w:t> </w:t>
      </w:r>
      <w:r w:rsidR="00FD1940" w:rsidRPr="008B35E8">
        <w:rPr>
          <w:noProof/>
        </w:rPr>
        <w:t>1</w:t>
      </w:r>
      <w:r w:rsidR="008B35E8" w:rsidRPr="002866E5">
        <w:rPr>
          <w:noProof/>
        </w:rPr>
        <w:t xml:space="preserve"> i</w:t>
      </w:r>
      <w:r w:rsidR="008B35E8">
        <w:rPr>
          <w:noProof/>
        </w:rPr>
        <w:t> </w:t>
      </w:r>
      <w:r w:rsidR="008B35E8" w:rsidRPr="002866E5">
        <w:rPr>
          <w:noProof/>
        </w:rPr>
        <w:t>2</w:t>
      </w:r>
      <w:r w:rsidR="00FD1940" w:rsidRPr="002866E5">
        <w:rPr>
          <w:noProof/>
        </w:rPr>
        <w:t>, jeżeli takie informacje są istotne</w:t>
      </w:r>
      <w:r w:rsidR="008B35E8" w:rsidRPr="002866E5">
        <w:rPr>
          <w:noProof/>
        </w:rPr>
        <w:t xml:space="preserve"> z</w:t>
      </w:r>
      <w:r w:rsidR="008B35E8">
        <w:rPr>
          <w:noProof/>
        </w:rPr>
        <w:t> </w:t>
      </w:r>
      <w:r w:rsidR="008B35E8" w:rsidRPr="002866E5">
        <w:rPr>
          <w:noProof/>
        </w:rPr>
        <w:t>per</w:t>
      </w:r>
      <w:r w:rsidR="00FD1940" w:rsidRPr="002866E5">
        <w:rPr>
          <w:noProof/>
        </w:rPr>
        <w:t>spektywy skoordynowanego zarządzania cyberincydentami</w:t>
      </w:r>
      <w:r w:rsidR="008B35E8" w:rsidRPr="002866E5">
        <w:rPr>
          <w:noProof/>
        </w:rPr>
        <w:t xml:space="preserve"> i</w:t>
      </w:r>
      <w:r w:rsidR="008B35E8">
        <w:rPr>
          <w:noProof/>
        </w:rPr>
        <w:t> </w:t>
      </w:r>
      <w:r w:rsidR="008B35E8" w:rsidRPr="002866E5">
        <w:rPr>
          <w:noProof/>
        </w:rPr>
        <w:t>cyb</w:t>
      </w:r>
      <w:r w:rsidR="00FD1940" w:rsidRPr="002866E5">
        <w:rPr>
          <w:noProof/>
        </w:rPr>
        <w:t>erkryzysami na dużą skalę na szczeblu operacyjnym.</w:t>
      </w:r>
    </w:p>
    <w:p w14:paraId="67ED8792" w14:textId="46041372" w:rsidR="00F07DC5" w:rsidRPr="002866E5" w:rsidRDefault="00B4087C" w:rsidP="00B4087C">
      <w:pPr>
        <w:pStyle w:val="ManualNumPar1"/>
        <w:rPr>
          <w:noProof/>
        </w:rPr>
      </w:pPr>
      <w:r w:rsidRPr="00B4087C">
        <w:t>4.</w:t>
      </w:r>
      <w:r w:rsidRPr="00B4087C">
        <w:tab/>
      </w:r>
      <w:r w:rsidR="00436D96" w:rsidRPr="002866E5">
        <w:rPr>
          <w:noProof/>
        </w:rPr>
        <w:t>Po powzięciu informacji</w:t>
      </w:r>
      <w:r w:rsidR="008B35E8" w:rsidRPr="002866E5">
        <w:rPr>
          <w:noProof/>
        </w:rPr>
        <w:t xml:space="preserve"> o</w:t>
      </w:r>
      <w:r w:rsidR="008B35E8">
        <w:rPr>
          <w:noProof/>
        </w:rPr>
        <w:t> </w:t>
      </w:r>
      <w:r w:rsidR="008B35E8" w:rsidRPr="002866E5">
        <w:rPr>
          <w:noProof/>
        </w:rPr>
        <w:t>wys</w:t>
      </w:r>
      <w:r w:rsidR="00436D96" w:rsidRPr="002866E5">
        <w:rPr>
          <w:noProof/>
        </w:rPr>
        <w:t>tąpieniu incydentu producent bez zbędnej zwłoki informuje użytkowników produktu</w:t>
      </w:r>
      <w:r w:rsidR="008B35E8" w:rsidRPr="002866E5">
        <w:rPr>
          <w:noProof/>
        </w:rPr>
        <w:t xml:space="preserve"> z</w:t>
      </w:r>
      <w:r w:rsidR="008B35E8">
        <w:rPr>
          <w:noProof/>
        </w:rPr>
        <w:t> </w:t>
      </w:r>
      <w:r w:rsidR="008B35E8" w:rsidRPr="002866E5">
        <w:rPr>
          <w:noProof/>
        </w:rPr>
        <w:t>ele</w:t>
      </w:r>
      <w:r w:rsidR="00436D96" w:rsidRPr="002866E5">
        <w:rPr>
          <w:noProof/>
        </w:rPr>
        <w:t>mentami cyfrowymi</w:t>
      </w:r>
      <w:r w:rsidR="008B35E8" w:rsidRPr="002866E5">
        <w:rPr>
          <w:noProof/>
        </w:rPr>
        <w:t xml:space="preserve"> o</w:t>
      </w:r>
      <w:r w:rsidR="008B35E8">
        <w:rPr>
          <w:noProof/>
        </w:rPr>
        <w:t> </w:t>
      </w:r>
      <w:r w:rsidR="008B35E8" w:rsidRPr="002866E5">
        <w:rPr>
          <w:noProof/>
        </w:rPr>
        <w:t>tak</w:t>
      </w:r>
      <w:r w:rsidR="00436D96" w:rsidRPr="002866E5">
        <w:rPr>
          <w:noProof/>
        </w:rPr>
        <w:t>im incydencie oraz,</w:t>
      </w:r>
      <w:r w:rsidR="008B35E8" w:rsidRPr="002866E5">
        <w:rPr>
          <w:noProof/>
        </w:rPr>
        <w:t xml:space="preserve"> w</w:t>
      </w:r>
      <w:r w:rsidR="008B35E8">
        <w:rPr>
          <w:noProof/>
        </w:rPr>
        <w:t> </w:t>
      </w:r>
      <w:r w:rsidR="008B35E8" w:rsidRPr="002866E5">
        <w:rPr>
          <w:noProof/>
        </w:rPr>
        <w:t>raz</w:t>
      </w:r>
      <w:r w:rsidR="00436D96" w:rsidRPr="002866E5">
        <w:rPr>
          <w:noProof/>
        </w:rPr>
        <w:t>ie potrzeby,</w:t>
      </w:r>
      <w:r w:rsidR="008B35E8" w:rsidRPr="002866E5">
        <w:rPr>
          <w:noProof/>
        </w:rPr>
        <w:t xml:space="preserve"> o</w:t>
      </w:r>
      <w:r w:rsidR="008B35E8">
        <w:rPr>
          <w:noProof/>
        </w:rPr>
        <w:t> </w:t>
      </w:r>
      <w:r w:rsidR="008B35E8" w:rsidRPr="002866E5">
        <w:rPr>
          <w:noProof/>
        </w:rPr>
        <w:t>śro</w:t>
      </w:r>
      <w:r w:rsidR="00436D96" w:rsidRPr="002866E5">
        <w:rPr>
          <w:noProof/>
        </w:rPr>
        <w:t>dkach naprawczych, które użytkownik może wdrożyć</w:t>
      </w:r>
      <w:r w:rsidR="008B35E8" w:rsidRPr="002866E5">
        <w:rPr>
          <w:noProof/>
        </w:rPr>
        <w:t xml:space="preserve"> w</w:t>
      </w:r>
      <w:r w:rsidR="008B35E8">
        <w:rPr>
          <w:noProof/>
        </w:rPr>
        <w:t> </w:t>
      </w:r>
      <w:r w:rsidR="008B35E8" w:rsidRPr="002866E5">
        <w:rPr>
          <w:noProof/>
        </w:rPr>
        <w:t>cel</w:t>
      </w:r>
      <w:r w:rsidR="00436D96" w:rsidRPr="002866E5">
        <w:rPr>
          <w:noProof/>
        </w:rPr>
        <w:t xml:space="preserve">u złagodzenia skutków incydentu. </w:t>
      </w:r>
    </w:p>
    <w:p w14:paraId="67ED8793" w14:textId="18F339FB" w:rsidR="00D60DA2" w:rsidRPr="002866E5" w:rsidRDefault="00B4087C" w:rsidP="00B4087C">
      <w:pPr>
        <w:pStyle w:val="ManualNumPar1"/>
        <w:rPr>
          <w:noProof/>
        </w:rPr>
      </w:pPr>
      <w:r w:rsidRPr="00B4087C">
        <w:t>5.</w:t>
      </w:r>
      <w:r w:rsidRPr="00B4087C">
        <w:tab/>
      </w:r>
      <w:r w:rsidR="00F07DC5" w:rsidRPr="002866E5">
        <w:rPr>
          <w:noProof/>
        </w:rPr>
        <w:t>Komisja może,</w:t>
      </w:r>
      <w:r w:rsidR="008B35E8" w:rsidRPr="002866E5">
        <w:rPr>
          <w:noProof/>
        </w:rPr>
        <w:t xml:space="preserve"> w</w:t>
      </w:r>
      <w:r w:rsidR="008B35E8">
        <w:rPr>
          <w:noProof/>
        </w:rPr>
        <w:t> </w:t>
      </w:r>
      <w:r w:rsidR="008B35E8" w:rsidRPr="002866E5">
        <w:rPr>
          <w:noProof/>
        </w:rPr>
        <w:t>dro</w:t>
      </w:r>
      <w:r w:rsidR="00F07DC5" w:rsidRPr="002866E5">
        <w:rPr>
          <w:noProof/>
        </w:rPr>
        <w:t>dze aktów wykonawczych, doprecyzować rodzaj informacji przekazywanych</w:t>
      </w:r>
      <w:r w:rsidR="008B35E8" w:rsidRPr="002866E5">
        <w:rPr>
          <w:noProof/>
        </w:rPr>
        <w:t xml:space="preserve"> w</w:t>
      </w:r>
      <w:r w:rsidR="008B35E8">
        <w:rPr>
          <w:noProof/>
        </w:rPr>
        <w:t> </w:t>
      </w:r>
      <w:r w:rsidR="008B35E8" w:rsidRPr="002866E5">
        <w:rPr>
          <w:noProof/>
        </w:rPr>
        <w:t>zgł</w:t>
      </w:r>
      <w:r w:rsidR="00F07DC5" w:rsidRPr="002866E5">
        <w:rPr>
          <w:noProof/>
        </w:rPr>
        <w:t xml:space="preserve">oszeniach składanych na podstawie </w:t>
      </w:r>
      <w:r w:rsidR="00F07DC5" w:rsidRPr="008B35E8">
        <w:rPr>
          <w:noProof/>
        </w:rPr>
        <w:t>ust.</w:t>
      </w:r>
      <w:r w:rsidR="008B35E8" w:rsidRPr="008B35E8">
        <w:rPr>
          <w:noProof/>
        </w:rPr>
        <w:t> </w:t>
      </w:r>
      <w:r w:rsidR="00F07DC5" w:rsidRPr="008B35E8">
        <w:rPr>
          <w:noProof/>
        </w:rPr>
        <w:t>1</w:t>
      </w:r>
      <w:r w:rsidR="008B35E8" w:rsidRPr="002866E5">
        <w:rPr>
          <w:noProof/>
        </w:rPr>
        <w:t xml:space="preserve"> i</w:t>
      </w:r>
      <w:r w:rsidR="008B35E8">
        <w:rPr>
          <w:noProof/>
        </w:rPr>
        <w:t> </w:t>
      </w:r>
      <w:r w:rsidR="008B35E8" w:rsidRPr="002866E5">
        <w:rPr>
          <w:noProof/>
        </w:rPr>
        <w:t>2</w:t>
      </w:r>
      <w:r w:rsidR="00F07DC5" w:rsidRPr="002866E5">
        <w:rPr>
          <w:noProof/>
        </w:rPr>
        <w:t>, format takich zgłoszeń</w:t>
      </w:r>
      <w:r w:rsidR="008B35E8" w:rsidRPr="002866E5">
        <w:rPr>
          <w:noProof/>
        </w:rPr>
        <w:t xml:space="preserve"> i</w:t>
      </w:r>
      <w:r w:rsidR="008B35E8">
        <w:rPr>
          <w:noProof/>
        </w:rPr>
        <w:t> </w:t>
      </w:r>
      <w:r w:rsidR="008B35E8" w:rsidRPr="002866E5">
        <w:rPr>
          <w:noProof/>
        </w:rPr>
        <w:t>pro</w:t>
      </w:r>
      <w:r w:rsidR="00F07DC5" w:rsidRPr="002866E5">
        <w:rPr>
          <w:noProof/>
        </w:rPr>
        <w:t>cedurę ich składania. Te akty wykonawcze przyjmuje się zgodnie</w:t>
      </w:r>
      <w:r w:rsidR="008B35E8" w:rsidRPr="002866E5">
        <w:rPr>
          <w:noProof/>
        </w:rPr>
        <w:t xml:space="preserve"> z</w:t>
      </w:r>
      <w:r w:rsidR="008B35E8">
        <w:rPr>
          <w:noProof/>
        </w:rPr>
        <w:t> </w:t>
      </w:r>
      <w:r w:rsidR="008B35E8" w:rsidRPr="002866E5">
        <w:rPr>
          <w:noProof/>
        </w:rPr>
        <w:t>pro</w:t>
      </w:r>
      <w:r w:rsidR="00F07DC5" w:rsidRPr="002866E5">
        <w:rPr>
          <w:noProof/>
        </w:rPr>
        <w:t>cedurą sprawdzającą,</w:t>
      </w:r>
      <w:r w:rsidR="008B35E8" w:rsidRPr="002866E5">
        <w:rPr>
          <w:noProof/>
        </w:rPr>
        <w:t xml:space="preserve"> o</w:t>
      </w:r>
      <w:r w:rsidR="008B35E8">
        <w:rPr>
          <w:noProof/>
        </w:rPr>
        <w:t> </w:t>
      </w:r>
      <w:r w:rsidR="008B35E8" w:rsidRPr="002866E5">
        <w:rPr>
          <w:noProof/>
        </w:rPr>
        <w:t>któ</w:t>
      </w:r>
      <w:r w:rsidR="00F07DC5" w:rsidRPr="002866E5">
        <w:rPr>
          <w:noProof/>
        </w:rPr>
        <w:t>rej mowa</w:t>
      </w:r>
      <w:r w:rsidR="008B35E8" w:rsidRPr="002866E5">
        <w:rPr>
          <w:noProof/>
        </w:rPr>
        <w:t xml:space="preserve"> w</w:t>
      </w:r>
      <w:r w:rsidR="008B35E8">
        <w:rPr>
          <w:noProof/>
        </w:rPr>
        <w:t> </w:t>
      </w:r>
      <w:r w:rsidR="008B35E8" w:rsidRPr="008B35E8">
        <w:rPr>
          <w:noProof/>
        </w:rPr>
        <w:t>art</w:t>
      </w:r>
      <w:r w:rsidR="00F07DC5" w:rsidRPr="008B35E8">
        <w:rPr>
          <w:noProof/>
        </w:rPr>
        <w:t>.</w:t>
      </w:r>
      <w:r w:rsidR="008B35E8" w:rsidRPr="008B35E8">
        <w:rPr>
          <w:noProof/>
        </w:rPr>
        <w:t> </w:t>
      </w:r>
      <w:r w:rsidR="00F07DC5" w:rsidRPr="008B35E8">
        <w:rPr>
          <w:noProof/>
        </w:rPr>
        <w:t>5</w:t>
      </w:r>
      <w:r w:rsidR="00F07DC5" w:rsidRPr="002866E5">
        <w:rPr>
          <w:noProof/>
        </w:rPr>
        <w:t xml:space="preserve">1 </w:t>
      </w:r>
      <w:r w:rsidR="00F07DC5" w:rsidRPr="008B35E8">
        <w:rPr>
          <w:noProof/>
        </w:rPr>
        <w:t>ust.</w:t>
      </w:r>
      <w:r w:rsidR="008B35E8" w:rsidRPr="008B35E8">
        <w:rPr>
          <w:noProof/>
        </w:rPr>
        <w:t> </w:t>
      </w:r>
      <w:r w:rsidR="00F07DC5" w:rsidRPr="008B35E8">
        <w:rPr>
          <w:noProof/>
        </w:rPr>
        <w:t>2</w:t>
      </w:r>
      <w:r w:rsidR="00F07DC5" w:rsidRPr="002866E5">
        <w:rPr>
          <w:noProof/>
        </w:rPr>
        <w:t>.</w:t>
      </w:r>
    </w:p>
    <w:p w14:paraId="67ED8794" w14:textId="753BFA03" w:rsidR="008B2789" w:rsidRPr="002866E5" w:rsidRDefault="00B4087C" w:rsidP="00B4087C">
      <w:pPr>
        <w:pStyle w:val="ManualNumPar1"/>
        <w:rPr>
          <w:noProof/>
        </w:rPr>
      </w:pPr>
      <w:r w:rsidRPr="00B4087C">
        <w:lastRenderedPageBreak/>
        <w:t>6.</w:t>
      </w:r>
      <w:r w:rsidRPr="00B4087C">
        <w:tab/>
      </w:r>
      <w:r w:rsidR="00063B6A" w:rsidRPr="002866E5">
        <w:rPr>
          <w:noProof/>
        </w:rPr>
        <w:t>ENISA, na podstawie powiadomień otrzymywanych zgodnie</w:t>
      </w:r>
      <w:r w:rsidR="008B35E8" w:rsidRPr="002866E5">
        <w:rPr>
          <w:noProof/>
        </w:rPr>
        <w:t xml:space="preserve"> z</w:t>
      </w:r>
      <w:r w:rsidR="008B35E8">
        <w:rPr>
          <w:noProof/>
        </w:rPr>
        <w:t> </w:t>
      </w:r>
      <w:r w:rsidR="008B35E8" w:rsidRPr="008B35E8">
        <w:rPr>
          <w:noProof/>
        </w:rPr>
        <w:t>ust</w:t>
      </w:r>
      <w:r w:rsidR="00063B6A" w:rsidRPr="008B35E8">
        <w:rPr>
          <w:noProof/>
        </w:rPr>
        <w:t>.</w:t>
      </w:r>
      <w:r w:rsidR="008B35E8" w:rsidRPr="008B35E8">
        <w:rPr>
          <w:noProof/>
        </w:rPr>
        <w:t> </w:t>
      </w:r>
      <w:r w:rsidR="00063B6A" w:rsidRPr="008B35E8">
        <w:rPr>
          <w:noProof/>
        </w:rPr>
        <w:t>1</w:t>
      </w:r>
      <w:r w:rsidR="008B35E8" w:rsidRPr="002866E5">
        <w:rPr>
          <w:noProof/>
        </w:rPr>
        <w:t xml:space="preserve"> i</w:t>
      </w:r>
      <w:r w:rsidR="008B35E8">
        <w:rPr>
          <w:noProof/>
        </w:rPr>
        <w:t> </w:t>
      </w:r>
      <w:r w:rsidR="008B35E8" w:rsidRPr="002866E5">
        <w:rPr>
          <w:noProof/>
        </w:rPr>
        <w:t>2</w:t>
      </w:r>
      <w:r w:rsidR="00063B6A" w:rsidRPr="002866E5">
        <w:rPr>
          <w:noProof/>
        </w:rPr>
        <w:t>, przygotowuje co dwa lata sprawozdanie techniczne na temat pojawiających się tendencji</w:t>
      </w:r>
      <w:r w:rsidR="008B35E8" w:rsidRPr="002866E5">
        <w:rPr>
          <w:noProof/>
        </w:rPr>
        <w:t xml:space="preserve"> w</w:t>
      </w:r>
      <w:r w:rsidR="008B35E8">
        <w:rPr>
          <w:noProof/>
        </w:rPr>
        <w:t> </w:t>
      </w:r>
      <w:r w:rsidR="008B35E8" w:rsidRPr="002866E5">
        <w:rPr>
          <w:noProof/>
        </w:rPr>
        <w:t>zak</w:t>
      </w:r>
      <w:r w:rsidR="00063B6A" w:rsidRPr="002866E5">
        <w:rPr>
          <w:noProof/>
        </w:rPr>
        <w:t>resie ryzyka</w:t>
      </w:r>
      <w:r w:rsidR="008B35E8" w:rsidRPr="002866E5">
        <w:rPr>
          <w:noProof/>
        </w:rPr>
        <w:t xml:space="preserve"> w</w:t>
      </w:r>
      <w:r w:rsidR="008B35E8">
        <w:rPr>
          <w:noProof/>
        </w:rPr>
        <w:t> </w:t>
      </w:r>
      <w:r w:rsidR="008B35E8" w:rsidRPr="002866E5">
        <w:rPr>
          <w:noProof/>
        </w:rPr>
        <w:t>cyb</w:t>
      </w:r>
      <w:r w:rsidR="00063B6A" w:rsidRPr="002866E5">
        <w:rPr>
          <w:noProof/>
        </w:rPr>
        <w:t>erprzestrzeni dotyczącego produktów</w:t>
      </w:r>
      <w:r w:rsidR="008B35E8" w:rsidRPr="002866E5">
        <w:rPr>
          <w:noProof/>
        </w:rPr>
        <w:t xml:space="preserve"> z</w:t>
      </w:r>
      <w:r w:rsidR="008B35E8">
        <w:rPr>
          <w:noProof/>
        </w:rPr>
        <w:t> </w:t>
      </w:r>
      <w:r w:rsidR="008B35E8" w:rsidRPr="002866E5">
        <w:rPr>
          <w:noProof/>
        </w:rPr>
        <w:t>ele</w:t>
      </w:r>
      <w:r w:rsidR="00063B6A" w:rsidRPr="002866E5">
        <w:rPr>
          <w:noProof/>
        </w:rPr>
        <w:t>mentami cyfrowymi oraz przedkłada je grupie współpracy,</w:t>
      </w:r>
      <w:r w:rsidR="008B35E8" w:rsidRPr="002866E5">
        <w:rPr>
          <w:noProof/>
        </w:rPr>
        <w:t xml:space="preserve"> o</w:t>
      </w:r>
      <w:r w:rsidR="008B35E8">
        <w:rPr>
          <w:noProof/>
        </w:rPr>
        <w:t> </w:t>
      </w:r>
      <w:r w:rsidR="008B35E8" w:rsidRPr="002866E5">
        <w:rPr>
          <w:noProof/>
        </w:rPr>
        <w:t>któ</w:t>
      </w:r>
      <w:r w:rsidR="00063B6A" w:rsidRPr="002866E5">
        <w:rPr>
          <w:noProof/>
        </w:rPr>
        <w:t>rej mowa</w:t>
      </w:r>
      <w:r w:rsidR="008B35E8" w:rsidRPr="002866E5">
        <w:rPr>
          <w:noProof/>
        </w:rPr>
        <w:t xml:space="preserve"> w</w:t>
      </w:r>
      <w:r w:rsidR="008B35E8">
        <w:rPr>
          <w:noProof/>
        </w:rPr>
        <w:t> </w:t>
      </w:r>
      <w:r w:rsidR="008B35E8" w:rsidRPr="002866E5">
        <w:rPr>
          <w:noProof/>
        </w:rPr>
        <w:t>art</w:t>
      </w:r>
      <w:r w:rsidR="00063B6A" w:rsidRPr="002866E5">
        <w:rPr>
          <w:noProof/>
        </w:rPr>
        <w:t>. [art. X] dyrektywy [dyrektywy XXX/XXXX (NIS 2)]. Pierwsze takie sprawozdanie należy przedłożyć</w:t>
      </w:r>
      <w:r w:rsidR="008B35E8" w:rsidRPr="002866E5">
        <w:rPr>
          <w:noProof/>
        </w:rPr>
        <w:t xml:space="preserve"> w</w:t>
      </w:r>
      <w:r w:rsidR="008B35E8">
        <w:rPr>
          <w:noProof/>
        </w:rPr>
        <w:t> </w:t>
      </w:r>
      <w:r w:rsidR="008B35E8" w:rsidRPr="002866E5">
        <w:rPr>
          <w:noProof/>
        </w:rPr>
        <w:t>ter</w:t>
      </w:r>
      <w:r w:rsidR="00063B6A" w:rsidRPr="002866E5">
        <w:rPr>
          <w:noProof/>
        </w:rPr>
        <w:t>minie 24 miesięcy od rozpoczęcia stosowania obowiązków określonych</w:t>
      </w:r>
      <w:r w:rsidR="008B35E8" w:rsidRPr="002866E5">
        <w:rPr>
          <w:noProof/>
        </w:rPr>
        <w:t xml:space="preserve"> w</w:t>
      </w:r>
      <w:r w:rsidR="008B35E8">
        <w:rPr>
          <w:noProof/>
        </w:rPr>
        <w:t> </w:t>
      </w:r>
      <w:r w:rsidR="008B35E8" w:rsidRPr="008B35E8">
        <w:rPr>
          <w:noProof/>
        </w:rPr>
        <w:t>ust</w:t>
      </w:r>
      <w:r w:rsidR="00063B6A" w:rsidRPr="008B35E8">
        <w:rPr>
          <w:noProof/>
        </w:rPr>
        <w:t>.</w:t>
      </w:r>
      <w:r w:rsidR="008B35E8" w:rsidRPr="008B35E8">
        <w:rPr>
          <w:noProof/>
        </w:rPr>
        <w:t> </w:t>
      </w:r>
      <w:r w:rsidR="00063B6A" w:rsidRPr="008B35E8">
        <w:rPr>
          <w:noProof/>
        </w:rPr>
        <w:t>1</w:t>
      </w:r>
      <w:r w:rsidR="008B35E8" w:rsidRPr="002866E5">
        <w:rPr>
          <w:noProof/>
        </w:rPr>
        <w:t xml:space="preserve"> i</w:t>
      </w:r>
      <w:r w:rsidR="008B35E8">
        <w:rPr>
          <w:noProof/>
        </w:rPr>
        <w:t> </w:t>
      </w:r>
      <w:r w:rsidR="008B35E8" w:rsidRPr="002866E5">
        <w:rPr>
          <w:noProof/>
        </w:rPr>
        <w:t>2</w:t>
      </w:r>
      <w:r w:rsidR="00063B6A" w:rsidRPr="002866E5">
        <w:rPr>
          <w:noProof/>
        </w:rPr>
        <w:t>.</w:t>
      </w:r>
    </w:p>
    <w:p w14:paraId="67ED8795" w14:textId="178C1CDD" w:rsidR="00063B6A" w:rsidRPr="002866E5" w:rsidRDefault="00B4087C" w:rsidP="00B4087C">
      <w:pPr>
        <w:pStyle w:val="ManualNumPar1"/>
        <w:rPr>
          <w:noProof/>
        </w:rPr>
      </w:pPr>
      <w:r w:rsidRPr="00B4087C">
        <w:t>7.</w:t>
      </w:r>
      <w:r w:rsidRPr="00B4087C">
        <w:tab/>
      </w:r>
      <w:r w:rsidR="008B2789" w:rsidRPr="002866E5">
        <w:rPr>
          <w:noProof/>
        </w:rPr>
        <w:t>Producenci po zidentyfikowaniu podatności</w:t>
      </w:r>
      <w:r w:rsidR="008B35E8" w:rsidRPr="002866E5">
        <w:rPr>
          <w:noProof/>
        </w:rPr>
        <w:t xml:space="preserve"> w</w:t>
      </w:r>
      <w:r w:rsidR="008B35E8">
        <w:rPr>
          <w:noProof/>
        </w:rPr>
        <w:t> </w:t>
      </w:r>
      <w:r w:rsidR="008B35E8" w:rsidRPr="002866E5">
        <w:rPr>
          <w:noProof/>
        </w:rPr>
        <w:t>kom</w:t>
      </w:r>
      <w:r w:rsidR="008B2789" w:rsidRPr="002866E5">
        <w:rPr>
          <w:noProof/>
        </w:rPr>
        <w:t>ponencie,</w:t>
      </w:r>
      <w:r w:rsidR="008B35E8" w:rsidRPr="002866E5">
        <w:rPr>
          <w:noProof/>
        </w:rPr>
        <w:t xml:space="preserve"> w</w:t>
      </w:r>
      <w:r w:rsidR="008B35E8">
        <w:rPr>
          <w:noProof/>
        </w:rPr>
        <w:t> </w:t>
      </w:r>
      <w:r w:rsidR="008B35E8" w:rsidRPr="002866E5">
        <w:rPr>
          <w:noProof/>
        </w:rPr>
        <w:t>tym w</w:t>
      </w:r>
      <w:r w:rsidR="008B35E8">
        <w:rPr>
          <w:noProof/>
        </w:rPr>
        <w:t> </w:t>
      </w:r>
      <w:r w:rsidR="008B35E8" w:rsidRPr="002866E5">
        <w:rPr>
          <w:noProof/>
        </w:rPr>
        <w:t>kom</w:t>
      </w:r>
      <w:r w:rsidR="008B2789" w:rsidRPr="002866E5">
        <w:rPr>
          <w:noProof/>
        </w:rPr>
        <w:t>ponencie ze źródeł otwartych, który jest zintegrowany</w:t>
      </w:r>
      <w:r w:rsidR="008B35E8" w:rsidRPr="002866E5">
        <w:rPr>
          <w:noProof/>
        </w:rPr>
        <w:t xml:space="preserve"> z</w:t>
      </w:r>
      <w:r w:rsidR="008B35E8">
        <w:rPr>
          <w:noProof/>
        </w:rPr>
        <w:t> </w:t>
      </w:r>
      <w:r w:rsidR="008B35E8" w:rsidRPr="002866E5">
        <w:rPr>
          <w:noProof/>
        </w:rPr>
        <w:t>pro</w:t>
      </w:r>
      <w:r w:rsidR="008B2789" w:rsidRPr="002866E5">
        <w:rPr>
          <w:noProof/>
        </w:rPr>
        <w:t>duktem</w:t>
      </w:r>
      <w:r w:rsidR="008B35E8" w:rsidRPr="002866E5">
        <w:rPr>
          <w:noProof/>
        </w:rPr>
        <w:t xml:space="preserve"> z</w:t>
      </w:r>
      <w:r w:rsidR="008B35E8">
        <w:rPr>
          <w:noProof/>
        </w:rPr>
        <w:t> </w:t>
      </w:r>
      <w:r w:rsidR="008B35E8" w:rsidRPr="002866E5">
        <w:rPr>
          <w:noProof/>
        </w:rPr>
        <w:t>ele</w:t>
      </w:r>
      <w:r w:rsidR="008B2789" w:rsidRPr="002866E5">
        <w:rPr>
          <w:noProof/>
        </w:rPr>
        <w:t>mentami cyfrowymi, zgłaszają podatność osobie lub podmiotowi utrzymującemu komponent.</w:t>
      </w:r>
    </w:p>
    <w:p w14:paraId="67ED8796" w14:textId="71A5811E" w:rsidR="004D680E" w:rsidRPr="002866E5" w:rsidRDefault="004D680E" w:rsidP="0027065F">
      <w:pPr>
        <w:pStyle w:val="Titrearticle0"/>
        <w:rPr>
          <w:noProof/>
        </w:rPr>
      </w:pPr>
      <w:r w:rsidRPr="002866E5">
        <w:rPr>
          <w:noProof/>
        </w:rPr>
        <w:t>Artykuł 12</w:t>
      </w:r>
    </w:p>
    <w:p w14:paraId="67ED8797" w14:textId="77777777" w:rsidR="004D680E" w:rsidRPr="002866E5" w:rsidRDefault="004D680E" w:rsidP="00084E38">
      <w:pPr>
        <w:jc w:val="center"/>
        <w:rPr>
          <w:i/>
          <w:noProof/>
        </w:rPr>
      </w:pPr>
      <w:r w:rsidRPr="002866E5">
        <w:rPr>
          <w:i/>
          <w:noProof/>
        </w:rPr>
        <w:t>Upoważnieni przedstawiciele</w:t>
      </w:r>
    </w:p>
    <w:p w14:paraId="67ED8798" w14:textId="23B5FBDD" w:rsidR="004D680E" w:rsidRPr="002866E5" w:rsidRDefault="00B4087C" w:rsidP="00B4087C">
      <w:pPr>
        <w:pStyle w:val="ManualNumPar1"/>
        <w:rPr>
          <w:noProof/>
        </w:rPr>
      </w:pPr>
      <w:r w:rsidRPr="00B4087C">
        <w:t>1.</w:t>
      </w:r>
      <w:r w:rsidRPr="00B4087C">
        <w:tab/>
      </w:r>
      <w:r w:rsidR="004D680E" w:rsidRPr="002866E5">
        <w:rPr>
          <w:noProof/>
        </w:rPr>
        <w:t>Producent może wyznaczyć upoważnionego przedstawiciela</w:t>
      </w:r>
      <w:r w:rsidR="008B35E8" w:rsidRPr="002866E5">
        <w:rPr>
          <w:noProof/>
        </w:rPr>
        <w:t xml:space="preserve"> w</w:t>
      </w:r>
      <w:r w:rsidR="008B35E8">
        <w:rPr>
          <w:noProof/>
        </w:rPr>
        <w:t> </w:t>
      </w:r>
      <w:r w:rsidR="008B35E8" w:rsidRPr="002866E5">
        <w:rPr>
          <w:noProof/>
        </w:rPr>
        <w:t>dro</w:t>
      </w:r>
      <w:r w:rsidR="004D680E" w:rsidRPr="002866E5">
        <w:rPr>
          <w:noProof/>
        </w:rPr>
        <w:t>dze pisemnego pełnomocnictwa.</w:t>
      </w:r>
    </w:p>
    <w:p w14:paraId="67ED8799" w14:textId="4CEC639A" w:rsidR="004D680E" w:rsidRPr="002866E5" w:rsidRDefault="00B4087C" w:rsidP="00B4087C">
      <w:pPr>
        <w:pStyle w:val="ManualNumPar1"/>
        <w:rPr>
          <w:noProof/>
        </w:rPr>
      </w:pPr>
      <w:r w:rsidRPr="00B4087C">
        <w:t>2.</w:t>
      </w:r>
      <w:r w:rsidRPr="00B4087C">
        <w:tab/>
      </w:r>
      <w:r w:rsidR="004D680E" w:rsidRPr="002866E5">
        <w:rPr>
          <w:noProof/>
        </w:rPr>
        <w:t>Obowiązki określone</w:t>
      </w:r>
      <w:r w:rsidR="008B35E8" w:rsidRPr="002866E5">
        <w:rPr>
          <w:noProof/>
        </w:rPr>
        <w:t xml:space="preserve"> w</w:t>
      </w:r>
      <w:r w:rsidR="008B35E8">
        <w:rPr>
          <w:noProof/>
        </w:rPr>
        <w:t> </w:t>
      </w:r>
      <w:r w:rsidR="008B35E8" w:rsidRPr="008B35E8">
        <w:rPr>
          <w:noProof/>
        </w:rPr>
        <w:t>art</w:t>
      </w:r>
      <w:r w:rsidR="004D680E" w:rsidRPr="008B35E8">
        <w:rPr>
          <w:noProof/>
        </w:rPr>
        <w:t>.</w:t>
      </w:r>
      <w:r w:rsidR="008B35E8" w:rsidRPr="008B35E8">
        <w:rPr>
          <w:noProof/>
        </w:rPr>
        <w:t> </w:t>
      </w:r>
      <w:r w:rsidR="004D680E" w:rsidRPr="008B35E8">
        <w:rPr>
          <w:noProof/>
        </w:rPr>
        <w:t>1</w:t>
      </w:r>
      <w:r w:rsidR="004D680E" w:rsidRPr="002866E5">
        <w:rPr>
          <w:noProof/>
        </w:rPr>
        <w:t xml:space="preserve">0 </w:t>
      </w:r>
      <w:r w:rsidR="004D680E" w:rsidRPr="008B35E8">
        <w:rPr>
          <w:noProof/>
        </w:rPr>
        <w:t>ust.</w:t>
      </w:r>
      <w:r w:rsidR="008B35E8" w:rsidRPr="008B35E8">
        <w:rPr>
          <w:noProof/>
        </w:rPr>
        <w:t> </w:t>
      </w:r>
      <w:r w:rsidR="004D680E" w:rsidRPr="008B35E8">
        <w:rPr>
          <w:noProof/>
        </w:rPr>
        <w:t>1</w:t>
      </w:r>
      <w:r w:rsidR="004D680E" w:rsidRPr="002866E5">
        <w:rPr>
          <w:noProof/>
        </w:rPr>
        <w:t xml:space="preserve">–6, </w:t>
      </w:r>
      <w:r w:rsidR="004D680E" w:rsidRPr="008B35E8">
        <w:rPr>
          <w:noProof/>
        </w:rPr>
        <w:t>art.</w:t>
      </w:r>
      <w:r w:rsidR="008B35E8" w:rsidRPr="008B35E8">
        <w:rPr>
          <w:noProof/>
        </w:rPr>
        <w:t> </w:t>
      </w:r>
      <w:r w:rsidR="004D680E" w:rsidRPr="008B35E8">
        <w:rPr>
          <w:noProof/>
        </w:rPr>
        <w:t>1</w:t>
      </w:r>
      <w:r w:rsidR="004D680E" w:rsidRPr="002866E5">
        <w:rPr>
          <w:noProof/>
        </w:rPr>
        <w:t xml:space="preserve">0 </w:t>
      </w:r>
      <w:r w:rsidR="004D680E" w:rsidRPr="008B35E8">
        <w:rPr>
          <w:noProof/>
        </w:rPr>
        <w:t>ust.</w:t>
      </w:r>
      <w:r w:rsidR="008B35E8" w:rsidRPr="008B35E8">
        <w:rPr>
          <w:noProof/>
        </w:rPr>
        <w:t> </w:t>
      </w:r>
      <w:r w:rsidR="004D680E" w:rsidRPr="008B35E8">
        <w:rPr>
          <w:noProof/>
        </w:rPr>
        <w:t>7</w:t>
      </w:r>
      <w:r w:rsidR="004D680E" w:rsidRPr="002866E5">
        <w:rPr>
          <w:noProof/>
        </w:rPr>
        <w:t xml:space="preserve"> tiret pierwsze</w:t>
      </w:r>
      <w:r w:rsidR="008B35E8" w:rsidRPr="002866E5">
        <w:rPr>
          <w:noProof/>
        </w:rPr>
        <w:t xml:space="preserve"> i</w:t>
      </w:r>
      <w:r w:rsidR="008B35E8">
        <w:rPr>
          <w:noProof/>
        </w:rPr>
        <w:t> </w:t>
      </w:r>
      <w:r w:rsidR="008B35E8" w:rsidRPr="008B35E8">
        <w:rPr>
          <w:noProof/>
        </w:rPr>
        <w:t>art</w:t>
      </w:r>
      <w:r w:rsidR="004D680E" w:rsidRPr="008B35E8">
        <w:rPr>
          <w:noProof/>
        </w:rPr>
        <w:t>.</w:t>
      </w:r>
      <w:r w:rsidR="008B35E8" w:rsidRPr="008B35E8">
        <w:rPr>
          <w:noProof/>
        </w:rPr>
        <w:t> </w:t>
      </w:r>
      <w:r w:rsidR="004D680E" w:rsidRPr="008B35E8">
        <w:rPr>
          <w:noProof/>
        </w:rPr>
        <w:t>1</w:t>
      </w:r>
      <w:r w:rsidR="004D680E" w:rsidRPr="002866E5">
        <w:rPr>
          <w:noProof/>
        </w:rPr>
        <w:t xml:space="preserve">0 </w:t>
      </w:r>
      <w:r w:rsidR="004D680E" w:rsidRPr="008B35E8">
        <w:rPr>
          <w:noProof/>
        </w:rPr>
        <w:t>ust.</w:t>
      </w:r>
      <w:r w:rsidR="008B35E8" w:rsidRPr="008B35E8">
        <w:rPr>
          <w:noProof/>
        </w:rPr>
        <w:t> </w:t>
      </w:r>
      <w:r w:rsidR="004D680E" w:rsidRPr="008B35E8">
        <w:rPr>
          <w:noProof/>
        </w:rPr>
        <w:t>9</w:t>
      </w:r>
      <w:r w:rsidR="004D680E" w:rsidRPr="002866E5">
        <w:rPr>
          <w:noProof/>
        </w:rPr>
        <w:t xml:space="preserve"> nie wchodzą</w:t>
      </w:r>
      <w:r w:rsidR="008B35E8" w:rsidRPr="002866E5">
        <w:rPr>
          <w:noProof/>
        </w:rPr>
        <w:t xml:space="preserve"> w</w:t>
      </w:r>
      <w:r w:rsidR="008B35E8">
        <w:rPr>
          <w:noProof/>
        </w:rPr>
        <w:t> </w:t>
      </w:r>
      <w:r w:rsidR="008B35E8" w:rsidRPr="002866E5">
        <w:rPr>
          <w:noProof/>
        </w:rPr>
        <w:t>zak</w:t>
      </w:r>
      <w:r w:rsidR="004D680E" w:rsidRPr="002866E5">
        <w:rPr>
          <w:noProof/>
        </w:rPr>
        <w:t>res pełnomocnictwa upoważnionego przedstawiciela.</w:t>
      </w:r>
    </w:p>
    <w:p w14:paraId="67ED879A" w14:textId="4990A3E5" w:rsidR="004D680E" w:rsidRPr="002866E5" w:rsidRDefault="00B4087C" w:rsidP="00B4087C">
      <w:pPr>
        <w:pStyle w:val="ManualNumPar1"/>
        <w:rPr>
          <w:noProof/>
        </w:rPr>
      </w:pPr>
      <w:r w:rsidRPr="00B4087C">
        <w:t>3.</w:t>
      </w:r>
      <w:r w:rsidRPr="00B4087C">
        <w:tab/>
      </w:r>
      <w:r w:rsidR="004D680E" w:rsidRPr="002866E5">
        <w:rPr>
          <w:noProof/>
        </w:rPr>
        <w:t>Upoważniony przedstawiciel wykonuje zadania określone</w:t>
      </w:r>
      <w:r w:rsidR="008B35E8" w:rsidRPr="002866E5">
        <w:rPr>
          <w:noProof/>
        </w:rPr>
        <w:t xml:space="preserve"> w</w:t>
      </w:r>
      <w:r w:rsidR="008B35E8">
        <w:rPr>
          <w:noProof/>
        </w:rPr>
        <w:t> </w:t>
      </w:r>
      <w:r w:rsidR="008B35E8" w:rsidRPr="002866E5">
        <w:rPr>
          <w:noProof/>
        </w:rPr>
        <w:t>peł</w:t>
      </w:r>
      <w:r w:rsidR="004D680E" w:rsidRPr="002866E5">
        <w:rPr>
          <w:noProof/>
        </w:rPr>
        <w:t>nomocnictwie otrzymanym od producenta. Pełnomocnictwo umożliwia upoważnionemu przedstawicielowi wykonywanie co najmniej następujących obowiązków:</w:t>
      </w:r>
    </w:p>
    <w:p w14:paraId="67ED879B" w14:textId="700380E2" w:rsidR="0023756A" w:rsidRPr="002866E5" w:rsidRDefault="000340F9" w:rsidP="000340F9">
      <w:pPr>
        <w:pStyle w:val="Point1"/>
        <w:rPr>
          <w:noProof/>
        </w:rPr>
      </w:pPr>
      <w:r w:rsidRPr="000340F9">
        <w:rPr>
          <w:noProof/>
        </w:rPr>
        <w:t>a)</w:t>
      </w:r>
      <w:r w:rsidRPr="000340F9">
        <w:rPr>
          <w:noProof/>
        </w:rPr>
        <w:tab/>
      </w:r>
      <w:r w:rsidR="004D680E" w:rsidRPr="002866E5">
        <w:rPr>
          <w:noProof/>
        </w:rPr>
        <w:t>przechowywanie deklaracji zgodności UE,</w:t>
      </w:r>
      <w:r w:rsidR="008B35E8" w:rsidRPr="002866E5">
        <w:rPr>
          <w:noProof/>
        </w:rPr>
        <w:t xml:space="preserve"> o</w:t>
      </w:r>
      <w:r w:rsidR="008B35E8">
        <w:rPr>
          <w:noProof/>
        </w:rPr>
        <w:t> </w:t>
      </w:r>
      <w:r w:rsidR="008B35E8" w:rsidRPr="002866E5">
        <w:rPr>
          <w:noProof/>
        </w:rPr>
        <w:t>któ</w:t>
      </w:r>
      <w:r w:rsidR="004D680E" w:rsidRPr="002866E5">
        <w:rPr>
          <w:noProof/>
        </w:rPr>
        <w:t>rej mowa</w:t>
      </w:r>
      <w:r w:rsidR="008B35E8" w:rsidRPr="002866E5">
        <w:rPr>
          <w:noProof/>
        </w:rPr>
        <w:t xml:space="preserve"> w</w:t>
      </w:r>
      <w:r w:rsidR="008B35E8">
        <w:rPr>
          <w:noProof/>
        </w:rPr>
        <w:t> </w:t>
      </w:r>
      <w:r w:rsidR="008B35E8" w:rsidRPr="008B35E8">
        <w:rPr>
          <w:noProof/>
        </w:rPr>
        <w:t>art</w:t>
      </w:r>
      <w:r w:rsidR="004D680E" w:rsidRPr="008B35E8">
        <w:rPr>
          <w:noProof/>
        </w:rPr>
        <w:t>.</w:t>
      </w:r>
      <w:r w:rsidR="008B35E8" w:rsidRPr="008B35E8">
        <w:rPr>
          <w:noProof/>
        </w:rPr>
        <w:t> </w:t>
      </w:r>
      <w:r w:rsidR="004D680E" w:rsidRPr="008B35E8">
        <w:rPr>
          <w:noProof/>
        </w:rPr>
        <w:t>2</w:t>
      </w:r>
      <w:r w:rsidR="004D680E" w:rsidRPr="002866E5">
        <w:rPr>
          <w:noProof/>
        </w:rPr>
        <w:t>0, oraz dokumentacji technicznej,</w:t>
      </w:r>
      <w:r w:rsidR="008B35E8" w:rsidRPr="002866E5">
        <w:rPr>
          <w:noProof/>
        </w:rPr>
        <w:t xml:space="preserve"> o</w:t>
      </w:r>
      <w:r w:rsidR="008B35E8">
        <w:rPr>
          <w:noProof/>
        </w:rPr>
        <w:t> </w:t>
      </w:r>
      <w:r w:rsidR="008B35E8" w:rsidRPr="002866E5">
        <w:rPr>
          <w:noProof/>
        </w:rPr>
        <w:t>któ</w:t>
      </w:r>
      <w:r w:rsidR="004D680E" w:rsidRPr="002866E5">
        <w:rPr>
          <w:noProof/>
        </w:rPr>
        <w:t>rej mowa</w:t>
      </w:r>
      <w:r w:rsidR="008B35E8" w:rsidRPr="002866E5">
        <w:rPr>
          <w:noProof/>
        </w:rPr>
        <w:t xml:space="preserve"> w</w:t>
      </w:r>
      <w:r w:rsidR="008B35E8">
        <w:rPr>
          <w:noProof/>
        </w:rPr>
        <w:t> </w:t>
      </w:r>
      <w:r w:rsidR="008B35E8" w:rsidRPr="008B35E8">
        <w:rPr>
          <w:noProof/>
        </w:rPr>
        <w:t>art</w:t>
      </w:r>
      <w:r w:rsidR="004D680E" w:rsidRPr="008B35E8">
        <w:rPr>
          <w:noProof/>
        </w:rPr>
        <w:t>.</w:t>
      </w:r>
      <w:r w:rsidR="008B35E8" w:rsidRPr="008B35E8">
        <w:rPr>
          <w:noProof/>
        </w:rPr>
        <w:t> </w:t>
      </w:r>
      <w:r w:rsidR="004D680E" w:rsidRPr="008B35E8">
        <w:rPr>
          <w:noProof/>
        </w:rPr>
        <w:t>2</w:t>
      </w:r>
      <w:r w:rsidR="004D680E" w:rsidRPr="002866E5">
        <w:rPr>
          <w:noProof/>
        </w:rPr>
        <w:t>3, do dyspozycji organów nadzoru rynku przez okres dziesięciu lat po wprowadzeniu produktu</w:t>
      </w:r>
      <w:r w:rsidR="008B35E8" w:rsidRPr="002866E5">
        <w:rPr>
          <w:noProof/>
        </w:rPr>
        <w:t xml:space="preserve"> z</w:t>
      </w:r>
      <w:r w:rsidR="008B35E8">
        <w:rPr>
          <w:noProof/>
        </w:rPr>
        <w:t> </w:t>
      </w:r>
      <w:r w:rsidR="008B35E8" w:rsidRPr="002866E5">
        <w:rPr>
          <w:noProof/>
        </w:rPr>
        <w:t>ele</w:t>
      </w:r>
      <w:r w:rsidR="004D680E" w:rsidRPr="002866E5">
        <w:rPr>
          <w:noProof/>
        </w:rPr>
        <w:t>mentami cyfrowymi do obrotu;</w:t>
      </w:r>
    </w:p>
    <w:p w14:paraId="67ED879C" w14:textId="2F11F8DF" w:rsidR="0023756A" w:rsidRPr="002866E5" w:rsidRDefault="000340F9" w:rsidP="000340F9">
      <w:pPr>
        <w:pStyle w:val="Point1"/>
        <w:rPr>
          <w:noProof/>
        </w:rPr>
      </w:pPr>
      <w:r>
        <w:rPr>
          <w:noProof/>
        </w:rPr>
        <w:t>b</w:t>
      </w:r>
      <w:r w:rsidRPr="000340F9">
        <w:rPr>
          <w:noProof/>
        </w:rPr>
        <w:t>)</w:t>
      </w:r>
      <w:r w:rsidRPr="000340F9">
        <w:rPr>
          <w:noProof/>
        </w:rPr>
        <w:tab/>
      </w:r>
      <w:r w:rsidR="004D680E" w:rsidRPr="002866E5">
        <w:rPr>
          <w:noProof/>
        </w:rPr>
        <w:t>przekazywanie na uzasadniony wniosek organu nadzoru rynku wszelkich informacji</w:t>
      </w:r>
      <w:r w:rsidR="008B35E8" w:rsidRPr="002866E5">
        <w:rPr>
          <w:noProof/>
        </w:rPr>
        <w:t xml:space="preserve"> i</w:t>
      </w:r>
      <w:r w:rsidR="008B35E8">
        <w:rPr>
          <w:noProof/>
        </w:rPr>
        <w:t> </w:t>
      </w:r>
      <w:r w:rsidR="008B35E8" w:rsidRPr="002866E5">
        <w:rPr>
          <w:noProof/>
        </w:rPr>
        <w:t>dok</w:t>
      </w:r>
      <w:r w:rsidR="004D680E" w:rsidRPr="002866E5">
        <w:rPr>
          <w:noProof/>
        </w:rPr>
        <w:t>umentów niezbędnych do wykazania zgodności produktu</w:t>
      </w:r>
      <w:r w:rsidR="008B35E8" w:rsidRPr="002866E5">
        <w:rPr>
          <w:noProof/>
        </w:rPr>
        <w:t xml:space="preserve"> z</w:t>
      </w:r>
      <w:r w:rsidR="008B35E8">
        <w:rPr>
          <w:noProof/>
        </w:rPr>
        <w:t> </w:t>
      </w:r>
      <w:r w:rsidR="008B35E8" w:rsidRPr="002866E5">
        <w:rPr>
          <w:noProof/>
        </w:rPr>
        <w:t>ele</w:t>
      </w:r>
      <w:r w:rsidR="004D680E" w:rsidRPr="002866E5">
        <w:rPr>
          <w:noProof/>
        </w:rPr>
        <w:t>mentami cyfrowymi</w:t>
      </w:r>
      <w:r w:rsidR="008B35E8" w:rsidRPr="002866E5">
        <w:rPr>
          <w:noProof/>
        </w:rPr>
        <w:t xml:space="preserve"> z</w:t>
      </w:r>
      <w:r w:rsidR="008B35E8">
        <w:rPr>
          <w:noProof/>
        </w:rPr>
        <w:t> </w:t>
      </w:r>
      <w:r w:rsidR="008B35E8" w:rsidRPr="002866E5">
        <w:rPr>
          <w:noProof/>
        </w:rPr>
        <w:t>wym</w:t>
      </w:r>
      <w:r w:rsidR="004D680E" w:rsidRPr="002866E5">
        <w:rPr>
          <w:noProof/>
        </w:rPr>
        <w:t>ogami;</w:t>
      </w:r>
    </w:p>
    <w:p w14:paraId="67ED879D" w14:textId="7A4693AF" w:rsidR="004D680E" w:rsidRPr="002866E5" w:rsidRDefault="000340F9" w:rsidP="000340F9">
      <w:pPr>
        <w:pStyle w:val="Point1"/>
        <w:rPr>
          <w:noProof/>
        </w:rPr>
      </w:pPr>
      <w:r>
        <w:rPr>
          <w:noProof/>
        </w:rPr>
        <w:t>c</w:t>
      </w:r>
      <w:r w:rsidRPr="000340F9">
        <w:rPr>
          <w:noProof/>
        </w:rPr>
        <w:t>)</w:t>
      </w:r>
      <w:r w:rsidRPr="000340F9">
        <w:rPr>
          <w:noProof/>
        </w:rPr>
        <w:tab/>
      </w:r>
      <w:r w:rsidR="004D680E" w:rsidRPr="002866E5">
        <w:rPr>
          <w:noProof/>
        </w:rPr>
        <w:t>na wniosek organów nadzoru rynku podejmowanie</w:t>
      </w:r>
      <w:r w:rsidR="008B35E8" w:rsidRPr="002866E5">
        <w:rPr>
          <w:noProof/>
        </w:rPr>
        <w:t xml:space="preserve"> z</w:t>
      </w:r>
      <w:r w:rsidR="008B35E8">
        <w:rPr>
          <w:noProof/>
        </w:rPr>
        <w:t> </w:t>
      </w:r>
      <w:r w:rsidR="008B35E8" w:rsidRPr="002866E5">
        <w:rPr>
          <w:noProof/>
        </w:rPr>
        <w:t>nim</w:t>
      </w:r>
      <w:r w:rsidR="004D680E" w:rsidRPr="002866E5">
        <w:rPr>
          <w:noProof/>
        </w:rPr>
        <w:t>i współpracy</w:t>
      </w:r>
      <w:r w:rsidR="008B35E8" w:rsidRPr="002866E5">
        <w:rPr>
          <w:noProof/>
        </w:rPr>
        <w:t xml:space="preserve"> w</w:t>
      </w:r>
      <w:r w:rsidR="008B35E8">
        <w:rPr>
          <w:noProof/>
        </w:rPr>
        <w:t> </w:t>
      </w:r>
      <w:r w:rsidR="008B35E8" w:rsidRPr="002866E5">
        <w:rPr>
          <w:noProof/>
        </w:rPr>
        <w:t>dzi</w:t>
      </w:r>
      <w:r w:rsidR="004D680E" w:rsidRPr="002866E5">
        <w:rPr>
          <w:noProof/>
        </w:rPr>
        <w:t>ałaniach mających na celu na wyeliminowanie ryzyka, jakie stwarza produkt</w:t>
      </w:r>
      <w:r w:rsidR="008B35E8" w:rsidRPr="002866E5">
        <w:rPr>
          <w:noProof/>
        </w:rPr>
        <w:t xml:space="preserve"> z</w:t>
      </w:r>
      <w:r w:rsidR="008B35E8">
        <w:rPr>
          <w:noProof/>
        </w:rPr>
        <w:t> </w:t>
      </w:r>
      <w:r w:rsidR="008B35E8" w:rsidRPr="002866E5">
        <w:rPr>
          <w:noProof/>
        </w:rPr>
        <w:t>ele</w:t>
      </w:r>
      <w:r w:rsidR="004D680E" w:rsidRPr="002866E5">
        <w:rPr>
          <w:noProof/>
        </w:rPr>
        <w:t>mentami cyfrowymi objęty pełnomocnictwem upoważnionego przedstawiciela.</w:t>
      </w:r>
    </w:p>
    <w:p w14:paraId="67ED879E" w14:textId="7A2D369D" w:rsidR="004D680E" w:rsidRPr="002866E5" w:rsidRDefault="004D680E" w:rsidP="0027065F">
      <w:pPr>
        <w:pStyle w:val="Titrearticle0"/>
        <w:rPr>
          <w:noProof/>
        </w:rPr>
      </w:pPr>
      <w:r w:rsidRPr="002866E5">
        <w:rPr>
          <w:noProof/>
        </w:rPr>
        <w:t>Artykuł 13</w:t>
      </w:r>
    </w:p>
    <w:p w14:paraId="67ED879F" w14:textId="77777777" w:rsidR="004D680E" w:rsidRPr="002866E5" w:rsidRDefault="004D680E" w:rsidP="00084E38">
      <w:pPr>
        <w:jc w:val="center"/>
        <w:rPr>
          <w:i/>
          <w:noProof/>
        </w:rPr>
      </w:pPr>
      <w:r w:rsidRPr="002866E5">
        <w:rPr>
          <w:i/>
          <w:noProof/>
        </w:rPr>
        <w:t>Obowiązki importerów</w:t>
      </w:r>
    </w:p>
    <w:p w14:paraId="67ED87A0" w14:textId="4528CEC1" w:rsidR="007A58DE" w:rsidRPr="002866E5" w:rsidRDefault="00B4087C" w:rsidP="00B4087C">
      <w:pPr>
        <w:pStyle w:val="ManualNumPar1"/>
        <w:rPr>
          <w:noProof/>
        </w:rPr>
      </w:pPr>
      <w:r w:rsidRPr="00B4087C">
        <w:t>1.</w:t>
      </w:r>
      <w:r w:rsidRPr="00B4087C">
        <w:tab/>
      </w:r>
      <w:r w:rsidR="007A58DE" w:rsidRPr="002866E5">
        <w:rPr>
          <w:noProof/>
        </w:rPr>
        <w:t>Importerzy wprowadzają do obrotu wyłącznie produkty</w:t>
      </w:r>
      <w:r w:rsidR="008B35E8" w:rsidRPr="002866E5">
        <w:rPr>
          <w:noProof/>
        </w:rPr>
        <w:t xml:space="preserve"> z</w:t>
      </w:r>
      <w:r w:rsidR="008B35E8">
        <w:rPr>
          <w:noProof/>
        </w:rPr>
        <w:t> </w:t>
      </w:r>
      <w:r w:rsidR="008B35E8" w:rsidRPr="002866E5">
        <w:rPr>
          <w:noProof/>
        </w:rPr>
        <w:t>ele</w:t>
      </w:r>
      <w:r w:rsidR="007A58DE" w:rsidRPr="002866E5">
        <w:rPr>
          <w:noProof/>
        </w:rPr>
        <w:t>mentami cyfrowymi, które spełniają zasadnicze wymogi określone</w:t>
      </w:r>
      <w:r w:rsidR="008B35E8" w:rsidRPr="002866E5">
        <w:rPr>
          <w:noProof/>
        </w:rPr>
        <w:t xml:space="preserve"> w</w:t>
      </w:r>
      <w:r w:rsidR="008B35E8">
        <w:rPr>
          <w:noProof/>
        </w:rPr>
        <w:t> </w:t>
      </w:r>
      <w:r w:rsidR="008B35E8" w:rsidRPr="002866E5">
        <w:rPr>
          <w:noProof/>
        </w:rPr>
        <w:t>sek</w:t>
      </w:r>
      <w:r w:rsidR="007A58DE" w:rsidRPr="002866E5">
        <w:rPr>
          <w:noProof/>
        </w:rPr>
        <w:t>cji 1 załącznika I</w:t>
      </w:r>
      <w:r w:rsidR="008B35E8" w:rsidRPr="002866E5">
        <w:rPr>
          <w:noProof/>
        </w:rPr>
        <w:t xml:space="preserve"> i</w:t>
      </w:r>
      <w:r w:rsidR="008B35E8">
        <w:rPr>
          <w:noProof/>
        </w:rPr>
        <w:t> </w:t>
      </w:r>
      <w:r w:rsidR="008B35E8" w:rsidRPr="002866E5">
        <w:rPr>
          <w:noProof/>
        </w:rPr>
        <w:t>w</w:t>
      </w:r>
      <w:r w:rsidR="008B35E8">
        <w:rPr>
          <w:noProof/>
        </w:rPr>
        <w:t> </w:t>
      </w:r>
      <w:r w:rsidR="008B35E8" w:rsidRPr="002866E5">
        <w:rPr>
          <w:noProof/>
        </w:rPr>
        <w:t>prz</w:t>
      </w:r>
      <w:r w:rsidR="007A58DE" w:rsidRPr="002866E5">
        <w:rPr>
          <w:noProof/>
        </w:rPr>
        <w:t>ypadku których procedury wprowadzone przez producenta są zgodne</w:t>
      </w:r>
      <w:r w:rsidR="008B35E8" w:rsidRPr="002866E5">
        <w:rPr>
          <w:noProof/>
        </w:rPr>
        <w:t xml:space="preserve"> z</w:t>
      </w:r>
      <w:r w:rsidR="008B35E8">
        <w:rPr>
          <w:noProof/>
        </w:rPr>
        <w:t> </w:t>
      </w:r>
      <w:r w:rsidR="008B35E8" w:rsidRPr="002866E5">
        <w:rPr>
          <w:noProof/>
        </w:rPr>
        <w:t>zas</w:t>
      </w:r>
      <w:r w:rsidR="007A58DE" w:rsidRPr="002866E5">
        <w:rPr>
          <w:noProof/>
        </w:rPr>
        <w:t>adniczymi wymogami określonymi</w:t>
      </w:r>
      <w:r w:rsidR="008B35E8" w:rsidRPr="002866E5">
        <w:rPr>
          <w:noProof/>
        </w:rPr>
        <w:t xml:space="preserve"> w</w:t>
      </w:r>
      <w:r w:rsidR="008B35E8">
        <w:rPr>
          <w:noProof/>
        </w:rPr>
        <w:t> </w:t>
      </w:r>
      <w:r w:rsidR="008B35E8" w:rsidRPr="002866E5">
        <w:rPr>
          <w:noProof/>
        </w:rPr>
        <w:t>sek</w:t>
      </w:r>
      <w:r w:rsidR="007A58DE" w:rsidRPr="002866E5">
        <w:rPr>
          <w:noProof/>
        </w:rPr>
        <w:t>cji 2 załącznika I.</w:t>
      </w:r>
    </w:p>
    <w:p w14:paraId="67ED87A1" w14:textId="1712BEA7" w:rsidR="00DA3D08" w:rsidRPr="002866E5" w:rsidRDefault="00B4087C" w:rsidP="00B4087C">
      <w:pPr>
        <w:pStyle w:val="ManualNumPar1"/>
        <w:rPr>
          <w:noProof/>
        </w:rPr>
      </w:pPr>
      <w:r w:rsidRPr="00B4087C">
        <w:t>2.</w:t>
      </w:r>
      <w:r w:rsidRPr="00B4087C">
        <w:tab/>
      </w:r>
      <w:r w:rsidR="007A58DE" w:rsidRPr="002866E5">
        <w:rPr>
          <w:noProof/>
        </w:rPr>
        <w:t>Przed wprowadzeniem produktu</w:t>
      </w:r>
      <w:r w:rsidR="008B35E8" w:rsidRPr="002866E5">
        <w:rPr>
          <w:noProof/>
        </w:rPr>
        <w:t xml:space="preserve"> z</w:t>
      </w:r>
      <w:r w:rsidR="008B35E8">
        <w:rPr>
          <w:noProof/>
        </w:rPr>
        <w:t> </w:t>
      </w:r>
      <w:r w:rsidR="008B35E8" w:rsidRPr="002866E5">
        <w:rPr>
          <w:noProof/>
        </w:rPr>
        <w:t>ele</w:t>
      </w:r>
      <w:r w:rsidR="007A58DE" w:rsidRPr="002866E5">
        <w:rPr>
          <w:noProof/>
        </w:rPr>
        <w:t xml:space="preserve">mentami cyfrowymi do obrotu importerzy zapewniają, aby: </w:t>
      </w:r>
    </w:p>
    <w:p w14:paraId="67ED87A2" w14:textId="691A65D2" w:rsidR="0023756A" w:rsidRPr="002866E5" w:rsidRDefault="000340F9" w:rsidP="000340F9">
      <w:pPr>
        <w:pStyle w:val="Point1"/>
        <w:rPr>
          <w:noProof/>
        </w:rPr>
      </w:pPr>
      <w:r w:rsidRPr="000340F9">
        <w:rPr>
          <w:noProof/>
        </w:rPr>
        <w:t>a)</w:t>
      </w:r>
      <w:r w:rsidRPr="000340F9">
        <w:rPr>
          <w:noProof/>
        </w:rPr>
        <w:tab/>
      </w:r>
      <w:r w:rsidR="001D71E6" w:rsidRPr="002866E5">
        <w:rPr>
          <w:noProof/>
        </w:rPr>
        <w:t>producent przeprowadził odpowiednie procedury oceny zgodności,</w:t>
      </w:r>
      <w:r w:rsidR="008B35E8" w:rsidRPr="002866E5">
        <w:rPr>
          <w:noProof/>
        </w:rPr>
        <w:t xml:space="preserve"> o</w:t>
      </w:r>
      <w:r w:rsidR="008B35E8">
        <w:rPr>
          <w:noProof/>
        </w:rPr>
        <w:t> </w:t>
      </w:r>
      <w:r w:rsidR="008B35E8" w:rsidRPr="002866E5">
        <w:rPr>
          <w:noProof/>
        </w:rPr>
        <w:t>któ</w:t>
      </w:r>
      <w:r w:rsidR="001D71E6" w:rsidRPr="002866E5">
        <w:rPr>
          <w:noProof/>
        </w:rPr>
        <w:t>rych mowa</w:t>
      </w:r>
      <w:r w:rsidR="008B35E8" w:rsidRPr="002866E5">
        <w:rPr>
          <w:noProof/>
        </w:rPr>
        <w:t xml:space="preserve"> w</w:t>
      </w:r>
      <w:r w:rsidR="008B35E8">
        <w:rPr>
          <w:noProof/>
        </w:rPr>
        <w:t> </w:t>
      </w:r>
      <w:r w:rsidR="008B35E8" w:rsidRPr="008B35E8">
        <w:rPr>
          <w:noProof/>
        </w:rPr>
        <w:t>art</w:t>
      </w:r>
      <w:r w:rsidR="001D71E6" w:rsidRPr="008B35E8">
        <w:rPr>
          <w:noProof/>
        </w:rPr>
        <w:t>.</w:t>
      </w:r>
      <w:r w:rsidR="008B35E8" w:rsidRPr="008B35E8">
        <w:rPr>
          <w:noProof/>
        </w:rPr>
        <w:t> </w:t>
      </w:r>
      <w:r w:rsidR="001D71E6" w:rsidRPr="008B35E8">
        <w:rPr>
          <w:noProof/>
        </w:rPr>
        <w:t>2</w:t>
      </w:r>
      <w:r w:rsidR="001D71E6" w:rsidRPr="002866E5">
        <w:rPr>
          <w:noProof/>
        </w:rPr>
        <w:t xml:space="preserve">4; </w:t>
      </w:r>
    </w:p>
    <w:p w14:paraId="67ED87A3" w14:textId="72FE664A" w:rsidR="0023756A" w:rsidRPr="002866E5" w:rsidRDefault="000340F9" w:rsidP="000340F9">
      <w:pPr>
        <w:pStyle w:val="Point1"/>
        <w:rPr>
          <w:noProof/>
        </w:rPr>
      </w:pPr>
      <w:r w:rsidRPr="000340F9">
        <w:rPr>
          <w:noProof/>
        </w:rPr>
        <w:t>b)</w:t>
      </w:r>
      <w:r w:rsidRPr="000340F9">
        <w:rPr>
          <w:noProof/>
        </w:rPr>
        <w:tab/>
      </w:r>
      <w:r w:rsidR="007A58DE" w:rsidRPr="002866E5">
        <w:rPr>
          <w:noProof/>
        </w:rPr>
        <w:t xml:space="preserve">producent sporządził dokumentację techniczną; </w:t>
      </w:r>
    </w:p>
    <w:p w14:paraId="67ED87A4" w14:textId="01B4C854" w:rsidR="007A58DE" w:rsidRPr="002866E5" w:rsidRDefault="000340F9" w:rsidP="000340F9">
      <w:pPr>
        <w:pStyle w:val="Point1"/>
        <w:rPr>
          <w:noProof/>
        </w:rPr>
      </w:pPr>
      <w:r w:rsidRPr="000340F9">
        <w:rPr>
          <w:noProof/>
        </w:rPr>
        <w:lastRenderedPageBreak/>
        <w:t>c)</w:t>
      </w:r>
      <w:r w:rsidRPr="000340F9">
        <w:rPr>
          <w:noProof/>
        </w:rPr>
        <w:tab/>
      </w:r>
      <w:r w:rsidR="00CB0E2B" w:rsidRPr="002866E5">
        <w:rPr>
          <w:noProof/>
        </w:rPr>
        <w:t>produkt</w:t>
      </w:r>
      <w:r w:rsidR="008B35E8" w:rsidRPr="002866E5">
        <w:rPr>
          <w:noProof/>
        </w:rPr>
        <w:t xml:space="preserve"> z</w:t>
      </w:r>
      <w:r w:rsidR="008B35E8">
        <w:rPr>
          <w:noProof/>
        </w:rPr>
        <w:t> </w:t>
      </w:r>
      <w:r w:rsidR="008B35E8" w:rsidRPr="002866E5">
        <w:rPr>
          <w:noProof/>
        </w:rPr>
        <w:t>ele</w:t>
      </w:r>
      <w:r w:rsidR="00CB0E2B" w:rsidRPr="002866E5">
        <w:rPr>
          <w:noProof/>
        </w:rPr>
        <w:t>mentami cyfrowymi nosił oznakowanie CE,</w:t>
      </w:r>
      <w:r w:rsidR="008B35E8" w:rsidRPr="002866E5">
        <w:rPr>
          <w:noProof/>
        </w:rPr>
        <w:t xml:space="preserve"> o</w:t>
      </w:r>
      <w:r w:rsidR="008B35E8">
        <w:rPr>
          <w:noProof/>
        </w:rPr>
        <w:t> </w:t>
      </w:r>
      <w:r w:rsidR="008B35E8" w:rsidRPr="002866E5">
        <w:rPr>
          <w:noProof/>
        </w:rPr>
        <w:t>któ</w:t>
      </w:r>
      <w:r w:rsidR="00CB0E2B" w:rsidRPr="002866E5">
        <w:rPr>
          <w:noProof/>
        </w:rPr>
        <w:t>rym mowa</w:t>
      </w:r>
      <w:r w:rsidR="008B35E8" w:rsidRPr="002866E5">
        <w:rPr>
          <w:noProof/>
        </w:rPr>
        <w:t xml:space="preserve"> w</w:t>
      </w:r>
      <w:r w:rsidR="008B35E8">
        <w:rPr>
          <w:noProof/>
        </w:rPr>
        <w:t> </w:t>
      </w:r>
      <w:r w:rsidR="008B35E8" w:rsidRPr="008B35E8">
        <w:rPr>
          <w:noProof/>
        </w:rPr>
        <w:t>art</w:t>
      </w:r>
      <w:r w:rsidR="00CB0E2B" w:rsidRPr="008B35E8">
        <w:rPr>
          <w:noProof/>
        </w:rPr>
        <w:t>.</w:t>
      </w:r>
      <w:r w:rsidR="008B35E8" w:rsidRPr="008B35E8">
        <w:rPr>
          <w:noProof/>
        </w:rPr>
        <w:t> </w:t>
      </w:r>
      <w:r w:rsidR="00CB0E2B" w:rsidRPr="008B35E8">
        <w:rPr>
          <w:noProof/>
        </w:rPr>
        <w:t>2</w:t>
      </w:r>
      <w:r w:rsidR="00CB0E2B" w:rsidRPr="002866E5">
        <w:rPr>
          <w:noProof/>
        </w:rPr>
        <w:t>2, oraz by towarzyszyły mu informacje</w:t>
      </w:r>
      <w:r w:rsidR="008B35E8" w:rsidRPr="002866E5">
        <w:rPr>
          <w:noProof/>
        </w:rPr>
        <w:t xml:space="preserve"> i</w:t>
      </w:r>
      <w:r w:rsidR="008B35E8">
        <w:rPr>
          <w:noProof/>
        </w:rPr>
        <w:t> </w:t>
      </w:r>
      <w:r w:rsidR="008B35E8" w:rsidRPr="002866E5">
        <w:rPr>
          <w:noProof/>
        </w:rPr>
        <w:t>ins</w:t>
      </w:r>
      <w:r w:rsidR="00CB0E2B" w:rsidRPr="002866E5">
        <w:rPr>
          <w:noProof/>
        </w:rPr>
        <w:t>trukcje obsługi określone</w:t>
      </w:r>
      <w:r w:rsidR="008B35E8" w:rsidRPr="002866E5">
        <w:rPr>
          <w:noProof/>
        </w:rPr>
        <w:t xml:space="preserve"> w</w:t>
      </w:r>
      <w:r w:rsidR="008B35E8">
        <w:rPr>
          <w:noProof/>
        </w:rPr>
        <w:t> </w:t>
      </w:r>
      <w:r w:rsidR="008B35E8" w:rsidRPr="002866E5">
        <w:rPr>
          <w:noProof/>
        </w:rPr>
        <w:t>zał</w:t>
      </w:r>
      <w:r w:rsidR="00CB0E2B" w:rsidRPr="002866E5">
        <w:rPr>
          <w:noProof/>
        </w:rPr>
        <w:t xml:space="preserve">ączniku II. </w:t>
      </w:r>
    </w:p>
    <w:p w14:paraId="67ED87A5" w14:textId="40E7C8E5" w:rsidR="007A58DE" w:rsidRPr="002866E5" w:rsidRDefault="00B4087C" w:rsidP="00B4087C">
      <w:pPr>
        <w:pStyle w:val="ManualNumPar1"/>
        <w:rPr>
          <w:noProof/>
        </w:rPr>
      </w:pPr>
      <w:r w:rsidRPr="00B4087C">
        <w:t>3.</w:t>
      </w:r>
      <w:r w:rsidRPr="00B4087C">
        <w:tab/>
      </w:r>
      <w:r w:rsidR="007A58DE" w:rsidRPr="002866E5">
        <w:rPr>
          <w:noProof/>
        </w:rPr>
        <w:t>W przypadku gdy importer uznaje lub ma powody, by uważać, że produkt</w:t>
      </w:r>
      <w:r w:rsidR="008B35E8" w:rsidRPr="002866E5">
        <w:rPr>
          <w:noProof/>
        </w:rPr>
        <w:t xml:space="preserve"> z</w:t>
      </w:r>
      <w:r w:rsidR="008B35E8">
        <w:rPr>
          <w:noProof/>
        </w:rPr>
        <w:t> </w:t>
      </w:r>
      <w:r w:rsidR="008B35E8" w:rsidRPr="002866E5">
        <w:rPr>
          <w:noProof/>
        </w:rPr>
        <w:t>ele</w:t>
      </w:r>
      <w:r w:rsidR="007A58DE" w:rsidRPr="002866E5">
        <w:rPr>
          <w:noProof/>
        </w:rPr>
        <w:t>mentami cyfrowymi lub procedury wprowadzone przez producenta nie są zgodne</w:t>
      </w:r>
      <w:r w:rsidR="008B35E8" w:rsidRPr="002866E5">
        <w:rPr>
          <w:noProof/>
        </w:rPr>
        <w:t xml:space="preserve"> z</w:t>
      </w:r>
      <w:r w:rsidR="008B35E8">
        <w:rPr>
          <w:noProof/>
        </w:rPr>
        <w:t> </w:t>
      </w:r>
      <w:r w:rsidR="008B35E8" w:rsidRPr="002866E5">
        <w:rPr>
          <w:noProof/>
        </w:rPr>
        <w:t>zas</w:t>
      </w:r>
      <w:r w:rsidR="007A58DE" w:rsidRPr="002866E5">
        <w:rPr>
          <w:noProof/>
        </w:rPr>
        <w:t>adniczymi wymogami określonymi</w:t>
      </w:r>
      <w:r w:rsidR="008B35E8" w:rsidRPr="002866E5">
        <w:rPr>
          <w:noProof/>
        </w:rPr>
        <w:t xml:space="preserve"> w</w:t>
      </w:r>
      <w:r w:rsidR="008B35E8">
        <w:rPr>
          <w:noProof/>
        </w:rPr>
        <w:t> </w:t>
      </w:r>
      <w:r w:rsidR="008B35E8" w:rsidRPr="002866E5">
        <w:rPr>
          <w:noProof/>
        </w:rPr>
        <w:t>zał</w:t>
      </w:r>
      <w:r w:rsidR="007A58DE" w:rsidRPr="002866E5">
        <w:rPr>
          <w:noProof/>
        </w:rPr>
        <w:t>ączniku I, nie wprowadza produktu do obrotu, dopóki nie zostanie zapewniona zgodność tego produktu lub tych procedur wprowadzonych przez producenta</w:t>
      </w:r>
      <w:r w:rsidR="008B35E8" w:rsidRPr="002866E5">
        <w:rPr>
          <w:noProof/>
        </w:rPr>
        <w:t xml:space="preserve"> z</w:t>
      </w:r>
      <w:r w:rsidR="008B35E8">
        <w:rPr>
          <w:noProof/>
        </w:rPr>
        <w:t> </w:t>
      </w:r>
      <w:r w:rsidR="008B35E8" w:rsidRPr="002866E5">
        <w:rPr>
          <w:noProof/>
        </w:rPr>
        <w:t>zas</w:t>
      </w:r>
      <w:r w:rsidR="007A58DE" w:rsidRPr="002866E5">
        <w:rPr>
          <w:noProof/>
        </w:rPr>
        <w:t>adniczymi wymogami określonymi</w:t>
      </w:r>
      <w:r w:rsidR="008B35E8" w:rsidRPr="002866E5">
        <w:rPr>
          <w:noProof/>
        </w:rPr>
        <w:t xml:space="preserve"> w</w:t>
      </w:r>
      <w:r w:rsidR="008B35E8">
        <w:rPr>
          <w:noProof/>
        </w:rPr>
        <w:t> </w:t>
      </w:r>
      <w:r w:rsidR="008B35E8" w:rsidRPr="002866E5">
        <w:rPr>
          <w:noProof/>
        </w:rPr>
        <w:t>zał</w:t>
      </w:r>
      <w:r w:rsidR="007A58DE" w:rsidRPr="002866E5">
        <w:rPr>
          <w:noProof/>
        </w:rPr>
        <w:t>ączniku I. Ponadto, jeżeli produkt</w:t>
      </w:r>
      <w:r w:rsidR="008B35E8" w:rsidRPr="002866E5">
        <w:rPr>
          <w:noProof/>
        </w:rPr>
        <w:t xml:space="preserve"> z</w:t>
      </w:r>
      <w:r w:rsidR="008B35E8">
        <w:rPr>
          <w:noProof/>
        </w:rPr>
        <w:t> </w:t>
      </w:r>
      <w:r w:rsidR="008B35E8" w:rsidRPr="002866E5">
        <w:rPr>
          <w:noProof/>
        </w:rPr>
        <w:t>ele</w:t>
      </w:r>
      <w:r w:rsidR="007A58DE" w:rsidRPr="002866E5">
        <w:rPr>
          <w:noProof/>
        </w:rPr>
        <w:t>mentami cyfrowymi stwarza znaczne ryzyko</w:t>
      </w:r>
      <w:r w:rsidR="008B35E8" w:rsidRPr="002866E5">
        <w:rPr>
          <w:noProof/>
        </w:rPr>
        <w:t xml:space="preserve"> w</w:t>
      </w:r>
      <w:r w:rsidR="008B35E8">
        <w:rPr>
          <w:noProof/>
        </w:rPr>
        <w:t> </w:t>
      </w:r>
      <w:r w:rsidR="008B35E8" w:rsidRPr="002866E5">
        <w:rPr>
          <w:noProof/>
        </w:rPr>
        <w:t>cyb</w:t>
      </w:r>
      <w:r w:rsidR="007A58DE" w:rsidRPr="002866E5">
        <w:rPr>
          <w:noProof/>
        </w:rPr>
        <w:t>erprzestrzeni, importer informuje</w:t>
      </w:r>
      <w:r w:rsidR="008B35E8" w:rsidRPr="002866E5">
        <w:rPr>
          <w:noProof/>
        </w:rPr>
        <w:t xml:space="preserve"> o</w:t>
      </w:r>
      <w:r w:rsidR="008B35E8">
        <w:rPr>
          <w:noProof/>
        </w:rPr>
        <w:t> </w:t>
      </w:r>
      <w:r w:rsidR="008B35E8" w:rsidRPr="002866E5">
        <w:rPr>
          <w:noProof/>
        </w:rPr>
        <w:t>tym</w:t>
      </w:r>
      <w:r w:rsidR="007A58DE" w:rsidRPr="002866E5">
        <w:rPr>
          <w:noProof/>
        </w:rPr>
        <w:t xml:space="preserve"> producenta oraz organy nadzoru rynku.</w:t>
      </w:r>
    </w:p>
    <w:p w14:paraId="67ED87A6" w14:textId="7C7F763C" w:rsidR="007A58DE" w:rsidRPr="002866E5" w:rsidRDefault="00B4087C" w:rsidP="00B4087C">
      <w:pPr>
        <w:pStyle w:val="ManualNumPar1"/>
        <w:rPr>
          <w:noProof/>
        </w:rPr>
      </w:pPr>
      <w:r w:rsidRPr="00B4087C">
        <w:t>4.</w:t>
      </w:r>
      <w:r w:rsidRPr="00B4087C">
        <w:tab/>
      </w:r>
      <w:r w:rsidR="007A58DE" w:rsidRPr="002866E5">
        <w:rPr>
          <w:noProof/>
        </w:rPr>
        <w:t>Importerzy umieszczają na produkcie</w:t>
      </w:r>
      <w:r w:rsidR="008B35E8" w:rsidRPr="002866E5">
        <w:rPr>
          <w:noProof/>
        </w:rPr>
        <w:t xml:space="preserve"> z</w:t>
      </w:r>
      <w:r w:rsidR="008B35E8">
        <w:rPr>
          <w:noProof/>
        </w:rPr>
        <w:t> </w:t>
      </w:r>
      <w:r w:rsidR="008B35E8" w:rsidRPr="002866E5">
        <w:rPr>
          <w:noProof/>
        </w:rPr>
        <w:t>ele</w:t>
      </w:r>
      <w:r w:rsidR="007A58DE" w:rsidRPr="002866E5">
        <w:rPr>
          <w:noProof/>
        </w:rPr>
        <w:t>mentami cyfrowymi albo – jeżeli nie jest to możliwe – na opakowaniu produktu</w:t>
      </w:r>
      <w:r w:rsidR="008B35E8" w:rsidRPr="002866E5">
        <w:rPr>
          <w:noProof/>
        </w:rPr>
        <w:t xml:space="preserve"> z</w:t>
      </w:r>
      <w:r w:rsidR="008B35E8">
        <w:rPr>
          <w:noProof/>
        </w:rPr>
        <w:t> </w:t>
      </w:r>
      <w:r w:rsidR="008B35E8" w:rsidRPr="002866E5">
        <w:rPr>
          <w:noProof/>
        </w:rPr>
        <w:t>ele</w:t>
      </w:r>
      <w:r w:rsidR="007A58DE" w:rsidRPr="002866E5">
        <w:rPr>
          <w:noProof/>
        </w:rPr>
        <w:t>mentami cyfrowymi lub</w:t>
      </w:r>
      <w:r w:rsidR="008B35E8" w:rsidRPr="002866E5">
        <w:rPr>
          <w:noProof/>
        </w:rPr>
        <w:t xml:space="preserve"> w</w:t>
      </w:r>
      <w:r w:rsidR="008B35E8">
        <w:rPr>
          <w:noProof/>
        </w:rPr>
        <w:t> </w:t>
      </w:r>
      <w:r w:rsidR="008B35E8" w:rsidRPr="002866E5">
        <w:rPr>
          <w:noProof/>
        </w:rPr>
        <w:t>zał</w:t>
      </w:r>
      <w:r w:rsidR="007A58DE" w:rsidRPr="002866E5">
        <w:rPr>
          <w:noProof/>
        </w:rPr>
        <w:t>ączonym do niego dokumencie swoje imię</w:t>
      </w:r>
      <w:r w:rsidR="008B35E8" w:rsidRPr="002866E5">
        <w:rPr>
          <w:noProof/>
        </w:rPr>
        <w:t xml:space="preserve"> i</w:t>
      </w:r>
      <w:r w:rsidR="008B35E8">
        <w:rPr>
          <w:noProof/>
        </w:rPr>
        <w:t> </w:t>
      </w:r>
      <w:r w:rsidR="008B35E8" w:rsidRPr="002866E5">
        <w:rPr>
          <w:noProof/>
        </w:rPr>
        <w:t>naz</w:t>
      </w:r>
      <w:r w:rsidR="007A58DE" w:rsidRPr="002866E5">
        <w:rPr>
          <w:noProof/>
        </w:rPr>
        <w:t>wisko lub nazwę, zarejestrowaną nazwę handlową lub zarejestrowany znak towarowy, adres pocztowy</w:t>
      </w:r>
      <w:r w:rsidR="008B35E8" w:rsidRPr="002866E5">
        <w:rPr>
          <w:noProof/>
        </w:rPr>
        <w:t xml:space="preserve"> i</w:t>
      </w:r>
      <w:r w:rsidR="008B35E8">
        <w:rPr>
          <w:noProof/>
        </w:rPr>
        <w:t> </w:t>
      </w:r>
      <w:r w:rsidR="008B35E8" w:rsidRPr="002866E5">
        <w:rPr>
          <w:noProof/>
        </w:rPr>
        <w:t>adr</w:t>
      </w:r>
      <w:r w:rsidR="007A58DE" w:rsidRPr="002866E5">
        <w:rPr>
          <w:noProof/>
        </w:rPr>
        <w:t>es e-mail, pod którym można się</w:t>
      </w:r>
      <w:r w:rsidR="008B35E8" w:rsidRPr="002866E5">
        <w:rPr>
          <w:noProof/>
        </w:rPr>
        <w:t xml:space="preserve"> z</w:t>
      </w:r>
      <w:r w:rsidR="008B35E8">
        <w:rPr>
          <w:noProof/>
        </w:rPr>
        <w:t> </w:t>
      </w:r>
      <w:r w:rsidR="008B35E8" w:rsidRPr="002866E5">
        <w:rPr>
          <w:noProof/>
        </w:rPr>
        <w:t>nim</w:t>
      </w:r>
      <w:r w:rsidR="007A58DE" w:rsidRPr="002866E5">
        <w:rPr>
          <w:noProof/>
        </w:rPr>
        <w:t>i skontaktować. Dane kontaktowe podaje się</w:t>
      </w:r>
      <w:r w:rsidR="008B35E8" w:rsidRPr="002866E5">
        <w:rPr>
          <w:noProof/>
        </w:rPr>
        <w:t xml:space="preserve"> w</w:t>
      </w:r>
      <w:r w:rsidR="008B35E8">
        <w:rPr>
          <w:noProof/>
        </w:rPr>
        <w:t> </w:t>
      </w:r>
      <w:r w:rsidR="008B35E8" w:rsidRPr="002866E5">
        <w:rPr>
          <w:noProof/>
        </w:rPr>
        <w:t>jęz</w:t>
      </w:r>
      <w:r w:rsidR="007A58DE" w:rsidRPr="002866E5">
        <w:rPr>
          <w:noProof/>
        </w:rPr>
        <w:t>yku łatwo zrozumiałym dla użytkowników</w:t>
      </w:r>
      <w:r w:rsidR="008B35E8" w:rsidRPr="002866E5">
        <w:rPr>
          <w:noProof/>
        </w:rPr>
        <w:t xml:space="preserve"> i</w:t>
      </w:r>
      <w:r w:rsidR="008B35E8">
        <w:rPr>
          <w:noProof/>
        </w:rPr>
        <w:t> </w:t>
      </w:r>
      <w:r w:rsidR="008B35E8" w:rsidRPr="002866E5">
        <w:rPr>
          <w:noProof/>
        </w:rPr>
        <w:t>org</w:t>
      </w:r>
      <w:r w:rsidR="007A58DE" w:rsidRPr="002866E5">
        <w:rPr>
          <w:noProof/>
        </w:rPr>
        <w:t>anów nadzoru rynku.</w:t>
      </w:r>
    </w:p>
    <w:p w14:paraId="67ED87A7" w14:textId="2D6E5354" w:rsidR="007A58DE" w:rsidRPr="002866E5" w:rsidRDefault="00B4087C" w:rsidP="00B4087C">
      <w:pPr>
        <w:pStyle w:val="ManualNumPar1"/>
        <w:rPr>
          <w:noProof/>
        </w:rPr>
      </w:pPr>
      <w:r w:rsidRPr="00B4087C">
        <w:t>5.</w:t>
      </w:r>
      <w:r w:rsidRPr="00B4087C">
        <w:tab/>
      </w:r>
      <w:r w:rsidR="007A58DE" w:rsidRPr="002866E5">
        <w:rPr>
          <w:noProof/>
        </w:rPr>
        <w:t>Importerzy zapewniają dołączenie do produktu</w:t>
      </w:r>
      <w:r w:rsidR="008B35E8" w:rsidRPr="002866E5">
        <w:rPr>
          <w:noProof/>
        </w:rPr>
        <w:t xml:space="preserve"> z</w:t>
      </w:r>
      <w:r w:rsidR="008B35E8">
        <w:rPr>
          <w:noProof/>
        </w:rPr>
        <w:t> </w:t>
      </w:r>
      <w:r w:rsidR="008B35E8" w:rsidRPr="002866E5">
        <w:rPr>
          <w:noProof/>
        </w:rPr>
        <w:t>ele</w:t>
      </w:r>
      <w:r w:rsidR="007A58DE" w:rsidRPr="002866E5">
        <w:rPr>
          <w:noProof/>
        </w:rPr>
        <w:t>mentami cyfrowymi instrukcji obsługi oraz dostarczenie informacji określonych</w:t>
      </w:r>
      <w:r w:rsidR="008B35E8" w:rsidRPr="002866E5">
        <w:rPr>
          <w:noProof/>
        </w:rPr>
        <w:t xml:space="preserve"> w</w:t>
      </w:r>
      <w:r w:rsidR="008B35E8">
        <w:rPr>
          <w:noProof/>
        </w:rPr>
        <w:t> </w:t>
      </w:r>
      <w:r w:rsidR="008B35E8" w:rsidRPr="002866E5">
        <w:rPr>
          <w:noProof/>
        </w:rPr>
        <w:t>zał</w:t>
      </w:r>
      <w:r w:rsidR="007A58DE" w:rsidRPr="002866E5">
        <w:rPr>
          <w:noProof/>
        </w:rPr>
        <w:t>ączniku II</w:t>
      </w:r>
      <w:r w:rsidR="008B35E8" w:rsidRPr="002866E5">
        <w:rPr>
          <w:noProof/>
        </w:rPr>
        <w:t xml:space="preserve"> w</w:t>
      </w:r>
      <w:r w:rsidR="008B35E8">
        <w:rPr>
          <w:noProof/>
        </w:rPr>
        <w:t> </w:t>
      </w:r>
      <w:r w:rsidR="008B35E8" w:rsidRPr="002866E5">
        <w:rPr>
          <w:noProof/>
        </w:rPr>
        <w:t>jęz</w:t>
      </w:r>
      <w:r w:rsidR="007A58DE" w:rsidRPr="002866E5">
        <w:rPr>
          <w:noProof/>
        </w:rPr>
        <w:t>yku łatwo zrozumiałym dla użytkowników.</w:t>
      </w:r>
    </w:p>
    <w:p w14:paraId="67ED87A8" w14:textId="4D78C6C5" w:rsidR="00AE2AA9" w:rsidRPr="002866E5" w:rsidRDefault="00B4087C" w:rsidP="00B4087C">
      <w:pPr>
        <w:pStyle w:val="ManualNumPar1"/>
        <w:rPr>
          <w:noProof/>
        </w:rPr>
      </w:pPr>
      <w:r w:rsidRPr="00B4087C">
        <w:t>6.</w:t>
      </w:r>
      <w:r w:rsidRPr="00B4087C">
        <w:tab/>
      </w:r>
      <w:r w:rsidR="00861331" w:rsidRPr="002866E5">
        <w:rPr>
          <w:noProof/>
        </w:rPr>
        <w:t>Importerzy, którzy wiedzą lub mają powody, by uważać, że wprowadzony przez nich na rynek produkt</w:t>
      </w:r>
      <w:r w:rsidR="008B35E8" w:rsidRPr="002866E5">
        <w:rPr>
          <w:noProof/>
        </w:rPr>
        <w:t xml:space="preserve"> z</w:t>
      </w:r>
      <w:r w:rsidR="008B35E8">
        <w:rPr>
          <w:noProof/>
        </w:rPr>
        <w:t> </w:t>
      </w:r>
      <w:r w:rsidR="008B35E8" w:rsidRPr="002866E5">
        <w:rPr>
          <w:noProof/>
        </w:rPr>
        <w:t>ele</w:t>
      </w:r>
      <w:r w:rsidR="00861331" w:rsidRPr="002866E5">
        <w:rPr>
          <w:noProof/>
        </w:rPr>
        <w:t>mentami cyfrowymi lub procedury wprowadzone przez producenta nie są zgodne</w:t>
      </w:r>
      <w:r w:rsidR="008B35E8" w:rsidRPr="002866E5">
        <w:rPr>
          <w:noProof/>
        </w:rPr>
        <w:t xml:space="preserve"> z</w:t>
      </w:r>
      <w:r w:rsidR="008B35E8">
        <w:rPr>
          <w:noProof/>
        </w:rPr>
        <w:t> </w:t>
      </w:r>
      <w:r w:rsidR="008B35E8" w:rsidRPr="002866E5">
        <w:rPr>
          <w:noProof/>
        </w:rPr>
        <w:t>zas</w:t>
      </w:r>
      <w:r w:rsidR="00861331" w:rsidRPr="002866E5">
        <w:rPr>
          <w:noProof/>
        </w:rPr>
        <w:t>adniczymi wymogami określonymi</w:t>
      </w:r>
      <w:r w:rsidR="008B35E8" w:rsidRPr="002866E5">
        <w:rPr>
          <w:noProof/>
        </w:rPr>
        <w:t xml:space="preserve"> w</w:t>
      </w:r>
      <w:r w:rsidR="008B35E8">
        <w:rPr>
          <w:noProof/>
        </w:rPr>
        <w:t> </w:t>
      </w:r>
      <w:r w:rsidR="008B35E8" w:rsidRPr="002866E5">
        <w:rPr>
          <w:noProof/>
        </w:rPr>
        <w:t>zał</w:t>
      </w:r>
      <w:r w:rsidR="00861331" w:rsidRPr="002866E5">
        <w:rPr>
          <w:noProof/>
        </w:rPr>
        <w:t>ączniku I, niezwłocznie wprowadzają środki naprawcze niezbędne do zapewnienia zgodności produktu</w:t>
      </w:r>
      <w:r w:rsidR="008B35E8" w:rsidRPr="002866E5">
        <w:rPr>
          <w:noProof/>
        </w:rPr>
        <w:t xml:space="preserve"> z</w:t>
      </w:r>
      <w:r w:rsidR="008B35E8">
        <w:rPr>
          <w:noProof/>
        </w:rPr>
        <w:t> </w:t>
      </w:r>
      <w:r w:rsidR="008B35E8" w:rsidRPr="002866E5">
        <w:rPr>
          <w:noProof/>
        </w:rPr>
        <w:t>ele</w:t>
      </w:r>
      <w:r w:rsidR="00861331" w:rsidRPr="002866E5">
        <w:rPr>
          <w:noProof/>
        </w:rPr>
        <w:t>mentami cyfrowymi lub procedur wprowadzonych przez jego producenta</w:t>
      </w:r>
      <w:r w:rsidR="008B35E8" w:rsidRPr="002866E5">
        <w:rPr>
          <w:noProof/>
        </w:rPr>
        <w:t xml:space="preserve"> z</w:t>
      </w:r>
      <w:r w:rsidR="008B35E8">
        <w:rPr>
          <w:noProof/>
        </w:rPr>
        <w:t> </w:t>
      </w:r>
      <w:r w:rsidR="008B35E8" w:rsidRPr="002866E5">
        <w:rPr>
          <w:noProof/>
        </w:rPr>
        <w:t>zas</w:t>
      </w:r>
      <w:r w:rsidR="00861331" w:rsidRPr="002866E5">
        <w:rPr>
          <w:noProof/>
        </w:rPr>
        <w:t>adniczymi wymogami określonymi</w:t>
      </w:r>
      <w:r w:rsidR="008B35E8" w:rsidRPr="002866E5">
        <w:rPr>
          <w:noProof/>
        </w:rPr>
        <w:t xml:space="preserve"> w</w:t>
      </w:r>
      <w:r w:rsidR="008B35E8">
        <w:rPr>
          <w:noProof/>
        </w:rPr>
        <w:t> </w:t>
      </w:r>
      <w:r w:rsidR="008B35E8" w:rsidRPr="002866E5">
        <w:rPr>
          <w:noProof/>
        </w:rPr>
        <w:t>zał</w:t>
      </w:r>
      <w:r w:rsidR="00861331" w:rsidRPr="002866E5">
        <w:rPr>
          <w:noProof/>
        </w:rPr>
        <w:t>ączniku I lub do wycofania produktu</w:t>
      </w:r>
      <w:r w:rsidR="008B35E8" w:rsidRPr="002866E5">
        <w:rPr>
          <w:noProof/>
        </w:rPr>
        <w:t xml:space="preserve"> z</w:t>
      </w:r>
      <w:r w:rsidR="008B35E8">
        <w:rPr>
          <w:noProof/>
        </w:rPr>
        <w:t> </w:t>
      </w:r>
      <w:r w:rsidR="008B35E8" w:rsidRPr="002866E5">
        <w:rPr>
          <w:noProof/>
        </w:rPr>
        <w:t>obr</w:t>
      </w:r>
      <w:r w:rsidR="00861331" w:rsidRPr="002866E5">
        <w:rPr>
          <w:noProof/>
        </w:rPr>
        <w:t>otu, lub odzyskania go,</w:t>
      </w:r>
      <w:r w:rsidR="008B35E8" w:rsidRPr="002866E5">
        <w:rPr>
          <w:noProof/>
        </w:rPr>
        <w:t xml:space="preserve"> w</w:t>
      </w:r>
      <w:r w:rsidR="008B35E8">
        <w:rPr>
          <w:noProof/>
        </w:rPr>
        <w:t> </w:t>
      </w:r>
      <w:r w:rsidR="008B35E8" w:rsidRPr="002866E5">
        <w:rPr>
          <w:noProof/>
        </w:rPr>
        <w:t>sto</w:t>
      </w:r>
      <w:r w:rsidR="00861331" w:rsidRPr="002866E5">
        <w:rPr>
          <w:noProof/>
        </w:rPr>
        <w:t xml:space="preserve">sownych przypadkach. </w:t>
      </w:r>
    </w:p>
    <w:p w14:paraId="67ED87A9" w14:textId="752B5ED3" w:rsidR="007A58DE" w:rsidRPr="002866E5" w:rsidRDefault="00E855AD" w:rsidP="000A6E88">
      <w:pPr>
        <w:pStyle w:val="Text1"/>
        <w:rPr>
          <w:noProof/>
        </w:rPr>
      </w:pPr>
      <w:r w:rsidRPr="002866E5">
        <w:rPr>
          <w:noProof/>
        </w:rPr>
        <w:t>Po stwierdzeniu podatności produktu</w:t>
      </w:r>
      <w:r w:rsidR="008B35E8" w:rsidRPr="002866E5">
        <w:rPr>
          <w:noProof/>
        </w:rPr>
        <w:t xml:space="preserve"> z</w:t>
      </w:r>
      <w:r w:rsidR="008B35E8">
        <w:rPr>
          <w:noProof/>
        </w:rPr>
        <w:t> </w:t>
      </w:r>
      <w:r w:rsidR="008B35E8" w:rsidRPr="002866E5">
        <w:rPr>
          <w:noProof/>
        </w:rPr>
        <w:t>ele</w:t>
      </w:r>
      <w:r w:rsidRPr="002866E5">
        <w:rPr>
          <w:noProof/>
        </w:rPr>
        <w:t>mentami cyfrowymi importerzy bez zbędnej zwłoki informują producenta</w:t>
      </w:r>
      <w:r w:rsidR="008B35E8" w:rsidRPr="002866E5">
        <w:rPr>
          <w:noProof/>
        </w:rPr>
        <w:t xml:space="preserve"> o</w:t>
      </w:r>
      <w:r w:rsidR="008B35E8">
        <w:rPr>
          <w:noProof/>
        </w:rPr>
        <w:t> </w:t>
      </w:r>
      <w:r w:rsidR="008B35E8" w:rsidRPr="002866E5">
        <w:rPr>
          <w:noProof/>
        </w:rPr>
        <w:t>tej</w:t>
      </w:r>
      <w:r w:rsidRPr="002866E5">
        <w:rPr>
          <w:noProof/>
        </w:rPr>
        <w:t xml:space="preserve"> podatności. Ponadto,</w:t>
      </w:r>
      <w:r w:rsidR="008B35E8" w:rsidRPr="002866E5">
        <w:rPr>
          <w:noProof/>
        </w:rPr>
        <w:t xml:space="preserve"> w</w:t>
      </w:r>
      <w:r w:rsidR="008B35E8">
        <w:rPr>
          <w:noProof/>
        </w:rPr>
        <w:t> </w:t>
      </w:r>
      <w:r w:rsidR="008B35E8" w:rsidRPr="002866E5">
        <w:rPr>
          <w:noProof/>
        </w:rPr>
        <w:t>prz</w:t>
      </w:r>
      <w:r w:rsidRPr="002866E5">
        <w:rPr>
          <w:noProof/>
        </w:rPr>
        <w:t>ypadku gdy produkt</w:t>
      </w:r>
      <w:r w:rsidR="008B35E8" w:rsidRPr="002866E5">
        <w:rPr>
          <w:noProof/>
        </w:rPr>
        <w:t xml:space="preserve"> z</w:t>
      </w:r>
      <w:r w:rsidR="008B35E8">
        <w:rPr>
          <w:noProof/>
        </w:rPr>
        <w:t> </w:t>
      </w:r>
      <w:r w:rsidR="008B35E8" w:rsidRPr="002866E5">
        <w:rPr>
          <w:noProof/>
        </w:rPr>
        <w:t>ele</w:t>
      </w:r>
      <w:r w:rsidRPr="002866E5">
        <w:rPr>
          <w:noProof/>
        </w:rPr>
        <w:t>mentami cyfrowymi stwarza istotne ryzyko</w:t>
      </w:r>
      <w:r w:rsidR="008B35E8" w:rsidRPr="002866E5">
        <w:rPr>
          <w:noProof/>
        </w:rPr>
        <w:t xml:space="preserve"> w</w:t>
      </w:r>
      <w:r w:rsidR="008B35E8">
        <w:rPr>
          <w:noProof/>
        </w:rPr>
        <w:t> </w:t>
      </w:r>
      <w:r w:rsidR="008B35E8" w:rsidRPr="002866E5">
        <w:rPr>
          <w:noProof/>
        </w:rPr>
        <w:t>cyb</w:t>
      </w:r>
      <w:r w:rsidRPr="002866E5">
        <w:rPr>
          <w:noProof/>
        </w:rPr>
        <w:t>erprzestrzeni, importerzy niezwłocznie informują</w:t>
      </w:r>
      <w:r w:rsidR="008B35E8" w:rsidRPr="002866E5">
        <w:rPr>
          <w:noProof/>
        </w:rPr>
        <w:t xml:space="preserve"> o</w:t>
      </w:r>
      <w:r w:rsidR="008B35E8">
        <w:rPr>
          <w:noProof/>
        </w:rPr>
        <w:t> </w:t>
      </w:r>
      <w:r w:rsidR="008B35E8" w:rsidRPr="002866E5">
        <w:rPr>
          <w:noProof/>
        </w:rPr>
        <w:t>tym</w:t>
      </w:r>
      <w:r w:rsidRPr="002866E5">
        <w:rPr>
          <w:noProof/>
        </w:rPr>
        <w:t xml:space="preserve"> organy nadzoru rynku państw członkowskich,</w:t>
      </w:r>
      <w:r w:rsidR="008B35E8" w:rsidRPr="002866E5">
        <w:rPr>
          <w:noProof/>
        </w:rPr>
        <w:t xml:space="preserve"> w</w:t>
      </w:r>
      <w:r w:rsidR="008B35E8">
        <w:rPr>
          <w:noProof/>
        </w:rPr>
        <w:t> </w:t>
      </w:r>
      <w:r w:rsidR="008B35E8" w:rsidRPr="002866E5">
        <w:rPr>
          <w:noProof/>
        </w:rPr>
        <w:t>któ</w:t>
      </w:r>
      <w:r w:rsidRPr="002866E5">
        <w:rPr>
          <w:noProof/>
        </w:rPr>
        <w:t>rych produkt</w:t>
      </w:r>
      <w:r w:rsidR="008B35E8" w:rsidRPr="002866E5">
        <w:rPr>
          <w:noProof/>
        </w:rPr>
        <w:t xml:space="preserve"> z</w:t>
      </w:r>
      <w:r w:rsidR="008B35E8">
        <w:rPr>
          <w:noProof/>
        </w:rPr>
        <w:t> </w:t>
      </w:r>
      <w:r w:rsidR="008B35E8" w:rsidRPr="002866E5">
        <w:rPr>
          <w:noProof/>
        </w:rPr>
        <w:t>ele</w:t>
      </w:r>
      <w:r w:rsidRPr="002866E5">
        <w:rPr>
          <w:noProof/>
        </w:rPr>
        <w:t>mentami cyfrowymi udostępniono na rynku, podając szczegółowe informacje,</w:t>
      </w:r>
      <w:r w:rsidR="008B35E8" w:rsidRPr="002866E5">
        <w:rPr>
          <w:noProof/>
        </w:rPr>
        <w:t xml:space="preserve"> w</w:t>
      </w:r>
      <w:r w:rsidR="008B35E8">
        <w:rPr>
          <w:noProof/>
        </w:rPr>
        <w:t> </w:t>
      </w:r>
      <w:r w:rsidR="008B35E8" w:rsidRPr="002866E5">
        <w:rPr>
          <w:noProof/>
        </w:rPr>
        <w:t>szc</w:t>
      </w:r>
      <w:r w:rsidRPr="002866E5">
        <w:rPr>
          <w:noProof/>
        </w:rPr>
        <w:t>zególności na temat niezgodności oraz wszelkich wprowadzonych środków naprawczych.</w:t>
      </w:r>
    </w:p>
    <w:p w14:paraId="67ED87AA" w14:textId="26CE2546" w:rsidR="00E73E55" w:rsidRPr="002866E5" w:rsidRDefault="00B4087C" w:rsidP="00B4087C">
      <w:pPr>
        <w:pStyle w:val="ManualNumPar1"/>
        <w:rPr>
          <w:noProof/>
        </w:rPr>
      </w:pPr>
      <w:r w:rsidRPr="00B4087C">
        <w:t>7.</w:t>
      </w:r>
      <w:r w:rsidRPr="00B4087C">
        <w:tab/>
      </w:r>
      <w:r w:rsidR="007A58DE" w:rsidRPr="002866E5">
        <w:rPr>
          <w:noProof/>
        </w:rPr>
        <w:t>Importerzy przechowują kopię deklaracji zgodności UE do dyspozycji organów nadzoru rynku przez dziesięć lat po wprowadzeniu produktu</w:t>
      </w:r>
      <w:r w:rsidR="008B35E8" w:rsidRPr="002866E5">
        <w:rPr>
          <w:noProof/>
        </w:rPr>
        <w:t xml:space="preserve"> z</w:t>
      </w:r>
      <w:r w:rsidR="008B35E8">
        <w:rPr>
          <w:noProof/>
        </w:rPr>
        <w:t> </w:t>
      </w:r>
      <w:r w:rsidR="008B35E8" w:rsidRPr="002866E5">
        <w:rPr>
          <w:noProof/>
        </w:rPr>
        <w:t>ele</w:t>
      </w:r>
      <w:r w:rsidR="007A58DE" w:rsidRPr="002866E5">
        <w:rPr>
          <w:noProof/>
        </w:rPr>
        <w:t>mentami cyfrowymi do obrotu i na wniosek tych organów udostępniają im dokumentację techniczną.</w:t>
      </w:r>
    </w:p>
    <w:p w14:paraId="67ED87AB" w14:textId="7E15D660" w:rsidR="004C62AD" w:rsidRPr="002866E5" w:rsidRDefault="00B4087C" w:rsidP="00B4087C">
      <w:pPr>
        <w:pStyle w:val="ManualNumPar1"/>
        <w:rPr>
          <w:noProof/>
        </w:rPr>
      </w:pPr>
      <w:r w:rsidRPr="00B4087C">
        <w:t>8.</w:t>
      </w:r>
      <w:r w:rsidRPr="00B4087C">
        <w:tab/>
      </w:r>
      <w:r w:rsidR="007A58DE" w:rsidRPr="002866E5">
        <w:rPr>
          <w:noProof/>
        </w:rPr>
        <w:t>Na uzasadniony wniosek organu nadzoru rynku importerzy przekazują mu wszelkie informacje</w:t>
      </w:r>
      <w:r w:rsidR="008B35E8" w:rsidRPr="002866E5">
        <w:rPr>
          <w:noProof/>
        </w:rPr>
        <w:t xml:space="preserve"> i</w:t>
      </w:r>
      <w:r w:rsidR="008B35E8">
        <w:rPr>
          <w:noProof/>
        </w:rPr>
        <w:t> </w:t>
      </w:r>
      <w:r w:rsidR="008B35E8" w:rsidRPr="002866E5">
        <w:rPr>
          <w:noProof/>
        </w:rPr>
        <w:t>dok</w:t>
      </w:r>
      <w:r w:rsidR="007A58DE" w:rsidRPr="002866E5">
        <w:rPr>
          <w:noProof/>
        </w:rPr>
        <w:t>umentację –</w:t>
      </w:r>
      <w:r w:rsidR="008B35E8" w:rsidRPr="002866E5">
        <w:rPr>
          <w:noProof/>
        </w:rPr>
        <w:t xml:space="preserve"> w</w:t>
      </w:r>
      <w:r w:rsidR="008B35E8">
        <w:rPr>
          <w:noProof/>
        </w:rPr>
        <w:t> </w:t>
      </w:r>
      <w:r w:rsidR="008B35E8" w:rsidRPr="002866E5">
        <w:rPr>
          <w:noProof/>
        </w:rPr>
        <w:t>for</w:t>
      </w:r>
      <w:r w:rsidR="007A58DE" w:rsidRPr="002866E5">
        <w:rPr>
          <w:noProof/>
        </w:rPr>
        <w:t>mie papierowej lub elektronicznej – niezbędne do wykazania zgodności produktu</w:t>
      </w:r>
      <w:r w:rsidR="008B35E8" w:rsidRPr="002866E5">
        <w:rPr>
          <w:noProof/>
        </w:rPr>
        <w:t xml:space="preserve"> z</w:t>
      </w:r>
      <w:r w:rsidR="008B35E8">
        <w:rPr>
          <w:noProof/>
        </w:rPr>
        <w:t> </w:t>
      </w:r>
      <w:r w:rsidR="008B35E8" w:rsidRPr="002866E5">
        <w:rPr>
          <w:noProof/>
        </w:rPr>
        <w:t>ele</w:t>
      </w:r>
      <w:r w:rsidR="007A58DE" w:rsidRPr="002866E5">
        <w:rPr>
          <w:noProof/>
        </w:rPr>
        <w:t>mentami cyfrowymi</w:t>
      </w:r>
      <w:r w:rsidR="008B35E8" w:rsidRPr="002866E5">
        <w:rPr>
          <w:noProof/>
        </w:rPr>
        <w:t xml:space="preserve"> z</w:t>
      </w:r>
      <w:r w:rsidR="008B35E8">
        <w:rPr>
          <w:noProof/>
        </w:rPr>
        <w:t> </w:t>
      </w:r>
      <w:r w:rsidR="008B35E8" w:rsidRPr="002866E5">
        <w:rPr>
          <w:noProof/>
        </w:rPr>
        <w:t>zas</w:t>
      </w:r>
      <w:r w:rsidR="007A58DE" w:rsidRPr="002866E5">
        <w:rPr>
          <w:noProof/>
        </w:rPr>
        <w:t>adniczymi wymogami określonymi</w:t>
      </w:r>
      <w:r w:rsidR="008B35E8" w:rsidRPr="002866E5">
        <w:rPr>
          <w:noProof/>
        </w:rPr>
        <w:t xml:space="preserve"> w</w:t>
      </w:r>
      <w:r w:rsidR="008B35E8">
        <w:rPr>
          <w:noProof/>
        </w:rPr>
        <w:t> </w:t>
      </w:r>
      <w:r w:rsidR="008B35E8" w:rsidRPr="002866E5">
        <w:rPr>
          <w:noProof/>
        </w:rPr>
        <w:t>sek</w:t>
      </w:r>
      <w:r w:rsidR="007A58DE" w:rsidRPr="002866E5">
        <w:rPr>
          <w:noProof/>
        </w:rPr>
        <w:t>cji 1 załącznika I,</w:t>
      </w:r>
      <w:r w:rsidR="008B35E8" w:rsidRPr="002866E5">
        <w:rPr>
          <w:noProof/>
        </w:rPr>
        <w:t xml:space="preserve"> a</w:t>
      </w:r>
      <w:r w:rsidR="008B35E8">
        <w:rPr>
          <w:noProof/>
        </w:rPr>
        <w:t> </w:t>
      </w:r>
      <w:r w:rsidR="008B35E8" w:rsidRPr="002866E5">
        <w:rPr>
          <w:noProof/>
        </w:rPr>
        <w:t>tak</w:t>
      </w:r>
      <w:r w:rsidR="007A58DE" w:rsidRPr="002866E5">
        <w:rPr>
          <w:noProof/>
        </w:rPr>
        <w:t>że zgodności procedur wprowadzonych przez producenta</w:t>
      </w:r>
      <w:r w:rsidR="008B35E8" w:rsidRPr="002866E5">
        <w:rPr>
          <w:noProof/>
        </w:rPr>
        <w:t xml:space="preserve"> z</w:t>
      </w:r>
      <w:r w:rsidR="008B35E8">
        <w:rPr>
          <w:noProof/>
        </w:rPr>
        <w:t> </w:t>
      </w:r>
      <w:r w:rsidR="008B35E8" w:rsidRPr="002866E5">
        <w:rPr>
          <w:noProof/>
        </w:rPr>
        <w:t>zas</w:t>
      </w:r>
      <w:r w:rsidR="007A58DE" w:rsidRPr="002866E5">
        <w:rPr>
          <w:noProof/>
        </w:rPr>
        <w:t>adniczymi wymogami określonymi</w:t>
      </w:r>
      <w:r w:rsidR="008B35E8" w:rsidRPr="002866E5">
        <w:rPr>
          <w:noProof/>
        </w:rPr>
        <w:t xml:space="preserve"> w</w:t>
      </w:r>
      <w:r w:rsidR="008B35E8">
        <w:rPr>
          <w:noProof/>
        </w:rPr>
        <w:t> </w:t>
      </w:r>
      <w:r w:rsidR="008B35E8" w:rsidRPr="002866E5">
        <w:rPr>
          <w:noProof/>
        </w:rPr>
        <w:t>sek</w:t>
      </w:r>
      <w:r w:rsidR="007A58DE" w:rsidRPr="002866E5">
        <w:rPr>
          <w:noProof/>
        </w:rPr>
        <w:t>cji 2 załącznika I</w:t>
      </w:r>
      <w:r w:rsidR="008B35E8" w:rsidRPr="002866E5">
        <w:rPr>
          <w:noProof/>
        </w:rPr>
        <w:t xml:space="preserve"> w</w:t>
      </w:r>
      <w:r w:rsidR="008B35E8">
        <w:rPr>
          <w:noProof/>
        </w:rPr>
        <w:t> </w:t>
      </w:r>
      <w:r w:rsidR="008B35E8" w:rsidRPr="002866E5">
        <w:rPr>
          <w:noProof/>
        </w:rPr>
        <w:t>jęz</w:t>
      </w:r>
      <w:r w:rsidR="007A58DE" w:rsidRPr="002866E5">
        <w:rPr>
          <w:noProof/>
        </w:rPr>
        <w:t>yku łatwo zrozumiałym dla tego organu. Na wniosek tego organu importerzy współpracują</w:t>
      </w:r>
      <w:r w:rsidR="008B35E8" w:rsidRPr="002866E5">
        <w:rPr>
          <w:noProof/>
        </w:rPr>
        <w:t xml:space="preserve"> z</w:t>
      </w:r>
      <w:r w:rsidR="008B35E8">
        <w:rPr>
          <w:noProof/>
        </w:rPr>
        <w:t> </w:t>
      </w:r>
      <w:r w:rsidR="008B35E8" w:rsidRPr="002866E5">
        <w:rPr>
          <w:noProof/>
        </w:rPr>
        <w:t>nim w</w:t>
      </w:r>
      <w:r w:rsidR="008B35E8">
        <w:rPr>
          <w:noProof/>
        </w:rPr>
        <w:t> </w:t>
      </w:r>
      <w:r w:rsidR="008B35E8" w:rsidRPr="002866E5">
        <w:rPr>
          <w:noProof/>
        </w:rPr>
        <w:t>zak</w:t>
      </w:r>
      <w:r w:rsidR="007A58DE" w:rsidRPr="002866E5">
        <w:rPr>
          <w:noProof/>
        </w:rPr>
        <w:t>resie wszelkich środków wprowadzonych</w:t>
      </w:r>
      <w:r w:rsidR="008B35E8" w:rsidRPr="002866E5">
        <w:rPr>
          <w:noProof/>
        </w:rPr>
        <w:t xml:space="preserve"> w</w:t>
      </w:r>
      <w:r w:rsidR="008B35E8">
        <w:rPr>
          <w:noProof/>
        </w:rPr>
        <w:t> </w:t>
      </w:r>
      <w:r w:rsidR="008B35E8" w:rsidRPr="002866E5">
        <w:rPr>
          <w:noProof/>
        </w:rPr>
        <w:t>cel</w:t>
      </w:r>
      <w:r w:rsidR="007A58DE" w:rsidRPr="002866E5">
        <w:rPr>
          <w:noProof/>
        </w:rPr>
        <w:t>u usunięcia ryzyka</w:t>
      </w:r>
      <w:r w:rsidR="008B35E8" w:rsidRPr="002866E5">
        <w:rPr>
          <w:noProof/>
        </w:rPr>
        <w:t xml:space="preserve"> w</w:t>
      </w:r>
      <w:r w:rsidR="008B35E8">
        <w:rPr>
          <w:noProof/>
        </w:rPr>
        <w:t> </w:t>
      </w:r>
      <w:r w:rsidR="008B35E8" w:rsidRPr="002866E5">
        <w:rPr>
          <w:noProof/>
        </w:rPr>
        <w:t>cyb</w:t>
      </w:r>
      <w:r w:rsidR="007A58DE" w:rsidRPr="002866E5">
        <w:rPr>
          <w:noProof/>
        </w:rPr>
        <w:t>erprzestrzeni, jakie stwarza produkt</w:t>
      </w:r>
      <w:r w:rsidR="008B35E8" w:rsidRPr="002866E5">
        <w:rPr>
          <w:noProof/>
        </w:rPr>
        <w:t xml:space="preserve"> z</w:t>
      </w:r>
      <w:r w:rsidR="008B35E8">
        <w:rPr>
          <w:noProof/>
        </w:rPr>
        <w:t> </w:t>
      </w:r>
      <w:r w:rsidR="008B35E8" w:rsidRPr="002866E5">
        <w:rPr>
          <w:noProof/>
        </w:rPr>
        <w:t>ele</w:t>
      </w:r>
      <w:r w:rsidR="007A58DE" w:rsidRPr="002866E5">
        <w:rPr>
          <w:noProof/>
        </w:rPr>
        <w:t>mentami cyfrowymi wprowadzony przez nich do obrotu.</w:t>
      </w:r>
    </w:p>
    <w:p w14:paraId="67ED87AC" w14:textId="66EF1C19" w:rsidR="004C62AD" w:rsidRPr="002866E5" w:rsidRDefault="00B4087C" w:rsidP="00B4087C">
      <w:pPr>
        <w:pStyle w:val="ManualNumPar1"/>
        <w:rPr>
          <w:noProof/>
        </w:rPr>
      </w:pPr>
      <w:r w:rsidRPr="00B4087C">
        <w:lastRenderedPageBreak/>
        <w:t>9.</w:t>
      </w:r>
      <w:r w:rsidRPr="00B4087C">
        <w:tab/>
      </w:r>
      <w:r w:rsidR="004C62AD" w:rsidRPr="002866E5">
        <w:rPr>
          <w:noProof/>
        </w:rPr>
        <w:t>W przypadku gdy importer produktu</w:t>
      </w:r>
      <w:r w:rsidR="008B35E8" w:rsidRPr="002866E5">
        <w:rPr>
          <w:noProof/>
        </w:rPr>
        <w:t xml:space="preserve"> z</w:t>
      </w:r>
      <w:r w:rsidR="008B35E8">
        <w:rPr>
          <w:noProof/>
        </w:rPr>
        <w:t> </w:t>
      </w:r>
      <w:r w:rsidR="008B35E8" w:rsidRPr="002866E5">
        <w:rPr>
          <w:noProof/>
        </w:rPr>
        <w:t>ele</w:t>
      </w:r>
      <w:r w:rsidR="004C62AD" w:rsidRPr="002866E5">
        <w:rPr>
          <w:noProof/>
        </w:rPr>
        <w:t>mentami cyfrowymi dowiaduje się, że producent tego produktu zaprzestał działalności</w:t>
      </w:r>
      <w:r w:rsidR="008B35E8" w:rsidRPr="002866E5">
        <w:rPr>
          <w:noProof/>
        </w:rPr>
        <w:t xml:space="preserve"> i</w:t>
      </w:r>
      <w:r w:rsidR="008B35E8">
        <w:rPr>
          <w:noProof/>
        </w:rPr>
        <w:t> </w:t>
      </w:r>
      <w:r w:rsidR="008B35E8" w:rsidRPr="002866E5">
        <w:rPr>
          <w:noProof/>
        </w:rPr>
        <w:t>w</w:t>
      </w:r>
      <w:r w:rsidR="008B35E8">
        <w:rPr>
          <w:noProof/>
        </w:rPr>
        <w:t> </w:t>
      </w:r>
      <w:r w:rsidR="008B35E8" w:rsidRPr="002866E5">
        <w:rPr>
          <w:noProof/>
        </w:rPr>
        <w:t>zwi</w:t>
      </w:r>
      <w:r w:rsidR="004C62AD" w:rsidRPr="002866E5">
        <w:rPr>
          <w:noProof/>
        </w:rPr>
        <w:t>ązku</w:t>
      </w:r>
      <w:r w:rsidR="008B35E8" w:rsidRPr="002866E5">
        <w:rPr>
          <w:noProof/>
        </w:rPr>
        <w:t xml:space="preserve"> z</w:t>
      </w:r>
      <w:r w:rsidR="008B35E8">
        <w:rPr>
          <w:noProof/>
        </w:rPr>
        <w:t> </w:t>
      </w:r>
      <w:r w:rsidR="008B35E8" w:rsidRPr="002866E5">
        <w:rPr>
          <w:noProof/>
        </w:rPr>
        <w:t>tym</w:t>
      </w:r>
      <w:r w:rsidR="004C62AD" w:rsidRPr="002866E5">
        <w:rPr>
          <w:noProof/>
        </w:rPr>
        <w:t xml:space="preserve"> nie jest</w:t>
      </w:r>
      <w:r w:rsidR="008B35E8" w:rsidRPr="002866E5">
        <w:rPr>
          <w:noProof/>
        </w:rPr>
        <w:t xml:space="preserve"> w</w:t>
      </w:r>
      <w:r w:rsidR="008B35E8">
        <w:rPr>
          <w:noProof/>
        </w:rPr>
        <w:t> </w:t>
      </w:r>
      <w:r w:rsidR="008B35E8" w:rsidRPr="002866E5">
        <w:rPr>
          <w:noProof/>
        </w:rPr>
        <w:t>sta</w:t>
      </w:r>
      <w:r w:rsidR="004C62AD" w:rsidRPr="002866E5">
        <w:rPr>
          <w:noProof/>
        </w:rPr>
        <w:t>nie wypełnić obowiązków określonych</w:t>
      </w:r>
      <w:r w:rsidR="008B35E8" w:rsidRPr="002866E5">
        <w:rPr>
          <w:noProof/>
        </w:rPr>
        <w:t xml:space="preserve"> w</w:t>
      </w:r>
      <w:r w:rsidR="008B35E8">
        <w:rPr>
          <w:noProof/>
        </w:rPr>
        <w:t> </w:t>
      </w:r>
      <w:r w:rsidR="008B35E8" w:rsidRPr="002866E5">
        <w:rPr>
          <w:noProof/>
        </w:rPr>
        <w:t>nin</w:t>
      </w:r>
      <w:r w:rsidR="004C62AD" w:rsidRPr="002866E5">
        <w:rPr>
          <w:noProof/>
        </w:rPr>
        <w:t>iejszym rozporządzeniu, importer informuje</w:t>
      </w:r>
      <w:r w:rsidR="008B35E8" w:rsidRPr="002866E5">
        <w:rPr>
          <w:noProof/>
        </w:rPr>
        <w:t xml:space="preserve"> o</w:t>
      </w:r>
      <w:r w:rsidR="008B35E8">
        <w:rPr>
          <w:noProof/>
        </w:rPr>
        <w:t> </w:t>
      </w:r>
      <w:r w:rsidR="008B35E8" w:rsidRPr="002866E5">
        <w:rPr>
          <w:noProof/>
        </w:rPr>
        <w:t>tej</w:t>
      </w:r>
      <w:r w:rsidR="004C62AD" w:rsidRPr="002866E5">
        <w:rPr>
          <w:noProof/>
        </w:rPr>
        <w:t xml:space="preserve"> sytuacji odpowiednie organy nadzoru rynku,</w:t>
      </w:r>
      <w:r w:rsidR="008B35E8" w:rsidRPr="002866E5">
        <w:rPr>
          <w:noProof/>
        </w:rPr>
        <w:t xml:space="preserve"> a</w:t>
      </w:r>
      <w:r w:rsidR="008B35E8">
        <w:rPr>
          <w:noProof/>
        </w:rPr>
        <w:t> </w:t>
      </w:r>
      <w:r w:rsidR="008B35E8" w:rsidRPr="002866E5">
        <w:rPr>
          <w:noProof/>
        </w:rPr>
        <w:t>tak</w:t>
      </w:r>
      <w:r w:rsidR="004C62AD" w:rsidRPr="002866E5">
        <w:rPr>
          <w:noProof/>
        </w:rPr>
        <w:t>że, za pomocą wszelkich dostępnych środków</w:t>
      </w:r>
      <w:r w:rsidR="008B35E8" w:rsidRPr="002866E5">
        <w:rPr>
          <w:noProof/>
        </w:rPr>
        <w:t xml:space="preserve"> i</w:t>
      </w:r>
      <w:r w:rsidR="008B35E8">
        <w:rPr>
          <w:noProof/>
        </w:rPr>
        <w:t> </w:t>
      </w:r>
      <w:r w:rsidR="008B35E8" w:rsidRPr="002866E5">
        <w:rPr>
          <w:noProof/>
        </w:rPr>
        <w:t>w</w:t>
      </w:r>
      <w:r w:rsidR="008B35E8">
        <w:rPr>
          <w:noProof/>
        </w:rPr>
        <w:t> </w:t>
      </w:r>
      <w:r w:rsidR="008B35E8" w:rsidRPr="002866E5">
        <w:rPr>
          <w:noProof/>
        </w:rPr>
        <w:t>moż</w:t>
      </w:r>
      <w:r w:rsidR="004C62AD" w:rsidRPr="002866E5">
        <w:rPr>
          <w:noProof/>
        </w:rPr>
        <w:t>liwie jak najszerszym zakresie, użytkowników produktów</w:t>
      </w:r>
      <w:r w:rsidR="008B35E8" w:rsidRPr="002866E5">
        <w:rPr>
          <w:noProof/>
        </w:rPr>
        <w:t xml:space="preserve"> z</w:t>
      </w:r>
      <w:r w:rsidR="008B35E8">
        <w:rPr>
          <w:noProof/>
        </w:rPr>
        <w:t> </w:t>
      </w:r>
      <w:r w:rsidR="008B35E8" w:rsidRPr="002866E5">
        <w:rPr>
          <w:noProof/>
        </w:rPr>
        <w:t>ele</w:t>
      </w:r>
      <w:r w:rsidR="004C62AD" w:rsidRPr="002866E5">
        <w:rPr>
          <w:noProof/>
        </w:rPr>
        <w:t>mentami cyfrowymi wprowadzonych do obrotu.</w:t>
      </w:r>
    </w:p>
    <w:p w14:paraId="67ED87AD" w14:textId="527E6F2B" w:rsidR="00BB10BC" w:rsidRPr="002866E5" w:rsidRDefault="00BB10BC" w:rsidP="0027065F">
      <w:pPr>
        <w:pStyle w:val="Titrearticle0"/>
        <w:rPr>
          <w:noProof/>
        </w:rPr>
      </w:pPr>
      <w:r w:rsidRPr="002866E5">
        <w:rPr>
          <w:noProof/>
        </w:rPr>
        <w:t>Artykuł 14</w:t>
      </w:r>
    </w:p>
    <w:p w14:paraId="67ED87AE" w14:textId="77777777" w:rsidR="00BB10BC" w:rsidRPr="002866E5" w:rsidRDefault="00BB10BC" w:rsidP="00084E38">
      <w:pPr>
        <w:jc w:val="center"/>
        <w:rPr>
          <w:i/>
          <w:noProof/>
        </w:rPr>
      </w:pPr>
      <w:r w:rsidRPr="002866E5">
        <w:rPr>
          <w:i/>
          <w:noProof/>
        </w:rPr>
        <w:t>Obowiązki dystrybutorów</w:t>
      </w:r>
    </w:p>
    <w:p w14:paraId="67ED87AF" w14:textId="0EC6426E" w:rsidR="00DD119B" w:rsidRPr="002866E5" w:rsidRDefault="00B4087C" w:rsidP="00B4087C">
      <w:pPr>
        <w:pStyle w:val="ManualNumPar1"/>
        <w:rPr>
          <w:noProof/>
        </w:rPr>
      </w:pPr>
      <w:r w:rsidRPr="00B4087C">
        <w:t>1.</w:t>
      </w:r>
      <w:r w:rsidRPr="00B4087C">
        <w:tab/>
      </w:r>
      <w:r w:rsidR="00DD119B" w:rsidRPr="002866E5">
        <w:rPr>
          <w:noProof/>
        </w:rPr>
        <w:t>Udostępniając produkt</w:t>
      </w:r>
      <w:r w:rsidR="008B35E8" w:rsidRPr="002866E5">
        <w:rPr>
          <w:noProof/>
        </w:rPr>
        <w:t xml:space="preserve"> z</w:t>
      </w:r>
      <w:r w:rsidR="008B35E8">
        <w:rPr>
          <w:noProof/>
        </w:rPr>
        <w:t> </w:t>
      </w:r>
      <w:r w:rsidR="008B35E8" w:rsidRPr="002866E5">
        <w:rPr>
          <w:noProof/>
        </w:rPr>
        <w:t>ele</w:t>
      </w:r>
      <w:r w:rsidR="00DD119B" w:rsidRPr="002866E5">
        <w:rPr>
          <w:noProof/>
        </w:rPr>
        <w:t>mentami cyfrowymi na rynku, dystrybutorzy działają</w:t>
      </w:r>
      <w:r w:rsidR="008B35E8" w:rsidRPr="002866E5">
        <w:rPr>
          <w:noProof/>
        </w:rPr>
        <w:t xml:space="preserve"> z</w:t>
      </w:r>
      <w:r w:rsidR="008B35E8">
        <w:rPr>
          <w:noProof/>
        </w:rPr>
        <w:t> </w:t>
      </w:r>
      <w:r w:rsidR="008B35E8" w:rsidRPr="002866E5">
        <w:rPr>
          <w:noProof/>
        </w:rPr>
        <w:t>nal</w:t>
      </w:r>
      <w:r w:rsidR="00DD119B" w:rsidRPr="002866E5">
        <w:rPr>
          <w:noProof/>
        </w:rPr>
        <w:t>eżytą starannością</w:t>
      </w:r>
      <w:r w:rsidR="008B35E8" w:rsidRPr="002866E5">
        <w:rPr>
          <w:noProof/>
        </w:rPr>
        <w:t xml:space="preserve"> w</w:t>
      </w:r>
      <w:r w:rsidR="008B35E8">
        <w:rPr>
          <w:noProof/>
        </w:rPr>
        <w:t> </w:t>
      </w:r>
      <w:r w:rsidR="008B35E8" w:rsidRPr="002866E5">
        <w:rPr>
          <w:noProof/>
        </w:rPr>
        <w:t>odn</w:t>
      </w:r>
      <w:r w:rsidR="00DD119B" w:rsidRPr="002866E5">
        <w:rPr>
          <w:noProof/>
        </w:rPr>
        <w:t>iesieniu do wymogów niniejszego rozporządzenia.</w:t>
      </w:r>
    </w:p>
    <w:p w14:paraId="67ED87B0" w14:textId="6342A524" w:rsidR="00DD119B" w:rsidRPr="002866E5" w:rsidRDefault="00B4087C" w:rsidP="00B4087C">
      <w:pPr>
        <w:pStyle w:val="ManualNumPar1"/>
        <w:rPr>
          <w:noProof/>
        </w:rPr>
      </w:pPr>
      <w:r w:rsidRPr="00B4087C">
        <w:t>2.</w:t>
      </w:r>
      <w:r w:rsidRPr="00B4087C">
        <w:tab/>
      </w:r>
      <w:r w:rsidR="00DD119B" w:rsidRPr="002866E5">
        <w:rPr>
          <w:noProof/>
        </w:rPr>
        <w:t>Przed udostępnieniem produktu</w:t>
      </w:r>
      <w:r w:rsidR="008B35E8" w:rsidRPr="002866E5">
        <w:rPr>
          <w:noProof/>
        </w:rPr>
        <w:t xml:space="preserve"> z</w:t>
      </w:r>
      <w:r w:rsidR="008B35E8">
        <w:rPr>
          <w:noProof/>
        </w:rPr>
        <w:t> </w:t>
      </w:r>
      <w:r w:rsidR="008B35E8" w:rsidRPr="002866E5">
        <w:rPr>
          <w:noProof/>
        </w:rPr>
        <w:t>ele</w:t>
      </w:r>
      <w:r w:rsidR="00DD119B" w:rsidRPr="002866E5">
        <w:rPr>
          <w:noProof/>
        </w:rPr>
        <w:t>mentami cyfrowymi na rynku dystrybutorzy sprawdzają, czy:</w:t>
      </w:r>
    </w:p>
    <w:p w14:paraId="67ED87B1" w14:textId="6F12A9D1" w:rsidR="0051123E" w:rsidRPr="002866E5" w:rsidRDefault="000340F9" w:rsidP="000340F9">
      <w:pPr>
        <w:pStyle w:val="Point1"/>
        <w:rPr>
          <w:noProof/>
        </w:rPr>
      </w:pPr>
      <w:r w:rsidRPr="000340F9">
        <w:rPr>
          <w:noProof/>
        </w:rPr>
        <w:t>a)</w:t>
      </w:r>
      <w:r w:rsidRPr="000340F9">
        <w:rPr>
          <w:noProof/>
        </w:rPr>
        <w:tab/>
      </w:r>
      <w:r w:rsidR="00DD119B" w:rsidRPr="002866E5">
        <w:rPr>
          <w:noProof/>
        </w:rPr>
        <w:t>produkt</w:t>
      </w:r>
      <w:r w:rsidR="008B35E8" w:rsidRPr="002866E5">
        <w:rPr>
          <w:noProof/>
        </w:rPr>
        <w:t xml:space="preserve"> z</w:t>
      </w:r>
      <w:r w:rsidR="008B35E8">
        <w:rPr>
          <w:noProof/>
        </w:rPr>
        <w:t> </w:t>
      </w:r>
      <w:r w:rsidR="008B35E8" w:rsidRPr="002866E5">
        <w:rPr>
          <w:noProof/>
        </w:rPr>
        <w:t>ele</w:t>
      </w:r>
      <w:r w:rsidR="00DD119B" w:rsidRPr="002866E5">
        <w:rPr>
          <w:noProof/>
        </w:rPr>
        <w:t>mentami cyfrowymi jest opatrzony oznakowaniem CE;</w:t>
      </w:r>
    </w:p>
    <w:p w14:paraId="67ED87B2" w14:textId="3792D3E9" w:rsidR="00DD119B" w:rsidRPr="002866E5" w:rsidRDefault="000340F9" w:rsidP="000340F9">
      <w:pPr>
        <w:pStyle w:val="Point1"/>
        <w:rPr>
          <w:noProof/>
        </w:rPr>
      </w:pPr>
      <w:r w:rsidRPr="000340F9">
        <w:rPr>
          <w:noProof/>
        </w:rPr>
        <w:t>b)</w:t>
      </w:r>
      <w:r w:rsidRPr="000340F9">
        <w:rPr>
          <w:noProof/>
        </w:rPr>
        <w:tab/>
      </w:r>
      <w:r w:rsidR="00DD119B" w:rsidRPr="002866E5">
        <w:rPr>
          <w:noProof/>
        </w:rPr>
        <w:t>producent</w:t>
      </w:r>
      <w:r w:rsidR="008B35E8" w:rsidRPr="002866E5">
        <w:rPr>
          <w:noProof/>
        </w:rPr>
        <w:t xml:space="preserve"> i</w:t>
      </w:r>
      <w:r w:rsidR="008B35E8">
        <w:rPr>
          <w:noProof/>
        </w:rPr>
        <w:t> </w:t>
      </w:r>
      <w:r w:rsidR="008B35E8" w:rsidRPr="002866E5">
        <w:rPr>
          <w:noProof/>
        </w:rPr>
        <w:t>imp</w:t>
      </w:r>
      <w:r w:rsidR="00DD119B" w:rsidRPr="002866E5">
        <w:rPr>
          <w:noProof/>
        </w:rPr>
        <w:t>orter wypełnili obowiązki określone odpowiednio</w:t>
      </w:r>
      <w:r w:rsidR="008B35E8" w:rsidRPr="002866E5">
        <w:rPr>
          <w:noProof/>
        </w:rPr>
        <w:t xml:space="preserve"> w</w:t>
      </w:r>
      <w:r w:rsidR="008B35E8">
        <w:rPr>
          <w:noProof/>
        </w:rPr>
        <w:t> </w:t>
      </w:r>
      <w:r w:rsidR="008B35E8" w:rsidRPr="008B35E8">
        <w:rPr>
          <w:noProof/>
        </w:rPr>
        <w:t>art</w:t>
      </w:r>
      <w:r w:rsidR="00DD119B" w:rsidRPr="008B35E8">
        <w:rPr>
          <w:noProof/>
        </w:rPr>
        <w:t>.</w:t>
      </w:r>
      <w:r w:rsidR="008B35E8" w:rsidRPr="008B35E8">
        <w:rPr>
          <w:noProof/>
        </w:rPr>
        <w:t> </w:t>
      </w:r>
      <w:r w:rsidR="00DD119B" w:rsidRPr="008B35E8">
        <w:rPr>
          <w:noProof/>
        </w:rPr>
        <w:t>1</w:t>
      </w:r>
      <w:r w:rsidR="00DD119B" w:rsidRPr="002866E5">
        <w:rPr>
          <w:noProof/>
        </w:rPr>
        <w:t xml:space="preserve">0 </w:t>
      </w:r>
      <w:r w:rsidR="00DD119B" w:rsidRPr="008B35E8">
        <w:rPr>
          <w:noProof/>
        </w:rPr>
        <w:t>ust.</w:t>
      </w:r>
      <w:r w:rsidR="008B35E8" w:rsidRPr="008B35E8">
        <w:rPr>
          <w:noProof/>
        </w:rPr>
        <w:t> </w:t>
      </w:r>
      <w:r w:rsidR="00DD119B" w:rsidRPr="008B35E8">
        <w:rPr>
          <w:noProof/>
        </w:rPr>
        <w:t>1</w:t>
      </w:r>
      <w:r w:rsidR="00DD119B" w:rsidRPr="002866E5">
        <w:rPr>
          <w:noProof/>
        </w:rPr>
        <w:t>0</w:t>
      </w:r>
      <w:r w:rsidR="008B35E8" w:rsidRPr="002866E5">
        <w:rPr>
          <w:noProof/>
        </w:rPr>
        <w:t xml:space="preserve"> i</w:t>
      </w:r>
      <w:r w:rsidR="008B35E8">
        <w:rPr>
          <w:noProof/>
        </w:rPr>
        <w:t> </w:t>
      </w:r>
      <w:r w:rsidR="008B35E8" w:rsidRPr="002866E5">
        <w:rPr>
          <w:noProof/>
        </w:rPr>
        <w:t>1</w:t>
      </w:r>
      <w:r w:rsidR="00DD119B" w:rsidRPr="002866E5">
        <w:rPr>
          <w:noProof/>
        </w:rPr>
        <w:t>1 oraz</w:t>
      </w:r>
      <w:r w:rsidR="008B35E8" w:rsidRPr="002866E5">
        <w:rPr>
          <w:noProof/>
        </w:rPr>
        <w:t xml:space="preserve"> w</w:t>
      </w:r>
      <w:r w:rsidR="008B35E8">
        <w:rPr>
          <w:noProof/>
        </w:rPr>
        <w:t> </w:t>
      </w:r>
      <w:r w:rsidR="008B35E8" w:rsidRPr="008B35E8">
        <w:rPr>
          <w:noProof/>
        </w:rPr>
        <w:t>art</w:t>
      </w:r>
      <w:r w:rsidR="00DD119B" w:rsidRPr="008B35E8">
        <w:rPr>
          <w:noProof/>
        </w:rPr>
        <w:t>.</w:t>
      </w:r>
      <w:r w:rsidR="008B35E8" w:rsidRPr="008B35E8">
        <w:rPr>
          <w:noProof/>
        </w:rPr>
        <w:t> </w:t>
      </w:r>
      <w:r w:rsidR="00DD119B" w:rsidRPr="008B35E8">
        <w:rPr>
          <w:noProof/>
        </w:rPr>
        <w:t>1</w:t>
      </w:r>
      <w:r w:rsidR="00DD119B" w:rsidRPr="002866E5">
        <w:rPr>
          <w:noProof/>
        </w:rPr>
        <w:t xml:space="preserve">3 </w:t>
      </w:r>
      <w:r w:rsidR="00DD119B" w:rsidRPr="008B35E8">
        <w:rPr>
          <w:noProof/>
        </w:rPr>
        <w:t>ust.</w:t>
      </w:r>
      <w:r w:rsidR="008B35E8" w:rsidRPr="008B35E8">
        <w:rPr>
          <w:noProof/>
        </w:rPr>
        <w:t> </w:t>
      </w:r>
      <w:r w:rsidR="00DD119B" w:rsidRPr="008B35E8">
        <w:rPr>
          <w:noProof/>
        </w:rPr>
        <w:t>4</w:t>
      </w:r>
      <w:r w:rsidR="00DD119B" w:rsidRPr="002866E5">
        <w:rPr>
          <w:noProof/>
        </w:rPr>
        <w:t>.</w:t>
      </w:r>
    </w:p>
    <w:p w14:paraId="67ED87B3" w14:textId="17FD1606" w:rsidR="00DD119B" w:rsidRPr="002866E5" w:rsidRDefault="00B4087C" w:rsidP="00B4087C">
      <w:pPr>
        <w:pStyle w:val="ManualNumPar1"/>
        <w:rPr>
          <w:noProof/>
        </w:rPr>
      </w:pPr>
      <w:r w:rsidRPr="00B4087C">
        <w:t>3.</w:t>
      </w:r>
      <w:r w:rsidRPr="00B4087C">
        <w:tab/>
      </w:r>
      <w:r w:rsidR="00DD119B" w:rsidRPr="002866E5">
        <w:rPr>
          <w:noProof/>
        </w:rPr>
        <w:t>W przypadku gdy dystrybutor uznaje lub ma powody, by uważać, że produkt</w:t>
      </w:r>
      <w:r w:rsidR="008B35E8" w:rsidRPr="002866E5">
        <w:rPr>
          <w:noProof/>
        </w:rPr>
        <w:t xml:space="preserve"> z</w:t>
      </w:r>
      <w:r w:rsidR="008B35E8">
        <w:rPr>
          <w:noProof/>
        </w:rPr>
        <w:t> </w:t>
      </w:r>
      <w:r w:rsidR="008B35E8" w:rsidRPr="002866E5">
        <w:rPr>
          <w:noProof/>
        </w:rPr>
        <w:t>ele</w:t>
      </w:r>
      <w:r w:rsidR="00DD119B" w:rsidRPr="002866E5">
        <w:rPr>
          <w:noProof/>
        </w:rPr>
        <w:t>mentami cyfrowymi lub procedury wprowadzone przez producenta nie są zgodne</w:t>
      </w:r>
      <w:r w:rsidR="008B35E8" w:rsidRPr="002866E5">
        <w:rPr>
          <w:noProof/>
        </w:rPr>
        <w:t xml:space="preserve"> z</w:t>
      </w:r>
      <w:r w:rsidR="008B35E8">
        <w:rPr>
          <w:noProof/>
        </w:rPr>
        <w:t> </w:t>
      </w:r>
      <w:r w:rsidR="008B35E8" w:rsidRPr="002866E5">
        <w:rPr>
          <w:noProof/>
        </w:rPr>
        <w:t>zas</w:t>
      </w:r>
      <w:r w:rsidR="00DD119B" w:rsidRPr="002866E5">
        <w:rPr>
          <w:noProof/>
        </w:rPr>
        <w:t>adniczymi wymogami określonymi</w:t>
      </w:r>
      <w:r w:rsidR="008B35E8" w:rsidRPr="002866E5">
        <w:rPr>
          <w:noProof/>
        </w:rPr>
        <w:t xml:space="preserve"> w</w:t>
      </w:r>
      <w:r w:rsidR="008B35E8">
        <w:rPr>
          <w:noProof/>
        </w:rPr>
        <w:t> </w:t>
      </w:r>
      <w:r w:rsidR="008B35E8" w:rsidRPr="002866E5">
        <w:rPr>
          <w:noProof/>
        </w:rPr>
        <w:t>zał</w:t>
      </w:r>
      <w:r w:rsidR="00DD119B" w:rsidRPr="002866E5">
        <w:rPr>
          <w:noProof/>
        </w:rPr>
        <w:t>ączniku I, nie udostępnia on produktu</w:t>
      </w:r>
      <w:r w:rsidR="008B35E8" w:rsidRPr="002866E5">
        <w:rPr>
          <w:noProof/>
        </w:rPr>
        <w:t xml:space="preserve"> z</w:t>
      </w:r>
      <w:r w:rsidR="008B35E8">
        <w:rPr>
          <w:noProof/>
        </w:rPr>
        <w:t> </w:t>
      </w:r>
      <w:r w:rsidR="008B35E8" w:rsidRPr="002866E5">
        <w:rPr>
          <w:noProof/>
        </w:rPr>
        <w:t>ele</w:t>
      </w:r>
      <w:r w:rsidR="00DD119B" w:rsidRPr="002866E5">
        <w:rPr>
          <w:noProof/>
        </w:rPr>
        <w:t>mentami cyfrowymi na rynku, dopóki nie zostanie zapewniona zgodność tego produktu lub tych procedur wprowadzonych przez producenta. Ponadto, jeżeli produkt</w:t>
      </w:r>
      <w:r w:rsidR="008B35E8" w:rsidRPr="002866E5">
        <w:rPr>
          <w:noProof/>
        </w:rPr>
        <w:t xml:space="preserve"> z</w:t>
      </w:r>
      <w:r w:rsidR="008B35E8">
        <w:rPr>
          <w:noProof/>
        </w:rPr>
        <w:t> </w:t>
      </w:r>
      <w:r w:rsidR="008B35E8" w:rsidRPr="002866E5">
        <w:rPr>
          <w:noProof/>
        </w:rPr>
        <w:t>ele</w:t>
      </w:r>
      <w:r w:rsidR="00DD119B" w:rsidRPr="002866E5">
        <w:rPr>
          <w:noProof/>
        </w:rPr>
        <w:t>mentami cyfrowymi stwarza istotne ryzyko</w:t>
      </w:r>
      <w:r w:rsidR="008B35E8" w:rsidRPr="002866E5">
        <w:rPr>
          <w:noProof/>
        </w:rPr>
        <w:t xml:space="preserve"> w</w:t>
      </w:r>
      <w:r w:rsidR="008B35E8">
        <w:rPr>
          <w:noProof/>
        </w:rPr>
        <w:t> </w:t>
      </w:r>
      <w:r w:rsidR="008B35E8" w:rsidRPr="002866E5">
        <w:rPr>
          <w:noProof/>
        </w:rPr>
        <w:t>cyb</w:t>
      </w:r>
      <w:r w:rsidR="00DD119B" w:rsidRPr="002866E5">
        <w:rPr>
          <w:noProof/>
        </w:rPr>
        <w:t>erprzestrzeni, dystrybutor informuje</w:t>
      </w:r>
      <w:r w:rsidR="008B35E8" w:rsidRPr="002866E5">
        <w:rPr>
          <w:noProof/>
        </w:rPr>
        <w:t xml:space="preserve"> o</w:t>
      </w:r>
      <w:r w:rsidR="008B35E8">
        <w:rPr>
          <w:noProof/>
        </w:rPr>
        <w:t> </w:t>
      </w:r>
      <w:r w:rsidR="008B35E8" w:rsidRPr="002866E5">
        <w:rPr>
          <w:noProof/>
        </w:rPr>
        <w:t>tym</w:t>
      </w:r>
      <w:r w:rsidR="00DD119B" w:rsidRPr="002866E5">
        <w:rPr>
          <w:noProof/>
        </w:rPr>
        <w:t xml:space="preserve"> producenta oraz organy nadzoru rynku.</w:t>
      </w:r>
    </w:p>
    <w:p w14:paraId="67ED87B4" w14:textId="76A44BCE" w:rsidR="000E2919" w:rsidRPr="002866E5" w:rsidRDefault="00B4087C" w:rsidP="00B4087C">
      <w:pPr>
        <w:pStyle w:val="ManualNumPar1"/>
        <w:rPr>
          <w:noProof/>
        </w:rPr>
      </w:pPr>
      <w:r w:rsidRPr="00B4087C">
        <w:t>4.</w:t>
      </w:r>
      <w:r w:rsidRPr="00B4087C">
        <w:tab/>
      </w:r>
      <w:r w:rsidR="00DD119B" w:rsidRPr="002866E5">
        <w:rPr>
          <w:noProof/>
        </w:rPr>
        <w:t>Dystrybutorzy, którzy wiedzą lub mają powody, by uważać, że udostępniony przez nich na rynku produkt</w:t>
      </w:r>
      <w:r w:rsidR="008B35E8" w:rsidRPr="002866E5">
        <w:rPr>
          <w:noProof/>
        </w:rPr>
        <w:t xml:space="preserve"> z</w:t>
      </w:r>
      <w:r w:rsidR="008B35E8">
        <w:rPr>
          <w:noProof/>
        </w:rPr>
        <w:t> </w:t>
      </w:r>
      <w:r w:rsidR="008B35E8" w:rsidRPr="002866E5">
        <w:rPr>
          <w:noProof/>
        </w:rPr>
        <w:t>ele</w:t>
      </w:r>
      <w:r w:rsidR="00DD119B" w:rsidRPr="002866E5">
        <w:rPr>
          <w:noProof/>
        </w:rPr>
        <w:t>mentami cyfrowymi lub procedury wprowadzone przez producenta nie są zgodne</w:t>
      </w:r>
      <w:r w:rsidR="008B35E8" w:rsidRPr="002866E5">
        <w:rPr>
          <w:noProof/>
        </w:rPr>
        <w:t xml:space="preserve"> z</w:t>
      </w:r>
      <w:r w:rsidR="008B35E8">
        <w:rPr>
          <w:noProof/>
        </w:rPr>
        <w:t> </w:t>
      </w:r>
      <w:r w:rsidR="008B35E8" w:rsidRPr="002866E5">
        <w:rPr>
          <w:noProof/>
        </w:rPr>
        <w:t>zas</w:t>
      </w:r>
      <w:r w:rsidR="00DD119B" w:rsidRPr="002866E5">
        <w:rPr>
          <w:noProof/>
        </w:rPr>
        <w:t>adniczymi wymogami określonymi</w:t>
      </w:r>
      <w:r w:rsidR="008B35E8" w:rsidRPr="002866E5">
        <w:rPr>
          <w:noProof/>
        </w:rPr>
        <w:t xml:space="preserve"> w</w:t>
      </w:r>
      <w:r w:rsidR="008B35E8">
        <w:rPr>
          <w:noProof/>
        </w:rPr>
        <w:t> </w:t>
      </w:r>
      <w:r w:rsidR="008B35E8" w:rsidRPr="002866E5">
        <w:rPr>
          <w:noProof/>
        </w:rPr>
        <w:t>zał</w:t>
      </w:r>
      <w:r w:rsidR="00DD119B" w:rsidRPr="002866E5">
        <w:rPr>
          <w:noProof/>
        </w:rPr>
        <w:t>ączniku I, zapewniają wprowadzenie środków naprawczych niezbędnych do zapewnienia zgodności produktu</w:t>
      </w:r>
      <w:r w:rsidR="008B35E8" w:rsidRPr="002866E5">
        <w:rPr>
          <w:noProof/>
        </w:rPr>
        <w:t xml:space="preserve"> z</w:t>
      </w:r>
      <w:r w:rsidR="008B35E8">
        <w:rPr>
          <w:noProof/>
        </w:rPr>
        <w:t> </w:t>
      </w:r>
      <w:r w:rsidR="008B35E8" w:rsidRPr="002866E5">
        <w:rPr>
          <w:noProof/>
        </w:rPr>
        <w:t>ele</w:t>
      </w:r>
      <w:r w:rsidR="00DD119B" w:rsidRPr="002866E5">
        <w:rPr>
          <w:noProof/>
        </w:rPr>
        <w:t>mentami cyfrowymi lub procedur wprowadzonych przez producenta lub do wycofania produktu</w:t>
      </w:r>
      <w:r w:rsidR="008B35E8" w:rsidRPr="002866E5">
        <w:rPr>
          <w:noProof/>
        </w:rPr>
        <w:t xml:space="preserve"> z</w:t>
      </w:r>
      <w:r w:rsidR="008B35E8">
        <w:rPr>
          <w:noProof/>
        </w:rPr>
        <w:t> </w:t>
      </w:r>
      <w:r w:rsidR="008B35E8" w:rsidRPr="002866E5">
        <w:rPr>
          <w:noProof/>
        </w:rPr>
        <w:t>obr</w:t>
      </w:r>
      <w:r w:rsidR="00DD119B" w:rsidRPr="002866E5">
        <w:rPr>
          <w:noProof/>
        </w:rPr>
        <w:t>otu, lub odzyskania go,</w:t>
      </w:r>
      <w:r w:rsidR="008B35E8" w:rsidRPr="002866E5">
        <w:rPr>
          <w:noProof/>
        </w:rPr>
        <w:t xml:space="preserve"> w</w:t>
      </w:r>
      <w:r w:rsidR="008B35E8">
        <w:rPr>
          <w:noProof/>
        </w:rPr>
        <w:t> </w:t>
      </w:r>
      <w:r w:rsidR="008B35E8" w:rsidRPr="002866E5">
        <w:rPr>
          <w:noProof/>
        </w:rPr>
        <w:t>sto</w:t>
      </w:r>
      <w:r w:rsidR="00DD119B" w:rsidRPr="002866E5">
        <w:rPr>
          <w:noProof/>
        </w:rPr>
        <w:t xml:space="preserve">sownych przypadkach. </w:t>
      </w:r>
    </w:p>
    <w:p w14:paraId="67ED87B5" w14:textId="57DC3EED" w:rsidR="00DD119B" w:rsidRPr="002866E5" w:rsidRDefault="007E491A" w:rsidP="000A6E88">
      <w:pPr>
        <w:pStyle w:val="Text1"/>
        <w:rPr>
          <w:noProof/>
        </w:rPr>
      </w:pPr>
      <w:r w:rsidRPr="002866E5">
        <w:rPr>
          <w:noProof/>
        </w:rPr>
        <w:t>Po stwierdzeniu podatności produktu</w:t>
      </w:r>
      <w:r w:rsidR="008B35E8" w:rsidRPr="002866E5">
        <w:rPr>
          <w:noProof/>
        </w:rPr>
        <w:t xml:space="preserve"> z</w:t>
      </w:r>
      <w:r w:rsidR="008B35E8">
        <w:rPr>
          <w:noProof/>
        </w:rPr>
        <w:t> </w:t>
      </w:r>
      <w:r w:rsidR="008B35E8" w:rsidRPr="002866E5">
        <w:rPr>
          <w:noProof/>
        </w:rPr>
        <w:t>ele</w:t>
      </w:r>
      <w:r w:rsidRPr="002866E5">
        <w:rPr>
          <w:noProof/>
        </w:rPr>
        <w:t>mentami cyfrowymi dystrybutorzy bez zbędnej zwłoki informują producenta</w:t>
      </w:r>
      <w:r w:rsidR="008B35E8" w:rsidRPr="002866E5">
        <w:rPr>
          <w:noProof/>
        </w:rPr>
        <w:t xml:space="preserve"> o</w:t>
      </w:r>
      <w:r w:rsidR="008B35E8">
        <w:rPr>
          <w:noProof/>
        </w:rPr>
        <w:t> </w:t>
      </w:r>
      <w:r w:rsidR="008B35E8" w:rsidRPr="002866E5">
        <w:rPr>
          <w:noProof/>
        </w:rPr>
        <w:t>tej</w:t>
      </w:r>
      <w:r w:rsidRPr="002866E5">
        <w:rPr>
          <w:noProof/>
        </w:rPr>
        <w:t xml:space="preserve"> podatności. Ponadto,</w:t>
      </w:r>
      <w:r w:rsidR="008B35E8" w:rsidRPr="002866E5">
        <w:rPr>
          <w:noProof/>
        </w:rPr>
        <w:t xml:space="preserve"> w</w:t>
      </w:r>
      <w:r w:rsidR="008B35E8">
        <w:rPr>
          <w:noProof/>
        </w:rPr>
        <w:t> </w:t>
      </w:r>
      <w:r w:rsidR="008B35E8" w:rsidRPr="002866E5">
        <w:rPr>
          <w:noProof/>
        </w:rPr>
        <w:t>prz</w:t>
      </w:r>
      <w:r w:rsidRPr="002866E5">
        <w:rPr>
          <w:noProof/>
        </w:rPr>
        <w:t>ypadku gdy produkt</w:t>
      </w:r>
      <w:r w:rsidR="008B35E8" w:rsidRPr="002866E5">
        <w:rPr>
          <w:noProof/>
        </w:rPr>
        <w:t xml:space="preserve"> z</w:t>
      </w:r>
      <w:r w:rsidR="008B35E8">
        <w:rPr>
          <w:noProof/>
        </w:rPr>
        <w:t> </w:t>
      </w:r>
      <w:r w:rsidR="008B35E8" w:rsidRPr="002866E5">
        <w:rPr>
          <w:noProof/>
        </w:rPr>
        <w:t>ele</w:t>
      </w:r>
      <w:r w:rsidRPr="002866E5">
        <w:rPr>
          <w:noProof/>
        </w:rPr>
        <w:t>mentami cyfrowymi stwarza istotne ryzyko</w:t>
      </w:r>
      <w:r w:rsidR="008B35E8" w:rsidRPr="002866E5">
        <w:rPr>
          <w:noProof/>
        </w:rPr>
        <w:t xml:space="preserve"> w</w:t>
      </w:r>
      <w:r w:rsidR="008B35E8">
        <w:rPr>
          <w:noProof/>
        </w:rPr>
        <w:t> </w:t>
      </w:r>
      <w:r w:rsidR="008B35E8" w:rsidRPr="002866E5">
        <w:rPr>
          <w:noProof/>
        </w:rPr>
        <w:t>cyb</w:t>
      </w:r>
      <w:r w:rsidRPr="002866E5">
        <w:rPr>
          <w:noProof/>
        </w:rPr>
        <w:t>erprzestrzeni, dystrybutorzy niezwłocznie informują</w:t>
      </w:r>
      <w:r w:rsidR="008B35E8" w:rsidRPr="002866E5">
        <w:rPr>
          <w:noProof/>
        </w:rPr>
        <w:t xml:space="preserve"> o</w:t>
      </w:r>
      <w:r w:rsidR="008B35E8">
        <w:rPr>
          <w:noProof/>
        </w:rPr>
        <w:t> </w:t>
      </w:r>
      <w:r w:rsidR="008B35E8" w:rsidRPr="002866E5">
        <w:rPr>
          <w:noProof/>
        </w:rPr>
        <w:t>tym</w:t>
      </w:r>
      <w:r w:rsidRPr="002866E5">
        <w:rPr>
          <w:noProof/>
        </w:rPr>
        <w:t xml:space="preserve"> organy nadzoru rynku państw członkowskich,</w:t>
      </w:r>
      <w:r w:rsidR="008B35E8" w:rsidRPr="002866E5">
        <w:rPr>
          <w:noProof/>
        </w:rPr>
        <w:t xml:space="preserve"> w</w:t>
      </w:r>
      <w:r w:rsidR="008B35E8">
        <w:rPr>
          <w:noProof/>
        </w:rPr>
        <w:t> </w:t>
      </w:r>
      <w:r w:rsidR="008B35E8" w:rsidRPr="002866E5">
        <w:rPr>
          <w:noProof/>
        </w:rPr>
        <w:t>któ</w:t>
      </w:r>
      <w:r w:rsidRPr="002866E5">
        <w:rPr>
          <w:noProof/>
        </w:rPr>
        <w:t>rych produkt</w:t>
      </w:r>
      <w:r w:rsidR="008B35E8" w:rsidRPr="002866E5">
        <w:rPr>
          <w:noProof/>
        </w:rPr>
        <w:t xml:space="preserve"> z</w:t>
      </w:r>
      <w:r w:rsidR="008B35E8">
        <w:rPr>
          <w:noProof/>
        </w:rPr>
        <w:t> </w:t>
      </w:r>
      <w:r w:rsidR="008B35E8" w:rsidRPr="002866E5">
        <w:rPr>
          <w:noProof/>
        </w:rPr>
        <w:t>ele</w:t>
      </w:r>
      <w:r w:rsidRPr="002866E5">
        <w:rPr>
          <w:noProof/>
        </w:rPr>
        <w:t>mentami cyfrowymi udostępniono na rynku, podając szczegółowe informacje,</w:t>
      </w:r>
      <w:r w:rsidR="008B35E8" w:rsidRPr="002866E5">
        <w:rPr>
          <w:noProof/>
        </w:rPr>
        <w:t xml:space="preserve"> w</w:t>
      </w:r>
      <w:r w:rsidR="008B35E8">
        <w:rPr>
          <w:noProof/>
        </w:rPr>
        <w:t> </w:t>
      </w:r>
      <w:r w:rsidR="008B35E8" w:rsidRPr="002866E5">
        <w:rPr>
          <w:noProof/>
        </w:rPr>
        <w:t>szc</w:t>
      </w:r>
      <w:r w:rsidRPr="002866E5">
        <w:rPr>
          <w:noProof/>
        </w:rPr>
        <w:t>zególności na temat niezgodności oraz wszelkich wprowadzonych środków naprawczych.</w:t>
      </w:r>
    </w:p>
    <w:p w14:paraId="67ED87B6" w14:textId="3E9F0C36" w:rsidR="00BB10BC" w:rsidRPr="002866E5" w:rsidRDefault="00B4087C" w:rsidP="00B4087C">
      <w:pPr>
        <w:pStyle w:val="ManualNumPar1"/>
        <w:rPr>
          <w:noProof/>
        </w:rPr>
      </w:pPr>
      <w:r w:rsidRPr="00B4087C">
        <w:t>5.</w:t>
      </w:r>
      <w:r w:rsidRPr="00B4087C">
        <w:tab/>
      </w:r>
      <w:r w:rsidR="00DD119B" w:rsidRPr="002866E5">
        <w:rPr>
          <w:noProof/>
        </w:rPr>
        <w:t>Na uzasadniony wniosek organu nadzoru rynku dystrybutorzy przekazują mu wszelkie informacje</w:t>
      </w:r>
      <w:r w:rsidR="008B35E8" w:rsidRPr="002866E5">
        <w:rPr>
          <w:noProof/>
        </w:rPr>
        <w:t xml:space="preserve"> i</w:t>
      </w:r>
      <w:r w:rsidR="008B35E8">
        <w:rPr>
          <w:noProof/>
        </w:rPr>
        <w:t> </w:t>
      </w:r>
      <w:r w:rsidR="008B35E8" w:rsidRPr="002866E5">
        <w:rPr>
          <w:noProof/>
        </w:rPr>
        <w:t>dok</w:t>
      </w:r>
      <w:r w:rsidR="00DD119B" w:rsidRPr="002866E5">
        <w:rPr>
          <w:noProof/>
        </w:rPr>
        <w:t>umentację –</w:t>
      </w:r>
      <w:r w:rsidR="008B35E8" w:rsidRPr="002866E5">
        <w:rPr>
          <w:noProof/>
        </w:rPr>
        <w:t xml:space="preserve"> w</w:t>
      </w:r>
      <w:r w:rsidR="008B35E8">
        <w:rPr>
          <w:noProof/>
        </w:rPr>
        <w:t> </w:t>
      </w:r>
      <w:r w:rsidR="008B35E8" w:rsidRPr="002866E5">
        <w:rPr>
          <w:noProof/>
        </w:rPr>
        <w:t>for</w:t>
      </w:r>
      <w:r w:rsidR="00DD119B" w:rsidRPr="002866E5">
        <w:rPr>
          <w:noProof/>
        </w:rPr>
        <w:t>mie papierowej lub elektronicznej – niezbędne do wykazania zgodności produktu</w:t>
      </w:r>
      <w:r w:rsidR="008B35E8" w:rsidRPr="002866E5">
        <w:rPr>
          <w:noProof/>
        </w:rPr>
        <w:t xml:space="preserve"> z</w:t>
      </w:r>
      <w:r w:rsidR="008B35E8">
        <w:rPr>
          <w:noProof/>
        </w:rPr>
        <w:t> </w:t>
      </w:r>
      <w:r w:rsidR="008B35E8" w:rsidRPr="002866E5">
        <w:rPr>
          <w:noProof/>
        </w:rPr>
        <w:t>ele</w:t>
      </w:r>
      <w:r w:rsidR="00DD119B" w:rsidRPr="002866E5">
        <w:rPr>
          <w:noProof/>
        </w:rPr>
        <w:t>mentami cyfrowymi</w:t>
      </w:r>
      <w:r w:rsidR="008B35E8" w:rsidRPr="002866E5">
        <w:rPr>
          <w:noProof/>
        </w:rPr>
        <w:t xml:space="preserve"> i</w:t>
      </w:r>
      <w:r w:rsidR="008B35E8">
        <w:rPr>
          <w:noProof/>
        </w:rPr>
        <w:t> </w:t>
      </w:r>
      <w:r w:rsidR="008B35E8" w:rsidRPr="002866E5">
        <w:rPr>
          <w:noProof/>
        </w:rPr>
        <w:t>pro</w:t>
      </w:r>
      <w:r w:rsidR="00DD119B" w:rsidRPr="002866E5">
        <w:rPr>
          <w:noProof/>
        </w:rPr>
        <w:t>cedur wprowadzonych przez jego producenta</w:t>
      </w:r>
      <w:r w:rsidR="008B35E8" w:rsidRPr="002866E5">
        <w:rPr>
          <w:noProof/>
        </w:rPr>
        <w:t xml:space="preserve"> z</w:t>
      </w:r>
      <w:r w:rsidR="008B35E8">
        <w:rPr>
          <w:noProof/>
        </w:rPr>
        <w:t> </w:t>
      </w:r>
      <w:r w:rsidR="008B35E8" w:rsidRPr="002866E5">
        <w:rPr>
          <w:noProof/>
        </w:rPr>
        <w:t>zas</w:t>
      </w:r>
      <w:r w:rsidR="00DD119B" w:rsidRPr="002866E5">
        <w:rPr>
          <w:noProof/>
        </w:rPr>
        <w:t>adniczymi wymogami określonymi</w:t>
      </w:r>
      <w:r w:rsidR="008B35E8" w:rsidRPr="002866E5">
        <w:rPr>
          <w:noProof/>
        </w:rPr>
        <w:t xml:space="preserve"> w</w:t>
      </w:r>
      <w:r w:rsidR="008B35E8">
        <w:rPr>
          <w:noProof/>
        </w:rPr>
        <w:t> </w:t>
      </w:r>
      <w:r w:rsidR="008B35E8" w:rsidRPr="002866E5">
        <w:rPr>
          <w:noProof/>
        </w:rPr>
        <w:t>zał</w:t>
      </w:r>
      <w:r w:rsidR="00DD119B" w:rsidRPr="002866E5">
        <w:rPr>
          <w:noProof/>
        </w:rPr>
        <w:t>ączniku I</w:t>
      </w:r>
      <w:r w:rsidR="008B35E8" w:rsidRPr="002866E5">
        <w:rPr>
          <w:noProof/>
        </w:rPr>
        <w:t xml:space="preserve"> w</w:t>
      </w:r>
      <w:r w:rsidR="008B35E8">
        <w:rPr>
          <w:noProof/>
        </w:rPr>
        <w:t> </w:t>
      </w:r>
      <w:r w:rsidR="008B35E8" w:rsidRPr="002866E5">
        <w:rPr>
          <w:noProof/>
        </w:rPr>
        <w:t>jęz</w:t>
      </w:r>
      <w:r w:rsidR="00DD119B" w:rsidRPr="002866E5">
        <w:rPr>
          <w:noProof/>
        </w:rPr>
        <w:t>yku łatwo zrozumiałym dla tego organu. Na wniosek tego organu dystrybutorzy współpracują</w:t>
      </w:r>
      <w:r w:rsidR="008B35E8" w:rsidRPr="002866E5">
        <w:rPr>
          <w:noProof/>
        </w:rPr>
        <w:t xml:space="preserve"> z</w:t>
      </w:r>
      <w:r w:rsidR="008B35E8">
        <w:rPr>
          <w:noProof/>
        </w:rPr>
        <w:t> </w:t>
      </w:r>
      <w:r w:rsidR="008B35E8" w:rsidRPr="002866E5">
        <w:rPr>
          <w:noProof/>
        </w:rPr>
        <w:t>nim w</w:t>
      </w:r>
      <w:r w:rsidR="008B35E8">
        <w:rPr>
          <w:noProof/>
        </w:rPr>
        <w:t> </w:t>
      </w:r>
      <w:r w:rsidR="008B35E8" w:rsidRPr="002866E5">
        <w:rPr>
          <w:noProof/>
        </w:rPr>
        <w:t>zak</w:t>
      </w:r>
      <w:r w:rsidR="00DD119B" w:rsidRPr="002866E5">
        <w:rPr>
          <w:noProof/>
        </w:rPr>
        <w:t>resie wszelkich środków wprowadzonych</w:t>
      </w:r>
      <w:r w:rsidR="008B35E8" w:rsidRPr="002866E5">
        <w:rPr>
          <w:noProof/>
        </w:rPr>
        <w:t xml:space="preserve"> w</w:t>
      </w:r>
      <w:r w:rsidR="008B35E8">
        <w:rPr>
          <w:noProof/>
        </w:rPr>
        <w:t> </w:t>
      </w:r>
      <w:r w:rsidR="008B35E8" w:rsidRPr="002866E5">
        <w:rPr>
          <w:noProof/>
        </w:rPr>
        <w:t>cel</w:t>
      </w:r>
      <w:r w:rsidR="00DD119B" w:rsidRPr="002866E5">
        <w:rPr>
          <w:noProof/>
        </w:rPr>
        <w:t>u usunięcia ryzyka</w:t>
      </w:r>
      <w:r w:rsidR="008B35E8" w:rsidRPr="002866E5">
        <w:rPr>
          <w:noProof/>
        </w:rPr>
        <w:t xml:space="preserve"> w</w:t>
      </w:r>
      <w:r w:rsidR="008B35E8">
        <w:rPr>
          <w:noProof/>
        </w:rPr>
        <w:t> </w:t>
      </w:r>
      <w:r w:rsidR="008B35E8" w:rsidRPr="002866E5">
        <w:rPr>
          <w:noProof/>
        </w:rPr>
        <w:t>cyb</w:t>
      </w:r>
      <w:r w:rsidR="00DD119B" w:rsidRPr="002866E5">
        <w:rPr>
          <w:noProof/>
        </w:rPr>
        <w:t>erprzestrzeni, jakie stwarza produkt</w:t>
      </w:r>
      <w:r w:rsidR="008B35E8" w:rsidRPr="002866E5">
        <w:rPr>
          <w:noProof/>
        </w:rPr>
        <w:t xml:space="preserve"> z</w:t>
      </w:r>
      <w:r w:rsidR="008B35E8">
        <w:rPr>
          <w:noProof/>
        </w:rPr>
        <w:t> </w:t>
      </w:r>
      <w:r w:rsidR="008B35E8" w:rsidRPr="002866E5">
        <w:rPr>
          <w:noProof/>
        </w:rPr>
        <w:t>ele</w:t>
      </w:r>
      <w:r w:rsidR="00DD119B" w:rsidRPr="002866E5">
        <w:rPr>
          <w:noProof/>
        </w:rPr>
        <w:t>mentami cyfrowymi udostępniony przez nich na rynku.</w:t>
      </w:r>
    </w:p>
    <w:p w14:paraId="67ED87B7" w14:textId="46261922" w:rsidR="0066071D" w:rsidRPr="002866E5" w:rsidRDefault="00B4087C" w:rsidP="00B4087C">
      <w:pPr>
        <w:pStyle w:val="ManualNumPar1"/>
        <w:rPr>
          <w:noProof/>
        </w:rPr>
      </w:pPr>
      <w:r w:rsidRPr="00B4087C">
        <w:lastRenderedPageBreak/>
        <w:t>6.</w:t>
      </w:r>
      <w:r w:rsidRPr="00B4087C">
        <w:tab/>
      </w:r>
      <w:r w:rsidR="0066071D" w:rsidRPr="002866E5">
        <w:rPr>
          <w:noProof/>
        </w:rPr>
        <w:t>W przypadku gdy dystrybutor produktu</w:t>
      </w:r>
      <w:r w:rsidR="008B35E8" w:rsidRPr="002866E5">
        <w:rPr>
          <w:noProof/>
        </w:rPr>
        <w:t xml:space="preserve"> z</w:t>
      </w:r>
      <w:r w:rsidR="008B35E8">
        <w:rPr>
          <w:noProof/>
        </w:rPr>
        <w:t> </w:t>
      </w:r>
      <w:r w:rsidR="008B35E8" w:rsidRPr="002866E5">
        <w:rPr>
          <w:noProof/>
        </w:rPr>
        <w:t>ele</w:t>
      </w:r>
      <w:r w:rsidR="0066071D" w:rsidRPr="002866E5">
        <w:rPr>
          <w:noProof/>
        </w:rPr>
        <w:t>mentami cyfrowymi dowiaduje się, że producent tego produktu zaprzestał działalności</w:t>
      </w:r>
      <w:r w:rsidR="008B35E8" w:rsidRPr="002866E5">
        <w:rPr>
          <w:noProof/>
        </w:rPr>
        <w:t xml:space="preserve"> i</w:t>
      </w:r>
      <w:r w:rsidR="008B35E8">
        <w:rPr>
          <w:noProof/>
        </w:rPr>
        <w:t> </w:t>
      </w:r>
      <w:r w:rsidR="008B35E8" w:rsidRPr="002866E5">
        <w:rPr>
          <w:noProof/>
        </w:rPr>
        <w:t>w</w:t>
      </w:r>
      <w:r w:rsidR="008B35E8">
        <w:rPr>
          <w:noProof/>
        </w:rPr>
        <w:t> </w:t>
      </w:r>
      <w:r w:rsidR="008B35E8" w:rsidRPr="002866E5">
        <w:rPr>
          <w:noProof/>
        </w:rPr>
        <w:t>zwi</w:t>
      </w:r>
      <w:r w:rsidR="0066071D" w:rsidRPr="002866E5">
        <w:rPr>
          <w:noProof/>
        </w:rPr>
        <w:t>ązku</w:t>
      </w:r>
      <w:r w:rsidR="008B35E8" w:rsidRPr="002866E5">
        <w:rPr>
          <w:noProof/>
        </w:rPr>
        <w:t xml:space="preserve"> z</w:t>
      </w:r>
      <w:r w:rsidR="008B35E8">
        <w:rPr>
          <w:noProof/>
        </w:rPr>
        <w:t> </w:t>
      </w:r>
      <w:r w:rsidR="008B35E8" w:rsidRPr="002866E5">
        <w:rPr>
          <w:noProof/>
        </w:rPr>
        <w:t>tym</w:t>
      </w:r>
      <w:r w:rsidR="0066071D" w:rsidRPr="002866E5">
        <w:rPr>
          <w:noProof/>
        </w:rPr>
        <w:t xml:space="preserve"> nie jest</w:t>
      </w:r>
      <w:r w:rsidR="008B35E8" w:rsidRPr="002866E5">
        <w:rPr>
          <w:noProof/>
        </w:rPr>
        <w:t xml:space="preserve"> w</w:t>
      </w:r>
      <w:r w:rsidR="008B35E8">
        <w:rPr>
          <w:noProof/>
        </w:rPr>
        <w:t> </w:t>
      </w:r>
      <w:r w:rsidR="008B35E8" w:rsidRPr="002866E5">
        <w:rPr>
          <w:noProof/>
        </w:rPr>
        <w:t>sta</w:t>
      </w:r>
      <w:r w:rsidR="0066071D" w:rsidRPr="002866E5">
        <w:rPr>
          <w:noProof/>
        </w:rPr>
        <w:t>nie wypełnić obowiązków określonych</w:t>
      </w:r>
      <w:r w:rsidR="008B35E8" w:rsidRPr="002866E5">
        <w:rPr>
          <w:noProof/>
        </w:rPr>
        <w:t xml:space="preserve"> w</w:t>
      </w:r>
      <w:r w:rsidR="008B35E8">
        <w:rPr>
          <w:noProof/>
        </w:rPr>
        <w:t> </w:t>
      </w:r>
      <w:r w:rsidR="008B35E8" w:rsidRPr="002866E5">
        <w:rPr>
          <w:noProof/>
        </w:rPr>
        <w:t>nin</w:t>
      </w:r>
      <w:r w:rsidR="0066071D" w:rsidRPr="002866E5">
        <w:rPr>
          <w:noProof/>
        </w:rPr>
        <w:t>iejszym rozporządzeniu, dystrybutor informuje</w:t>
      </w:r>
      <w:r w:rsidR="008B35E8" w:rsidRPr="002866E5">
        <w:rPr>
          <w:noProof/>
        </w:rPr>
        <w:t xml:space="preserve"> o</w:t>
      </w:r>
      <w:r w:rsidR="008B35E8">
        <w:rPr>
          <w:noProof/>
        </w:rPr>
        <w:t> </w:t>
      </w:r>
      <w:r w:rsidR="008B35E8" w:rsidRPr="002866E5">
        <w:rPr>
          <w:noProof/>
        </w:rPr>
        <w:t>tej</w:t>
      </w:r>
      <w:r w:rsidR="0066071D" w:rsidRPr="002866E5">
        <w:rPr>
          <w:noProof/>
        </w:rPr>
        <w:t xml:space="preserve"> sytuacji odpowiednie organy nadzoru rynku,</w:t>
      </w:r>
      <w:r w:rsidR="008B35E8" w:rsidRPr="002866E5">
        <w:rPr>
          <w:noProof/>
        </w:rPr>
        <w:t xml:space="preserve"> a</w:t>
      </w:r>
      <w:r w:rsidR="008B35E8">
        <w:rPr>
          <w:noProof/>
        </w:rPr>
        <w:t> </w:t>
      </w:r>
      <w:r w:rsidR="008B35E8" w:rsidRPr="002866E5">
        <w:rPr>
          <w:noProof/>
        </w:rPr>
        <w:t>tak</w:t>
      </w:r>
      <w:r w:rsidR="0066071D" w:rsidRPr="002866E5">
        <w:rPr>
          <w:noProof/>
        </w:rPr>
        <w:t>że, za pomocą wszelkich dostępnych środków</w:t>
      </w:r>
      <w:r w:rsidR="008B35E8" w:rsidRPr="002866E5">
        <w:rPr>
          <w:noProof/>
        </w:rPr>
        <w:t xml:space="preserve"> i</w:t>
      </w:r>
      <w:r w:rsidR="008B35E8">
        <w:rPr>
          <w:noProof/>
        </w:rPr>
        <w:t> </w:t>
      </w:r>
      <w:r w:rsidR="008B35E8" w:rsidRPr="002866E5">
        <w:rPr>
          <w:noProof/>
        </w:rPr>
        <w:t>w</w:t>
      </w:r>
      <w:r w:rsidR="008B35E8">
        <w:rPr>
          <w:noProof/>
        </w:rPr>
        <w:t> </w:t>
      </w:r>
      <w:r w:rsidR="008B35E8" w:rsidRPr="002866E5">
        <w:rPr>
          <w:noProof/>
        </w:rPr>
        <w:t>moż</w:t>
      </w:r>
      <w:r w:rsidR="0066071D" w:rsidRPr="002866E5">
        <w:rPr>
          <w:noProof/>
        </w:rPr>
        <w:t>liwie jak najszerszym zakresie, użytkowników produktów</w:t>
      </w:r>
      <w:r w:rsidR="008B35E8" w:rsidRPr="002866E5">
        <w:rPr>
          <w:noProof/>
        </w:rPr>
        <w:t xml:space="preserve"> z</w:t>
      </w:r>
      <w:r w:rsidR="008B35E8">
        <w:rPr>
          <w:noProof/>
        </w:rPr>
        <w:t> </w:t>
      </w:r>
      <w:r w:rsidR="008B35E8" w:rsidRPr="002866E5">
        <w:rPr>
          <w:noProof/>
        </w:rPr>
        <w:t>ele</w:t>
      </w:r>
      <w:r w:rsidR="0066071D" w:rsidRPr="002866E5">
        <w:rPr>
          <w:noProof/>
        </w:rPr>
        <w:t>mentami cyfrowymi wprowadzonych do obrotu.</w:t>
      </w:r>
    </w:p>
    <w:p w14:paraId="67ED87B8" w14:textId="2069F210" w:rsidR="00143CBD" w:rsidRPr="002866E5" w:rsidRDefault="00143CBD" w:rsidP="0027065F">
      <w:pPr>
        <w:pStyle w:val="Titrearticle0"/>
        <w:rPr>
          <w:noProof/>
        </w:rPr>
      </w:pPr>
      <w:r w:rsidRPr="002866E5">
        <w:rPr>
          <w:noProof/>
        </w:rPr>
        <w:t>Artykuł 15</w:t>
      </w:r>
    </w:p>
    <w:p w14:paraId="67ED87B9" w14:textId="314B73CC" w:rsidR="00143CBD" w:rsidRPr="002866E5" w:rsidRDefault="00143CBD" w:rsidP="00084E38">
      <w:pPr>
        <w:jc w:val="center"/>
        <w:rPr>
          <w:i/>
          <w:noProof/>
        </w:rPr>
      </w:pPr>
      <w:r w:rsidRPr="002866E5">
        <w:rPr>
          <w:i/>
          <w:noProof/>
        </w:rPr>
        <w:t>Przypadki,</w:t>
      </w:r>
      <w:r w:rsidR="008B35E8" w:rsidRPr="002866E5">
        <w:rPr>
          <w:i/>
          <w:noProof/>
        </w:rPr>
        <w:t xml:space="preserve"> w</w:t>
      </w:r>
      <w:r w:rsidR="008B35E8">
        <w:rPr>
          <w:i/>
          <w:noProof/>
        </w:rPr>
        <w:t> </w:t>
      </w:r>
      <w:r w:rsidR="008B35E8" w:rsidRPr="002866E5">
        <w:rPr>
          <w:i/>
          <w:noProof/>
        </w:rPr>
        <w:t>któ</w:t>
      </w:r>
      <w:r w:rsidRPr="002866E5">
        <w:rPr>
          <w:i/>
          <w:noProof/>
        </w:rPr>
        <w:t>rych obowiązki producentów mają zastosowanie do importerów</w:t>
      </w:r>
      <w:r w:rsidR="008B35E8" w:rsidRPr="002866E5">
        <w:rPr>
          <w:i/>
          <w:noProof/>
        </w:rPr>
        <w:t xml:space="preserve"> i</w:t>
      </w:r>
      <w:r w:rsidR="008B35E8">
        <w:rPr>
          <w:i/>
          <w:noProof/>
        </w:rPr>
        <w:t> </w:t>
      </w:r>
      <w:r w:rsidR="008B35E8" w:rsidRPr="002866E5">
        <w:rPr>
          <w:i/>
          <w:noProof/>
        </w:rPr>
        <w:t>dys</w:t>
      </w:r>
      <w:r w:rsidRPr="002866E5">
        <w:rPr>
          <w:i/>
          <w:noProof/>
        </w:rPr>
        <w:t xml:space="preserve">trybutorów </w:t>
      </w:r>
    </w:p>
    <w:p w14:paraId="67ED87BA" w14:textId="577DB062" w:rsidR="00143CBD" w:rsidRPr="002866E5" w:rsidRDefault="00143CBD" w:rsidP="00C17731">
      <w:pPr>
        <w:pStyle w:val="Text1"/>
        <w:ind w:left="0"/>
        <w:rPr>
          <w:noProof/>
        </w:rPr>
      </w:pPr>
      <w:r w:rsidRPr="002866E5">
        <w:rPr>
          <w:noProof/>
        </w:rPr>
        <w:t>Importer lub dystrybutor uważany jest za producenta do celów niniejszego rozporządzenia</w:t>
      </w:r>
      <w:r w:rsidR="008B35E8" w:rsidRPr="002866E5">
        <w:rPr>
          <w:noProof/>
        </w:rPr>
        <w:t xml:space="preserve"> i</w:t>
      </w:r>
      <w:r w:rsidR="008B35E8">
        <w:rPr>
          <w:noProof/>
        </w:rPr>
        <w:t> </w:t>
      </w:r>
      <w:r w:rsidR="008B35E8" w:rsidRPr="002866E5">
        <w:rPr>
          <w:noProof/>
        </w:rPr>
        <w:t>pod</w:t>
      </w:r>
      <w:r w:rsidRPr="002866E5">
        <w:rPr>
          <w:noProof/>
        </w:rPr>
        <w:t>lega on obowiązkom producenta określonym</w:t>
      </w:r>
      <w:r w:rsidR="008B35E8" w:rsidRPr="002866E5">
        <w:rPr>
          <w:noProof/>
        </w:rPr>
        <w:t xml:space="preserve"> w</w:t>
      </w:r>
      <w:r w:rsidR="008B35E8">
        <w:rPr>
          <w:noProof/>
        </w:rPr>
        <w:t> </w:t>
      </w:r>
      <w:r w:rsidR="008B35E8" w:rsidRPr="008B35E8">
        <w:rPr>
          <w:noProof/>
        </w:rPr>
        <w:t>art</w:t>
      </w:r>
      <w:r w:rsidRPr="008B35E8">
        <w:rPr>
          <w:noProof/>
        </w:rPr>
        <w:t>.</w:t>
      </w:r>
      <w:r w:rsidR="008B35E8" w:rsidRPr="008B35E8">
        <w:rPr>
          <w:noProof/>
        </w:rPr>
        <w:t> </w:t>
      </w:r>
      <w:r w:rsidRPr="008B35E8">
        <w:rPr>
          <w:noProof/>
        </w:rPr>
        <w:t>1</w:t>
      </w:r>
      <w:r w:rsidRPr="002866E5">
        <w:rPr>
          <w:noProof/>
        </w:rPr>
        <w:t xml:space="preserve">0 oraz </w:t>
      </w:r>
      <w:r w:rsidRPr="008B35E8">
        <w:rPr>
          <w:noProof/>
        </w:rPr>
        <w:t>art.</w:t>
      </w:r>
      <w:r w:rsidR="008B35E8" w:rsidRPr="008B35E8">
        <w:rPr>
          <w:noProof/>
        </w:rPr>
        <w:t> </w:t>
      </w:r>
      <w:r w:rsidRPr="008B35E8">
        <w:rPr>
          <w:noProof/>
        </w:rPr>
        <w:t>1</w:t>
      </w:r>
      <w:r w:rsidRPr="002866E5">
        <w:rPr>
          <w:noProof/>
        </w:rPr>
        <w:t xml:space="preserve">1 </w:t>
      </w:r>
      <w:r w:rsidRPr="008B35E8">
        <w:rPr>
          <w:noProof/>
        </w:rPr>
        <w:t>ust.</w:t>
      </w:r>
      <w:r w:rsidR="008B35E8" w:rsidRPr="008B35E8">
        <w:rPr>
          <w:noProof/>
        </w:rPr>
        <w:t> </w:t>
      </w:r>
      <w:r w:rsidRPr="008B35E8">
        <w:rPr>
          <w:noProof/>
        </w:rPr>
        <w:t>1</w:t>
      </w:r>
      <w:r w:rsidRPr="002866E5">
        <w:rPr>
          <w:noProof/>
        </w:rPr>
        <w:t>, 2, 4</w:t>
      </w:r>
      <w:r w:rsidR="008B35E8" w:rsidRPr="002866E5">
        <w:rPr>
          <w:noProof/>
        </w:rPr>
        <w:t xml:space="preserve"> i</w:t>
      </w:r>
      <w:r w:rsidR="008B35E8">
        <w:rPr>
          <w:noProof/>
        </w:rPr>
        <w:t> </w:t>
      </w:r>
      <w:r w:rsidR="008B35E8" w:rsidRPr="002866E5">
        <w:rPr>
          <w:noProof/>
        </w:rPr>
        <w:t>7</w:t>
      </w:r>
      <w:r w:rsidRPr="002866E5">
        <w:rPr>
          <w:noProof/>
        </w:rPr>
        <w:t>, jeżeli ten importer lub dystrybutor wprowadza produkt</w:t>
      </w:r>
      <w:r w:rsidR="008B35E8" w:rsidRPr="002866E5">
        <w:rPr>
          <w:noProof/>
        </w:rPr>
        <w:t xml:space="preserve"> z</w:t>
      </w:r>
      <w:r w:rsidR="008B35E8">
        <w:rPr>
          <w:noProof/>
        </w:rPr>
        <w:t> </w:t>
      </w:r>
      <w:r w:rsidR="008B35E8" w:rsidRPr="002866E5">
        <w:rPr>
          <w:noProof/>
        </w:rPr>
        <w:t>ele</w:t>
      </w:r>
      <w:r w:rsidRPr="002866E5">
        <w:rPr>
          <w:noProof/>
        </w:rPr>
        <w:t>mentami cyfrowymi do obrotu pod własną nazwą lub znakiem towarowym albo dokonuje istotnej modyfikacji produktu</w:t>
      </w:r>
      <w:r w:rsidR="008B35E8" w:rsidRPr="002866E5">
        <w:rPr>
          <w:noProof/>
        </w:rPr>
        <w:t xml:space="preserve"> z</w:t>
      </w:r>
      <w:r w:rsidR="008B35E8">
        <w:rPr>
          <w:noProof/>
        </w:rPr>
        <w:t> </w:t>
      </w:r>
      <w:r w:rsidR="008B35E8" w:rsidRPr="002866E5">
        <w:rPr>
          <w:noProof/>
        </w:rPr>
        <w:t>ele</w:t>
      </w:r>
      <w:r w:rsidRPr="002866E5">
        <w:rPr>
          <w:noProof/>
        </w:rPr>
        <w:t xml:space="preserve">mentami cyfrowymi już wprowadzonego do obrotu. </w:t>
      </w:r>
    </w:p>
    <w:p w14:paraId="67ED87BB" w14:textId="33D1542E" w:rsidR="00143CBD" w:rsidRPr="002866E5" w:rsidRDefault="00143CBD" w:rsidP="0027065F">
      <w:pPr>
        <w:pStyle w:val="Titrearticle0"/>
        <w:rPr>
          <w:noProof/>
        </w:rPr>
      </w:pPr>
      <w:r w:rsidRPr="002866E5">
        <w:rPr>
          <w:noProof/>
        </w:rPr>
        <w:t>Artykuł 16</w:t>
      </w:r>
    </w:p>
    <w:p w14:paraId="67ED87BC" w14:textId="2FF9D7F7" w:rsidR="00143CBD" w:rsidRPr="002866E5" w:rsidRDefault="00143CBD" w:rsidP="00084E38">
      <w:pPr>
        <w:jc w:val="center"/>
        <w:rPr>
          <w:i/>
          <w:noProof/>
        </w:rPr>
      </w:pPr>
      <w:r w:rsidRPr="002866E5">
        <w:rPr>
          <w:i/>
          <w:noProof/>
        </w:rPr>
        <w:t>Inne przypadki,</w:t>
      </w:r>
      <w:r w:rsidR="008B35E8" w:rsidRPr="002866E5">
        <w:rPr>
          <w:i/>
          <w:noProof/>
        </w:rPr>
        <w:t xml:space="preserve"> w</w:t>
      </w:r>
      <w:r w:rsidR="008B35E8">
        <w:rPr>
          <w:i/>
          <w:noProof/>
        </w:rPr>
        <w:t> </w:t>
      </w:r>
      <w:r w:rsidR="008B35E8" w:rsidRPr="002866E5">
        <w:rPr>
          <w:i/>
          <w:noProof/>
        </w:rPr>
        <w:t>któ</w:t>
      </w:r>
      <w:r w:rsidRPr="002866E5">
        <w:rPr>
          <w:i/>
          <w:noProof/>
        </w:rPr>
        <w:t xml:space="preserve">rych mają zastosowanie obowiązki producentów </w:t>
      </w:r>
    </w:p>
    <w:p w14:paraId="67ED87BD" w14:textId="159A63A8" w:rsidR="006826FF" w:rsidRPr="002866E5" w:rsidRDefault="00143CBD" w:rsidP="00C17731">
      <w:pPr>
        <w:pStyle w:val="Text1"/>
        <w:ind w:left="0"/>
        <w:rPr>
          <w:noProof/>
        </w:rPr>
      </w:pPr>
      <w:r w:rsidRPr="002866E5">
        <w:rPr>
          <w:noProof/>
        </w:rPr>
        <w:t>Osoba fizyczna lub prawna – inna niż producent, importer lub dystrybutor – która dokonuje istotnej modyfikacji produktu</w:t>
      </w:r>
      <w:r w:rsidR="008B35E8" w:rsidRPr="002866E5">
        <w:rPr>
          <w:noProof/>
        </w:rPr>
        <w:t xml:space="preserve"> z</w:t>
      </w:r>
      <w:r w:rsidR="008B35E8">
        <w:rPr>
          <w:noProof/>
        </w:rPr>
        <w:t> </w:t>
      </w:r>
      <w:r w:rsidR="008B35E8" w:rsidRPr="002866E5">
        <w:rPr>
          <w:noProof/>
        </w:rPr>
        <w:t>ele</w:t>
      </w:r>
      <w:r w:rsidRPr="002866E5">
        <w:rPr>
          <w:noProof/>
        </w:rPr>
        <w:t>mentami cyfrowymi, uważana jest za producenta do celów niniejszego rozporządzenia.</w:t>
      </w:r>
    </w:p>
    <w:p w14:paraId="67ED87BE" w14:textId="4EDCAD26" w:rsidR="00143CBD" w:rsidRPr="002866E5" w:rsidRDefault="006826FF" w:rsidP="00C17731">
      <w:pPr>
        <w:pStyle w:val="Text1"/>
        <w:ind w:left="0"/>
        <w:rPr>
          <w:noProof/>
        </w:rPr>
      </w:pPr>
      <w:r w:rsidRPr="002866E5">
        <w:rPr>
          <w:noProof/>
        </w:rPr>
        <w:t>Osoba ta podlega obowiązkom producenta określonym</w:t>
      </w:r>
      <w:r w:rsidR="008B35E8" w:rsidRPr="002866E5">
        <w:rPr>
          <w:noProof/>
        </w:rPr>
        <w:t xml:space="preserve"> w</w:t>
      </w:r>
      <w:r w:rsidR="008B35E8">
        <w:rPr>
          <w:noProof/>
        </w:rPr>
        <w:t> </w:t>
      </w:r>
      <w:r w:rsidR="008B35E8" w:rsidRPr="008B35E8">
        <w:rPr>
          <w:noProof/>
        </w:rPr>
        <w:t>art</w:t>
      </w:r>
      <w:r w:rsidRPr="008B35E8">
        <w:rPr>
          <w:noProof/>
        </w:rPr>
        <w:t>.</w:t>
      </w:r>
      <w:r w:rsidR="008B35E8" w:rsidRPr="008B35E8">
        <w:rPr>
          <w:noProof/>
        </w:rPr>
        <w:t> </w:t>
      </w:r>
      <w:r w:rsidRPr="008B35E8">
        <w:rPr>
          <w:noProof/>
        </w:rPr>
        <w:t>1</w:t>
      </w:r>
      <w:r w:rsidRPr="002866E5">
        <w:rPr>
          <w:noProof/>
        </w:rPr>
        <w:t xml:space="preserve">0 oraz </w:t>
      </w:r>
      <w:r w:rsidRPr="008B35E8">
        <w:rPr>
          <w:noProof/>
        </w:rPr>
        <w:t>art.</w:t>
      </w:r>
      <w:r w:rsidR="008B35E8" w:rsidRPr="008B35E8">
        <w:rPr>
          <w:noProof/>
        </w:rPr>
        <w:t> </w:t>
      </w:r>
      <w:r w:rsidRPr="008B35E8">
        <w:rPr>
          <w:noProof/>
        </w:rPr>
        <w:t>1</w:t>
      </w:r>
      <w:r w:rsidRPr="002866E5">
        <w:rPr>
          <w:noProof/>
        </w:rPr>
        <w:t xml:space="preserve">1 </w:t>
      </w:r>
      <w:r w:rsidRPr="008B35E8">
        <w:rPr>
          <w:noProof/>
        </w:rPr>
        <w:t>ust.</w:t>
      </w:r>
      <w:r w:rsidR="008B35E8" w:rsidRPr="008B35E8">
        <w:rPr>
          <w:noProof/>
        </w:rPr>
        <w:t> </w:t>
      </w:r>
      <w:r w:rsidRPr="008B35E8">
        <w:rPr>
          <w:noProof/>
        </w:rPr>
        <w:t>1</w:t>
      </w:r>
      <w:r w:rsidRPr="002866E5">
        <w:rPr>
          <w:noProof/>
        </w:rPr>
        <w:t>, 2, 4</w:t>
      </w:r>
      <w:r w:rsidR="008B35E8" w:rsidRPr="002866E5">
        <w:rPr>
          <w:noProof/>
        </w:rPr>
        <w:t xml:space="preserve"> i</w:t>
      </w:r>
      <w:r w:rsidR="008B35E8">
        <w:rPr>
          <w:noProof/>
        </w:rPr>
        <w:t> </w:t>
      </w:r>
      <w:r w:rsidR="008B35E8" w:rsidRPr="002866E5">
        <w:rPr>
          <w:noProof/>
        </w:rPr>
        <w:t>7 w</w:t>
      </w:r>
      <w:r w:rsidR="008B35E8">
        <w:rPr>
          <w:noProof/>
        </w:rPr>
        <w:t> </w:t>
      </w:r>
      <w:r w:rsidR="008B35E8" w:rsidRPr="002866E5">
        <w:rPr>
          <w:noProof/>
        </w:rPr>
        <w:t>odn</w:t>
      </w:r>
      <w:r w:rsidRPr="002866E5">
        <w:rPr>
          <w:noProof/>
        </w:rPr>
        <w:t>iesieniu do części produktu poddanej istotnej modyfikacji lub, jeżeli taka istotna modyfikacja ma wpływ na cyberbezpieczeństwo produktu</w:t>
      </w:r>
      <w:r w:rsidR="008B35E8" w:rsidRPr="002866E5">
        <w:rPr>
          <w:noProof/>
        </w:rPr>
        <w:t xml:space="preserve"> z</w:t>
      </w:r>
      <w:r w:rsidR="008B35E8">
        <w:rPr>
          <w:noProof/>
        </w:rPr>
        <w:t> </w:t>
      </w:r>
      <w:r w:rsidR="008B35E8" w:rsidRPr="002866E5">
        <w:rPr>
          <w:noProof/>
        </w:rPr>
        <w:t>ele</w:t>
      </w:r>
      <w:r w:rsidRPr="002866E5">
        <w:rPr>
          <w:noProof/>
        </w:rPr>
        <w:t>mentami cyfrowymi jako całości,</w:t>
      </w:r>
      <w:r w:rsidR="008B35E8" w:rsidRPr="002866E5">
        <w:rPr>
          <w:noProof/>
        </w:rPr>
        <w:t xml:space="preserve"> w</w:t>
      </w:r>
      <w:r w:rsidR="008B35E8">
        <w:rPr>
          <w:noProof/>
        </w:rPr>
        <w:t> </w:t>
      </w:r>
      <w:r w:rsidR="008B35E8" w:rsidRPr="002866E5">
        <w:rPr>
          <w:noProof/>
        </w:rPr>
        <w:t>odn</w:t>
      </w:r>
      <w:r w:rsidRPr="002866E5">
        <w:rPr>
          <w:noProof/>
        </w:rPr>
        <w:t xml:space="preserve">iesieniu do całego produktu. </w:t>
      </w:r>
    </w:p>
    <w:p w14:paraId="67ED87BF" w14:textId="65947A75" w:rsidR="00143CBD" w:rsidRPr="002866E5" w:rsidRDefault="00143CBD" w:rsidP="0027065F">
      <w:pPr>
        <w:pStyle w:val="Titrearticle0"/>
        <w:rPr>
          <w:noProof/>
        </w:rPr>
      </w:pPr>
      <w:r w:rsidRPr="002866E5">
        <w:rPr>
          <w:noProof/>
        </w:rPr>
        <w:t>Artykuł 17</w:t>
      </w:r>
    </w:p>
    <w:p w14:paraId="67ED87C0" w14:textId="77777777" w:rsidR="00143CBD" w:rsidRPr="002866E5" w:rsidRDefault="00143CBD" w:rsidP="00084E38">
      <w:pPr>
        <w:jc w:val="center"/>
        <w:rPr>
          <w:i/>
          <w:noProof/>
        </w:rPr>
      </w:pPr>
      <w:r w:rsidRPr="002866E5">
        <w:rPr>
          <w:i/>
          <w:noProof/>
        </w:rPr>
        <w:t xml:space="preserve">Identyfikacja podmiotów gospodarczych </w:t>
      </w:r>
    </w:p>
    <w:p w14:paraId="67ED87C1" w14:textId="298DF614" w:rsidR="00143CBD" w:rsidRPr="002866E5" w:rsidRDefault="00B4087C" w:rsidP="00B4087C">
      <w:pPr>
        <w:pStyle w:val="ManualNumPar1"/>
        <w:rPr>
          <w:noProof/>
        </w:rPr>
      </w:pPr>
      <w:r w:rsidRPr="00B4087C">
        <w:t>1.</w:t>
      </w:r>
      <w:r w:rsidRPr="00B4087C">
        <w:tab/>
      </w:r>
      <w:r w:rsidR="00143CBD" w:rsidRPr="002866E5">
        <w:rPr>
          <w:noProof/>
        </w:rPr>
        <w:t>Na wniosek organów nadzoru rynku</w:t>
      </w:r>
      <w:r w:rsidR="008B35E8" w:rsidRPr="002866E5">
        <w:rPr>
          <w:noProof/>
        </w:rPr>
        <w:t xml:space="preserve"> i</w:t>
      </w:r>
      <w:r w:rsidR="008B35E8">
        <w:rPr>
          <w:noProof/>
        </w:rPr>
        <w:t> </w:t>
      </w:r>
      <w:r w:rsidR="008B35E8" w:rsidRPr="002866E5">
        <w:rPr>
          <w:noProof/>
        </w:rPr>
        <w:t>pod</w:t>
      </w:r>
      <w:r w:rsidR="00143CBD" w:rsidRPr="002866E5">
        <w:rPr>
          <w:noProof/>
        </w:rPr>
        <w:t xml:space="preserve"> warunkiem, że informacje są dostępne, podmioty gospodarcze przekazują tym organom następujące informacje: </w:t>
      </w:r>
    </w:p>
    <w:p w14:paraId="67ED87C2" w14:textId="4BB6E1D4" w:rsidR="00FF26E6" w:rsidRPr="002866E5" w:rsidRDefault="000340F9" w:rsidP="000340F9">
      <w:pPr>
        <w:pStyle w:val="Point1"/>
        <w:rPr>
          <w:noProof/>
        </w:rPr>
      </w:pPr>
      <w:r w:rsidRPr="000340F9">
        <w:rPr>
          <w:noProof/>
        </w:rPr>
        <w:t>a)</w:t>
      </w:r>
      <w:r w:rsidRPr="000340F9">
        <w:rPr>
          <w:noProof/>
        </w:rPr>
        <w:tab/>
      </w:r>
      <w:r w:rsidR="0097058B" w:rsidRPr="002866E5">
        <w:rPr>
          <w:noProof/>
        </w:rPr>
        <w:t>imię</w:t>
      </w:r>
      <w:r w:rsidR="008B35E8" w:rsidRPr="002866E5">
        <w:rPr>
          <w:noProof/>
        </w:rPr>
        <w:t xml:space="preserve"> i</w:t>
      </w:r>
      <w:r w:rsidR="008B35E8">
        <w:rPr>
          <w:noProof/>
        </w:rPr>
        <w:t> </w:t>
      </w:r>
      <w:r w:rsidR="008B35E8" w:rsidRPr="002866E5">
        <w:rPr>
          <w:noProof/>
        </w:rPr>
        <w:t>naz</w:t>
      </w:r>
      <w:r w:rsidR="0097058B" w:rsidRPr="002866E5">
        <w:rPr>
          <w:noProof/>
        </w:rPr>
        <w:t>wisko lub nazwę</w:t>
      </w:r>
      <w:r w:rsidR="008B35E8" w:rsidRPr="002866E5">
        <w:rPr>
          <w:noProof/>
        </w:rPr>
        <w:t xml:space="preserve"> i</w:t>
      </w:r>
      <w:r w:rsidR="008B35E8">
        <w:rPr>
          <w:noProof/>
        </w:rPr>
        <w:t> </w:t>
      </w:r>
      <w:r w:rsidR="008B35E8" w:rsidRPr="002866E5">
        <w:rPr>
          <w:noProof/>
        </w:rPr>
        <w:t>adr</w:t>
      </w:r>
      <w:r w:rsidR="0097058B" w:rsidRPr="002866E5">
        <w:rPr>
          <w:noProof/>
        </w:rPr>
        <w:t>es każdego podmiotu gospodarczego, który dostarczył im produkt</w:t>
      </w:r>
      <w:r w:rsidR="008B35E8" w:rsidRPr="002866E5">
        <w:rPr>
          <w:noProof/>
        </w:rPr>
        <w:t xml:space="preserve"> z</w:t>
      </w:r>
      <w:r w:rsidR="008B35E8">
        <w:rPr>
          <w:noProof/>
        </w:rPr>
        <w:t> </w:t>
      </w:r>
      <w:r w:rsidR="008B35E8" w:rsidRPr="002866E5">
        <w:rPr>
          <w:noProof/>
        </w:rPr>
        <w:t>ele</w:t>
      </w:r>
      <w:r w:rsidR="0097058B" w:rsidRPr="002866E5">
        <w:rPr>
          <w:noProof/>
        </w:rPr>
        <w:t xml:space="preserve">mentami cyfrowymi; </w:t>
      </w:r>
    </w:p>
    <w:p w14:paraId="67ED87C3" w14:textId="7E9055BC" w:rsidR="00143CBD" w:rsidRPr="002866E5" w:rsidRDefault="000340F9" w:rsidP="000340F9">
      <w:pPr>
        <w:pStyle w:val="Point1"/>
        <w:rPr>
          <w:noProof/>
        </w:rPr>
      </w:pPr>
      <w:r w:rsidRPr="000340F9">
        <w:rPr>
          <w:noProof/>
        </w:rPr>
        <w:t>b)</w:t>
      </w:r>
      <w:r w:rsidRPr="000340F9">
        <w:rPr>
          <w:noProof/>
        </w:rPr>
        <w:tab/>
      </w:r>
      <w:r w:rsidR="0097058B" w:rsidRPr="002866E5">
        <w:rPr>
          <w:noProof/>
        </w:rPr>
        <w:t>imię</w:t>
      </w:r>
      <w:r w:rsidR="008B35E8" w:rsidRPr="002866E5">
        <w:rPr>
          <w:noProof/>
        </w:rPr>
        <w:t xml:space="preserve"> i</w:t>
      </w:r>
      <w:r w:rsidR="008B35E8">
        <w:rPr>
          <w:noProof/>
        </w:rPr>
        <w:t> </w:t>
      </w:r>
      <w:r w:rsidR="008B35E8" w:rsidRPr="002866E5">
        <w:rPr>
          <w:noProof/>
        </w:rPr>
        <w:t>naz</w:t>
      </w:r>
      <w:r w:rsidR="0097058B" w:rsidRPr="002866E5">
        <w:rPr>
          <w:noProof/>
        </w:rPr>
        <w:t>wisko lub nazwę</w:t>
      </w:r>
      <w:r w:rsidR="008B35E8" w:rsidRPr="002866E5">
        <w:rPr>
          <w:noProof/>
        </w:rPr>
        <w:t xml:space="preserve"> i</w:t>
      </w:r>
      <w:r w:rsidR="008B35E8">
        <w:rPr>
          <w:noProof/>
        </w:rPr>
        <w:t> </w:t>
      </w:r>
      <w:r w:rsidR="008B35E8" w:rsidRPr="002866E5">
        <w:rPr>
          <w:noProof/>
        </w:rPr>
        <w:t>adr</w:t>
      </w:r>
      <w:r w:rsidR="0097058B" w:rsidRPr="002866E5">
        <w:rPr>
          <w:noProof/>
        </w:rPr>
        <w:t>es każdego podmiotu gospodarczego, któremu dostarczyły produkt</w:t>
      </w:r>
      <w:r w:rsidR="008B35E8" w:rsidRPr="002866E5">
        <w:rPr>
          <w:noProof/>
        </w:rPr>
        <w:t xml:space="preserve"> z</w:t>
      </w:r>
      <w:r w:rsidR="008B35E8">
        <w:rPr>
          <w:noProof/>
        </w:rPr>
        <w:t> </w:t>
      </w:r>
      <w:r w:rsidR="008B35E8" w:rsidRPr="002866E5">
        <w:rPr>
          <w:noProof/>
        </w:rPr>
        <w:t>ele</w:t>
      </w:r>
      <w:r w:rsidR="0097058B" w:rsidRPr="002866E5">
        <w:rPr>
          <w:noProof/>
        </w:rPr>
        <w:t>mentami cyfrowymi.</w:t>
      </w:r>
    </w:p>
    <w:p w14:paraId="67ED87C4" w14:textId="76E0CFB9" w:rsidR="009D059B" w:rsidRPr="002866E5" w:rsidRDefault="00B4087C" w:rsidP="00B4087C">
      <w:pPr>
        <w:pStyle w:val="ManualNumPar1"/>
        <w:rPr>
          <w:noProof/>
        </w:rPr>
      </w:pPr>
      <w:r w:rsidRPr="00B4087C">
        <w:t>2.</w:t>
      </w:r>
      <w:r w:rsidRPr="00B4087C">
        <w:tab/>
      </w:r>
      <w:r w:rsidR="00143CBD" w:rsidRPr="002866E5">
        <w:rPr>
          <w:noProof/>
        </w:rPr>
        <w:t>Podmioty gospodarcze muszą być</w:t>
      </w:r>
      <w:r w:rsidR="008B35E8" w:rsidRPr="002866E5">
        <w:rPr>
          <w:noProof/>
        </w:rPr>
        <w:t xml:space="preserve"> w</w:t>
      </w:r>
      <w:r w:rsidR="008B35E8">
        <w:rPr>
          <w:noProof/>
        </w:rPr>
        <w:t> </w:t>
      </w:r>
      <w:r w:rsidR="008B35E8" w:rsidRPr="002866E5">
        <w:rPr>
          <w:noProof/>
        </w:rPr>
        <w:t>sta</w:t>
      </w:r>
      <w:r w:rsidR="00143CBD" w:rsidRPr="002866E5">
        <w:rPr>
          <w:noProof/>
        </w:rPr>
        <w:t>nie przedstawić informacje,</w:t>
      </w:r>
      <w:r w:rsidR="008B35E8" w:rsidRPr="002866E5">
        <w:rPr>
          <w:noProof/>
        </w:rPr>
        <w:t xml:space="preserve"> o</w:t>
      </w:r>
      <w:r w:rsidR="008B35E8">
        <w:rPr>
          <w:noProof/>
        </w:rPr>
        <w:t> </w:t>
      </w:r>
      <w:r w:rsidR="008B35E8" w:rsidRPr="002866E5">
        <w:rPr>
          <w:noProof/>
        </w:rPr>
        <w:t>któ</w:t>
      </w:r>
      <w:r w:rsidR="00143CBD" w:rsidRPr="002866E5">
        <w:rPr>
          <w:noProof/>
        </w:rPr>
        <w:t>rych mowa</w:t>
      </w:r>
      <w:r w:rsidR="008B35E8" w:rsidRPr="002866E5">
        <w:rPr>
          <w:noProof/>
        </w:rPr>
        <w:t xml:space="preserve"> w</w:t>
      </w:r>
      <w:r w:rsidR="008B35E8">
        <w:rPr>
          <w:noProof/>
        </w:rPr>
        <w:t> </w:t>
      </w:r>
      <w:r w:rsidR="008B35E8" w:rsidRPr="008B35E8">
        <w:rPr>
          <w:noProof/>
        </w:rPr>
        <w:t>ust</w:t>
      </w:r>
      <w:r w:rsidR="00143CBD" w:rsidRPr="008B35E8">
        <w:rPr>
          <w:noProof/>
        </w:rPr>
        <w:t>.</w:t>
      </w:r>
      <w:r w:rsidR="008B35E8" w:rsidRPr="008B35E8">
        <w:rPr>
          <w:noProof/>
        </w:rPr>
        <w:t> </w:t>
      </w:r>
      <w:r w:rsidR="00143CBD" w:rsidRPr="008B35E8">
        <w:rPr>
          <w:noProof/>
        </w:rPr>
        <w:t>1</w:t>
      </w:r>
      <w:r w:rsidR="00143CBD" w:rsidRPr="002866E5">
        <w:rPr>
          <w:noProof/>
        </w:rPr>
        <w:t>, przez dziesięć lat od dostarczenia im produktu</w:t>
      </w:r>
      <w:r w:rsidR="008B35E8" w:rsidRPr="002866E5">
        <w:rPr>
          <w:noProof/>
        </w:rPr>
        <w:t xml:space="preserve"> z</w:t>
      </w:r>
      <w:r w:rsidR="008B35E8">
        <w:rPr>
          <w:noProof/>
        </w:rPr>
        <w:t> </w:t>
      </w:r>
      <w:r w:rsidR="008B35E8" w:rsidRPr="002866E5">
        <w:rPr>
          <w:noProof/>
        </w:rPr>
        <w:t>ele</w:t>
      </w:r>
      <w:r w:rsidR="00143CBD" w:rsidRPr="002866E5">
        <w:rPr>
          <w:noProof/>
        </w:rPr>
        <w:t>mentami cyfrowymi oraz przez dziesięć lat od dostarczenia przez nie produktu</w:t>
      </w:r>
      <w:r w:rsidR="008B35E8" w:rsidRPr="002866E5">
        <w:rPr>
          <w:noProof/>
        </w:rPr>
        <w:t xml:space="preserve"> z</w:t>
      </w:r>
      <w:r w:rsidR="008B35E8">
        <w:rPr>
          <w:noProof/>
        </w:rPr>
        <w:t> </w:t>
      </w:r>
      <w:r w:rsidR="008B35E8" w:rsidRPr="002866E5">
        <w:rPr>
          <w:noProof/>
        </w:rPr>
        <w:t>ele</w:t>
      </w:r>
      <w:r w:rsidR="00143CBD" w:rsidRPr="002866E5">
        <w:rPr>
          <w:noProof/>
        </w:rPr>
        <w:t>mentami cyfrowymi.</w:t>
      </w:r>
    </w:p>
    <w:p w14:paraId="67ED87C5" w14:textId="77777777" w:rsidR="00506447" w:rsidRPr="002866E5" w:rsidRDefault="00506447" w:rsidP="0027065F">
      <w:pPr>
        <w:pStyle w:val="Titrearticle0"/>
        <w:rPr>
          <w:noProof/>
        </w:rPr>
      </w:pPr>
      <w:r w:rsidRPr="002866E5">
        <w:rPr>
          <w:b/>
          <w:i w:val="0"/>
          <w:noProof/>
        </w:rPr>
        <w:t>ROZDZIAŁ III</w:t>
      </w:r>
    </w:p>
    <w:p w14:paraId="67ED87C6" w14:textId="0E5EFF48" w:rsidR="00506447" w:rsidRPr="002866E5" w:rsidRDefault="00506447" w:rsidP="002C0C4F">
      <w:pPr>
        <w:pStyle w:val="Titrearticled"/>
        <w:rPr>
          <w:b/>
          <w:i w:val="0"/>
          <w:caps/>
          <w:noProof/>
        </w:rPr>
      </w:pPr>
      <w:r w:rsidRPr="002866E5">
        <w:rPr>
          <w:b/>
          <w:i w:val="0"/>
          <w:caps/>
          <w:noProof/>
        </w:rPr>
        <w:t>Zgodność produktu</w:t>
      </w:r>
      <w:r w:rsidR="008B35E8" w:rsidRPr="002866E5">
        <w:rPr>
          <w:b/>
          <w:i w:val="0"/>
          <w:caps/>
          <w:noProof/>
        </w:rPr>
        <w:t xml:space="preserve"> z</w:t>
      </w:r>
      <w:r w:rsidR="008B35E8">
        <w:rPr>
          <w:b/>
          <w:i w:val="0"/>
          <w:caps/>
          <w:noProof/>
        </w:rPr>
        <w:t> </w:t>
      </w:r>
      <w:r w:rsidR="008B35E8" w:rsidRPr="002866E5">
        <w:rPr>
          <w:b/>
          <w:i w:val="0"/>
          <w:caps/>
          <w:noProof/>
        </w:rPr>
        <w:t>ele</w:t>
      </w:r>
      <w:r w:rsidRPr="002866E5">
        <w:rPr>
          <w:b/>
          <w:i w:val="0"/>
          <w:caps/>
          <w:noProof/>
        </w:rPr>
        <w:t xml:space="preserve">mentami cyfrowymi </w:t>
      </w:r>
    </w:p>
    <w:p w14:paraId="67ED87C7" w14:textId="0C2ABE29" w:rsidR="00506447" w:rsidRPr="002866E5" w:rsidRDefault="00506447" w:rsidP="0027065F">
      <w:pPr>
        <w:pStyle w:val="Titrearticle0"/>
        <w:rPr>
          <w:noProof/>
        </w:rPr>
      </w:pPr>
      <w:r w:rsidRPr="002866E5">
        <w:rPr>
          <w:noProof/>
        </w:rPr>
        <w:t>Artykuł 18</w:t>
      </w:r>
    </w:p>
    <w:p w14:paraId="67ED87C8" w14:textId="77777777" w:rsidR="00506447" w:rsidRPr="002866E5" w:rsidRDefault="001B311E" w:rsidP="00084E38">
      <w:pPr>
        <w:jc w:val="center"/>
        <w:rPr>
          <w:i/>
          <w:noProof/>
        </w:rPr>
      </w:pPr>
      <w:r w:rsidRPr="002866E5">
        <w:rPr>
          <w:i/>
          <w:noProof/>
        </w:rPr>
        <w:t xml:space="preserve">Domniemanie zgodności </w:t>
      </w:r>
    </w:p>
    <w:p w14:paraId="67ED87C9" w14:textId="43A0476C" w:rsidR="00B57845" w:rsidRPr="002866E5" w:rsidRDefault="00B4087C" w:rsidP="00B4087C">
      <w:pPr>
        <w:pStyle w:val="ManualNumPar1"/>
        <w:rPr>
          <w:noProof/>
        </w:rPr>
      </w:pPr>
      <w:r w:rsidRPr="00B4087C">
        <w:lastRenderedPageBreak/>
        <w:t>1.</w:t>
      </w:r>
      <w:r w:rsidRPr="00B4087C">
        <w:tab/>
      </w:r>
      <w:r w:rsidR="004528C3" w:rsidRPr="002866E5">
        <w:rPr>
          <w:noProof/>
        </w:rPr>
        <w:t>W przypadku produktów</w:t>
      </w:r>
      <w:r w:rsidR="008B35E8" w:rsidRPr="002866E5">
        <w:rPr>
          <w:noProof/>
        </w:rPr>
        <w:t xml:space="preserve"> z</w:t>
      </w:r>
      <w:r w:rsidR="008B35E8">
        <w:rPr>
          <w:noProof/>
        </w:rPr>
        <w:t> </w:t>
      </w:r>
      <w:r w:rsidR="008B35E8" w:rsidRPr="002866E5">
        <w:rPr>
          <w:noProof/>
        </w:rPr>
        <w:t>ele</w:t>
      </w:r>
      <w:r w:rsidR="004528C3" w:rsidRPr="002866E5">
        <w:rPr>
          <w:noProof/>
        </w:rPr>
        <w:t>mentami cyfrowymi</w:t>
      </w:r>
      <w:r w:rsidR="008B35E8" w:rsidRPr="002866E5">
        <w:rPr>
          <w:noProof/>
        </w:rPr>
        <w:t xml:space="preserve"> i</w:t>
      </w:r>
      <w:r w:rsidR="008B35E8">
        <w:rPr>
          <w:noProof/>
        </w:rPr>
        <w:t> </w:t>
      </w:r>
      <w:r w:rsidR="008B35E8" w:rsidRPr="002866E5">
        <w:rPr>
          <w:noProof/>
        </w:rPr>
        <w:t>pro</w:t>
      </w:r>
      <w:r w:rsidR="004528C3" w:rsidRPr="002866E5">
        <w:rPr>
          <w:noProof/>
        </w:rPr>
        <w:t>cedur wprowadzonych przez producenta spełniających normy zharmonizowane lub części norm zharmonizowanych, do których odniesienie opublikowano</w:t>
      </w:r>
      <w:r w:rsidR="008B35E8" w:rsidRPr="002866E5">
        <w:rPr>
          <w:noProof/>
        </w:rPr>
        <w:t xml:space="preserve"> w</w:t>
      </w:r>
      <w:r w:rsidR="008B35E8">
        <w:rPr>
          <w:noProof/>
        </w:rPr>
        <w:t> </w:t>
      </w:r>
      <w:r w:rsidR="008B35E8" w:rsidRPr="002866E5">
        <w:rPr>
          <w:i/>
          <w:noProof/>
        </w:rPr>
        <w:t>Dzi</w:t>
      </w:r>
      <w:r w:rsidR="004528C3" w:rsidRPr="002866E5">
        <w:rPr>
          <w:i/>
          <w:noProof/>
        </w:rPr>
        <w:t>enniku Urzędowym Unii Europejskiej</w:t>
      </w:r>
      <w:r w:rsidR="004528C3" w:rsidRPr="002866E5">
        <w:rPr>
          <w:noProof/>
        </w:rPr>
        <w:t>, zakłada się, że spełniają one zasadnicze wymogi objęte tymi normami lub ich częściami, określone</w:t>
      </w:r>
      <w:r w:rsidR="008B35E8" w:rsidRPr="002866E5">
        <w:rPr>
          <w:noProof/>
        </w:rPr>
        <w:t xml:space="preserve"> w</w:t>
      </w:r>
      <w:r w:rsidR="008B35E8">
        <w:rPr>
          <w:noProof/>
        </w:rPr>
        <w:t> </w:t>
      </w:r>
      <w:r w:rsidR="008B35E8" w:rsidRPr="002866E5">
        <w:rPr>
          <w:noProof/>
        </w:rPr>
        <w:t>zał</w:t>
      </w:r>
      <w:r w:rsidR="004528C3" w:rsidRPr="002866E5">
        <w:rPr>
          <w:noProof/>
        </w:rPr>
        <w:t>ączniku I.</w:t>
      </w:r>
    </w:p>
    <w:p w14:paraId="67ED87CA" w14:textId="3B018035" w:rsidR="00BE584A" w:rsidRPr="002866E5" w:rsidRDefault="00B4087C" w:rsidP="00B4087C">
      <w:pPr>
        <w:pStyle w:val="ManualNumPar1"/>
        <w:rPr>
          <w:noProof/>
        </w:rPr>
      </w:pPr>
      <w:r w:rsidRPr="00B4087C">
        <w:t>2.</w:t>
      </w:r>
      <w:r w:rsidRPr="00B4087C">
        <w:tab/>
      </w:r>
      <w:r w:rsidR="004528C3" w:rsidRPr="002866E5">
        <w:rPr>
          <w:noProof/>
        </w:rPr>
        <w:t>Produkty</w:t>
      </w:r>
      <w:r w:rsidR="008B35E8" w:rsidRPr="002866E5">
        <w:rPr>
          <w:noProof/>
        </w:rPr>
        <w:t xml:space="preserve"> z</w:t>
      </w:r>
      <w:r w:rsidR="008B35E8">
        <w:rPr>
          <w:noProof/>
        </w:rPr>
        <w:t> </w:t>
      </w:r>
      <w:r w:rsidR="008B35E8" w:rsidRPr="002866E5">
        <w:rPr>
          <w:noProof/>
        </w:rPr>
        <w:t>ele</w:t>
      </w:r>
      <w:r w:rsidR="004528C3" w:rsidRPr="002866E5">
        <w:rPr>
          <w:noProof/>
        </w:rPr>
        <w:t>mentami cyfrowymi</w:t>
      </w:r>
      <w:r w:rsidR="008B35E8" w:rsidRPr="002866E5">
        <w:rPr>
          <w:noProof/>
        </w:rPr>
        <w:t xml:space="preserve"> i</w:t>
      </w:r>
      <w:r w:rsidR="008B35E8">
        <w:rPr>
          <w:noProof/>
        </w:rPr>
        <w:t> </w:t>
      </w:r>
      <w:r w:rsidR="008B35E8" w:rsidRPr="002866E5">
        <w:rPr>
          <w:noProof/>
        </w:rPr>
        <w:t>pro</w:t>
      </w:r>
      <w:r w:rsidR="004528C3" w:rsidRPr="002866E5">
        <w:rPr>
          <w:noProof/>
        </w:rPr>
        <w:t>cedury wprowadzone przez producenta zgodne ze wspólnymi specyfikacjami,</w:t>
      </w:r>
      <w:r w:rsidR="008B35E8" w:rsidRPr="002866E5">
        <w:rPr>
          <w:noProof/>
        </w:rPr>
        <w:t xml:space="preserve"> o</w:t>
      </w:r>
      <w:r w:rsidR="008B35E8">
        <w:rPr>
          <w:noProof/>
        </w:rPr>
        <w:t> </w:t>
      </w:r>
      <w:r w:rsidR="008B35E8" w:rsidRPr="002866E5">
        <w:rPr>
          <w:noProof/>
        </w:rPr>
        <w:t>któ</w:t>
      </w:r>
      <w:r w:rsidR="004528C3" w:rsidRPr="002866E5">
        <w:rPr>
          <w:noProof/>
        </w:rPr>
        <w:t>rych mowa</w:t>
      </w:r>
      <w:r w:rsidR="008B35E8" w:rsidRPr="002866E5">
        <w:rPr>
          <w:noProof/>
        </w:rPr>
        <w:t xml:space="preserve"> w</w:t>
      </w:r>
      <w:r w:rsidR="008B35E8">
        <w:rPr>
          <w:noProof/>
        </w:rPr>
        <w:t> </w:t>
      </w:r>
      <w:r w:rsidR="008B35E8" w:rsidRPr="008B35E8">
        <w:rPr>
          <w:noProof/>
        </w:rPr>
        <w:t>art</w:t>
      </w:r>
      <w:r w:rsidR="004528C3" w:rsidRPr="008B35E8">
        <w:rPr>
          <w:noProof/>
        </w:rPr>
        <w:t>.</w:t>
      </w:r>
      <w:r w:rsidR="008B35E8" w:rsidRPr="008B35E8">
        <w:rPr>
          <w:noProof/>
        </w:rPr>
        <w:t> </w:t>
      </w:r>
      <w:r w:rsidR="004528C3" w:rsidRPr="008B35E8">
        <w:rPr>
          <w:noProof/>
        </w:rPr>
        <w:t>1</w:t>
      </w:r>
      <w:r w:rsidR="004528C3" w:rsidRPr="002866E5">
        <w:rPr>
          <w:noProof/>
        </w:rPr>
        <w:t>9, uznaje się za spełniające zasadnicze wymogi określone</w:t>
      </w:r>
      <w:r w:rsidR="008B35E8" w:rsidRPr="002866E5">
        <w:rPr>
          <w:noProof/>
        </w:rPr>
        <w:t xml:space="preserve"> w</w:t>
      </w:r>
      <w:r w:rsidR="008B35E8">
        <w:rPr>
          <w:noProof/>
        </w:rPr>
        <w:t> </w:t>
      </w:r>
      <w:r w:rsidR="008B35E8" w:rsidRPr="002866E5">
        <w:rPr>
          <w:noProof/>
        </w:rPr>
        <w:t>zał</w:t>
      </w:r>
      <w:r w:rsidR="004528C3" w:rsidRPr="002866E5">
        <w:rPr>
          <w:noProof/>
        </w:rPr>
        <w:t>ączniku I</w:t>
      </w:r>
      <w:r w:rsidR="008B35E8" w:rsidRPr="002866E5">
        <w:rPr>
          <w:noProof/>
        </w:rPr>
        <w:t xml:space="preserve"> w</w:t>
      </w:r>
      <w:r w:rsidR="008B35E8">
        <w:rPr>
          <w:noProof/>
        </w:rPr>
        <w:t> </w:t>
      </w:r>
      <w:r w:rsidR="008B35E8" w:rsidRPr="002866E5">
        <w:rPr>
          <w:noProof/>
        </w:rPr>
        <w:t>zak</w:t>
      </w:r>
      <w:r w:rsidR="004528C3" w:rsidRPr="002866E5">
        <w:rPr>
          <w:noProof/>
        </w:rPr>
        <w:t>resie,</w:t>
      </w:r>
      <w:r w:rsidR="008B35E8" w:rsidRPr="002866E5">
        <w:rPr>
          <w:noProof/>
        </w:rPr>
        <w:t xml:space="preserve"> w</w:t>
      </w:r>
      <w:r w:rsidR="008B35E8">
        <w:rPr>
          <w:noProof/>
        </w:rPr>
        <w:t> </w:t>
      </w:r>
      <w:r w:rsidR="008B35E8" w:rsidRPr="002866E5">
        <w:rPr>
          <w:noProof/>
        </w:rPr>
        <w:t>jak</w:t>
      </w:r>
      <w:r w:rsidR="004528C3" w:rsidRPr="002866E5">
        <w:rPr>
          <w:noProof/>
        </w:rPr>
        <w:t xml:space="preserve">im wspomniane wspólne specyfikacje obejmują te wymogi. </w:t>
      </w:r>
    </w:p>
    <w:p w14:paraId="67ED87CB" w14:textId="3934D5F9" w:rsidR="001B311E" w:rsidRPr="002866E5" w:rsidRDefault="00B4087C" w:rsidP="00B4087C">
      <w:pPr>
        <w:pStyle w:val="ManualNumPar1"/>
        <w:rPr>
          <w:noProof/>
        </w:rPr>
      </w:pPr>
      <w:r w:rsidRPr="00B4087C">
        <w:t>3.</w:t>
      </w:r>
      <w:r w:rsidRPr="00B4087C">
        <w:tab/>
      </w:r>
      <w:r w:rsidR="004528C3" w:rsidRPr="002866E5">
        <w:rPr>
          <w:noProof/>
        </w:rPr>
        <w:t>Zakłada się, że produkty</w:t>
      </w:r>
      <w:r w:rsidR="008B35E8" w:rsidRPr="002866E5">
        <w:rPr>
          <w:noProof/>
        </w:rPr>
        <w:t xml:space="preserve"> z</w:t>
      </w:r>
      <w:r w:rsidR="008B35E8">
        <w:rPr>
          <w:noProof/>
        </w:rPr>
        <w:t> </w:t>
      </w:r>
      <w:r w:rsidR="008B35E8" w:rsidRPr="002866E5">
        <w:rPr>
          <w:noProof/>
        </w:rPr>
        <w:t>ele</w:t>
      </w:r>
      <w:r w:rsidR="004528C3" w:rsidRPr="002866E5">
        <w:rPr>
          <w:noProof/>
        </w:rPr>
        <w:t>mentami cyfrowymi</w:t>
      </w:r>
      <w:r w:rsidR="008B35E8" w:rsidRPr="002866E5">
        <w:rPr>
          <w:noProof/>
        </w:rPr>
        <w:t xml:space="preserve"> i</w:t>
      </w:r>
      <w:r w:rsidR="008B35E8">
        <w:rPr>
          <w:noProof/>
        </w:rPr>
        <w:t> </w:t>
      </w:r>
      <w:r w:rsidR="008B35E8" w:rsidRPr="002866E5">
        <w:rPr>
          <w:noProof/>
        </w:rPr>
        <w:t>pro</w:t>
      </w:r>
      <w:r w:rsidR="004528C3" w:rsidRPr="002866E5">
        <w:rPr>
          <w:noProof/>
        </w:rPr>
        <w:t>cedury wprowadzone przez producenta,</w:t>
      </w:r>
      <w:r w:rsidR="008B35E8" w:rsidRPr="002866E5">
        <w:rPr>
          <w:noProof/>
        </w:rPr>
        <w:t xml:space="preserve"> w</w:t>
      </w:r>
      <w:r w:rsidR="008B35E8">
        <w:rPr>
          <w:noProof/>
        </w:rPr>
        <w:t> </w:t>
      </w:r>
      <w:r w:rsidR="008B35E8" w:rsidRPr="002866E5">
        <w:rPr>
          <w:noProof/>
        </w:rPr>
        <w:t>odn</w:t>
      </w:r>
      <w:r w:rsidR="004528C3" w:rsidRPr="002866E5">
        <w:rPr>
          <w:noProof/>
        </w:rPr>
        <w:t>iesieniu do których wydano unijną deklarację zgodności lub certyfikat</w:t>
      </w:r>
      <w:r w:rsidR="008B35E8" w:rsidRPr="002866E5">
        <w:rPr>
          <w:noProof/>
        </w:rPr>
        <w:t xml:space="preserve"> w</w:t>
      </w:r>
      <w:r w:rsidR="008B35E8">
        <w:rPr>
          <w:noProof/>
        </w:rPr>
        <w:t> </w:t>
      </w:r>
      <w:r w:rsidR="008B35E8" w:rsidRPr="002866E5">
        <w:rPr>
          <w:noProof/>
        </w:rPr>
        <w:t>ram</w:t>
      </w:r>
      <w:r w:rsidR="004528C3" w:rsidRPr="002866E5">
        <w:rPr>
          <w:noProof/>
        </w:rPr>
        <w:t>ach europejskiego programu certyfikacji cyberbezpieczeństwa przyjętego zgodnie</w:t>
      </w:r>
      <w:r w:rsidR="008B35E8" w:rsidRPr="002866E5">
        <w:rPr>
          <w:noProof/>
        </w:rPr>
        <w:t xml:space="preserve"> z</w:t>
      </w:r>
      <w:r w:rsidR="008B35E8">
        <w:rPr>
          <w:noProof/>
        </w:rPr>
        <w:t> </w:t>
      </w:r>
      <w:r w:rsidR="008B35E8" w:rsidRPr="002866E5">
        <w:rPr>
          <w:noProof/>
        </w:rPr>
        <w:t>roz</w:t>
      </w:r>
      <w:r w:rsidR="004528C3" w:rsidRPr="002866E5">
        <w:rPr>
          <w:noProof/>
        </w:rPr>
        <w:t>porządzeniem (UE) 2019/881</w:t>
      </w:r>
      <w:r w:rsidR="008B35E8" w:rsidRPr="002866E5">
        <w:rPr>
          <w:noProof/>
        </w:rPr>
        <w:t xml:space="preserve"> i</w:t>
      </w:r>
      <w:r w:rsidR="008B35E8">
        <w:rPr>
          <w:noProof/>
        </w:rPr>
        <w:t> </w:t>
      </w:r>
      <w:r w:rsidR="008B35E8" w:rsidRPr="002866E5">
        <w:rPr>
          <w:noProof/>
        </w:rPr>
        <w:t>okr</w:t>
      </w:r>
      <w:r w:rsidR="004528C3" w:rsidRPr="002866E5">
        <w:rPr>
          <w:noProof/>
        </w:rPr>
        <w:t>eślonego zgodnie</w:t>
      </w:r>
      <w:r w:rsidR="008B35E8" w:rsidRPr="002866E5">
        <w:rPr>
          <w:noProof/>
        </w:rPr>
        <w:t xml:space="preserve"> z</w:t>
      </w:r>
      <w:r w:rsidR="008B35E8">
        <w:rPr>
          <w:noProof/>
        </w:rPr>
        <w:t> </w:t>
      </w:r>
      <w:r w:rsidR="008B35E8" w:rsidRPr="008B35E8">
        <w:rPr>
          <w:noProof/>
        </w:rPr>
        <w:t>ust</w:t>
      </w:r>
      <w:r w:rsidR="004528C3" w:rsidRPr="008B35E8">
        <w:rPr>
          <w:noProof/>
        </w:rPr>
        <w:t>.</w:t>
      </w:r>
      <w:r w:rsidR="008B35E8" w:rsidRPr="008B35E8">
        <w:rPr>
          <w:noProof/>
        </w:rPr>
        <w:t> </w:t>
      </w:r>
      <w:r w:rsidR="004528C3" w:rsidRPr="008B35E8">
        <w:rPr>
          <w:noProof/>
        </w:rPr>
        <w:t>4</w:t>
      </w:r>
      <w:r w:rsidR="004528C3" w:rsidRPr="002866E5">
        <w:rPr>
          <w:noProof/>
        </w:rPr>
        <w:t>, są zgodne</w:t>
      </w:r>
      <w:r w:rsidR="008B35E8" w:rsidRPr="002866E5">
        <w:rPr>
          <w:noProof/>
        </w:rPr>
        <w:t xml:space="preserve"> z</w:t>
      </w:r>
      <w:r w:rsidR="008B35E8">
        <w:rPr>
          <w:noProof/>
        </w:rPr>
        <w:t> </w:t>
      </w:r>
      <w:r w:rsidR="008B35E8" w:rsidRPr="002866E5">
        <w:rPr>
          <w:noProof/>
        </w:rPr>
        <w:t>zas</w:t>
      </w:r>
      <w:r w:rsidR="004528C3" w:rsidRPr="002866E5">
        <w:rPr>
          <w:noProof/>
        </w:rPr>
        <w:t>adniczymi wymogami określonymi</w:t>
      </w:r>
      <w:r w:rsidR="008B35E8" w:rsidRPr="002866E5">
        <w:rPr>
          <w:noProof/>
        </w:rPr>
        <w:t xml:space="preserve"> w</w:t>
      </w:r>
      <w:r w:rsidR="008B35E8">
        <w:rPr>
          <w:noProof/>
        </w:rPr>
        <w:t> </w:t>
      </w:r>
      <w:r w:rsidR="008B35E8" w:rsidRPr="002866E5">
        <w:rPr>
          <w:noProof/>
        </w:rPr>
        <w:t>zał</w:t>
      </w:r>
      <w:r w:rsidR="004528C3" w:rsidRPr="002866E5">
        <w:rPr>
          <w:noProof/>
        </w:rPr>
        <w:t>ączniku I</w:t>
      </w:r>
      <w:r w:rsidR="008B35E8" w:rsidRPr="002866E5">
        <w:rPr>
          <w:noProof/>
        </w:rPr>
        <w:t xml:space="preserve"> w</w:t>
      </w:r>
      <w:r w:rsidR="008B35E8">
        <w:rPr>
          <w:noProof/>
        </w:rPr>
        <w:t> </w:t>
      </w:r>
      <w:r w:rsidR="008B35E8" w:rsidRPr="002866E5">
        <w:rPr>
          <w:noProof/>
        </w:rPr>
        <w:t>zak</w:t>
      </w:r>
      <w:r w:rsidR="004528C3" w:rsidRPr="002866E5">
        <w:rPr>
          <w:noProof/>
        </w:rPr>
        <w:t>resie,</w:t>
      </w:r>
      <w:r w:rsidR="008B35E8" w:rsidRPr="002866E5">
        <w:rPr>
          <w:noProof/>
        </w:rPr>
        <w:t xml:space="preserve"> w</w:t>
      </w:r>
      <w:r w:rsidR="008B35E8">
        <w:rPr>
          <w:noProof/>
        </w:rPr>
        <w:t> </w:t>
      </w:r>
      <w:r w:rsidR="008B35E8" w:rsidRPr="002866E5">
        <w:rPr>
          <w:noProof/>
        </w:rPr>
        <w:t>jak</w:t>
      </w:r>
      <w:r w:rsidR="004528C3" w:rsidRPr="002866E5">
        <w:rPr>
          <w:noProof/>
        </w:rPr>
        <w:t xml:space="preserve">im unijna deklaracja zgodności lub certyfikat cyberbezpieczeństwa, lub ich części, obejmują te wymogi. </w:t>
      </w:r>
    </w:p>
    <w:p w14:paraId="67ED87CC" w14:textId="7A20038B" w:rsidR="004931A9" w:rsidRPr="002866E5" w:rsidRDefault="00B4087C" w:rsidP="00B4087C">
      <w:pPr>
        <w:pStyle w:val="ManualNumPar1"/>
        <w:rPr>
          <w:noProof/>
        </w:rPr>
      </w:pPr>
      <w:r w:rsidRPr="00B4087C">
        <w:t>4.</w:t>
      </w:r>
      <w:r w:rsidRPr="00B4087C">
        <w:tab/>
      </w:r>
      <w:r w:rsidR="00D336E5" w:rsidRPr="002866E5">
        <w:rPr>
          <w:noProof/>
        </w:rPr>
        <w:t>Komisja jest uprawniona do określenia,</w:t>
      </w:r>
      <w:r w:rsidR="008B35E8" w:rsidRPr="002866E5">
        <w:rPr>
          <w:noProof/>
        </w:rPr>
        <w:t xml:space="preserve"> w</w:t>
      </w:r>
      <w:r w:rsidR="008B35E8">
        <w:rPr>
          <w:noProof/>
        </w:rPr>
        <w:t> </w:t>
      </w:r>
      <w:r w:rsidR="008B35E8" w:rsidRPr="002866E5">
        <w:rPr>
          <w:noProof/>
        </w:rPr>
        <w:t>dro</w:t>
      </w:r>
      <w:r w:rsidR="00D336E5" w:rsidRPr="002866E5">
        <w:rPr>
          <w:noProof/>
        </w:rPr>
        <w:t>dze aktów wykonawczych, europejskich programów certyfikacji cyberbezpieczeństwa przyjętych na podstawie rozporządzenia (UE) 2019/881, które mogą być stosowane do wykazania zgodności</w:t>
      </w:r>
      <w:r w:rsidR="008B35E8" w:rsidRPr="002866E5">
        <w:rPr>
          <w:noProof/>
        </w:rPr>
        <w:t xml:space="preserve"> z</w:t>
      </w:r>
      <w:r w:rsidR="008B35E8">
        <w:rPr>
          <w:noProof/>
        </w:rPr>
        <w:t> </w:t>
      </w:r>
      <w:r w:rsidR="008B35E8" w:rsidRPr="002866E5">
        <w:rPr>
          <w:noProof/>
        </w:rPr>
        <w:t>zas</w:t>
      </w:r>
      <w:r w:rsidR="00D336E5" w:rsidRPr="002866E5">
        <w:rPr>
          <w:noProof/>
        </w:rPr>
        <w:t>adniczymi wymogami lub ich częściami określonymi</w:t>
      </w:r>
      <w:r w:rsidR="008B35E8" w:rsidRPr="002866E5">
        <w:rPr>
          <w:noProof/>
        </w:rPr>
        <w:t xml:space="preserve"> w</w:t>
      </w:r>
      <w:r w:rsidR="008B35E8">
        <w:rPr>
          <w:noProof/>
        </w:rPr>
        <w:t> </w:t>
      </w:r>
      <w:r w:rsidR="008B35E8" w:rsidRPr="002866E5">
        <w:rPr>
          <w:noProof/>
        </w:rPr>
        <w:t>zał</w:t>
      </w:r>
      <w:r w:rsidR="00D336E5" w:rsidRPr="002866E5">
        <w:rPr>
          <w:noProof/>
        </w:rPr>
        <w:t>ączniku I. Ponadto,</w:t>
      </w:r>
      <w:r w:rsidR="008B35E8" w:rsidRPr="002866E5">
        <w:rPr>
          <w:noProof/>
        </w:rPr>
        <w:t xml:space="preserve"> w</w:t>
      </w:r>
      <w:r w:rsidR="008B35E8">
        <w:rPr>
          <w:noProof/>
        </w:rPr>
        <w:t> </w:t>
      </w:r>
      <w:r w:rsidR="008B35E8" w:rsidRPr="002866E5">
        <w:rPr>
          <w:noProof/>
        </w:rPr>
        <w:t>sto</w:t>
      </w:r>
      <w:r w:rsidR="00D336E5" w:rsidRPr="002866E5">
        <w:rPr>
          <w:noProof/>
        </w:rPr>
        <w:t>sownych przypadkach, Komisja określa, czy certyfikat cyberbezpieczeństwa wydany</w:t>
      </w:r>
      <w:r w:rsidR="008B35E8" w:rsidRPr="002866E5">
        <w:rPr>
          <w:noProof/>
        </w:rPr>
        <w:t xml:space="preserve"> w</w:t>
      </w:r>
      <w:r w:rsidR="008B35E8">
        <w:rPr>
          <w:noProof/>
        </w:rPr>
        <w:t> </w:t>
      </w:r>
      <w:r w:rsidR="008B35E8" w:rsidRPr="002866E5">
        <w:rPr>
          <w:noProof/>
        </w:rPr>
        <w:t>ram</w:t>
      </w:r>
      <w:r w:rsidR="00D336E5" w:rsidRPr="002866E5">
        <w:rPr>
          <w:noProof/>
        </w:rPr>
        <w:t>ach takich programów zwalnia producenta</w:t>
      </w:r>
      <w:r w:rsidR="008B35E8" w:rsidRPr="002866E5">
        <w:rPr>
          <w:noProof/>
        </w:rPr>
        <w:t xml:space="preserve"> z</w:t>
      </w:r>
      <w:r w:rsidR="008B35E8">
        <w:rPr>
          <w:noProof/>
        </w:rPr>
        <w:t> </w:t>
      </w:r>
      <w:r w:rsidR="008B35E8" w:rsidRPr="002866E5">
        <w:rPr>
          <w:noProof/>
        </w:rPr>
        <w:t>obo</w:t>
      </w:r>
      <w:r w:rsidR="00D336E5" w:rsidRPr="002866E5">
        <w:rPr>
          <w:noProof/>
        </w:rPr>
        <w:t>wiązku przeprowadzenia oceny zgodności przez stronę trzecią</w:t>
      </w:r>
      <w:r w:rsidR="008B35E8" w:rsidRPr="002866E5">
        <w:rPr>
          <w:noProof/>
        </w:rPr>
        <w:t xml:space="preserve"> w</w:t>
      </w:r>
      <w:r w:rsidR="008B35E8">
        <w:rPr>
          <w:noProof/>
        </w:rPr>
        <w:t> </w:t>
      </w:r>
      <w:r w:rsidR="008B35E8" w:rsidRPr="002866E5">
        <w:rPr>
          <w:noProof/>
        </w:rPr>
        <w:t>odn</w:t>
      </w:r>
      <w:r w:rsidR="00D336E5" w:rsidRPr="002866E5">
        <w:rPr>
          <w:noProof/>
        </w:rPr>
        <w:t>iesieniu do odpowiednich wymogów, jak określono</w:t>
      </w:r>
      <w:r w:rsidR="008B35E8" w:rsidRPr="002866E5">
        <w:rPr>
          <w:noProof/>
        </w:rPr>
        <w:t xml:space="preserve"> w</w:t>
      </w:r>
      <w:r w:rsidR="008B35E8">
        <w:rPr>
          <w:noProof/>
        </w:rPr>
        <w:t> </w:t>
      </w:r>
      <w:r w:rsidR="008B35E8" w:rsidRPr="008B35E8">
        <w:rPr>
          <w:noProof/>
        </w:rPr>
        <w:t>art</w:t>
      </w:r>
      <w:r w:rsidR="00D336E5" w:rsidRPr="008B35E8">
        <w:rPr>
          <w:noProof/>
        </w:rPr>
        <w:t>.</w:t>
      </w:r>
      <w:r w:rsidR="008B35E8" w:rsidRPr="008B35E8">
        <w:rPr>
          <w:noProof/>
        </w:rPr>
        <w:t> </w:t>
      </w:r>
      <w:r w:rsidR="00D336E5" w:rsidRPr="008B35E8">
        <w:rPr>
          <w:noProof/>
        </w:rPr>
        <w:t>2</w:t>
      </w:r>
      <w:r w:rsidR="00D336E5" w:rsidRPr="002866E5">
        <w:rPr>
          <w:noProof/>
        </w:rPr>
        <w:t xml:space="preserve">4 </w:t>
      </w:r>
      <w:r w:rsidR="00D336E5" w:rsidRPr="008B35E8">
        <w:rPr>
          <w:noProof/>
        </w:rPr>
        <w:t>ust.</w:t>
      </w:r>
      <w:r w:rsidR="008B35E8" w:rsidRPr="008B35E8">
        <w:rPr>
          <w:noProof/>
        </w:rPr>
        <w:t> </w:t>
      </w:r>
      <w:r w:rsidR="00D336E5" w:rsidRPr="008B35E8">
        <w:rPr>
          <w:noProof/>
        </w:rPr>
        <w:t>2</w:t>
      </w:r>
      <w:r w:rsidR="00D336E5" w:rsidRPr="002866E5">
        <w:rPr>
          <w:noProof/>
        </w:rPr>
        <w:t xml:space="preserve"> </w:t>
      </w:r>
      <w:r w:rsidR="00D336E5" w:rsidRPr="008B35E8">
        <w:rPr>
          <w:noProof/>
        </w:rPr>
        <w:t>lit.</w:t>
      </w:r>
      <w:r w:rsidR="008B35E8" w:rsidRPr="008B35E8">
        <w:rPr>
          <w:noProof/>
        </w:rPr>
        <w:t> </w:t>
      </w:r>
      <w:r w:rsidR="00D336E5" w:rsidRPr="008B35E8">
        <w:rPr>
          <w:noProof/>
        </w:rPr>
        <w:t>a)</w:t>
      </w:r>
      <w:r w:rsidR="00D336E5" w:rsidRPr="002866E5">
        <w:rPr>
          <w:noProof/>
        </w:rPr>
        <w:t xml:space="preserve"> i b) oraz</w:t>
      </w:r>
      <w:r w:rsidR="008B35E8" w:rsidRPr="002866E5">
        <w:rPr>
          <w:noProof/>
        </w:rPr>
        <w:t xml:space="preserve"> w</w:t>
      </w:r>
      <w:r w:rsidR="008B35E8">
        <w:rPr>
          <w:noProof/>
        </w:rPr>
        <w:t> </w:t>
      </w:r>
      <w:r w:rsidR="008B35E8" w:rsidRPr="008B35E8">
        <w:rPr>
          <w:noProof/>
        </w:rPr>
        <w:t>art</w:t>
      </w:r>
      <w:r w:rsidR="00D336E5" w:rsidRPr="008B35E8">
        <w:rPr>
          <w:noProof/>
        </w:rPr>
        <w:t>.</w:t>
      </w:r>
      <w:r w:rsidR="008B35E8" w:rsidRPr="008B35E8">
        <w:rPr>
          <w:noProof/>
        </w:rPr>
        <w:t> </w:t>
      </w:r>
      <w:r w:rsidR="00D336E5" w:rsidRPr="008B35E8">
        <w:rPr>
          <w:noProof/>
        </w:rPr>
        <w:t>2</w:t>
      </w:r>
      <w:r w:rsidR="00D336E5" w:rsidRPr="002866E5">
        <w:rPr>
          <w:noProof/>
        </w:rPr>
        <w:t xml:space="preserve">4 </w:t>
      </w:r>
      <w:r w:rsidR="00D336E5" w:rsidRPr="008B35E8">
        <w:rPr>
          <w:noProof/>
        </w:rPr>
        <w:t>ust.</w:t>
      </w:r>
      <w:r w:rsidR="008B35E8" w:rsidRPr="008B35E8">
        <w:rPr>
          <w:noProof/>
        </w:rPr>
        <w:t> </w:t>
      </w:r>
      <w:r w:rsidR="00D336E5" w:rsidRPr="008B35E8">
        <w:rPr>
          <w:noProof/>
        </w:rPr>
        <w:t>3</w:t>
      </w:r>
      <w:r w:rsidR="00D336E5" w:rsidRPr="002866E5">
        <w:rPr>
          <w:noProof/>
        </w:rPr>
        <w:t xml:space="preserve"> </w:t>
      </w:r>
      <w:r w:rsidR="00D336E5" w:rsidRPr="008B35E8">
        <w:rPr>
          <w:noProof/>
        </w:rPr>
        <w:t>lit.</w:t>
      </w:r>
      <w:r w:rsidR="008B35E8" w:rsidRPr="008B35E8">
        <w:rPr>
          <w:noProof/>
        </w:rPr>
        <w:t> </w:t>
      </w:r>
      <w:r w:rsidR="00D336E5" w:rsidRPr="008B35E8">
        <w:rPr>
          <w:noProof/>
        </w:rPr>
        <w:t>a)</w:t>
      </w:r>
      <w:r w:rsidR="00D336E5" w:rsidRPr="002866E5">
        <w:rPr>
          <w:noProof/>
        </w:rPr>
        <w:t xml:space="preserve"> i b). Te akty wykonawcze przyjmuje się zgodnie</w:t>
      </w:r>
      <w:r w:rsidR="008B35E8" w:rsidRPr="002866E5">
        <w:rPr>
          <w:noProof/>
        </w:rPr>
        <w:t xml:space="preserve"> z</w:t>
      </w:r>
      <w:r w:rsidR="008B35E8">
        <w:rPr>
          <w:noProof/>
        </w:rPr>
        <w:t> </w:t>
      </w:r>
      <w:r w:rsidR="008B35E8" w:rsidRPr="002866E5">
        <w:rPr>
          <w:noProof/>
        </w:rPr>
        <w:t>pro</w:t>
      </w:r>
      <w:r w:rsidR="00D336E5" w:rsidRPr="002866E5">
        <w:rPr>
          <w:noProof/>
        </w:rPr>
        <w:t>cedurą sprawdzającą,</w:t>
      </w:r>
      <w:r w:rsidR="008B35E8" w:rsidRPr="002866E5">
        <w:rPr>
          <w:noProof/>
        </w:rPr>
        <w:t xml:space="preserve"> o</w:t>
      </w:r>
      <w:r w:rsidR="008B35E8">
        <w:rPr>
          <w:noProof/>
        </w:rPr>
        <w:t> </w:t>
      </w:r>
      <w:r w:rsidR="008B35E8" w:rsidRPr="002866E5">
        <w:rPr>
          <w:noProof/>
        </w:rPr>
        <w:t>któ</w:t>
      </w:r>
      <w:r w:rsidR="00D336E5" w:rsidRPr="002866E5">
        <w:rPr>
          <w:noProof/>
        </w:rPr>
        <w:t>rej mowa</w:t>
      </w:r>
      <w:r w:rsidR="008B35E8" w:rsidRPr="002866E5">
        <w:rPr>
          <w:noProof/>
        </w:rPr>
        <w:t xml:space="preserve"> w</w:t>
      </w:r>
      <w:r w:rsidR="008B35E8">
        <w:rPr>
          <w:noProof/>
        </w:rPr>
        <w:t> </w:t>
      </w:r>
      <w:r w:rsidR="008B35E8" w:rsidRPr="008B35E8">
        <w:rPr>
          <w:noProof/>
        </w:rPr>
        <w:t>art</w:t>
      </w:r>
      <w:r w:rsidR="00D336E5" w:rsidRPr="008B35E8">
        <w:rPr>
          <w:noProof/>
        </w:rPr>
        <w:t>.</w:t>
      </w:r>
      <w:r w:rsidR="008B35E8" w:rsidRPr="008B35E8">
        <w:rPr>
          <w:noProof/>
        </w:rPr>
        <w:t> </w:t>
      </w:r>
      <w:r w:rsidR="00D336E5" w:rsidRPr="008B35E8">
        <w:rPr>
          <w:noProof/>
        </w:rPr>
        <w:t>5</w:t>
      </w:r>
      <w:r w:rsidR="00D336E5" w:rsidRPr="002866E5">
        <w:rPr>
          <w:noProof/>
        </w:rPr>
        <w:t xml:space="preserve">1 </w:t>
      </w:r>
      <w:r w:rsidR="00D336E5" w:rsidRPr="008B35E8">
        <w:rPr>
          <w:noProof/>
        </w:rPr>
        <w:t>ust.</w:t>
      </w:r>
      <w:r w:rsidR="008B35E8" w:rsidRPr="008B35E8">
        <w:rPr>
          <w:noProof/>
        </w:rPr>
        <w:t> </w:t>
      </w:r>
      <w:r w:rsidR="00D336E5" w:rsidRPr="008B35E8">
        <w:rPr>
          <w:noProof/>
        </w:rPr>
        <w:t>2</w:t>
      </w:r>
      <w:r w:rsidR="00D336E5" w:rsidRPr="002866E5">
        <w:rPr>
          <w:noProof/>
        </w:rPr>
        <w:t>.</w:t>
      </w:r>
    </w:p>
    <w:p w14:paraId="67ED87CD" w14:textId="190F27E2" w:rsidR="00506447" w:rsidRPr="002866E5" w:rsidRDefault="00506447" w:rsidP="0027065F">
      <w:pPr>
        <w:pStyle w:val="Titrearticle0"/>
        <w:rPr>
          <w:noProof/>
        </w:rPr>
      </w:pPr>
      <w:r w:rsidRPr="002866E5">
        <w:rPr>
          <w:noProof/>
        </w:rPr>
        <w:t>Artykuł 19</w:t>
      </w:r>
    </w:p>
    <w:p w14:paraId="67ED87CE" w14:textId="77777777" w:rsidR="00506447" w:rsidRPr="002866E5" w:rsidRDefault="00506447" w:rsidP="00084E38">
      <w:pPr>
        <w:jc w:val="center"/>
        <w:rPr>
          <w:i/>
          <w:noProof/>
        </w:rPr>
      </w:pPr>
      <w:r w:rsidRPr="002866E5">
        <w:rPr>
          <w:i/>
          <w:noProof/>
        </w:rPr>
        <w:t>Wspólne specyfikacje</w:t>
      </w:r>
    </w:p>
    <w:p w14:paraId="67ED87CF" w14:textId="44F1EF81" w:rsidR="00FB5C24" w:rsidRPr="002866E5" w:rsidRDefault="00FB5C24" w:rsidP="000A6E88">
      <w:pPr>
        <w:pStyle w:val="Text1"/>
        <w:ind w:left="0"/>
        <w:rPr>
          <w:noProof/>
        </w:rPr>
      </w:pPr>
      <w:r w:rsidRPr="002866E5">
        <w:rPr>
          <w:noProof/>
        </w:rPr>
        <w:t>Jeżeli normy zharmonizowane,</w:t>
      </w:r>
      <w:r w:rsidR="008B35E8" w:rsidRPr="002866E5">
        <w:rPr>
          <w:noProof/>
        </w:rPr>
        <w:t xml:space="preserve"> o</w:t>
      </w:r>
      <w:r w:rsidR="008B35E8">
        <w:rPr>
          <w:noProof/>
        </w:rPr>
        <w:t> </w:t>
      </w:r>
      <w:r w:rsidR="008B35E8" w:rsidRPr="002866E5">
        <w:rPr>
          <w:noProof/>
        </w:rPr>
        <w:t>któ</w:t>
      </w:r>
      <w:r w:rsidRPr="002866E5">
        <w:rPr>
          <w:noProof/>
        </w:rPr>
        <w:t>rych mowa</w:t>
      </w:r>
      <w:r w:rsidR="008B35E8" w:rsidRPr="002866E5">
        <w:rPr>
          <w:noProof/>
        </w:rPr>
        <w:t xml:space="preserve"> w</w:t>
      </w:r>
      <w:r w:rsidR="008B35E8">
        <w:rPr>
          <w:noProof/>
        </w:rPr>
        <w:t> </w:t>
      </w:r>
      <w:r w:rsidR="008B35E8" w:rsidRPr="008B35E8">
        <w:rPr>
          <w:noProof/>
        </w:rPr>
        <w:t>art</w:t>
      </w:r>
      <w:r w:rsidRPr="008B35E8">
        <w:rPr>
          <w:noProof/>
        </w:rPr>
        <w:t>.</w:t>
      </w:r>
      <w:r w:rsidR="008B35E8" w:rsidRPr="008B35E8">
        <w:rPr>
          <w:noProof/>
        </w:rPr>
        <w:t> </w:t>
      </w:r>
      <w:r w:rsidRPr="008B35E8">
        <w:rPr>
          <w:noProof/>
        </w:rPr>
        <w:t>1</w:t>
      </w:r>
      <w:r w:rsidRPr="002866E5">
        <w:rPr>
          <w:noProof/>
        </w:rPr>
        <w:t>8, nie istnieją lub jeżeli Komisja uzna, że odpowiednie normy zharmonizowane są niewystarczające do spełnienia wymogów niniejszego rozporządzenia lub zastosowania się do wniosku Komisji</w:t>
      </w:r>
      <w:r w:rsidR="008B35E8" w:rsidRPr="002866E5">
        <w:rPr>
          <w:noProof/>
        </w:rPr>
        <w:t xml:space="preserve"> o</w:t>
      </w:r>
      <w:r w:rsidR="008B35E8">
        <w:rPr>
          <w:noProof/>
        </w:rPr>
        <w:t> </w:t>
      </w:r>
      <w:r w:rsidR="008B35E8" w:rsidRPr="002866E5">
        <w:rPr>
          <w:noProof/>
        </w:rPr>
        <w:t>nor</w:t>
      </w:r>
      <w:r w:rsidRPr="002866E5">
        <w:rPr>
          <w:noProof/>
        </w:rPr>
        <w:t>malizację lub jeżeli występują nieuzasadnione opóźnienia</w:t>
      </w:r>
      <w:r w:rsidR="008B35E8" w:rsidRPr="002866E5">
        <w:rPr>
          <w:noProof/>
        </w:rPr>
        <w:t xml:space="preserve"> w</w:t>
      </w:r>
      <w:r w:rsidR="008B35E8">
        <w:rPr>
          <w:noProof/>
        </w:rPr>
        <w:t> </w:t>
      </w:r>
      <w:r w:rsidR="008B35E8" w:rsidRPr="002866E5">
        <w:rPr>
          <w:noProof/>
        </w:rPr>
        <w:t>pro</w:t>
      </w:r>
      <w:r w:rsidRPr="002866E5">
        <w:rPr>
          <w:noProof/>
        </w:rPr>
        <w:t>cedurze normalizacji, lub jeżeli wniosek Komisji</w:t>
      </w:r>
      <w:r w:rsidR="008B35E8" w:rsidRPr="002866E5">
        <w:rPr>
          <w:noProof/>
        </w:rPr>
        <w:t xml:space="preserve"> w</w:t>
      </w:r>
      <w:r w:rsidR="008B35E8">
        <w:rPr>
          <w:noProof/>
        </w:rPr>
        <w:t> </w:t>
      </w:r>
      <w:r w:rsidR="008B35E8" w:rsidRPr="002866E5">
        <w:rPr>
          <w:noProof/>
        </w:rPr>
        <w:t>spr</w:t>
      </w:r>
      <w:r w:rsidRPr="002866E5">
        <w:rPr>
          <w:noProof/>
        </w:rPr>
        <w:t>awie norm zharmonizowanych nie zostanie zaakceptowany przez europejskie organizacje normalizacyjne, Komisja jest uprawniona do przyjmowania –</w:t>
      </w:r>
      <w:r w:rsidR="008B35E8" w:rsidRPr="002866E5">
        <w:rPr>
          <w:noProof/>
        </w:rPr>
        <w:t xml:space="preserve"> w</w:t>
      </w:r>
      <w:r w:rsidR="008B35E8">
        <w:rPr>
          <w:noProof/>
        </w:rPr>
        <w:t> </w:t>
      </w:r>
      <w:r w:rsidR="008B35E8" w:rsidRPr="002866E5">
        <w:rPr>
          <w:noProof/>
        </w:rPr>
        <w:t>dro</w:t>
      </w:r>
      <w:r w:rsidRPr="002866E5">
        <w:rPr>
          <w:noProof/>
        </w:rPr>
        <w:t>dze aktów wykonawczych – wspólnych specyfikacji</w:t>
      </w:r>
      <w:r w:rsidR="008B35E8" w:rsidRPr="002866E5">
        <w:rPr>
          <w:noProof/>
        </w:rPr>
        <w:t xml:space="preserve"> w</w:t>
      </w:r>
      <w:r w:rsidR="008B35E8">
        <w:rPr>
          <w:noProof/>
        </w:rPr>
        <w:t> </w:t>
      </w:r>
      <w:r w:rsidR="008B35E8" w:rsidRPr="002866E5">
        <w:rPr>
          <w:noProof/>
        </w:rPr>
        <w:t>odn</w:t>
      </w:r>
      <w:r w:rsidRPr="002866E5">
        <w:rPr>
          <w:noProof/>
        </w:rPr>
        <w:t>iesieniu do zasadniczych wymogów określonych</w:t>
      </w:r>
      <w:r w:rsidR="008B35E8" w:rsidRPr="002866E5">
        <w:rPr>
          <w:noProof/>
        </w:rPr>
        <w:t xml:space="preserve"> w</w:t>
      </w:r>
      <w:r w:rsidR="008B35E8">
        <w:rPr>
          <w:noProof/>
        </w:rPr>
        <w:t> </w:t>
      </w:r>
      <w:r w:rsidR="008B35E8" w:rsidRPr="002866E5">
        <w:rPr>
          <w:noProof/>
        </w:rPr>
        <w:t>zał</w:t>
      </w:r>
      <w:r w:rsidRPr="002866E5">
        <w:rPr>
          <w:noProof/>
        </w:rPr>
        <w:t>ączniku I. Te akty wykonawcze przyjmuje się zgodnie</w:t>
      </w:r>
      <w:r w:rsidR="008B35E8" w:rsidRPr="002866E5">
        <w:rPr>
          <w:noProof/>
        </w:rPr>
        <w:t xml:space="preserve"> z</w:t>
      </w:r>
      <w:r w:rsidR="008B35E8">
        <w:rPr>
          <w:noProof/>
        </w:rPr>
        <w:t> </w:t>
      </w:r>
      <w:r w:rsidR="008B35E8" w:rsidRPr="002866E5">
        <w:rPr>
          <w:noProof/>
        </w:rPr>
        <w:t>pro</w:t>
      </w:r>
      <w:r w:rsidRPr="002866E5">
        <w:rPr>
          <w:noProof/>
        </w:rPr>
        <w:t>cedurą sprawdzającą,</w:t>
      </w:r>
      <w:r w:rsidR="008B35E8" w:rsidRPr="002866E5">
        <w:rPr>
          <w:noProof/>
        </w:rPr>
        <w:t xml:space="preserve"> o</w:t>
      </w:r>
      <w:r w:rsidR="008B35E8">
        <w:rPr>
          <w:noProof/>
        </w:rPr>
        <w:t> </w:t>
      </w:r>
      <w:r w:rsidR="008B35E8" w:rsidRPr="002866E5">
        <w:rPr>
          <w:noProof/>
        </w:rPr>
        <w:t>któ</w:t>
      </w:r>
      <w:r w:rsidRPr="002866E5">
        <w:rPr>
          <w:noProof/>
        </w:rPr>
        <w:t>rej mowa</w:t>
      </w:r>
      <w:r w:rsidR="008B35E8" w:rsidRPr="002866E5">
        <w:rPr>
          <w:noProof/>
        </w:rPr>
        <w:t xml:space="preserve"> w</w:t>
      </w:r>
      <w:r w:rsidR="008B35E8">
        <w:rPr>
          <w:noProof/>
        </w:rPr>
        <w:t> </w:t>
      </w:r>
      <w:r w:rsidR="008B35E8" w:rsidRPr="008B35E8">
        <w:rPr>
          <w:noProof/>
        </w:rPr>
        <w:t>art</w:t>
      </w:r>
      <w:r w:rsidRPr="008B35E8">
        <w:rPr>
          <w:noProof/>
        </w:rPr>
        <w:t>.</w:t>
      </w:r>
      <w:r w:rsidR="008B35E8" w:rsidRPr="008B35E8">
        <w:rPr>
          <w:noProof/>
        </w:rPr>
        <w:t> </w:t>
      </w:r>
      <w:r w:rsidRPr="008B35E8">
        <w:rPr>
          <w:noProof/>
        </w:rPr>
        <w:t>5</w:t>
      </w:r>
      <w:r w:rsidRPr="002866E5">
        <w:rPr>
          <w:noProof/>
        </w:rPr>
        <w:t xml:space="preserve">1 </w:t>
      </w:r>
      <w:r w:rsidRPr="008B35E8">
        <w:rPr>
          <w:noProof/>
        </w:rPr>
        <w:t>ust.</w:t>
      </w:r>
      <w:r w:rsidR="008B35E8" w:rsidRPr="008B35E8">
        <w:rPr>
          <w:noProof/>
        </w:rPr>
        <w:t> </w:t>
      </w:r>
      <w:r w:rsidRPr="008B35E8">
        <w:rPr>
          <w:noProof/>
        </w:rPr>
        <w:t>2</w:t>
      </w:r>
      <w:r w:rsidRPr="002866E5">
        <w:rPr>
          <w:noProof/>
        </w:rPr>
        <w:t xml:space="preserve">. </w:t>
      </w:r>
    </w:p>
    <w:p w14:paraId="67ED87D0" w14:textId="341D9D8D" w:rsidR="00506447" w:rsidRPr="002866E5" w:rsidRDefault="00506447" w:rsidP="0027065F">
      <w:pPr>
        <w:pStyle w:val="Titrearticle0"/>
        <w:rPr>
          <w:noProof/>
        </w:rPr>
      </w:pPr>
      <w:r w:rsidRPr="002866E5">
        <w:rPr>
          <w:noProof/>
        </w:rPr>
        <w:t>Artykuł 20</w:t>
      </w:r>
    </w:p>
    <w:p w14:paraId="67ED87D1" w14:textId="77777777" w:rsidR="00506447" w:rsidRPr="002866E5" w:rsidRDefault="00506447" w:rsidP="00084E38">
      <w:pPr>
        <w:jc w:val="center"/>
        <w:rPr>
          <w:i/>
          <w:noProof/>
        </w:rPr>
      </w:pPr>
      <w:r w:rsidRPr="002866E5">
        <w:rPr>
          <w:i/>
          <w:noProof/>
        </w:rPr>
        <w:t xml:space="preserve">Deklaracja zgodności UE </w:t>
      </w:r>
    </w:p>
    <w:p w14:paraId="67ED87D2" w14:textId="02C5D243" w:rsidR="00733361" w:rsidRPr="002866E5" w:rsidRDefault="00B4087C" w:rsidP="00B4087C">
      <w:pPr>
        <w:pStyle w:val="ManualNumPar1"/>
        <w:rPr>
          <w:noProof/>
        </w:rPr>
      </w:pPr>
      <w:r w:rsidRPr="00B4087C">
        <w:t>1.</w:t>
      </w:r>
      <w:r w:rsidRPr="00B4087C">
        <w:tab/>
      </w:r>
      <w:r w:rsidR="00506447" w:rsidRPr="002866E5">
        <w:rPr>
          <w:noProof/>
        </w:rPr>
        <w:t>Deklarację zgodności UE sporządzają producenci zgodnie</w:t>
      </w:r>
      <w:r w:rsidR="008B35E8" w:rsidRPr="002866E5">
        <w:rPr>
          <w:noProof/>
        </w:rPr>
        <w:t xml:space="preserve"> z</w:t>
      </w:r>
      <w:r w:rsidR="008B35E8">
        <w:rPr>
          <w:noProof/>
        </w:rPr>
        <w:t> </w:t>
      </w:r>
      <w:r w:rsidR="008B35E8" w:rsidRPr="008B35E8">
        <w:rPr>
          <w:noProof/>
        </w:rPr>
        <w:t>art</w:t>
      </w:r>
      <w:r w:rsidR="00506447" w:rsidRPr="008B35E8">
        <w:rPr>
          <w:noProof/>
        </w:rPr>
        <w:t>.</w:t>
      </w:r>
      <w:r w:rsidR="008B35E8" w:rsidRPr="008B35E8">
        <w:rPr>
          <w:noProof/>
        </w:rPr>
        <w:t> </w:t>
      </w:r>
      <w:r w:rsidR="00506447" w:rsidRPr="008B35E8">
        <w:rPr>
          <w:noProof/>
        </w:rPr>
        <w:t>1</w:t>
      </w:r>
      <w:r w:rsidR="00506447" w:rsidRPr="002866E5">
        <w:rPr>
          <w:noProof/>
        </w:rPr>
        <w:t xml:space="preserve">0 </w:t>
      </w:r>
      <w:r w:rsidR="00506447" w:rsidRPr="008B35E8">
        <w:rPr>
          <w:noProof/>
        </w:rPr>
        <w:t>ust.</w:t>
      </w:r>
      <w:r w:rsidR="008B35E8" w:rsidRPr="008B35E8">
        <w:rPr>
          <w:noProof/>
        </w:rPr>
        <w:t> </w:t>
      </w:r>
      <w:r w:rsidR="00506447" w:rsidRPr="008B35E8">
        <w:rPr>
          <w:noProof/>
        </w:rPr>
        <w:t>7</w:t>
      </w:r>
      <w:r w:rsidR="008B35E8" w:rsidRPr="002866E5">
        <w:rPr>
          <w:noProof/>
        </w:rPr>
        <w:t xml:space="preserve"> i</w:t>
      </w:r>
      <w:r w:rsidR="008B35E8">
        <w:rPr>
          <w:noProof/>
        </w:rPr>
        <w:t> </w:t>
      </w:r>
      <w:r w:rsidR="008B35E8" w:rsidRPr="002866E5">
        <w:rPr>
          <w:noProof/>
        </w:rPr>
        <w:t>pot</w:t>
      </w:r>
      <w:r w:rsidR="00506447" w:rsidRPr="002866E5">
        <w:rPr>
          <w:noProof/>
        </w:rPr>
        <w:t>wierdza się</w:t>
      </w:r>
      <w:r w:rsidR="008B35E8" w:rsidRPr="002866E5">
        <w:rPr>
          <w:noProof/>
        </w:rPr>
        <w:t xml:space="preserve"> w</w:t>
      </w:r>
      <w:r w:rsidR="008B35E8">
        <w:rPr>
          <w:noProof/>
        </w:rPr>
        <w:t> </w:t>
      </w:r>
      <w:r w:rsidR="008B35E8" w:rsidRPr="002866E5">
        <w:rPr>
          <w:noProof/>
        </w:rPr>
        <w:t>nie</w:t>
      </w:r>
      <w:r w:rsidR="00506447" w:rsidRPr="002866E5">
        <w:rPr>
          <w:noProof/>
        </w:rPr>
        <w:t>j, że wykazano spełnienie mających zastosowanie zasadniczych wymogów określonych</w:t>
      </w:r>
      <w:r w:rsidR="008B35E8" w:rsidRPr="002866E5">
        <w:rPr>
          <w:noProof/>
        </w:rPr>
        <w:t xml:space="preserve"> w</w:t>
      </w:r>
      <w:r w:rsidR="008B35E8">
        <w:rPr>
          <w:noProof/>
        </w:rPr>
        <w:t> </w:t>
      </w:r>
      <w:r w:rsidR="008B35E8" w:rsidRPr="002866E5">
        <w:rPr>
          <w:noProof/>
        </w:rPr>
        <w:t>zał</w:t>
      </w:r>
      <w:r w:rsidR="00506447" w:rsidRPr="002866E5">
        <w:rPr>
          <w:noProof/>
        </w:rPr>
        <w:t xml:space="preserve">ączniku I. </w:t>
      </w:r>
    </w:p>
    <w:p w14:paraId="67ED87D3" w14:textId="1E0A0DF2" w:rsidR="00506447" w:rsidRPr="002866E5" w:rsidRDefault="00B4087C" w:rsidP="00B4087C">
      <w:pPr>
        <w:pStyle w:val="ManualNumPar1"/>
        <w:rPr>
          <w:noProof/>
        </w:rPr>
      </w:pPr>
      <w:r w:rsidRPr="00B4087C">
        <w:t>2.</w:t>
      </w:r>
      <w:r w:rsidRPr="00B4087C">
        <w:tab/>
      </w:r>
      <w:r w:rsidR="00506447" w:rsidRPr="002866E5">
        <w:rPr>
          <w:noProof/>
        </w:rPr>
        <w:t>Deklarację zgodności UE sporządza się według wzoru określonego</w:t>
      </w:r>
      <w:r w:rsidR="008B35E8" w:rsidRPr="002866E5">
        <w:rPr>
          <w:noProof/>
        </w:rPr>
        <w:t xml:space="preserve"> w</w:t>
      </w:r>
      <w:r w:rsidR="008B35E8">
        <w:rPr>
          <w:noProof/>
        </w:rPr>
        <w:t> </w:t>
      </w:r>
      <w:r w:rsidR="008B35E8" w:rsidRPr="002866E5">
        <w:rPr>
          <w:noProof/>
        </w:rPr>
        <w:t>zał</w:t>
      </w:r>
      <w:r w:rsidR="00506447" w:rsidRPr="002866E5">
        <w:rPr>
          <w:noProof/>
        </w:rPr>
        <w:t>ączniku IV</w:t>
      </w:r>
      <w:r w:rsidR="008B35E8" w:rsidRPr="002866E5">
        <w:rPr>
          <w:noProof/>
        </w:rPr>
        <w:t xml:space="preserve"> i</w:t>
      </w:r>
      <w:r w:rsidR="008B35E8">
        <w:rPr>
          <w:noProof/>
        </w:rPr>
        <w:t> </w:t>
      </w:r>
      <w:r w:rsidR="008B35E8" w:rsidRPr="002866E5">
        <w:rPr>
          <w:noProof/>
        </w:rPr>
        <w:t>zaw</w:t>
      </w:r>
      <w:r w:rsidR="00506447" w:rsidRPr="002866E5">
        <w:rPr>
          <w:noProof/>
        </w:rPr>
        <w:t>iera ona elementy wyszczególnione</w:t>
      </w:r>
      <w:r w:rsidR="008B35E8" w:rsidRPr="002866E5">
        <w:rPr>
          <w:noProof/>
        </w:rPr>
        <w:t xml:space="preserve"> w</w:t>
      </w:r>
      <w:r w:rsidR="008B35E8">
        <w:rPr>
          <w:noProof/>
        </w:rPr>
        <w:t> </w:t>
      </w:r>
      <w:r w:rsidR="008B35E8" w:rsidRPr="002866E5">
        <w:rPr>
          <w:noProof/>
        </w:rPr>
        <w:t>odp</w:t>
      </w:r>
      <w:r w:rsidR="00506447" w:rsidRPr="002866E5">
        <w:rPr>
          <w:noProof/>
        </w:rPr>
        <w:t xml:space="preserve">owiednich procedurach oceny </w:t>
      </w:r>
      <w:r w:rsidR="00506447" w:rsidRPr="002866E5">
        <w:rPr>
          <w:noProof/>
        </w:rPr>
        <w:lastRenderedPageBreak/>
        <w:t>zgodności określonych</w:t>
      </w:r>
      <w:r w:rsidR="008B35E8" w:rsidRPr="002866E5">
        <w:rPr>
          <w:noProof/>
        </w:rPr>
        <w:t xml:space="preserve"> w</w:t>
      </w:r>
      <w:r w:rsidR="008B35E8">
        <w:rPr>
          <w:noProof/>
        </w:rPr>
        <w:t> </w:t>
      </w:r>
      <w:r w:rsidR="008B35E8" w:rsidRPr="002866E5">
        <w:rPr>
          <w:noProof/>
        </w:rPr>
        <w:t>zał</w:t>
      </w:r>
      <w:r w:rsidR="00506447" w:rsidRPr="002866E5">
        <w:rPr>
          <w:noProof/>
        </w:rPr>
        <w:t>ączniku VI. Taka deklaracja jest stale aktualizowana. Deklarację udostępnia się</w:t>
      </w:r>
      <w:r w:rsidR="008B35E8" w:rsidRPr="002866E5">
        <w:rPr>
          <w:noProof/>
        </w:rPr>
        <w:t xml:space="preserve"> w</w:t>
      </w:r>
      <w:r w:rsidR="008B35E8">
        <w:rPr>
          <w:noProof/>
        </w:rPr>
        <w:t> </w:t>
      </w:r>
      <w:r w:rsidR="008B35E8" w:rsidRPr="002866E5">
        <w:rPr>
          <w:noProof/>
        </w:rPr>
        <w:t>jęz</w:t>
      </w:r>
      <w:r w:rsidR="00506447" w:rsidRPr="002866E5">
        <w:rPr>
          <w:noProof/>
        </w:rPr>
        <w:t>yku lub językach wymaganych przez państwo członkowskie,</w:t>
      </w:r>
      <w:r w:rsidR="008B35E8" w:rsidRPr="002866E5">
        <w:rPr>
          <w:noProof/>
        </w:rPr>
        <w:t xml:space="preserve"> w</w:t>
      </w:r>
      <w:r w:rsidR="008B35E8">
        <w:rPr>
          <w:noProof/>
        </w:rPr>
        <w:t> </w:t>
      </w:r>
      <w:r w:rsidR="008B35E8" w:rsidRPr="002866E5">
        <w:rPr>
          <w:noProof/>
        </w:rPr>
        <w:t>któ</w:t>
      </w:r>
      <w:r w:rsidR="00506447" w:rsidRPr="002866E5">
        <w:rPr>
          <w:noProof/>
        </w:rPr>
        <w:t>rym produkt</w:t>
      </w:r>
      <w:r w:rsidR="008B35E8" w:rsidRPr="002866E5">
        <w:rPr>
          <w:noProof/>
        </w:rPr>
        <w:t xml:space="preserve"> z</w:t>
      </w:r>
      <w:r w:rsidR="008B35E8">
        <w:rPr>
          <w:noProof/>
        </w:rPr>
        <w:t> </w:t>
      </w:r>
      <w:r w:rsidR="008B35E8" w:rsidRPr="002866E5">
        <w:rPr>
          <w:noProof/>
        </w:rPr>
        <w:t>ele</w:t>
      </w:r>
      <w:r w:rsidR="00506447" w:rsidRPr="002866E5">
        <w:rPr>
          <w:noProof/>
        </w:rPr>
        <w:t>mentami cyfrowymi jest wprowadzany do obrotu lub udostępniany.</w:t>
      </w:r>
    </w:p>
    <w:p w14:paraId="67ED87D4" w14:textId="3A104A95" w:rsidR="00506447" w:rsidRPr="002866E5" w:rsidRDefault="00B4087C" w:rsidP="00B4087C">
      <w:pPr>
        <w:pStyle w:val="ManualNumPar1"/>
        <w:rPr>
          <w:noProof/>
        </w:rPr>
      </w:pPr>
      <w:r w:rsidRPr="00B4087C">
        <w:t>3.</w:t>
      </w:r>
      <w:r w:rsidRPr="00B4087C">
        <w:tab/>
      </w:r>
      <w:r w:rsidR="00506447" w:rsidRPr="002866E5">
        <w:rPr>
          <w:noProof/>
        </w:rPr>
        <w:t>W przypadku gdy produkt</w:t>
      </w:r>
      <w:r w:rsidR="008B35E8" w:rsidRPr="002866E5">
        <w:rPr>
          <w:noProof/>
        </w:rPr>
        <w:t xml:space="preserve"> z</w:t>
      </w:r>
      <w:r w:rsidR="008B35E8">
        <w:rPr>
          <w:noProof/>
        </w:rPr>
        <w:t> </w:t>
      </w:r>
      <w:r w:rsidR="008B35E8" w:rsidRPr="002866E5">
        <w:rPr>
          <w:noProof/>
        </w:rPr>
        <w:t>ele</w:t>
      </w:r>
      <w:r w:rsidR="00506447" w:rsidRPr="002866E5">
        <w:rPr>
          <w:noProof/>
        </w:rPr>
        <w:t>mentami cyfrowymi podlega więcej niż jednemu aktowi Unii wymagającemu deklaracji zgodności UE, sporządzana jest jedna deklaracja zgodności UE odnosząca się do wszystkich takich aktów Unii</w:t>
      </w:r>
      <w:r w:rsidR="008B35E8" w:rsidRPr="002866E5">
        <w:rPr>
          <w:noProof/>
        </w:rPr>
        <w:t>. W</w:t>
      </w:r>
      <w:r w:rsidR="008B35E8">
        <w:rPr>
          <w:noProof/>
        </w:rPr>
        <w:t> </w:t>
      </w:r>
      <w:r w:rsidR="008B35E8" w:rsidRPr="002866E5">
        <w:rPr>
          <w:noProof/>
        </w:rPr>
        <w:t>tak</w:t>
      </w:r>
      <w:r w:rsidR="00506447" w:rsidRPr="002866E5">
        <w:rPr>
          <w:noProof/>
        </w:rPr>
        <w:t>iej deklaracji wskazuje się odpowiednie akty Unii, łącznie</w:t>
      </w:r>
      <w:r w:rsidR="008B35E8" w:rsidRPr="002866E5">
        <w:rPr>
          <w:noProof/>
        </w:rPr>
        <w:t xml:space="preserve"> z</w:t>
      </w:r>
      <w:r w:rsidR="008B35E8">
        <w:rPr>
          <w:noProof/>
        </w:rPr>
        <w:t> </w:t>
      </w:r>
      <w:r w:rsidR="008B35E8" w:rsidRPr="002866E5">
        <w:rPr>
          <w:noProof/>
        </w:rPr>
        <w:t>ich</w:t>
      </w:r>
      <w:r w:rsidR="00506447" w:rsidRPr="002866E5">
        <w:rPr>
          <w:noProof/>
        </w:rPr>
        <w:t xml:space="preserve"> adresami publikacyjnymi. </w:t>
      </w:r>
    </w:p>
    <w:p w14:paraId="67ED87D5" w14:textId="1B0C1863" w:rsidR="00506447" w:rsidRPr="002866E5" w:rsidRDefault="00B4087C" w:rsidP="00B4087C">
      <w:pPr>
        <w:pStyle w:val="ManualNumPar1"/>
        <w:rPr>
          <w:noProof/>
        </w:rPr>
      </w:pPr>
      <w:r w:rsidRPr="00B4087C">
        <w:t>4.</w:t>
      </w:r>
      <w:r w:rsidRPr="00B4087C">
        <w:tab/>
      </w:r>
      <w:r w:rsidR="00506447" w:rsidRPr="002866E5">
        <w:rPr>
          <w:noProof/>
        </w:rPr>
        <w:t xml:space="preserve">Przez sporządzenie deklaracji zgodności UE producent przyjmuje na siebie odpowiedzialność za zgodność produktu. </w:t>
      </w:r>
    </w:p>
    <w:p w14:paraId="67ED87D6" w14:textId="1C4841AC" w:rsidR="00506447" w:rsidRPr="002866E5" w:rsidRDefault="00B4087C" w:rsidP="00B4087C">
      <w:pPr>
        <w:pStyle w:val="ManualNumPar1"/>
        <w:rPr>
          <w:noProof/>
        </w:rPr>
      </w:pPr>
      <w:r w:rsidRPr="00B4087C">
        <w:t>5.</w:t>
      </w:r>
      <w:r w:rsidRPr="00B4087C">
        <w:tab/>
      </w:r>
      <w:r w:rsidR="00506447" w:rsidRPr="002866E5">
        <w:rPr>
          <w:noProof/>
        </w:rPr>
        <w:t>Komisja jest uprawniona do przyjmowania aktów delegowanych zgodnie</w:t>
      </w:r>
      <w:r w:rsidR="008B35E8" w:rsidRPr="002866E5">
        <w:rPr>
          <w:noProof/>
        </w:rPr>
        <w:t xml:space="preserve"> z</w:t>
      </w:r>
      <w:r w:rsidR="008B35E8">
        <w:rPr>
          <w:noProof/>
        </w:rPr>
        <w:t> </w:t>
      </w:r>
      <w:r w:rsidR="008B35E8" w:rsidRPr="008B35E8">
        <w:rPr>
          <w:noProof/>
        </w:rPr>
        <w:t>art</w:t>
      </w:r>
      <w:r w:rsidR="00506447" w:rsidRPr="008B35E8">
        <w:rPr>
          <w:noProof/>
        </w:rPr>
        <w:t>.</w:t>
      </w:r>
      <w:r w:rsidR="008B35E8" w:rsidRPr="008B35E8">
        <w:rPr>
          <w:noProof/>
        </w:rPr>
        <w:t> </w:t>
      </w:r>
      <w:r w:rsidR="00506447" w:rsidRPr="008B35E8">
        <w:rPr>
          <w:noProof/>
        </w:rPr>
        <w:t>5</w:t>
      </w:r>
      <w:r w:rsidR="00506447" w:rsidRPr="002866E5">
        <w:rPr>
          <w:noProof/>
        </w:rPr>
        <w:t>0</w:t>
      </w:r>
      <w:r w:rsidR="008B35E8" w:rsidRPr="002866E5">
        <w:rPr>
          <w:noProof/>
        </w:rPr>
        <w:t xml:space="preserve"> w</w:t>
      </w:r>
      <w:r w:rsidR="008B35E8">
        <w:rPr>
          <w:noProof/>
        </w:rPr>
        <w:t> </w:t>
      </w:r>
      <w:r w:rsidR="008B35E8" w:rsidRPr="002866E5">
        <w:rPr>
          <w:noProof/>
        </w:rPr>
        <w:t>cel</w:t>
      </w:r>
      <w:r w:rsidR="00506447" w:rsidRPr="002866E5">
        <w:rPr>
          <w:noProof/>
        </w:rPr>
        <w:t>u uzupełnienia niniejszego rozporządzenia przez dodanie elementów do minimalnego zakresu treści deklaracji zgodności UE określonego</w:t>
      </w:r>
      <w:r w:rsidR="008B35E8" w:rsidRPr="002866E5">
        <w:rPr>
          <w:noProof/>
        </w:rPr>
        <w:t xml:space="preserve"> w</w:t>
      </w:r>
      <w:r w:rsidR="008B35E8">
        <w:rPr>
          <w:noProof/>
        </w:rPr>
        <w:t> </w:t>
      </w:r>
      <w:r w:rsidR="008B35E8" w:rsidRPr="002866E5">
        <w:rPr>
          <w:noProof/>
        </w:rPr>
        <w:t>zał</w:t>
      </w:r>
      <w:r w:rsidR="00506447" w:rsidRPr="002866E5">
        <w:rPr>
          <w:noProof/>
        </w:rPr>
        <w:t>ączniku IV, aby uwzględnić rozwój technologiczny.</w:t>
      </w:r>
    </w:p>
    <w:p w14:paraId="67ED87D7" w14:textId="1D198677" w:rsidR="00506447" w:rsidRPr="002866E5" w:rsidRDefault="00506447" w:rsidP="0027065F">
      <w:pPr>
        <w:pStyle w:val="Titrearticle0"/>
        <w:rPr>
          <w:noProof/>
        </w:rPr>
      </w:pPr>
      <w:r w:rsidRPr="002866E5">
        <w:rPr>
          <w:noProof/>
        </w:rPr>
        <w:t>Artykuł 21</w:t>
      </w:r>
    </w:p>
    <w:p w14:paraId="67ED87D8" w14:textId="77777777" w:rsidR="00506447" w:rsidRPr="002866E5" w:rsidRDefault="00506447" w:rsidP="00084E38">
      <w:pPr>
        <w:jc w:val="center"/>
        <w:rPr>
          <w:i/>
          <w:noProof/>
        </w:rPr>
      </w:pPr>
      <w:r w:rsidRPr="002866E5">
        <w:rPr>
          <w:i/>
          <w:noProof/>
        </w:rPr>
        <w:t xml:space="preserve">Ogólne zasady dotyczące oznakowania CE </w:t>
      </w:r>
    </w:p>
    <w:p w14:paraId="67ED87D9" w14:textId="1A8A6AC9" w:rsidR="00EF2074" w:rsidRPr="002866E5" w:rsidRDefault="00506447" w:rsidP="00C17731">
      <w:pPr>
        <w:pStyle w:val="Text1"/>
        <w:ind w:left="0"/>
        <w:rPr>
          <w:noProof/>
        </w:rPr>
      </w:pPr>
      <w:r w:rsidRPr="002866E5">
        <w:rPr>
          <w:noProof/>
        </w:rPr>
        <w:t>Oznakowanie CE zdefiniowane</w:t>
      </w:r>
      <w:r w:rsidR="008B35E8" w:rsidRPr="002866E5">
        <w:rPr>
          <w:noProof/>
        </w:rPr>
        <w:t xml:space="preserve"> w</w:t>
      </w:r>
      <w:r w:rsidR="008B35E8">
        <w:rPr>
          <w:noProof/>
        </w:rPr>
        <w:t> </w:t>
      </w:r>
      <w:r w:rsidR="008B35E8" w:rsidRPr="008B35E8">
        <w:rPr>
          <w:noProof/>
        </w:rPr>
        <w:t>art</w:t>
      </w:r>
      <w:r w:rsidRPr="008B35E8">
        <w:rPr>
          <w:noProof/>
        </w:rPr>
        <w:t>.</w:t>
      </w:r>
      <w:r w:rsidR="008B35E8" w:rsidRPr="008B35E8">
        <w:rPr>
          <w:noProof/>
        </w:rPr>
        <w:t> </w:t>
      </w:r>
      <w:r w:rsidRPr="008B35E8">
        <w:rPr>
          <w:noProof/>
        </w:rPr>
        <w:t>3</w:t>
      </w:r>
      <w:r w:rsidRPr="002866E5">
        <w:rPr>
          <w:noProof/>
        </w:rPr>
        <w:t xml:space="preserve"> </w:t>
      </w:r>
      <w:r w:rsidRPr="008B35E8">
        <w:rPr>
          <w:noProof/>
        </w:rPr>
        <w:t>pkt</w:t>
      </w:r>
      <w:r w:rsidR="008B35E8" w:rsidRPr="008B35E8">
        <w:rPr>
          <w:noProof/>
        </w:rPr>
        <w:t> </w:t>
      </w:r>
      <w:r w:rsidRPr="008B35E8">
        <w:rPr>
          <w:noProof/>
        </w:rPr>
        <w:t>3</w:t>
      </w:r>
      <w:r w:rsidRPr="002866E5">
        <w:rPr>
          <w:noProof/>
        </w:rPr>
        <w:t>2 podlega ogólnym zasadom określonym</w:t>
      </w:r>
      <w:r w:rsidR="008B35E8" w:rsidRPr="002866E5">
        <w:rPr>
          <w:noProof/>
        </w:rPr>
        <w:t xml:space="preserve"> w</w:t>
      </w:r>
      <w:r w:rsidR="008B35E8">
        <w:rPr>
          <w:noProof/>
        </w:rPr>
        <w:t> </w:t>
      </w:r>
      <w:r w:rsidR="008B35E8" w:rsidRPr="008B35E8">
        <w:rPr>
          <w:noProof/>
        </w:rPr>
        <w:t>art</w:t>
      </w:r>
      <w:r w:rsidRPr="008B35E8">
        <w:rPr>
          <w:noProof/>
        </w:rPr>
        <w:t>.</w:t>
      </w:r>
      <w:r w:rsidR="008B35E8" w:rsidRPr="008B35E8">
        <w:rPr>
          <w:noProof/>
        </w:rPr>
        <w:t> </w:t>
      </w:r>
      <w:r w:rsidRPr="008B35E8">
        <w:rPr>
          <w:noProof/>
        </w:rPr>
        <w:t>3</w:t>
      </w:r>
      <w:r w:rsidRPr="002866E5">
        <w:rPr>
          <w:noProof/>
        </w:rPr>
        <w:t xml:space="preserve">0 rozporządzenia (WE) </w:t>
      </w:r>
      <w:r w:rsidRPr="008B35E8">
        <w:rPr>
          <w:noProof/>
        </w:rPr>
        <w:t>nr</w:t>
      </w:r>
      <w:r w:rsidR="008B35E8" w:rsidRPr="008B35E8">
        <w:rPr>
          <w:noProof/>
        </w:rPr>
        <w:t> </w:t>
      </w:r>
      <w:r w:rsidRPr="008B35E8">
        <w:rPr>
          <w:noProof/>
        </w:rPr>
        <w:t>7</w:t>
      </w:r>
      <w:r w:rsidRPr="002866E5">
        <w:rPr>
          <w:noProof/>
        </w:rPr>
        <w:t xml:space="preserve">65/2008. </w:t>
      </w:r>
    </w:p>
    <w:p w14:paraId="67ED87DA" w14:textId="77484EC1" w:rsidR="00EF2074" w:rsidRPr="002866E5" w:rsidRDefault="00506447" w:rsidP="0027065F">
      <w:pPr>
        <w:pStyle w:val="Titrearticle0"/>
        <w:rPr>
          <w:noProof/>
        </w:rPr>
      </w:pPr>
      <w:r w:rsidRPr="002866E5">
        <w:rPr>
          <w:noProof/>
        </w:rPr>
        <w:t>Artykuł 22</w:t>
      </w:r>
    </w:p>
    <w:p w14:paraId="67ED87DB" w14:textId="30F18AA0" w:rsidR="00506447" w:rsidRPr="002866E5" w:rsidRDefault="00506447" w:rsidP="00084E38">
      <w:pPr>
        <w:jc w:val="center"/>
        <w:rPr>
          <w:i/>
          <w:noProof/>
        </w:rPr>
      </w:pPr>
      <w:r w:rsidRPr="002866E5">
        <w:rPr>
          <w:i/>
          <w:noProof/>
        </w:rPr>
        <w:t>Reguły</w:t>
      </w:r>
      <w:r w:rsidR="008B35E8" w:rsidRPr="002866E5">
        <w:rPr>
          <w:i/>
          <w:noProof/>
        </w:rPr>
        <w:t xml:space="preserve"> i</w:t>
      </w:r>
      <w:r w:rsidR="008B35E8">
        <w:rPr>
          <w:i/>
          <w:noProof/>
        </w:rPr>
        <w:t> </w:t>
      </w:r>
      <w:r w:rsidR="008B35E8" w:rsidRPr="002866E5">
        <w:rPr>
          <w:i/>
          <w:noProof/>
        </w:rPr>
        <w:t>war</w:t>
      </w:r>
      <w:r w:rsidRPr="002866E5">
        <w:rPr>
          <w:i/>
          <w:noProof/>
        </w:rPr>
        <w:t>unki dotyczące umieszczania oznakowania CE</w:t>
      </w:r>
    </w:p>
    <w:p w14:paraId="67ED87DC" w14:textId="08C8D962" w:rsidR="00CB507D" w:rsidRPr="002866E5" w:rsidRDefault="00B4087C" w:rsidP="00B4087C">
      <w:pPr>
        <w:pStyle w:val="ManualNumPar1"/>
        <w:rPr>
          <w:noProof/>
        </w:rPr>
      </w:pPr>
      <w:r w:rsidRPr="00B4087C">
        <w:t>1.</w:t>
      </w:r>
      <w:r w:rsidRPr="00B4087C">
        <w:tab/>
      </w:r>
      <w:r w:rsidR="00506447" w:rsidRPr="002866E5">
        <w:rPr>
          <w:noProof/>
        </w:rPr>
        <w:t>Oznakowanie CE umieszcza się na produkcie</w:t>
      </w:r>
      <w:r w:rsidR="008B35E8" w:rsidRPr="002866E5">
        <w:rPr>
          <w:noProof/>
        </w:rPr>
        <w:t xml:space="preserve"> z</w:t>
      </w:r>
      <w:r w:rsidR="008B35E8">
        <w:rPr>
          <w:noProof/>
        </w:rPr>
        <w:t> </w:t>
      </w:r>
      <w:r w:rsidR="008B35E8" w:rsidRPr="002866E5">
        <w:rPr>
          <w:noProof/>
        </w:rPr>
        <w:t>ele</w:t>
      </w:r>
      <w:r w:rsidR="00506447" w:rsidRPr="002866E5">
        <w:rPr>
          <w:noProof/>
        </w:rPr>
        <w:t>mentami cyfrowymi</w:t>
      </w:r>
      <w:r w:rsidR="008B35E8" w:rsidRPr="002866E5">
        <w:rPr>
          <w:noProof/>
        </w:rPr>
        <w:t xml:space="preserve"> w</w:t>
      </w:r>
      <w:r w:rsidR="008B35E8">
        <w:rPr>
          <w:noProof/>
        </w:rPr>
        <w:t> </w:t>
      </w:r>
      <w:r w:rsidR="008B35E8" w:rsidRPr="002866E5">
        <w:rPr>
          <w:noProof/>
        </w:rPr>
        <w:t>spo</w:t>
      </w:r>
      <w:r w:rsidR="00506447" w:rsidRPr="002866E5">
        <w:rPr>
          <w:noProof/>
        </w:rPr>
        <w:t>sób widoczny, czytelny</w:t>
      </w:r>
      <w:r w:rsidR="008B35E8" w:rsidRPr="002866E5">
        <w:rPr>
          <w:noProof/>
        </w:rPr>
        <w:t xml:space="preserve"> i</w:t>
      </w:r>
      <w:r w:rsidR="008B35E8">
        <w:rPr>
          <w:noProof/>
        </w:rPr>
        <w:t> </w:t>
      </w:r>
      <w:r w:rsidR="008B35E8" w:rsidRPr="002866E5">
        <w:rPr>
          <w:noProof/>
        </w:rPr>
        <w:t>trw</w:t>
      </w:r>
      <w:r w:rsidR="00506447" w:rsidRPr="002866E5">
        <w:rPr>
          <w:noProof/>
        </w:rPr>
        <w:t>ały</w:t>
      </w:r>
      <w:r w:rsidR="008B35E8" w:rsidRPr="002866E5">
        <w:rPr>
          <w:noProof/>
        </w:rPr>
        <w:t>. W</w:t>
      </w:r>
      <w:r w:rsidR="008B35E8">
        <w:rPr>
          <w:noProof/>
        </w:rPr>
        <w:t> </w:t>
      </w:r>
      <w:r w:rsidR="008B35E8" w:rsidRPr="002866E5">
        <w:rPr>
          <w:noProof/>
        </w:rPr>
        <w:t>prz</w:t>
      </w:r>
      <w:r w:rsidR="00506447" w:rsidRPr="002866E5">
        <w:rPr>
          <w:noProof/>
        </w:rPr>
        <w:t>ypadku gdy jest to niemożliwe lub nieuzasadnione ze względu na charakter produktu</w:t>
      </w:r>
      <w:r w:rsidR="008B35E8" w:rsidRPr="002866E5">
        <w:rPr>
          <w:noProof/>
        </w:rPr>
        <w:t xml:space="preserve"> z</w:t>
      </w:r>
      <w:r w:rsidR="008B35E8">
        <w:rPr>
          <w:noProof/>
        </w:rPr>
        <w:t> </w:t>
      </w:r>
      <w:r w:rsidR="008B35E8" w:rsidRPr="002866E5">
        <w:rPr>
          <w:noProof/>
        </w:rPr>
        <w:t>ele</w:t>
      </w:r>
      <w:r w:rsidR="00506447" w:rsidRPr="002866E5">
        <w:rPr>
          <w:noProof/>
        </w:rPr>
        <w:t>mentami cyfrowymi, oznakowanie CE umieszcza się na opakowaniu</w:t>
      </w:r>
      <w:r w:rsidR="008B35E8" w:rsidRPr="002866E5">
        <w:rPr>
          <w:noProof/>
        </w:rPr>
        <w:t xml:space="preserve"> i</w:t>
      </w:r>
      <w:r w:rsidR="008B35E8">
        <w:rPr>
          <w:noProof/>
        </w:rPr>
        <w:t> </w:t>
      </w:r>
      <w:r w:rsidR="008B35E8" w:rsidRPr="002866E5">
        <w:rPr>
          <w:noProof/>
        </w:rPr>
        <w:t>dek</w:t>
      </w:r>
      <w:r w:rsidR="00506447" w:rsidRPr="002866E5">
        <w:rPr>
          <w:noProof/>
        </w:rPr>
        <w:t>laracji zgodności UE,</w:t>
      </w:r>
      <w:r w:rsidR="008B35E8" w:rsidRPr="002866E5">
        <w:rPr>
          <w:noProof/>
        </w:rPr>
        <w:t xml:space="preserve"> o</w:t>
      </w:r>
      <w:r w:rsidR="008B35E8">
        <w:rPr>
          <w:noProof/>
        </w:rPr>
        <w:t> </w:t>
      </w:r>
      <w:r w:rsidR="008B35E8" w:rsidRPr="002866E5">
        <w:rPr>
          <w:noProof/>
        </w:rPr>
        <w:t>któ</w:t>
      </w:r>
      <w:r w:rsidR="00506447" w:rsidRPr="002866E5">
        <w:rPr>
          <w:noProof/>
        </w:rPr>
        <w:t>rej mowa</w:t>
      </w:r>
      <w:r w:rsidR="008B35E8" w:rsidRPr="002866E5">
        <w:rPr>
          <w:noProof/>
        </w:rPr>
        <w:t xml:space="preserve"> w</w:t>
      </w:r>
      <w:r w:rsidR="008B35E8">
        <w:rPr>
          <w:noProof/>
        </w:rPr>
        <w:t> </w:t>
      </w:r>
      <w:r w:rsidR="008B35E8" w:rsidRPr="008B35E8">
        <w:rPr>
          <w:noProof/>
        </w:rPr>
        <w:t>art</w:t>
      </w:r>
      <w:r w:rsidR="00506447" w:rsidRPr="008B35E8">
        <w:rPr>
          <w:noProof/>
        </w:rPr>
        <w:t>.</w:t>
      </w:r>
      <w:r w:rsidR="008B35E8" w:rsidRPr="008B35E8">
        <w:rPr>
          <w:noProof/>
        </w:rPr>
        <w:t> </w:t>
      </w:r>
      <w:r w:rsidR="00506447" w:rsidRPr="008B35E8">
        <w:rPr>
          <w:noProof/>
        </w:rPr>
        <w:t>2</w:t>
      </w:r>
      <w:r w:rsidR="00506447" w:rsidRPr="002866E5">
        <w:rPr>
          <w:noProof/>
        </w:rPr>
        <w:t>0, dołączonej do produktu</w:t>
      </w:r>
      <w:r w:rsidR="008B35E8" w:rsidRPr="002866E5">
        <w:rPr>
          <w:noProof/>
        </w:rPr>
        <w:t xml:space="preserve"> z</w:t>
      </w:r>
      <w:r w:rsidR="008B35E8">
        <w:rPr>
          <w:noProof/>
        </w:rPr>
        <w:t> </w:t>
      </w:r>
      <w:r w:rsidR="008B35E8" w:rsidRPr="002866E5">
        <w:rPr>
          <w:noProof/>
        </w:rPr>
        <w:t>ele</w:t>
      </w:r>
      <w:r w:rsidR="00506447" w:rsidRPr="002866E5">
        <w:rPr>
          <w:noProof/>
        </w:rPr>
        <w:t>mentami cyfrowymi</w:t>
      </w:r>
      <w:r w:rsidR="008B35E8" w:rsidRPr="002866E5">
        <w:rPr>
          <w:noProof/>
        </w:rPr>
        <w:t>. W</w:t>
      </w:r>
      <w:r w:rsidR="008B35E8">
        <w:rPr>
          <w:noProof/>
        </w:rPr>
        <w:t> </w:t>
      </w:r>
      <w:r w:rsidR="008B35E8" w:rsidRPr="002866E5">
        <w:rPr>
          <w:noProof/>
        </w:rPr>
        <w:t>prz</w:t>
      </w:r>
      <w:r w:rsidR="00506447" w:rsidRPr="002866E5">
        <w:rPr>
          <w:noProof/>
        </w:rPr>
        <w:t>ypadku produktów</w:t>
      </w:r>
      <w:r w:rsidR="008B35E8" w:rsidRPr="002866E5">
        <w:rPr>
          <w:noProof/>
        </w:rPr>
        <w:t xml:space="preserve"> z</w:t>
      </w:r>
      <w:r w:rsidR="008B35E8">
        <w:rPr>
          <w:noProof/>
        </w:rPr>
        <w:t> </w:t>
      </w:r>
      <w:r w:rsidR="008B35E8" w:rsidRPr="002866E5">
        <w:rPr>
          <w:noProof/>
        </w:rPr>
        <w:t>ele</w:t>
      </w:r>
      <w:r w:rsidR="00506447" w:rsidRPr="002866E5">
        <w:rPr>
          <w:noProof/>
        </w:rPr>
        <w:t>mentami cyfrowymi</w:t>
      </w:r>
      <w:r w:rsidR="008B35E8" w:rsidRPr="002866E5">
        <w:rPr>
          <w:noProof/>
        </w:rPr>
        <w:t xml:space="preserve"> w</w:t>
      </w:r>
      <w:r w:rsidR="008B35E8">
        <w:rPr>
          <w:noProof/>
        </w:rPr>
        <w:t> </w:t>
      </w:r>
      <w:r w:rsidR="008B35E8" w:rsidRPr="002866E5">
        <w:rPr>
          <w:noProof/>
        </w:rPr>
        <w:t>for</w:t>
      </w:r>
      <w:r w:rsidR="00506447" w:rsidRPr="002866E5">
        <w:rPr>
          <w:noProof/>
        </w:rPr>
        <w:t>mie oprogramowania oznakowanie CE umieszcza się na deklaracji zgodności UE,</w:t>
      </w:r>
      <w:r w:rsidR="008B35E8" w:rsidRPr="002866E5">
        <w:rPr>
          <w:noProof/>
        </w:rPr>
        <w:t xml:space="preserve"> o</w:t>
      </w:r>
      <w:r w:rsidR="008B35E8">
        <w:rPr>
          <w:noProof/>
        </w:rPr>
        <w:t> </w:t>
      </w:r>
      <w:r w:rsidR="008B35E8" w:rsidRPr="002866E5">
        <w:rPr>
          <w:noProof/>
        </w:rPr>
        <w:t>któ</w:t>
      </w:r>
      <w:r w:rsidR="00506447" w:rsidRPr="002866E5">
        <w:rPr>
          <w:noProof/>
        </w:rPr>
        <w:t>rej mowa</w:t>
      </w:r>
      <w:r w:rsidR="008B35E8" w:rsidRPr="002866E5">
        <w:rPr>
          <w:noProof/>
        </w:rPr>
        <w:t xml:space="preserve"> w</w:t>
      </w:r>
      <w:r w:rsidR="008B35E8">
        <w:rPr>
          <w:noProof/>
        </w:rPr>
        <w:t> </w:t>
      </w:r>
      <w:r w:rsidR="008B35E8" w:rsidRPr="008B35E8">
        <w:rPr>
          <w:noProof/>
        </w:rPr>
        <w:t>art</w:t>
      </w:r>
      <w:r w:rsidR="00506447" w:rsidRPr="008B35E8">
        <w:rPr>
          <w:noProof/>
        </w:rPr>
        <w:t>.</w:t>
      </w:r>
      <w:r w:rsidR="008B35E8" w:rsidRPr="008B35E8">
        <w:rPr>
          <w:noProof/>
        </w:rPr>
        <w:t> </w:t>
      </w:r>
      <w:r w:rsidR="00506447" w:rsidRPr="008B35E8">
        <w:rPr>
          <w:noProof/>
        </w:rPr>
        <w:t>2</w:t>
      </w:r>
      <w:r w:rsidR="00506447" w:rsidRPr="002866E5">
        <w:rPr>
          <w:noProof/>
        </w:rPr>
        <w:t xml:space="preserve">0, albo na stronie internetowej poświęconej oprogramowaniu. </w:t>
      </w:r>
    </w:p>
    <w:p w14:paraId="67ED87DD" w14:textId="6E4FDC71" w:rsidR="00F707B1" w:rsidRPr="002866E5" w:rsidRDefault="00B4087C" w:rsidP="00B4087C">
      <w:pPr>
        <w:pStyle w:val="ManualNumPar1"/>
        <w:rPr>
          <w:noProof/>
        </w:rPr>
      </w:pPr>
      <w:r w:rsidRPr="00B4087C">
        <w:t>2.</w:t>
      </w:r>
      <w:r w:rsidRPr="00B4087C">
        <w:tab/>
      </w:r>
      <w:r w:rsidR="00F707B1" w:rsidRPr="002866E5">
        <w:rPr>
          <w:noProof/>
        </w:rPr>
        <w:t>Ze względu na charakter produktu</w:t>
      </w:r>
      <w:r w:rsidR="008B35E8" w:rsidRPr="002866E5">
        <w:rPr>
          <w:noProof/>
        </w:rPr>
        <w:t xml:space="preserve"> z</w:t>
      </w:r>
      <w:r w:rsidR="008B35E8">
        <w:rPr>
          <w:noProof/>
        </w:rPr>
        <w:t> </w:t>
      </w:r>
      <w:r w:rsidR="008B35E8" w:rsidRPr="002866E5">
        <w:rPr>
          <w:noProof/>
        </w:rPr>
        <w:t>ele</w:t>
      </w:r>
      <w:r w:rsidR="00F707B1" w:rsidRPr="002866E5">
        <w:rPr>
          <w:noProof/>
        </w:rPr>
        <w:t>mentami cyfrowymi wysokość oznakowania CE umieszczonego na produkcie</w:t>
      </w:r>
      <w:r w:rsidR="008B35E8" w:rsidRPr="002866E5">
        <w:rPr>
          <w:noProof/>
        </w:rPr>
        <w:t xml:space="preserve"> z</w:t>
      </w:r>
      <w:r w:rsidR="008B35E8">
        <w:rPr>
          <w:noProof/>
        </w:rPr>
        <w:t> </w:t>
      </w:r>
      <w:r w:rsidR="008B35E8" w:rsidRPr="002866E5">
        <w:rPr>
          <w:noProof/>
        </w:rPr>
        <w:t>ele</w:t>
      </w:r>
      <w:r w:rsidR="00F707B1" w:rsidRPr="002866E5">
        <w:rPr>
          <w:noProof/>
        </w:rPr>
        <w:t>mentami cyfrowymi może być mniejsza niż 5 mm, pod warunkiem że pozostaje ono widoczne</w:t>
      </w:r>
      <w:r w:rsidR="008B35E8" w:rsidRPr="002866E5">
        <w:rPr>
          <w:noProof/>
        </w:rPr>
        <w:t xml:space="preserve"> i</w:t>
      </w:r>
      <w:r w:rsidR="008B35E8">
        <w:rPr>
          <w:noProof/>
        </w:rPr>
        <w:t> </w:t>
      </w:r>
      <w:r w:rsidR="008B35E8" w:rsidRPr="002866E5">
        <w:rPr>
          <w:noProof/>
        </w:rPr>
        <w:t>czy</w:t>
      </w:r>
      <w:r w:rsidR="00F707B1" w:rsidRPr="002866E5">
        <w:rPr>
          <w:noProof/>
        </w:rPr>
        <w:t>telne.</w:t>
      </w:r>
    </w:p>
    <w:p w14:paraId="67ED87DE" w14:textId="1D5F5BC2" w:rsidR="00180226" w:rsidRPr="002866E5" w:rsidRDefault="00B4087C" w:rsidP="00B4087C">
      <w:pPr>
        <w:pStyle w:val="ManualNumPar1"/>
        <w:rPr>
          <w:noProof/>
        </w:rPr>
      </w:pPr>
      <w:r w:rsidRPr="00B4087C">
        <w:t>3.</w:t>
      </w:r>
      <w:r w:rsidRPr="00B4087C">
        <w:tab/>
      </w:r>
      <w:r w:rsidR="00506447" w:rsidRPr="002866E5">
        <w:rPr>
          <w:noProof/>
        </w:rPr>
        <w:t>Oznakowanie CE umieszcza się przed wprowadzeniem produktu</w:t>
      </w:r>
      <w:r w:rsidR="008B35E8" w:rsidRPr="002866E5">
        <w:rPr>
          <w:noProof/>
        </w:rPr>
        <w:t xml:space="preserve"> z</w:t>
      </w:r>
      <w:r w:rsidR="008B35E8">
        <w:rPr>
          <w:noProof/>
        </w:rPr>
        <w:t> </w:t>
      </w:r>
      <w:r w:rsidR="008B35E8" w:rsidRPr="002866E5">
        <w:rPr>
          <w:noProof/>
        </w:rPr>
        <w:t>ele</w:t>
      </w:r>
      <w:r w:rsidR="00506447" w:rsidRPr="002866E5">
        <w:rPr>
          <w:noProof/>
        </w:rPr>
        <w:t>mentami cyfrowymi do obrotu. Po oznakowaniu CE można umieścić piktogram lub innego rodzaju oznakowanie wskazujące na szczególne ryzyko lub zastosowanie określone</w:t>
      </w:r>
      <w:r w:rsidR="008B35E8" w:rsidRPr="002866E5">
        <w:rPr>
          <w:noProof/>
        </w:rPr>
        <w:t xml:space="preserve"> w</w:t>
      </w:r>
      <w:r w:rsidR="008B35E8">
        <w:rPr>
          <w:noProof/>
        </w:rPr>
        <w:t> </w:t>
      </w:r>
      <w:r w:rsidR="008B35E8" w:rsidRPr="002866E5">
        <w:rPr>
          <w:noProof/>
        </w:rPr>
        <w:t>akt</w:t>
      </w:r>
      <w:r w:rsidR="00506447" w:rsidRPr="002866E5">
        <w:rPr>
          <w:noProof/>
        </w:rPr>
        <w:t>ach wykonawczych,</w:t>
      </w:r>
      <w:r w:rsidR="008B35E8" w:rsidRPr="002866E5">
        <w:rPr>
          <w:noProof/>
        </w:rPr>
        <w:t xml:space="preserve"> o</w:t>
      </w:r>
      <w:r w:rsidR="008B35E8">
        <w:rPr>
          <w:noProof/>
        </w:rPr>
        <w:t> </w:t>
      </w:r>
      <w:r w:rsidR="008B35E8" w:rsidRPr="002866E5">
        <w:rPr>
          <w:noProof/>
        </w:rPr>
        <w:t>któ</w:t>
      </w:r>
      <w:r w:rsidR="00506447" w:rsidRPr="002866E5">
        <w:rPr>
          <w:noProof/>
        </w:rPr>
        <w:t>rych mowa</w:t>
      </w:r>
      <w:r w:rsidR="008B35E8" w:rsidRPr="002866E5">
        <w:rPr>
          <w:noProof/>
        </w:rPr>
        <w:t xml:space="preserve"> w</w:t>
      </w:r>
      <w:r w:rsidR="008B35E8">
        <w:rPr>
          <w:noProof/>
        </w:rPr>
        <w:t> </w:t>
      </w:r>
      <w:r w:rsidR="008B35E8" w:rsidRPr="008B35E8">
        <w:rPr>
          <w:noProof/>
        </w:rPr>
        <w:t>ust</w:t>
      </w:r>
      <w:r w:rsidR="00506447" w:rsidRPr="008B35E8">
        <w:rPr>
          <w:noProof/>
        </w:rPr>
        <w:t>.</w:t>
      </w:r>
      <w:r w:rsidR="008B35E8" w:rsidRPr="008B35E8">
        <w:rPr>
          <w:noProof/>
        </w:rPr>
        <w:t> </w:t>
      </w:r>
      <w:r w:rsidR="00506447" w:rsidRPr="008B35E8">
        <w:rPr>
          <w:noProof/>
        </w:rPr>
        <w:t>6</w:t>
      </w:r>
      <w:r w:rsidR="00506447" w:rsidRPr="002866E5">
        <w:rPr>
          <w:noProof/>
        </w:rPr>
        <w:t xml:space="preserve">. </w:t>
      </w:r>
    </w:p>
    <w:p w14:paraId="67ED87DF" w14:textId="6EB1282E" w:rsidR="00EF2074" w:rsidRPr="002866E5" w:rsidRDefault="00B4087C" w:rsidP="00B4087C">
      <w:pPr>
        <w:pStyle w:val="ManualNumPar1"/>
        <w:rPr>
          <w:noProof/>
        </w:rPr>
      </w:pPr>
      <w:r w:rsidRPr="00B4087C">
        <w:t>4.</w:t>
      </w:r>
      <w:r w:rsidRPr="00B4087C">
        <w:tab/>
      </w:r>
      <w:r w:rsidR="00D97D92" w:rsidRPr="002866E5">
        <w:rPr>
          <w:noProof/>
        </w:rPr>
        <w:t>Po oznakowaniu CE podaje się numer identyfikacyjny jednostki notyfikowanej, jeżeli jednostka ta jest zaangażowana</w:t>
      </w:r>
      <w:r w:rsidR="008B35E8" w:rsidRPr="002866E5">
        <w:rPr>
          <w:noProof/>
        </w:rPr>
        <w:t xml:space="preserve"> w</w:t>
      </w:r>
      <w:r w:rsidR="008B35E8">
        <w:rPr>
          <w:noProof/>
        </w:rPr>
        <w:t> </w:t>
      </w:r>
      <w:r w:rsidR="008B35E8" w:rsidRPr="002866E5">
        <w:rPr>
          <w:noProof/>
        </w:rPr>
        <w:t>pro</w:t>
      </w:r>
      <w:r w:rsidR="00D97D92" w:rsidRPr="002866E5">
        <w:rPr>
          <w:noProof/>
        </w:rPr>
        <w:t>cedurę oceny zgodności opartą na pełnym zapewnieniu jakości (zgodnie</w:t>
      </w:r>
      <w:r w:rsidR="008B35E8" w:rsidRPr="002866E5">
        <w:rPr>
          <w:noProof/>
        </w:rPr>
        <w:t xml:space="preserve"> z</w:t>
      </w:r>
      <w:r w:rsidR="008B35E8">
        <w:rPr>
          <w:noProof/>
        </w:rPr>
        <w:t> </w:t>
      </w:r>
      <w:r w:rsidR="008B35E8" w:rsidRPr="002866E5">
        <w:rPr>
          <w:noProof/>
        </w:rPr>
        <w:t>mod</w:t>
      </w:r>
      <w:r w:rsidR="00D97D92" w:rsidRPr="002866E5">
        <w:rPr>
          <w:noProof/>
        </w:rPr>
        <w:t>ułem H),</w:t>
      </w:r>
      <w:r w:rsidR="008B35E8" w:rsidRPr="002866E5">
        <w:rPr>
          <w:noProof/>
        </w:rPr>
        <w:t xml:space="preserve"> o</w:t>
      </w:r>
      <w:r w:rsidR="008B35E8">
        <w:rPr>
          <w:noProof/>
        </w:rPr>
        <w:t> </w:t>
      </w:r>
      <w:r w:rsidR="008B35E8" w:rsidRPr="002866E5">
        <w:rPr>
          <w:noProof/>
        </w:rPr>
        <w:t>któ</w:t>
      </w:r>
      <w:r w:rsidR="00D97D92" w:rsidRPr="002866E5">
        <w:rPr>
          <w:noProof/>
        </w:rPr>
        <w:t>rej mowa</w:t>
      </w:r>
      <w:r w:rsidR="008B35E8" w:rsidRPr="002866E5">
        <w:rPr>
          <w:noProof/>
        </w:rPr>
        <w:t xml:space="preserve"> w</w:t>
      </w:r>
      <w:r w:rsidR="008B35E8">
        <w:rPr>
          <w:noProof/>
        </w:rPr>
        <w:t> </w:t>
      </w:r>
      <w:r w:rsidR="008B35E8" w:rsidRPr="008B35E8">
        <w:rPr>
          <w:noProof/>
        </w:rPr>
        <w:t>art</w:t>
      </w:r>
      <w:r w:rsidR="00D97D92" w:rsidRPr="008B35E8">
        <w:rPr>
          <w:noProof/>
        </w:rPr>
        <w:t>.</w:t>
      </w:r>
      <w:r w:rsidR="008B35E8" w:rsidRPr="008B35E8">
        <w:rPr>
          <w:noProof/>
        </w:rPr>
        <w:t> </w:t>
      </w:r>
      <w:r w:rsidR="00D97D92" w:rsidRPr="008B35E8">
        <w:rPr>
          <w:noProof/>
        </w:rPr>
        <w:t>2</w:t>
      </w:r>
      <w:r w:rsidR="00D97D92" w:rsidRPr="002866E5">
        <w:rPr>
          <w:noProof/>
        </w:rPr>
        <w:t>4.</w:t>
      </w:r>
    </w:p>
    <w:p w14:paraId="67ED87E0" w14:textId="77777777" w:rsidR="00506447" w:rsidRPr="002866E5" w:rsidRDefault="00506447" w:rsidP="000A6E88">
      <w:pPr>
        <w:pStyle w:val="Text1"/>
        <w:rPr>
          <w:noProof/>
        </w:rPr>
      </w:pPr>
      <w:r w:rsidRPr="002866E5">
        <w:rPr>
          <w:noProof/>
        </w:rPr>
        <w:t xml:space="preserve">Numer identyfikacyjny jednostki notyfikowanej umieszcza sama jednostka lub producent albo jego upoważniony przedstawiciel według wskazówek jednostki notyfikowanej. </w:t>
      </w:r>
    </w:p>
    <w:p w14:paraId="67ED87E1" w14:textId="2044139D" w:rsidR="00E770C8" w:rsidRPr="002866E5" w:rsidRDefault="00B4087C" w:rsidP="00B4087C">
      <w:pPr>
        <w:pStyle w:val="ManualNumPar1"/>
        <w:rPr>
          <w:noProof/>
        </w:rPr>
      </w:pPr>
      <w:r w:rsidRPr="00B4087C">
        <w:lastRenderedPageBreak/>
        <w:t>5.</w:t>
      </w:r>
      <w:r w:rsidRPr="00B4087C">
        <w:tab/>
      </w:r>
      <w:r w:rsidR="00506447" w:rsidRPr="002866E5">
        <w:rPr>
          <w:noProof/>
        </w:rPr>
        <w:t>Państwa członkowskie korzystają</w:t>
      </w:r>
      <w:r w:rsidR="008B35E8" w:rsidRPr="002866E5">
        <w:rPr>
          <w:noProof/>
        </w:rPr>
        <w:t xml:space="preserve"> z</w:t>
      </w:r>
      <w:r w:rsidR="008B35E8">
        <w:rPr>
          <w:noProof/>
        </w:rPr>
        <w:t> </w:t>
      </w:r>
      <w:r w:rsidR="008B35E8" w:rsidRPr="002866E5">
        <w:rPr>
          <w:noProof/>
        </w:rPr>
        <w:t>ist</w:t>
      </w:r>
      <w:r w:rsidR="00506447" w:rsidRPr="002866E5">
        <w:rPr>
          <w:noProof/>
        </w:rPr>
        <w:t>niejących mechanizmów, aby zapewnić prawidłowe stosowanie systemu oznakowania CE, oraz podejmują odpowiednie działania</w:t>
      </w:r>
      <w:r w:rsidR="008B35E8" w:rsidRPr="002866E5">
        <w:rPr>
          <w:noProof/>
        </w:rPr>
        <w:t xml:space="preserve"> w</w:t>
      </w:r>
      <w:r w:rsidR="008B35E8">
        <w:rPr>
          <w:noProof/>
        </w:rPr>
        <w:t> </w:t>
      </w:r>
      <w:r w:rsidR="008B35E8" w:rsidRPr="002866E5">
        <w:rPr>
          <w:noProof/>
        </w:rPr>
        <w:t>prz</w:t>
      </w:r>
      <w:r w:rsidR="00506447" w:rsidRPr="002866E5">
        <w:rPr>
          <w:noProof/>
        </w:rPr>
        <w:t>ypadku jego niewłaściwego wykorzystania</w:t>
      </w:r>
      <w:r w:rsidR="008B35E8" w:rsidRPr="002866E5">
        <w:rPr>
          <w:noProof/>
        </w:rPr>
        <w:t>. W</w:t>
      </w:r>
      <w:r w:rsidR="008B35E8">
        <w:rPr>
          <w:noProof/>
        </w:rPr>
        <w:t> </w:t>
      </w:r>
      <w:r w:rsidR="008B35E8" w:rsidRPr="002866E5">
        <w:rPr>
          <w:noProof/>
        </w:rPr>
        <w:t>prz</w:t>
      </w:r>
      <w:r w:rsidR="00506447" w:rsidRPr="002866E5">
        <w:rPr>
          <w:noProof/>
        </w:rPr>
        <w:t>ypadku gdy produkt</w:t>
      </w:r>
      <w:r w:rsidR="008B35E8" w:rsidRPr="002866E5">
        <w:rPr>
          <w:noProof/>
        </w:rPr>
        <w:t xml:space="preserve"> z</w:t>
      </w:r>
      <w:r w:rsidR="008B35E8">
        <w:rPr>
          <w:noProof/>
        </w:rPr>
        <w:t> </w:t>
      </w:r>
      <w:r w:rsidR="008B35E8" w:rsidRPr="002866E5">
        <w:rPr>
          <w:noProof/>
        </w:rPr>
        <w:t>ele</w:t>
      </w:r>
      <w:r w:rsidR="00506447" w:rsidRPr="002866E5">
        <w:rPr>
          <w:noProof/>
        </w:rPr>
        <w:t>mentami cyfrowymi podlega innym przepisom Unii,</w:t>
      </w:r>
      <w:r w:rsidR="008B35E8" w:rsidRPr="002866E5">
        <w:rPr>
          <w:noProof/>
        </w:rPr>
        <w:t xml:space="preserve"> w</w:t>
      </w:r>
      <w:r w:rsidR="008B35E8">
        <w:rPr>
          <w:noProof/>
        </w:rPr>
        <w:t> </w:t>
      </w:r>
      <w:r w:rsidR="008B35E8" w:rsidRPr="002866E5">
        <w:rPr>
          <w:noProof/>
        </w:rPr>
        <w:t>któ</w:t>
      </w:r>
      <w:r w:rsidR="00506447" w:rsidRPr="002866E5">
        <w:rPr>
          <w:noProof/>
        </w:rPr>
        <w:t>rych również przewiduje się umieszczenie oznakowania CE, oznakowanie to wskazuje, że produkt spełnia również wymogi określone</w:t>
      </w:r>
      <w:r w:rsidR="008B35E8" w:rsidRPr="002866E5">
        <w:rPr>
          <w:noProof/>
        </w:rPr>
        <w:t xml:space="preserve"> w</w:t>
      </w:r>
      <w:r w:rsidR="008B35E8">
        <w:rPr>
          <w:noProof/>
        </w:rPr>
        <w:t> </w:t>
      </w:r>
      <w:r w:rsidR="008B35E8" w:rsidRPr="002866E5">
        <w:rPr>
          <w:noProof/>
        </w:rPr>
        <w:t>tyc</w:t>
      </w:r>
      <w:r w:rsidR="00506447" w:rsidRPr="002866E5">
        <w:rPr>
          <w:noProof/>
        </w:rPr>
        <w:t>h innych przepisach.</w:t>
      </w:r>
    </w:p>
    <w:p w14:paraId="67ED87E2" w14:textId="024EB360" w:rsidR="00180226" w:rsidRPr="002866E5" w:rsidRDefault="00B4087C" w:rsidP="00B4087C">
      <w:pPr>
        <w:pStyle w:val="ManualNumPar1"/>
        <w:rPr>
          <w:noProof/>
        </w:rPr>
      </w:pPr>
      <w:r w:rsidRPr="00B4087C">
        <w:t>6.</w:t>
      </w:r>
      <w:r w:rsidRPr="00B4087C">
        <w:tab/>
      </w:r>
      <w:r w:rsidR="00180226" w:rsidRPr="002866E5">
        <w:rPr>
          <w:noProof/>
        </w:rPr>
        <w:t>Komisja może –</w:t>
      </w:r>
      <w:r w:rsidR="008B35E8" w:rsidRPr="002866E5">
        <w:rPr>
          <w:noProof/>
        </w:rPr>
        <w:t xml:space="preserve"> w</w:t>
      </w:r>
      <w:r w:rsidR="008B35E8">
        <w:rPr>
          <w:noProof/>
        </w:rPr>
        <w:t> </w:t>
      </w:r>
      <w:r w:rsidR="008B35E8" w:rsidRPr="002866E5">
        <w:rPr>
          <w:noProof/>
        </w:rPr>
        <w:t>dro</w:t>
      </w:r>
      <w:r w:rsidR="00180226" w:rsidRPr="002866E5">
        <w:rPr>
          <w:noProof/>
        </w:rPr>
        <w:t>dze aktów wykonawczych – ustanowić specyfikacje techniczne piktogramów lub wszelkich innych oznakowań związanych</w:t>
      </w:r>
      <w:r w:rsidR="008B35E8" w:rsidRPr="002866E5">
        <w:rPr>
          <w:noProof/>
        </w:rPr>
        <w:t xml:space="preserve"> z</w:t>
      </w:r>
      <w:r w:rsidR="008B35E8">
        <w:rPr>
          <w:noProof/>
        </w:rPr>
        <w:t> </w:t>
      </w:r>
      <w:r w:rsidR="008B35E8" w:rsidRPr="002866E5">
        <w:rPr>
          <w:noProof/>
        </w:rPr>
        <w:t>bez</w:t>
      </w:r>
      <w:r w:rsidR="00180226" w:rsidRPr="002866E5">
        <w:rPr>
          <w:noProof/>
        </w:rPr>
        <w:t>pieczeństwem produktów</w:t>
      </w:r>
      <w:r w:rsidR="008B35E8" w:rsidRPr="002866E5">
        <w:rPr>
          <w:noProof/>
        </w:rPr>
        <w:t xml:space="preserve"> z</w:t>
      </w:r>
      <w:r w:rsidR="008B35E8">
        <w:rPr>
          <w:noProof/>
        </w:rPr>
        <w:t> </w:t>
      </w:r>
      <w:r w:rsidR="008B35E8" w:rsidRPr="002866E5">
        <w:rPr>
          <w:noProof/>
        </w:rPr>
        <w:t>ele</w:t>
      </w:r>
      <w:r w:rsidR="00180226" w:rsidRPr="002866E5">
        <w:rPr>
          <w:noProof/>
        </w:rPr>
        <w:t>mentami cyfrowymi oraz mechanizmy zachęcające do ich stosowania. Te akty wykonawcze przyjmuje się zgodnie</w:t>
      </w:r>
      <w:r w:rsidR="008B35E8" w:rsidRPr="002866E5">
        <w:rPr>
          <w:noProof/>
        </w:rPr>
        <w:t xml:space="preserve"> z</w:t>
      </w:r>
      <w:r w:rsidR="008B35E8">
        <w:rPr>
          <w:noProof/>
        </w:rPr>
        <w:t> </w:t>
      </w:r>
      <w:r w:rsidR="008B35E8" w:rsidRPr="002866E5">
        <w:rPr>
          <w:noProof/>
        </w:rPr>
        <w:t>pro</w:t>
      </w:r>
      <w:r w:rsidR="00180226" w:rsidRPr="002866E5">
        <w:rPr>
          <w:noProof/>
        </w:rPr>
        <w:t>cedurą sprawdzającą,</w:t>
      </w:r>
      <w:r w:rsidR="008B35E8" w:rsidRPr="002866E5">
        <w:rPr>
          <w:noProof/>
        </w:rPr>
        <w:t xml:space="preserve"> o</w:t>
      </w:r>
      <w:r w:rsidR="008B35E8">
        <w:rPr>
          <w:noProof/>
        </w:rPr>
        <w:t> </w:t>
      </w:r>
      <w:r w:rsidR="008B35E8" w:rsidRPr="002866E5">
        <w:rPr>
          <w:noProof/>
        </w:rPr>
        <w:t>któ</w:t>
      </w:r>
      <w:r w:rsidR="00180226" w:rsidRPr="002866E5">
        <w:rPr>
          <w:noProof/>
        </w:rPr>
        <w:t>rej mowa</w:t>
      </w:r>
      <w:r w:rsidR="008B35E8" w:rsidRPr="002866E5">
        <w:rPr>
          <w:noProof/>
        </w:rPr>
        <w:t xml:space="preserve"> w</w:t>
      </w:r>
      <w:r w:rsidR="008B35E8">
        <w:rPr>
          <w:noProof/>
        </w:rPr>
        <w:t> </w:t>
      </w:r>
      <w:r w:rsidR="008B35E8" w:rsidRPr="008B35E8">
        <w:rPr>
          <w:noProof/>
        </w:rPr>
        <w:t>art</w:t>
      </w:r>
      <w:r w:rsidR="00180226" w:rsidRPr="008B35E8">
        <w:rPr>
          <w:noProof/>
        </w:rPr>
        <w:t>.</w:t>
      </w:r>
      <w:r w:rsidR="008B35E8" w:rsidRPr="008B35E8">
        <w:rPr>
          <w:noProof/>
        </w:rPr>
        <w:t> </w:t>
      </w:r>
      <w:r w:rsidR="00180226" w:rsidRPr="008B35E8">
        <w:rPr>
          <w:noProof/>
        </w:rPr>
        <w:t>5</w:t>
      </w:r>
      <w:r w:rsidR="00180226" w:rsidRPr="002866E5">
        <w:rPr>
          <w:noProof/>
        </w:rPr>
        <w:t xml:space="preserve">1 </w:t>
      </w:r>
      <w:r w:rsidR="00180226" w:rsidRPr="008B35E8">
        <w:rPr>
          <w:noProof/>
        </w:rPr>
        <w:t>ust.</w:t>
      </w:r>
      <w:r w:rsidR="008B35E8" w:rsidRPr="008B35E8">
        <w:rPr>
          <w:noProof/>
        </w:rPr>
        <w:t> </w:t>
      </w:r>
      <w:r w:rsidR="00180226" w:rsidRPr="008B35E8">
        <w:rPr>
          <w:noProof/>
        </w:rPr>
        <w:t>2</w:t>
      </w:r>
      <w:r w:rsidR="00180226" w:rsidRPr="002866E5">
        <w:rPr>
          <w:noProof/>
        </w:rPr>
        <w:t>.</w:t>
      </w:r>
    </w:p>
    <w:p w14:paraId="67ED87E3" w14:textId="41EA4C09" w:rsidR="00B24AB1" w:rsidRPr="002866E5" w:rsidRDefault="00B24AB1" w:rsidP="0027065F">
      <w:pPr>
        <w:pStyle w:val="Titrearticle0"/>
        <w:rPr>
          <w:noProof/>
        </w:rPr>
      </w:pPr>
      <w:r w:rsidRPr="002866E5">
        <w:rPr>
          <w:noProof/>
        </w:rPr>
        <w:t>Artykuł 23</w:t>
      </w:r>
    </w:p>
    <w:p w14:paraId="67ED87E4" w14:textId="77777777" w:rsidR="00B24AB1" w:rsidRPr="002866E5" w:rsidRDefault="00B24AB1" w:rsidP="00084E38">
      <w:pPr>
        <w:jc w:val="center"/>
        <w:rPr>
          <w:i/>
          <w:noProof/>
        </w:rPr>
      </w:pPr>
      <w:r w:rsidRPr="002866E5">
        <w:rPr>
          <w:i/>
          <w:noProof/>
        </w:rPr>
        <w:t xml:space="preserve">Dokumentacja techniczna </w:t>
      </w:r>
    </w:p>
    <w:p w14:paraId="67ED87E5" w14:textId="10E6D38E" w:rsidR="00B24AB1" w:rsidRPr="002866E5" w:rsidRDefault="00B4087C" w:rsidP="00B4087C">
      <w:pPr>
        <w:pStyle w:val="ManualNumPar1"/>
        <w:rPr>
          <w:noProof/>
        </w:rPr>
      </w:pPr>
      <w:r w:rsidRPr="00B4087C">
        <w:t>1.</w:t>
      </w:r>
      <w:r w:rsidRPr="00B4087C">
        <w:tab/>
      </w:r>
      <w:r w:rsidR="00B24AB1" w:rsidRPr="002866E5">
        <w:rPr>
          <w:noProof/>
        </w:rPr>
        <w:t>Dokumentacja techniczna zawiera wszelkie istotne dane lub informacje szczegółowe dotyczące środków zastosowanych przez producenta</w:t>
      </w:r>
      <w:r w:rsidR="008B35E8" w:rsidRPr="002866E5">
        <w:rPr>
          <w:noProof/>
        </w:rPr>
        <w:t xml:space="preserve"> w</w:t>
      </w:r>
      <w:r w:rsidR="008B35E8">
        <w:rPr>
          <w:noProof/>
        </w:rPr>
        <w:t> </w:t>
      </w:r>
      <w:r w:rsidR="008B35E8" w:rsidRPr="002866E5">
        <w:rPr>
          <w:noProof/>
        </w:rPr>
        <w:t>cel</w:t>
      </w:r>
      <w:r w:rsidR="00B24AB1" w:rsidRPr="002866E5">
        <w:rPr>
          <w:noProof/>
        </w:rPr>
        <w:t>u zapewnienia, aby produkt</w:t>
      </w:r>
      <w:r w:rsidR="008B35E8" w:rsidRPr="002866E5">
        <w:rPr>
          <w:noProof/>
        </w:rPr>
        <w:t xml:space="preserve"> z</w:t>
      </w:r>
      <w:r w:rsidR="008B35E8">
        <w:rPr>
          <w:noProof/>
        </w:rPr>
        <w:t> </w:t>
      </w:r>
      <w:r w:rsidR="008B35E8" w:rsidRPr="002866E5">
        <w:rPr>
          <w:noProof/>
        </w:rPr>
        <w:t>ele</w:t>
      </w:r>
      <w:r w:rsidR="00B24AB1" w:rsidRPr="002866E5">
        <w:rPr>
          <w:noProof/>
        </w:rPr>
        <w:t>mentami cyfrowymi oraz procedury wprowadzone przez producenta spełniały zasadnicze wymogi określone</w:t>
      </w:r>
      <w:r w:rsidR="008B35E8" w:rsidRPr="002866E5">
        <w:rPr>
          <w:noProof/>
        </w:rPr>
        <w:t xml:space="preserve"> w</w:t>
      </w:r>
      <w:r w:rsidR="008B35E8">
        <w:rPr>
          <w:noProof/>
        </w:rPr>
        <w:t> </w:t>
      </w:r>
      <w:r w:rsidR="008B35E8" w:rsidRPr="002866E5">
        <w:rPr>
          <w:noProof/>
        </w:rPr>
        <w:t>zał</w:t>
      </w:r>
      <w:r w:rsidR="00B24AB1" w:rsidRPr="002866E5">
        <w:rPr>
          <w:noProof/>
        </w:rPr>
        <w:t>ączniku I. Zawiera ona co najmniej elementy określone</w:t>
      </w:r>
      <w:r w:rsidR="008B35E8" w:rsidRPr="002866E5">
        <w:rPr>
          <w:noProof/>
        </w:rPr>
        <w:t xml:space="preserve"> w</w:t>
      </w:r>
      <w:r w:rsidR="008B35E8">
        <w:rPr>
          <w:noProof/>
        </w:rPr>
        <w:t> </w:t>
      </w:r>
      <w:r w:rsidR="008B35E8" w:rsidRPr="002866E5">
        <w:rPr>
          <w:noProof/>
        </w:rPr>
        <w:t>zał</w:t>
      </w:r>
      <w:r w:rsidR="00B24AB1" w:rsidRPr="002866E5">
        <w:rPr>
          <w:noProof/>
        </w:rPr>
        <w:t>ączniku V.</w:t>
      </w:r>
    </w:p>
    <w:p w14:paraId="67ED87E6" w14:textId="24D81693" w:rsidR="00B24AB1" w:rsidRPr="002866E5" w:rsidRDefault="00B4087C" w:rsidP="00B4087C">
      <w:pPr>
        <w:pStyle w:val="ManualNumPar1"/>
        <w:rPr>
          <w:noProof/>
        </w:rPr>
      </w:pPr>
      <w:r w:rsidRPr="00B4087C">
        <w:t>2.</w:t>
      </w:r>
      <w:r w:rsidRPr="00B4087C">
        <w:tab/>
      </w:r>
      <w:r w:rsidR="00B24AB1" w:rsidRPr="002866E5">
        <w:rPr>
          <w:noProof/>
        </w:rPr>
        <w:t>Dokumentację techniczną sporządza się przed wprowadzeniem do obrotu produktu</w:t>
      </w:r>
      <w:r w:rsidR="008B35E8" w:rsidRPr="002866E5">
        <w:rPr>
          <w:noProof/>
        </w:rPr>
        <w:t xml:space="preserve"> z</w:t>
      </w:r>
      <w:r w:rsidR="008B35E8">
        <w:rPr>
          <w:noProof/>
        </w:rPr>
        <w:t> </w:t>
      </w:r>
      <w:r w:rsidR="008B35E8" w:rsidRPr="002866E5">
        <w:rPr>
          <w:noProof/>
        </w:rPr>
        <w:t>ele</w:t>
      </w:r>
      <w:r w:rsidR="00B24AB1" w:rsidRPr="002866E5">
        <w:rPr>
          <w:noProof/>
        </w:rPr>
        <w:t>mentami cyfrowymi i –</w:t>
      </w:r>
      <w:r w:rsidR="008B35E8" w:rsidRPr="002866E5">
        <w:rPr>
          <w:noProof/>
        </w:rPr>
        <w:t xml:space="preserve"> w</w:t>
      </w:r>
      <w:r w:rsidR="008B35E8">
        <w:rPr>
          <w:noProof/>
        </w:rPr>
        <w:t> </w:t>
      </w:r>
      <w:r w:rsidR="008B35E8" w:rsidRPr="002866E5">
        <w:rPr>
          <w:noProof/>
        </w:rPr>
        <w:t>raz</w:t>
      </w:r>
      <w:r w:rsidR="00B24AB1" w:rsidRPr="002866E5">
        <w:rPr>
          <w:noProof/>
        </w:rPr>
        <w:t>ie potrzeby – jest ona stale aktualizowana podczas przewidywanego okresu eksploatacji produktu lub</w:t>
      </w:r>
      <w:r w:rsidR="008B35E8" w:rsidRPr="002866E5">
        <w:rPr>
          <w:noProof/>
        </w:rPr>
        <w:t xml:space="preserve"> w</w:t>
      </w:r>
      <w:r w:rsidR="008B35E8">
        <w:rPr>
          <w:noProof/>
        </w:rPr>
        <w:t> </w:t>
      </w:r>
      <w:r w:rsidR="008B35E8" w:rsidRPr="002866E5">
        <w:rPr>
          <w:noProof/>
        </w:rPr>
        <w:t>okr</w:t>
      </w:r>
      <w:r w:rsidR="00B24AB1" w:rsidRPr="002866E5">
        <w:rPr>
          <w:noProof/>
        </w:rPr>
        <w:t>esie pięciu lat od wprowadzenia do obrotu produktu</w:t>
      </w:r>
      <w:r w:rsidR="008B35E8" w:rsidRPr="002866E5">
        <w:rPr>
          <w:noProof/>
        </w:rPr>
        <w:t xml:space="preserve"> z</w:t>
      </w:r>
      <w:r w:rsidR="008B35E8">
        <w:rPr>
          <w:noProof/>
        </w:rPr>
        <w:t> </w:t>
      </w:r>
      <w:r w:rsidR="008B35E8" w:rsidRPr="002866E5">
        <w:rPr>
          <w:noProof/>
        </w:rPr>
        <w:t>ele</w:t>
      </w:r>
      <w:r w:rsidR="00B24AB1" w:rsidRPr="002866E5">
        <w:rPr>
          <w:noProof/>
        </w:rPr>
        <w:t>mentami cyfrowymi,</w:t>
      </w:r>
      <w:r w:rsidR="008B35E8" w:rsidRPr="002866E5">
        <w:rPr>
          <w:noProof/>
        </w:rPr>
        <w:t xml:space="preserve"> w</w:t>
      </w:r>
      <w:r w:rsidR="008B35E8">
        <w:rPr>
          <w:noProof/>
        </w:rPr>
        <w:t> </w:t>
      </w:r>
      <w:r w:rsidR="008B35E8" w:rsidRPr="002866E5">
        <w:rPr>
          <w:noProof/>
        </w:rPr>
        <w:t>zal</w:t>
      </w:r>
      <w:r w:rsidR="00B24AB1" w:rsidRPr="002866E5">
        <w:rPr>
          <w:noProof/>
        </w:rPr>
        <w:t>eżności od tego, który</w:t>
      </w:r>
      <w:r w:rsidR="008B35E8" w:rsidRPr="002866E5">
        <w:rPr>
          <w:noProof/>
        </w:rPr>
        <w:t xml:space="preserve"> z</w:t>
      </w:r>
      <w:r w:rsidR="008B35E8">
        <w:rPr>
          <w:noProof/>
        </w:rPr>
        <w:t> </w:t>
      </w:r>
      <w:r w:rsidR="008B35E8" w:rsidRPr="002866E5">
        <w:rPr>
          <w:noProof/>
        </w:rPr>
        <w:t>tyc</w:t>
      </w:r>
      <w:r w:rsidR="00B24AB1" w:rsidRPr="002866E5">
        <w:rPr>
          <w:noProof/>
        </w:rPr>
        <w:t xml:space="preserve">h okresów jest krótszy. </w:t>
      </w:r>
    </w:p>
    <w:p w14:paraId="67ED87E7" w14:textId="3378300C" w:rsidR="00BC4042" w:rsidRPr="002866E5" w:rsidRDefault="00B4087C" w:rsidP="00B4087C">
      <w:pPr>
        <w:pStyle w:val="ManualNumPar1"/>
        <w:rPr>
          <w:noProof/>
        </w:rPr>
      </w:pPr>
      <w:r w:rsidRPr="00B4087C">
        <w:t>3.</w:t>
      </w:r>
      <w:r w:rsidRPr="00B4087C">
        <w:tab/>
      </w:r>
      <w:r w:rsidR="00BC4042" w:rsidRPr="002866E5">
        <w:rPr>
          <w:noProof/>
        </w:rPr>
        <w:t>W przypadku produktów</w:t>
      </w:r>
      <w:r w:rsidR="008B35E8" w:rsidRPr="002866E5">
        <w:rPr>
          <w:noProof/>
        </w:rPr>
        <w:t xml:space="preserve"> z</w:t>
      </w:r>
      <w:r w:rsidR="008B35E8">
        <w:rPr>
          <w:noProof/>
        </w:rPr>
        <w:t> </w:t>
      </w:r>
      <w:r w:rsidR="008B35E8" w:rsidRPr="002866E5">
        <w:rPr>
          <w:noProof/>
        </w:rPr>
        <w:t>ele</w:t>
      </w:r>
      <w:r w:rsidR="00BC4042" w:rsidRPr="002866E5">
        <w:rPr>
          <w:noProof/>
        </w:rPr>
        <w:t>mentami cyfrowymi,</w:t>
      </w:r>
      <w:r w:rsidR="008B35E8" w:rsidRPr="002866E5">
        <w:rPr>
          <w:noProof/>
        </w:rPr>
        <w:t xml:space="preserve"> o</w:t>
      </w:r>
      <w:r w:rsidR="008B35E8">
        <w:rPr>
          <w:noProof/>
        </w:rPr>
        <w:t> </w:t>
      </w:r>
      <w:r w:rsidR="008B35E8" w:rsidRPr="002866E5">
        <w:rPr>
          <w:noProof/>
        </w:rPr>
        <w:t>któ</w:t>
      </w:r>
      <w:r w:rsidR="00BC4042" w:rsidRPr="002866E5">
        <w:rPr>
          <w:noProof/>
        </w:rPr>
        <w:t>rych mowa</w:t>
      </w:r>
      <w:r w:rsidR="008B35E8" w:rsidRPr="002866E5">
        <w:rPr>
          <w:noProof/>
        </w:rPr>
        <w:t xml:space="preserve"> w</w:t>
      </w:r>
      <w:r w:rsidR="008B35E8">
        <w:rPr>
          <w:noProof/>
        </w:rPr>
        <w:t> </w:t>
      </w:r>
      <w:r w:rsidR="008B35E8" w:rsidRPr="008B35E8">
        <w:rPr>
          <w:noProof/>
        </w:rPr>
        <w:t>art</w:t>
      </w:r>
      <w:r w:rsidR="00BC4042" w:rsidRPr="008B35E8">
        <w:rPr>
          <w:noProof/>
        </w:rPr>
        <w:t>.</w:t>
      </w:r>
      <w:r w:rsidR="008B35E8" w:rsidRPr="008B35E8">
        <w:rPr>
          <w:noProof/>
        </w:rPr>
        <w:t> </w:t>
      </w:r>
      <w:r w:rsidR="00BC4042" w:rsidRPr="008B35E8">
        <w:rPr>
          <w:noProof/>
        </w:rPr>
        <w:t>8</w:t>
      </w:r>
      <w:r w:rsidR="008B35E8" w:rsidRPr="002866E5">
        <w:rPr>
          <w:noProof/>
        </w:rPr>
        <w:t xml:space="preserve"> i</w:t>
      </w:r>
      <w:r w:rsidR="008B35E8">
        <w:rPr>
          <w:noProof/>
        </w:rPr>
        <w:t> </w:t>
      </w:r>
      <w:r w:rsidR="008B35E8" w:rsidRPr="008B35E8">
        <w:rPr>
          <w:noProof/>
        </w:rPr>
        <w:t>art</w:t>
      </w:r>
      <w:r w:rsidR="00BC4042" w:rsidRPr="008B35E8">
        <w:rPr>
          <w:noProof/>
        </w:rPr>
        <w:t>.</w:t>
      </w:r>
      <w:r w:rsidR="008B35E8" w:rsidRPr="008B35E8">
        <w:rPr>
          <w:noProof/>
        </w:rPr>
        <w:t> </w:t>
      </w:r>
      <w:r w:rsidR="00BC4042" w:rsidRPr="008B35E8">
        <w:rPr>
          <w:noProof/>
        </w:rPr>
        <w:t>2</w:t>
      </w:r>
      <w:r w:rsidR="00BC4042" w:rsidRPr="002866E5">
        <w:rPr>
          <w:noProof/>
        </w:rPr>
        <w:t xml:space="preserve">4 </w:t>
      </w:r>
      <w:r w:rsidR="00BC4042" w:rsidRPr="008B35E8">
        <w:rPr>
          <w:noProof/>
        </w:rPr>
        <w:t>ust.</w:t>
      </w:r>
      <w:r w:rsidR="008B35E8" w:rsidRPr="008B35E8">
        <w:rPr>
          <w:noProof/>
        </w:rPr>
        <w:t> </w:t>
      </w:r>
      <w:r w:rsidR="00BC4042" w:rsidRPr="008B35E8">
        <w:rPr>
          <w:noProof/>
        </w:rPr>
        <w:t>4</w:t>
      </w:r>
      <w:r w:rsidR="00BC4042" w:rsidRPr="002866E5">
        <w:rPr>
          <w:noProof/>
        </w:rPr>
        <w:t>, podlegających również innym aktom Unii, sporządza się jedną dokumentację techniczną zawierającą informacje,</w:t>
      </w:r>
      <w:r w:rsidR="008B35E8" w:rsidRPr="002866E5">
        <w:rPr>
          <w:noProof/>
        </w:rPr>
        <w:t xml:space="preserve"> o</w:t>
      </w:r>
      <w:r w:rsidR="008B35E8">
        <w:rPr>
          <w:noProof/>
        </w:rPr>
        <w:t> </w:t>
      </w:r>
      <w:r w:rsidR="008B35E8" w:rsidRPr="002866E5">
        <w:rPr>
          <w:noProof/>
        </w:rPr>
        <w:t>któ</w:t>
      </w:r>
      <w:r w:rsidR="00BC4042" w:rsidRPr="002866E5">
        <w:rPr>
          <w:noProof/>
        </w:rPr>
        <w:t>rych mowa</w:t>
      </w:r>
      <w:r w:rsidR="008B35E8" w:rsidRPr="002866E5">
        <w:rPr>
          <w:noProof/>
        </w:rPr>
        <w:t xml:space="preserve"> w</w:t>
      </w:r>
      <w:r w:rsidR="008B35E8">
        <w:rPr>
          <w:noProof/>
        </w:rPr>
        <w:t> </w:t>
      </w:r>
      <w:r w:rsidR="008B35E8" w:rsidRPr="002866E5">
        <w:rPr>
          <w:noProof/>
        </w:rPr>
        <w:t>zał</w:t>
      </w:r>
      <w:r w:rsidR="00BC4042" w:rsidRPr="002866E5">
        <w:rPr>
          <w:noProof/>
        </w:rPr>
        <w:t>ączniku V do niniejszego rozporządzenia, oraz informacje wymagane</w:t>
      </w:r>
      <w:r w:rsidR="008B35E8" w:rsidRPr="002866E5">
        <w:rPr>
          <w:noProof/>
        </w:rPr>
        <w:t xml:space="preserve"> w</w:t>
      </w:r>
      <w:r w:rsidR="008B35E8">
        <w:rPr>
          <w:noProof/>
        </w:rPr>
        <w:t> </w:t>
      </w:r>
      <w:r w:rsidR="008B35E8" w:rsidRPr="002866E5">
        <w:rPr>
          <w:noProof/>
        </w:rPr>
        <w:t>tyc</w:t>
      </w:r>
      <w:r w:rsidR="00BC4042" w:rsidRPr="002866E5">
        <w:rPr>
          <w:noProof/>
        </w:rPr>
        <w:t>h odpowiednich aktach Unii.</w:t>
      </w:r>
    </w:p>
    <w:p w14:paraId="67ED87E8" w14:textId="24678C25" w:rsidR="00B24AB1" w:rsidRPr="002866E5" w:rsidRDefault="00B4087C" w:rsidP="00B4087C">
      <w:pPr>
        <w:pStyle w:val="ManualNumPar1"/>
        <w:rPr>
          <w:noProof/>
        </w:rPr>
      </w:pPr>
      <w:r w:rsidRPr="00B4087C">
        <w:t>4.</w:t>
      </w:r>
      <w:r w:rsidRPr="00B4087C">
        <w:tab/>
      </w:r>
      <w:r w:rsidR="00B24AB1" w:rsidRPr="002866E5">
        <w:rPr>
          <w:noProof/>
        </w:rPr>
        <w:t>Dokumentację techniczną</w:t>
      </w:r>
      <w:r w:rsidR="008B35E8" w:rsidRPr="002866E5">
        <w:rPr>
          <w:noProof/>
        </w:rPr>
        <w:t xml:space="preserve"> i</w:t>
      </w:r>
      <w:r w:rsidR="008B35E8">
        <w:rPr>
          <w:noProof/>
        </w:rPr>
        <w:t> </w:t>
      </w:r>
      <w:r w:rsidR="008B35E8" w:rsidRPr="002866E5">
        <w:rPr>
          <w:noProof/>
        </w:rPr>
        <w:t>kor</w:t>
      </w:r>
      <w:r w:rsidR="00B24AB1" w:rsidRPr="002866E5">
        <w:rPr>
          <w:noProof/>
        </w:rPr>
        <w:t>espondencję odnoszącą się do procedury oceny zgodności sporządza się</w:t>
      </w:r>
      <w:r w:rsidR="008B35E8" w:rsidRPr="002866E5">
        <w:rPr>
          <w:noProof/>
        </w:rPr>
        <w:t xml:space="preserve"> w</w:t>
      </w:r>
      <w:r w:rsidR="008B35E8">
        <w:rPr>
          <w:noProof/>
        </w:rPr>
        <w:t> </w:t>
      </w:r>
      <w:r w:rsidR="008B35E8" w:rsidRPr="002866E5">
        <w:rPr>
          <w:noProof/>
        </w:rPr>
        <w:t>jęz</w:t>
      </w:r>
      <w:r w:rsidR="00B24AB1" w:rsidRPr="002866E5">
        <w:rPr>
          <w:noProof/>
        </w:rPr>
        <w:t>yku urzędowym państwa członkowskiego,</w:t>
      </w:r>
      <w:r w:rsidR="008B35E8" w:rsidRPr="002866E5">
        <w:rPr>
          <w:noProof/>
        </w:rPr>
        <w:t xml:space="preserve"> w</w:t>
      </w:r>
      <w:r w:rsidR="008B35E8">
        <w:rPr>
          <w:noProof/>
        </w:rPr>
        <w:t> </w:t>
      </w:r>
      <w:r w:rsidR="008B35E8" w:rsidRPr="002866E5">
        <w:rPr>
          <w:noProof/>
        </w:rPr>
        <w:t>któ</w:t>
      </w:r>
      <w:r w:rsidR="00B24AB1" w:rsidRPr="002866E5">
        <w:rPr>
          <w:noProof/>
        </w:rPr>
        <w:t>rym ustanowiona jest jednostka notyfikowana, lub</w:t>
      </w:r>
      <w:r w:rsidR="008B35E8" w:rsidRPr="002866E5">
        <w:rPr>
          <w:noProof/>
        </w:rPr>
        <w:t xml:space="preserve"> w</w:t>
      </w:r>
      <w:r w:rsidR="008B35E8">
        <w:rPr>
          <w:noProof/>
        </w:rPr>
        <w:t> </w:t>
      </w:r>
      <w:r w:rsidR="008B35E8" w:rsidRPr="002866E5">
        <w:rPr>
          <w:noProof/>
        </w:rPr>
        <w:t>jęz</w:t>
      </w:r>
      <w:r w:rsidR="00B24AB1" w:rsidRPr="002866E5">
        <w:rPr>
          <w:noProof/>
        </w:rPr>
        <w:t>yku możliwym do przyjęcia przez tę jednostkę.</w:t>
      </w:r>
    </w:p>
    <w:p w14:paraId="67ED87E9" w14:textId="217519B2" w:rsidR="00A11A44" w:rsidRPr="002866E5" w:rsidRDefault="00B4087C" w:rsidP="00B4087C">
      <w:pPr>
        <w:pStyle w:val="ManualNumPar1"/>
        <w:rPr>
          <w:noProof/>
        </w:rPr>
      </w:pPr>
      <w:r w:rsidRPr="00B4087C">
        <w:t>5.</w:t>
      </w:r>
      <w:r w:rsidRPr="00B4087C">
        <w:tab/>
      </w:r>
      <w:r w:rsidR="00C15D3F" w:rsidRPr="002866E5">
        <w:rPr>
          <w:noProof/>
        </w:rPr>
        <w:t>Komisja jest uprawniona do przyjmowania aktów delegowanych zgodnie</w:t>
      </w:r>
      <w:r w:rsidR="008B35E8" w:rsidRPr="002866E5">
        <w:rPr>
          <w:noProof/>
        </w:rPr>
        <w:t xml:space="preserve"> z</w:t>
      </w:r>
      <w:r w:rsidR="008B35E8">
        <w:rPr>
          <w:noProof/>
        </w:rPr>
        <w:t> </w:t>
      </w:r>
      <w:r w:rsidR="008B35E8" w:rsidRPr="008B35E8">
        <w:rPr>
          <w:noProof/>
        </w:rPr>
        <w:t>art</w:t>
      </w:r>
      <w:r w:rsidR="00C15D3F" w:rsidRPr="008B35E8">
        <w:rPr>
          <w:noProof/>
        </w:rPr>
        <w:t>.</w:t>
      </w:r>
      <w:r w:rsidR="008B35E8" w:rsidRPr="008B35E8">
        <w:rPr>
          <w:noProof/>
        </w:rPr>
        <w:t> </w:t>
      </w:r>
      <w:r w:rsidR="00C15D3F" w:rsidRPr="008B35E8">
        <w:rPr>
          <w:noProof/>
        </w:rPr>
        <w:t>5</w:t>
      </w:r>
      <w:r w:rsidR="00C15D3F" w:rsidRPr="002866E5">
        <w:rPr>
          <w:noProof/>
        </w:rPr>
        <w:t>0</w:t>
      </w:r>
      <w:r w:rsidR="008B35E8" w:rsidRPr="002866E5">
        <w:rPr>
          <w:noProof/>
        </w:rPr>
        <w:t xml:space="preserve"> w</w:t>
      </w:r>
      <w:r w:rsidR="008B35E8">
        <w:rPr>
          <w:noProof/>
        </w:rPr>
        <w:t> </w:t>
      </w:r>
      <w:r w:rsidR="008B35E8" w:rsidRPr="002866E5">
        <w:rPr>
          <w:noProof/>
        </w:rPr>
        <w:t>cel</w:t>
      </w:r>
      <w:r w:rsidR="00C15D3F" w:rsidRPr="002866E5">
        <w:rPr>
          <w:noProof/>
        </w:rPr>
        <w:t>u uzupełnienia niniejszego rozporządzenia</w:t>
      </w:r>
      <w:r w:rsidR="008B35E8" w:rsidRPr="002866E5">
        <w:rPr>
          <w:noProof/>
        </w:rPr>
        <w:t xml:space="preserve"> o</w:t>
      </w:r>
      <w:r w:rsidR="008B35E8">
        <w:rPr>
          <w:noProof/>
        </w:rPr>
        <w:t> </w:t>
      </w:r>
      <w:r w:rsidR="008B35E8" w:rsidRPr="002866E5">
        <w:rPr>
          <w:noProof/>
        </w:rPr>
        <w:t>ele</w:t>
      </w:r>
      <w:r w:rsidR="00C15D3F" w:rsidRPr="002866E5">
        <w:rPr>
          <w:noProof/>
        </w:rPr>
        <w:t>menty, które należy włączyć do dokumentacji technicznej określonej</w:t>
      </w:r>
      <w:r w:rsidR="008B35E8" w:rsidRPr="002866E5">
        <w:rPr>
          <w:noProof/>
        </w:rPr>
        <w:t xml:space="preserve"> w</w:t>
      </w:r>
      <w:r w:rsidR="008B35E8">
        <w:rPr>
          <w:noProof/>
        </w:rPr>
        <w:t> </w:t>
      </w:r>
      <w:r w:rsidR="008B35E8" w:rsidRPr="002866E5">
        <w:rPr>
          <w:noProof/>
        </w:rPr>
        <w:t>zał</w:t>
      </w:r>
      <w:r w:rsidR="00C15D3F" w:rsidRPr="002866E5">
        <w:rPr>
          <w:noProof/>
        </w:rPr>
        <w:t>ączniku V, aby uwzględnić rozwój technologiczny, jak również</w:t>
      </w:r>
      <w:r w:rsidR="008B35E8" w:rsidRPr="002866E5">
        <w:rPr>
          <w:noProof/>
        </w:rPr>
        <w:t xml:space="preserve"> o</w:t>
      </w:r>
      <w:r w:rsidR="008B35E8">
        <w:rPr>
          <w:noProof/>
        </w:rPr>
        <w:t> </w:t>
      </w:r>
      <w:r w:rsidR="008B35E8" w:rsidRPr="002866E5">
        <w:rPr>
          <w:noProof/>
        </w:rPr>
        <w:t>zmi</w:t>
      </w:r>
      <w:r w:rsidR="00C15D3F" w:rsidRPr="002866E5">
        <w:rPr>
          <w:noProof/>
        </w:rPr>
        <w:t>any napotkane</w:t>
      </w:r>
      <w:r w:rsidR="008B35E8" w:rsidRPr="002866E5">
        <w:rPr>
          <w:noProof/>
        </w:rPr>
        <w:t xml:space="preserve"> w</w:t>
      </w:r>
      <w:r w:rsidR="008B35E8">
        <w:rPr>
          <w:noProof/>
        </w:rPr>
        <w:t> </w:t>
      </w:r>
      <w:r w:rsidR="008B35E8" w:rsidRPr="002866E5">
        <w:rPr>
          <w:noProof/>
        </w:rPr>
        <w:t>pro</w:t>
      </w:r>
      <w:r w:rsidR="00C15D3F" w:rsidRPr="002866E5">
        <w:rPr>
          <w:noProof/>
        </w:rPr>
        <w:t>cesie wdrażania niniejszego rozporządzenia.</w:t>
      </w:r>
    </w:p>
    <w:p w14:paraId="67ED87EA" w14:textId="16DF824B" w:rsidR="00506447" w:rsidRPr="002866E5" w:rsidRDefault="00506447" w:rsidP="0027065F">
      <w:pPr>
        <w:pStyle w:val="Titrearticle0"/>
        <w:rPr>
          <w:noProof/>
        </w:rPr>
      </w:pPr>
      <w:r w:rsidRPr="002866E5">
        <w:rPr>
          <w:noProof/>
        </w:rPr>
        <w:t>Artykuł 24</w:t>
      </w:r>
    </w:p>
    <w:p w14:paraId="67ED87EB" w14:textId="18A68E72" w:rsidR="00506447" w:rsidRPr="002866E5" w:rsidRDefault="00506447" w:rsidP="00084E38">
      <w:pPr>
        <w:jc w:val="center"/>
        <w:rPr>
          <w:i/>
          <w:noProof/>
        </w:rPr>
      </w:pPr>
      <w:r w:rsidRPr="002866E5">
        <w:rPr>
          <w:i/>
          <w:noProof/>
        </w:rPr>
        <w:t>Procedury oceny zgodności dotyczące produktów</w:t>
      </w:r>
      <w:r w:rsidR="008B35E8" w:rsidRPr="002866E5">
        <w:rPr>
          <w:i/>
          <w:noProof/>
        </w:rPr>
        <w:t xml:space="preserve"> z</w:t>
      </w:r>
      <w:r w:rsidR="008B35E8">
        <w:rPr>
          <w:i/>
          <w:noProof/>
        </w:rPr>
        <w:t> </w:t>
      </w:r>
      <w:r w:rsidR="008B35E8" w:rsidRPr="002866E5">
        <w:rPr>
          <w:i/>
          <w:noProof/>
        </w:rPr>
        <w:t>ele</w:t>
      </w:r>
      <w:r w:rsidRPr="002866E5">
        <w:rPr>
          <w:i/>
          <w:noProof/>
        </w:rPr>
        <w:t>mentami cyfrowymi</w:t>
      </w:r>
    </w:p>
    <w:p w14:paraId="67ED87EC" w14:textId="11A5D1FA" w:rsidR="00A4249D" w:rsidRPr="002866E5" w:rsidRDefault="00B4087C" w:rsidP="00B4087C">
      <w:pPr>
        <w:pStyle w:val="ManualNumPar1"/>
        <w:rPr>
          <w:noProof/>
        </w:rPr>
      </w:pPr>
      <w:r w:rsidRPr="00B4087C">
        <w:t>1.</w:t>
      </w:r>
      <w:r w:rsidRPr="00B4087C">
        <w:tab/>
      </w:r>
      <w:r w:rsidR="00506447" w:rsidRPr="002866E5">
        <w:rPr>
          <w:noProof/>
        </w:rPr>
        <w:t>Producent dokonuje oceny zgodności produktu</w:t>
      </w:r>
      <w:r w:rsidR="008B35E8" w:rsidRPr="002866E5">
        <w:rPr>
          <w:noProof/>
        </w:rPr>
        <w:t xml:space="preserve"> z</w:t>
      </w:r>
      <w:r w:rsidR="008B35E8">
        <w:rPr>
          <w:noProof/>
        </w:rPr>
        <w:t> </w:t>
      </w:r>
      <w:r w:rsidR="008B35E8" w:rsidRPr="002866E5">
        <w:rPr>
          <w:noProof/>
        </w:rPr>
        <w:t>ele</w:t>
      </w:r>
      <w:r w:rsidR="00506447" w:rsidRPr="002866E5">
        <w:rPr>
          <w:noProof/>
        </w:rPr>
        <w:t>mentami cyfrowymi</w:t>
      </w:r>
      <w:r w:rsidR="008B35E8" w:rsidRPr="002866E5">
        <w:rPr>
          <w:noProof/>
        </w:rPr>
        <w:t xml:space="preserve"> i</w:t>
      </w:r>
      <w:r w:rsidR="008B35E8">
        <w:rPr>
          <w:noProof/>
        </w:rPr>
        <w:t> </w:t>
      </w:r>
      <w:r w:rsidR="008B35E8" w:rsidRPr="002866E5">
        <w:rPr>
          <w:noProof/>
        </w:rPr>
        <w:t>pro</w:t>
      </w:r>
      <w:r w:rsidR="00506447" w:rsidRPr="002866E5">
        <w:rPr>
          <w:noProof/>
        </w:rPr>
        <w:t>cedur wprowadzonych przez producenta</w:t>
      </w:r>
      <w:r w:rsidR="008B35E8" w:rsidRPr="002866E5">
        <w:rPr>
          <w:noProof/>
        </w:rPr>
        <w:t xml:space="preserve"> w</w:t>
      </w:r>
      <w:r w:rsidR="008B35E8">
        <w:rPr>
          <w:noProof/>
        </w:rPr>
        <w:t> </w:t>
      </w:r>
      <w:r w:rsidR="008B35E8" w:rsidRPr="002866E5">
        <w:rPr>
          <w:noProof/>
        </w:rPr>
        <w:t>cel</w:t>
      </w:r>
      <w:r w:rsidR="00506447" w:rsidRPr="002866E5">
        <w:rPr>
          <w:noProof/>
        </w:rPr>
        <w:t>u ustalenia, czy spełniono zasadnicze wymogi określone</w:t>
      </w:r>
      <w:r w:rsidR="008B35E8" w:rsidRPr="002866E5">
        <w:rPr>
          <w:noProof/>
        </w:rPr>
        <w:t xml:space="preserve"> w</w:t>
      </w:r>
      <w:r w:rsidR="008B35E8">
        <w:rPr>
          <w:noProof/>
        </w:rPr>
        <w:t> </w:t>
      </w:r>
      <w:r w:rsidR="008B35E8" w:rsidRPr="002866E5">
        <w:rPr>
          <w:noProof/>
        </w:rPr>
        <w:t>zał</w:t>
      </w:r>
      <w:r w:rsidR="00506447" w:rsidRPr="002866E5">
        <w:rPr>
          <w:noProof/>
        </w:rPr>
        <w:t>ączniku I. Producent lub upoważniony przedstawiciel producenta wykazuje zgodność</w:t>
      </w:r>
      <w:r w:rsidR="008B35E8" w:rsidRPr="002866E5">
        <w:rPr>
          <w:noProof/>
        </w:rPr>
        <w:t xml:space="preserve"> z</w:t>
      </w:r>
      <w:r w:rsidR="008B35E8">
        <w:rPr>
          <w:noProof/>
        </w:rPr>
        <w:t> </w:t>
      </w:r>
      <w:r w:rsidR="008B35E8" w:rsidRPr="002866E5">
        <w:rPr>
          <w:noProof/>
        </w:rPr>
        <w:t>zas</w:t>
      </w:r>
      <w:r w:rsidR="00506447" w:rsidRPr="002866E5">
        <w:rPr>
          <w:noProof/>
        </w:rPr>
        <w:t>adniczymi wymogami, stosując jedną</w:t>
      </w:r>
      <w:r w:rsidR="008B35E8" w:rsidRPr="002866E5">
        <w:rPr>
          <w:noProof/>
        </w:rPr>
        <w:t xml:space="preserve"> z</w:t>
      </w:r>
      <w:r w:rsidR="008B35E8">
        <w:rPr>
          <w:noProof/>
        </w:rPr>
        <w:t> </w:t>
      </w:r>
      <w:r w:rsidR="008B35E8" w:rsidRPr="002866E5">
        <w:rPr>
          <w:noProof/>
        </w:rPr>
        <w:t>nas</w:t>
      </w:r>
      <w:r w:rsidR="00506447" w:rsidRPr="002866E5">
        <w:rPr>
          <w:noProof/>
        </w:rPr>
        <w:t xml:space="preserve">tępujących procedur: </w:t>
      </w:r>
    </w:p>
    <w:p w14:paraId="67ED87ED" w14:textId="75EBB370" w:rsidR="00A4249D" w:rsidRPr="002866E5" w:rsidRDefault="000340F9" w:rsidP="000340F9">
      <w:pPr>
        <w:pStyle w:val="Point1"/>
        <w:rPr>
          <w:noProof/>
        </w:rPr>
      </w:pPr>
      <w:r w:rsidRPr="000340F9">
        <w:rPr>
          <w:noProof/>
        </w:rPr>
        <w:lastRenderedPageBreak/>
        <w:t>a)</w:t>
      </w:r>
      <w:r w:rsidRPr="000340F9">
        <w:rPr>
          <w:noProof/>
        </w:rPr>
        <w:tab/>
      </w:r>
      <w:r w:rsidR="00A4249D" w:rsidRPr="002866E5">
        <w:rPr>
          <w:noProof/>
        </w:rPr>
        <w:t>procedurę kontroli wewnętrznej (zgodnie</w:t>
      </w:r>
      <w:r w:rsidR="008B35E8" w:rsidRPr="002866E5">
        <w:rPr>
          <w:noProof/>
        </w:rPr>
        <w:t xml:space="preserve"> z</w:t>
      </w:r>
      <w:r w:rsidR="008B35E8">
        <w:rPr>
          <w:noProof/>
        </w:rPr>
        <w:t> </w:t>
      </w:r>
      <w:r w:rsidR="008B35E8" w:rsidRPr="002866E5">
        <w:rPr>
          <w:noProof/>
        </w:rPr>
        <w:t>mod</w:t>
      </w:r>
      <w:r w:rsidR="00A4249D" w:rsidRPr="002866E5">
        <w:rPr>
          <w:noProof/>
        </w:rPr>
        <w:t>ułem A) określoną</w:t>
      </w:r>
      <w:r w:rsidR="008B35E8" w:rsidRPr="002866E5">
        <w:rPr>
          <w:noProof/>
        </w:rPr>
        <w:t xml:space="preserve"> w</w:t>
      </w:r>
      <w:r w:rsidR="008B35E8">
        <w:rPr>
          <w:noProof/>
        </w:rPr>
        <w:t> </w:t>
      </w:r>
      <w:r w:rsidR="008B35E8" w:rsidRPr="002866E5">
        <w:rPr>
          <w:noProof/>
        </w:rPr>
        <w:t>zał</w:t>
      </w:r>
      <w:r w:rsidR="00A4249D" w:rsidRPr="002866E5">
        <w:rPr>
          <w:noProof/>
        </w:rPr>
        <w:t xml:space="preserve">ączniku VI; lub </w:t>
      </w:r>
    </w:p>
    <w:p w14:paraId="67ED87EE" w14:textId="263A6EBB" w:rsidR="00A4249D" w:rsidRPr="002866E5" w:rsidRDefault="000340F9" w:rsidP="000340F9">
      <w:pPr>
        <w:pStyle w:val="Point1"/>
        <w:rPr>
          <w:noProof/>
        </w:rPr>
      </w:pPr>
      <w:r w:rsidRPr="000340F9">
        <w:rPr>
          <w:noProof/>
        </w:rPr>
        <w:t>b)</w:t>
      </w:r>
      <w:r w:rsidRPr="000340F9">
        <w:rPr>
          <w:noProof/>
        </w:rPr>
        <w:tab/>
      </w:r>
      <w:r w:rsidR="00BA2CB5" w:rsidRPr="002866E5">
        <w:rPr>
          <w:noProof/>
        </w:rPr>
        <w:t>procedurę badania typu UE (zgodnie</w:t>
      </w:r>
      <w:r w:rsidR="008B35E8" w:rsidRPr="002866E5">
        <w:rPr>
          <w:noProof/>
        </w:rPr>
        <w:t xml:space="preserve"> z</w:t>
      </w:r>
      <w:r w:rsidR="008B35E8">
        <w:rPr>
          <w:noProof/>
        </w:rPr>
        <w:t> </w:t>
      </w:r>
      <w:r w:rsidR="008B35E8" w:rsidRPr="002866E5">
        <w:rPr>
          <w:noProof/>
        </w:rPr>
        <w:t>mod</w:t>
      </w:r>
      <w:r w:rsidR="00BA2CB5" w:rsidRPr="002866E5">
        <w:rPr>
          <w:noProof/>
        </w:rPr>
        <w:t>ułem B) określoną</w:t>
      </w:r>
      <w:r w:rsidR="008B35E8" w:rsidRPr="002866E5">
        <w:rPr>
          <w:noProof/>
        </w:rPr>
        <w:t xml:space="preserve"> w</w:t>
      </w:r>
      <w:r w:rsidR="008B35E8">
        <w:rPr>
          <w:noProof/>
        </w:rPr>
        <w:t> </w:t>
      </w:r>
      <w:r w:rsidR="008B35E8" w:rsidRPr="002866E5">
        <w:rPr>
          <w:noProof/>
        </w:rPr>
        <w:t>zał</w:t>
      </w:r>
      <w:r w:rsidR="00BA2CB5" w:rsidRPr="002866E5">
        <w:rPr>
          <w:noProof/>
        </w:rPr>
        <w:t>ączniku VI, po której następuje badanie zgodności</w:t>
      </w:r>
      <w:r w:rsidR="008B35E8" w:rsidRPr="002866E5">
        <w:rPr>
          <w:noProof/>
        </w:rPr>
        <w:t xml:space="preserve"> z</w:t>
      </w:r>
      <w:r w:rsidR="008B35E8">
        <w:rPr>
          <w:noProof/>
        </w:rPr>
        <w:t> </w:t>
      </w:r>
      <w:r w:rsidR="008B35E8" w:rsidRPr="002866E5">
        <w:rPr>
          <w:noProof/>
        </w:rPr>
        <w:t>typ</w:t>
      </w:r>
      <w:r w:rsidR="00BA2CB5" w:rsidRPr="002866E5">
        <w:rPr>
          <w:noProof/>
        </w:rPr>
        <w:t>em UE</w:t>
      </w:r>
      <w:r w:rsidR="008B35E8" w:rsidRPr="002866E5">
        <w:rPr>
          <w:noProof/>
        </w:rPr>
        <w:t xml:space="preserve"> w</w:t>
      </w:r>
      <w:r w:rsidR="008B35E8">
        <w:rPr>
          <w:noProof/>
        </w:rPr>
        <w:t> </w:t>
      </w:r>
      <w:r w:rsidR="008B35E8" w:rsidRPr="002866E5">
        <w:rPr>
          <w:noProof/>
        </w:rPr>
        <w:t>opa</w:t>
      </w:r>
      <w:r w:rsidR="00BA2CB5" w:rsidRPr="002866E5">
        <w:rPr>
          <w:noProof/>
        </w:rPr>
        <w:t>rciu</w:t>
      </w:r>
      <w:r w:rsidR="008B35E8" w:rsidRPr="002866E5">
        <w:rPr>
          <w:noProof/>
        </w:rPr>
        <w:t xml:space="preserve"> o</w:t>
      </w:r>
      <w:r w:rsidR="008B35E8">
        <w:rPr>
          <w:noProof/>
        </w:rPr>
        <w:t> </w:t>
      </w:r>
      <w:r w:rsidR="008B35E8" w:rsidRPr="002866E5">
        <w:rPr>
          <w:noProof/>
        </w:rPr>
        <w:t>wew</w:t>
      </w:r>
      <w:r w:rsidR="00BA2CB5" w:rsidRPr="002866E5">
        <w:rPr>
          <w:noProof/>
        </w:rPr>
        <w:t>nętrzną kontrolę produkcji (zgodnie</w:t>
      </w:r>
      <w:r w:rsidR="008B35E8" w:rsidRPr="002866E5">
        <w:rPr>
          <w:noProof/>
        </w:rPr>
        <w:t xml:space="preserve"> z</w:t>
      </w:r>
      <w:r w:rsidR="008B35E8">
        <w:rPr>
          <w:noProof/>
        </w:rPr>
        <w:t> </w:t>
      </w:r>
      <w:r w:rsidR="008B35E8" w:rsidRPr="002866E5">
        <w:rPr>
          <w:noProof/>
        </w:rPr>
        <w:t>mod</w:t>
      </w:r>
      <w:r w:rsidR="00BA2CB5" w:rsidRPr="002866E5">
        <w:rPr>
          <w:noProof/>
        </w:rPr>
        <w:t>ułem C) określoną</w:t>
      </w:r>
      <w:r w:rsidR="008B35E8" w:rsidRPr="002866E5">
        <w:rPr>
          <w:noProof/>
        </w:rPr>
        <w:t xml:space="preserve"> w</w:t>
      </w:r>
      <w:r w:rsidR="008B35E8">
        <w:rPr>
          <w:noProof/>
        </w:rPr>
        <w:t> </w:t>
      </w:r>
      <w:r w:rsidR="008B35E8" w:rsidRPr="002866E5">
        <w:rPr>
          <w:noProof/>
        </w:rPr>
        <w:t>zał</w:t>
      </w:r>
      <w:r w:rsidR="00BA2CB5" w:rsidRPr="002866E5">
        <w:rPr>
          <w:noProof/>
        </w:rPr>
        <w:t>ączniku VI; lub</w:t>
      </w:r>
    </w:p>
    <w:p w14:paraId="67ED87EF" w14:textId="64D465AA" w:rsidR="00A4249D" w:rsidRPr="002866E5" w:rsidRDefault="000340F9" w:rsidP="000340F9">
      <w:pPr>
        <w:pStyle w:val="Point1"/>
        <w:rPr>
          <w:noProof/>
        </w:rPr>
      </w:pPr>
      <w:r w:rsidRPr="000340F9">
        <w:rPr>
          <w:noProof/>
        </w:rPr>
        <w:t>c)</w:t>
      </w:r>
      <w:r w:rsidRPr="000340F9">
        <w:rPr>
          <w:noProof/>
        </w:rPr>
        <w:tab/>
      </w:r>
      <w:r w:rsidR="00A52A73" w:rsidRPr="002866E5">
        <w:rPr>
          <w:noProof/>
        </w:rPr>
        <w:t>ocenę zgodności opartą na pełnym zapewnieniu jakości (zgodnie</w:t>
      </w:r>
      <w:r w:rsidR="008B35E8" w:rsidRPr="002866E5">
        <w:rPr>
          <w:noProof/>
        </w:rPr>
        <w:t xml:space="preserve"> z</w:t>
      </w:r>
      <w:r w:rsidR="008B35E8">
        <w:rPr>
          <w:noProof/>
        </w:rPr>
        <w:t> </w:t>
      </w:r>
      <w:r w:rsidR="008B35E8" w:rsidRPr="002866E5">
        <w:rPr>
          <w:noProof/>
        </w:rPr>
        <w:t>mod</w:t>
      </w:r>
      <w:r w:rsidR="00A52A73" w:rsidRPr="002866E5">
        <w:rPr>
          <w:noProof/>
        </w:rPr>
        <w:t>ułem H) określoną</w:t>
      </w:r>
      <w:r w:rsidR="008B35E8" w:rsidRPr="002866E5">
        <w:rPr>
          <w:noProof/>
        </w:rPr>
        <w:t xml:space="preserve"> w</w:t>
      </w:r>
      <w:r w:rsidR="008B35E8">
        <w:rPr>
          <w:noProof/>
        </w:rPr>
        <w:t> </w:t>
      </w:r>
      <w:r w:rsidR="008B35E8" w:rsidRPr="002866E5">
        <w:rPr>
          <w:noProof/>
        </w:rPr>
        <w:t>zał</w:t>
      </w:r>
      <w:r w:rsidR="00A52A73" w:rsidRPr="002866E5">
        <w:rPr>
          <w:noProof/>
        </w:rPr>
        <w:t xml:space="preserve">ączniku VI. </w:t>
      </w:r>
    </w:p>
    <w:p w14:paraId="67ED87F0" w14:textId="51610266" w:rsidR="005A7485" w:rsidRPr="002866E5" w:rsidRDefault="00B4087C" w:rsidP="00B4087C">
      <w:pPr>
        <w:pStyle w:val="ManualNumPar1"/>
        <w:rPr>
          <w:noProof/>
        </w:rPr>
      </w:pPr>
      <w:r w:rsidRPr="00B4087C">
        <w:t>2.</w:t>
      </w:r>
      <w:r w:rsidRPr="00B4087C">
        <w:tab/>
      </w:r>
      <w:r w:rsidR="005A7485" w:rsidRPr="002866E5">
        <w:rPr>
          <w:noProof/>
        </w:rPr>
        <w:t>Jeżeli przy ocenie zgodności produktu krytycznego</w:t>
      </w:r>
      <w:r w:rsidR="008B35E8" w:rsidRPr="002866E5">
        <w:rPr>
          <w:noProof/>
        </w:rPr>
        <w:t xml:space="preserve"> z</w:t>
      </w:r>
      <w:r w:rsidR="008B35E8">
        <w:rPr>
          <w:noProof/>
        </w:rPr>
        <w:t> </w:t>
      </w:r>
      <w:r w:rsidR="008B35E8" w:rsidRPr="002866E5">
        <w:rPr>
          <w:noProof/>
        </w:rPr>
        <w:t>ele</w:t>
      </w:r>
      <w:r w:rsidR="005A7485" w:rsidRPr="002866E5">
        <w:rPr>
          <w:noProof/>
        </w:rPr>
        <w:t>mentami cyfrowymi klasy I określonego</w:t>
      </w:r>
      <w:r w:rsidR="008B35E8" w:rsidRPr="002866E5">
        <w:rPr>
          <w:noProof/>
        </w:rPr>
        <w:t xml:space="preserve"> w</w:t>
      </w:r>
      <w:r w:rsidR="008B35E8">
        <w:rPr>
          <w:noProof/>
        </w:rPr>
        <w:t> </w:t>
      </w:r>
      <w:r w:rsidR="008B35E8" w:rsidRPr="002866E5">
        <w:rPr>
          <w:noProof/>
        </w:rPr>
        <w:t>zał</w:t>
      </w:r>
      <w:r w:rsidR="005A7485" w:rsidRPr="002866E5">
        <w:rPr>
          <w:noProof/>
        </w:rPr>
        <w:t>ączniku III oraz procedur wprowadzonych przez jego producenta</w:t>
      </w:r>
      <w:r w:rsidR="008B35E8" w:rsidRPr="002866E5">
        <w:rPr>
          <w:noProof/>
        </w:rPr>
        <w:t xml:space="preserve"> z</w:t>
      </w:r>
      <w:r w:rsidR="008B35E8">
        <w:rPr>
          <w:noProof/>
        </w:rPr>
        <w:t> </w:t>
      </w:r>
      <w:r w:rsidR="008B35E8" w:rsidRPr="002866E5">
        <w:rPr>
          <w:noProof/>
        </w:rPr>
        <w:t>zas</w:t>
      </w:r>
      <w:r w:rsidR="005A7485" w:rsidRPr="002866E5">
        <w:rPr>
          <w:noProof/>
        </w:rPr>
        <w:t>adniczymi wymogami określonymi</w:t>
      </w:r>
      <w:r w:rsidR="008B35E8" w:rsidRPr="002866E5">
        <w:rPr>
          <w:noProof/>
        </w:rPr>
        <w:t xml:space="preserve"> w</w:t>
      </w:r>
      <w:r w:rsidR="008B35E8">
        <w:rPr>
          <w:noProof/>
        </w:rPr>
        <w:t> </w:t>
      </w:r>
      <w:r w:rsidR="008B35E8" w:rsidRPr="002866E5">
        <w:rPr>
          <w:noProof/>
        </w:rPr>
        <w:t>zał</w:t>
      </w:r>
      <w:r w:rsidR="005A7485" w:rsidRPr="002866E5">
        <w:rPr>
          <w:noProof/>
        </w:rPr>
        <w:t>ączniku I producent lub upoważniony przedstawiciel producenta nie zastosował norm zharmonizowanych, wspólnych specyfikacji lub europejskich programów certyfikacji cyberbezpieczeństwa,</w:t>
      </w:r>
      <w:r w:rsidR="008B35E8" w:rsidRPr="002866E5">
        <w:rPr>
          <w:noProof/>
        </w:rPr>
        <w:t xml:space="preserve"> o</w:t>
      </w:r>
      <w:r w:rsidR="008B35E8">
        <w:rPr>
          <w:noProof/>
        </w:rPr>
        <w:t> </w:t>
      </w:r>
      <w:r w:rsidR="008B35E8" w:rsidRPr="002866E5">
        <w:rPr>
          <w:noProof/>
        </w:rPr>
        <w:t>któ</w:t>
      </w:r>
      <w:r w:rsidR="005A7485" w:rsidRPr="002866E5">
        <w:rPr>
          <w:noProof/>
        </w:rPr>
        <w:t>rych mowa</w:t>
      </w:r>
      <w:r w:rsidR="008B35E8" w:rsidRPr="002866E5">
        <w:rPr>
          <w:noProof/>
        </w:rPr>
        <w:t xml:space="preserve"> w</w:t>
      </w:r>
      <w:r w:rsidR="008B35E8">
        <w:rPr>
          <w:noProof/>
        </w:rPr>
        <w:t> </w:t>
      </w:r>
      <w:r w:rsidR="008B35E8" w:rsidRPr="008B35E8">
        <w:rPr>
          <w:noProof/>
        </w:rPr>
        <w:t>art</w:t>
      </w:r>
      <w:r w:rsidR="005A7485" w:rsidRPr="008B35E8">
        <w:rPr>
          <w:noProof/>
        </w:rPr>
        <w:t>.</w:t>
      </w:r>
      <w:r w:rsidR="008B35E8" w:rsidRPr="008B35E8">
        <w:rPr>
          <w:noProof/>
        </w:rPr>
        <w:t> </w:t>
      </w:r>
      <w:r w:rsidR="005A7485" w:rsidRPr="008B35E8">
        <w:rPr>
          <w:noProof/>
        </w:rPr>
        <w:t>1</w:t>
      </w:r>
      <w:r w:rsidR="005A7485" w:rsidRPr="002866E5">
        <w:rPr>
          <w:noProof/>
        </w:rPr>
        <w:t>8, lub zastosował je tylko częściowo bądź jeżeli takie normy zharmonizowane, wspólne specyfikacje lub europejskie programy certyfikacji cyberbezpieczeństwa nie istnieją, dany produkt</w:t>
      </w:r>
      <w:r w:rsidR="008B35E8" w:rsidRPr="002866E5">
        <w:rPr>
          <w:noProof/>
        </w:rPr>
        <w:t xml:space="preserve"> z</w:t>
      </w:r>
      <w:r w:rsidR="008B35E8">
        <w:rPr>
          <w:noProof/>
        </w:rPr>
        <w:t> </w:t>
      </w:r>
      <w:r w:rsidR="008B35E8" w:rsidRPr="002866E5">
        <w:rPr>
          <w:noProof/>
        </w:rPr>
        <w:t>ele</w:t>
      </w:r>
      <w:r w:rsidR="005A7485" w:rsidRPr="002866E5">
        <w:rPr>
          <w:noProof/>
        </w:rPr>
        <w:t>mentami cyfrowymi</w:t>
      </w:r>
      <w:r w:rsidR="008B35E8" w:rsidRPr="002866E5">
        <w:rPr>
          <w:noProof/>
        </w:rPr>
        <w:t xml:space="preserve"> i</w:t>
      </w:r>
      <w:r w:rsidR="008B35E8">
        <w:rPr>
          <w:noProof/>
        </w:rPr>
        <w:t> </w:t>
      </w:r>
      <w:r w:rsidR="008B35E8" w:rsidRPr="002866E5">
        <w:rPr>
          <w:noProof/>
        </w:rPr>
        <w:t>pro</w:t>
      </w:r>
      <w:r w:rsidR="005A7485" w:rsidRPr="002866E5">
        <w:rPr>
          <w:noProof/>
        </w:rPr>
        <w:t>cedury wprowadzone przez producenta podlegają</w:t>
      </w:r>
      <w:r w:rsidR="008B35E8" w:rsidRPr="002866E5">
        <w:rPr>
          <w:noProof/>
        </w:rPr>
        <w:t xml:space="preserve"> w</w:t>
      </w:r>
      <w:r w:rsidR="008B35E8">
        <w:rPr>
          <w:noProof/>
        </w:rPr>
        <w:t> </w:t>
      </w:r>
      <w:r w:rsidR="008B35E8" w:rsidRPr="002866E5">
        <w:rPr>
          <w:noProof/>
        </w:rPr>
        <w:t>odn</w:t>
      </w:r>
      <w:r w:rsidR="005A7485" w:rsidRPr="002866E5">
        <w:rPr>
          <w:noProof/>
        </w:rPr>
        <w:t>iesieniu do tych zasadniczych wymogów jednej</w:t>
      </w:r>
      <w:r w:rsidR="008B35E8" w:rsidRPr="002866E5">
        <w:rPr>
          <w:noProof/>
        </w:rPr>
        <w:t xml:space="preserve"> z</w:t>
      </w:r>
      <w:r w:rsidR="008B35E8">
        <w:rPr>
          <w:noProof/>
        </w:rPr>
        <w:t> </w:t>
      </w:r>
      <w:r w:rsidR="008B35E8" w:rsidRPr="002866E5">
        <w:rPr>
          <w:noProof/>
        </w:rPr>
        <w:t>nas</w:t>
      </w:r>
      <w:r w:rsidR="005A7485" w:rsidRPr="002866E5">
        <w:rPr>
          <w:noProof/>
        </w:rPr>
        <w:t xml:space="preserve">tępujących procedur: </w:t>
      </w:r>
    </w:p>
    <w:p w14:paraId="67ED87F1" w14:textId="77A0F318" w:rsidR="00506447" w:rsidRPr="002866E5" w:rsidRDefault="000340F9" w:rsidP="000340F9">
      <w:pPr>
        <w:pStyle w:val="Point1"/>
        <w:rPr>
          <w:noProof/>
        </w:rPr>
      </w:pPr>
      <w:r w:rsidRPr="000340F9">
        <w:rPr>
          <w:noProof/>
        </w:rPr>
        <w:t>a)</w:t>
      </w:r>
      <w:r w:rsidRPr="000340F9">
        <w:rPr>
          <w:noProof/>
        </w:rPr>
        <w:tab/>
      </w:r>
      <w:r w:rsidR="00506447" w:rsidRPr="002866E5">
        <w:rPr>
          <w:noProof/>
        </w:rPr>
        <w:t>procedurze badania typu UE (zgodnie</w:t>
      </w:r>
      <w:r w:rsidR="008B35E8" w:rsidRPr="002866E5">
        <w:rPr>
          <w:noProof/>
        </w:rPr>
        <w:t xml:space="preserve"> z</w:t>
      </w:r>
      <w:r w:rsidR="008B35E8">
        <w:rPr>
          <w:noProof/>
        </w:rPr>
        <w:t> </w:t>
      </w:r>
      <w:r w:rsidR="008B35E8" w:rsidRPr="002866E5">
        <w:rPr>
          <w:noProof/>
        </w:rPr>
        <w:t>mod</w:t>
      </w:r>
      <w:r w:rsidR="00506447" w:rsidRPr="002866E5">
        <w:rPr>
          <w:noProof/>
        </w:rPr>
        <w:t>ułem B) określonej</w:t>
      </w:r>
      <w:r w:rsidR="008B35E8" w:rsidRPr="002866E5">
        <w:rPr>
          <w:noProof/>
        </w:rPr>
        <w:t xml:space="preserve"> w</w:t>
      </w:r>
      <w:r w:rsidR="008B35E8">
        <w:rPr>
          <w:noProof/>
        </w:rPr>
        <w:t> </w:t>
      </w:r>
      <w:r w:rsidR="008B35E8" w:rsidRPr="002866E5">
        <w:rPr>
          <w:noProof/>
        </w:rPr>
        <w:t>zał</w:t>
      </w:r>
      <w:r w:rsidR="00506447" w:rsidRPr="002866E5">
        <w:rPr>
          <w:noProof/>
        </w:rPr>
        <w:t>ączniku VI, po której następuje badanie zgodności</w:t>
      </w:r>
      <w:r w:rsidR="008B35E8" w:rsidRPr="002866E5">
        <w:rPr>
          <w:noProof/>
        </w:rPr>
        <w:t xml:space="preserve"> z</w:t>
      </w:r>
      <w:r w:rsidR="008B35E8">
        <w:rPr>
          <w:noProof/>
        </w:rPr>
        <w:t> </w:t>
      </w:r>
      <w:r w:rsidR="008B35E8" w:rsidRPr="002866E5">
        <w:rPr>
          <w:noProof/>
        </w:rPr>
        <w:t>typ</w:t>
      </w:r>
      <w:r w:rsidR="00506447" w:rsidRPr="002866E5">
        <w:rPr>
          <w:noProof/>
        </w:rPr>
        <w:t>em UE</w:t>
      </w:r>
      <w:r w:rsidR="008B35E8" w:rsidRPr="002866E5">
        <w:rPr>
          <w:noProof/>
        </w:rPr>
        <w:t xml:space="preserve"> w</w:t>
      </w:r>
      <w:r w:rsidR="008B35E8">
        <w:rPr>
          <w:noProof/>
        </w:rPr>
        <w:t> </w:t>
      </w:r>
      <w:r w:rsidR="008B35E8" w:rsidRPr="002866E5">
        <w:rPr>
          <w:noProof/>
        </w:rPr>
        <w:t>opa</w:t>
      </w:r>
      <w:r w:rsidR="00506447" w:rsidRPr="002866E5">
        <w:rPr>
          <w:noProof/>
        </w:rPr>
        <w:t>rciu</w:t>
      </w:r>
      <w:r w:rsidR="008B35E8" w:rsidRPr="002866E5">
        <w:rPr>
          <w:noProof/>
        </w:rPr>
        <w:t xml:space="preserve"> o</w:t>
      </w:r>
      <w:r w:rsidR="008B35E8">
        <w:rPr>
          <w:noProof/>
        </w:rPr>
        <w:t> </w:t>
      </w:r>
      <w:r w:rsidR="008B35E8" w:rsidRPr="002866E5">
        <w:rPr>
          <w:noProof/>
        </w:rPr>
        <w:t>wew</w:t>
      </w:r>
      <w:r w:rsidR="00506447" w:rsidRPr="002866E5">
        <w:rPr>
          <w:noProof/>
        </w:rPr>
        <w:t>nętrzną kontrolę produkcji (zgodnie</w:t>
      </w:r>
      <w:r w:rsidR="008B35E8" w:rsidRPr="002866E5">
        <w:rPr>
          <w:noProof/>
        </w:rPr>
        <w:t xml:space="preserve"> z</w:t>
      </w:r>
      <w:r w:rsidR="008B35E8">
        <w:rPr>
          <w:noProof/>
        </w:rPr>
        <w:t> </w:t>
      </w:r>
      <w:r w:rsidR="008B35E8" w:rsidRPr="002866E5">
        <w:rPr>
          <w:noProof/>
        </w:rPr>
        <w:t>mod</w:t>
      </w:r>
      <w:r w:rsidR="00506447" w:rsidRPr="002866E5">
        <w:rPr>
          <w:noProof/>
        </w:rPr>
        <w:t>ułem C) określoną</w:t>
      </w:r>
      <w:r w:rsidR="008B35E8" w:rsidRPr="002866E5">
        <w:rPr>
          <w:noProof/>
        </w:rPr>
        <w:t xml:space="preserve"> w</w:t>
      </w:r>
      <w:r w:rsidR="008B35E8">
        <w:rPr>
          <w:noProof/>
        </w:rPr>
        <w:t> </w:t>
      </w:r>
      <w:r w:rsidR="008B35E8" w:rsidRPr="002866E5">
        <w:rPr>
          <w:noProof/>
        </w:rPr>
        <w:t>zał</w:t>
      </w:r>
      <w:r w:rsidR="00506447" w:rsidRPr="002866E5">
        <w:rPr>
          <w:noProof/>
        </w:rPr>
        <w:t>ączniku VI; lub</w:t>
      </w:r>
    </w:p>
    <w:p w14:paraId="67ED87F2" w14:textId="038323FC" w:rsidR="00645753" w:rsidRPr="002866E5" w:rsidRDefault="000340F9" w:rsidP="000340F9">
      <w:pPr>
        <w:pStyle w:val="Point1"/>
        <w:rPr>
          <w:noProof/>
        </w:rPr>
      </w:pPr>
      <w:r>
        <w:rPr>
          <w:noProof/>
        </w:rPr>
        <w:t>b</w:t>
      </w:r>
      <w:r w:rsidRPr="000340F9">
        <w:rPr>
          <w:noProof/>
        </w:rPr>
        <w:t>)</w:t>
      </w:r>
      <w:r w:rsidRPr="000340F9">
        <w:rPr>
          <w:noProof/>
        </w:rPr>
        <w:tab/>
      </w:r>
      <w:r w:rsidR="006D1FBD" w:rsidRPr="002866E5">
        <w:rPr>
          <w:noProof/>
        </w:rPr>
        <w:t>ocenie zgodności opartej na pełnym zapewnieniu jakości (zgodnie</w:t>
      </w:r>
      <w:r w:rsidR="008B35E8" w:rsidRPr="002866E5">
        <w:rPr>
          <w:noProof/>
        </w:rPr>
        <w:t xml:space="preserve"> z</w:t>
      </w:r>
      <w:r w:rsidR="008B35E8">
        <w:rPr>
          <w:noProof/>
        </w:rPr>
        <w:t> </w:t>
      </w:r>
      <w:r w:rsidR="008B35E8" w:rsidRPr="002866E5">
        <w:rPr>
          <w:noProof/>
        </w:rPr>
        <w:t>mod</w:t>
      </w:r>
      <w:r w:rsidR="006D1FBD" w:rsidRPr="002866E5">
        <w:rPr>
          <w:noProof/>
        </w:rPr>
        <w:t>ułem H) określonej</w:t>
      </w:r>
      <w:r w:rsidR="008B35E8" w:rsidRPr="002866E5">
        <w:rPr>
          <w:noProof/>
        </w:rPr>
        <w:t xml:space="preserve"> w</w:t>
      </w:r>
      <w:r w:rsidR="008B35E8">
        <w:rPr>
          <w:noProof/>
        </w:rPr>
        <w:t> </w:t>
      </w:r>
      <w:r w:rsidR="008B35E8" w:rsidRPr="002866E5">
        <w:rPr>
          <w:noProof/>
        </w:rPr>
        <w:t>zał</w:t>
      </w:r>
      <w:r w:rsidR="006D1FBD" w:rsidRPr="002866E5">
        <w:rPr>
          <w:noProof/>
        </w:rPr>
        <w:t xml:space="preserve">ączniku VI. </w:t>
      </w:r>
    </w:p>
    <w:p w14:paraId="67ED87F3" w14:textId="135C276B" w:rsidR="008C67C2" w:rsidRPr="002866E5" w:rsidRDefault="00B4087C" w:rsidP="00B4087C">
      <w:pPr>
        <w:pStyle w:val="ManualNumPar1"/>
        <w:rPr>
          <w:noProof/>
        </w:rPr>
      </w:pPr>
      <w:r w:rsidRPr="00B4087C">
        <w:t>3.</w:t>
      </w:r>
      <w:r w:rsidRPr="00B4087C">
        <w:tab/>
      </w:r>
      <w:r w:rsidR="008C67C2" w:rsidRPr="002866E5">
        <w:rPr>
          <w:noProof/>
        </w:rPr>
        <w:t>Jeżeli produkt jest produktem krytycznym</w:t>
      </w:r>
      <w:r w:rsidR="008B35E8" w:rsidRPr="002866E5">
        <w:rPr>
          <w:noProof/>
        </w:rPr>
        <w:t xml:space="preserve"> z</w:t>
      </w:r>
      <w:r w:rsidR="008B35E8">
        <w:rPr>
          <w:noProof/>
        </w:rPr>
        <w:t> </w:t>
      </w:r>
      <w:r w:rsidR="008B35E8" w:rsidRPr="002866E5">
        <w:rPr>
          <w:noProof/>
        </w:rPr>
        <w:t>ele</w:t>
      </w:r>
      <w:r w:rsidR="008C67C2" w:rsidRPr="002866E5">
        <w:rPr>
          <w:noProof/>
        </w:rPr>
        <w:t>mentami cyfrowymi klasy II określonym</w:t>
      </w:r>
      <w:r w:rsidR="008B35E8" w:rsidRPr="002866E5">
        <w:rPr>
          <w:noProof/>
        </w:rPr>
        <w:t xml:space="preserve"> w</w:t>
      </w:r>
      <w:r w:rsidR="008B35E8">
        <w:rPr>
          <w:noProof/>
        </w:rPr>
        <w:t> </w:t>
      </w:r>
      <w:r w:rsidR="008B35E8" w:rsidRPr="002866E5">
        <w:rPr>
          <w:noProof/>
        </w:rPr>
        <w:t>zał</w:t>
      </w:r>
      <w:r w:rsidR="008C67C2" w:rsidRPr="002866E5">
        <w:rPr>
          <w:noProof/>
        </w:rPr>
        <w:t>ączniku III, producent lub upoważniony przedstawiciel producenta wykazuje zgodność</w:t>
      </w:r>
      <w:r w:rsidR="008B35E8" w:rsidRPr="002866E5">
        <w:rPr>
          <w:noProof/>
        </w:rPr>
        <w:t xml:space="preserve"> z</w:t>
      </w:r>
      <w:r w:rsidR="008B35E8">
        <w:rPr>
          <w:noProof/>
        </w:rPr>
        <w:t> </w:t>
      </w:r>
      <w:r w:rsidR="008B35E8" w:rsidRPr="002866E5">
        <w:rPr>
          <w:noProof/>
        </w:rPr>
        <w:t>zas</w:t>
      </w:r>
      <w:r w:rsidR="008C67C2" w:rsidRPr="002866E5">
        <w:rPr>
          <w:noProof/>
        </w:rPr>
        <w:t>adniczymi wymogami określonymi</w:t>
      </w:r>
      <w:r w:rsidR="008B35E8" w:rsidRPr="002866E5">
        <w:rPr>
          <w:noProof/>
        </w:rPr>
        <w:t xml:space="preserve"> w</w:t>
      </w:r>
      <w:r w:rsidR="008B35E8">
        <w:rPr>
          <w:noProof/>
        </w:rPr>
        <w:t> </w:t>
      </w:r>
      <w:r w:rsidR="008B35E8" w:rsidRPr="002866E5">
        <w:rPr>
          <w:noProof/>
        </w:rPr>
        <w:t>zał</w:t>
      </w:r>
      <w:r w:rsidR="008C67C2" w:rsidRPr="002866E5">
        <w:rPr>
          <w:noProof/>
        </w:rPr>
        <w:t>ączniku I, stosując jedną</w:t>
      </w:r>
      <w:r w:rsidR="008B35E8" w:rsidRPr="002866E5">
        <w:rPr>
          <w:noProof/>
        </w:rPr>
        <w:t xml:space="preserve"> z</w:t>
      </w:r>
      <w:r w:rsidR="008B35E8">
        <w:rPr>
          <w:noProof/>
        </w:rPr>
        <w:t> </w:t>
      </w:r>
      <w:r w:rsidR="008B35E8" w:rsidRPr="002866E5">
        <w:rPr>
          <w:noProof/>
        </w:rPr>
        <w:t>nas</w:t>
      </w:r>
      <w:r w:rsidR="008C67C2" w:rsidRPr="002866E5">
        <w:rPr>
          <w:noProof/>
        </w:rPr>
        <w:t xml:space="preserve">tępujących procedur: </w:t>
      </w:r>
    </w:p>
    <w:p w14:paraId="67ED87F4" w14:textId="26734803" w:rsidR="008C67C2" w:rsidRPr="002866E5" w:rsidRDefault="000340F9" w:rsidP="000340F9">
      <w:pPr>
        <w:pStyle w:val="Point1"/>
        <w:rPr>
          <w:noProof/>
        </w:rPr>
      </w:pPr>
      <w:r w:rsidRPr="000340F9">
        <w:rPr>
          <w:noProof/>
        </w:rPr>
        <w:t>a)</w:t>
      </w:r>
      <w:r w:rsidRPr="000340F9">
        <w:rPr>
          <w:noProof/>
        </w:rPr>
        <w:tab/>
      </w:r>
      <w:r w:rsidR="008C67C2" w:rsidRPr="002866E5">
        <w:rPr>
          <w:noProof/>
        </w:rPr>
        <w:t>procedurę badania typu UE (zgodnie</w:t>
      </w:r>
      <w:r w:rsidR="008B35E8" w:rsidRPr="002866E5">
        <w:rPr>
          <w:noProof/>
        </w:rPr>
        <w:t xml:space="preserve"> z</w:t>
      </w:r>
      <w:r w:rsidR="008B35E8">
        <w:rPr>
          <w:noProof/>
        </w:rPr>
        <w:t> </w:t>
      </w:r>
      <w:r w:rsidR="008B35E8" w:rsidRPr="002866E5">
        <w:rPr>
          <w:noProof/>
        </w:rPr>
        <w:t>mod</w:t>
      </w:r>
      <w:r w:rsidR="008C67C2" w:rsidRPr="002866E5">
        <w:rPr>
          <w:noProof/>
        </w:rPr>
        <w:t>ułem B) określoną</w:t>
      </w:r>
      <w:r w:rsidR="008B35E8" w:rsidRPr="002866E5">
        <w:rPr>
          <w:noProof/>
        </w:rPr>
        <w:t xml:space="preserve"> w</w:t>
      </w:r>
      <w:r w:rsidR="008B35E8">
        <w:rPr>
          <w:noProof/>
        </w:rPr>
        <w:t> </w:t>
      </w:r>
      <w:r w:rsidR="008B35E8" w:rsidRPr="002866E5">
        <w:rPr>
          <w:noProof/>
        </w:rPr>
        <w:t>zał</w:t>
      </w:r>
      <w:r w:rsidR="008C67C2" w:rsidRPr="002866E5">
        <w:rPr>
          <w:noProof/>
        </w:rPr>
        <w:t>ączniku VI, po której następuje badanie zgodności</w:t>
      </w:r>
      <w:r w:rsidR="008B35E8" w:rsidRPr="002866E5">
        <w:rPr>
          <w:noProof/>
        </w:rPr>
        <w:t xml:space="preserve"> z</w:t>
      </w:r>
      <w:r w:rsidR="008B35E8">
        <w:rPr>
          <w:noProof/>
        </w:rPr>
        <w:t> </w:t>
      </w:r>
      <w:r w:rsidR="008B35E8" w:rsidRPr="002866E5">
        <w:rPr>
          <w:noProof/>
        </w:rPr>
        <w:t>typ</w:t>
      </w:r>
      <w:r w:rsidR="008C67C2" w:rsidRPr="002866E5">
        <w:rPr>
          <w:noProof/>
        </w:rPr>
        <w:t>em UE</w:t>
      </w:r>
      <w:r w:rsidR="008B35E8" w:rsidRPr="002866E5">
        <w:rPr>
          <w:noProof/>
        </w:rPr>
        <w:t xml:space="preserve"> w</w:t>
      </w:r>
      <w:r w:rsidR="008B35E8">
        <w:rPr>
          <w:noProof/>
        </w:rPr>
        <w:t> </w:t>
      </w:r>
      <w:r w:rsidR="008B35E8" w:rsidRPr="002866E5">
        <w:rPr>
          <w:noProof/>
        </w:rPr>
        <w:t>opa</w:t>
      </w:r>
      <w:r w:rsidR="008C67C2" w:rsidRPr="002866E5">
        <w:rPr>
          <w:noProof/>
        </w:rPr>
        <w:t>rciu</w:t>
      </w:r>
      <w:r w:rsidR="008B35E8" w:rsidRPr="002866E5">
        <w:rPr>
          <w:noProof/>
        </w:rPr>
        <w:t xml:space="preserve"> o</w:t>
      </w:r>
      <w:r w:rsidR="008B35E8">
        <w:rPr>
          <w:noProof/>
        </w:rPr>
        <w:t> </w:t>
      </w:r>
      <w:r w:rsidR="008B35E8" w:rsidRPr="002866E5">
        <w:rPr>
          <w:noProof/>
        </w:rPr>
        <w:t>wew</w:t>
      </w:r>
      <w:r w:rsidR="008C67C2" w:rsidRPr="002866E5">
        <w:rPr>
          <w:noProof/>
        </w:rPr>
        <w:t>nętrzną kontrolę produkcji (zgodnie</w:t>
      </w:r>
      <w:r w:rsidR="008B35E8" w:rsidRPr="002866E5">
        <w:rPr>
          <w:noProof/>
        </w:rPr>
        <w:t xml:space="preserve"> z</w:t>
      </w:r>
      <w:r w:rsidR="008B35E8">
        <w:rPr>
          <w:noProof/>
        </w:rPr>
        <w:t> </w:t>
      </w:r>
      <w:r w:rsidR="008B35E8" w:rsidRPr="002866E5">
        <w:rPr>
          <w:noProof/>
        </w:rPr>
        <w:t>mod</w:t>
      </w:r>
      <w:r w:rsidR="008C67C2" w:rsidRPr="002866E5">
        <w:rPr>
          <w:noProof/>
        </w:rPr>
        <w:t>ułem C) określoną</w:t>
      </w:r>
      <w:r w:rsidR="008B35E8" w:rsidRPr="002866E5">
        <w:rPr>
          <w:noProof/>
        </w:rPr>
        <w:t xml:space="preserve"> w</w:t>
      </w:r>
      <w:r w:rsidR="008B35E8">
        <w:rPr>
          <w:noProof/>
        </w:rPr>
        <w:t> </w:t>
      </w:r>
      <w:r w:rsidR="008B35E8" w:rsidRPr="002866E5">
        <w:rPr>
          <w:noProof/>
        </w:rPr>
        <w:t>zał</w:t>
      </w:r>
      <w:r w:rsidR="008C67C2" w:rsidRPr="002866E5">
        <w:rPr>
          <w:noProof/>
        </w:rPr>
        <w:t>ączniku VI; lub</w:t>
      </w:r>
    </w:p>
    <w:p w14:paraId="67ED87F5" w14:textId="3CDE46EA" w:rsidR="00645753" w:rsidRPr="002866E5" w:rsidRDefault="000340F9" w:rsidP="000340F9">
      <w:pPr>
        <w:pStyle w:val="Point1"/>
        <w:rPr>
          <w:noProof/>
        </w:rPr>
      </w:pPr>
      <w:r>
        <w:rPr>
          <w:noProof/>
        </w:rPr>
        <w:t>b</w:t>
      </w:r>
      <w:r w:rsidRPr="000340F9">
        <w:rPr>
          <w:noProof/>
        </w:rPr>
        <w:t>)</w:t>
      </w:r>
      <w:r w:rsidRPr="000340F9">
        <w:rPr>
          <w:noProof/>
        </w:rPr>
        <w:tab/>
      </w:r>
      <w:r w:rsidR="006D1FBD" w:rsidRPr="002866E5">
        <w:rPr>
          <w:noProof/>
        </w:rPr>
        <w:t>ocenę zgodności opartą na pełnym zapewnieniu jakości (zgodnie</w:t>
      </w:r>
      <w:r w:rsidR="008B35E8" w:rsidRPr="002866E5">
        <w:rPr>
          <w:noProof/>
        </w:rPr>
        <w:t xml:space="preserve"> z</w:t>
      </w:r>
      <w:r w:rsidR="008B35E8">
        <w:rPr>
          <w:noProof/>
        </w:rPr>
        <w:t> </w:t>
      </w:r>
      <w:r w:rsidR="008B35E8" w:rsidRPr="002866E5">
        <w:rPr>
          <w:noProof/>
        </w:rPr>
        <w:t>mod</w:t>
      </w:r>
      <w:r w:rsidR="006D1FBD" w:rsidRPr="002866E5">
        <w:rPr>
          <w:noProof/>
        </w:rPr>
        <w:t>ułem H) określoną</w:t>
      </w:r>
      <w:r w:rsidR="008B35E8" w:rsidRPr="002866E5">
        <w:rPr>
          <w:noProof/>
        </w:rPr>
        <w:t xml:space="preserve"> w</w:t>
      </w:r>
      <w:r w:rsidR="008B35E8">
        <w:rPr>
          <w:noProof/>
        </w:rPr>
        <w:t> </w:t>
      </w:r>
      <w:r w:rsidR="008B35E8" w:rsidRPr="002866E5">
        <w:rPr>
          <w:noProof/>
        </w:rPr>
        <w:t>zał</w:t>
      </w:r>
      <w:r w:rsidR="006D1FBD" w:rsidRPr="002866E5">
        <w:rPr>
          <w:noProof/>
        </w:rPr>
        <w:t xml:space="preserve">ączniku VI. </w:t>
      </w:r>
    </w:p>
    <w:p w14:paraId="67ED87F6" w14:textId="00107B70" w:rsidR="001F1334" w:rsidRPr="002866E5" w:rsidRDefault="00B4087C" w:rsidP="00B4087C">
      <w:pPr>
        <w:pStyle w:val="ManualNumPar1"/>
        <w:rPr>
          <w:noProof/>
        </w:rPr>
      </w:pPr>
      <w:r w:rsidRPr="00B4087C">
        <w:t>4.</w:t>
      </w:r>
      <w:r w:rsidRPr="00B4087C">
        <w:tab/>
      </w:r>
      <w:r w:rsidR="00240A43" w:rsidRPr="002866E5">
        <w:rPr>
          <w:noProof/>
        </w:rPr>
        <w:t>Producenci produktów</w:t>
      </w:r>
      <w:r w:rsidR="008B35E8" w:rsidRPr="002866E5">
        <w:rPr>
          <w:noProof/>
        </w:rPr>
        <w:t xml:space="preserve"> z</w:t>
      </w:r>
      <w:r w:rsidR="008B35E8">
        <w:rPr>
          <w:noProof/>
        </w:rPr>
        <w:t> </w:t>
      </w:r>
      <w:r w:rsidR="008B35E8" w:rsidRPr="002866E5">
        <w:rPr>
          <w:noProof/>
        </w:rPr>
        <w:t>ele</w:t>
      </w:r>
      <w:r w:rsidR="00240A43" w:rsidRPr="002866E5">
        <w:rPr>
          <w:noProof/>
        </w:rPr>
        <w:t>mentami cyfrowymi, które sklasyfikowano jako systemy elektronicznej dokumentacji medycznej wchodzące</w:t>
      </w:r>
      <w:r w:rsidR="008B35E8" w:rsidRPr="002866E5">
        <w:rPr>
          <w:noProof/>
        </w:rPr>
        <w:t xml:space="preserve"> w</w:t>
      </w:r>
      <w:r w:rsidR="008B35E8">
        <w:rPr>
          <w:noProof/>
        </w:rPr>
        <w:t> </w:t>
      </w:r>
      <w:r w:rsidR="008B35E8" w:rsidRPr="002866E5">
        <w:rPr>
          <w:noProof/>
        </w:rPr>
        <w:t>zak</w:t>
      </w:r>
      <w:r w:rsidR="00240A43" w:rsidRPr="002866E5">
        <w:rPr>
          <w:noProof/>
        </w:rPr>
        <w:t>res rozporządzenia [rozporządzenia</w:t>
      </w:r>
      <w:r w:rsidR="008B35E8" w:rsidRPr="002866E5">
        <w:rPr>
          <w:noProof/>
        </w:rPr>
        <w:t xml:space="preserve"> w</w:t>
      </w:r>
      <w:r w:rsidR="008B35E8">
        <w:rPr>
          <w:noProof/>
        </w:rPr>
        <w:t> </w:t>
      </w:r>
      <w:r w:rsidR="008B35E8" w:rsidRPr="002866E5">
        <w:rPr>
          <w:noProof/>
        </w:rPr>
        <w:t>spr</w:t>
      </w:r>
      <w:r w:rsidR="00240A43" w:rsidRPr="002866E5">
        <w:rPr>
          <w:noProof/>
        </w:rPr>
        <w:t>awie europejskiej przestrzeni danych dotyczących zdrowia], wykazują zgodność</w:t>
      </w:r>
      <w:r w:rsidR="008B35E8" w:rsidRPr="002866E5">
        <w:rPr>
          <w:noProof/>
        </w:rPr>
        <w:t xml:space="preserve"> z</w:t>
      </w:r>
      <w:r w:rsidR="008B35E8">
        <w:rPr>
          <w:noProof/>
        </w:rPr>
        <w:t> </w:t>
      </w:r>
      <w:r w:rsidR="008B35E8" w:rsidRPr="002866E5">
        <w:rPr>
          <w:noProof/>
        </w:rPr>
        <w:t>zas</w:t>
      </w:r>
      <w:r w:rsidR="00240A43" w:rsidRPr="002866E5">
        <w:rPr>
          <w:noProof/>
        </w:rPr>
        <w:t>adniczymi wymogami określonymi</w:t>
      </w:r>
      <w:r w:rsidR="008B35E8" w:rsidRPr="002866E5">
        <w:rPr>
          <w:noProof/>
        </w:rPr>
        <w:t xml:space="preserve"> w</w:t>
      </w:r>
      <w:r w:rsidR="008B35E8">
        <w:rPr>
          <w:noProof/>
        </w:rPr>
        <w:t> </w:t>
      </w:r>
      <w:r w:rsidR="008B35E8" w:rsidRPr="002866E5">
        <w:rPr>
          <w:noProof/>
        </w:rPr>
        <w:t>zał</w:t>
      </w:r>
      <w:r w:rsidR="00240A43" w:rsidRPr="002866E5">
        <w:rPr>
          <w:noProof/>
        </w:rPr>
        <w:t>ączniku I do niniejszego rozporządzenia, stosując odpowiednią procedurę oceny zgodności zgodnie</w:t>
      </w:r>
      <w:r w:rsidR="008B35E8" w:rsidRPr="002866E5">
        <w:rPr>
          <w:noProof/>
        </w:rPr>
        <w:t xml:space="preserve"> z</w:t>
      </w:r>
      <w:r w:rsidR="008B35E8">
        <w:rPr>
          <w:noProof/>
        </w:rPr>
        <w:t> </w:t>
      </w:r>
      <w:r w:rsidR="008B35E8" w:rsidRPr="002866E5">
        <w:rPr>
          <w:noProof/>
        </w:rPr>
        <w:t>wym</w:t>
      </w:r>
      <w:r w:rsidR="00240A43" w:rsidRPr="002866E5">
        <w:rPr>
          <w:noProof/>
        </w:rPr>
        <w:t>ogami rozporządzenia [rozdziału III rozporządzenia</w:t>
      </w:r>
      <w:r w:rsidR="008B35E8" w:rsidRPr="002866E5">
        <w:rPr>
          <w:noProof/>
        </w:rPr>
        <w:t xml:space="preserve"> w</w:t>
      </w:r>
      <w:r w:rsidR="008B35E8">
        <w:rPr>
          <w:noProof/>
        </w:rPr>
        <w:t> </w:t>
      </w:r>
      <w:r w:rsidR="008B35E8" w:rsidRPr="002866E5">
        <w:rPr>
          <w:noProof/>
        </w:rPr>
        <w:t>spr</w:t>
      </w:r>
      <w:r w:rsidR="00240A43" w:rsidRPr="002866E5">
        <w:rPr>
          <w:noProof/>
        </w:rPr>
        <w:t xml:space="preserve">awie europejskiej przestrzeni danych dotyczących zdrowia]. </w:t>
      </w:r>
    </w:p>
    <w:p w14:paraId="67ED87F7" w14:textId="383C658C" w:rsidR="00DB1C5E" w:rsidRPr="002866E5" w:rsidRDefault="00B4087C" w:rsidP="00B4087C">
      <w:pPr>
        <w:pStyle w:val="ManualNumPar1"/>
        <w:rPr>
          <w:noProof/>
        </w:rPr>
      </w:pPr>
      <w:r w:rsidRPr="00B4087C">
        <w:t>5.</w:t>
      </w:r>
      <w:r w:rsidRPr="00B4087C">
        <w:tab/>
      </w:r>
      <w:r w:rsidR="00C22A04" w:rsidRPr="002866E5">
        <w:rPr>
          <w:noProof/>
        </w:rPr>
        <w:t>Jednostki notyfikowane przy ustalaniu opłat za procedury oceny zgodności uwzględniają szczególne interesy</w:t>
      </w:r>
      <w:r w:rsidR="008B35E8" w:rsidRPr="002866E5">
        <w:rPr>
          <w:noProof/>
        </w:rPr>
        <w:t xml:space="preserve"> i</w:t>
      </w:r>
      <w:r w:rsidR="008B35E8">
        <w:rPr>
          <w:noProof/>
        </w:rPr>
        <w:t> </w:t>
      </w:r>
      <w:r w:rsidR="008B35E8" w:rsidRPr="002866E5">
        <w:rPr>
          <w:noProof/>
        </w:rPr>
        <w:t>pot</w:t>
      </w:r>
      <w:r w:rsidR="00C22A04" w:rsidRPr="002866E5">
        <w:rPr>
          <w:noProof/>
        </w:rPr>
        <w:t>rzeby małych</w:t>
      </w:r>
      <w:r w:rsidR="008B35E8" w:rsidRPr="002866E5">
        <w:rPr>
          <w:noProof/>
        </w:rPr>
        <w:t xml:space="preserve"> i</w:t>
      </w:r>
      <w:r w:rsidR="008B35E8">
        <w:rPr>
          <w:noProof/>
        </w:rPr>
        <w:t> </w:t>
      </w:r>
      <w:r w:rsidR="008B35E8" w:rsidRPr="002866E5">
        <w:rPr>
          <w:noProof/>
        </w:rPr>
        <w:t>śre</w:t>
      </w:r>
      <w:r w:rsidR="00C22A04" w:rsidRPr="002866E5">
        <w:rPr>
          <w:noProof/>
        </w:rPr>
        <w:t>dnich przedsiębiorstw (MŚP)</w:t>
      </w:r>
      <w:r w:rsidR="008B35E8" w:rsidRPr="002866E5">
        <w:rPr>
          <w:noProof/>
        </w:rPr>
        <w:t xml:space="preserve"> i</w:t>
      </w:r>
      <w:r w:rsidR="008B35E8">
        <w:rPr>
          <w:noProof/>
        </w:rPr>
        <w:t> </w:t>
      </w:r>
      <w:r w:rsidR="008B35E8" w:rsidRPr="002866E5">
        <w:rPr>
          <w:noProof/>
        </w:rPr>
        <w:t>obn</w:t>
      </w:r>
      <w:r w:rsidR="00C22A04" w:rsidRPr="002866E5">
        <w:rPr>
          <w:noProof/>
        </w:rPr>
        <w:t>iżają te opłaty proporcjonalnie do ich szczególnych interesów</w:t>
      </w:r>
      <w:r w:rsidR="008B35E8" w:rsidRPr="002866E5">
        <w:rPr>
          <w:noProof/>
        </w:rPr>
        <w:t xml:space="preserve"> i</w:t>
      </w:r>
      <w:r w:rsidR="008B35E8">
        <w:rPr>
          <w:noProof/>
        </w:rPr>
        <w:t> </w:t>
      </w:r>
      <w:r w:rsidR="008B35E8" w:rsidRPr="002866E5">
        <w:rPr>
          <w:noProof/>
        </w:rPr>
        <w:t>pot</w:t>
      </w:r>
      <w:r w:rsidR="00C22A04" w:rsidRPr="002866E5">
        <w:rPr>
          <w:noProof/>
        </w:rPr>
        <w:t>rzeb.</w:t>
      </w:r>
    </w:p>
    <w:p w14:paraId="67ED87F8" w14:textId="77777777" w:rsidR="00F60DDC" w:rsidRPr="002866E5" w:rsidRDefault="00F60DDC" w:rsidP="0027065F">
      <w:pPr>
        <w:pStyle w:val="Titrearticle0"/>
        <w:rPr>
          <w:noProof/>
        </w:rPr>
      </w:pPr>
      <w:r w:rsidRPr="002866E5">
        <w:rPr>
          <w:b/>
          <w:i w:val="0"/>
          <w:noProof/>
        </w:rPr>
        <w:lastRenderedPageBreak/>
        <w:t>ROZDZIAŁ IV</w:t>
      </w:r>
    </w:p>
    <w:p w14:paraId="67ED87F9" w14:textId="77777777" w:rsidR="00F60DDC" w:rsidRPr="002866E5" w:rsidRDefault="00340C60" w:rsidP="0027065F">
      <w:pPr>
        <w:pStyle w:val="Titrearticle0"/>
        <w:rPr>
          <w:noProof/>
        </w:rPr>
      </w:pPr>
      <w:r w:rsidRPr="002866E5">
        <w:rPr>
          <w:b/>
          <w:i w:val="0"/>
          <w:noProof/>
        </w:rPr>
        <w:t>NOTYFIKACJA JEDNOSTEK OCENIAJĄCYCH ZGODNOŚĆ</w:t>
      </w:r>
    </w:p>
    <w:p w14:paraId="67ED87FA" w14:textId="76BE0F34" w:rsidR="00340C60" w:rsidRPr="002866E5" w:rsidRDefault="00340C60" w:rsidP="0027065F">
      <w:pPr>
        <w:pStyle w:val="Titrearticle0"/>
        <w:rPr>
          <w:noProof/>
        </w:rPr>
      </w:pPr>
      <w:r w:rsidRPr="002866E5">
        <w:rPr>
          <w:noProof/>
        </w:rPr>
        <w:t>Artykuł 25</w:t>
      </w:r>
    </w:p>
    <w:p w14:paraId="67ED87FB" w14:textId="77777777" w:rsidR="00340C60" w:rsidRPr="002866E5" w:rsidRDefault="00386863" w:rsidP="00084E38">
      <w:pPr>
        <w:jc w:val="center"/>
        <w:rPr>
          <w:i/>
          <w:noProof/>
        </w:rPr>
      </w:pPr>
      <w:r w:rsidRPr="002866E5">
        <w:rPr>
          <w:i/>
          <w:noProof/>
        </w:rPr>
        <w:t>Notyfikacja</w:t>
      </w:r>
    </w:p>
    <w:p w14:paraId="67ED87FC" w14:textId="094D2AF9" w:rsidR="00BF031D" w:rsidRPr="002866E5" w:rsidRDefault="00340C60" w:rsidP="0052037B">
      <w:pPr>
        <w:pStyle w:val="Text1"/>
        <w:ind w:left="0"/>
        <w:rPr>
          <w:noProof/>
        </w:rPr>
      </w:pPr>
      <w:r w:rsidRPr="002866E5">
        <w:rPr>
          <w:noProof/>
        </w:rPr>
        <w:t>Państwa członkowskie notyfikują Komisji</w:t>
      </w:r>
      <w:r w:rsidR="008B35E8" w:rsidRPr="002866E5">
        <w:rPr>
          <w:noProof/>
        </w:rPr>
        <w:t xml:space="preserve"> i</w:t>
      </w:r>
      <w:r w:rsidR="008B35E8">
        <w:rPr>
          <w:noProof/>
        </w:rPr>
        <w:t> </w:t>
      </w:r>
      <w:r w:rsidR="008B35E8" w:rsidRPr="002866E5">
        <w:rPr>
          <w:noProof/>
        </w:rPr>
        <w:t>poz</w:t>
      </w:r>
      <w:r w:rsidRPr="002866E5">
        <w:rPr>
          <w:noProof/>
        </w:rPr>
        <w:t>ostałym państwom członkowskim jednostki oceniające zgodność uprawnione do dokonywania oceny zgodności zgodnie</w:t>
      </w:r>
      <w:r w:rsidR="008B35E8" w:rsidRPr="002866E5">
        <w:rPr>
          <w:noProof/>
        </w:rPr>
        <w:t xml:space="preserve"> z</w:t>
      </w:r>
      <w:r w:rsidR="008B35E8">
        <w:rPr>
          <w:noProof/>
        </w:rPr>
        <w:t> </w:t>
      </w:r>
      <w:r w:rsidR="008B35E8" w:rsidRPr="002866E5">
        <w:rPr>
          <w:noProof/>
        </w:rPr>
        <w:t>nin</w:t>
      </w:r>
      <w:r w:rsidRPr="002866E5">
        <w:rPr>
          <w:noProof/>
        </w:rPr>
        <w:t>iejszym rozporządzeniem.</w:t>
      </w:r>
    </w:p>
    <w:p w14:paraId="67ED87FD" w14:textId="745A3B18" w:rsidR="006549A3" w:rsidRPr="002866E5" w:rsidRDefault="00E45332" w:rsidP="003D2EEC">
      <w:pPr>
        <w:pStyle w:val="Titrearticle0"/>
        <w:rPr>
          <w:noProof/>
        </w:rPr>
      </w:pPr>
      <w:r w:rsidRPr="002866E5">
        <w:rPr>
          <w:noProof/>
        </w:rPr>
        <w:t>Artykuł 26</w:t>
      </w:r>
    </w:p>
    <w:p w14:paraId="67ED87FE" w14:textId="77777777" w:rsidR="006549A3" w:rsidRPr="002866E5" w:rsidRDefault="006549A3" w:rsidP="00084E38">
      <w:pPr>
        <w:jc w:val="center"/>
        <w:rPr>
          <w:i/>
          <w:noProof/>
        </w:rPr>
      </w:pPr>
      <w:r w:rsidRPr="002866E5">
        <w:rPr>
          <w:i/>
          <w:noProof/>
        </w:rPr>
        <w:t>Organy notyfikujące</w:t>
      </w:r>
    </w:p>
    <w:p w14:paraId="67ED87FF" w14:textId="1A9A9B16" w:rsidR="00950283" w:rsidRPr="002866E5" w:rsidRDefault="00B4087C" w:rsidP="00B4087C">
      <w:pPr>
        <w:pStyle w:val="ManualNumPar1"/>
        <w:rPr>
          <w:noProof/>
        </w:rPr>
      </w:pPr>
      <w:r w:rsidRPr="00B4087C">
        <w:t>1.</w:t>
      </w:r>
      <w:r w:rsidRPr="00B4087C">
        <w:tab/>
      </w:r>
      <w:r w:rsidR="00950283" w:rsidRPr="002866E5">
        <w:rPr>
          <w:noProof/>
        </w:rPr>
        <w:t>Państwa członkowskie wyznaczają organ notyfikujący, który odpowiada za opracowanie</w:t>
      </w:r>
      <w:r w:rsidR="008B35E8" w:rsidRPr="002866E5">
        <w:rPr>
          <w:noProof/>
        </w:rPr>
        <w:t xml:space="preserve"> i</w:t>
      </w:r>
      <w:r w:rsidR="008B35E8">
        <w:rPr>
          <w:noProof/>
        </w:rPr>
        <w:t> </w:t>
      </w:r>
      <w:r w:rsidR="008B35E8" w:rsidRPr="002866E5">
        <w:rPr>
          <w:noProof/>
        </w:rPr>
        <w:t>prz</w:t>
      </w:r>
      <w:r w:rsidR="00950283" w:rsidRPr="002866E5">
        <w:rPr>
          <w:noProof/>
        </w:rPr>
        <w:t>eprowadzanie procedur koniecznych do oceny</w:t>
      </w:r>
      <w:r w:rsidR="008B35E8" w:rsidRPr="002866E5">
        <w:rPr>
          <w:noProof/>
        </w:rPr>
        <w:t xml:space="preserve"> i</w:t>
      </w:r>
      <w:r w:rsidR="008B35E8">
        <w:rPr>
          <w:noProof/>
        </w:rPr>
        <w:t> </w:t>
      </w:r>
      <w:r w:rsidR="008B35E8" w:rsidRPr="002866E5">
        <w:rPr>
          <w:noProof/>
        </w:rPr>
        <w:t>not</w:t>
      </w:r>
      <w:r w:rsidR="00950283" w:rsidRPr="002866E5">
        <w:rPr>
          <w:noProof/>
        </w:rPr>
        <w:t>yfikowania jednostek oceniających zgodność oraz do monitorowania jednostek notyfikowanych,</w:t>
      </w:r>
      <w:r w:rsidR="008B35E8" w:rsidRPr="002866E5">
        <w:rPr>
          <w:noProof/>
        </w:rPr>
        <w:t xml:space="preserve"> w</w:t>
      </w:r>
      <w:r w:rsidR="008B35E8">
        <w:rPr>
          <w:noProof/>
        </w:rPr>
        <w:t> </w:t>
      </w:r>
      <w:r w:rsidR="008B35E8" w:rsidRPr="002866E5">
        <w:rPr>
          <w:noProof/>
        </w:rPr>
        <w:t>tym</w:t>
      </w:r>
      <w:r w:rsidR="00950283" w:rsidRPr="002866E5">
        <w:rPr>
          <w:noProof/>
        </w:rPr>
        <w:t xml:space="preserve"> na potrzeby zapewnienia zgodności</w:t>
      </w:r>
      <w:r w:rsidR="008B35E8" w:rsidRPr="002866E5">
        <w:rPr>
          <w:noProof/>
        </w:rPr>
        <w:t xml:space="preserve"> z</w:t>
      </w:r>
      <w:r w:rsidR="008B35E8">
        <w:rPr>
          <w:noProof/>
        </w:rPr>
        <w:t> </w:t>
      </w:r>
      <w:r w:rsidR="008B35E8" w:rsidRPr="008B35E8">
        <w:rPr>
          <w:noProof/>
        </w:rPr>
        <w:t>art</w:t>
      </w:r>
      <w:r w:rsidR="00950283" w:rsidRPr="008B35E8">
        <w:rPr>
          <w:noProof/>
        </w:rPr>
        <w:t>.</w:t>
      </w:r>
      <w:r w:rsidR="008B35E8" w:rsidRPr="008B35E8">
        <w:rPr>
          <w:noProof/>
        </w:rPr>
        <w:t> </w:t>
      </w:r>
      <w:r w:rsidR="00950283" w:rsidRPr="008B35E8">
        <w:rPr>
          <w:noProof/>
        </w:rPr>
        <w:t>3</w:t>
      </w:r>
      <w:r w:rsidR="00950283" w:rsidRPr="002866E5">
        <w:rPr>
          <w:noProof/>
        </w:rPr>
        <w:t>1.</w:t>
      </w:r>
    </w:p>
    <w:p w14:paraId="67ED8800" w14:textId="2B4BEB9C" w:rsidR="00361B94" w:rsidRPr="002866E5" w:rsidRDefault="00B4087C" w:rsidP="00B4087C">
      <w:pPr>
        <w:pStyle w:val="ManualNumPar1"/>
        <w:rPr>
          <w:noProof/>
        </w:rPr>
      </w:pPr>
      <w:r w:rsidRPr="00B4087C">
        <w:t>2.</w:t>
      </w:r>
      <w:r w:rsidRPr="00B4087C">
        <w:tab/>
      </w:r>
      <w:r w:rsidR="009A2350" w:rsidRPr="002866E5">
        <w:rPr>
          <w:noProof/>
        </w:rPr>
        <w:t>Państwa członkowskie mogą zdecydować, że ocena</w:t>
      </w:r>
      <w:r w:rsidR="008B35E8" w:rsidRPr="002866E5">
        <w:rPr>
          <w:noProof/>
        </w:rPr>
        <w:t xml:space="preserve"> i</w:t>
      </w:r>
      <w:r w:rsidR="008B35E8">
        <w:rPr>
          <w:noProof/>
        </w:rPr>
        <w:t> </w:t>
      </w:r>
      <w:r w:rsidR="008B35E8" w:rsidRPr="002866E5">
        <w:rPr>
          <w:noProof/>
        </w:rPr>
        <w:t>mon</w:t>
      </w:r>
      <w:r w:rsidR="009A2350" w:rsidRPr="002866E5">
        <w:rPr>
          <w:noProof/>
        </w:rPr>
        <w:t>itorowanie,</w:t>
      </w:r>
      <w:r w:rsidR="008B35E8" w:rsidRPr="002866E5">
        <w:rPr>
          <w:noProof/>
        </w:rPr>
        <w:t xml:space="preserve"> o</w:t>
      </w:r>
      <w:r w:rsidR="008B35E8">
        <w:rPr>
          <w:noProof/>
        </w:rPr>
        <w:t> </w:t>
      </w:r>
      <w:r w:rsidR="008B35E8" w:rsidRPr="002866E5">
        <w:rPr>
          <w:noProof/>
        </w:rPr>
        <w:t>któ</w:t>
      </w:r>
      <w:r w:rsidR="009A2350" w:rsidRPr="002866E5">
        <w:rPr>
          <w:noProof/>
        </w:rPr>
        <w:t>rych mowa</w:t>
      </w:r>
      <w:r w:rsidR="008B35E8" w:rsidRPr="002866E5">
        <w:rPr>
          <w:noProof/>
        </w:rPr>
        <w:t xml:space="preserve"> w</w:t>
      </w:r>
      <w:r w:rsidR="008B35E8">
        <w:rPr>
          <w:noProof/>
        </w:rPr>
        <w:t> </w:t>
      </w:r>
      <w:r w:rsidR="008B35E8" w:rsidRPr="008B35E8">
        <w:rPr>
          <w:noProof/>
        </w:rPr>
        <w:t>ust</w:t>
      </w:r>
      <w:r w:rsidR="009A2350" w:rsidRPr="008B35E8">
        <w:rPr>
          <w:noProof/>
        </w:rPr>
        <w:t>.</w:t>
      </w:r>
      <w:r w:rsidR="008B35E8" w:rsidRPr="008B35E8">
        <w:rPr>
          <w:noProof/>
        </w:rPr>
        <w:t> </w:t>
      </w:r>
      <w:r w:rsidR="009A2350" w:rsidRPr="008B35E8">
        <w:rPr>
          <w:noProof/>
        </w:rPr>
        <w:t>1</w:t>
      </w:r>
      <w:r w:rsidR="009A2350" w:rsidRPr="002866E5">
        <w:rPr>
          <w:noProof/>
        </w:rPr>
        <w:t>, są przeprowadzane przez krajową jednostkę akredytującą</w:t>
      </w:r>
      <w:r w:rsidR="008B35E8" w:rsidRPr="002866E5">
        <w:rPr>
          <w:noProof/>
        </w:rPr>
        <w:t xml:space="preserve"> w</w:t>
      </w:r>
      <w:r w:rsidR="008B35E8">
        <w:rPr>
          <w:noProof/>
        </w:rPr>
        <w:t> </w:t>
      </w:r>
      <w:r w:rsidR="008B35E8" w:rsidRPr="002866E5">
        <w:rPr>
          <w:noProof/>
        </w:rPr>
        <w:t>roz</w:t>
      </w:r>
      <w:r w:rsidR="009A2350" w:rsidRPr="002866E5">
        <w:rPr>
          <w:noProof/>
        </w:rPr>
        <w:t xml:space="preserve">umieniu przepisów rozporządzenia (WE) </w:t>
      </w:r>
      <w:r w:rsidR="009A2350" w:rsidRPr="008B35E8">
        <w:rPr>
          <w:noProof/>
        </w:rPr>
        <w:t>nr</w:t>
      </w:r>
      <w:r w:rsidR="008B35E8" w:rsidRPr="008B35E8">
        <w:rPr>
          <w:noProof/>
        </w:rPr>
        <w:t> </w:t>
      </w:r>
      <w:r w:rsidR="009A2350" w:rsidRPr="008B35E8">
        <w:rPr>
          <w:noProof/>
        </w:rPr>
        <w:t>7</w:t>
      </w:r>
      <w:r w:rsidR="009A2350" w:rsidRPr="002866E5">
        <w:rPr>
          <w:noProof/>
        </w:rPr>
        <w:t>65/2008</w:t>
      </w:r>
      <w:r w:rsidR="008B35E8" w:rsidRPr="002866E5">
        <w:rPr>
          <w:noProof/>
        </w:rPr>
        <w:t xml:space="preserve"> i</w:t>
      </w:r>
      <w:r w:rsidR="008B35E8">
        <w:rPr>
          <w:noProof/>
        </w:rPr>
        <w:t> </w:t>
      </w:r>
      <w:r w:rsidR="008B35E8" w:rsidRPr="002866E5">
        <w:rPr>
          <w:noProof/>
        </w:rPr>
        <w:t>zgo</w:t>
      </w:r>
      <w:r w:rsidR="009A2350" w:rsidRPr="002866E5">
        <w:rPr>
          <w:noProof/>
        </w:rPr>
        <w:t>dnie</w:t>
      </w:r>
      <w:r w:rsidR="008B35E8" w:rsidRPr="002866E5">
        <w:rPr>
          <w:noProof/>
        </w:rPr>
        <w:t xml:space="preserve"> z</w:t>
      </w:r>
      <w:r w:rsidR="008B35E8">
        <w:rPr>
          <w:noProof/>
        </w:rPr>
        <w:t> </w:t>
      </w:r>
      <w:r w:rsidR="008B35E8" w:rsidRPr="002866E5">
        <w:rPr>
          <w:noProof/>
        </w:rPr>
        <w:t>tym</w:t>
      </w:r>
      <w:r w:rsidR="009A2350" w:rsidRPr="002866E5">
        <w:rPr>
          <w:noProof/>
        </w:rPr>
        <w:t>i przepisami.</w:t>
      </w:r>
    </w:p>
    <w:p w14:paraId="67ED8801" w14:textId="61715A09" w:rsidR="009A2350" w:rsidRPr="002866E5" w:rsidRDefault="009A2350" w:rsidP="003D2EEC">
      <w:pPr>
        <w:pStyle w:val="Titrearticle0"/>
        <w:rPr>
          <w:noProof/>
        </w:rPr>
      </w:pPr>
      <w:r w:rsidRPr="002866E5">
        <w:rPr>
          <w:noProof/>
        </w:rPr>
        <w:t>Artykuł 27</w:t>
      </w:r>
    </w:p>
    <w:p w14:paraId="67ED8802" w14:textId="77777777" w:rsidR="009A2350" w:rsidRPr="002866E5" w:rsidRDefault="009A2350" w:rsidP="00084E38">
      <w:pPr>
        <w:jc w:val="center"/>
        <w:rPr>
          <w:i/>
          <w:noProof/>
        </w:rPr>
      </w:pPr>
      <w:r w:rsidRPr="002866E5">
        <w:rPr>
          <w:i/>
          <w:noProof/>
        </w:rPr>
        <w:t>Wymogi dotyczące organów notyfikujących</w:t>
      </w:r>
    </w:p>
    <w:p w14:paraId="67ED8803" w14:textId="5F343907" w:rsidR="00950283" w:rsidRPr="002866E5" w:rsidRDefault="00950283" w:rsidP="000F7F4C">
      <w:pPr>
        <w:pStyle w:val="1"/>
        <w:numPr>
          <w:ilvl w:val="0"/>
          <w:numId w:val="35"/>
        </w:numPr>
        <w:rPr>
          <w:noProof/>
        </w:rPr>
      </w:pPr>
      <w:r w:rsidRPr="002866E5">
        <w:rPr>
          <w:noProof/>
        </w:rPr>
        <w:t>Organ notyfikujący ustanawia się</w:t>
      </w:r>
      <w:r w:rsidR="008B35E8" w:rsidRPr="002866E5">
        <w:rPr>
          <w:noProof/>
        </w:rPr>
        <w:t xml:space="preserve"> w</w:t>
      </w:r>
      <w:r w:rsidR="008B35E8">
        <w:rPr>
          <w:noProof/>
        </w:rPr>
        <w:t> </w:t>
      </w:r>
      <w:r w:rsidR="008B35E8" w:rsidRPr="002866E5">
        <w:rPr>
          <w:noProof/>
        </w:rPr>
        <w:t>tak</w:t>
      </w:r>
      <w:r w:rsidRPr="002866E5">
        <w:rPr>
          <w:noProof/>
        </w:rPr>
        <w:t>i sposób, by nie dochodziło do konfliktu interesów między organem notyfikującym</w:t>
      </w:r>
      <w:r w:rsidR="008B35E8" w:rsidRPr="002866E5">
        <w:rPr>
          <w:noProof/>
        </w:rPr>
        <w:t xml:space="preserve"> a</w:t>
      </w:r>
      <w:r w:rsidR="008B35E8">
        <w:rPr>
          <w:noProof/>
        </w:rPr>
        <w:t> </w:t>
      </w:r>
      <w:r w:rsidR="008B35E8" w:rsidRPr="002866E5">
        <w:rPr>
          <w:noProof/>
        </w:rPr>
        <w:t>jed</w:t>
      </w:r>
      <w:r w:rsidRPr="002866E5">
        <w:rPr>
          <w:noProof/>
        </w:rPr>
        <w:t xml:space="preserve">nostkami oceniającymi zgodność. </w:t>
      </w:r>
    </w:p>
    <w:p w14:paraId="67ED8804" w14:textId="3E8581FC" w:rsidR="00950283" w:rsidRPr="002866E5" w:rsidRDefault="009A2350" w:rsidP="000F7F4C">
      <w:pPr>
        <w:pStyle w:val="1"/>
        <w:numPr>
          <w:ilvl w:val="0"/>
          <w:numId w:val="35"/>
        </w:numPr>
        <w:rPr>
          <w:noProof/>
        </w:rPr>
      </w:pPr>
      <w:r w:rsidRPr="002866E5">
        <w:rPr>
          <w:noProof/>
        </w:rPr>
        <w:t>Sposób organizacji</w:t>
      </w:r>
      <w:r w:rsidR="008B35E8" w:rsidRPr="002866E5">
        <w:rPr>
          <w:noProof/>
        </w:rPr>
        <w:t xml:space="preserve"> i</w:t>
      </w:r>
      <w:r w:rsidR="008B35E8">
        <w:rPr>
          <w:noProof/>
        </w:rPr>
        <w:t> </w:t>
      </w:r>
      <w:r w:rsidR="008B35E8" w:rsidRPr="002866E5">
        <w:rPr>
          <w:noProof/>
        </w:rPr>
        <w:t>fun</w:t>
      </w:r>
      <w:r w:rsidRPr="002866E5">
        <w:rPr>
          <w:noProof/>
        </w:rPr>
        <w:t>kcjonowania organu notyfikującego musi gwarantować obiektywizm</w:t>
      </w:r>
      <w:r w:rsidR="008B35E8" w:rsidRPr="002866E5">
        <w:rPr>
          <w:noProof/>
        </w:rPr>
        <w:t xml:space="preserve"> i</w:t>
      </w:r>
      <w:r w:rsidR="008B35E8">
        <w:rPr>
          <w:noProof/>
        </w:rPr>
        <w:t> </w:t>
      </w:r>
      <w:r w:rsidR="008B35E8" w:rsidRPr="002866E5">
        <w:rPr>
          <w:noProof/>
        </w:rPr>
        <w:t>bez</w:t>
      </w:r>
      <w:r w:rsidRPr="002866E5">
        <w:rPr>
          <w:noProof/>
        </w:rPr>
        <w:t>stronność jego działalności.</w:t>
      </w:r>
    </w:p>
    <w:p w14:paraId="67ED8805" w14:textId="77777777" w:rsidR="00950283" w:rsidRPr="002866E5" w:rsidRDefault="009A2350" w:rsidP="000F7F4C">
      <w:pPr>
        <w:pStyle w:val="1"/>
        <w:numPr>
          <w:ilvl w:val="0"/>
          <w:numId w:val="35"/>
        </w:numPr>
        <w:rPr>
          <w:noProof/>
        </w:rPr>
      </w:pPr>
      <w:r w:rsidRPr="002866E5">
        <w:rPr>
          <w:noProof/>
        </w:rPr>
        <w:t>Sposób organizacji organu notyfikującego musi zapewniać podejmowanie każdej decyzji dotyczącej notyfikacji jednostki oceniającej zgodność przez kompetentne osoby spoza grona osób przeprowadzających ocenę.</w:t>
      </w:r>
    </w:p>
    <w:p w14:paraId="67ED8806" w14:textId="77777777" w:rsidR="00950283" w:rsidRPr="002866E5" w:rsidRDefault="009A2350" w:rsidP="000F7F4C">
      <w:pPr>
        <w:pStyle w:val="1"/>
        <w:numPr>
          <w:ilvl w:val="0"/>
          <w:numId w:val="35"/>
        </w:numPr>
        <w:rPr>
          <w:noProof/>
        </w:rPr>
      </w:pPr>
      <w:r w:rsidRPr="002866E5">
        <w:rPr>
          <w:noProof/>
        </w:rPr>
        <w:t>Organ notyfikujący nie może oferować ani podejmować żadnych działań wykonywanych przez jednostki oceniające zgodność ani świadczyć usług doradczych na zasadach komercyjnych lub konkurencyjnych.</w:t>
      </w:r>
    </w:p>
    <w:p w14:paraId="67ED8807" w14:textId="77777777" w:rsidR="00950283" w:rsidRPr="002866E5" w:rsidRDefault="009A2350" w:rsidP="000F7F4C">
      <w:pPr>
        <w:pStyle w:val="1"/>
        <w:numPr>
          <w:ilvl w:val="0"/>
          <w:numId w:val="35"/>
        </w:numPr>
        <w:rPr>
          <w:noProof/>
        </w:rPr>
      </w:pPr>
      <w:r w:rsidRPr="002866E5">
        <w:rPr>
          <w:noProof/>
        </w:rPr>
        <w:t>Organ notyfikujący zapewnia poufność informacji, które otrzymuje.</w:t>
      </w:r>
    </w:p>
    <w:p w14:paraId="67ED8808" w14:textId="77777777" w:rsidR="009A2350" w:rsidRPr="002866E5" w:rsidRDefault="009A2350" w:rsidP="000F7F4C">
      <w:pPr>
        <w:pStyle w:val="1"/>
        <w:numPr>
          <w:ilvl w:val="0"/>
          <w:numId w:val="35"/>
        </w:numPr>
        <w:rPr>
          <w:noProof/>
        </w:rPr>
      </w:pPr>
      <w:r w:rsidRPr="002866E5">
        <w:rPr>
          <w:noProof/>
        </w:rPr>
        <w:t>Organ notyfikujący musi dysponować odpowiednią liczbą pracowników mających kompetencje do właściwego wykonywania jego zadań.</w:t>
      </w:r>
    </w:p>
    <w:p w14:paraId="67ED8809" w14:textId="5497F3B8" w:rsidR="009A2350" w:rsidRPr="002866E5" w:rsidRDefault="00EC7F19" w:rsidP="0027065F">
      <w:pPr>
        <w:pStyle w:val="Titrearticle0"/>
        <w:rPr>
          <w:noProof/>
        </w:rPr>
      </w:pPr>
      <w:r w:rsidRPr="002866E5">
        <w:rPr>
          <w:noProof/>
        </w:rPr>
        <w:t>Artykuł 28</w:t>
      </w:r>
    </w:p>
    <w:p w14:paraId="67ED880A" w14:textId="77777777" w:rsidR="009A2350" w:rsidRPr="002866E5" w:rsidRDefault="009A2350" w:rsidP="00084E38">
      <w:pPr>
        <w:jc w:val="center"/>
        <w:rPr>
          <w:i/>
          <w:noProof/>
        </w:rPr>
      </w:pPr>
      <w:r w:rsidRPr="002866E5">
        <w:rPr>
          <w:i/>
          <w:noProof/>
        </w:rPr>
        <w:t>Obowiązki informacyjne organów notyfikujących</w:t>
      </w:r>
    </w:p>
    <w:p w14:paraId="67ED880B" w14:textId="458F736D" w:rsidR="009A2350" w:rsidRPr="002866E5" w:rsidRDefault="00B4087C" w:rsidP="00B4087C">
      <w:pPr>
        <w:pStyle w:val="ManualNumPar1"/>
        <w:rPr>
          <w:noProof/>
        </w:rPr>
      </w:pPr>
      <w:r w:rsidRPr="00B4087C">
        <w:t>1.</w:t>
      </w:r>
      <w:r w:rsidRPr="00B4087C">
        <w:tab/>
      </w:r>
      <w:r w:rsidR="009A2350" w:rsidRPr="002866E5">
        <w:rPr>
          <w:noProof/>
        </w:rPr>
        <w:t>Państwa członkowskie informują Komisję</w:t>
      </w:r>
      <w:r w:rsidR="008B35E8" w:rsidRPr="002866E5">
        <w:rPr>
          <w:noProof/>
        </w:rPr>
        <w:t xml:space="preserve"> o</w:t>
      </w:r>
      <w:r w:rsidR="008B35E8">
        <w:rPr>
          <w:noProof/>
        </w:rPr>
        <w:t> </w:t>
      </w:r>
      <w:r w:rsidR="008B35E8" w:rsidRPr="002866E5">
        <w:rPr>
          <w:noProof/>
        </w:rPr>
        <w:t>swo</w:t>
      </w:r>
      <w:r w:rsidR="009A2350" w:rsidRPr="002866E5">
        <w:rPr>
          <w:noProof/>
        </w:rPr>
        <w:t>ich procedurach oceny</w:t>
      </w:r>
      <w:r w:rsidR="008B35E8" w:rsidRPr="002866E5">
        <w:rPr>
          <w:noProof/>
        </w:rPr>
        <w:t xml:space="preserve"> i</w:t>
      </w:r>
      <w:r w:rsidR="008B35E8">
        <w:rPr>
          <w:noProof/>
        </w:rPr>
        <w:t> </w:t>
      </w:r>
      <w:r w:rsidR="008B35E8" w:rsidRPr="002866E5">
        <w:rPr>
          <w:noProof/>
        </w:rPr>
        <w:t>not</w:t>
      </w:r>
      <w:r w:rsidR="009A2350" w:rsidRPr="002866E5">
        <w:rPr>
          <w:noProof/>
        </w:rPr>
        <w:t>yfikacji jednostek oceniających zgodność oraz monitorowania jednostek notyfikowanych, jak również</w:t>
      </w:r>
      <w:r w:rsidR="008B35E8" w:rsidRPr="002866E5">
        <w:rPr>
          <w:noProof/>
        </w:rPr>
        <w:t xml:space="preserve"> o</w:t>
      </w:r>
      <w:r w:rsidR="008B35E8">
        <w:rPr>
          <w:noProof/>
        </w:rPr>
        <w:t> </w:t>
      </w:r>
      <w:r w:rsidR="008B35E8" w:rsidRPr="002866E5">
        <w:rPr>
          <w:noProof/>
        </w:rPr>
        <w:t>wsz</w:t>
      </w:r>
      <w:r w:rsidR="009A2350" w:rsidRPr="002866E5">
        <w:rPr>
          <w:noProof/>
        </w:rPr>
        <w:t>elkich zmianach</w:t>
      </w:r>
      <w:r w:rsidR="008B35E8" w:rsidRPr="002866E5">
        <w:rPr>
          <w:noProof/>
        </w:rPr>
        <w:t xml:space="preserve"> w</w:t>
      </w:r>
      <w:r w:rsidR="008B35E8">
        <w:rPr>
          <w:noProof/>
        </w:rPr>
        <w:t> </w:t>
      </w:r>
      <w:r w:rsidR="008B35E8" w:rsidRPr="002866E5">
        <w:rPr>
          <w:noProof/>
        </w:rPr>
        <w:t>tym</w:t>
      </w:r>
      <w:r w:rsidR="009A2350" w:rsidRPr="002866E5">
        <w:rPr>
          <w:noProof/>
        </w:rPr>
        <w:t xml:space="preserve"> zakresie.</w:t>
      </w:r>
    </w:p>
    <w:p w14:paraId="67ED880C" w14:textId="16729A20" w:rsidR="00E45332" w:rsidRPr="002866E5" w:rsidRDefault="00B4087C" w:rsidP="00B4087C">
      <w:pPr>
        <w:pStyle w:val="ManualNumPar1"/>
        <w:rPr>
          <w:noProof/>
        </w:rPr>
      </w:pPr>
      <w:r w:rsidRPr="00B4087C">
        <w:lastRenderedPageBreak/>
        <w:t>2.</w:t>
      </w:r>
      <w:r w:rsidRPr="00B4087C">
        <w:tab/>
      </w:r>
      <w:r w:rsidR="009A2350" w:rsidRPr="002866E5">
        <w:rPr>
          <w:noProof/>
        </w:rPr>
        <w:t>Komisja podaje te informacje do wiadomości publicznej.</w:t>
      </w:r>
    </w:p>
    <w:p w14:paraId="67ED880D" w14:textId="646DBBA0" w:rsidR="00E45332" w:rsidRPr="002866E5" w:rsidRDefault="00E45332" w:rsidP="0027065F">
      <w:pPr>
        <w:pStyle w:val="Titrearticle0"/>
        <w:rPr>
          <w:noProof/>
        </w:rPr>
      </w:pPr>
      <w:r w:rsidRPr="002866E5">
        <w:rPr>
          <w:noProof/>
        </w:rPr>
        <w:t>Artykuł 29</w:t>
      </w:r>
    </w:p>
    <w:p w14:paraId="67ED880E" w14:textId="77777777" w:rsidR="00E45332" w:rsidRPr="002866E5" w:rsidRDefault="002D24BF" w:rsidP="00084E38">
      <w:pPr>
        <w:jc w:val="center"/>
        <w:rPr>
          <w:i/>
          <w:noProof/>
        </w:rPr>
      </w:pPr>
      <w:r w:rsidRPr="002866E5">
        <w:rPr>
          <w:i/>
          <w:noProof/>
        </w:rPr>
        <w:t xml:space="preserve">Wymogi dotyczące jednostek notyfikowanych </w:t>
      </w:r>
    </w:p>
    <w:p w14:paraId="67ED880F" w14:textId="0196EF9A" w:rsidR="006D1FBD" w:rsidRPr="002866E5" w:rsidRDefault="00B4087C" w:rsidP="00B4087C">
      <w:pPr>
        <w:pStyle w:val="ManualNumPar1"/>
        <w:rPr>
          <w:noProof/>
        </w:rPr>
      </w:pPr>
      <w:r w:rsidRPr="00B4087C">
        <w:t>1.</w:t>
      </w:r>
      <w:r w:rsidRPr="00B4087C">
        <w:tab/>
      </w:r>
      <w:r w:rsidR="006D1FBD" w:rsidRPr="002866E5">
        <w:rPr>
          <w:noProof/>
        </w:rPr>
        <w:t>Na potrzeby notyfikacji jednostka oceniająca zgodność musi spełnić wymogi określone</w:t>
      </w:r>
      <w:r w:rsidR="008B35E8" w:rsidRPr="002866E5">
        <w:rPr>
          <w:noProof/>
        </w:rPr>
        <w:t xml:space="preserve"> w</w:t>
      </w:r>
      <w:r w:rsidR="008B35E8">
        <w:rPr>
          <w:noProof/>
        </w:rPr>
        <w:t> </w:t>
      </w:r>
      <w:r w:rsidR="008B35E8" w:rsidRPr="002866E5">
        <w:rPr>
          <w:noProof/>
        </w:rPr>
        <w:t>ust</w:t>
      </w:r>
      <w:r w:rsidR="006D1FBD" w:rsidRPr="002866E5">
        <w:rPr>
          <w:noProof/>
        </w:rPr>
        <w:t xml:space="preserve">. 2–12. </w:t>
      </w:r>
    </w:p>
    <w:p w14:paraId="67ED8810" w14:textId="48A51EAF" w:rsidR="00581A1E" w:rsidRPr="002866E5" w:rsidRDefault="00B4087C" w:rsidP="00B4087C">
      <w:pPr>
        <w:pStyle w:val="ManualNumPar1"/>
        <w:rPr>
          <w:noProof/>
        </w:rPr>
      </w:pPr>
      <w:r w:rsidRPr="00B4087C">
        <w:t>2.</w:t>
      </w:r>
      <w:r w:rsidRPr="00B4087C">
        <w:tab/>
      </w:r>
      <w:r w:rsidR="00581A1E" w:rsidRPr="002866E5">
        <w:rPr>
          <w:noProof/>
        </w:rPr>
        <w:t>Jednostka oceniająca zgodność jest powoływana na podstawie prawa krajowego</w:t>
      </w:r>
      <w:r w:rsidR="008B35E8" w:rsidRPr="002866E5">
        <w:rPr>
          <w:noProof/>
        </w:rPr>
        <w:t xml:space="preserve"> i</w:t>
      </w:r>
      <w:r w:rsidR="008B35E8">
        <w:rPr>
          <w:noProof/>
        </w:rPr>
        <w:t> </w:t>
      </w:r>
      <w:r w:rsidR="008B35E8" w:rsidRPr="002866E5">
        <w:rPr>
          <w:noProof/>
        </w:rPr>
        <w:t>pos</w:t>
      </w:r>
      <w:r w:rsidR="00581A1E" w:rsidRPr="002866E5">
        <w:rPr>
          <w:noProof/>
        </w:rPr>
        <w:t xml:space="preserve">iada osobowość prawną. </w:t>
      </w:r>
    </w:p>
    <w:p w14:paraId="67ED8811" w14:textId="1A65A62F" w:rsidR="00D52241" w:rsidRPr="002866E5" w:rsidRDefault="00B4087C" w:rsidP="00B4087C">
      <w:pPr>
        <w:pStyle w:val="ManualNumPar1"/>
        <w:rPr>
          <w:noProof/>
        </w:rPr>
      </w:pPr>
      <w:r w:rsidRPr="00B4087C">
        <w:t>3.</w:t>
      </w:r>
      <w:r w:rsidRPr="00B4087C">
        <w:tab/>
      </w:r>
      <w:r w:rsidR="00D52241" w:rsidRPr="002866E5">
        <w:rPr>
          <w:noProof/>
        </w:rPr>
        <w:t xml:space="preserve">Jednostka oceniająca zgodność musi być osobą trzecią, funkcjonującą niezależnie od organizacji lub produktu, który ocenia. </w:t>
      </w:r>
    </w:p>
    <w:p w14:paraId="67ED8812" w14:textId="55CF89C0" w:rsidR="00581A1E" w:rsidRPr="002866E5" w:rsidRDefault="00D52241" w:rsidP="000A6E88">
      <w:pPr>
        <w:pStyle w:val="Text1"/>
        <w:rPr>
          <w:noProof/>
        </w:rPr>
      </w:pPr>
      <w:r w:rsidRPr="002866E5">
        <w:rPr>
          <w:noProof/>
        </w:rPr>
        <w:t>Jednostkę należącą do stowarzyszenia przedsiębiorców lub zrzeszenia zawodowego reprezentującego przedsiębiorstwa zaangażowane</w:t>
      </w:r>
      <w:r w:rsidR="008B35E8" w:rsidRPr="002866E5">
        <w:rPr>
          <w:noProof/>
        </w:rPr>
        <w:t xml:space="preserve"> w</w:t>
      </w:r>
      <w:r w:rsidR="008B35E8">
        <w:rPr>
          <w:noProof/>
        </w:rPr>
        <w:t> </w:t>
      </w:r>
      <w:r w:rsidR="008B35E8" w:rsidRPr="002866E5">
        <w:rPr>
          <w:noProof/>
        </w:rPr>
        <w:t>pro</w:t>
      </w:r>
      <w:r w:rsidRPr="002866E5">
        <w:rPr>
          <w:noProof/>
        </w:rPr>
        <w:t>jektowanie, opracowywanie, produkcję, dostarczanie, montowanie, użytkowanie lub konserwację produktów</w:t>
      </w:r>
      <w:r w:rsidR="008B35E8" w:rsidRPr="002866E5">
        <w:rPr>
          <w:noProof/>
        </w:rPr>
        <w:t xml:space="preserve"> z</w:t>
      </w:r>
      <w:r w:rsidR="008B35E8">
        <w:rPr>
          <w:noProof/>
        </w:rPr>
        <w:t> </w:t>
      </w:r>
      <w:r w:rsidR="008B35E8" w:rsidRPr="002866E5">
        <w:rPr>
          <w:noProof/>
        </w:rPr>
        <w:t>ele</w:t>
      </w:r>
      <w:r w:rsidRPr="002866E5">
        <w:rPr>
          <w:noProof/>
        </w:rPr>
        <w:t>mentami cyfrowymi, które ocenia, można uważać za taką jednostkę, pod warunkiem że wykazano jej niezależność</w:t>
      </w:r>
      <w:r w:rsidR="008B35E8" w:rsidRPr="002866E5">
        <w:rPr>
          <w:noProof/>
        </w:rPr>
        <w:t xml:space="preserve"> i</w:t>
      </w:r>
      <w:r w:rsidR="008B35E8">
        <w:rPr>
          <w:noProof/>
        </w:rPr>
        <w:t> </w:t>
      </w:r>
      <w:r w:rsidR="008B35E8" w:rsidRPr="002866E5">
        <w:rPr>
          <w:noProof/>
        </w:rPr>
        <w:t>bra</w:t>
      </w:r>
      <w:r w:rsidRPr="002866E5">
        <w:rPr>
          <w:noProof/>
        </w:rPr>
        <w:t xml:space="preserve">k konfliktu interesów. </w:t>
      </w:r>
    </w:p>
    <w:p w14:paraId="67ED8813" w14:textId="0C5B01ED" w:rsidR="00581A1E" w:rsidRPr="002866E5" w:rsidRDefault="00B4087C" w:rsidP="00B4087C">
      <w:pPr>
        <w:pStyle w:val="ManualNumPar1"/>
        <w:rPr>
          <w:noProof/>
        </w:rPr>
      </w:pPr>
      <w:r w:rsidRPr="00B4087C">
        <w:t>4.</w:t>
      </w:r>
      <w:r w:rsidRPr="00B4087C">
        <w:tab/>
      </w:r>
      <w:r w:rsidR="00581A1E" w:rsidRPr="002866E5">
        <w:rPr>
          <w:noProof/>
        </w:rPr>
        <w:t>Jednostka oceniająca zgodność, jej kierownictwo najwyższego szczebla oraz pracownicy odpowiedzialni za realizację zadań związanych</w:t>
      </w:r>
      <w:r w:rsidR="008B35E8" w:rsidRPr="002866E5">
        <w:rPr>
          <w:noProof/>
        </w:rPr>
        <w:t xml:space="preserve"> z</w:t>
      </w:r>
      <w:r w:rsidR="008B35E8">
        <w:rPr>
          <w:noProof/>
        </w:rPr>
        <w:t> </w:t>
      </w:r>
      <w:r w:rsidR="008B35E8" w:rsidRPr="002866E5">
        <w:rPr>
          <w:noProof/>
        </w:rPr>
        <w:t>oce</w:t>
      </w:r>
      <w:r w:rsidR="00581A1E" w:rsidRPr="002866E5">
        <w:rPr>
          <w:noProof/>
        </w:rPr>
        <w:t>ną zgodności nie mogą być projektantami, twórcami, producentami, dostawcami, instalatorami, nabywcami, właścicielami, użytkownikami czy konserwatorami produktów</w:t>
      </w:r>
      <w:r w:rsidR="008B35E8" w:rsidRPr="002866E5">
        <w:rPr>
          <w:noProof/>
        </w:rPr>
        <w:t xml:space="preserve"> z</w:t>
      </w:r>
      <w:r w:rsidR="008B35E8">
        <w:rPr>
          <w:noProof/>
        </w:rPr>
        <w:t> </w:t>
      </w:r>
      <w:r w:rsidR="008B35E8" w:rsidRPr="002866E5">
        <w:rPr>
          <w:noProof/>
        </w:rPr>
        <w:t>ele</w:t>
      </w:r>
      <w:r w:rsidR="00581A1E" w:rsidRPr="002866E5">
        <w:rPr>
          <w:noProof/>
        </w:rPr>
        <w:t>mentami cyfrowymi, które oceniają, ani upoważnionymi przedstawicielami wymienionych stron. Nie wyklucza to używania ocenianych produktów, które są niezbędne do prowadzenia działalności jednostki oceniającej zgodność, ani używania produktów do celów prywatnych.</w:t>
      </w:r>
    </w:p>
    <w:p w14:paraId="67ED8814" w14:textId="1FDB21A4" w:rsidR="00E54C23" w:rsidRPr="002866E5" w:rsidRDefault="00C27C23" w:rsidP="000A6E88">
      <w:pPr>
        <w:pStyle w:val="Text1"/>
        <w:rPr>
          <w:noProof/>
        </w:rPr>
      </w:pPr>
      <w:r w:rsidRPr="002866E5">
        <w:rPr>
          <w:noProof/>
        </w:rPr>
        <w:t>Jednostki oceniające zgodność, jej kierownictwo najwyższego szczebla oraz pracownicy odpowiedzialni za realizację zadań związanych</w:t>
      </w:r>
      <w:r w:rsidR="008B35E8" w:rsidRPr="002866E5">
        <w:rPr>
          <w:noProof/>
        </w:rPr>
        <w:t xml:space="preserve"> z</w:t>
      </w:r>
      <w:r w:rsidR="008B35E8">
        <w:rPr>
          <w:noProof/>
        </w:rPr>
        <w:t> </w:t>
      </w:r>
      <w:r w:rsidR="008B35E8" w:rsidRPr="002866E5">
        <w:rPr>
          <w:noProof/>
        </w:rPr>
        <w:t>oce</w:t>
      </w:r>
      <w:r w:rsidRPr="002866E5">
        <w:rPr>
          <w:noProof/>
        </w:rPr>
        <w:t>ną zgodności nie angażują się bezpośrednio</w:t>
      </w:r>
      <w:r w:rsidR="008B35E8" w:rsidRPr="002866E5">
        <w:rPr>
          <w:noProof/>
        </w:rPr>
        <w:t xml:space="preserve"> w</w:t>
      </w:r>
      <w:r w:rsidR="008B35E8">
        <w:rPr>
          <w:noProof/>
        </w:rPr>
        <w:t> </w:t>
      </w:r>
      <w:r w:rsidR="008B35E8" w:rsidRPr="002866E5">
        <w:rPr>
          <w:noProof/>
        </w:rPr>
        <w:t>pro</w:t>
      </w:r>
      <w:r w:rsidRPr="002866E5">
        <w:rPr>
          <w:noProof/>
        </w:rPr>
        <w:t>jektowanie, opracowywanie, produkcję, wprowadzanie do obrotu, instalację, użytkowanie lub konserwację tych produktów ani nie reprezentują stron zaangażowanych</w:t>
      </w:r>
      <w:r w:rsidR="008B35E8" w:rsidRPr="002866E5">
        <w:rPr>
          <w:noProof/>
        </w:rPr>
        <w:t xml:space="preserve"> w</w:t>
      </w:r>
      <w:r w:rsidR="008B35E8">
        <w:rPr>
          <w:noProof/>
        </w:rPr>
        <w:t> </w:t>
      </w:r>
      <w:r w:rsidR="008B35E8" w:rsidRPr="002866E5">
        <w:rPr>
          <w:noProof/>
        </w:rPr>
        <w:t>tak</w:t>
      </w:r>
      <w:r w:rsidRPr="002866E5">
        <w:rPr>
          <w:noProof/>
        </w:rPr>
        <w:t>ą działalność. Nie mogą oni angażować się</w:t>
      </w:r>
      <w:r w:rsidR="008B35E8" w:rsidRPr="002866E5">
        <w:rPr>
          <w:noProof/>
        </w:rPr>
        <w:t xml:space="preserve"> w</w:t>
      </w:r>
      <w:r w:rsidR="008B35E8">
        <w:rPr>
          <w:noProof/>
        </w:rPr>
        <w:t> </w:t>
      </w:r>
      <w:r w:rsidR="008B35E8" w:rsidRPr="002866E5">
        <w:rPr>
          <w:noProof/>
        </w:rPr>
        <w:t>dzi</w:t>
      </w:r>
      <w:r w:rsidRPr="002866E5">
        <w:rPr>
          <w:noProof/>
        </w:rPr>
        <w:t>ałalność, która może zagrażać niezależności ich osądów lub wiarygodności</w:t>
      </w:r>
      <w:r w:rsidR="008B35E8" w:rsidRPr="002866E5">
        <w:rPr>
          <w:noProof/>
        </w:rPr>
        <w:t xml:space="preserve"> w</w:t>
      </w:r>
      <w:r w:rsidR="008B35E8">
        <w:rPr>
          <w:noProof/>
        </w:rPr>
        <w:t> </w:t>
      </w:r>
      <w:r w:rsidR="008B35E8" w:rsidRPr="002866E5">
        <w:rPr>
          <w:noProof/>
        </w:rPr>
        <w:t>odn</w:t>
      </w:r>
      <w:r w:rsidRPr="002866E5">
        <w:rPr>
          <w:noProof/>
        </w:rPr>
        <w:t>iesieniu do działań związanych</w:t>
      </w:r>
      <w:r w:rsidR="008B35E8" w:rsidRPr="002866E5">
        <w:rPr>
          <w:noProof/>
        </w:rPr>
        <w:t xml:space="preserve"> z</w:t>
      </w:r>
      <w:r w:rsidR="008B35E8">
        <w:rPr>
          <w:noProof/>
        </w:rPr>
        <w:t> </w:t>
      </w:r>
      <w:r w:rsidR="008B35E8" w:rsidRPr="002866E5">
        <w:rPr>
          <w:noProof/>
        </w:rPr>
        <w:t>oce</w:t>
      </w:r>
      <w:r w:rsidRPr="002866E5">
        <w:rPr>
          <w:noProof/>
        </w:rPr>
        <w:t>ną zgodności będących przedmiotem notyfikacji. Dotyczy to</w:t>
      </w:r>
      <w:r w:rsidR="008B35E8" w:rsidRPr="002866E5">
        <w:rPr>
          <w:noProof/>
        </w:rPr>
        <w:t xml:space="preserve"> w</w:t>
      </w:r>
      <w:r w:rsidR="008B35E8">
        <w:rPr>
          <w:noProof/>
        </w:rPr>
        <w:t> </w:t>
      </w:r>
      <w:r w:rsidR="008B35E8" w:rsidRPr="002866E5">
        <w:rPr>
          <w:noProof/>
        </w:rPr>
        <w:t>szc</w:t>
      </w:r>
      <w:r w:rsidRPr="002866E5">
        <w:rPr>
          <w:noProof/>
        </w:rPr>
        <w:t>zególności usług doradczych.</w:t>
      </w:r>
    </w:p>
    <w:p w14:paraId="67ED8815" w14:textId="6AD8F84D" w:rsidR="00C27C23" w:rsidRPr="002866E5" w:rsidRDefault="004B4A54" w:rsidP="000A6E88">
      <w:pPr>
        <w:pStyle w:val="Text1"/>
        <w:rPr>
          <w:noProof/>
        </w:rPr>
      </w:pPr>
      <w:r w:rsidRPr="002866E5">
        <w:rPr>
          <w:noProof/>
        </w:rPr>
        <w:t>Jednostki oceniające zgodność zapewniają, aby działalność ich jednostek zależnych lub podwykonawców nie wpływała na poufność, obiektywizm ani bezstronność ich działalności związanej</w:t>
      </w:r>
      <w:r w:rsidR="008B35E8" w:rsidRPr="002866E5">
        <w:rPr>
          <w:noProof/>
        </w:rPr>
        <w:t xml:space="preserve"> z</w:t>
      </w:r>
      <w:r w:rsidR="008B35E8">
        <w:rPr>
          <w:noProof/>
        </w:rPr>
        <w:t> </w:t>
      </w:r>
      <w:r w:rsidR="008B35E8" w:rsidRPr="002866E5">
        <w:rPr>
          <w:noProof/>
        </w:rPr>
        <w:t>oce</w:t>
      </w:r>
      <w:r w:rsidRPr="002866E5">
        <w:rPr>
          <w:noProof/>
        </w:rPr>
        <w:t>ną zgodności.</w:t>
      </w:r>
    </w:p>
    <w:p w14:paraId="67ED8816" w14:textId="32373E3A" w:rsidR="004B4A54" w:rsidRPr="002866E5" w:rsidRDefault="00B4087C" w:rsidP="00B4087C">
      <w:pPr>
        <w:pStyle w:val="ManualNumPar1"/>
        <w:rPr>
          <w:noProof/>
        </w:rPr>
      </w:pPr>
      <w:r w:rsidRPr="00B4087C">
        <w:t>5.</w:t>
      </w:r>
      <w:r w:rsidRPr="00B4087C">
        <w:tab/>
      </w:r>
      <w:r w:rsidR="004B4A54" w:rsidRPr="002866E5">
        <w:rPr>
          <w:noProof/>
        </w:rPr>
        <w:t>Jednostki oceniające zgodność</w:t>
      </w:r>
      <w:r w:rsidR="008B35E8" w:rsidRPr="002866E5">
        <w:rPr>
          <w:noProof/>
        </w:rPr>
        <w:t xml:space="preserve"> i</w:t>
      </w:r>
      <w:r w:rsidR="008B35E8">
        <w:rPr>
          <w:noProof/>
        </w:rPr>
        <w:t> </w:t>
      </w:r>
      <w:r w:rsidR="008B35E8" w:rsidRPr="002866E5">
        <w:rPr>
          <w:noProof/>
        </w:rPr>
        <w:t>ich</w:t>
      </w:r>
      <w:r w:rsidR="004B4A54" w:rsidRPr="002866E5">
        <w:rPr>
          <w:noProof/>
        </w:rPr>
        <w:t xml:space="preserve"> pracownicy muszą spełniać</w:t>
      </w:r>
      <w:r w:rsidR="008B35E8" w:rsidRPr="002866E5">
        <w:rPr>
          <w:noProof/>
        </w:rPr>
        <w:t xml:space="preserve"> w</w:t>
      </w:r>
      <w:r w:rsidR="008B35E8">
        <w:rPr>
          <w:noProof/>
        </w:rPr>
        <w:t> </w:t>
      </w:r>
      <w:r w:rsidR="008B35E8" w:rsidRPr="002866E5">
        <w:rPr>
          <w:noProof/>
        </w:rPr>
        <w:t>tok</w:t>
      </w:r>
      <w:r w:rsidR="004B4A54" w:rsidRPr="002866E5">
        <w:rPr>
          <w:noProof/>
        </w:rPr>
        <w:t>u realizacji działalności związanej</w:t>
      </w:r>
      <w:r w:rsidR="008B35E8" w:rsidRPr="002866E5">
        <w:rPr>
          <w:noProof/>
        </w:rPr>
        <w:t xml:space="preserve"> z</w:t>
      </w:r>
      <w:r w:rsidR="008B35E8">
        <w:rPr>
          <w:noProof/>
        </w:rPr>
        <w:t> </w:t>
      </w:r>
      <w:r w:rsidR="008B35E8" w:rsidRPr="002866E5">
        <w:rPr>
          <w:noProof/>
        </w:rPr>
        <w:t>oce</w:t>
      </w:r>
      <w:r w:rsidR="004B4A54" w:rsidRPr="002866E5">
        <w:rPr>
          <w:noProof/>
        </w:rPr>
        <w:t>ną zgodności najwyższe standardy zawodowe, posiadać konieczne kwalifikacje techniczne</w:t>
      </w:r>
      <w:r w:rsidR="008B35E8" w:rsidRPr="002866E5">
        <w:rPr>
          <w:noProof/>
        </w:rPr>
        <w:t xml:space="preserve"> w</w:t>
      </w:r>
      <w:r w:rsidR="008B35E8">
        <w:rPr>
          <w:noProof/>
        </w:rPr>
        <w:t> </w:t>
      </w:r>
      <w:r w:rsidR="008B35E8" w:rsidRPr="002866E5">
        <w:rPr>
          <w:noProof/>
        </w:rPr>
        <w:t>dan</w:t>
      </w:r>
      <w:r w:rsidR="004B4A54" w:rsidRPr="002866E5">
        <w:rPr>
          <w:noProof/>
        </w:rPr>
        <w:t>ej dziedzinie oraz nie mogą być poddawani żadnym naciskom ani zachętom, zwłaszcza finansowym, mogącym wpływać na ich osąd lub wyniki działalności związanej</w:t>
      </w:r>
      <w:r w:rsidR="008B35E8" w:rsidRPr="002866E5">
        <w:rPr>
          <w:noProof/>
        </w:rPr>
        <w:t xml:space="preserve"> z</w:t>
      </w:r>
      <w:r w:rsidR="008B35E8">
        <w:rPr>
          <w:noProof/>
        </w:rPr>
        <w:t> </w:t>
      </w:r>
      <w:r w:rsidR="008B35E8" w:rsidRPr="002866E5">
        <w:rPr>
          <w:noProof/>
        </w:rPr>
        <w:t>oce</w:t>
      </w:r>
      <w:r w:rsidR="004B4A54" w:rsidRPr="002866E5">
        <w:rPr>
          <w:noProof/>
        </w:rPr>
        <w:t>ną zgodności,</w:t>
      </w:r>
      <w:r w:rsidR="008B35E8" w:rsidRPr="002866E5">
        <w:rPr>
          <w:noProof/>
        </w:rPr>
        <w:t xml:space="preserve"> w</w:t>
      </w:r>
      <w:r w:rsidR="008B35E8">
        <w:rPr>
          <w:noProof/>
        </w:rPr>
        <w:t> </w:t>
      </w:r>
      <w:r w:rsidR="008B35E8" w:rsidRPr="002866E5">
        <w:rPr>
          <w:noProof/>
        </w:rPr>
        <w:t>szc</w:t>
      </w:r>
      <w:r w:rsidR="004B4A54" w:rsidRPr="002866E5">
        <w:rPr>
          <w:noProof/>
        </w:rPr>
        <w:t>zególności ze strony osób lub grup osób, których interesy związane są</w:t>
      </w:r>
      <w:r w:rsidR="008B35E8" w:rsidRPr="002866E5">
        <w:rPr>
          <w:noProof/>
        </w:rPr>
        <w:t xml:space="preserve"> z</w:t>
      </w:r>
      <w:r w:rsidR="008B35E8">
        <w:rPr>
          <w:noProof/>
        </w:rPr>
        <w:t> </w:t>
      </w:r>
      <w:r w:rsidR="008B35E8" w:rsidRPr="002866E5">
        <w:rPr>
          <w:noProof/>
        </w:rPr>
        <w:t>rez</w:t>
      </w:r>
      <w:r w:rsidR="004B4A54" w:rsidRPr="002866E5">
        <w:rPr>
          <w:noProof/>
        </w:rPr>
        <w:t>ultatami tej działalności.</w:t>
      </w:r>
    </w:p>
    <w:p w14:paraId="67ED8817" w14:textId="1855E4CD" w:rsidR="004B4A54" w:rsidRPr="002866E5" w:rsidRDefault="00B4087C" w:rsidP="00B4087C">
      <w:pPr>
        <w:pStyle w:val="ManualNumPar1"/>
        <w:rPr>
          <w:noProof/>
        </w:rPr>
      </w:pPr>
      <w:r w:rsidRPr="00B4087C">
        <w:t>6.</w:t>
      </w:r>
      <w:r w:rsidRPr="00B4087C">
        <w:tab/>
      </w:r>
      <w:r w:rsidR="004B4A54" w:rsidRPr="002866E5">
        <w:rPr>
          <w:noProof/>
        </w:rPr>
        <w:t>Jednostka oceniająca zgodność musi być zdolna do realizacji wszystkich zadań związanych</w:t>
      </w:r>
      <w:r w:rsidR="008B35E8" w:rsidRPr="002866E5">
        <w:rPr>
          <w:noProof/>
        </w:rPr>
        <w:t xml:space="preserve"> z</w:t>
      </w:r>
      <w:r w:rsidR="008B35E8">
        <w:rPr>
          <w:noProof/>
        </w:rPr>
        <w:t> </w:t>
      </w:r>
      <w:r w:rsidR="008B35E8" w:rsidRPr="002866E5">
        <w:rPr>
          <w:noProof/>
        </w:rPr>
        <w:t>oce</w:t>
      </w:r>
      <w:r w:rsidR="004B4A54" w:rsidRPr="002866E5">
        <w:rPr>
          <w:noProof/>
        </w:rPr>
        <w:t>ną zgodności,</w:t>
      </w:r>
      <w:r w:rsidR="008B35E8" w:rsidRPr="002866E5">
        <w:rPr>
          <w:noProof/>
        </w:rPr>
        <w:t xml:space="preserve"> o</w:t>
      </w:r>
      <w:r w:rsidR="008B35E8">
        <w:rPr>
          <w:noProof/>
        </w:rPr>
        <w:t> </w:t>
      </w:r>
      <w:r w:rsidR="008B35E8" w:rsidRPr="002866E5">
        <w:rPr>
          <w:noProof/>
        </w:rPr>
        <w:t>któ</w:t>
      </w:r>
      <w:r w:rsidR="004B4A54" w:rsidRPr="002866E5">
        <w:rPr>
          <w:noProof/>
        </w:rPr>
        <w:t>rych mowa</w:t>
      </w:r>
      <w:r w:rsidR="008B35E8" w:rsidRPr="002866E5">
        <w:rPr>
          <w:noProof/>
        </w:rPr>
        <w:t xml:space="preserve"> w</w:t>
      </w:r>
      <w:r w:rsidR="008B35E8">
        <w:rPr>
          <w:noProof/>
        </w:rPr>
        <w:t> </w:t>
      </w:r>
      <w:r w:rsidR="008B35E8" w:rsidRPr="002866E5">
        <w:rPr>
          <w:noProof/>
        </w:rPr>
        <w:t>zał</w:t>
      </w:r>
      <w:r w:rsidR="004B4A54" w:rsidRPr="002866E5">
        <w:rPr>
          <w:noProof/>
        </w:rPr>
        <w:t>ączniku VI</w:t>
      </w:r>
      <w:r w:rsidR="008B35E8" w:rsidRPr="002866E5">
        <w:rPr>
          <w:noProof/>
        </w:rPr>
        <w:t xml:space="preserve"> i</w:t>
      </w:r>
      <w:r w:rsidR="008B35E8">
        <w:rPr>
          <w:noProof/>
        </w:rPr>
        <w:t> </w:t>
      </w:r>
      <w:r w:rsidR="008B35E8" w:rsidRPr="002866E5">
        <w:rPr>
          <w:noProof/>
        </w:rPr>
        <w:t>w</w:t>
      </w:r>
      <w:r w:rsidR="008B35E8">
        <w:rPr>
          <w:noProof/>
        </w:rPr>
        <w:t> </w:t>
      </w:r>
      <w:r w:rsidR="008B35E8" w:rsidRPr="002866E5">
        <w:rPr>
          <w:noProof/>
        </w:rPr>
        <w:t>odn</w:t>
      </w:r>
      <w:r w:rsidR="004B4A54" w:rsidRPr="002866E5">
        <w:rPr>
          <w:noProof/>
        </w:rPr>
        <w:t>iesieniu do których została notyfikowana, niezależnie od tego, czy dana jednostka oceniająca zgodność wykonuje te zadania samodzielnie, czy są one wykonywane</w:t>
      </w:r>
      <w:r w:rsidR="008B35E8" w:rsidRPr="002866E5">
        <w:rPr>
          <w:noProof/>
        </w:rPr>
        <w:t xml:space="preserve"> w</w:t>
      </w:r>
      <w:r w:rsidR="008B35E8">
        <w:rPr>
          <w:noProof/>
        </w:rPr>
        <w:t> </w:t>
      </w:r>
      <w:r w:rsidR="008B35E8" w:rsidRPr="002866E5">
        <w:rPr>
          <w:noProof/>
        </w:rPr>
        <w:t>jej</w:t>
      </w:r>
      <w:r w:rsidR="004B4A54" w:rsidRPr="002866E5">
        <w:rPr>
          <w:noProof/>
        </w:rPr>
        <w:t xml:space="preserve"> imieniu i na jej odpowiedzialność. </w:t>
      </w:r>
    </w:p>
    <w:p w14:paraId="67ED8818" w14:textId="01C6A8D9" w:rsidR="00953A31" w:rsidRPr="002866E5" w:rsidRDefault="00953A31" w:rsidP="000A6E88">
      <w:pPr>
        <w:pStyle w:val="Text1"/>
        <w:rPr>
          <w:noProof/>
        </w:rPr>
      </w:pPr>
      <w:r w:rsidRPr="002866E5">
        <w:rPr>
          <w:noProof/>
        </w:rPr>
        <w:lastRenderedPageBreak/>
        <w:t>Przez cały czas</w:t>
      </w:r>
      <w:r w:rsidR="008B35E8" w:rsidRPr="002866E5">
        <w:rPr>
          <w:noProof/>
        </w:rPr>
        <w:t xml:space="preserve"> i</w:t>
      </w:r>
      <w:r w:rsidR="008B35E8">
        <w:rPr>
          <w:noProof/>
        </w:rPr>
        <w:t> </w:t>
      </w:r>
      <w:r w:rsidR="008B35E8" w:rsidRPr="002866E5">
        <w:rPr>
          <w:noProof/>
        </w:rPr>
        <w:t>w</w:t>
      </w:r>
      <w:r w:rsidR="008B35E8">
        <w:rPr>
          <w:noProof/>
        </w:rPr>
        <w:t> </w:t>
      </w:r>
      <w:r w:rsidR="008B35E8" w:rsidRPr="002866E5">
        <w:rPr>
          <w:noProof/>
        </w:rPr>
        <w:t>odn</w:t>
      </w:r>
      <w:r w:rsidRPr="002866E5">
        <w:rPr>
          <w:noProof/>
        </w:rPr>
        <w:t>iesieniu do dowolnej procedury oceny zgodności oraz dowolnego rodzaju lub kategorii produktów</w:t>
      </w:r>
      <w:r w:rsidR="008B35E8" w:rsidRPr="002866E5">
        <w:rPr>
          <w:noProof/>
        </w:rPr>
        <w:t xml:space="preserve"> z</w:t>
      </w:r>
      <w:r w:rsidR="008B35E8">
        <w:rPr>
          <w:noProof/>
        </w:rPr>
        <w:t> </w:t>
      </w:r>
      <w:r w:rsidR="008B35E8" w:rsidRPr="002866E5">
        <w:rPr>
          <w:noProof/>
        </w:rPr>
        <w:t>ele</w:t>
      </w:r>
      <w:r w:rsidRPr="002866E5">
        <w:rPr>
          <w:noProof/>
        </w:rPr>
        <w:t>mentami cyfrowymi będących przedmiotem notyfikacji dana jednostka oceniająca zgodność musi dysponować niezbędnymi:</w:t>
      </w:r>
    </w:p>
    <w:p w14:paraId="67ED8819" w14:textId="74530544" w:rsidR="00953A31" w:rsidRPr="002866E5" w:rsidRDefault="000340F9" w:rsidP="000340F9">
      <w:pPr>
        <w:pStyle w:val="Point1"/>
        <w:rPr>
          <w:noProof/>
        </w:rPr>
      </w:pPr>
      <w:r w:rsidRPr="000340F9">
        <w:rPr>
          <w:noProof/>
        </w:rPr>
        <w:t>a)</w:t>
      </w:r>
      <w:r w:rsidRPr="000340F9">
        <w:rPr>
          <w:noProof/>
        </w:rPr>
        <w:tab/>
      </w:r>
      <w:r w:rsidR="00E67864" w:rsidRPr="002866E5">
        <w:rPr>
          <w:noProof/>
        </w:rPr>
        <w:t>pracownikami mającymi wiedzę techniczną oraz wystarczające</w:t>
      </w:r>
      <w:r w:rsidR="008B35E8" w:rsidRPr="002866E5">
        <w:rPr>
          <w:noProof/>
        </w:rPr>
        <w:t xml:space="preserve"> i</w:t>
      </w:r>
      <w:r w:rsidR="008B35E8">
        <w:rPr>
          <w:noProof/>
        </w:rPr>
        <w:t> </w:t>
      </w:r>
      <w:r w:rsidR="008B35E8" w:rsidRPr="002866E5">
        <w:rPr>
          <w:noProof/>
        </w:rPr>
        <w:t>odp</w:t>
      </w:r>
      <w:r w:rsidR="00E67864" w:rsidRPr="002866E5">
        <w:rPr>
          <w:noProof/>
        </w:rPr>
        <w:t>owiednie doświadczenie do realizacji zadań</w:t>
      </w:r>
      <w:r w:rsidR="008B35E8" w:rsidRPr="002866E5">
        <w:rPr>
          <w:noProof/>
        </w:rPr>
        <w:t xml:space="preserve"> z</w:t>
      </w:r>
      <w:r w:rsidR="008B35E8">
        <w:rPr>
          <w:noProof/>
        </w:rPr>
        <w:t> </w:t>
      </w:r>
      <w:r w:rsidR="008B35E8" w:rsidRPr="002866E5">
        <w:rPr>
          <w:noProof/>
        </w:rPr>
        <w:t>zak</w:t>
      </w:r>
      <w:r w:rsidR="00E67864" w:rsidRPr="002866E5">
        <w:rPr>
          <w:noProof/>
        </w:rPr>
        <w:t>resu oceny zgodności;</w:t>
      </w:r>
    </w:p>
    <w:p w14:paraId="67ED881A" w14:textId="744583F4" w:rsidR="00953A31" w:rsidRPr="002866E5" w:rsidRDefault="000340F9" w:rsidP="000340F9">
      <w:pPr>
        <w:pStyle w:val="Point1"/>
        <w:rPr>
          <w:noProof/>
        </w:rPr>
      </w:pPr>
      <w:r>
        <w:rPr>
          <w:noProof/>
        </w:rPr>
        <w:t>b</w:t>
      </w:r>
      <w:r w:rsidRPr="000340F9">
        <w:rPr>
          <w:noProof/>
        </w:rPr>
        <w:t>)</w:t>
      </w:r>
      <w:r w:rsidRPr="000340F9">
        <w:rPr>
          <w:noProof/>
        </w:rPr>
        <w:tab/>
      </w:r>
      <w:r w:rsidR="00953A31" w:rsidRPr="002866E5">
        <w:rPr>
          <w:noProof/>
        </w:rPr>
        <w:t>opisami procedur, zgodnie</w:t>
      </w:r>
      <w:r w:rsidR="008B35E8" w:rsidRPr="002866E5">
        <w:rPr>
          <w:noProof/>
        </w:rPr>
        <w:t xml:space="preserve"> z</w:t>
      </w:r>
      <w:r w:rsidR="008B35E8">
        <w:rPr>
          <w:noProof/>
        </w:rPr>
        <w:t> </w:t>
      </w:r>
      <w:r w:rsidR="008B35E8" w:rsidRPr="002866E5">
        <w:rPr>
          <w:noProof/>
        </w:rPr>
        <w:t>któ</w:t>
      </w:r>
      <w:r w:rsidR="00953A31" w:rsidRPr="002866E5">
        <w:rPr>
          <w:noProof/>
        </w:rPr>
        <w:t>rymi przeprowadza się ocenę zgodności, zapewniającymi przejrzystość</w:t>
      </w:r>
      <w:r w:rsidR="008B35E8" w:rsidRPr="002866E5">
        <w:rPr>
          <w:noProof/>
        </w:rPr>
        <w:t xml:space="preserve"> i</w:t>
      </w:r>
      <w:r w:rsidR="008B35E8">
        <w:rPr>
          <w:noProof/>
        </w:rPr>
        <w:t> </w:t>
      </w:r>
      <w:r w:rsidR="008B35E8" w:rsidRPr="002866E5">
        <w:rPr>
          <w:noProof/>
        </w:rPr>
        <w:t>pow</w:t>
      </w:r>
      <w:r w:rsidR="00953A31" w:rsidRPr="002866E5">
        <w:rPr>
          <w:noProof/>
        </w:rPr>
        <w:t>tarzalność tych procedur. Jednostka musi posiadać odpowiednią politykę</w:t>
      </w:r>
      <w:r w:rsidR="008B35E8" w:rsidRPr="002866E5">
        <w:rPr>
          <w:noProof/>
        </w:rPr>
        <w:t xml:space="preserve"> i</w:t>
      </w:r>
      <w:r w:rsidR="008B35E8">
        <w:rPr>
          <w:noProof/>
        </w:rPr>
        <w:t> </w:t>
      </w:r>
      <w:r w:rsidR="008B35E8" w:rsidRPr="002866E5">
        <w:rPr>
          <w:noProof/>
        </w:rPr>
        <w:t>sto</w:t>
      </w:r>
      <w:r w:rsidR="00953A31" w:rsidRPr="002866E5">
        <w:rPr>
          <w:noProof/>
        </w:rPr>
        <w:t>sowne procedury, dzięki którym możliwe jest odróżnienie zadań wykonywanych jako jednostka notyfikowana od pozostałych działań;</w:t>
      </w:r>
    </w:p>
    <w:p w14:paraId="67ED881B" w14:textId="2E88185B" w:rsidR="00953A31" w:rsidRPr="002866E5" w:rsidRDefault="000340F9" w:rsidP="000340F9">
      <w:pPr>
        <w:pStyle w:val="Point1"/>
        <w:rPr>
          <w:noProof/>
        </w:rPr>
      </w:pPr>
      <w:r>
        <w:rPr>
          <w:noProof/>
        </w:rPr>
        <w:t>c</w:t>
      </w:r>
      <w:r w:rsidRPr="000340F9">
        <w:rPr>
          <w:noProof/>
        </w:rPr>
        <w:t>)</w:t>
      </w:r>
      <w:r w:rsidRPr="000340F9">
        <w:rPr>
          <w:noProof/>
        </w:rPr>
        <w:tab/>
      </w:r>
      <w:r w:rsidR="00953A31" w:rsidRPr="002866E5">
        <w:rPr>
          <w:noProof/>
        </w:rPr>
        <w:t>procedurami służącymi wykonywaniu działań</w:t>
      </w:r>
      <w:r w:rsidR="008B35E8" w:rsidRPr="002866E5">
        <w:rPr>
          <w:noProof/>
        </w:rPr>
        <w:t xml:space="preserve"> z</w:t>
      </w:r>
      <w:r w:rsidR="008B35E8">
        <w:rPr>
          <w:noProof/>
        </w:rPr>
        <w:t> </w:t>
      </w:r>
      <w:r w:rsidR="008B35E8" w:rsidRPr="002866E5">
        <w:rPr>
          <w:noProof/>
        </w:rPr>
        <w:t>nal</w:t>
      </w:r>
      <w:r w:rsidR="00953A31" w:rsidRPr="002866E5">
        <w:rPr>
          <w:noProof/>
        </w:rPr>
        <w:t>eżytym uwzględnieniem wielkości przedsiębiorstwa, sektora jego działalności, struktury przedsiębiorstwa, stopnia złożoności technologii danego produktu oraz masowego lub seryjnego charakteru procesu produkcji.</w:t>
      </w:r>
    </w:p>
    <w:p w14:paraId="67ED881C" w14:textId="0FF271AC" w:rsidR="00953A31" w:rsidRPr="002866E5" w:rsidRDefault="00953A31" w:rsidP="000A6E88">
      <w:pPr>
        <w:pStyle w:val="Text1"/>
        <w:rPr>
          <w:noProof/>
        </w:rPr>
      </w:pPr>
      <w:r w:rsidRPr="002866E5">
        <w:rPr>
          <w:noProof/>
        </w:rPr>
        <w:t>Jednostka musi dysponować środkami niezbędnymi do prawidłowej realizacji zadań</w:t>
      </w:r>
      <w:r w:rsidR="008B35E8" w:rsidRPr="002866E5">
        <w:rPr>
          <w:noProof/>
        </w:rPr>
        <w:t xml:space="preserve"> o</w:t>
      </w:r>
      <w:r w:rsidR="008B35E8">
        <w:rPr>
          <w:noProof/>
        </w:rPr>
        <w:t> </w:t>
      </w:r>
      <w:r w:rsidR="008B35E8" w:rsidRPr="002866E5">
        <w:rPr>
          <w:noProof/>
        </w:rPr>
        <w:t>cha</w:t>
      </w:r>
      <w:r w:rsidRPr="002866E5">
        <w:rPr>
          <w:noProof/>
        </w:rPr>
        <w:t>rakterze technicznym</w:t>
      </w:r>
      <w:r w:rsidR="008B35E8" w:rsidRPr="002866E5">
        <w:rPr>
          <w:noProof/>
        </w:rPr>
        <w:t xml:space="preserve"> i</w:t>
      </w:r>
      <w:r w:rsidR="008B35E8">
        <w:rPr>
          <w:noProof/>
        </w:rPr>
        <w:t> </w:t>
      </w:r>
      <w:r w:rsidR="008B35E8" w:rsidRPr="002866E5">
        <w:rPr>
          <w:noProof/>
        </w:rPr>
        <w:t>adm</w:t>
      </w:r>
      <w:r w:rsidRPr="002866E5">
        <w:rPr>
          <w:noProof/>
        </w:rPr>
        <w:t>inistracyjnym</w:t>
      </w:r>
      <w:r w:rsidR="008B35E8" w:rsidRPr="002866E5">
        <w:rPr>
          <w:noProof/>
        </w:rPr>
        <w:t xml:space="preserve"> z</w:t>
      </w:r>
      <w:r w:rsidR="008B35E8">
        <w:rPr>
          <w:noProof/>
        </w:rPr>
        <w:t> </w:t>
      </w:r>
      <w:r w:rsidR="008B35E8" w:rsidRPr="002866E5">
        <w:rPr>
          <w:noProof/>
        </w:rPr>
        <w:t>zak</w:t>
      </w:r>
      <w:r w:rsidRPr="002866E5">
        <w:rPr>
          <w:noProof/>
        </w:rPr>
        <w:t xml:space="preserve">resu oceny zgodności oraz mieć dostęp do wszelkiego niezbędnego wyposażenia lub wszelkich niezbędnych obiektów. </w:t>
      </w:r>
    </w:p>
    <w:p w14:paraId="67ED881D" w14:textId="55C8EDC1" w:rsidR="00953A31" w:rsidRPr="002866E5" w:rsidRDefault="00B4087C" w:rsidP="00B4087C">
      <w:pPr>
        <w:pStyle w:val="ManualNumPar1"/>
        <w:rPr>
          <w:noProof/>
        </w:rPr>
      </w:pPr>
      <w:r w:rsidRPr="00B4087C">
        <w:t>7.</w:t>
      </w:r>
      <w:r w:rsidRPr="00B4087C">
        <w:tab/>
      </w:r>
      <w:r w:rsidR="00953A31" w:rsidRPr="002866E5">
        <w:rPr>
          <w:noProof/>
        </w:rPr>
        <w:t>Pracownicy odpowiedzialni za realizację działań związanych</w:t>
      </w:r>
      <w:r w:rsidR="008B35E8" w:rsidRPr="002866E5">
        <w:rPr>
          <w:noProof/>
        </w:rPr>
        <w:t xml:space="preserve"> z</w:t>
      </w:r>
      <w:r w:rsidR="008B35E8">
        <w:rPr>
          <w:noProof/>
        </w:rPr>
        <w:t> </w:t>
      </w:r>
      <w:r w:rsidR="008B35E8" w:rsidRPr="002866E5">
        <w:rPr>
          <w:noProof/>
        </w:rPr>
        <w:t>oce</w:t>
      </w:r>
      <w:r w:rsidR="00953A31" w:rsidRPr="002866E5">
        <w:rPr>
          <w:noProof/>
        </w:rPr>
        <w:t>ną zgodności muszą mieć:</w:t>
      </w:r>
    </w:p>
    <w:p w14:paraId="67ED881E" w14:textId="335EA98E" w:rsidR="00AB741C" w:rsidRPr="002866E5" w:rsidRDefault="000340F9" w:rsidP="000340F9">
      <w:pPr>
        <w:pStyle w:val="Point1"/>
        <w:rPr>
          <w:noProof/>
        </w:rPr>
      </w:pPr>
      <w:r w:rsidRPr="000340F9">
        <w:rPr>
          <w:noProof/>
        </w:rPr>
        <w:t>a)</w:t>
      </w:r>
      <w:r w:rsidRPr="000340F9">
        <w:rPr>
          <w:noProof/>
        </w:rPr>
        <w:tab/>
      </w:r>
      <w:r w:rsidR="00953A31" w:rsidRPr="002866E5">
        <w:rPr>
          <w:noProof/>
        </w:rPr>
        <w:t>gruntowne przeszkolenie zawodowe</w:t>
      </w:r>
      <w:r w:rsidR="008B35E8" w:rsidRPr="002866E5">
        <w:rPr>
          <w:noProof/>
        </w:rPr>
        <w:t xml:space="preserve"> i</w:t>
      </w:r>
      <w:r w:rsidR="008B35E8">
        <w:rPr>
          <w:noProof/>
        </w:rPr>
        <w:t> </w:t>
      </w:r>
      <w:r w:rsidR="008B35E8" w:rsidRPr="002866E5">
        <w:rPr>
          <w:noProof/>
        </w:rPr>
        <w:t>tec</w:t>
      </w:r>
      <w:r w:rsidR="00953A31" w:rsidRPr="002866E5">
        <w:rPr>
          <w:noProof/>
        </w:rPr>
        <w:t>hniczne, obejmujące wszystkie działania związane</w:t>
      </w:r>
      <w:r w:rsidR="008B35E8" w:rsidRPr="002866E5">
        <w:rPr>
          <w:noProof/>
        </w:rPr>
        <w:t xml:space="preserve"> z</w:t>
      </w:r>
      <w:r w:rsidR="008B35E8">
        <w:rPr>
          <w:noProof/>
        </w:rPr>
        <w:t> </w:t>
      </w:r>
      <w:r w:rsidR="008B35E8" w:rsidRPr="002866E5">
        <w:rPr>
          <w:noProof/>
        </w:rPr>
        <w:t>oce</w:t>
      </w:r>
      <w:r w:rsidR="00953A31" w:rsidRPr="002866E5">
        <w:rPr>
          <w:noProof/>
        </w:rPr>
        <w:t>ną zgodności</w:t>
      </w:r>
      <w:r w:rsidR="008B35E8" w:rsidRPr="002866E5">
        <w:rPr>
          <w:noProof/>
        </w:rPr>
        <w:t xml:space="preserve"> w</w:t>
      </w:r>
      <w:r w:rsidR="008B35E8">
        <w:rPr>
          <w:noProof/>
        </w:rPr>
        <w:t> </w:t>
      </w:r>
      <w:r w:rsidR="008B35E8" w:rsidRPr="002866E5">
        <w:rPr>
          <w:noProof/>
        </w:rPr>
        <w:t>zak</w:t>
      </w:r>
      <w:r w:rsidR="00953A31" w:rsidRPr="002866E5">
        <w:rPr>
          <w:noProof/>
        </w:rPr>
        <w:t>resie będącym przedmiotem notyfikacji jednostki oceniającej zgodność;</w:t>
      </w:r>
    </w:p>
    <w:p w14:paraId="67ED881F" w14:textId="5DC804BB" w:rsidR="00AB741C" w:rsidRPr="002866E5" w:rsidRDefault="000340F9" w:rsidP="000340F9">
      <w:pPr>
        <w:pStyle w:val="Point1"/>
        <w:rPr>
          <w:noProof/>
        </w:rPr>
      </w:pPr>
      <w:r w:rsidRPr="000340F9">
        <w:rPr>
          <w:noProof/>
        </w:rPr>
        <w:t>b)</w:t>
      </w:r>
      <w:r w:rsidRPr="000340F9">
        <w:rPr>
          <w:noProof/>
        </w:rPr>
        <w:tab/>
      </w:r>
      <w:r w:rsidR="00953A31" w:rsidRPr="002866E5">
        <w:rPr>
          <w:noProof/>
        </w:rPr>
        <w:t>dostateczną znajomość wymogów dotyczących ocen, które przeprowadzają, oraz odpowiednie uprawnienia do dokonywania takich ocen;</w:t>
      </w:r>
    </w:p>
    <w:p w14:paraId="67ED8820" w14:textId="3DE14C01" w:rsidR="00AB741C" w:rsidRPr="002866E5" w:rsidRDefault="000340F9" w:rsidP="000340F9">
      <w:pPr>
        <w:pStyle w:val="Point1"/>
        <w:rPr>
          <w:noProof/>
        </w:rPr>
      </w:pPr>
      <w:r w:rsidRPr="000340F9">
        <w:rPr>
          <w:noProof/>
        </w:rPr>
        <w:t>c)</w:t>
      </w:r>
      <w:r w:rsidRPr="000340F9">
        <w:rPr>
          <w:noProof/>
        </w:rPr>
        <w:tab/>
      </w:r>
      <w:r w:rsidR="00953A31" w:rsidRPr="002866E5">
        <w:rPr>
          <w:noProof/>
        </w:rPr>
        <w:t>odpowiednią znajomość</w:t>
      </w:r>
      <w:r w:rsidR="008B35E8" w:rsidRPr="002866E5">
        <w:rPr>
          <w:noProof/>
        </w:rPr>
        <w:t xml:space="preserve"> i</w:t>
      </w:r>
      <w:r w:rsidR="008B35E8">
        <w:rPr>
          <w:noProof/>
        </w:rPr>
        <w:t> </w:t>
      </w:r>
      <w:r w:rsidR="008B35E8" w:rsidRPr="002866E5">
        <w:rPr>
          <w:noProof/>
        </w:rPr>
        <w:t>zro</w:t>
      </w:r>
      <w:r w:rsidR="00953A31" w:rsidRPr="002866E5">
        <w:rPr>
          <w:noProof/>
        </w:rPr>
        <w:t>zumienie zasadniczych wymogów, obowiązujących norm zharmonizowanych oraz stosownych przepisów unijnego prawodawstwa harmonizacyjnego</w:t>
      </w:r>
      <w:r w:rsidR="008B35E8" w:rsidRPr="002866E5">
        <w:rPr>
          <w:noProof/>
        </w:rPr>
        <w:t xml:space="preserve"> i</w:t>
      </w:r>
      <w:r w:rsidR="008B35E8">
        <w:rPr>
          <w:noProof/>
        </w:rPr>
        <w:t> </w:t>
      </w:r>
      <w:r w:rsidR="008B35E8" w:rsidRPr="002866E5">
        <w:rPr>
          <w:noProof/>
        </w:rPr>
        <w:t>akt</w:t>
      </w:r>
      <w:r w:rsidR="00953A31" w:rsidRPr="002866E5">
        <w:rPr>
          <w:noProof/>
        </w:rPr>
        <w:t>ów wykonawczych;</w:t>
      </w:r>
    </w:p>
    <w:p w14:paraId="67ED8821" w14:textId="183D7E3E" w:rsidR="00953A31" w:rsidRPr="002866E5" w:rsidRDefault="000340F9" w:rsidP="000340F9">
      <w:pPr>
        <w:pStyle w:val="Point1"/>
        <w:rPr>
          <w:noProof/>
        </w:rPr>
      </w:pPr>
      <w:r w:rsidRPr="000340F9">
        <w:rPr>
          <w:noProof/>
        </w:rPr>
        <w:t>d)</w:t>
      </w:r>
      <w:r w:rsidRPr="000340F9">
        <w:rPr>
          <w:noProof/>
        </w:rPr>
        <w:tab/>
      </w:r>
      <w:r w:rsidR="00E54C23" w:rsidRPr="002866E5">
        <w:rPr>
          <w:noProof/>
        </w:rPr>
        <w:t>umiejętności wymagane do sporządzania certyfikatów, zapisów</w:t>
      </w:r>
      <w:r w:rsidR="008B35E8" w:rsidRPr="002866E5">
        <w:rPr>
          <w:noProof/>
        </w:rPr>
        <w:t xml:space="preserve"> i</w:t>
      </w:r>
      <w:r w:rsidR="008B35E8">
        <w:rPr>
          <w:noProof/>
        </w:rPr>
        <w:t> </w:t>
      </w:r>
      <w:r w:rsidR="008B35E8" w:rsidRPr="002866E5">
        <w:rPr>
          <w:noProof/>
        </w:rPr>
        <w:t>spr</w:t>
      </w:r>
      <w:r w:rsidR="00E54C23" w:rsidRPr="002866E5">
        <w:rPr>
          <w:noProof/>
        </w:rPr>
        <w:t>awozdań potwierdzających, że oceny zostały przeprowadzone.</w:t>
      </w:r>
    </w:p>
    <w:p w14:paraId="67ED8822" w14:textId="7E531E93" w:rsidR="000319FD" w:rsidRPr="002866E5" w:rsidRDefault="00B4087C" w:rsidP="00B4087C">
      <w:pPr>
        <w:pStyle w:val="ManualNumPar1"/>
        <w:rPr>
          <w:noProof/>
        </w:rPr>
      </w:pPr>
      <w:r w:rsidRPr="00B4087C">
        <w:t>8.</w:t>
      </w:r>
      <w:r w:rsidRPr="00B4087C">
        <w:tab/>
      </w:r>
      <w:r w:rsidR="00953A31" w:rsidRPr="002866E5">
        <w:rPr>
          <w:noProof/>
        </w:rPr>
        <w:t>Gwarantuje się bezstronność jednostek oceniających zgodność, ich kierownictwa najwyższego szczebla</w:t>
      </w:r>
      <w:r w:rsidR="008B35E8" w:rsidRPr="002866E5">
        <w:rPr>
          <w:noProof/>
        </w:rPr>
        <w:t xml:space="preserve"> i</w:t>
      </w:r>
      <w:r w:rsidR="008B35E8">
        <w:rPr>
          <w:noProof/>
        </w:rPr>
        <w:t> </w:t>
      </w:r>
      <w:r w:rsidR="008B35E8" w:rsidRPr="002866E5">
        <w:rPr>
          <w:noProof/>
        </w:rPr>
        <w:t>pra</w:t>
      </w:r>
      <w:r w:rsidR="00953A31" w:rsidRPr="002866E5">
        <w:rPr>
          <w:noProof/>
        </w:rPr>
        <w:t xml:space="preserve">cowników przeprowadzających ocenę. </w:t>
      </w:r>
    </w:p>
    <w:p w14:paraId="67ED8823" w14:textId="77777777" w:rsidR="00C352C2" w:rsidRPr="002866E5" w:rsidRDefault="00953A31" w:rsidP="000A6E88">
      <w:pPr>
        <w:pStyle w:val="Text1"/>
        <w:rPr>
          <w:noProof/>
        </w:rPr>
      </w:pPr>
      <w:r w:rsidRPr="002866E5">
        <w:rPr>
          <w:noProof/>
        </w:rPr>
        <w:t>Wynagrodzenie kierownictwa najwyższego szczebla jednostki oceniającej zgodność oraz jej pracowników przeprowadzających ocenę nie może zależeć od liczby przeprowadzonych ocen ani od ich wyników.</w:t>
      </w:r>
    </w:p>
    <w:p w14:paraId="67ED8824" w14:textId="78B97890" w:rsidR="00C352C2" w:rsidRPr="002866E5" w:rsidRDefault="00B4087C" w:rsidP="00B4087C">
      <w:pPr>
        <w:pStyle w:val="ManualNumPar1"/>
        <w:rPr>
          <w:noProof/>
        </w:rPr>
      </w:pPr>
      <w:r w:rsidRPr="00B4087C">
        <w:t>9.</w:t>
      </w:r>
      <w:r w:rsidRPr="00B4087C">
        <w:tab/>
      </w:r>
      <w:r w:rsidR="00953A31" w:rsidRPr="002866E5">
        <w:rPr>
          <w:noProof/>
        </w:rPr>
        <w:t>Jednostki oceniające zgodność muszą wykupić ubezpieczenie od odpowiedzialności cywilnej, chyba że na mocy prawa krajowego odpowiedzialność spoczywa na państwie lub za ocenę zgodności bezpośrednio odpowiada samo państwo członkowskie.</w:t>
      </w:r>
    </w:p>
    <w:p w14:paraId="67ED8825" w14:textId="67170220" w:rsidR="00C352C2" w:rsidRPr="002866E5" w:rsidRDefault="00B4087C" w:rsidP="00B4087C">
      <w:pPr>
        <w:pStyle w:val="ManualNumPar1"/>
        <w:rPr>
          <w:noProof/>
        </w:rPr>
      </w:pPr>
      <w:r w:rsidRPr="00B4087C">
        <w:t>10.</w:t>
      </w:r>
      <w:r w:rsidRPr="00B4087C">
        <w:tab/>
      </w:r>
      <w:r w:rsidR="00953A31" w:rsidRPr="002866E5">
        <w:rPr>
          <w:noProof/>
        </w:rPr>
        <w:t>Pracownicy jednostki oceniającej zgodność są zobowiązani dochować tajemnicy zawodowej</w:t>
      </w:r>
      <w:r w:rsidR="008B35E8" w:rsidRPr="002866E5">
        <w:rPr>
          <w:noProof/>
        </w:rPr>
        <w:t xml:space="preserve"> w</w:t>
      </w:r>
      <w:r w:rsidR="008B35E8">
        <w:rPr>
          <w:noProof/>
        </w:rPr>
        <w:t> </w:t>
      </w:r>
      <w:r w:rsidR="008B35E8" w:rsidRPr="002866E5">
        <w:rPr>
          <w:noProof/>
        </w:rPr>
        <w:t>odn</w:t>
      </w:r>
      <w:r w:rsidR="00953A31" w:rsidRPr="002866E5">
        <w:rPr>
          <w:noProof/>
        </w:rPr>
        <w:t>iesieniu do wszystkich informacji, które uzyskują</w:t>
      </w:r>
      <w:r w:rsidR="008B35E8" w:rsidRPr="002866E5">
        <w:rPr>
          <w:noProof/>
        </w:rPr>
        <w:t xml:space="preserve"> w</w:t>
      </w:r>
      <w:r w:rsidR="008B35E8">
        <w:rPr>
          <w:noProof/>
        </w:rPr>
        <w:t> </w:t>
      </w:r>
      <w:r w:rsidR="008B35E8" w:rsidRPr="002866E5">
        <w:rPr>
          <w:noProof/>
        </w:rPr>
        <w:t>tra</w:t>
      </w:r>
      <w:r w:rsidR="00953A31" w:rsidRPr="002866E5">
        <w:rPr>
          <w:noProof/>
        </w:rPr>
        <w:t>kcie wykonywania swoich zadań zgodnie</w:t>
      </w:r>
      <w:r w:rsidR="008B35E8" w:rsidRPr="002866E5">
        <w:rPr>
          <w:noProof/>
        </w:rPr>
        <w:t xml:space="preserve"> z</w:t>
      </w:r>
      <w:r w:rsidR="008B35E8">
        <w:rPr>
          <w:noProof/>
        </w:rPr>
        <w:t> </w:t>
      </w:r>
      <w:r w:rsidR="008B35E8" w:rsidRPr="002866E5">
        <w:rPr>
          <w:noProof/>
        </w:rPr>
        <w:t>zał</w:t>
      </w:r>
      <w:r w:rsidR="00953A31" w:rsidRPr="002866E5">
        <w:rPr>
          <w:noProof/>
        </w:rPr>
        <w:t>ącznikiem VI lub przepisami prawa krajowego</w:t>
      </w:r>
      <w:r w:rsidR="008B35E8" w:rsidRPr="002866E5">
        <w:rPr>
          <w:noProof/>
        </w:rPr>
        <w:t xml:space="preserve"> w</w:t>
      </w:r>
      <w:r w:rsidR="008B35E8">
        <w:rPr>
          <w:noProof/>
        </w:rPr>
        <w:t> </w:t>
      </w:r>
      <w:r w:rsidR="008B35E8" w:rsidRPr="002866E5">
        <w:rPr>
          <w:noProof/>
        </w:rPr>
        <w:t>dan</w:t>
      </w:r>
      <w:r w:rsidR="00953A31" w:rsidRPr="002866E5">
        <w:rPr>
          <w:noProof/>
        </w:rPr>
        <w:t>ym zakresie,</w:t>
      </w:r>
      <w:r w:rsidR="008B35E8" w:rsidRPr="002866E5">
        <w:rPr>
          <w:noProof/>
        </w:rPr>
        <w:t xml:space="preserve"> z</w:t>
      </w:r>
      <w:r w:rsidR="008B35E8">
        <w:rPr>
          <w:noProof/>
        </w:rPr>
        <w:t> </w:t>
      </w:r>
      <w:r w:rsidR="008B35E8" w:rsidRPr="002866E5">
        <w:rPr>
          <w:noProof/>
        </w:rPr>
        <w:t>wyj</w:t>
      </w:r>
      <w:r w:rsidR="00953A31" w:rsidRPr="002866E5">
        <w:rPr>
          <w:noProof/>
        </w:rPr>
        <w:t>ątkiem dochowania tajemnicy wobec organów nadzoru rynku państwa członkowskiego,</w:t>
      </w:r>
      <w:r w:rsidR="008B35E8" w:rsidRPr="002866E5">
        <w:rPr>
          <w:noProof/>
        </w:rPr>
        <w:t xml:space="preserve"> w</w:t>
      </w:r>
      <w:r w:rsidR="008B35E8">
        <w:rPr>
          <w:noProof/>
        </w:rPr>
        <w:t> </w:t>
      </w:r>
      <w:r w:rsidR="008B35E8" w:rsidRPr="002866E5">
        <w:rPr>
          <w:noProof/>
        </w:rPr>
        <w:t>któ</w:t>
      </w:r>
      <w:r w:rsidR="00953A31" w:rsidRPr="002866E5">
        <w:rPr>
          <w:noProof/>
        </w:rPr>
        <w:t xml:space="preserve">rym realizowane są zadania. Prawa </w:t>
      </w:r>
      <w:r w:rsidR="00953A31" w:rsidRPr="002866E5">
        <w:rPr>
          <w:noProof/>
        </w:rPr>
        <w:lastRenderedPageBreak/>
        <w:t>własności podlegają ochronie. Jednostka oceniająca zgodność musi posiadać udokumentowane procedury zapewniające zgodność</w:t>
      </w:r>
      <w:r w:rsidR="008B35E8" w:rsidRPr="002866E5">
        <w:rPr>
          <w:noProof/>
        </w:rPr>
        <w:t xml:space="preserve"> z</w:t>
      </w:r>
      <w:r w:rsidR="008B35E8">
        <w:rPr>
          <w:noProof/>
        </w:rPr>
        <w:t> </w:t>
      </w:r>
      <w:r w:rsidR="008B35E8" w:rsidRPr="002866E5">
        <w:rPr>
          <w:noProof/>
        </w:rPr>
        <w:t>nin</w:t>
      </w:r>
      <w:r w:rsidR="00953A31" w:rsidRPr="002866E5">
        <w:rPr>
          <w:noProof/>
        </w:rPr>
        <w:t xml:space="preserve">iejszym ustępem. </w:t>
      </w:r>
    </w:p>
    <w:p w14:paraId="67ED8826" w14:textId="1A667158" w:rsidR="00C27C23" w:rsidRPr="002866E5" w:rsidRDefault="00B4087C" w:rsidP="00B4087C">
      <w:pPr>
        <w:pStyle w:val="ManualNumPar1"/>
        <w:rPr>
          <w:noProof/>
        </w:rPr>
      </w:pPr>
      <w:r w:rsidRPr="00B4087C">
        <w:t>11.</w:t>
      </w:r>
      <w:r w:rsidRPr="00B4087C">
        <w:tab/>
      </w:r>
      <w:r w:rsidR="00953A31" w:rsidRPr="002866E5">
        <w:rPr>
          <w:noProof/>
        </w:rPr>
        <w:t>Jednostki oceniające zgodność biorą udział</w:t>
      </w:r>
      <w:r w:rsidR="008B35E8" w:rsidRPr="002866E5">
        <w:rPr>
          <w:noProof/>
        </w:rPr>
        <w:t xml:space="preserve"> w</w:t>
      </w:r>
      <w:r w:rsidR="008B35E8">
        <w:rPr>
          <w:noProof/>
        </w:rPr>
        <w:t> </w:t>
      </w:r>
      <w:r w:rsidR="008B35E8" w:rsidRPr="002866E5">
        <w:rPr>
          <w:noProof/>
        </w:rPr>
        <w:t>sto</w:t>
      </w:r>
      <w:r w:rsidR="00953A31" w:rsidRPr="002866E5">
        <w:rPr>
          <w:noProof/>
        </w:rPr>
        <w:t>sownej działalności normalizacyjnej</w:t>
      </w:r>
      <w:r w:rsidR="008B35E8" w:rsidRPr="002866E5">
        <w:rPr>
          <w:noProof/>
        </w:rPr>
        <w:t xml:space="preserve"> i</w:t>
      </w:r>
      <w:r w:rsidR="008B35E8">
        <w:rPr>
          <w:noProof/>
        </w:rPr>
        <w:t> </w:t>
      </w:r>
      <w:r w:rsidR="008B35E8" w:rsidRPr="002866E5">
        <w:rPr>
          <w:noProof/>
        </w:rPr>
        <w:t>w</w:t>
      </w:r>
      <w:r w:rsidR="008B35E8">
        <w:rPr>
          <w:noProof/>
        </w:rPr>
        <w:t> </w:t>
      </w:r>
      <w:r w:rsidR="008B35E8" w:rsidRPr="002866E5">
        <w:rPr>
          <w:noProof/>
        </w:rPr>
        <w:t>dzi</w:t>
      </w:r>
      <w:r w:rsidR="00953A31" w:rsidRPr="002866E5">
        <w:rPr>
          <w:noProof/>
        </w:rPr>
        <w:t xml:space="preserve">ałalności grupy koordynującej jednostki notyfikowanej, powołanej na podstawie </w:t>
      </w:r>
      <w:r w:rsidR="00953A31" w:rsidRPr="008B35E8">
        <w:rPr>
          <w:noProof/>
        </w:rPr>
        <w:t>art.</w:t>
      </w:r>
      <w:r w:rsidR="008B35E8" w:rsidRPr="008B35E8">
        <w:rPr>
          <w:noProof/>
        </w:rPr>
        <w:t> </w:t>
      </w:r>
      <w:r w:rsidR="00953A31" w:rsidRPr="008B35E8">
        <w:rPr>
          <w:noProof/>
        </w:rPr>
        <w:t>4</w:t>
      </w:r>
      <w:r w:rsidR="00953A31" w:rsidRPr="002866E5">
        <w:rPr>
          <w:noProof/>
        </w:rPr>
        <w:t>0, lub zapewniają informowanie</w:t>
      </w:r>
      <w:r w:rsidR="008B35E8" w:rsidRPr="002866E5">
        <w:rPr>
          <w:noProof/>
        </w:rPr>
        <w:t xml:space="preserve"> o</w:t>
      </w:r>
      <w:r w:rsidR="008B35E8">
        <w:rPr>
          <w:noProof/>
        </w:rPr>
        <w:t> </w:t>
      </w:r>
      <w:r w:rsidR="008B35E8" w:rsidRPr="002866E5">
        <w:rPr>
          <w:noProof/>
        </w:rPr>
        <w:t>tak</w:t>
      </w:r>
      <w:r w:rsidR="00953A31" w:rsidRPr="002866E5">
        <w:rPr>
          <w:noProof/>
        </w:rPr>
        <w:t>iej działalności swoich pracowników przeprowadzających oceny oraz traktują jak ogólne wytyczne decyzje administracyjne</w:t>
      </w:r>
      <w:r w:rsidR="008B35E8" w:rsidRPr="002866E5">
        <w:rPr>
          <w:noProof/>
        </w:rPr>
        <w:t xml:space="preserve"> i</w:t>
      </w:r>
      <w:r w:rsidR="008B35E8">
        <w:rPr>
          <w:noProof/>
        </w:rPr>
        <w:t> </w:t>
      </w:r>
      <w:r w:rsidR="008B35E8" w:rsidRPr="002866E5">
        <w:rPr>
          <w:noProof/>
        </w:rPr>
        <w:t>dok</w:t>
      </w:r>
      <w:r w:rsidR="00953A31" w:rsidRPr="002866E5">
        <w:rPr>
          <w:noProof/>
        </w:rPr>
        <w:t>umenty opracowane</w:t>
      </w:r>
      <w:r w:rsidR="008B35E8" w:rsidRPr="002866E5">
        <w:rPr>
          <w:noProof/>
        </w:rPr>
        <w:t xml:space="preserve"> w</w:t>
      </w:r>
      <w:r w:rsidR="008B35E8">
        <w:rPr>
          <w:noProof/>
        </w:rPr>
        <w:t> </w:t>
      </w:r>
      <w:r w:rsidR="008B35E8" w:rsidRPr="002866E5">
        <w:rPr>
          <w:noProof/>
        </w:rPr>
        <w:t>wyn</w:t>
      </w:r>
      <w:r w:rsidR="00953A31" w:rsidRPr="002866E5">
        <w:rPr>
          <w:noProof/>
        </w:rPr>
        <w:t>iku prac takiej grupy.</w:t>
      </w:r>
    </w:p>
    <w:p w14:paraId="67ED8827" w14:textId="438D2F90" w:rsidR="0058505A" w:rsidRPr="002866E5" w:rsidRDefault="00B4087C" w:rsidP="00B4087C">
      <w:pPr>
        <w:pStyle w:val="ManualNumPar1"/>
        <w:rPr>
          <w:noProof/>
        </w:rPr>
      </w:pPr>
      <w:r w:rsidRPr="00B4087C">
        <w:t>12.</w:t>
      </w:r>
      <w:r w:rsidRPr="00B4087C">
        <w:tab/>
      </w:r>
      <w:r w:rsidR="0058505A" w:rsidRPr="002866E5">
        <w:rPr>
          <w:noProof/>
        </w:rPr>
        <w:t>Jednostki oceniające zgodność prowadzą działalność na spójnych, uczciwych</w:t>
      </w:r>
      <w:r w:rsidR="008B35E8" w:rsidRPr="002866E5">
        <w:rPr>
          <w:noProof/>
        </w:rPr>
        <w:t xml:space="preserve"> i</w:t>
      </w:r>
      <w:r w:rsidR="008B35E8">
        <w:rPr>
          <w:noProof/>
        </w:rPr>
        <w:t> </w:t>
      </w:r>
      <w:r w:rsidR="008B35E8" w:rsidRPr="002866E5">
        <w:rPr>
          <w:noProof/>
        </w:rPr>
        <w:t>roz</w:t>
      </w:r>
      <w:r w:rsidR="0058505A" w:rsidRPr="002866E5">
        <w:rPr>
          <w:noProof/>
        </w:rPr>
        <w:t>sądnych warunkach,</w:t>
      </w:r>
      <w:r w:rsidR="008B35E8" w:rsidRPr="002866E5">
        <w:rPr>
          <w:noProof/>
        </w:rPr>
        <w:t xml:space="preserve"> w</w:t>
      </w:r>
      <w:r w:rsidR="008B35E8">
        <w:rPr>
          <w:noProof/>
        </w:rPr>
        <w:t> </w:t>
      </w:r>
      <w:r w:rsidR="008B35E8" w:rsidRPr="002866E5">
        <w:rPr>
          <w:noProof/>
        </w:rPr>
        <w:t>szc</w:t>
      </w:r>
      <w:r w:rsidR="0058505A" w:rsidRPr="002866E5">
        <w:rPr>
          <w:noProof/>
        </w:rPr>
        <w:t>zególności biorąc pod uwagę interesy MŚP</w:t>
      </w:r>
      <w:r w:rsidR="008B35E8" w:rsidRPr="002866E5">
        <w:rPr>
          <w:noProof/>
        </w:rPr>
        <w:t xml:space="preserve"> w</w:t>
      </w:r>
      <w:r w:rsidR="008B35E8">
        <w:rPr>
          <w:noProof/>
        </w:rPr>
        <w:t> </w:t>
      </w:r>
      <w:r w:rsidR="008B35E8" w:rsidRPr="002866E5">
        <w:rPr>
          <w:noProof/>
        </w:rPr>
        <w:t>odn</w:t>
      </w:r>
      <w:r w:rsidR="0058505A" w:rsidRPr="002866E5">
        <w:rPr>
          <w:noProof/>
        </w:rPr>
        <w:t>iesieniu do opłat.</w:t>
      </w:r>
    </w:p>
    <w:p w14:paraId="67ED8828" w14:textId="352896AF" w:rsidR="00854E28" w:rsidRPr="002866E5" w:rsidRDefault="00FC710A" w:rsidP="0027065F">
      <w:pPr>
        <w:pStyle w:val="Titrearticle0"/>
        <w:rPr>
          <w:noProof/>
        </w:rPr>
      </w:pPr>
      <w:r w:rsidRPr="002866E5">
        <w:rPr>
          <w:noProof/>
        </w:rPr>
        <w:t>Artykuł 30</w:t>
      </w:r>
    </w:p>
    <w:p w14:paraId="67ED8829" w14:textId="77777777" w:rsidR="00FC710A" w:rsidRPr="002866E5" w:rsidRDefault="00FC710A" w:rsidP="00084E38">
      <w:pPr>
        <w:jc w:val="center"/>
        <w:rPr>
          <w:i/>
          <w:noProof/>
        </w:rPr>
      </w:pPr>
      <w:r w:rsidRPr="002866E5">
        <w:rPr>
          <w:i/>
          <w:noProof/>
        </w:rPr>
        <w:t>Domniemanie zgodności jednostek notyfikowanych</w:t>
      </w:r>
    </w:p>
    <w:p w14:paraId="67ED882A" w14:textId="60737674" w:rsidR="00106760" w:rsidRPr="002866E5" w:rsidRDefault="00EE1FEC" w:rsidP="00931DB7">
      <w:pPr>
        <w:pStyle w:val="Text1"/>
        <w:ind w:left="0"/>
        <w:rPr>
          <w:noProof/>
        </w:rPr>
      </w:pPr>
      <w:r w:rsidRPr="002866E5">
        <w:rPr>
          <w:noProof/>
        </w:rPr>
        <w:t>Jeżeli jednostka oceniająca zgodność wykaże, że spełnia kryteria ustanowione</w:t>
      </w:r>
      <w:r w:rsidR="008B35E8" w:rsidRPr="002866E5">
        <w:rPr>
          <w:noProof/>
        </w:rPr>
        <w:t xml:space="preserve"> w</w:t>
      </w:r>
      <w:r w:rsidR="008B35E8">
        <w:rPr>
          <w:noProof/>
        </w:rPr>
        <w:t> </w:t>
      </w:r>
      <w:r w:rsidR="008B35E8" w:rsidRPr="002866E5">
        <w:rPr>
          <w:noProof/>
        </w:rPr>
        <w:t>odp</w:t>
      </w:r>
      <w:r w:rsidRPr="002866E5">
        <w:rPr>
          <w:noProof/>
        </w:rPr>
        <w:t>owiednich normach zharmonizowanych – lub ich częściach – do których odniesienia opublikowano</w:t>
      </w:r>
      <w:r w:rsidR="008B35E8" w:rsidRPr="002866E5">
        <w:rPr>
          <w:noProof/>
        </w:rPr>
        <w:t xml:space="preserve"> w</w:t>
      </w:r>
      <w:r w:rsidR="008B35E8">
        <w:rPr>
          <w:noProof/>
        </w:rPr>
        <w:t> </w:t>
      </w:r>
      <w:r w:rsidR="008B35E8" w:rsidRPr="002866E5">
        <w:rPr>
          <w:i/>
          <w:noProof/>
        </w:rPr>
        <w:t>Dzi</w:t>
      </w:r>
      <w:r w:rsidRPr="002866E5">
        <w:rPr>
          <w:i/>
          <w:noProof/>
        </w:rPr>
        <w:t>enniku Urzędowym Unii Europejskiej</w:t>
      </w:r>
      <w:r w:rsidRPr="002866E5">
        <w:rPr>
          <w:noProof/>
        </w:rPr>
        <w:t>, jednostka ta spełnia wymogi określone</w:t>
      </w:r>
      <w:r w:rsidR="008B35E8" w:rsidRPr="002866E5">
        <w:rPr>
          <w:noProof/>
        </w:rPr>
        <w:t xml:space="preserve"> w</w:t>
      </w:r>
      <w:r w:rsidR="008B35E8">
        <w:rPr>
          <w:noProof/>
        </w:rPr>
        <w:t> </w:t>
      </w:r>
      <w:r w:rsidR="008B35E8" w:rsidRPr="008B35E8">
        <w:rPr>
          <w:noProof/>
        </w:rPr>
        <w:t>art</w:t>
      </w:r>
      <w:r w:rsidRPr="008B35E8">
        <w:rPr>
          <w:noProof/>
        </w:rPr>
        <w:t>.</w:t>
      </w:r>
      <w:r w:rsidR="008B35E8" w:rsidRPr="008B35E8">
        <w:rPr>
          <w:noProof/>
        </w:rPr>
        <w:t> </w:t>
      </w:r>
      <w:r w:rsidRPr="008B35E8">
        <w:rPr>
          <w:noProof/>
        </w:rPr>
        <w:t>2</w:t>
      </w:r>
      <w:r w:rsidRPr="002866E5">
        <w:rPr>
          <w:noProof/>
        </w:rPr>
        <w:t xml:space="preserve">9 na zasadzie domniemania, jeżeli mające zastosowanie normy zharmonizowane obejmują te wymogi. </w:t>
      </w:r>
    </w:p>
    <w:p w14:paraId="67ED882B" w14:textId="610A54B5" w:rsidR="00106760" w:rsidRPr="002866E5" w:rsidRDefault="00106760" w:rsidP="0027065F">
      <w:pPr>
        <w:pStyle w:val="Titrearticle0"/>
        <w:rPr>
          <w:noProof/>
        </w:rPr>
      </w:pPr>
      <w:r w:rsidRPr="002866E5">
        <w:rPr>
          <w:noProof/>
        </w:rPr>
        <w:t>Artykuł 31</w:t>
      </w:r>
    </w:p>
    <w:p w14:paraId="67ED882C" w14:textId="11E8BB47" w:rsidR="00106760" w:rsidRPr="002866E5" w:rsidRDefault="00106760" w:rsidP="00084E38">
      <w:pPr>
        <w:jc w:val="center"/>
        <w:rPr>
          <w:i/>
          <w:noProof/>
        </w:rPr>
      </w:pPr>
      <w:r w:rsidRPr="002866E5">
        <w:rPr>
          <w:i/>
          <w:noProof/>
        </w:rPr>
        <w:t>Jednostki zależne</w:t>
      </w:r>
      <w:r w:rsidR="008B35E8" w:rsidRPr="002866E5">
        <w:rPr>
          <w:i/>
          <w:noProof/>
        </w:rPr>
        <w:t xml:space="preserve"> i</w:t>
      </w:r>
      <w:r w:rsidR="008B35E8">
        <w:rPr>
          <w:i/>
          <w:noProof/>
        </w:rPr>
        <w:t> </w:t>
      </w:r>
      <w:r w:rsidR="008B35E8" w:rsidRPr="002866E5">
        <w:rPr>
          <w:i/>
          <w:noProof/>
        </w:rPr>
        <w:t>pod</w:t>
      </w:r>
      <w:r w:rsidRPr="002866E5">
        <w:rPr>
          <w:i/>
          <w:noProof/>
        </w:rPr>
        <w:t>wykonawcy jednostek notyfikowanych</w:t>
      </w:r>
    </w:p>
    <w:p w14:paraId="67ED882D" w14:textId="5CB5BFD5" w:rsidR="00106760" w:rsidRPr="002866E5" w:rsidRDefault="00B4087C" w:rsidP="00B4087C">
      <w:pPr>
        <w:pStyle w:val="ManualNumPar1"/>
        <w:rPr>
          <w:noProof/>
        </w:rPr>
      </w:pPr>
      <w:r w:rsidRPr="00B4087C">
        <w:t>1.</w:t>
      </w:r>
      <w:r w:rsidRPr="00B4087C">
        <w:tab/>
      </w:r>
      <w:r w:rsidR="00106760" w:rsidRPr="002866E5">
        <w:rPr>
          <w:noProof/>
        </w:rPr>
        <w:t>W przypadku gdy jednostka notyfikowana zleca podwykonawstwo określonych zadań związanych</w:t>
      </w:r>
      <w:r w:rsidR="008B35E8" w:rsidRPr="002866E5">
        <w:rPr>
          <w:noProof/>
        </w:rPr>
        <w:t xml:space="preserve"> z</w:t>
      </w:r>
      <w:r w:rsidR="008B35E8">
        <w:rPr>
          <w:noProof/>
        </w:rPr>
        <w:t> </w:t>
      </w:r>
      <w:r w:rsidR="008B35E8" w:rsidRPr="002866E5">
        <w:rPr>
          <w:noProof/>
        </w:rPr>
        <w:t>oce</w:t>
      </w:r>
      <w:r w:rsidR="00106760" w:rsidRPr="002866E5">
        <w:rPr>
          <w:noProof/>
        </w:rPr>
        <w:t>ną zgodności lub korzysta</w:t>
      </w:r>
      <w:r w:rsidR="008B35E8" w:rsidRPr="002866E5">
        <w:rPr>
          <w:noProof/>
        </w:rPr>
        <w:t xml:space="preserve"> z</w:t>
      </w:r>
      <w:r w:rsidR="008B35E8">
        <w:rPr>
          <w:noProof/>
        </w:rPr>
        <w:t> </w:t>
      </w:r>
      <w:r w:rsidR="008B35E8" w:rsidRPr="002866E5">
        <w:rPr>
          <w:noProof/>
        </w:rPr>
        <w:t>usł</w:t>
      </w:r>
      <w:r w:rsidR="00106760" w:rsidRPr="002866E5">
        <w:rPr>
          <w:noProof/>
        </w:rPr>
        <w:t>ug jednostki zależnej, zapewnia ona, aby podwykonawca lub jednostka zależna spełniali wymogi określone</w:t>
      </w:r>
      <w:r w:rsidR="008B35E8" w:rsidRPr="002866E5">
        <w:rPr>
          <w:noProof/>
        </w:rPr>
        <w:t xml:space="preserve"> w</w:t>
      </w:r>
      <w:r w:rsidR="008B35E8">
        <w:rPr>
          <w:noProof/>
        </w:rPr>
        <w:t> </w:t>
      </w:r>
      <w:r w:rsidR="008B35E8" w:rsidRPr="008B35E8">
        <w:rPr>
          <w:noProof/>
        </w:rPr>
        <w:t>art</w:t>
      </w:r>
      <w:r w:rsidR="00106760" w:rsidRPr="008B35E8">
        <w:rPr>
          <w:noProof/>
        </w:rPr>
        <w:t>.</w:t>
      </w:r>
      <w:r w:rsidR="008B35E8" w:rsidRPr="008B35E8">
        <w:rPr>
          <w:noProof/>
        </w:rPr>
        <w:t> </w:t>
      </w:r>
      <w:r w:rsidR="00106760" w:rsidRPr="008B35E8">
        <w:rPr>
          <w:noProof/>
        </w:rPr>
        <w:t>2</w:t>
      </w:r>
      <w:r w:rsidR="00106760" w:rsidRPr="002866E5">
        <w:rPr>
          <w:noProof/>
        </w:rPr>
        <w:t>9, oraz odpowiednio informuje</w:t>
      </w:r>
      <w:r w:rsidR="008B35E8" w:rsidRPr="002866E5">
        <w:rPr>
          <w:noProof/>
        </w:rPr>
        <w:t xml:space="preserve"> o</w:t>
      </w:r>
      <w:r w:rsidR="008B35E8">
        <w:rPr>
          <w:noProof/>
        </w:rPr>
        <w:t> </w:t>
      </w:r>
      <w:r w:rsidR="008B35E8" w:rsidRPr="002866E5">
        <w:rPr>
          <w:noProof/>
        </w:rPr>
        <w:t>tym</w:t>
      </w:r>
      <w:r w:rsidR="00106760" w:rsidRPr="002866E5">
        <w:rPr>
          <w:noProof/>
        </w:rPr>
        <w:t xml:space="preserve"> organ notyfikujący.</w:t>
      </w:r>
    </w:p>
    <w:p w14:paraId="67ED882E" w14:textId="12583353" w:rsidR="00106760" w:rsidRPr="002866E5" w:rsidRDefault="00B4087C" w:rsidP="00B4087C">
      <w:pPr>
        <w:pStyle w:val="ManualNumPar1"/>
        <w:rPr>
          <w:noProof/>
        </w:rPr>
      </w:pPr>
      <w:r w:rsidRPr="00B4087C">
        <w:t>2.</w:t>
      </w:r>
      <w:r w:rsidRPr="00B4087C">
        <w:tab/>
      </w:r>
      <w:r w:rsidR="00106760" w:rsidRPr="002866E5">
        <w:rPr>
          <w:noProof/>
        </w:rPr>
        <w:t>Jednostki notyfikowane ponoszą pełną odpowiedzialność za zadania wykonywane przez podwykonawców lub jednostki zależne, niezależnie od tego, gdzie podwykonawcy lub jednostki zależne mają siedzibę.</w:t>
      </w:r>
    </w:p>
    <w:p w14:paraId="67ED882F" w14:textId="15AFBFA7" w:rsidR="00106760" w:rsidRPr="002866E5" w:rsidRDefault="00B4087C" w:rsidP="00B4087C">
      <w:pPr>
        <w:pStyle w:val="ManualNumPar1"/>
        <w:rPr>
          <w:noProof/>
        </w:rPr>
      </w:pPr>
      <w:r w:rsidRPr="00B4087C">
        <w:t>3.</w:t>
      </w:r>
      <w:r w:rsidRPr="00B4087C">
        <w:tab/>
      </w:r>
      <w:r w:rsidR="00106760" w:rsidRPr="002866E5">
        <w:rPr>
          <w:noProof/>
        </w:rPr>
        <w:t>Działania te można zlecać podwykonawcom lub powierzać do wykonania jednostce zależnej wyłącznie za zgodą producenta.</w:t>
      </w:r>
    </w:p>
    <w:p w14:paraId="67ED8830" w14:textId="713EEA4F" w:rsidR="004634CE" w:rsidRPr="002866E5" w:rsidRDefault="00B4087C" w:rsidP="00B4087C">
      <w:pPr>
        <w:pStyle w:val="ManualNumPar1"/>
        <w:rPr>
          <w:noProof/>
        </w:rPr>
      </w:pPr>
      <w:r w:rsidRPr="00B4087C">
        <w:t>4.</w:t>
      </w:r>
      <w:r w:rsidRPr="00B4087C">
        <w:tab/>
      </w:r>
      <w:r w:rsidR="00106760" w:rsidRPr="002866E5">
        <w:rPr>
          <w:noProof/>
        </w:rPr>
        <w:t>Jednostki notyfikowane przechowują do dyspozycji organu notyfikującego odpowiednie dokumenty dotyczące oceny kwalifikacji podwykonawcy lub jednostki zależnej oraz prac wykonywanych przez podwykonawcę lub jednostkę zależną zgodnie</w:t>
      </w:r>
      <w:r w:rsidR="008B35E8" w:rsidRPr="002866E5">
        <w:rPr>
          <w:noProof/>
        </w:rPr>
        <w:t xml:space="preserve"> z</w:t>
      </w:r>
      <w:r w:rsidR="008B35E8">
        <w:rPr>
          <w:noProof/>
        </w:rPr>
        <w:t> </w:t>
      </w:r>
      <w:r w:rsidR="008B35E8" w:rsidRPr="002866E5">
        <w:rPr>
          <w:noProof/>
        </w:rPr>
        <w:t>nin</w:t>
      </w:r>
      <w:r w:rsidR="00106760" w:rsidRPr="002866E5">
        <w:rPr>
          <w:noProof/>
        </w:rPr>
        <w:t>iejszym rozporządzeniem.</w:t>
      </w:r>
    </w:p>
    <w:p w14:paraId="67ED8831" w14:textId="65F573EC" w:rsidR="00F25DB7" w:rsidRPr="002866E5" w:rsidRDefault="00F25DB7" w:rsidP="0027065F">
      <w:pPr>
        <w:pStyle w:val="Titrearticle0"/>
        <w:rPr>
          <w:noProof/>
        </w:rPr>
      </w:pPr>
      <w:r w:rsidRPr="002866E5">
        <w:rPr>
          <w:noProof/>
        </w:rPr>
        <w:t>Artykuł 32</w:t>
      </w:r>
    </w:p>
    <w:p w14:paraId="67ED8832" w14:textId="3C98746D" w:rsidR="00F25DB7" w:rsidRPr="002866E5" w:rsidRDefault="00F25DB7" w:rsidP="00084E38">
      <w:pPr>
        <w:jc w:val="center"/>
        <w:rPr>
          <w:i/>
          <w:noProof/>
        </w:rPr>
      </w:pPr>
      <w:r w:rsidRPr="002866E5">
        <w:rPr>
          <w:i/>
          <w:noProof/>
        </w:rPr>
        <w:t>Wniosek</w:t>
      </w:r>
      <w:r w:rsidR="008B35E8" w:rsidRPr="002866E5">
        <w:rPr>
          <w:i/>
          <w:noProof/>
        </w:rPr>
        <w:t xml:space="preserve"> o</w:t>
      </w:r>
      <w:r w:rsidR="008B35E8">
        <w:rPr>
          <w:i/>
          <w:noProof/>
        </w:rPr>
        <w:t> </w:t>
      </w:r>
      <w:r w:rsidR="008B35E8" w:rsidRPr="002866E5">
        <w:rPr>
          <w:i/>
          <w:noProof/>
        </w:rPr>
        <w:t>not</w:t>
      </w:r>
      <w:r w:rsidRPr="002866E5">
        <w:rPr>
          <w:i/>
          <w:noProof/>
        </w:rPr>
        <w:t>yfikację</w:t>
      </w:r>
    </w:p>
    <w:p w14:paraId="67ED8833" w14:textId="1A20A3F7" w:rsidR="004634CE" w:rsidRPr="002866E5" w:rsidRDefault="00B4087C" w:rsidP="00B4087C">
      <w:pPr>
        <w:pStyle w:val="ManualNumPar1"/>
        <w:rPr>
          <w:noProof/>
        </w:rPr>
      </w:pPr>
      <w:r w:rsidRPr="00B4087C">
        <w:t>1.</w:t>
      </w:r>
      <w:r w:rsidRPr="00B4087C">
        <w:tab/>
      </w:r>
      <w:r w:rsidR="004634CE" w:rsidRPr="002866E5">
        <w:rPr>
          <w:noProof/>
        </w:rPr>
        <w:t>Jednostka oceniająca zgodność przedkłada wniosek</w:t>
      </w:r>
      <w:r w:rsidR="008B35E8" w:rsidRPr="002866E5">
        <w:rPr>
          <w:noProof/>
        </w:rPr>
        <w:t xml:space="preserve"> o</w:t>
      </w:r>
      <w:r w:rsidR="008B35E8">
        <w:rPr>
          <w:noProof/>
        </w:rPr>
        <w:t> </w:t>
      </w:r>
      <w:r w:rsidR="008B35E8" w:rsidRPr="002866E5">
        <w:rPr>
          <w:noProof/>
        </w:rPr>
        <w:t>not</w:t>
      </w:r>
      <w:r w:rsidR="004634CE" w:rsidRPr="002866E5">
        <w:rPr>
          <w:noProof/>
        </w:rPr>
        <w:t>yfikację organowi notyfikującemu państwa członkowskiego,</w:t>
      </w:r>
      <w:r w:rsidR="008B35E8" w:rsidRPr="002866E5">
        <w:rPr>
          <w:noProof/>
        </w:rPr>
        <w:t xml:space="preserve"> w</w:t>
      </w:r>
      <w:r w:rsidR="008B35E8">
        <w:rPr>
          <w:noProof/>
        </w:rPr>
        <w:t> </w:t>
      </w:r>
      <w:r w:rsidR="008B35E8" w:rsidRPr="002866E5">
        <w:rPr>
          <w:noProof/>
        </w:rPr>
        <w:t>któ</w:t>
      </w:r>
      <w:r w:rsidR="004634CE" w:rsidRPr="002866E5">
        <w:rPr>
          <w:noProof/>
        </w:rPr>
        <w:t>rym ma swoją siedzibę.</w:t>
      </w:r>
    </w:p>
    <w:p w14:paraId="67ED8834" w14:textId="3A02D7E1" w:rsidR="004634CE" w:rsidRPr="002866E5" w:rsidRDefault="00B4087C" w:rsidP="00B4087C">
      <w:pPr>
        <w:pStyle w:val="ManualNumPar1"/>
        <w:rPr>
          <w:noProof/>
        </w:rPr>
      </w:pPr>
      <w:r w:rsidRPr="00B4087C">
        <w:t>2.</w:t>
      </w:r>
      <w:r w:rsidRPr="00B4087C">
        <w:tab/>
      </w:r>
      <w:r w:rsidR="00F25DB7" w:rsidRPr="002866E5">
        <w:rPr>
          <w:noProof/>
        </w:rPr>
        <w:t>Do wniosku załącza się opis działań związanych</w:t>
      </w:r>
      <w:r w:rsidR="008B35E8" w:rsidRPr="002866E5">
        <w:rPr>
          <w:noProof/>
        </w:rPr>
        <w:t xml:space="preserve"> z</w:t>
      </w:r>
      <w:r w:rsidR="008B35E8">
        <w:rPr>
          <w:noProof/>
        </w:rPr>
        <w:t> </w:t>
      </w:r>
      <w:r w:rsidR="008B35E8" w:rsidRPr="002866E5">
        <w:rPr>
          <w:noProof/>
        </w:rPr>
        <w:t>oce</w:t>
      </w:r>
      <w:r w:rsidR="00F25DB7" w:rsidRPr="002866E5">
        <w:rPr>
          <w:noProof/>
        </w:rPr>
        <w:t>ną zgodności, procedury lub procedur oceny zgodności oraz produktu lub produktów wchodzących</w:t>
      </w:r>
      <w:r w:rsidR="008B35E8" w:rsidRPr="002866E5">
        <w:rPr>
          <w:noProof/>
        </w:rPr>
        <w:t xml:space="preserve"> w</w:t>
      </w:r>
      <w:r w:rsidR="008B35E8">
        <w:rPr>
          <w:noProof/>
        </w:rPr>
        <w:t> </w:t>
      </w:r>
      <w:r w:rsidR="008B35E8" w:rsidRPr="002866E5">
        <w:rPr>
          <w:noProof/>
        </w:rPr>
        <w:t>zak</w:t>
      </w:r>
      <w:r w:rsidR="00F25DB7" w:rsidRPr="002866E5">
        <w:rPr>
          <w:noProof/>
        </w:rPr>
        <w:t>res kompetencji danej jednostki, jak również certyfikat akredytacji, jeżeli istnieje, wydany przez krajową jednostkę akredytującą, potwierdzający, że jednostka oceniająca zgodność spełnia wymogi określone</w:t>
      </w:r>
      <w:r w:rsidR="008B35E8" w:rsidRPr="002866E5">
        <w:rPr>
          <w:noProof/>
        </w:rPr>
        <w:t xml:space="preserve"> w</w:t>
      </w:r>
      <w:r w:rsidR="008B35E8">
        <w:rPr>
          <w:noProof/>
        </w:rPr>
        <w:t> </w:t>
      </w:r>
      <w:r w:rsidR="008B35E8" w:rsidRPr="008B35E8">
        <w:rPr>
          <w:noProof/>
        </w:rPr>
        <w:t>art</w:t>
      </w:r>
      <w:r w:rsidR="00F25DB7" w:rsidRPr="008B35E8">
        <w:rPr>
          <w:noProof/>
        </w:rPr>
        <w:t>.</w:t>
      </w:r>
      <w:r w:rsidR="008B35E8" w:rsidRPr="008B35E8">
        <w:rPr>
          <w:noProof/>
        </w:rPr>
        <w:t> </w:t>
      </w:r>
      <w:r w:rsidR="00F25DB7" w:rsidRPr="008B35E8">
        <w:rPr>
          <w:noProof/>
        </w:rPr>
        <w:t>2</w:t>
      </w:r>
      <w:r w:rsidR="00F25DB7" w:rsidRPr="002866E5">
        <w:rPr>
          <w:noProof/>
        </w:rPr>
        <w:t>9.</w:t>
      </w:r>
    </w:p>
    <w:p w14:paraId="67ED8835" w14:textId="2F891BF8" w:rsidR="00F25DB7" w:rsidRPr="002866E5" w:rsidRDefault="00B4087C" w:rsidP="00B4087C">
      <w:pPr>
        <w:pStyle w:val="ManualNumPar1"/>
        <w:rPr>
          <w:noProof/>
        </w:rPr>
      </w:pPr>
      <w:r w:rsidRPr="00B4087C">
        <w:lastRenderedPageBreak/>
        <w:t>3.</w:t>
      </w:r>
      <w:r w:rsidRPr="00B4087C">
        <w:tab/>
      </w:r>
      <w:r w:rsidR="00F25DB7" w:rsidRPr="002866E5">
        <w:rPr>
          <w:noProof/>
        </w:rPr>
        <w:t>Jeżeli dana jednostka oceniająca zgodność nie może dostarczyć certyfikatu akredytacji, przedkłada ona organowi notyfikującemu wszystkie dowody</w:t>
      </w:r>
      <w:r w:rsidR="008B35E8" w:rsidRPr="002866E5">
        <w:rPr>
          <w:noProof/>
        </w:rPr>
        <w:t xml:space="preserve"> w</w:t>
      </w:r>
      <w:r w:rsidR="008B35E8">
        <w:rPr>
          <w:noProof/>
        </w:rPr>
        <w:t> </w:t>
      </w:r>
      <w:r w:rsidR="008B35E8" w:rsidRPr="002866E5">
        <w:rPr>
          <w:noProof/>
        </w:rPr>
        <w:t>pos</w:t>
      </w:r>
      <w:r w:rsidR="00F25DB7" w:rsidRPr="002866E5">
        <w:rPr>
          <w:noProof/>
        </w:rPr>
        <w:t>taci dokumentów niezbędne do sprawdzenia, uznania</w:t>
      </w:r>
      <w:r w:rsidR="008B35E8" w:rsidRPr="002866E5">
        <w:rPr>
          <w:noProof/>
        </w:rPr>
        <w:t xml:space="preserve"> i</w:t>
      </w:r>
      <w:r w:rsidR="008B35E8">
        <w:rPr>
          <w:noProof/>
        </w:rPr>
        <w:t> </w:t>
      </w:r>
      <w:r w:rsidR="008B35E8" w:rsidRPr="002866E5">
        <w:rPr>
          <w:noProof/>
        </w:rPr>
        <w:t>reg</w:t>
      </w:r>
      <w:r w:rsidR="00F25DB7" w:rsidRPr="002866E5">
        <w:rPr>
          <w:noProof/>
        </w:rPr>
        <w:t>ularnego monitorowania jej zgodności</w:t>
      </w:r>
      <w:r w:rsidR="008B35E8" w:rsidRPr="002866E5">
        <w:rPr>
          <w:noProof/>
        </w:rPr>
        <w:t xml:space="preserve"> z</w:t>
      </w:r>
      <w:r w:rsidR="008B35E8">
        <w:rPr>
          <w:noProof/>
        </w:rPr>
        <w:t> </w:t>
      </w:r>
      <w:r w:rsidR="008B35E8" w:rsidRPr="002866E5">
        <w:rPr>
          <w:noProof/>
        </w:rPr>
        <w:t>wym</w:t>
      </w:r>
      <w:r w:rsidR="00F25DB7" w:rsidRPr="002866E5">
        <w:rPr>
          <w:noProof/>
        </w:rPr>
        <w:t>ogami określonymi</w:t>
      </w:r>
      <w:r w:rsidR="008B35E8" w:rsidRPr="002866E5">
        <w:rPr>
          <w:noProof/>
        </w:rPr>
        <w:t xml:space="preserve"> w</w:t>
      </w:r>
      <w:r w:rsidR="008B35E8">
        <w:rPr>
          <w:noProof/>
        </w:rPr>
        <w:t> </w:t>
      </w:r>
      <w:r w:rsidR="008B35E8" w:rsidRPr="008B35E8">
        <w:rPr>
          <w:noProof/>
        </w:rPr>
        <w:t>art</w:t>
      </w:r>
      <w:r w:rsidR="00F25DB7" w:rsidRPr="008B35E8">
        <w:rPr>
          <w:noProof/>
        </w:rPr>
        <w:t>.</w:t>
      </w:r>
      <w:r w:rsidR="008B35E8" w:rsidRPr="008B35E8">
        <w:rPr>
          <w:noProof/>
        </w:rPr>
        <w:t> </w:t>
      </w:r>
      <w:r w:rsidR="00F25DB7" w:rsidRPr="008B35E8">
        <w:rPr>
          <w:noProof/>
        </w:rPr>
        <w:t>2</w:t>
      </w:r>
      <w:r w:rsidR="00F25DB7" w:rsidRPr="002866E5">
        <w:rPr>
          <w:noProof/>
        </w:rPr>
        <w:t>9.</w:t>
      </w:r>
    </w:p>
    <w:p w14:paraId="67ED8836" w14:textId="707DDBA4" w:rsidR="008201B1" w:rsidRPr="002866E5" w:rsidRDefault="008201B1" w:rsidP="0027065F">
      <w:pPr>
        <w:pStyle w:val="Titrearticle0"/>
        <w:rPr>
          <w:noProof/>
        </w:rPr>
      </w:pPr>
      <w:r w:rsidRPr="002866E5">
        <w:rPr>
          <w:noProof/>
        </w:rPr>
        <w:t>Artykuł 33</w:t>
      </w:r>
    </w:p>
    <w:p w14:paraId="67ED8837" w14:textId="77777777" w:rsidR="008201B1" w:rsidRPr="002866E5" w:rsidRDefault="008201B1" w:rsidP="00084E38">
      <w:pPr>
        <w:jc w:val="center"/>
        <w:rPr>
          <w:i/>
          <w:noProof/>
        </w:rPr>
      </w:pPr>
      <w:r w:rsidRPr="002866E5">
        <w:rPr>
          <w:i/>
          <w:noProof/>
        </w:rPr>
        <w:t>Procedura notyfikacji</w:t>
      </w:r>
    </w:p>
    <w:p w14:paraId="67ED8838" w14:textId="71425424" w:rsidR="004634CE" w:rsidRPr="002866E5" w:rsidRDefault="00B4087C" w:rsidP="00B4087C">
      <w:pPr>
        <w:pStyle w:val="ManualNumPar1"/>
        <w:rPr>
          <w:noProof/>
        </w:rPr>
      </w:pPr>
      <w:r w:rsidRPr="00B4087C">
        <w:t>1.</w:t>
      </w:r>
      <w:r w:rsidRPr="00B4087C">
        <w:tab/>
      </w:r>
      <w:r w:rsidR="00AB59C5" w:rsidRPr="002866E5">
        <w:rPr>
          <w:noProof/>
        </w:rPr>
        <w:t>Organy notyfikujące mogą notyfikować wyłącznie te jednostki oceniające zgodność, które spełniają wymogi określone</w:t>
      </w:r>
      <w:r w:rsidR="008B35E8" w:rsidRPr="002866E5">
        <w:rPr>
          <w:noProof/>
        </w:rPr>
        <w:t xml:space="preserve"> w</w:t>
      </w:r>
      <w:r w:rsidR="008B35E8">
        <w:rPr>
          <w:noProof/>
        </w:rPr>
        <w:t> </w:t>
      </w:r>
      <w:r w:rsidR="008B35E8" w:rsidRPr="008B35E8">
        <w:rPr>
          <w:noProof/>
        </w:rPr>
        <w:t>art</w:t>
      </w:r>
      <w:r w:rsidR="00AB59C5" w:rsidRPr="008B35E8">
        <w:rPr>
          <w:noProof/>
        </w:rPr>
        <w:t>.</w:t>
      </w:r>
      <w:r w:rsidR="008B35E8" w:rsidRPr="008B35E8">
        <w:rPr>
          <w:noProof/>
        </w:rPr>
        <w:t> </w:t>
      </w:r>
      <w:r w:rsidR="00AB59C5" w:rsidRPr="008B35E8">
        <w:rPr>
          <w:noProof/>
        </w:rPr>
        <w:t>2</w:t>
      </w:r>
      <w:r w:rsidR="00AB59C5" w:rsidRPr="002866E5">
        <w:rPr>
          <w:noProof/>
        </w:rPr>
        <w:t>9.</w:t>
      </w:r>
    </w:p>
    <w:p w14:paraId="67ED8839" w14:textId="00F92663" w:rsidR="004634CE" w:rsidRPr="002866E5" w:rsidRDefault="00B4087C" w:rsidP="00B4087C">
      <w:pPr>
        <w:pStyle w:val="ManualNumPar1"/>
        <w:rPr>
          <w:noProof/>
        </w:rPr>
      </w:pPr>
      <w:r w:rsidRPr="00B4087C">
        <w:t>2.</w:t>
      </w:r>
      <w:r w:rsidRPr="00B4087C">
        <w:tab/>
      </w:r>
      <w:r w:rsidR="003059A1" w:rsidRPr="002866E5">
        <w:rPr>
          <w:noProof/>
        </w:rPr>
        <w:t>Organ notyfikujący notyfikuje Komisję</w:t>
      </w:r>
      <w:r w:rsidR="008B35E8" w:rsidRPr="002866E5">
        <w:rPr>
          <w:noProof/>
        </w:rPr>
        <w:t xml:space="preserve"> i</w:t>
      </w:r>
      <w:r w:rsidR="008B35E8">
        <w:rPr>
          <w:noProof/>
        </w:rPr>
        <w:t> </w:t>
      </w:r>
      <w:r w:rsidR="008B35E8" w:rsidRPr="002866E5">
        <w:rPr>
          <w:noProof/>
        </w:rPr>
        <w:t>poz</w:t>
      </w:r>
      <w:r w:rsidR="003059A1" w:rsidRPr="002866E5">
        <w:rPr>
          <w:noProof/>
        </w:rPr>
        <w:t>ostałe państwa członkowskie za pomocą systemu informacyjnego NANDO opracowanego</w:t>
      </w:r>
      <w:r w:rsidR="008B35E8" w:rsidRPr="002866E5">
        <w:rPr>
          <w:noProof/>
        </w:rPr>
        <w:t xml:space="preserve"> i</w:t>
      </w:r>
      <w:r w:rsidR="008B35E8">
        <w:rPr>
          <w:noProof/>
        </w:rPr>
        <w:t> </w:t>
      </w:r>
      <w:r w:rsidR="008B35E8" w:rsidRPr="002866E5">
        <w:rPr>
          <w:noProof/>
        </w:rPr>
        <w:t>zar</w:t>
      </w:r>
      <w:r w:rsidR="003059A1" w:rsidRPr="002866E5">
        <w:rPr>
          <w:noProof/>
        </w:rPr>
        <w:t>ządzanego przez Komisję.</w:t>
      </w:r>
    </w:p>
    <w:p w14:paraId="67ED883A" w14:textId="7F948D2E" w:rsidR="004634CE" w:rsidRPr="002866E5" w:rsidRDefault="00B4087C" w:rsidP="00B4087C">
      <w:pPr>
        <w:pStyle w:val="ManualNumPar1"/>
        <w:rPr>
          <w:noProof/>
        </w:rPr>
      </w:pPr>
      <w:r w:rsidRPr="00B4087C">
        <w:t>3.</w:t>
      </w:r>
      <w:r w:rsidRPr="00B4087C">
        <w:tab/>
      </w:r>
      <w:r w:rsidR="00F25DB7" w:rsidRPr="002866E5">
        <w:rPr>
          <w:noProof/>
        </w:rPr>
        <w:t>Do notyfikacji załącza się wszystkie szczegółowe informacje dotyczące działań związanych</w:t>
      </w:r>
      <w:r w:rsidR="008B35E8" w:rsidRPr="002866E5">
        <w:rPr>
          <w:noProof/>
        </w:rPr>
        <w:t xml:space="preserve"> z</w:t>
      </w:r>
      <w:r w:rsidR="008B35E8">
        <w:rPr>
          <w:noProof/>
        </w:rPr>
        <w:t> </w:t>
      </w:r>
      <w:r w:rsidR="008B35E8" w:rsidRPr="002866E5">
        <w:rPr>
          <w:noProof/>
        </w:rPr>
        <w:t>oce</w:t>
      </w:r>
      <w:r w:rsidR="00F25DB7" w:rsidRPr="002866E5">
        <w:rPr>
          <w:noProof/>
        </w:rPr>
        <w:t>ną zgodności, modułu lub modułów oceny zgodności, produktu lub produktów, których to dotyczy, oraz stosowne poświadczenie kompetencji.</w:t>
      </w:r>
    </w:p>
    <w:p w14:paraId="67ED883B" w14:textId="02688A76" w:rsidR="004634CE" w:rsidRPr="002866E5" w:rsidRDefault="00B4087C" w:rsidP="00B4087C">
      <w:pPr>
        <w:pStyle w:val="ManualNumPar1"/>
        <w:rPr>
          <w:noProof/>
        </w:rPr>
      </w:pPr>
      <w:r w:rsidRPr="00B4087C">
        <w:t>4.</w:t>
      </w:r>
      <w:r w:rsidRPr="00B4087C">
        <w:tab/>
      </w:r>
      <w:r w:rsidR="00F25DB7" w:rsidRPr="002866E5">
        <w:rPr>
          <w:noProof/>
        </w:rPr>
        <w:t>W przypadku gdy podstawy notyfikacji nie stanowi certyfikat akredytacji,</w:t>
      </w:r>
      <w:r w:rsidR="008B35E8" w:rsidRPr="002866E5">
        <w:rPr>
          <w:noProof/>
        </w:rPr>
        <w:t xml:space="preserve"> o</w:t>
      </w:r>
      <w:r w:rsidR="008B35E8">
        <w:rPr>
          <w:noProof/>
        </w:rPr>
        <w:t> </w:t>
      </w:r>
      <w:r w:rsidR="008B35E8" w:rsidRPr="002866E5">
        <w:rPr>
          <w:noProof/>
        </w:rPr>
        <w:t>któ</w:t>
      </w:r>
      <w:r w:rsidR="00F25DB7" w:rsidRPr="002866E5">
        <w:rPr>
          <w:noProof/>
        </w:rPr>
        <w:t>rym mowa</w:t>
      </w:r>
      <w:r w:rsidR="008B35E8" w:rsidRPr="002866E5">
        <w:rPr>
          <w:noProof/>
        </w:rPr>
        <w:t xml:space="preserve"> w</w:t>
      </w:r>
      <w:r w:rsidR="008B35E8">
        <w:rPr>
          <w:noProof/>
        </w:rPr>
        <w:t> </w:t>
      </w:r>
      <w:r w:rsidR="008B35E8" w:rsidRPr="008B35E8">
        <w:rPr>
          <w:noProof/>
        </w:rPr>
        <w:t>art</w:t>
      </w:r>
      <w:r w:rsidR="00F25DB7" w:rsidRPr="008B35E8">
        <w:rPr>
          <w:noProof/>
        </w:rPr>
        <w:t>.</w:t>
      </w:r>
      <w:r w:rsidR="008B35E8" w:rsidRPr="008B35E8">
        <w:rPr>
          <w:noProof/>
        </w:rPr>
        <w:t> </w:t>
      </w:r>
      <w:r w:rsidR="00F25DB7" w:rsidRPr="008B35E8">
        <w:rPr>
          <w:noProof/>
        </w:rPr>
        <w:t>3</w:t>
      </w:r>
      <w:r w:rsidR="00F25DB7" w:rsidRPr="002866E5">
        <w:rPr>
          <w:noProof/>
        </w:rPr>
        <w:t xml:space="preserve">2 </w:t>
      </w:r>
      <w:r w:rsidR="00F25DB7" w:rsidRPr="008B35E8">
        <w:rPr>
          <w:noProof/>
        </w:rPr>
        <w:t>ust.</w:t>
      </w:r>
      <w:r w:rsidR="008B35E8" w:rsidRPr="008B35E8">
        <w:rPr>
          <w:noProof/>
        </w:rPr>
        <w:t> </w:t>
      </w:r>
      <w:r w:rsidR="00F25DB7" w:rsidRPr="008B35E8">
        <w:rPr>
          <w:noProof/>
        </w:rPr>
        <w:t>2</w:t>
      </w:r>
      <w:r w:rsidR="00F25DB7" w:rsidRPr="002866E5">
        <w:rPr>
          <w:noProof/>
        </w:rPr>
        <w:t>, organ notyfikujący przedkłada Komisji</w:t>
      </w:r>
      <w:r w:rsidR="008B35E8" w:rsidRPr="002866E5">
        <w:rPr>
          <w:noProof/>
        </w:rPr>
        <w:t xml:space="preserve"> i</w:t>
      </w:r>
      <w:r w:rsidR="008B35E8">
        <w:rPr>
          <w:noProof/>
        </w:rPr>
        <w:t> </w:t>
      </w:r>
      <w:r w:rsidR="008B35E8" w:rsidRPr="002866E5">
        <w:rPr>
          <w:noProof/>
        </w:rPr>
        <w:t>poz</w:t>
      </w:r>
      <w:r w:rsidR="00F25DB7" w:rsidRPr="002866E5">
        <w:rPr>
          <w:noProof/>
        </w:rPr>
        <w:t>ostałym państwom członkowskim dowody</w:t>
      </w:r>
      <w:r w:rsidR="008B35E8" w:rsidRPr="002866E5">
        <w:rPr>
          <w:noProof/>
        </w:rPr>
        <w:t xml:space="preserve"> w</w:t>
      </w:r>
      <w:r w:rsidR="008B35E8">
        <w:rPr>
          <w:noProof/>
        </w:rPr>
        <w:t> </w:t>
      </w:r>
      <w:r w:rsidR="008B35E8" w:rsidRPr="002866E5">
        <w:rPr>
          <w:noProof/>
        </w:rPr>
        <w:t>pos</w:t>
      </w:r>
      <w:r w:rsidR="00F25DB7" w:rsidRPr="002866E5">
        <w:rPr>
          <w:noProof/>
        </w:rPr>
        <w:t>taci dokumentów potwierdzających kompetencje jednostki oceniającej zgodność oraz przedstawia ustalenia wprowadzone, aby zapewnić systematyczne monitorowanie tej jednostki</w:t>
      </w:r>
      <w:r w:rsidR="008B35E8" w:rsidRPr="002866E5">
        <w:rPr>
          <w:noProof/>
        </w:rPr>
        <w:t xml:space="preserve"> i</w:t>
      </w:r>
      <w:r w:rsidR="008B35E8">
        <w:rPr>
          <w:noProof/>
        </w:rPr>
        <w:t> </w:t>
      </w:r>
      <w:r w:rsidR="008B35E8" w:rsidRPr="002866E5">
        <w:rPr>
          <w:noProof/>
        </w:rPr>
        <w:t>dal</w:t>
      </w:r>
      <w:r w:rsidR="00F25DB7" w:rsidRPr="002866E5">
        <w:rPr>
          <w:noProof/>
        </w:rPr>
        <w:t>sze spełnianie przez nią wymogów określonych</w:t>
      </w:r>
      <w:r w:rsidR="008B35E8" w:rsidRPr="002866E5">
        <w:rPr>
          <w:noProof/>
        </w:rPr>
        <w:t xml:space="preserve"> w</w:t>
      </w:r>
      <w:r w:rsidR="008B35E8">
        <w:rPr>
          <w:noProof/>
        </w:rPr>
        <w:t> </w:t>
      </w:r>
      <w:r w:rsidR="008B35E8" w:rsidRPr="008B35E8">
        <w:rPr>
          <w:noProof/>
        </w:rPr>
        <w:t>art</w:t>
      </w:r>
      <w:r w:rsidR="00F25DB7" w:rsidRPr="008B35E8">
        <w:rPr>
          <w:noProof/>
        </w:rPr>
        <w:t>.</w:t>
      </w:r>
      <w:r w:rsidR="008B35E8" w:rsidRPr="008B35E8">
        <w:rPr>
          <w:noProof/>
        </w:rPr>
        <w:t> </w:t>
      </w:r>
      <w:r w:rsidR="00F25DB7" w:rsidRPr="008B35E8">
        <w:rPr>
          <w:noProof/>
        </w:rPr>
        <w:t>2</w:t>
      </w:r>
      <w:r w:rsidR="00F25DB7" w:rsidRPr="002866E5">
        <w:rPr>
          <w:noProof/>
        </w:rPr>
        <w:t>9.</w:t>
      </w:r>
    </w:p>
    <w:p w14:paraId="67ED883C" w14:textId="3547111E" w:rsidR="00BA68D9" w:rsidRPr="002866E5" w:rsidRDefault="00B4087C" w:rsidP="00B4087C">
      <w:pPr>
        <w:pStyle w:val="ManualNumPar1"/>
        <w:rPr>
          <w:noProof/>
        </w:rPr>
      </w:pPr>
      <w:r w:rsidRPr="00B4087C">
        <w:t>5.</w:t>
      </w:r>
      <w:r w:rsidRPr="00B4087C">
        <w:tab/>
      </w:r>
      <w:r w:rsidR="00F25DB7" w:rsidRPr="002866E5">
        <w:rPr>
          <w:noProof/>
        </w:rPr>
        <w:t>Dana jednostka może prowadzić działalność jednostki notyfikowanej wyłącznie pod warunkiem, że Komisja lub pozostałe państwa członkowskie nie zgłosiły zastrzeżeń</w:t>
      </w:r>
      <w:r w:rsidR="008B35E8" w:rsidRPr="002866E5">
        <w:rPr>
          <w:noProof/>
        </w:rPr>
        <w:t xml:space="preserve"> w</w:t>
      </w:r>
      <w:r w:rsidR="008B35E8">
        <w:rPr>
          <w:noProof/>
        </w:rPr>
        <w:t> </w:t>
      </w:r>
      <w:r w:rsidR="008B35E8" w:rsidRPr="002866E5">
        <w:rPr>
          <w:noProof/>
        </w:rPr>
        <w:t>ter</w:t>
      </w:r>
      <w:r w:rsidR="00F25DB7" w:rsidRPr="002866E5">
        <w:rPr>
          <w:noProof/>
        </w:rPr>
        <w:t>minie dwóch tygodni od notyfikacji</w:t>
      </w:r>
      <w:r w:rsidR="008B35E8" w:rsidRPr="002866E5">
        <w:rPr>
          <w:noProof/>
        </w:rPr>
        <w:t xml:space="preserve"> w</w:t>
      </w:r>
      <w:r w:rsidR="008B35E8">
        <w:rPr>
          <w:noProof/>
        </w:rPr>
        <w:t> </w:t>
      </w:r>
      <w:r w:rsidR="008B35E8" w:rsidRPr="002866E5">
        <w:rPr>
          <w:noProof/>
        </w:rPr>
        <w:t>prz</w:t>
      </w:r>
      <w:r w:rsidR="00F25DB7" w:rsidRPr="002866E5">
        <w:rPr>
          <w:noProof/>
        </w:rPr>
        <w:t>ypadku korzystania</w:t>
      </w:r>
      <w:r w:rsidR="008B35E8" w:rsidRPr="002866E5">
        <w:rPr>
          <w:noProof/>
        </w:rPr>
        <w:t xml:space="preserve"> z</w:t>
      </w:r>
      <w:r w:rsidR="008B35E8">
        <w:rPr>
          <w:noProof/>
        </w:rPr>
        <w:t> </w:t>
      </w:r>
      <w:r w:rsidR="008B35E8" w:rsidRPr="002866E5">
        <w:rPr>
          <w:noProof/>
        </w:rPr>
        <w:t>cer</w:t>
      </w:r>
      <w:r w:rsidR="00F25DB7" w:rsidRPr="002866E5">
        <w:rPr>
          <w:noProof/>
        </w:rPr>
        <w:t>tyfikatu akredytacji lub</w:t>
      </w:r>
      <w:r w:rsidR="008B35E8" w:rsidRPr="002866E5">
        <w:rPr>
          <w:noProof/>
        </w:rPr>
        <w:t xml:space="preserve"> w</w:t>
      </w:r>
      <w:r w:rsidR="008B35E8">
        <w:rPr>
          <w:noProof/>
        </w:rPr>
        <w:t> </w:t>
      </w:r>
      <w:r w:rsidR="008B35E8" w:rsidRPr="002866E5">
        <w:rPr>
          <w:noProof/>
        </w:rPr>
        <w:t>ter</w:t>
      </w:r>
      <w:r w:rsidR="00F25DB7" w:rsidRPr="002866E5">
        <w:rPr>
          <w:noProof/>
        </w:rPr>
        <w:t>minie dwóch miesięcy od notyfikacji</w:t>
      </w:r>
      <w:r w:rsidR="008B35E8" w:rsidRPr="002866E5">
        <w:rPr>
          <w:noProof/>
        </w:rPr>
        <w:t xml:space="preserve"> w</w:t>
      </w:r>
      <w:r w:rsidR="008B35E8">
        <w:rPr>
          <w:noProof/>
        </w:rPr>
        <w:t> </w:t>
      </w:r>
      <w:r w:rsidR="008B35E8" w:rsidRPr="002866E5">
        <w:rPr>
          <w:noProof/>
        </w:rPr>
        <w:t>prz</w:t>
      </w:r>
      <w:r w:rsidR="00F25DB7" w:rsidRPr="002866E5">
        <w:rPr>
          <w:noProof/>
        </w:rPr>
        <w:t>ypadku niekorzystania</w:t>
      </w:r>
      <w:r w:rsidR="008B35E8" w:rsidRPr="002866E5">
        <w:rPr>
          <w:noProof/>
        </w:rPr>
        <w:t xml:space="preserve"> z</w:t>
      </w:r>
      <w:r w:rsidR="008B35E8">
        <w:rPr>
          <w:noProof/>
        </w:rPr>
        <w:t> </w:t>
      </w:r>
      <w:r w:rsidR="008B35E8" w:rsidRPr="002866E5">
        <w:rPr>
          <w:noProof/>
        </w:rPr>
        <w:t>akr</w:t>
      </w:r>
      <w:r w:rsidR="00F25DB7" w:rsidRPr="002866E5">
        <w:rPr>
          <w:noProof/>
        </w:rPr>
        <w:t xml:space="preserve">edytacji. </w:t>
      </w:r>
    </w:p>
    <w:p w14:paraId="67ED883D" w14:textId="77777777" w:rsidR="004634CE" w:rsidRPr="002866E5" w:rsidRDefault="00F25DB7" w:rsidP="000A6E88">
      <w:pPr>
        <w:pStyle w:val="Text1"/>
        <w:rPr>
          <w:noProof/>
        </w:rPr>
      </w:pPr>
      <w:r w:rsidRPr="002866E5">
        <w:rPr>
          <w:noProof/>
        </w:rPr>
        <w:t>Wyłącznie taką jednostkę uznaje się za jednostkę notyfikowaną do celów niniejszego rozporządzenia.</w:t>
      </w:r>
    </w:p>
    <w:p w14:paraId="67ED883E" w14:textId="16041284" w:rsidR="00F25DB7" w:rsidRPr="002866E5" w:rsidRDefault="00B4087C" w:rsidP="00B4087C">
      <w:pPr>
        <w:pStyle w:val="ManualNumPar1"/>
        <w:rPr>
          <w:noProof/>
        </w:rPr>
      </w:pPr>
      <w:r w:rsidRPr="00B4087C">
        <w:t>6.</w:t>
      </w:r>
      <w:r w:rsidRPr="00B4087C">
        <w:tab/>
      </w:r>
      <w:r w:rsidR="00F25DB7" w:rsidRPr="002866E5">
        <w:rPr>
          <w:noProof/>
        </w:rPr>
        <w:t>O wszelkich kolejnych zmianach</w:t>
      </w:r>
      <w:r w:rsidR="008B35E8" w:rsidRPr="002866E5">
        <w:rPr>
          <w:noProof/>
        </w:rPr>
        <w:t xml:space="preserve"> w</w:t>
      </w:r>
      <w:r w:rsidR="008B35E8">
        <w:rPr>
          <w:noProof/>
        </w:rPr>
        <w:t> </w:t>
      </w:r>
      <w:r w:rsidR="008B35E8" w:rsidRPr="002866E5">
        <w:rPr>
          <w:noProof/>
        </w:rPr>
        <w:t>not</w:t>
      </w:r>
      <w:r w:rsidR="00F25DB7" w:rsidRPr="002866E5">
        <w:rPr>
          <w:noProof/>
        </w:rPr>
        <w:t>yfikacji powiadamia się Komisję</w:t>
      </w:r>
      <w:r w:rsidR="008B35E8" w:rsidRPr="002866E5">
        <w:rPr>
          <w:noProof/>
        </w:rPr>
        <w:t xml:space="preserve"> i</w:t>
      </w:r>
      <w:r w:rsidR="008B35E8">
        <w:rPr>
          <w:noProof/>
        </w:rPr>
        <w:t> </w:t>
      </w:r>
      <w:r w:rsidR="008B35E8" w:rsidRPr="002866E5">
        <w:rPr>
          <w:noProof/>
        </w:rPr>
        <w:t>poz</w:t>
      </w:r>
      <w:r w:rsidR="00F25DB7" w:rsidRPr="002866E5">
        <w:rPr>
          <w:noProof/>
        </w:rPr>
        <w:t>ostałe państwa członkowskie.</w:t>
      </w:r>
    </w:p>
    <w:p w14:paraId="67ED883F" w14:textId="70995194" w:rsidR="00767C3E" w:rsidRPr="002866E5" w:rsidRDefault="00767C3E" w:rsidP="0027065F">
      <w:pPr>
        <w:pStyle w:val="Titrearticle0"/>
        <w:rPr>
          <w:noProof/>
        </w:rPr>
      </w:pPr>
      <w:r w:rsidRPr="002866E5">
        <w:rPr>
          <w:noProof/>
        </w:rPr>
        <w:t>Artykuł 34</w:t>
      </w:r>
    </w:p>
    <w:p w14:paraId="67ED8840" w14:textId="4E229931" w:rsidR="00767C3E" w:rsidRPr="002866E5" w:rsidRDefault="00767C3E" w:rsidP="00084E38">
      <w:pPr>
        <w:jc w:val="center"/>
        <w:rPr>
          <w:i/>
          <w:noProof/>
        </w:rPr>
      </w:pPr>
      <w:r w:rsidRPr="002866E5">
        <w:rPr>
          <w:i/>
          <w:noProof/>
        </w:rPr>
        <w:t>Numery identyfikacyjne</w:t>
      </w:r>
      <w:r w:rsidR="008B35E8" w:rsidRPr="002866E5">
        <w:rPr>
          <w:i/>
          <w:noProof/>
        </w:rPr>
        <w:t xml:space="preserve"> i</w:t>
      </w:r>
      <w:r w:rsidR="008B35E8">
        <w:rPr>
          <w:i/>
          <w:noProof/>
        </w:rPr>
        <w:t> </w:t>
      </w:r>
      <w:r w:rsidR="008B35E8" w:rsidRPr="002866E5">
        <w:rPr>
          <w:i/>
          <w:noProof/>
        </w:rPr>
        <w:t>wyk</w:t>
      </w:r>
      <w:r w:rsidRPr="002866E5">
        <w:rPr>
          <w:i/>
          <w:noProof/>
        </w:rPr>
        <w:t>azy jednostek notyfikowanych</w:t>
      </w:r>
    </w:p>
    <w:p w14:paraId="67ED8841" w14:textId="141C1FFE" w:rsidR="00317EFC" w:rsidRPr="002866E5" w:rsidRDefault="00B4087C" w:rsidP="00B4087C">
      <w:pPr>
        <w:pStyle w:val="ManualNumPar1"/>
        <w:rPr>
          <w:noProof/>
        </w:rPr>
      </w:pPr>
      <w:r w:rsidRPr="00B4087C">
        <w:t>1.</w:t>
      </w:r>
      <w:r w:rsidRPr="00B4087C">
        <w:tab/>
      </w:r>
      <w:r w:rsidR="00767C3E" w:rsidRPr="002866E5">
        <w:rPr>
          <w:noProof/>
        </w:rPr>
        <w:t>Komisja przydziela jednostce notyfikowanej numer identyfikacyjny.</w:t>
      </w:r>
    </w:p>
    <w:p w14:paraId="67ED8842" w14:textId="1DEC28FC" w:rsidR="00767C3E" w:rsidRPr="002866E5" w:rsidRDefault="00767C3E" w:rsidP="000A6E88">
      <w:pPr>
        <w:pStyle w:val="Text1"/>
        <w:rPr>
          <w:noProof/>
        </w:rPr>
      </w:pPr>
      <w:r w:rsidRPr="002866E5">
        <w:rPr>
          <w:noProof/>
        </w:rPr>
        <w:t>Komisja przydziela jeden numer identyfikacyjny, nawet</w:t>
      </w:r>
      <w:r w:rsidR="008B35E8" w:rsidRPr="002866E5">
        <w:rPr>
          <w:noProof/>
        </w:rPr>
        <w:t xml:space="preserve"> w</w:t>
      </w:r>
      <w:r w:rsidR="008B35E8">
        <w:rPr>
          <w:noProof/>
        </w:rPr>
        <w:t> </w:t>
      </w:r>
      <w:r w:rsidR="008B35E8" w:rsidRPr="002866E5">
        <w:rPr>
          <w:noProof/>
        </w:rPr>
        <w:t>prz</w:t>
      </w:r>
      <w:r w:rsidRPr="002866E5">
        <w:rPr>
          <w:noProof/>
        </w:rPr>
        <w:t>ypadku gdy jednostka jest notyfikowana na mocy różnych aktów Unii.</w:t>
      </w:r>
    </w:p>
    <w:p w14:paraId="67ED8843" w14:textId="0E2748AF" w:rsidR="00767C3E" w:rsidRPr="002866E5" w:rsidRDefault="00B4087C" w:rsidP="00B4087C">
      <w:pPr>
        <w:pStyle w:val="ManualNumPar1"/>
        <w:rPr>
          <w:noProof/>
        </w:rPr>
      </w:pPr>
      <w:r w:rsidRPr="00B4087C">
        <w:t>2.</w:t>
      </w:r>
      <w:r w:rsidRPr="00B4087C">
        <w:tab/>
      </w:r>
      <w:r w:rsidR="00767C3E" w:rsidRPr="002866E5">
        <w:rPr>
          <w:noProof/>
        </w:rPr>
        <w:t>Komisja podaje do wiadomości publicznej wykaz jednostek notyfikowanych na podstawie niniejszego rozporządzenia, wraz</w:t>
      </w:r>
      <w:r w:rsidR="008B35E8" w:rsidRPr="002866E5">
        <w:rPr>
          <w:noProof/>
        </w:rPr>
        <w:t xml:space="preserve"> z</w:t>
      </w:r>
      <w:r w:rsidR="008B35E8">
        <w:rPr>
          <w:noProof/>
        </w:rPr>
        <w:t> </w:t>
      </w:r>
      <w:r w:rsidR="008B35E8" w:rsidRPr="002866E5">
        <w:rPr>
          <w:noProof/>
        </w:rPr>
        <w:t>prz</w:t>
      </w:r>
      <w:r w:rsidR="00767C3E" w:rsidRPr="002866E5">
        <w:rPr>
          <w:noProof/>
        </w:rPr>
        <w:t>ydzielonymi im numerami identyfikacyjnymi oraz informacją na temat rodzaju działań,</w:t>
      </w:r>
      <w:r w:rsidR="008B35E8" w:rsidRPr="002866E5">
        <w:rPr>
          <w:noProof/>
        </w:rPr>
        <w:t xml:space="preserve"> w</w:t>
      </w:r>
      <w:r w:rsidR="008B35E8">
        <w:rPr>
          <w:noProof/>
        </w:rPr>
        <w:t> </w:t>
      </w:r>
      <w:r w:rsidR="008B35E8" w:rsidRPr="002866E5">
        <w:rPr>
          <w:noProof/>
        </w:rPr>
        <w:t>odn</w:t>
      </w:r>
      <w:r w:rsidR="00767C3E" w:rsidRPr="002866E5">
        <w:rPr>
          <w:noProof/>
        </w:rPr>
        <w:t>iesieniu do których zostały notyfikowane.</w:t>
      </w:r>
    </w:p>
    <w:p w14:paraId="67ED8844" w14:textId="77777777" w:rsidR="00767C3E" w:rsidRPr="002866E5" w:rsidRDefault="00767C3E" w:rsidP="000A6E88">
      <w:pPr>
        <w:pStyle w:val="Text1"/>
        <w:rPr>
          <w:noProof/>
        </w:rPr>
      </w:pPr>
      <w:r w:rsidRPr="002866E5">
        <w:rPr>
          <w:noProof/>
        </w:rPr>
        <w:t xml:space="preserve">Komisja zapewnia bieżącą aktualizację tego wykazu. </w:t>
      </w:r>
    </w:p>
    <w:p w14:paraId="67ED8845" w14:textId="44DB9666" w:rsidR="00767C3E" w:rsidRPr="002866E5" w:rsidRDefault="00767C3E" w:rsidP="0027065F">
      <w:pPr>
        <w:pStyle w:val="Titrearticle0"/>
        <w:rPr>
          <w:noProof/>
        </w:rPr>
      </w:pPr>
      <w:r w:rsidRPr="002866E5">
        <w:rPr>
          <w:noProof/>
        </w:rPr>
        <w:t>Artykuł 35</w:t>
      </w:r>
    </w:p>
    <w:p w14:paraId="67ED8846" w14:textId="620ADD1A" w:rsidR="00767C3E" w:rsidRPr="002866E5" w:rsidRDefault="00767C3E" w:rsidP="00084E38">
      <w:pPr>
        <w:jc w:val="center"/>
        <w:rPr>
          <w:i/>
          <w:noProof/>
        </w:rPr>
      </w:pPr>
      <w:r w:rsidRPr="002866E5">
        <w:rPr>
          <w:i/>
          <w:noProof/>
        </w:rPr>
        <w:t>Zmiany</w:t>
      </w:r>
      <w:r w:rsidR="008B35E8" w:rsidRPr="002866E5">
        <w:rPr>
          <w:i/>
          <w:noProof/>
        </w:rPr>
        <w:t xml:space="preserve"> w</w:t>
      </w:r>
      <w:r w:rsidR="008B35E8">
        <w:rPr>
          <w:i/>
          <w:noProof/>
        </w:rPr>
        <w:t> </w:t>
      </w:r>
      <w:r w:rsidR="008B35E8" w:rsidRPr="002866E5">
        <w:rPr>
          <w:i/>
          <w:noProof/>
        </w:rPr>
        <w:t>not</w:t>
      </w:r>
      <w:r w:rsidRPr="002866E5">
        <w:rPr>
          <w:i/>
          <w:noProof/>
        </w:rPr>
        <w:t>yfikacji</w:t>
      </w:r>
    </w:p>
    <w:p w14:paraId="67ED8847" w14:textId="20B9ACCF" w:rsidR="00767C3E" w:rsidRPr="002866E5" w:rsidRDefault="00B4087C" w:rsidP="00B4087C">
      <w:pPr>
        <w:pStyle w:val="ManualNumPar1"/>
        <w:rPr>
          <w:noProof/>
        </w:rPr>
      </w:pPr>
      <w:r w:rsidRPr="00B4087C">
        <w:lastRenderedPageBreak/>
        <w:t>1.</w:t>
      </w:r>
      <w:r w:rsidRPr="00B4087C">
        <w:tab/>
      </w:r>
      <w:r w:rsidR="00767C3E" w:rsidRPr="002866E5">
        <w:rPr>
          <w:noProof/>
        </w:rPr>
        <w:t>W przypadku gdy organ notyfikujący stwierdza lub otrzymuje informację, że jednostka notyfikowana przestała spełniać wymogi określone</w:t>
      </w:r>
      <w:r w:rsidR="008B35E8" w:rsidRPr="002866E5">
        <w:rPr>
          <w:noProof/>
        </w:rPr>
        <w:t xml:space="preserve"> w</w:t>
      </w:r>
      <w:r w:rsidR="008B35E8">
        <w:rPr>
          <w:noProof/>
        </w:rPr>
        <w:t> </w:t>
      </w:r>
      <w:r w:rsidR="008B35E8" w:rsidRPr="008B35E8">
        <w:rPr>
          <w:noProof/>
        </w:rPr>
        <w:t>art</w:t>
      </w:r>
      <w:r w:rsidR="00767C3E" w:rsidRPr="008B35E8">
        <w:rPr>
          <w:noProof/>
        </w:rPr>
        <w:t>.</w:t>
      </w:r>
      <w:r w:rsidR="008B35E8" w:rsidRPr="008B35E8">
        <w:rPr>
          <w:noProof/>
        </w:rPr>
        <w:t> </w:t>
      </w:r>
      <w:r w:rsidR="00767C3E" w:rsidRPr="008B35E8">
        <w:rPr>
          <w:noProof/>
        </w:rPr>
        <w:t>2</w:t>
      </w:r>
      <w:r w:rsidR="00767C3E" w:rsidRPr="002866E5">
        <w:rPr>
          <w:noProof/>
        </w:rPr>
        <w:t>9 lub nie wykonuje swoich obowiązków, organ notyfikujący, odpowiednio, ogranicza, zawiesza lub cofa notyfikację,</w:t>
      </w:r>
      <w:r w:rsidR="008B35E8" w:rsidRPr="002866E5">
        <w:rPr>
          <w:noProof/>
        </w:rPr>
        <w:t xml:space="preserve"> w</w:t>
      </w:r>
      <w:r w:rsidR="008B35E8">
        <w:rPr>
          <w:noProof/>
        </w:rPr>
        <w:t> </w:t>
      </w:r>
      <w:r w:rsidR="008B35E8" w:rsidRPr="002866E5">
        <w:rPr>
          <w:noProof/>
        </w:rPr>
        <w:t>zal</w:t>
      </w:r>
      <w:r w:rsidR="00767C3E" w:rsidRPr="002866E5">
        <w:rPr>
          <w:noProof/>
        </w:rPr>
        <w:t>eżności od powagi niespełnianych wymogów lub niewykonanych obowiązków. Niezwłocznie informuje</w:t>
      </w:r>
      <w:r w:rsidR="008B35E8" w:rsidRPr="002866E5">
        <w:rPr>
          <w:noProof/>
        </w:rPr>
        <w:t xml:space="preserve"> o</w:t>
      </w:r>
      <w:r w:rsidR="008B35E8">
        <w:rPr>
          <w:noProof/>
        </w:rPr>
        <w:t> </w:t>
      </w:r>
      <w:r w:rsidR="008B35E8" w:rsidRPr="002866E5">
        <w:rPr>
          <w:noProof/>
        </w:rPr>
        <w:t>tym</w:t>
      </w:r>
      <w:r w:rsidR="00767C3E" w:rsidRPr="002866E5">
        <w:rPr>
          <w:noProof/>
        </w:rPr>
        <w:t xml:space="preserve"> Komisję</w:t>
      </w:r>
      <w:r w:rsidR="008B35E8" w:rsidRPr="002866E5">
        <w:rPr>
          <w:noProof/>
        </w:rPr>
        <w:t xml:space="preserve"> i</w:t>
      </w:r>
      <w:r w:rsidR="008B35E8">
        <w:rPr>
          <w:noProof/>
        </w:rPr>
        <w:t> </w:t>
      </w:r>
      <w:r w:rsidR="008B35E8" w:rsidRPr="002866E5">
        <w:rPr>
          <w:noProof/>
        </w:rPr>
        <w:t>poz</w:t>
      </w:r>
      <w:r w:rsidR="00767C3E" w:rsidRPr="002866E5">
        <w:rPr>
          <w:noProof/>
        </w:rPr>
        <w:t>ostałe państwa członkowskie.</w:t>
      </w:r>
    </w:p>
    <w:p w14:paraId="67ED8848" w14:textId="4225018F" w:rsidR="005E214E" w:rsidRPr="002866E5" w:rsidRDefault="00B4087C" w:rsidP="00B4087C">
      <w:pPr>
        <w:pStyle w:val="ManualNumPar1"/>
        <w:rPr>
          <w:noProof/>
        </w:rPr>
      </w:pPr>
      <w:r w:rsidRPr="00B4087C">
        <w:t>2.</w:t>
      </w:r>
      <w:r w:rsidRPr="00B4087C">
        <w:tab/>
      </w:r>
      <w:r w:rsidR="00767C3E" w:rsidRPr="002866E5">
        <w:rPr>
          <w:noProof/>
        </w:rPr>
        <w:t>W przypadku ograniczenia, zawieszenia lub cofnięcia notyfikacji albo</w:t>
      </w:r>
      <w:r w:rsidR="008B35E8" w:rsidRPr="002866E5">
        <w:rPr>
          <w:noProof/>
        </w:rPr>
        <w:t xml:space="preserve"> w</w:t>
      </w:r>
      <w:r w:rsidR="008B35E8">
        <w:rPr>
          <w:noProof/>
        </w:rPr>
        <w:t> </w:t>
      </w:r>
      <w:r w:rsidR="008B35E8" w:rsidRPr="002866E5">
        <w:rPr>
          <w:noProof/>
        </w:rPr>
        <w:t>prz</w:t>
      </w:r>
      <w:r w:rsidR="00767C3E" w:rsidRPr="002866E5">
        <w:rPr>
          <w:noProof/>
        </w:rPr>
        <w:t>ypadku zaprzestania działalności przez jednostkę notyfikowaną notyfikujące państwo członkowskie wdraża właściwe środki</w:t>
      </w:r>
      <w:r w:rsidR="008B35E8" w:rsidRPr="002866E5">
        <w:rPr>
          <w:noProof/>
        </w:rPr>
        <w:t xml:space="preserve"> w</w:t>
      </w:r>
      <w:r w:rsidR="008B35E8">
        <w:rPr>
          <w:noProof/>
        </w:rPr>
        <w:t> </w:t>
      </w:r>
      <w:r w:rsidR="008B35E8" w:rsidRPr="002866E5">
        <w:rPr>
          <w:noProof/>
        </w:rPr>
        <w:t>cel</w:t>
      </w:r>
      <w:r w:rsidR="00767C3E" w:rsidRPr="002866E5">
        <w:rPr>
          <w:noProof/>
        </w:rPr>
        <w:t>u zapewnienia, aby dokumentacją tej jednostki zajęła się inna jednostka notyfikowana lub aby była ona dostępna na żądanie odpowiedzialnych organów notyfikujących</w:t>
      </w:r>
      <w:r w:rsidR="008B35E8" w:rsidRPr="002866E5">
        <w:rPr>
          <w:noProof/>
        </w:rPr>
        <w:t xml:space="preserve"> i</w:t>
      </w:r>
      <w:r w:rsidR="008B35E8">
        <w:rPr>
          <w:noProof/>
        </w:rPr>
        <w:t> </w:t>
      </w:r>
      <w:r w:rsidR="008B35E8" w:rsidRPr="002866E5">
        <w:rPr>
          <w:noProof/>
        </w:rPr>
        <w:t>org</w:t>
      </w:r>
      <w:r w:rsidR="00767C3E" w:rsidRPr="002866E5">
        <w:rPr>
          <w:noProof/>
        </w:rPr>
        <w:t>anów nadzoru rynku.</w:t>
      </w:r>
    </w:p>
    <w:p w14:paraId="67ED8849" w14:textId="37F0D601" w:rsidR="00F872B6" w:rsidRPr="002866E5" w:rsidRDefault="00F872B6" w:rsidP="0027065F">
      <w:pPr>
        <w:pStyle w:val="Titrearticle0"/>
        <w:rPr>
          <w:noProof/>
        </w:rPr>
      </w:pPr>
      <w:r w:rsidRPr="002866E5">
        <w:rPr>
          <w:noProof/>
        </w:rPr>
        <w:t>Artykuł 36</w:t>
      </w:r>
    </w:p>
    <w:p w14:paraId="67ED884A" w14:textId="77777777" w:rsidR="00F872B6" w:rsidRPr="002866E5" w:rsidRDefault="00F872B6" w:rsidP="00084E38">
      <w:pPr>
        <w:jc w:val="center"/>
        <w:rPr>
          <w:i/>
          <w:noProof/>
        </w:rPr>
      </w:pPr>
      <w:r w:rsidRPr="002866E5">
        <w:rPr>
          <w:i/>
          <w:noProof/>
        </w:rPr>
        <w:t>Kwestionowanie kompetencji jednostek notyfikowanych</w:t>
      </w:r>
    </w:p>
    <w:p w14:paraId="67ED884B" w14:textId="008324BC" w:rsidR="00F872B6" w:rsidRPr="002866E5" w:rsidRDefault="00B4087C" w:rsidP="00B4087C">
      <w:pPr>
        <w:pStyle w:val="ManualNumPar1"/>
        <w:rPr>
          <w:noProof/>
        </w:rPr>
      </w:pPr>
      <w:r w:rsidRPr="00B4087C">
        <w:t>1.</w:t>
      </w:r>
      <w:r w:rsidRPr="00B4087C">
        <w:tab/>
      </w:r>
      <w:r w:rsidR="00F872B6" w:rsidRPr="002866E5">
        <w:rPr>
          <w:noProof/>
        </w:rPr>
        <w:t>Komisja bada wszystkie przypadki,</w:t>
      </w:r>
      <w:r w:rsidR="008B35E8" w:rsidRPr="002866E5">
        <w:rPr>
          <w:noProof/>
        </w:rPr>
        <w:t xml:space="preserve"> w</w:t>
      </w:r>
      <w:r w:rsidR="008B35E8">
        <w:rPr>
          <w:noProof/>
        </w:rPr>
        <w:t> </w:t>
      </w:r>
      <w:r w:rsidR="008B35E8" w:rsidRPr="002866E5">
        <w:rPr>
          <w:noProof/>
        </w:rPr>
        <w:t>któ</w:t>
      </w:r>
      <w:r w:rsidR="00F872B6" w:rsidRPr="002866E5">
        <w:rPr>
          <w:noProof/>
        </w:rPr>
        <w:t>rych ma wątpliwości lub otrzymuje informacje</w:t>
      </w:r>
      <w:r w:rsidR="008B35E8" w:rsidRPr="002866E5">
        <w:rPr>
          <w:noProof/>
        </w:rPr>
        <w:t xml:space="preserve"> o</w:t>
      </w:r>
      <w:r w:rsidR="008B35E8">
        <w:rPr>
          <w:noProof/>
        </w:rPr>
        <w:t> </w:t>
      </w:r>
      <w:r w:rsidR="008B35E8" w:rsidRPr="002866E5">
        <w:rPr>
          <w:noProof/>
        </w:rPr>
        <w:t>wąt</w:t>
      </w:r>
      <w:r w:rsidR="00F872B6" w:rsidRPr="002866E5">
        <w:rPr>
          <w:noProof/>
        </w:rPr>
        <w:t>pliwościach co do kompetencji jednostki notyfikowanej lub dalszego spełniania wymogów, którym jednostka ta podlega,</w:t>
      </w:r>
      <w:r w:rsidR="008B35E8" w:rsidRPr="002866E5">
        <w:rPr>
          <w:noProof/>
        </w:rPr>
        <w:t xml:space="preserve"> i</w:t>
      </w:r>
      <w:r w:rsidR="008B35E8">
        <w:rPr>
          <w:noProof/>
        </w:rPr>
        <w:t> </w:t>
      </w:r>
      <w:r w:rsidR="008B35E8" w:rsidRPr="002866E5">
        <w:rPr>
          <w:noProof/>
        </w:rPr>
        <w:t>wyw</w:t>
      </w:r>
      <w:r w:rsidR="00F872B6" w:rsidRPr="002866E5">
        <w:rPr>
          <w:noProof/>
        </w:rPr>
        <w:t>iązywania się</w:t>
      </w:r>
      <w:r w:rsidR="008B35E8" w:rsidRPr="002866E5">
        <w:rPr>
          <w:noProof/>
        </w:rPr>
        <w:t xml:space="preserve"> z</w:t>
      </w:r>
      <w:r w:rsidR="008B35E8">
        <w:rPr>
          <w:noProof/>
        </w:rPr>
        <w:t> </w:t>
      </w:r>
      <w:r w:rsidR="008B35E8" w:rsidRPr="002866E5">
        <w:rPr>
          <w:noProof/>
        </w:rPr>
        <w:t>nał</w:t>
      </w:r>
      <w:r w:rsidR="00F872B6" w:rsidRPr="002866E5">
        <w:rPr>
          <w:noProof/>
        </w:rPr>
        <w:t>ożonych na nią obowiązków.</w:t>
      </w:r>
    </w:p>
    <w:p w14:paraId="67ED884C" w14:textId="6FED5FDA" w:rsidR="00F872B6" w:rsidRPr="002866E5" w:rsidRDefault="00B4087C" w:rsidP="00B4087C">
      <w:pPr>
        <w:pStyle w:val="ManualNumPar1"/>
        <w:rPr>
          <w:noProof/>
        </w:rPr>
      </w:pPr>
      <w:r w:rsidRPr="00B4087C">
        <w:t>2.</w:t>
      </w:r>
      <w:r w:rsidRPr="00B4087C">
        <w:tab/>
      </w:r>
      <w:r w:rsidR="00F872B6" w:rsidRPr="002866E5">
        <w:rPr>
          <w:noProof/>
        </w:rPr>
        <w:t>Na żądanie Komisji notyfikujące państwo członkowskie udziela jej wszelkich informacji dotyczących podstawy notyfikacji lub utrzymania kompetencji danej jednostki.</w:t>
      </w:r>
    </w:p>
    <w:p w14:paraId="67ED884D" w14:textId="64CEE328" w:rsidR="00F872B6" w:rsidRPr="002866E5" w:rsidRDefault="00B4087C" w:rsidP="00B4087C">
      <w:pPr>
        <w:pStyle w:val="ManualNumPar1"/>
        <w:rPr>
          <w:noProof/>
        </w:rPr>
      </w:pPr>
      <w:r w:rsidRPr="00B4087C">
        <w:t>3.</w:t>
      </w:r>
      <w:r w:rsidRPr="00B4087C">
        <w:tab/>
      </w:r>
      <w:r w:rsidR="00F872B6" w:rsidRPr="002866E5">
        <w:rPr>
          <w:noProof/>
        </w:rPr>
        <w:t>Komisja zapewnia poufne traktowanie wszystkich informacji szczególnie chronionych uzyskanych</w:t>
      </w:r>
      <w:r w:rsidR="008B35E8" w:rsidRPr="002866E5">
        <w:rPr>
          <w:noProof/>
        </w:rPr>
        <w:t xml:space="preserve"> w</w:t>
      </w:r>
      <w:r w:rsidR="008B35E8">
        <w:rPr>
          <w:noProof/>
        </w:rPr>
        <w:t> </w:t>
      </w:r>
      <w:r w:rsidR="008B35E8" w:rsidRPr="002866E5">
        <w:rPr>
          <w:noProof/>
        </w:rPr>
        <w:t>tra</w:t>
      </w:r>
      <w:r w:rsidR="00F872B6" w:rsidRPr="002866E5">
        <w:rPr>
          <w:noProof/>
        </w:rPr>
        <w:t>kcie prowadzonych postępowań wyjaśniających.</w:t>
      </w:r>
    </w:p>
    <w:p w14:paraId="67ED884E" w14:textId="768198C6" w:rsidR="00F872B6" w:rsidRPr="002866E5" w:rsidRDefault="00B4087C" w:rsidP="00B4087C">
      <w:pPr>
        <w:pStyle w:val="ManualNumPar1"/>
        <w:rPr>
          <w:noProof/>
        </w:rPr>
      </w:pPr>
      <w:r w:rsidRPr="00B4087C">
        <w:t>4.</w:t>
      </w:r>
      <w:r w:rsidRPr="00B4087C">
        <w:tab/>
      </w:r>
      <w:r w:rsidR="00F872B6" w:rsidRPr="002866E5">
        <w:rPr>
          <w:noProof/>
        </w:rPr>
        <w:t>W przypadku gdy Komisja stwierdza, że jednostka notyfikowana nie spełnia wymogów notyfikacji lub przestała je spełniać, informuje</w:t>
      </w:r>
      <w:r w:rsidR="008B35E8" w:rsidRPr="002866E5">
        <w:rPr>
          <w:noProof/>
        </w:rPr>
        <w:t xml:space="preserve"> o</w:t>
      </w:r>
      <w:r w:rsidR="008B35E8">
        <w:rPr>
          <w:noProof/>
        </w:rPr>
        <w:t> </w:t>
      </w:r>
      <w:r w:rsidR="008B35E8" w:rsidRPr="002866E5">
        <w:rPr>
          <w:noProof/>
        </w:rPr>
        <w:t>tym</w:t>
      </w:r>
      <w:r w:rsidR="00F872B6" w:rsidRPr="002866E5">
        <w:rPr>
          <w:noProof/>
        </w:rPr>
        <w:t xml:space="preserve"> fakcie notyfikujące państwo członkowskie</w:t>
      </w:r>
      <w:r w:rsidR="008B35E8" w:rsidRPr="002866E5">
        <w:rPr>
          <w:noProof/>
        </w:rPr>
        <w:t xml:space="preserve"> i</w:t>
      </w:r>
      <w:r w:rsidR="008B35E8">
        <w:rPr>
          <w:noProof/>
        </w:rPr>
        <w:t> </w:t>
      </w:r>
      <w:r w:rsidR="008B35E8" w:rsidRPr="002866E5">
        <w:rPr>
          <w:noProof/>
        </w:rPr>
        <w:t>zwr</w:t>
      </w:r>
      <w:r w:rsidR="00F872B6" w:rsidRPr="002866E5">
        <w:rPr>
          <w:noProof/>
        </w:rPr>
        <w:t>aca się do niego</w:t>
      </w:r>
      <w:r w:rsidR="008B35E8" w:rsidRPr="002866E5">
        <w:rPr>
          <w:noProof/>
        </w:rPr>
        <w:t xml:space="preserve"> o</w:t>
      </w:r>
      <w:r w:rsidR="008B35E8">
        <w:rPr>
          <w:noProof/>
        </w:rPr>
        <w:t> </w:t>
      </w:r>
      <w:r w:rsidR="008B35E8" w:rsidRPr="002866E5">
        <w:rPr>
          <w:noProof/>
        </w:rPr>
        <w:t>wpr</w:t>
      </w:r>
      <w:r w:rsidR="00F872B6" w:rsidRPr="002866E5">
        <w:rPr>
          <w:noProof/>
        </w:rPr>
        <w:t>owadzenie koniecznych środków naprawczych, włącznie</w:t>
      </w:r>
      <w:r w:rsidR="008B35E8" w:rsidRPr="002866E5">
        <w:rPr>
          <w:noProof/>
        </w:rPr>
        <w:t xml:space="preserve"> z</w:t>
      </w:r>
      <w:r w:rsidR="008B35E8">
        <w:rPr>
          <w:noProof/>
        </w:rPr>
        <w:t> </w:t>
      </w:r>
      <w:r w:rsidR="008B35E8" w:rsidRPr="002866E5">
        <w:rPr>
          <w:noProof/>
        </w:rPr>
        <w:t>wyc</w:t>
      </w:r>
      <w:r w:rsidR="00F872B6" w:rsidRPr="002866E5">
        <w:rPr>
          <w:noProof/>
        </w:rPr>
        <w:t xml:space="preserve">ofaniem notyfikacji, jeżeli zachodzi taka potrzeba. </w:t>
      </w:r>
    </w:p>
    <w:p w14:paraId="67ED884F" w14:textId="2D4EB9DC" w:rsidR="00F872B6" w:rsidRPr="002866E5" w:rsidRDefault="00F872B6" w:rsidP="0027065F">
      <w:pPr>
        <w:pStyle w:val="Titrearticle0"/>
        <w:rPr>
          <w:noProof/>
        </w:rPr>
      </w:pPr>
      <w:r w:rsidRPr="002866E5">
        <w:rPr>
          <w:noProof/>
        </w:rPr>
        <w:t>Artykuł 37</w:t>
      </w:r>
    </w:p>
    <w:p w14:paraId="67ED8850" w14:textId="77777777" w:rsidR="00F872B6" w:rsidRPr="002866E5" w:rsidRDefault="00F872B6" w:rsidP="00084E38">
      <w:pPr>
        <w:jc w:val="center"/>
        <w:rPr>
          <w:i/>
          <w:noProof/>
        </w:rPr>
      </w:pPr>
      <w:r w:rsidRPr="002866E5">
        <w:rPr>
          <w:i/>
          <w:noProof/>
        </w:rPr>
        <w:t>Obowiązki operacyjne jednostek notyfikowanych</w:t>
      </w:r>
    </w:p>
    <w:p w14:paraId="67ED8851" w14:textId="203A454F" w:rsidR="00521C07" w:rsidRPr="002866E5" w:rsidRDefault="00B4087C" w:rsidP="00B4087C">
      <w:pPr>
        <w:pStyle w:val="ManualNumPar1"/>
        <w:rPr>
          <w:noProof/>
        </w:rPr>
      </w:pPr>
      <w:r w:rsidRPr="00B4087C">
        <w:t>1.</w:t>
      </w:r>
      <w:r w:rsidRPr="00B4087C">
        <w:tab/>
      </w:r>
      <w:r w:rsidR="00F872B6" w:rsidRPr="002866E5">
        <w:rPr>
          <w:noProof/>
        </w:rPr>
        <w:t>Jednostki notyfikowane przeprowadzają oceny zgodności zgodnie</w:t>
      </w:r>
      <w:r w:rsidR="008B35E8" w:rsidRPr="002866E5">
        <w:rPr>
          <w:noProof/>
        </w:rPr>
        <w:t xml:space="preserve"> z</w:t>
      </w:r>
      <w:r w:rsidR="008B35E8">
        <w:rPr>
          <w:noProof/>
        </w:rPr>
        <w:t> </w:t>
      </w:r>
      <w:r w:rsidR="008B35E8" w:rsidRPr="002866E5">
        <w:rPr>
          <w:noProof/>
        </w:rPr>
        <w:t>pro</w:t>
      </w:r>
      <w:r w:rsidR="00F872B6" w:rsidRPr="002866E5">
        <w:rPr>
          <w:noProof/>
        </w:rPr>
        <w:t>cedurami oceny zgodności określonymi</w:t>
      </w:r>
      <w:r w:rsidR="008B35E8" w:rsidRPr="002866E5">
        <w:rPr>
          <w:noProof/>
        </w:rPr>
        <w:t xml:space="preserve"> w</w:t>
      </w:r>
      <w:r w:rsidR="008B35E8">
        <w:rPr>
          <w:noProof/>
        </w:rPr>
        <w:t> </w:t>
      </w:r>
      <w:r w:rsidR="008B35E8" w:rsidRPr="008B35E8">
        <w:rPr>
          <w:noProof/>
        </w:rPr>
        <w:t>art</w:t>
      </w:r>
      <w:r w:rsidR="00F872B6" w:rsidRPr="008B35E8">
        <w:rPr>
          <w:noProof/>
        </w:rPr>
        <w:t>.</w:t>
      </w:r>
      <w:r w:rsidR="008B35E8" w:rsidRPr="008B35E8">
        <w:rPr>
          <w:noProof/>
        </w:rPr>
        <w:t> </w:t>
      </w:r>
      <w:r w:rsidR="00F872B6" w:rsidRPr="008B35E8">
        <w:rPr>
          <w:noProof/>
        </w:rPr>
        <w:t>2</w:t>
      </w:r>
      <w:r w:rsidR="00F872B6" w:rsidRPr="002866E5">
        <w:rPr>
          <w:noProof/>
        </w:rPr>
        <w:t>4</w:t>
      </w:r>
      <w:r w:rsidR="008B35E8" w:rsidRPr="002866E5">
        <w:rPr>
          <w:noProof/>
        </w:rPr>
        <w:t xml:space="preserve"> i</w:t>
      </w:r>
      <w:r w:rsidR="008B35E8">
        <w:rPr>
          <w:noProof/>
        </w:rPr>
        <w:t> </w:t>
      </w:r>
      <w:r w:rsidR="008B35E8" w:rsidRPr="002866E5">
        <w:rPr>
          <w:noProof/>
        </w:rPr>
        <w:t>zał</w:t>
      </w:r>
      <w:r w:rsidR="00F872B6" w:rsidRPr="002866E5">
        <w:rPr>
          <w:noProof/>
        </w:rPr>
        <w:t xml:space="preserve">ączniku VI. </w:t>
      </w:r>
    </w:p>
    <w:p w14:paraId="67ED8852" w14:textId="46720BC4" w:rsidR="00454DF8" w:rsidRPr="002866E5" w:rsidRDefault="00B4087C" w:rsidP="00B4087C">
      <w:pPr>
        <w:pStyle w:val="ManualNumPar1"/>
        <w:rPr>
          <w:noProof/>
        </w:rPr>
      </w:pPr>
      <w:r w:rsidRPr="00B4087C">
        <w:t>2.</w:t>
      </w:r>
      <w:r w:rsidRPr="00B4087C">
        <w:tab/>
      </w:r>
      <w:r w:rsidR="00F872B6" w:rsidRPr="002866E5">
        <w:rPr>
          <w:noProof/>
        </w:rPr>
        <w:t>Oceny zgodności przeprowadza się</w:t>
      </w:r>
      <w:r w:rsidR="008B35E8" w:rsidRPr="002866E5">
        <w:rPr>
          <w:noProof/>
        </w:rPr>
        <w:t xml:space="preserve"> w</w:t>
      </w:r>
      <w:r w:rsidR="008B35E8">
        <w:rPr>
          <w:noProof/>
        </w:rPr>
        <w:t> </w:t>
      </w:r>
      <w:r w:rsidR="008B35E8" w:rsidRPr="002866E5">
        <w:rPr>
          <w:noProof/>
        </w:rPr>
        <w:t>spo</w:t>
      </w:r>
      <w:r w:rsidR="00F872B6" w:rsidRPr="002866E5">
        <w:rPr>
          <w:noProof/>
        </w:rPr>
        <w:t>sób proporcjonalny, unikając przy tym zbędnych obciążeń dla podmiotów gospodarczych. Jednostki oceniające zgodność wykonują swoje działania, uwzględniając wielkość przedsiębiorstwa, sektora,</w:t>
      </w:r>
      <w:r w:rsidR="008B35E8" w:rsidRPr="002866E5">
        <w:rPr>
          <w:noProof/>
        </w:rPr>
        <w:t xml:space="preserve"> w</w:t>
      </w:r>
      <w:r w:rsidR="008B35E8">
        <w:rPr>
          <w:noProof/>
        </w:rPr>
        <w:t> </w:t>
      </w:r>
      <w:r w:rsidR="008B35E8" w:rsidRPr="002866E5">
        <w:rPr>
          <w:noProof/>
        </w:rPr>
        <w:t>któ</w:t>
      </w:r>
      <w:r w:rsidR="00F872B6" w:rsidRPr="002866E5">
        <w:rPr>
          <w:noProof/>
        </w:rPr>
        <w:t>rym ono działa, strukturę przedsiębiorstwa, stopień złożoności technologii danego produktu oraz masowy lub seryjny charakter procesu produkcji.</w:t>
      </w:r>
    </w:p>
    <w:p w14:paraId="67ED8853" w14:textId="651A8BCC" w:rsidR="00F872B6" w:rsidRPr="002866E5" w:rsidRDefault="00B4087C" w:rsidP="00B4087C">
      <w:pPr>
        <w:pStyle w:val="ManualNumPar1"/>
        <w:rPr>
          <w:noProof/>
        </w:rPr>
      </w:pPr>
      <w:r w:rsidRPr="00B4087C">
        <w:t>3.</w:t>
      </w:r>
      <w:r w:rsidRPr="00B4087C">
        <w:tab/>
      </w:r>
      <w:r w:rsidR="00116D37" w:rsidRPr="002866E5">
        <w:rPr>
          <w:noProof/>
        </w:rPr>
        <w:t>Jednostki notyfikowane zachowują jednak odpowiednią rygorystyczność</w:t>
      </w:r>
      <w:r w:rsidR="008B35E8" w:rsidRPr="002866E5">
        <w:rPr>
          <w:noProof/>
        </w:rPr>
        <w:t xml:space="preserve"> i</w:t>
      </w:r>
      <w:r w:rsidR="008B35E8">
        <w:rPr>
          <w:noProof/>
        </w:rPr>
        <w:t> </w:t>
      </w:r>
      <w:r w:rsidR="008B35E8" w:rsidRPr="002866E5">
        <w:rPr>
          <w:noProof/>
        </w:rPr>
        <w:t>odp</w:t>
      </w:r>
      <w:r w:rsidR="00116D37" w:rsidRPr="002866E5">
        <w:rPr>
          <w:noProof/>
        </w:rPr>
        <w:t>owiedni poziom ochrony wymagane dla zagwarantowania zgodności produktu</w:t>
      </w:r>
      <w:r w:rsidR="008B35E8" w:rsidRPr="002866E5">
        <w:rPr>
          <w:noProof/>
        </w:rPr>
        <w:t xml:space="preserve"> z</w:t>
      </w:r>
      <w:r w:rsidR="008B35E8">
        <w:rPr>
          <w:noProof/>
        </w:rPr>
        <w:t> </w:t>
      </w:r>
      <w:r w:rsidR="008B35E8" w:rsidRPr="002866E5">
        <w:rPr>
          <w:noProof/>
        </w:rPr>
        <w:t>prz</w:t>
      </w:r>
      <w:r w:rsidR="00116D37" w:rsidRPr="002866E5">
        <w:rPr>
          <w:noProof/>
        </w:rPr>
        <w:t>episami rozporządzenia.</w:t>
      </w:r>
    </w:p>
    <w:p w14:paraId="67ED8854" w14:textId="2BAE9F1B" w:rsidR="00F872B6" w:rsidRPr="002866E5" w:rsidRDefault="00B4087C" w:rsidP="00B4087C">
      <w:pPr>
        <w:pStyle w:val="ManualNumPar1"/>
        <w:rPr>
          <w:noProof/>
        </w:rPr>
      </w:pPr>
      <w:r w:rsidRPr="00B4087C">
        <w:t>4.</w:t>
      </w:r>
      <w:r w:rsidRPr="00B4087C">
        <w:tab/>
      </w:r>
      <w:r w:rsidR="00F872B6" w:rsidRPr="002866E5">
        <w:rPr>
          <w:noProof/>
        </w:rPr>
        <w:t>Jeżeli jednostka notyfikowana stwierdza, że producent nie spełnił wymogów określonych</w:t>
      </w:r>
      <w:r w:rsidR="008B35E8" w:rsidRPr="002866E5">
        <w:rPr>
          <w:noProof/>
        </w:rPr>
        <w:t xml:space="preserve"> w</w:t>
      </w:r>
      <w:r w:rsidR="008B35E8">
        <w:rPr>
          <w:noProof/>
        </w:rPr>
        <w:t> </w:t>
      </w:r>
      <w:r w:rsidR="008B35E8" w:rsidRPr="002866E5">
        <w:rPr>
          <w:noProof/>
        </w:rPr>
        <w:t>zał</w:t>
      </w:r>
      <w:r w:rsidR="00F872B6" w:rsidRPr="002866E5">
        <w:rPr>
          <w:noProof/>
        </w:rPr>
        <w:t>ączniku I lub</w:t>
      </w:r>
      <w:r w:rsidR="008B35E8" w:rsidRPr="002866E5">
        <w:rPr>
          <w:noProof/>
        </w:rPr>
        <w:t xml:space="preserve"> w</w:t>
      </w:r>
      <w:r w:rsidR="008B35E8">
        <w:rPr>
          <w:noProof/>
        </w:rPr>
        <w:t> </w:t>
      </w:r>
      <w:r w:rsidR="008B35E8" w:rsidRPr="002866E5">
        <w:rPr>
          <w:noProof/>
        </w:rPr>
        <w:t>odp</w:t>
      </w:r>
      <w:r w:rsidR="00F872B6" w:rsidRPr="002866E5">
        <w:rPr>
          <w:noProof/>
        </w:rPr>
        <w:t>owiednich normach zharmonizowanych czy wspólnych specyfikacjach,</w:t>
      </w:r>
      <w:r w:rsidR="008B35E8" w:rsidRPr="002866E5">
        <w:rPr>
          <w:noProof/>
        </w:rPr>
        <w:t xml:space="preserve"> o</w:t>
      </w:r>
      <w:r w:rsidR="008B35E8">
        <w:rPr>
          <w:noProof/>
        </w:rPr>
        <w:t> </w:t>
      </w:r>
      <w:r w:rsidR="008B35E8" w:rsidRPr="002866E5">
        <w:rPr>
          <w:noProof/>
        </w:rPr>
        <w:t>któ</w:t>
      </w:r>
      <w:r w:rsidR="00F872B6" w:rsidRPr="002866E5">
        <w:rPr>
          <w:noProof/>
        </w:rPr>
        <w:t>rych mowa</w:t>
      </w:r>
      <w:r w:rsidR="008B35E8" w:rsidRPr="002866E5">
        <w:rPr>
          <w:noProof/>
        </w:rPr>
        <w:t xml:space="preserve"> w</w:t>
      </w:r>
      <w:r w:rsidR="008B35E8">
        <w:rPr>
          <w:noProof/>
        </w:rPr>
        <w:t> </w:t>
      </w:r>
      <w:r w:rsidR="008B35E8" w:rsidRPr="008B35E8">
        <w:rPr>
          <w:noProof/>
        </w:rPr>
        <w:t>art</w:t>
      </w:r>
      <w:r w:rsidR="00F872B6" w:rsidRPr="008B35E8">
        <w:rPr>
          <w:noProof/>
        </w:rPr>
        <w:t>.</w:t>
      </w:r>
      <w:r w:rsidR="008B35E8" w:rsidRPr="008B35E8">
        <w:rPr>
          <w:noProof/>
        </w:rPr>
        <w:t> </w:t>
      </w:r>
      <w:r w:rsidR="00F872B6" w:rsidRPr="008B35E8">
        <w:rPr>
          <w:noProof/>
        </w:rPr>
        <w:t>1</w:t>
      </w:r>
      <w:r w:rsidR="00F872B6" w:rsidRPr="002866E5">
        <w:rPr>
          <w:noProof/>
        </w:rPr>
        <w:t>9, zobowiązuje ona producenta do wprowadzenia stosownych środków naprawczych</w:t>
      </w:r>
      <w:r w:rsidR="008B35E8" w:rsidRPr="002866E5">
        <w:rPr>
          <w:noProof/>
        </w:rPr>
        <w:t xml:space="preserve"> i</w:t>
      </w:r>
      <w:r w:rsidR="008B35E8">
        <w:rPr>
          <w:noProof/>
        </w:rPr>
        <w:t> </w:t>
      </w:r>
      <w:r w:rsidR="008B35E8" w:rsidRPr="002866E5">
        <w:rPr>
          <w:noProof/>
        </w:rPr>
        <w:t>nie</w:t>
      </w:r>
      <w:r w:rsidR="00F872B6" w:rsidRPr="002866E5">
        <w:rPr>
          <w:noProof/>
        </w:rPr>
        <w:t xml:space="preserve"> wydaje mu certyfikatu zgodności.</w:t>
      </w:r>
    </w:p>
    <w:p w14:paraId="67ED8855" w14:textId="15A9BC6F" w:rsidR="00FE5851" w:rsidRPr="002866E5" w:rsidRDefault="00B4087C" w:rsidP="00B4087C">
      <w:pPr>
        <w:pStyle w:val="ManualNumPar1"/>
        <w:rPr>
          <w:noProof/>
        </w:rPr>
      </w:pPr>
      <w:r w:rsidRPr="00B4087C">
        <w:lastRenderedPageBreak/>
        <w:t>5.</w:t>
      </w:r>
      <w:r w:rsidRPr="00B4087C">
        <w:tab/>
      </w:r>
      <w:r w:rsidR="00FE5851" w:rsidRPr="002866E5">
        <w:rPr>
          <w:noProof/>
        </w:rPr>
        <w:t>W przypadku gdy</w:t>
      </w:r>
      <w:r w:rsidR="008B35E8" w:rsidRPr="002866E5">
        <w:rPr>
          <w:noProof/>
        </w:rPr>
        <w:t xml:space="preserve"> w</w:t>
      </w:r>
      <w:r w:rsidR="008B35E8">
        <w:rPr>
          <w:noProof/>
        </w:rPr>
        <w:t> </w:t>
      </w:r>
      <w:r w:rsidR="008B35E8" w:rsidRPr="002866E5">
        <w:rPr>
          <w:noProof/>
        </w:rPr>
        <w:t>tra</w:t>
      </w:r>
      <w:r w:rsidR="00FE5851" w:rsidRPr="002866E5">
        <w:rPr>
          <w:noProof/>
        </w:rPr>
        <w:t>kcie monitorowania zgodności po wydaniu certyfikatu jednostka notyfikowana stwierdza, że produkt przestał spełniać wymogi określone</w:t>
      </w:r>
      <w:r w:rsidR="008B35E8" w:rsidRPr="002866E5">
        <w:rPr>
          <w:noProof/>
        </w:rPr>
        <w:t xml:space="preserve"> w</w:t>
      </w:r>
      <w:r w:rsidR="008B35E8">
        <w:rPr>
          <w:noProof/>
        </w:rPr>
        <w:t> </w:t>
      </w:r>
      <w:r w:rsidR="008B35E8" w:rsidRPr="002866E5">
        <w:rPr>
          <w:noProof/>
        </w:rPr>
        <w:t>nin</w:t>
      </w:r>
      <w:r w:rsidR="00FE5851" w:rsidRPr="002866E5">
        <w:rPr>
          <w:noProof/>
        </w:rPr>
        <w:t>iejszym rozporządzeniu, zobowiązuje producenta do wprowadzenia stosownych środków naprawczych,</w:t>
      </w:r>
      <w:r w:rsidR="008B35E8" w:rsidRPr="002866E5">
        <w:rPr>
          <w:noProof/>
        </w:rPr>
        <w:t xml:space="preserve"> a</w:t>
      </w:r>
      <w:r w:rsidR="008B35E8">
        <w:rPr>
          <w:noProof/>
        </w:rPr>
        <w:t> </w:t>
      </w:r>
      <w:r w:rsidR="008B35E8" w:rsidRPr="002866E5">
        <w:rPr>
          <w:noProof/>
        </w:rPr>
        <w:t>jeż</w:t>
      </w:r>
      <w:r w:rsidR="00FE5851" w:rsidRPr="002866E5">
        <w:rPr>
          <w:noProof/>
        </w:rPr>
        <w:t>eli zachodzi taka konieczność, zawiesza lub cofa dany certyfikat.</w:t>
      </w:r>
    </w:p>
    <w:p w14:paraId="67ED8856" w14:textId="6A6DE9A8" w:rsidR="00B875EE" w:rsidRPr="002866E5" w:rsidRDefault="00B4087C" w:rsidP="00B4087C">
      <w:pPr>
        <w:pStyle w:val="ManualNumPar1"/>
        <w:rPr>
          <w:noProof/>
        </w:rPr>
      </w:pPr>
      <w:r w:rsidRPr="00B4087C">
        <w:t>6.</w:t>
      </w:r>
      <w:r w:rsidRPr="00B4087C">
        <w:tab/>
      </w:r>
      <w:r w:rsidR="00B875EE" w:rsidRPr="002866E5">
        <w:rPr>
          <w:noProof/>
        </w:rPr>
        <w:t>W przypadku niewprowadzenia środków naprawczych lub jeżeli środki te nie przynoszą wymaganych skutków, jednostka notyfikowana ogranicza, zawiesza lub cofa wszelkie certyfikaty,</w:t>
      </w:r>
      <w:r w:rsidR="008B35E8" w:rsidRPr="002866E5">
        <w:rPr>
          <w:noProof/>
        </w:rPr>
        <w:t xml:space="preserve"> w</w:t>
      </w:r>
      <w:r w:rsidR="008B35E8">
        <w:rPr>
          <w:noProof/>
        </w:rPr>
        <w:t> </w:t>
      </w:r>
      <w:r w:rsidR="008B35E8" w:rsidRPr="002866E5">
        <w:rPr>
          <w:noProof/>
        </w:rPr>
        <w:t>sto</w:t>
      </w:r>
      <w:r w:rsidR="00B875EE" w:rsidRPr="002866E5">
        <w:rPr>
          <w:noProof/>
        </w:rPr>
        <w:t>sownych przypadkach.</w:t>
      </w:r>
    </w:p>
    <w:p w14:paraId="67ED8857" w14:textId="32E166DB" w:rsidR="00B875EE" w:rsidRPr="002866E5" w:rsidRDefault="00B875EE" w:rsidP="0027065F">
      <w:pPr>
        <w:pStyle w:val="Titrearticle0"/>
        <w:rPr>
          <w:noProof/>
        </w:rPr>
      </w:pPr>
      <w:r w:rsidRPr="002866E5">
        <w:rPr>
          <w:noProof/>
        </w:rPr>
        <w:t>Artykuł 38</w:t>
      </w:r>
    </w:p>
    <w:p w14:paraId="67ED8858" w14:textId="77777777" w:rsidR="00B875EE" w:rsidRPr="002866E5" w:rsidRDefault="00B875EE" w:rsidP="00084E38">
      <w:pPr>
        <w:jc w:val="center"/>
        <w:rPr>
          <w:i/>
          <w:noProof/>
        </w:rPr>
      </w:pPr>
      <w:r w:rsidRPr="002866E5">
        <w:rPr>
          <w:i/>
          <w:noProof/>
        </w:rPr>
        <w:t>Obowiązki informacyjne jednostek notyfikowanych</w:t>
      </w:r>
    </w:p>
    <w:p w14:paraId="67ED8859" w14:textId="404D2414" w:rsidR="00921225" w:rsidRPr="002866E5" w:rsidRDefault="00B4087C" w:rsidP="00B4087C">
      <w:pPr>
        <w:pStyle w:val="ManualNumPar1"/>
        <w:rPr>
          <w:noProof/>
        </w:rPr>
      </w:pPr>
      <w:r w:rsidRPr="00B4087C">
        <w:t>1.</w:t>
      </w:r>
      <w:r w:rsidRPr="00B4087C">
        <w:tab/>
      </w:r>
      <w:r w:rsidR="00921225" w:rsidRPr="002866E5">
        <w:rPr>
          <w:noProof/>
        </w:rPr>
        <w:t>Jednostki notyfikowane informują organ notyfikujący:</w:t>
      </w:r>
    </w:p>
    <w:p w14:paraId="67ED885A" w14:textId="24281AC4" w:rsidR="00AB741C" w:rsidRPr="002866E5" w:rsidRDefault="000340F9" w:rsidP="000340F9">
      <w:pPr>
        <w:pStyle w:val="Point1"/>
        <w:rPr>
          <w:noProof/>
        </w:rPr>
      </w:pPr>
      <w:r w:rsidRPr="000340F9">
        <w:rPr>
          <w:noProof/>
        </w:rPr>
        <w:t>a)</w:t>
      </w:r>
      <w:r w:rsidRPr="000340F9">
        <w:rPr>
          <w:noProof/>
        </w:rPr>
        <w:tab/>
      </w:r>
      <w:r w:rsidR="00921225" w:rsidRPr="002866E5">
        <w:rPr>
          <w:noProof/>
        </w:rPr>
        <w:t>o każdym przypadku odmowy wydania, ograniczenia, zawieszenia lub cofnięcia certyfikatu;</w:t>
      </w:r>
    </w:p>
    <w:p w14:paraId="67ED885B" w14:textId="4F0D2BC2" w:rsidR="00AB741C" w:rsidRPr="002866E5" w:rsidRDefault="000340F9" w:rsidP="000340F9">
      <w:pPr>
        <w:pStyle w:val="Point1"/>
        <w:rPr>
          <w:noProof/>
        </w:rPr>
      </w:pPr>
      <w:r w:rsidRPr="000340F9">
        <w:rPr>
          <w:noProof/>
        </w:rPr>
        <w:t>b)</w:t>
      </w:r>
      <w:r w:rsidRPr="000340F9">
        <w:rPr>
          <w:noProof/>
        </w:rPr>
        <w:tab/>
      </w:r>
      <w:r w:rsidR="00921225" w:rsidRPr="002866E5">
        <w:rPr>
          <w:noProof/>
        </w:rPr>
        <w:t>o wszelkich okolicznościach, które mogą mieć negatywny wpływ na zakres</w:t>
      </w:r>
      <w:r w:rsidR="008B35E8" w:rsidRPr="002866E5">
        <w:rPr>
          <w:noProof/>
        </w:rPr>
        <w:t xml:space="preserve"> i</w:t>
      </w:r>
      <w:r w:rsidR="008B35E8">
        <w:rPr>
          <w:noProof/>
        </w:rPr>
        <w:t> </w:t>
      </w:r>
      <w:r w:rsidR="008B35E8" w:rsidRPr="002866E5">
        <w:rPr>
          <w:noProof/>
        </w:rPr>
        <w:t>war</w:t>
      </w:r>
      <w:r w:rsidR="00921225" w:rsidRPr="002866E5">
        <w:rPr>
          <w:noProof/>
        </w:rPr>
        <w:t>unki notyfikacji;</w:t>
      </w:r>
    </w:p>
    <w:p w14:paraId="67ED885C" w14:textId="013637AC" w:rsidR="00AB741C" w:rsidRPr="002866E5" w:rsidRDefault="000340F9" w:rsidP="000340F9">
      <w:pPr>
        <w:pStyle w:val="Point1"/>
        <w:rPr>
          <w:noProof/>
        </w:rPr>
      </w:pPr>
      <w:r w:rsidRPr="000340F9">
        <w:rPr>
          <w:noProof/>
        </w:rPr>
        <w:t>c)</w:t>
      </w:r>
      <w:r w:rsidRPr="000340F9">
        <w:rPr>
          <w:noProof/>
        </w:rPr>
        <w:tab/>
      </w:r>
      <w:r w:rsidR="00921225" w:rsidRPr="002866E5">
        <w:rPr>
          <w:noProof/>
        </w:rPr>
        <w:t>o każdym przypadku zażądania przez organ nadzoru rynku udzielenia informacji dotyczących działań związanych</w:t>
      </w:r>
      <w:r w:rsidR="008B35E8" w:rsidRPr="002866E5">
        <w:rPr>
          <w:noProof/>
        </w:rPr>
        <w:t xml:space="preserve"> z</w:t>
      </w:r>
      <w:r w:rsidR="008B35E8">
        <w:rPr>
          <w:noProof/>
        </w:rPr>
        <w:t> </w:t>
      </w:r>
      <w:r w:rsidR="008B35E8" w:rsidRPr="002866E5">
        <w:rPr>
          <w:noProof/>
        </w:rPr>
        <w:t>oce</w:t>
      </w:r>
      <w:r w:rsidR="00921225" w:rsidRPr="002866E5">
        <w:rPr>
          <w:noProof/>
        </w:rPr>
        <w:t>ną zgodności;</w:t>
      </w:r>
    </w:p>
    <w:p w14:paraId="67ED885D" w14:textId="3B3A6381" w:rsidR="00921225" w:rsidRPr="002866E5" w:rsidRDefault="000340F9" w:rsidP="000340F9">
      <w:pPr>
        <w:pStyle w:val="Point1"/>
        <w:rPr>
          <w:noProof/>
        </w:rPr>
      </w:pPr>
      <w:r w:rsidRPr="000340F9">
        <w:rPr>
          <w:noProof/>
        </w:rPr>
        <w:t>d)</w:t>
      </w:r>
      <w:r w:rsidRPr="000340F9">
        <w:rPr>
          <w:noProof/>
        </w:rPr>
        <w:tab/>
      </w:r>
      <w:r w:rsidR="00921225" w:rsidRPr="002866E5">
        <w:rPr>
          <w:noProof/>
        </w:rPr>
        <w:t>na wniosek,</w:t>
      </w:r>
      <w:r w:rsidR="008B35E8" w:rsidRPr="002866E5">
        <w:rPr>
          <w:noProof/>
        </w:rPr>
        <w:t xml:space="preserve"> o</w:t>
      </w:r>
      <w:r w:rsidR="008B35E8">
        <w:rPr>
          <w:noProof/>
        </w:rPr>
        <w:t> </w:t>
      </w:r>
      <w:r w:rsidR="008B35E8" w:rsidRPr="002866E5">
        <w:rPr>
          <w:noProof/>
        </w:rPr>
        <w:t>pod</w:t>
      </w:r>
      <w:r w:rsidR="00921225" w:rsidRPr="002866E5">
        <w:rPr>
          <w:noProof/>
        </w:rPr>
        <w:t>ejmowanych działaniach związanych</w:t>
      </w:r>
      <w:r w:rsidR="008B35E8" w:rsidRPr="002866E5">
        <w:rPr>
          <w:noProof/>
        </w:rPr>
        <w:t xml:space="preserve"> z</w:t>
      </w:r>
      <w:r w:rsidR="008B35E8">
        <w:rPr>
          <w:noProof/>
        </w:rPr>
        <w:t> </w:t>
      </w:r>
      <w:r w:rsidR="008B35E8" w:rsidRPr="002866E5">
        <w:rPr>
          <w:noProof/>
        </w:rPr>
        <w:t>oce</w:t>
      </w:r>
      <w:r w:rsidR="00921225" w:rsidRPr="002866E5">
        <w:rPr>
          <w:noProof/>
        </w:rPr>
        <w:t>ną zgodności wchodzących</w:t>
      </w:r>
      <w:r w:rsidR="008B35E8" w:rsidRPr="002866E5">
        <w:rPr>
          <w:noProof/>
        </w:rPr>
        <w:t xml:space="preserve"> w</w:t>
      </w:r>
      <w:r w:rsidR="008B35E8">
        <w:rPr>
          <w:noProof/>
        </w:rPr>
        <w:t> </w:t>
      </w:r>
      <w:r w:rsidR="008B35E8" w:rsidRPr="002866E5">
        <w:rPr>
          <w:noProof/>
        </w:rPr>
        <w:t>zak</w:t>
      </w:r>
      <w:r w:rsidR="00921225" w:rsidRPr="002866E5">
        <w:rPr>
          <w:noProof/>
        </w:rPr>
        <w:t>res ich notyfikacji oraz</w:t>
      </w:r>
      <w:r w:rsidR="008B35E8" w:rsidRPr="002866E5">
        <w:rPr>
          <w:noProof/>
        </w:rPr>
        <w:t xml:space="preserve"> o</w:t>
      </w:r>
      <w:r w:rsidR="008B35E8">
        <w:rPr>
          <w:noProof/>
        </w:rPr>
        <w:t> </w:t>
      </w:r>
      <w:r w:rsidR="008B35E8" w:rsidRPr="002866E5">
        <w:rPr>
          <w:noProof/>
        </w:rPr>
        <w:t>inn</w:t>
      </w:r>
      <w:r w:rsidR="00921225" w:rsidRPr="002866E5">
        <w:rPr>
          <w:noProof/>
        </w:rPr>
        <w:t>ych wykonywanych działaniach,</w:t>
      </w:r>
      <w:r w:rsidR="008B35E8" w:rsidRPr="002866E5">
        <w:rPr>
          <w:noProof/>
        </w:rPr>
        <w:t xml:space="preserve"> w</w:t>
      </w:r>
      <w:r w:rsidR="008B35E8">
        <w:rPr>
          <w:noProof/>
        </w:rPr>
        <w:t> </w:t>
      </w:r>
      <w:r w:rsidR="008B35E8" w:rsidRPr="002866E5">
        <w:rPr>
          <w:noProof/>
        </w:rPr>
        <w:t>tym o</w:t>
      </w:r>
      <w:r w:rsidR="008B35E8">
        <w:rPr>
          <w:noProof/>
        </w:rPr>
        <w:t> </w:t>
      </w:r>
      <w:r w:rsidR="008B35E8" w:rsidRPr="002866E5">
        <w:rPr>
          <w:noProof/>
        </w:rPr>
        <w:t>dzi</w:t>
      </w:r>
      <w:r w:rsidR="00921225" w:rsidRPr="002866E5">
        <w:rPr>
          <w:noProof/>
        </w:rPr>
        <w:t>ałalności transgranicznej</w:t>
      </w:r>
      <w:r w:rsidR="008B35E8" w:rsidRPr="002866E5">
        <w:rPr>
          <w:noProof/>
        </w:rPr>
        <w:t xml:space="preserve"> i</w:t>
      </w:r>
      <w:r w:rsidR="008B35E8">
        <w:rPr>
          <w:noProof/>
        </w:rPr>
        <w:t> </w:t>
      </w:r>
      <w:r w:rsidR="008B35E8" w:rsidRPr="002866E5">
        <w:rPr>
          <w:noProof/>
        </w:rPr>
        <w:t>pod</w:t>
      </w:r>
      <w:r w:rsidR="00921225" w:rsidRPr="002866E5">
        <w:rPr>
          <w:noProof/>
        </w:rPr>
        <w:t>wykonawstwie.</w:t>
      </w:r>
    </w:p>
    <w:p w14:paraId="67ED885E" w14:textId="548D0030" w:rsidR="00921225" w:rsidRPr="002866E5" w:rsidRDefault="00B4087C" w:rsidP="00B4087C">
      <w:pPr>
        <w:pStyle w:val="ManualNumPar1"/>
        <w:rPr>
          <w:noProof/>
        </w:rPr>
      </w:pPr>
      <w:r w:rsidRPr="00B4087C">
        <w:t>2.</w:t>
      </w:r>
      <w:r w:rsidRPr="00B4087C">
        <w:tab/>
      </w:r>
      <w:r w:rsidR="00921225" w:rsidRPr="002866E5">
        <w:rPr>
          <w:noProof/>
        </w:rPr>
        <w:t>Jednostki notyfikowane przekazują pozostałym jednostkom notyfikowanym na podstawie niniejszego rozporządzenia prowadzącym podobne działania związane</w:t>
      </w:r>
      <w:r w:rsidR="008B35E8" w:rsidRPr="002866E5">
        <w:rPr>
          <w:noProof/>
        </w:rPr>
        <w:t xml:space="preserve"> z</w:t>
      </w:r>
      <w:r w:rsidR="008B35E8">
        <w:rPr>
          <w:noProof/>
        </w:rPr>
        <w:t> </w:t>
      </w:r>
      <w:r w:rsidR="008B35E8" w:rsidRPr="002866E5">
        <w:rPr>
          <w:noProof/>
        </w:rPr>
        <w:t>oce</w:t>
      </w:r>
      <w:r w:rsidR="00921225" w:rsidRPr="002866E5">
        <w:rPr>
          <w:noProof/>
        </w:rPr>
        <w:t>ną zgodności</w:t>
      </w:r>
      <w:r w:rsidR="008B35E8" w:rsidRPr="002866E5">
        <w:rPr>
          <w:noProof/>
        </w:rPr>
        <w:t xml:space="preserve"> i</w:t>
      </w:r>
      <w:r w:rsidR="008B35E8">
        <w:rPr>
          <w:noProof/>
        </w:rPr>
        <w:t> </w:t>
      </w:r>
      <w:r w:rsidR="008B35E8" w:rsidRPr="002866E5">
        <w:rPr>
          <w:noProof/>
        </w:rPr>
        <w:t>zaj</w:t>
      </w:r>
      <w:r w:rsidR="00921225" w:rsidRPr="002866E5">
        <w:rPr>
          <w:noProof/>
        </w:rPr>
        <w:t>mującym się tymi samymi produktami odpowiednie informacje na temat kwestii,</w:t>
      </w:r>
      <w:r w:rsidR="008B35E8" w:rsidRPr="002866E5">
        <w:rPr>
          <w:noProof/>
        </w:rPr>
        <w:t xml:space="preserve"> w</w:t>
      </w:r>
      <w:r w:rsidR="008B35E8">
        <w:rPr>
          <w:noProof/>
        </w:rPr>
        <w:t> </w:t>
      </w:r>
      <w:r w:rsidR="008B35E8" w:rsidRPr="002866E5">
        <w:rPr>
          <w:noProof/>
        </w:rPr>
        <w:t>prz</w:t>
      </w:r>
      <w:r w:rsidR="00921225" w:rsidRPr="002866E5">
        <w:rPr>
          <w:noProof/>
        </w:rPr>
        <w:t>ypadku których wyniki oceny zgodności były negatywne, a na wniosek, również tych,</w:t>
      </w:r>
      <w:r w:rsidR="008B35E8" w:rsidRPr="002866E5">
        <w:rPr>
          <w:noProof/>
        </w:rPr>
        <w:t xml:space="preserve"> w</w:t>
      </w:r>
      <w:r w:rsidR="008B35E8">
        <w:rPr>
          <w:noProof/>
        </w:rPr>
        <w:t> </w:t>
      </w:r>
      <w:r w:rsidR="008B35E8" w:rsidRPr="002866E5">
        <w:rPr>
          <w:noProof/>
        </w:rPr>
        <w:t>prz</w:t>
      </w:r>
      <w:r w:rsidR="00921225" w:rsidRPr="002866E5">
        <w:rPr>
          <w:noProof/>
        </w:rPr>
        <w:t>ypadku których były one pozytywne.</w:t>
      </w:r>
    </w:p>
    <w:p w14:paraId="67ED885F" w14:textId="0C33B7E7" w:rsidR="00AB5807" w:rsidRPr="002866E5" w:rsidRDefault="00AB5807" w:rsidP="0027065F">
      <w:pPr>
        <w:pStyle w:val="Titrearticle0"/>
        <w:rPr>
          <w:noProof/>
        </w:rPr>
      </w:pPr>
      <w:r w:rsidRPr="002866E5">
        <w:rPr>
          <w:noProof/>
        </w:rPr>
        <w:t>Artykuł 39</w:t>
      </w:r>
    </w:p>
    <w:p w14:paraId="67ED8860" w14:textId="77777777" w:rsidR="00AB5807" w:rsidRPr="002866E5" w:rsidRDefault="00AB5807" w:rsidP="00084E38">
      <w:pPr>
        <w:jc w:val="center"/>
        <w:rPr>
          <w:i/>
          <w:noProof/>
        </w:rPr>
      </w:pPr>
      <w:r w:rsidRPr="002866E5">
        <w:rPr>
          <w:i/>
          <w:noProof/>
        </w:rPr>
        <w:t>Wymiana doświadczeń</w:t>
      </w:r>
    </w:p>
    <w:p w14:paraId="67ED8861" w14:textId="1E710C72" w:rsidR="00AB5807" w:rsidRPr="002866E5" w:rsidRDefault="00AB5807" w:rsidP="00896415">
      <w:pPr>
        <w:rPr>
          <w:noProof/>
        </w:rPr>
      </w:pPr>
      <w:r w:rsidRPr="002866E5">
        <w:rPr>
          <w:noProof/>
        </w:rPr>
        <w:t>Komisja organizuje wymianę doświadczeń między organami krajowymi państw członkowskich odpowiedzialnymi za strategię</w:t>
      </w:r>
      <w:r w:rsidR="008B35E8" w:rsidRPr="002866E5">
        <w:rPr>
          <w:noProof/>
        </w:rPr>
        <w:t xml:space="preserve"> w</w:t>
      </w:r>
      <w:r w:rsidR="008B35E8">
        <w:rPr>
          <w:noProof/>
        </w:rPr>
        <w:t> </w:t>
      </w:r>
      <w:r w:rsidR="008B35E8" w:rsidRPr="002866E5">
        <w:rPr>
          <w:noProof/>
        </w:rPr>
        <w:t>zak</w:t>
      </w:r>
      <w:r w:rsidRPr="002866E5">
        <w:rPr>
          <w:noProof/>
        </w:rPr>
        <w:t>resie notyfikacji.</w:t>
      </w:r>
    </w:p>
    <w:p w14:paraId="67ED8862" w14:textId="3722D250" w:rsidR="00AB5807" w:rsidRPr="002866E5" w:rsidRDefault="00AB5807" w:rsidP="0027065F">
      <w:pPr>
        <w:pStyle w:val="Titrearticle0"/>
        <w:rPr>
          <w:noProof/>
        </w:rPr>
      </w:pPr>
      <w:r w:rsidRPr="002866E5">
        <w:rPr>
          <w:noProof/>
        </w:rPr>
        <w:t>Artykuł 40</w:t>
      </w:r>
    </w:p>
    <w:p w14:paraId="67ED8863" w14:textId="77777777" w:rsidR="00AB5807" w:rsidRPr="002866E5" w:rsidRDefault="00AB5807" w:rsidP="00084E38">
      <w:pPr>
        <w:jc w:val="center"/>
        <w:rPr>
          <w:i/>
          <w:noProof/>
        </w:rPr>
      </w:pPr>
      <w:r w:rsidRPr="002866E5">
        <w:rPr>
          <w:i/>
          <w:noProof/>
        </w:rPr>
        <w:t>Koordynacja jednostek notyfikowanych</w:t>
      </w:r>
    </w:p>
    <w:p w14:paraId="67ED8864" w14:textId="280EA2EC" w:rsidR="00AB5807" w:rsidRPr="002866E5" w:rsidRDefault="00B4087C" w:rsidP="00B4087C">
      <w:pPr>
        <w:pStyle w:val="ManualNumPar1"/>
        <w:rPr>
          <w:noProof/>
        </w:rPr>
      </w:pPr>
      <w:r w:rsidRPr="00B4087C">
        <w:t>1.</w:t>
      </w:r>
      <w:r w:rsidRPr="00B4087C">
        <w:tab/>
      </w:r>
      <w:r w:rsidR="00AB5807" w:rsidRPr="002866E5">
        <w:rPr>
          <w:noProof/>
        </w:rPr>
        <w:t>Komisja zapewnia wprowadzenie</w:t>
      </w:r>
      <w:r w:rsidR="008B35E8" w:rsidRPr="002866E5">
        <w:rPr>
          <w:noProof/>
        </w:rPr>
        <w:t xml:space="preserve"> i</w:t>
      </w:r>
      <w:r w:rsidR="008B35E8">
        <w:rPr>
          <w:noProof/>
        </w:rPr>
        <w:t> </w:t>
      </w:r>
      <w:r w:rsidR="008B35E8" w:rsidRPr="002866E5">
        <w:rPr>
          <w:noProof/>
        </w:rPr>
        <w:t>wła</w:t>
      </w:r>
      <w:r w:rsidR="00AB5807" w:rsidRPr="002866E5">
        <w:rPr>
          <w:noProof/>
        </w:rPr>
        <w:t>ściwą realizację odpowiedniej koordynacji</w:t>
      </w:r>
      <w:r w:rsidR="008B35E8" w:rsidRPr="002866E5">
        <w:rPr>
          <w:noProof/>
        </w:rPr>
        <w:t xml:space="preserve"> i</w:t>
      </w:r>
      <w:r w:rsidR="008B35E8">
        <w:rPr>
          <w:noProof/>
        </w:rPr>
        <w:t> </w:t>
      </w:r>
      <w:r w:rsidR="008B35E8" w:rsidRPr="002866E5">
        <w:rPr>
          <w:noProof/>
        </w:rPr>
        <w:t>wsp</w:t>
      </w:r>
      <w:r w:rsidR="00AB5807" w:rsidRPr="002866E5">
        <w:rPr>
          <w:noProof/>
        </w:rPr>
        <w:t>ółpracy między jednostkami notyfikowanymi,</w:t>
      </w:r>
      <w:r w:rsidR="008B35E8" w:rsidRPr="002866E5">
        <w:rPr>
          <w:noProof/>
        </w:rPr>
        <w:t xml:space="preserve"> w</w:t>
      </w:r>
      <w:r w:rsidR="008B35E8">
        <w:rPr>
          <w:noProof/>
        </w:rPr>
        <w:t> </w:t>
      </w:r>
      <w:r w:rsidR="008B35E8" w:rsidRPr="002866E5">
        <w:rPr>
          <w:noProof/>
        </w:rPr>
        <w:t>for</w:t>
      </w:r>
      <w:r w:rsidR="00AB5807" w:rsidRPr="002866E5">
        <w:rPr>
          <w:noProof/>
        </w:rPr>
        <w:t>mie międzysektorowego zespołu jednostek notyfikowanych.</w:t>
      </w:r>
    </w:p>
    <w:p w14:paraId="67ED8865" w14:textId="7F70DE57" w:rsidR="00AC3232" w:rsidRPr="002866E5" w:rsidRDefault="00B4087C" w:rsidP="00B4087C">
      <w:pPr>
        <w:pStyle w:val="ManualNumPar1"/>
        <w:rPr>
          <w:noProof/>
        </w:rPr>
      </w:pPr>
      <w:r w:rsidRPr="00B4087C">
        <w:t>2.</w:t>
      </w:r>
      <w:r w:rsidRPr="00B4087C">
        <w:tab/>
      </w:r>
      <w:r w:rsidR="00AB5807" w:rsidRPr="002866E5">
        <w:rPr>
          <w:noProof/>
        </w:rPr>
        <w:t>Państwa członkowskie zapewniają, aby notyfikowane przez nie jednostki uczestniczyły</w:t>
      </w:r>
      <w:r w:rsidR="008B35E8" w:rsidRPr="002866E5">
        <w:rPr>
          <w:noProof/>
        </w:rPr>
        <w:t xml:space="preserve"> w</w:t>
      </w:r>
      <w:r w:rsidR="008B35E8">
        <w:rPr>
          <w:noProof/>
        </w:rPr>
        <w:t> </w:t>
      </w:r>
      <w:r w:rsidR="008B35E8" w:rsidRPr="002866E5">
        <w:rPr>
          <w:noProof/>
        </w:rPr>
        <w:t>pra</w:t>
      </w:r>
      <w:r w:rsidR="00AB5807" w:rsidRPr="002866E5">
        <w:rPr>
          <w:noProof/>
        </w:rPr>
        <w:t>cach tego zespołu bezpośrednio lub za pośrednictwem wyznaczonych przedstawicieli.</w:t>
      </w:r>
    </w:p>
    <w:p w14:paraId="67ED8866" w14:textId="77777777" w:rsidR="00E11B6F" w:rsidRPr="002866E5" w:rsidRDefault="00E11B6F" w:rsidP="0027065F">
      <w:pPr>
        <w:pStyle w:val="Titrearticle0"/>
        <w:rPr>
          <w:b/>
          <w:noProof/>
        </w:rPr>
      </w:pPr>
      <w:r w:rsidRPr="002866E5">
        <w:rPr>
          <w:b/>
          <w:i w:val="0"/>
          <w:noProof/>
        </w:rPr>
        <w:lastRenderedPageBreak/>
        <w:t>ROZDZIAŁ V</w:t>
      </w:r>
    </w:p>
    <w:p w14:paraId="67ED8867" w14:textId="77777777" w:rsidR="00E11B6F" w:rsidRPr="002866E5" w:rsidRDefault="00E11B6F" w:rsidP="0027065F">
      <w:pPr>
        <w:pStyle w:val="Titrearticle0"/>
        <w:rPr>
          <w:b/>
          <w:noProof/>
        </w:rPr>
      </w:pPr>
      <w:r w:rsidRPr="002866E5">
        <w:rPr>
          <w:b/>
          <w:i w:val="0"/>
          <w:noProof/>
        </w:rPr>
        <w:t>NADZÓR RYNKU I EGZEKWOWANIE PRZEPISÓW</w:t>
      </w:r>
    </w:p>
    <w:p w14:paraId="67ED8868" w14:textId="4DEB2625" w:rsidR="00632BCA" w:rsidRPr="002866E5" w:rsidRDefault="00632BCA" w:rsidP="0027065F">
      <w:pPr>
        <w:pStyle w:val="Titrearticle0"/>
        <w:rPr>
          <w:noProof/>
        </w:rPr>
      </w:pPr>
      <w:r w:rsidRPr="002866E5">
        <w:rPr>
          <w:noProof/>
        </w:rPr>
        <w:t>Artykuł 41</w:t>
      </w:r>
    </w:p>
    <w:p w14:paraId="67ED8869" w14:textId="6CCA1F11" w:rsidR="0088539F" w:rsidRPr="002866E5" w:rsidRDefault="0088539F" w:rsidP="00084E38">
      <w:pPr>
        <w:jc w:val="center"/>
        <w:rPr>
          <w:i/>
          <w:noProof/>
        </w:rPr>
      </w:pPr>
      <w:r w:rsidRPr="002866E5">
        <w:rPr>
          <w:i/>
          <w:noProof/>
        </w:rPr>
        <w:t>Nadzór rynku</w:t>
      </w:r>
      <w:r w:rsidR="008B35E8" w:rsidRPr="002866E5">
        <w:rPr>
          <w:i/>
          <w:noProof/>
        </w:rPr>
        <w:t xml:space="preserve"> i</w:t>
      </w:r>
      <w:r w:rsidR="008B35E8">
        <w:rPr>
          <w:i/>
          <w:noProof/>
        </w:rPr>
        <w:t> </w:t>
      </w:r>
      <w:r w:rsidR="008B35E8" w:rsidRPr="002866E5">
        <w:rPr>
          <w:i/>
          <w:noProof/>
        </w:rPr>
        <w:t>kon</w:t>
      </w:r>
      <w:r w:rsidRPr="002866E5">
        <w:rPr>
          <w:i/>
          <w:noProof/>
        </w:rPr>
        <w:t>trola produktów</w:t>
      </w:r>
      <w:r w:rsidR="008B35E8" w:rsidRPr="002866E5">
        <w:rPr>
          <w:i/>
          <w:noProof/>
        </w:rPr>
        <w:t xml:space="preserve"> z</w:t>
      </w:r>
      <w:r w:rsidR="008B35E8">
        <w:rPr>
          <w:i/>
          <w:noProof/>
        </w:rPr>
        <w:t> </w:t>
      </w:r>
      <w:r w:rsidR="008B35E8" w:rsidRPr="002866E5">
        <w:rPr>
          <w:i/>
          <w:noProof/>
        </w:rPr>
        <w:t>ele</w:t>
      </w:r>
      <w:r w:rsidRPr="002866E5">
        <w:rPr>
          <w:i/>
          <w:noProof/>
        </w:rPr>
        <w:t>mentami cyfrowymi na rynku Unii</w:t>
      </w:r>
    </w:p>
    <w:p w14:paraId="67ED886A" w14:textId="0CAA61A6" w:rsidR="0088539F" w:rsidRPr="002866E5" w:rsidRDefault="00B4087C" w:rsidP="00B4087C">
      <w:pPr>
        <w:pStyle w:val="ManualNumPar1"/>
        <w:rPr>
          <w:noProof/>
        </w:rPr>
      </w:pPr>
      <w:r w:rsidRPr="00B4087C">
        <w:t>1.</w:t>
      </w:r>
      <w:r w:rsidRPr="00B4087C">
        <w:tab/>
      </w:r>
      <w:r w:rsidR="0088539F" w:rsidRPr="002866E5">
        <w:rPr>
          <w:noProof/>
        </w:rPr>
        <w:t>W odniesieniu do produktów</w:t>
      </w:r>
      <w:r w:rsidR="008B35E8" w:rsidRPr="002866E5">
        <w:rPr>
          <w:noProof/>
        </w:rPr>
        <w:t xml:space="preserve"> z</w:t>
      </w:r>
      <w:r w:rsidR="008B35E8">
        <w:rPr>
          <w:noProof/>
        </w:rPr>
        <w:t> </w:t>
      </w:r>
      <w:r w:rsidR="008B35E8" w:rsidRPr="002866E5">
        <w:rPr>
          <w:noProof/>
        </w:rPr>
        <w:t>ele</w:t>
      </w:r>
      <w:r w:rsidR="0088539F" w:rsidRPr="002866E5">
        <w:rPr>
          <w:noProof/>
        </w:rPr>
        <w:t xml:space="preserve">mentami cyfrowymi objętych zakresem niniejszego rozporządzenia zastosowanie mają przepisy rozporządzenia (UE) 2019/1020. </w:t>
      </w:r>
    </w:p>
    <w:p w14:paraId="67ED886B" w14:textId="3590BCDE" w:rsidR="009D3E22" w:rsidRPr="002866E5" w:rsidRDefault="00B4087C" w:rsidP="00B4087C">
      <w:pPr>
        <w:pStyle w:val="ManualNumPar1"/>
        <w:rPr>
          <w:noProof/>
        </w:rPr>
      </w:pPr>
      <w:r w:rsidRPr="00B4087C">
        <w:t>2.</w:t>
      </w:r>
      <w:r w:rsidRPr="00B4087C">
        <w:tab/>
      </w:r>
      <w:r w:rsidR="008F2E93" w:rsidRPr="002866E5">
        <w:rPr>
          <w:noProof/>
        </w:rPr>
        <w:t>Każde państwo członkowskie wyznacza co najmniej jeden organ nadzoru rynku do celów zapewnienia skutecznego wdrażania niniejszego rozporządzenia. Państwa członkowskie mogą wyznaczyć istniejący lub nowy organ, który będzie pełnił funkcję organu nadzoru rynku do celów niniejszego rozporządzenia.</w:t>
      </w:r>
    </w:p>
    <w:p w14:paraId="67ED886C" w14:textId="4CE2D84C" w:rsidR="00E54C23" w:rsidRPr="002866E5" w:rsidRDefault="00B4087C" w:rsidP="00B4087C">
      <w:pPr>
        <w:pStyle w:val="ManualNumPar1"/>
        <w:rPr>
          <w:noProof/>
        </w:rPr>
      </w:pPr>
      <w:r w:rsidRPr="00B4087C">
        <w:t>3.</w:t>
      </w:r>
      <w:r w:rsidRPr="00B4087C">
        <w:tab/>
      </w:r>
      <w:r w:rsidR="001C0DA3" w:rsidRPr="002866E5">
        <w:rPr>
          <w:noProof/>
        </w:rPr>
        <w:t>W stosownych przypadkach organy nadzoru rynku współpracują</w:t>
      </w:r>
      <w:r w:rsidR="008B35E8" w:rsidRPr="002866E5">
        <w:rPr>
          <w:noProof/>
        </w:rPr>
        <w:t xml:space="preserve"> z</w:t>
      </w:r>
      <w:r w:rsidR="008B35E8">
        <w:rPr>
          <w:noProof/>
        </w:rPr>
        <w:t> </w:t>
      </w:r>
      <w:r w:rsidR="008B35E8" w:rsidRPr="002866E5">
        <w:rPr>
          <w:noProof/>
        </w:rPr>
        <w:t>kra</w:t>
      </w:r>
      <w:r w:rsidR="001C0DA3" w:rsidRPr="002866E5">
        <w:rPr>
          <w:noProof/>
        </w:rPr>
        <w:t xml:space="preserve">jowymi organami ds. certyfikacji cyberbezpieczeństwa wyznaczonymi na podstawie </w:t>
      </w:r>
      <w:r w:rsidR="001C0DA3" w:rsidRPr="008B35E8">
        <w:rPr>
          <w:noProof/>
        </w:rPr>
        <w:t>art.</w:t>
      </w:r>
      <w:r w:rsidR="008B35E8" w:rsidRPr="008B35E8">
        <w:rPr>
          <w:noProof/>
        </w:rPr>
        <w:t> </w:t>
      </w:r>
      <w:r w:rsidR="001C0DA3" w:rsidRPr="008B35E8">
        <w:rPr>
          <w:noProof/>
        </w:rPr>
        <w:t>5</w:t>
      </w:r>
      <w:r w:rsidR="001C0DA3" w:rsidRPr="002866E5">
        <w:rPr>
          <w:noProof/>
        </w:rPr>
        <w:t>8 rozporządzenia (UE) 2019/881</w:t>
      </w:r>
      <w:r w:rsidR="008B35E8" w:rsidRPr="002866E5">
        <w:rPr>
          <w:noProof/>
        </w:rPr>
        <w:t xml:space="preserve"> i</w:t>
      </w:r>
      <w:r w:rsidR="008B35E8">
        <w:rPr>
          <w:noProof/>
        </w:rPr>
        <w:t> </w:t>
      </w:r>
      <w:r w:rsidR="008B35E8" w:rsidRPr="002866E5">
        <w:rPr>
          <w:noProof/>
        </w:rPr>
        <w:t>reg</w:t>
      </w:r>
      <w:r w:rsidR="001C0DA3" w:rsidRPr="002866E5">
        <w:rPr>
          <w:noProof/>
        </w:rPr>
        <w:t>ularnie wymieniają informacje. Wyznaczone organy nadzoru rynku współpracują z ENISA</w:t>
      </w:r>
      <w:r w:rsidR="008B35E8" w:rsidRPr="002866E5">
        <w:rPr>
          <w:noProof/>
        </w:rPr>
        <w:t xml:space="preserve"> w</w:t>
      </w:r>
      <w:r w:rsidR="008B35E8">
        <w:rPr>
          <w:noProof/>
        </w:rPr>
        <w:t> </w:t>
      </w:r>
      <w:r w:rsidR="008B35E8" w:rsidRPr="002866E5">
        <w:rPr>
          <w:noProof/>
        </w:rPr>
        <w:t>odn</w:t>
      </w:r>
      <w:r w:rsidR="001C0DA3" w:rsidRPr="002866E5">
        <w:rPr>
          <w:noProof/>
        </w:rPr>
        <w:t>iesieniu do nadzoru nad realizacją obowiązków</w:t>
      </w:r>
      <w:r w:rsidR="008B35E8" w:rsidRPr="002866E5">
        <w:rPr>
          <w:noProof/>
        </w:rPr>
        <w:t xml:space="preserve"> w</w:t>
      </w:r>
      <w:r w:rsidR="008B35E8">
        <w:rPr>
          <w:noProof/>
        </w:rPr>
        <w:t> </w:t>
      </w:r>
      <w:r w:rsidR="008B35E8" w:rsidRPr="002866E5">
        <w:rPr>
          <w:noProof/>
        </w:rPr>
        <w:t>zak</w:t>
      </w:r>
      <w:r w:rsidR="001C0DA3" w:rsidRPr="002866E5">
        <w:rPr>
          <w:noProof/>
        </w:rPr>
        <w:t>resie zgłaszania incydentów,</w:t>
      </w:r>
      <w:r w:rsidR="008B35E8" w:rsidRPr="002866E5">
        <w:rPr>
          <w:noProof/>
        </w:rPr>
        <w:t xml:space="preserve"> o</w:t>
      </w:r>
      <w:r w:rsidR="008B35E8">
        <w:rPr>
          <w:noProof/>
        </w:rPr>
        <w:t> </w:t>
      </w:r>
      <w:r w:rsidR="008B35E8" w:rsidRPr="002866E5">
        <w:rPr>
          <w:noProof/>
        </w:rPr>
        <w:t>któ</w:t>
      </w:r>
      <w:r w:rsidR="001C0DA3" w:rsidRPr="002866E5">
        <w:rPr>
          <w:noProof/>
        </w:rPr>
        <w:t>rych mowa</w:t>
      </w:r>
      <w:r w:rsidR="008B35E8" w:rsidRPr="002866E5">
        <w:rPr>
          <w:noProof/>
        </w:rPr>
        <w:t xml:space="preserve"> w</w:t>
      </w:r>
      <w:r w:rsidR="008B35E8">
        <w:rPr>
          <w:noProof/>
        </w:rPr>
        <w:t> </w:t>
      </w:r>
      <w:r w:rsidR="008B35E8" w:rsidRPr="008B35E8">
        <w:rPr>
          <w:noProof/>
        </w:rPr>
        <w:t>art</w:t>
      </w:r>
      <w:r w:rsidR="001C0DA3" w:rsidRPr="008B35E8">
        <w:rPr>
          <w:noProof/>
        </w:rPr>
        <w:t>.</w:t>
      </w:r>
      <w:r w:rsidR="008B35E8" w:rsidRPr="008B35E8">
        <w:rPr>
          <w:noProof/>
        </w:rPr>
        <w:t> </w:t>
      </w:r>
      <w:r w:rsidR="001C0DA3" w:rsidRPr="008B35E8">
        <w:rPr>
          <w:noProof/>
        </w:rPr>
        <w:t>1</w:t>
      </w:r>
      <w:r w:rsidR="001C0DA3" w:rsidRPr="002866E5">
        <w:rPr>
          <w:noProof/>
        </w:rPr>
        <w:t>1 niniejszego rozporządzenia.</w:t>
      </w:r>
    </w:p>
    <w:p w14:paraId="67ED886D" w14:textId="14604925" w:rsidR="00E54C23" w:rsidRPr="002866E5" w:rsidRDefault="00B4087C" w:rsidP="00B4087C">
      <w:pPr>
        <w:pStyle w:val="ManualNumPar1"/>
        <w:rPr>
          <w:noProof/>
        </w:rPr>
      </w:pPr>
      <w:r w:rsidRPr="00B4087C">
        <w:t>4.</w:t>
      </w:r>
      <w:r w:rsidRPr="00B4087C">
        <w:tab/>
      </w:r>
      <w:r w:rsidR="00E003FD" w:rsidRPr="002866E5">
        <w:rPr>
          <w:noProof/>
        </w:rPr>
        <w:t>W stosownych przypadkach organy nadzoru rynku współpracują</w:t>
      </w:r>
      <w:r w:rsidR="008B35E8" w:rsidRPr="002866E5">
        <w:rPr>
          <w:noProof/>
        </w:rPr>
        <w:t xml:space="preserve"> z</w:t>
      </w:r>
      <w:r w:rsidR="008B35E8">
        <w:rPr>
          <w:noProof/>
        </w:rPr>
        <w:t> </w:t>
      </w:r>
      <w:r w:rsidR="008B35E8" w:rsidRPr="002866E5">
        <w:rPr>
          <w:noProof/>
        </w:rPr>
        <w:t>inn</w:t>
      </w:r>
      <w:r w:rsidR="00E003FD" w:rsidRPr="002866E5">
        <w:rPr>
          <w:noProof/>
        </w:rPr>
        <w:t>ymi organami nadzoru rynku wyznaczonymi na podstawie innego unijnego prawodawstwa harmonizacyjnego dotyczącego innych produktów oraz regularnie wymieniają informacje.</w:t>
      </w:r>
    </w:p>
    <w:p w14:paraId="67ED886E" w14:textId="4307915C" w:rsidR="003E4A09" w:rsidRPr="002866E5" w:rsidRDefault="00B4087C" w:rsidP="00B4087C">
      <w:pPr>
        <w:pStyle w:val="ManualNumPar1"/>
        <w:rPr>
          <w:noProof/>
        </w:rPr>
      </w:pPr>
      <w:r w:rsidRPr="00B4087C">
        <w:t>5.</w:t>
      </w:r>
      <w:r w:rsidRPr="00B4087C">
        <w:tab/>
      </w:r>
      <w:r w:rsidR="006F20B0" w:rsidRPr="002866E5">
        <w:rPr>
          <w:noProof/>
        </w:rPr>
        <w:t>W stosownych przypadkach organy nadzoru rynku współpracują</w:t>
      </w:r>
      <w:r w:rsidR="008B35E8" w:rsidRPr="002866E5">
        <w:rPr>
          <w:noProof/>
        </w:rPr>
        <w:t xml:space="preserve"> z</w:t>
      </w:r>
      <w:r w:rsidR="008B35E8">
        <w:rPr>
          <w:noProof/>
        </w:rPr>
        <w:t> </w:t>
      </w:r>
      <w:r w:rsidR="008B35E8" w:rsidRPr="002866E5">
        <w:rPr>
          <w:noProof/>
        </w:rPr>
        <w:t>org</w:t>
      </w:r>
      <w:r w:rsidR="006F20B0" w:rsidRPr="002866E5">
        <w:rPr>
          <w:noProof/>
        </w:rPr>
        <w:t>anami nadzorującymi egzekwowanie unijnych przepisów</w:t>
      </w:r>
      <w:r w:rsidR="008B35E8" w:rsidRPr="002866E5">
        <w:rPr>
          <w:noProof/>
        </w:rPr>
        <w:t xml:space="preserve"> o</w:t>
      </w:r>
      <w:r w:rsidR="008B35E8">
        <w:rPr>
          <w:noProof/>
        </w:rPr>
        <w:t> </w:t>
      </w:r>
      <w:r w:rsidR="008B35E8" w:rsidRPr="002866E5">
        <w:rPr>
          <w:noProof/>
        </w:rPr>
        <w:t>och</w:t>
      </w:r>
      <w:r w:rsidR="006F20B0" w:rsidRPr="002866E5">
        <w:rPr>
          <w:noProof/>
        </w:rPr>
        <w:t>ronie danych. Taka współpraca obejmuje informowanie tych organów</w:t>
      </w:r>
      <w:r w:rsidR="008B35E8" w:rsidRPr="002866E5">
        <w:rPr>
          <w:noProof/>
        </w:rPr>
        <w:t xml:space="preserve"> o</w:t>
      </w:r>
      <w:r w:rsidR="008B35E8">
        <w:rPr>
          <w:noProof/>
        </w:rPr>
        <w:t> </w:t>
      </w:r>
      <w:r w:rsidR="008B35E8" w:rsidRPr="002866E5">
        <w:rPr>
          <w:noProof/>
        </w:rPr>
        <w:t>wsz</w:t>
      </w:r>
      <w:r w:rsidR="006F20B0" w:rsidRPr="002866E5">
        <w:rPr>
          <w:noProof/>
        </w:rPr>
        <w:t>elkich ustaleniach istotnych dla wykonywania zadań leżących</w:t>
      </w:r>
      <w:r w:rsidR="008B35E8" w:rsidRPr="002866E5">
        <w:rPr>
          <w:noProof/>
        </w:rPr>
        <w:t xml:space="preserve"> w</w:t>
      </w:r>
      <w:r w:rsidR="008B35E8">
        <w:rPr>
          <w:noProof/>
        </w:rPr>
        <w:t> </w:t>
      </w:r>
      <w:r w:rsidR="008B35E8" w:rsidRPr="002866E5">
        <w:rPr>
          <w:noProof/>
        </w:rPr>
        <w:t>ich</w:t>
      </w:r>
      <w:r w:rsidR="006F20B0" w:rsidRPr="002866E5">
        <w:rPr>
          <w:noProof/>
        </w:rPr>
        <w:t xml:space="preserve"> kompetencjach,</w:t>
      </w:r>
      <w:r w:rsidR="008B35E8" w:rsidRPr="002866E5">
        <w:rPr>
          <w:noProof/>
        </w:rPr>
        <w:t xml:space="preserve"> w</w:t>
      </w:r>
      <w:r w:rsidR="008B35E8">
        <w:rPr>
          <w:noProof/>
        </w:rPr>
        <w:t> </w:t>
      </w:r>
      <w:r w:rsidR="008B35E8" w:rsidRPr="002866E5">
        <w:rPr>
          <w:noProof/>
        </w:rPr>
        <w:t>tym</w:t>
      </w:r>
      <w:r w:rsidR="006F20B0" w:rsidRPr="002866E5">
        <w:rPr>
          <w:noProof/>
        </w:rPr>
        <w:t xml:space="preserve"> przy wydawaniu wskazówek</w:t>
      </w:r>
      <w:r w:rsidR="008B35E8" w:rsidRPr="002866E5">
        <w:rPr>
          <w:noProof/>
        </w:rPr>
        <w:t xml:space="preserve"> i</w:t>
      </w:r>
      <w:r w:rsidR="008B35E8">
        <w:rPr>
          <w:noProof/>
        </w:rPr>
        <w:t> </w:t>
      </w:r>
      <w:r w:rsidR="008B35E8" w:rsidRPr="002866E5">
        <w:rPr>
          <w:noProof/>
        </w:rPr>
        <w:t>por</w:t>
      </w:r>
      <w:r w:rsidR="006F20B0" w:rsidRPr="002866E5">
        <w:rPr>
          <w:noProof/>
        </w:rPr>
        <w:t xml:space="preserve">ad na podstawie </w:t>
      </w:r>
      <w:r w:rsidR="006F20B0" w:rsidRPr="008B35E8">
        <w:rPr>
          <w:noProof/>
        </w:rPr>
        <w:t>ust.</w:t>
      </w:r>
      <w:r w:rsidR="008B35E8" w:rsidRPr="008B35E8">
        <w:rPr>
          <w:noProof/>
        </w:rPr>
        <w:t> </w:t>
      </w:r>
      <w:r w:rsidR="006F20B0" w:rsidRPr="008B35E8">
        <w:rPr>
          <w:noProof/>
        </w:rPr>
        <w:t>8</w:t>
      </w:r>
      <w:r w:rsidR="006F20B0" w:rsidRPr="002866E5">
        <w:rPr>
          <w:noProof/>
        </w:rPr>
        <w:t xml:space="preserve"> niniejszego artykułu, jeżeli takie wskazówki</w:t>
      </w:r>
      <w:r w:rsidR="008B35E8" w:rsidRPr="002866E5">
        <w:rPr>
          <w:noProof/>
        </w:rPr>
        <w:t xml:space="preserve"> i</w:t>
      </w:r>
      <w:r w:rsidR="008B35E8">
        <w:rPr>
          <w:noProof/>
        </w:rPr>
        <w:t> </w:t>
      </w:r>
      <w:r w:rsidR="008B35E8" w:rsidRPr="002866E5">
        <w:rPr>
          <w:noProof/>
        </w:rPr>
        <w:t>por</w:t>
      </w:r>
      <w:r w:rsidR="006F20B0" w:rsidRPr="002866E5">
        <w:rPr>
          <w:noProof/>
        </w:rPr>
        <w:t>ady dotyczą przetwarzania danych osobowych.</w:t>
      </w:r>
    </w:p>
    <w:p w14:paraId="67ED886F" w14:textId="49C99F5B" w:rsidR="006F20B0" w:rsidRPr="002866E5" w:rsidRDefault="003E4A09" w:rsidP="0027065F">
      <w:pPr>
        <w:pStyle w:val="Text1"/>
        <w:rPr>
          <w:noProof/>
        </w:rPr>
      </w:pPr>
      <w:r w:rsidRPr="002866E5">
        <w:rPr>
          <w:noProof/>
        </w:rPr>
        <w:t>Organy nadzorujące egzekwowanie unijnych przepisów</w:t>
      </w:r>
      <w:r w:rsidR="008B35E8" w:rsidRPr="002866E5">
        <w:rPr>
          <w:noProof/>
        </w:rPr>
        <w:t xml:space="preserve"> o</w:t>
      </w:r>
      <w:r w:rsidR="008B35E8">
        <w:rPr>
          <w:noProof/>
        </w:rPr>
        <w:t> </w:t>
      </w:r>
      <w:r w:rsidR="008B35E8" w:rsidRPr="002866E5">
        <w:rPr>
          <w:noProof/>
        </w:rPr>
        <w:t>och</w:t>
      </w:r>
      <w:r w:rsidRPr="002866E5">
        <w:rPr>
          <w:noProof/>
        </w:rPr>
        <w:t>ronie danych są uprawnione do żądania dostępu do wszelkiej dokumentacji sporządzonej lub prowadzonej na podstawie niniejszego rozporządzenia, jeżeli dostęp do tej dokumentacji jest niezbędny do wykonywania ich zadań. Organy te informują wyznaczone organy nadzoru rynku danego państwa członkowskiego</w:t>
      </w:r>
      <w:r w:rsidR="008B35E8" w:rsidRPr="002866E5">
        <w:rPr>
          <w:noProof/>
        </w:rPr>
        <w:t xml:space="preserve"> o</w:t>
      </w:r>
      <w:r w:rsidR="008B35E8">
        <w:rPr>
          <w:noProof/>
        </w:rPr>
        <w:t> </w:t>
      </w:r>
      <w:r w:rsidR="008B35E8" w:rsidRPr="002866E5">
        <w:rPr>
          <w:noProof/>
        </w:rPr>
        <w:t>każ</w:t>
      </w:r>
      <w:r w:rsidRPr="002866E5">
        <w:rPr>
          <w:noProof/>
        </w:rPr>
        <w:t>dym takim żądaniu.</w:t>
      </w:r>
    </w:p>
    <w:p w14:paraId="67ED8870" w14:textId="0A8FA05C" w:rsidR="008F2E93" w:rsidRPr="002866E5" w:rsidRDefault="00B4087C" w:rsidP="00B4087C">
      <w:pPr>
        <w:pStyle w:val="ManualNumPar1"/>
        <w:rPr>
          <w:noProof/>
        </w:rPr>
      </w:pPr>
      <w:r w:rsidRPr="00B4087C">
        <w:t>6.</w:t>
      </w:r>
      <w:r w:rsidRPr="00B4087C">
        <w:tab/>
      </w:r>
      <w:r w:rsidR="008F2E93" w:rsidRPr="002866E5">
        <w:rPr>
          <w:noProof/>
        </w:rPr>
        <w:t>Państwa członkowskie zapewniają, aby wyznaczone organy nadzoru rynku dysponowały odpowiednimi zasobami finansowymi</w:t>
      </w:r>
      <w:r w:rsidR="008B35E8" w:rsidRPr="002866E5">
        <w:rPr>
          <w:noProof/>
        </w:rPr>
        <w:t xml:space="preserve"> i</w:t>
      </w:r>
      <w:r w:rsidR="008B35E8">
        <w:rPr>
          <w:noProof/>
        </w:rPr>
        <w:t> </w:t>
      </w:r>
      <w:r w:rsidR="008B35E8" w:rsidRPr="002866E5">
        <w:rPr>
          <w:noProof/>
        </w:rPr>
        <w:t>lud</w:t>
      </w:r>
      <w:r w:rsidR="008F2E93" w:rsidRPr="002866E5">
        <w:rPr>
          <w:noProof/>
        </w:rPr>
        <w:t>zkimi umożliwiającymi im wykonywanie zadań powierzonych im zgodnie</w:t>
      </w:r>
      <w:r w:rsidR="008B35E8" w:rsidRPr="002866E5">
        <w:rPr>
          <w:noProof/>
        </w:rPr>
        <w:t xml:space="preserve"> z</w:t>
      </w:r>
      <w:r w:rsidR="008B35E8">
        <w:rPr>
          <w:noProof/>
        </w:rPr>
        <w:t> </w:t>
      </w:r>
      <w:r w:rsidR="008B35E8" w:rsidRPr="002866E5">
        <w:rPr>
          <w:noProof/>
        </w:rPr>
        <w:t>nin</w:t>
      </w:r>
      <w:r w:rsidR="008F2E93" w:rsidRPr="002866E5">
        <w:rPr>
          <w:noProof/>
        </w:rPr>
        <w:t>iejszym rozporządzeniem.</w:t>
      </w:r>
    </w:p>
    <w:p w14:paraId="67ED8871" w14:textId="352C9652" w:rsidR="008F2E93" w:rsidRPr="002866E5" w:rsidRDefault="00B4087C" w:rsidP="00B4087C">
      <w:pPr>
        <w:pStyle w:val="ManualNumPar1"/>
        <w:rPr>
          <w:noProof/>
        </w:rPr>
      </w:pPr>
      <w:r w:rsidRPr="00B4087C">
        <w:t>7.</w:t>
      </w:r>
      <w:r w:rsidRPr="00B4087C">
        <w:tab/>
      </w:r>
      <w:r w:rsidR="008F2E93" w:rsidRPr="002866E5">
        <w:rPr>
          <w:noProof/>
        </w:rPr>
        <w:t>Komisja sprzyja wymianie doświadczeń między wyznaczonymi organami nadzoru rynku.</w:t>
      </w:r>
    </w:p>
    <w:p w14:paraId="67ED8872" w14:textId="1243269A" w:rsidR="008F2E93" w:rsidRPr="002866E5" w:rsidRDefault="00B4087C" w:rsidP="00B4087C">
      <w:pPr>
        <w:pStyle w:val="ManualNumPar1"/>
        <w:rPr>
          <w:noProof/>
        </w:rPr>
      </w:pPr>
      <w:r w:rsidRPr="00B4087C">
        <w:t>8.</w:t>
      </w:r>
      <w:r w:rsidRPr="00B4087C">
        <w:tab/>
      </w:r>
      <w:r w:rsidR="00B94C48" w:rsidRPr="002866E5">
        <w:rPr>
          <w:noProof/>
        </w:rPr>
        <w:t>Organy nadzoru rynku mogą udzielać podmiotom gospodarczym wskazówek</w:t>
      </w:r>
      <w:r w:rsidR="008B35E8" w:rsidRPr="002866E5">
        <w:rPr>
          <w:noProof/>
        </w:rPr>
        <w:t xml:space="preserve"> i</w:t>
      </w:r>
      <w:r w:rsidR="008B35E8">
        <w:rPr>
          <w:noProof/>
        </w:rPr>
        <w:t> </w:t>
      </w:r>
      <w:r w:rsidR="008B35E8" w:rsidRPr="002866E5">
        <w:rPr>
          <w:noProof/>
        </w:rPr>
        <w:t>por</w:t>
      </w:r>
      <w:r w:rsidR="00B94C48" w:rsidRPr="002866E5">
        <w:rPr>
          <w:noProof/>
        </w:rPr>
        <w:t xml:space="preserve">ad dotyczących wdrażania niniejszego rozporządzenia, przy wsparciu Komisji. </w:t>
      </w:r>
    </w:p>
    <w:p w14:paraId="67ED8873" w14:textId="728FD09E" w:rsidR="007B4B75" w:rsidRPr="002866E5" w:rsidRDefault="00B4087C" w:rsidP="00B4087C">
      <w:pPr>
        <w:pStyle w:val="ManualNumPar1"/>
        <w:rPr>
          <w:noProof/>
        </w:rPr>
      </w:pPr>
      <w:r w:rsidRPr="00B4087C">
        <w:t>9.</w:t>
      </w:r>
      <w:r w:rsidRPr="00B4087C">
        <w:tab/>
      </w:r>
      <w:r w:rsidR="0088539F" w:rsidRPr="002866E5">
        <w:rPr>
          <w:noProof/>
        </w:rPr>
        <w:t>Organy nadzoru rynku przekazują Komisji coroczne sprawozdania dotyczące rezultatów stosownych działań</w:t>
      </w:r>
      <w:r w:rsidR="008B35E8" w:rsidRPr="002866E5">
        <w:rPr>
          <w:noProof/>
        </w:rPr>
        <w:t xml:space="preserve"> w</w:t>
      </w:r>
      <w:r w:rsidR="008B35E8">
        <w:rPr>
          <w:noProof/>
        </w:rPr>
        <w:t> </w:t>
      </w:r>
      <w:r w:rsidR="008B35E8" w:rsidRPr="002866E5">
        <w:rPr>
          <w:noProof/>
        </w:rPr>
        <w:t>zak</w:t>
      </w:r>
      <w:r w:rsidR="0088539F" w:rsidRPr="002866E5">
        <w:rPr>
          <w:noProof/>
        </w:rPr>
        <w:t>resie nadzoru rynku. Wyznaczone organy nadzoru rynku niezwłocznie przekazują Komisji</w:t>
      </w:r>
      <w:r w:rsidR="008B35E8" w:rsidRPr="002866E5">
        <w:rPr>
          <w:noProof/>
        </w:rPr>
        <w:t xml:space="preserve"> i</w:t>
      </w:r>
      <w:r w:rsidR="008B35E8">
        <w:rPr>
          <w:noProof/>
        </w:rPr>
        <w:t> </w:t>
      </w:r>
      <w:r w:rsidR="008B35E8" w:rsidRPr="002866E5">
        <w:rPr>
          <w:noProof/>
        </w:rPr>
        <w:t>odp</w:t>
      </w:r>
      <w:r w:rsidR="0088539F" w:rsidRPr="002866E5">
        <w:rPr>
          <w:noProof/>
        </w:rPr>
        <w:t xml:space="preserve">owiednim krajowym organom </w:t>
      </w:r>
      <w:r w:rsidR="0088539F" w:rsidRPr="002866E5">
        <w:rPr>
          <w:noProof/>
        </w:rPr>
        <w:lastRenderedPageBreak/>
        <w:t>ochrony konkurencji wszelkie informacje zgromadzone</w:t>
      </w:r>
      <w:r w:rsidR="008B35E8" w:rsidRPr="002866E5">
        <w:rPr>
          <w:noProof/>
        </w:rPr>
        <w:t xml:space="preserve"> w</w:t>
      </w:r>
      <w:r w:rsidR="008B35E8">
        <w:rPr>
          <w:noProof/>
        </w:rPr>
        <w:t> </w:t>
      </w:r>
      <w:r w:rsidR="008B35E8" w:rsidRPr="002866E5">
        <w:rPr>
          <w:noProof/>
        </w:rPr>
        <w:t>tra</w:t>
      </w:r>
      <w:r w:rsidR="0088539F" w:rsidRPr="002866E5">
        <w:rPr>
          <w:noProof/>
        </w:rPr>
        <w:t>kcie podejmowania działań</w:t>
      </w:r>
      <w:r w:rsidR="008B35E8" w:rsidRPr="002866E5">
        <w:rPr>
          <w:noProof/>
        </w:rPr>
        <w:t xml:space="preserve"> w</w:t>
      </w:r>
      <w:r w:rsidR="008B35E8">
        <w:rPr>
          <w:noProof/>
        </w:rPr>
        <w:t> </w:t>
      </w:r>
      <w:r w:rsidR="008B35E8" w:rsidRPr="002866E5">
        <w:rPr>
          <w:noProof/>
        </w:rPr>
        <w:t>zak</w:t>
      </w:r>
      <w:r w:rsidR="0088539F" w:rsidRPr="002866E5">
        <w:rPr>
          <w:noProof/>
        </w:rPr>
        <w:t>resie nadzoru rynku, które mogą okazać się istotne</w:t>
      </w:r>
      <w:r w:rsidR="008B35E8" w:rsidRPr="002866E5">
        <w:rPr>
          <w:noProof/>
        </w:rPr>
        <w:t xml:space="preserve"> z</w:t>
      </w:r>
      <w:r w:rsidR="008B35E8">
        <w:rPr>
          <w:noProof/>
        </w:rPr>
        <w:t> </w:t>
      </w:r>
      <w:r w:rsidR="008B35E8" w:rsidRPr="002866E5">
        <w:rPr>
          <w:noProof/>
        </w:rPr>
        <w:t>pun</w:t>
      </w:r>
      <w:r w:rsidR="0088539F" w:rsidRPr="002866E5">
        <w:rPr>
          <w:noProof/>
        </w:rPr>
        <w:t>ku widzenia stosowania unijnego prawa konkurencji.</w:t>
      </w:r>
    </w:p>
    <w:p w14:paraId="67ED8874" w14:textId="5AB87C92" w:rsidR="00AB0736" w:rsidRPr="002866E5" w:rsidRDefault="00B4087C" w:rsidP="00B4087C">
      <w:pPr>
        <w:pStyle w:val="ManualNumPar1"/>
        <w:rPr>
          <w:noProof/>
        </w:rPr>
      </w:pPr>
      <w:r w:rsidRPr="00B4087C">
        <w:t>10.</w:t>
      </w:r>
      <w:r w:rsidRPr="00B4087C">
        <w:tab/>
      </w:r>
      <w:r w:rsidR="007B4B75" w:rsidRPr="002866E5">
        <w:rPr>
          <w:noProof/>
        </w:rPr>
        <w:t>W przypadku produktów</w:t>
      </w:r>
      <w:r w:rsidR="008B35E8" w:rsidRPr="002866E5">
        <w:rPr>
          <w:noProof/>
        </w:rPr>
        <w:t xml:space="preserve"> z</w:t>
      </w:r>
      <w:r w:rsidR="008B35E8">
        <w:rPr>
          <w:noProof/>
        </w:rPr>
        <w:t> </w:t>
      </w:r>
      <w:r w:rsidR="008B35E8" w:rsidRPr="002866E5">
        <w:rPr>
          <w:noProof/>
        </w:rPr>
        <w:t>ele</w:t>
      </w:r>
      <w:r w:rsidR="007B4B75" w:rsidRPr="002866E5">
        <w:rPr>
          <w:noProof/>
        </w:rPr>
        <w:t>mentami cyfrowymi objętych zakresem niniejszego rozporządzenia, zaklasyfikowanych jako systemy sztucznej inteligencji wysokiego ryzyka zgodnie</w:t>
      </w:r>
      <w:r w:rsidR="008B35E8" w:rsidRPr="002866E5">
        <w:rPr>
          <w:noProof/>
        </w:rPr>
        <w:t xml:space="preserve"> z</w:t>
      </w:r>
      <w:r w:rsidR="008B35E8">
        <w:rPr>
          <w:noProof/>
        </w:rPr>
        <w:t> </w:t>
      </w:r>
      <w:r w:rsidR="008B35E8" w:rsidRPr="002866E5">
        <w:rPr>
          <w:noProof/>
        </w:rPr>
        <w:t>art</w:t>
      </w:r>
      <w:r w:rsidR="007B4B75" w:rsidRPr="002866E5">
        <w:rPr>
          <w:noProof/>
        </w:rPr>
        <w:t>. [</w:t>
      </w:r>
      <w:r w:rsidR="007B4B75" w:rsidRPr="008B35E8">
        <w:rPr>
          <w:noProof/>
        </w:rPr>
        <w:t>art.</w:t>
      </w:r>
      <w:r w:rsidR="008B35E8" w:rsidRPr="008B35E8">
        <w:rPr>
          <w:noProof/>
        </w:rPr>
        <w:t> </w:t>
      </w:r>
      <w:r w:rsidR="007B4B75" w:rsidRPr="008B35E8">
        <w:rPr>
          <w:noProof/>
        </w:rPr>
        <w:t>6</w:t>
      </w:r>
      <w:r w:rsidR="007B4B75" w:rsidRPr="002866E5">
        <w:rPr>
          <w:noProof/>
        </w:rPr>
        <w:t>] rozporządzenia [rozporządzenia</w:t>
      </w:r>
      <w:r w:rsidR="008B35E8" w:rsidRPr="002866E5">
        <w:rPr>
          <w:noProof/>
        </w:rPr>
        <w:t xml:space="preserve"> w</w:t>
      </w:r>
      <w:r w:rsidR="008B35E8">
        <w:rPr>
          <w:noProof/>
        </w:rPr>
        <w:t> </w:t>
      </w:r>
      <w:r w:rsidR="008B35E8" w:rsidRPr="002866E5">
        <w:rPr>
          <w:noProof/>
        </w:rPr>
        <w:t>spr</w:t>
      </w:r>
      <w:r w:rsidR="007B4B75" w:rsidRPr="002866E5">
        <w:rPr>
          <w:noProof/>
        </w:rPr>
        <w:t>awie sztucznej inteligencji], organy nadzoru rynku wyznaczone do celów rozporządzenia [rozporządzenia</w:t>
      </w:r>
      <w:r w:rsidR="008B35E8" w:rsidRPr="002866E5">
        <w:rPr>
          <w:noProof/>
        </w:rPr>
        <w:t xml:space="preserve"> w</w:t>
      </w:r>
      <w:r w:rsidR="008B35E8">
        <w:rPr>
          <w:noProof/>
        </w:rPr>
        <w:t> </w:t>
      </w:r>
      <w:r w:rsidR="008B35E8" w:rsidRPr="002866E5">
        <w:rPr>
          <w:noProof/>
        </w:rPr>
        <w:t>spr</w:t>
      </w:r>
      <w:r w:rsidR="007B4B75" w:rsidRPr="002866E5">
        <w:rPr>
          <w:noProof/>
        </w:rPr>
        <w:t>awie sztucznej inteligencji] są organami odpowiedzialnymi za działania</w:t>
      </w:r>
      <w:r w:rsidR="008B35E8" w:rsidRPr="002866E5">
        <w:rPr>
          <w:noProof/>
        </w:rPr>
        <w:t xml:space="preserve"> w</w:t>
      </w:r>
      <w:r w:rsidR="008B35E8">
        <w:rPr>
          <w:noProof/>
        </w:rPr>
        <w:t> </w:t>
      </w:r>
      <w:r w:rsidR="008B35E8" w:rsidRPr="002866E5">
        <w:rPr>
          <w:noProof/>
        </w:rPr>
        <w:t>zak</w:t>
      </w:r>
      <w:r w:rsidR="007B4B75" w:rsidRPr="002866E5">
        <w:rPr>
          <w:noProof/>
        </w:rPr>
        <w:t>resie nadzoru rynku wymagane na podstawie niniejszego rozporządzenia</w:t>
      </w:r>
      <w:r w:rsidR="008B35E8" w:rsidRPr="002866E5">
        <w:rPr>
          <w:noProof/>
        </w:rPr>
        <w:t>. W</w:t>
      </w:r>
      <w:r w:rsidR="008B35E8">
        <w:rPr>
          <w:noProof/>
        </w:rPr>
        <w:t> </w:t>
      </w:r>
      <w:r w:rsidR="008B35E8" w:rsidRPr="002866E5">
        <w:rPr>
          <w:noProof/>
        </w:rPr>
        <w:t>sto</w:t>
      </w:r>
      <w:r w:rsidR="007B4B75" w:rsidRPr="002866E5">
        <w:rPr>
          <w:noProof/>
        </w:rPr>
        <w:t>sownych przypadkach organy nadzoru rynku wyznaczone na podstawie rozporządzenia [rozporządzenia</w:t>
      </w:r>
      <w:r w:rsidR="008B35E8" w:rsidRPr="002866E5">
        <w:rPr>
          <w:noProof/>
        </w:rPr>
        <w:t xml:space="preserve"> w</w:t>
      </w:r>
      <w:r w:rsidR="008B35E8">
        <w:rPr>
          <w:noProof/>
        </w:rPr>
        <w:t> </w:t>
      </w:r>
      <w:r w:rsidR="008B35E8" w:rsidRPr="002866E5">
        <w:rPr>
          <w:noProof/>
        </w:rPr>
        <w:t>spr</w:t>
      </w:r>
      <w:r w:rsidR="007B4B75" w:rsidRPr="002866E5">
        <w:rPr>
          <w:noProof/>
        </w:rPr>
        <w:t>awie sztucznej inteligencji] współpracują</w:t>
      </w:r>
      <w:r w:rsidR="008B35E8" w:rsidRPr="002866E5">
        <w:rPr>
          <w:noProof/>
        </w:rPr>
        <w:t xml:space="preserve"> z</w:t>
      </w:r>
      <w:r w:rsidR="008B35E8">
        <w:rPr>
          <w:noProof/>
        </w:rPr>
        <w:t> </w:t>
      </w:r>
      <w:r w:rsidR="008B35E8" w:rsidRPr="002866E5">
        <w:rPr>
          <w:noProof/>
        </w:rPr>
        <w:t>org</w:t>
      </w:r>
      <w:r w:rsidR="007B4B75" w:rsidRPr="002866E5">
        <w:rPr>
          <w:noProof/>
        </w:rPr>
        <w:t>anami nadzoru rynku wyznaczonymi na podstawie niniejszego rozporządzenia oraz,</w:t>
      </w:r>
      <w:r w:rsidR="008B35E8" w:rsidRPr="002866E5">
        <w:rPr>
          <w:noProof/>
        </w:rPr>
        <w:t xml:space="preserve"> w</w:t>
      </w:r>
      <w:r w:rsidR="008B35E8">
        <w:rPr>
          <w:noProof/>
        </w:rPr>
        <w:t> </w:t>
      </w:r>
      <w:r w:rsidR="008B35E8" w:rsidRPr="002866E5">
        <w:rPr>
          <w:noProof/>
        </w:rPr>
        <w:t>odn</w:t>
      </w:r>
      <w:r w:rsidR="007B4B75" w:rsidRPr="002866E5">
        <w:rPr>
          <w:noProof/>
        </w:rPr>
        <w:t>iesieniu do sprawowania nadzoru nad wykonywaniem obowiązków</w:t>
      </w:r>
      <w:r w:rsidR="008B35E8" w:rsidRPr="002866E5">
        <w:rPr>
          <w:noProof/>
        </w:rPr>
        <w:t xml:space="preserve"> w</w:t>
      </w:r>
      <w:r w:rsidR="008B35E8">
        <w:rPr>
          <w:noProof/>
        </w:rPr>
        <w:t> </w:t>
      </w:r>
      <w:r w:rsidR="008B35E8" w:rsidRPr="002866E5">
        <w:rPr>
          <w:noProof/>
        </w:rPr>
        <w:t>zak</w:t>
      </w:r>
      <w:r w:rsidR="007B4B75" w:rsidRPr="002866E5">
        <w:rPr>
          <w:noProof/>
        </w:rPr>
        <w:t>resie zgłaszania incydentów,</w:t>
      </w:r>
      <w:r w:rsidR="008B35E8" w:rsidRPr="002866E5">
        <w:rPr>
          <w:noProof/>
        </w:rPr>
        <w:t xml:space="preserve"> o</w:t>
      </w:r>
      <w:r w:rsidR="008B35E8">
        <w:rPr>
          <w:noProof/>
        </w:rPr>
        <w:t> </w:t>
      </w:r>
      <w:r w:rsidR="008B35E8" w:rsidRPr="002866E5">
        <w:rPr>
          <w:noProof/>
        </w:rPr>
        <w:t>któ</w:t>
      </w:r>
      <w:r w:rsidR="007B4B75" w:rsidRPr="002866E5">
        <w:rPr>
          <w:noProof/>
        </w:rPr>
        <w:t>rych mowa</w:t>
      </w:r>
      <w:r w:rsidR="008B35E8" w:rsidRPr="002866E5">
        <w:rPr>
          <w:noProof/>
        </w:rPr>
        <w:t xml:space="preserve"> w</w:t>
      </w:r>
      <w:r w:rsidR="008B35E8">
        <w:rPr>
          <w:noProof/>
        </w:rPr>
        <w:t> </w:t>
      </w:r>
      <w:r w:rsidR="008B35E8" w:rsidRPr="008B35E8">
        <w:rPr>
          <w:noProof/>
        </w:rPr>
        <w:t>art</w:t>
      </w:r>
      <w:r w:rsidR="007B4B75" w:rsidRPr="008B35E8">
        <w:rPr>
          <w:noProof/>
        </w:rPr>
        <w:t>.</w:t>
      </w:r>
      <w:r w:rsidR="008B35E8" w:rsidRPr="008B35E8">
        <w:rPr>
          <w:noProof/>
        </w:rPr>
        <w:t> </w:t>
      </w:r>
      <w:r w:rsidR="007B4B75" w:rsidRPr="008B35E8">
        <w:rPr>
          <w:noProof/>
        </w:rPr>
        <w:t>1</w:t>
      </w:r>
      <w:r w:rsidR="007B4B75" w:rsidRPr="002866E5">
        <w:rPr>
          <w:noProof/>
        </w:rPr>
        <w:t>1, z ENISA. Organy nadzoru rynku wyznaczone na podstawie rozporządzenia [rozporządzenia</w:t>
      </w:r>
      <w:r w:rsidR="008B35E8" w:rsidRPr="002866E5">
        <w:rPr>
          <w:noProof/>
        </w:rPr>
        <w:t xml:space="preserve"> w</w:t>
      </w:r>
      <w:r w:rsidR="008B35E8">
        <w:rPr>
          <w:noProof/>
        </w:rPr>
        <w:t> </w:t>
      </w:r>
      <w:r w:rsidR="008B35E8" w:rsidRPr="002866E5">
        <w:rPr>
          <w:noProof/>
        </w:rPr>
        <w:t>spr</w:t>
      </w:r>
      <w:r w:rsidR="007B4B75" w:rsidRPr="002866E5">
        <w:rPr>
          <w:noProof/>
        </w:rPr>
        <w:t>awie sztucznej inteligencji] informują</w:t>
      </w:r>
      <w:r w:rsidR="008B35E8" w:rsidRPr="002866E5">
        <w:rPr>
          <w:noProof/>
        </w:rPr>
        <w:t xml:space="preserve"> w</w:t>
      </w:r>
      <w:r w:rsidR="008B35E8">
        <w:rPr>
          <w:noProof/>
        </w:rPr>
        <w:t> </w:t>
      </w:r>
      <w:r w:rsidR="008B35E8" w:rsidRPr="002866E5">
        <w:rPr>
          <w:noProof/>
        </w:rPr>
        <w:t>szc</w:t>
      </w:r>
      <w:r w:rsidR="007B4B75" w:rsidRPr="002866E5">
        <w:rPr>
          <w:noProof/>
        </w:rPr>
        <w:t>zególności organy nadzoru rynku wyznaczone na podstawie niniejszego rozporządzenia</w:t>
      </w:r>
      <w:r w:rsidR="008B35E8" w:rsidRPr="002866E5">
        <w:rPr>
          <w:noProof/>
        </w:rPr>
        <w:t xml:space="preserve"> o</w:t>
      </w:r>
      <w:r w:rsidR="008B35E8">
        <w:rPr>
          <w:noProof/>
        </w:rPr>
        <w:t> </w:t>
      </w:r>
      <w:r w:rsidR="008B35E8" w:rsidRPr="002866E5">
        <w:rPr>
          <w:noProof/>
        </w:rPr>
        <w:t>wsz</w:t>
      </w:r>
      <w:r w:rsidR="007B4B75" w:rsidRPr="002866E5">
        <w:rPr>
          <w:noProof/>
        </w:rPr>
        <w:t>elkich ustaleniach istotnych dla realizacji ich zadań związanych</w:t>
      </w:r>
      <w:r w:rsidR="008B35E8" w:rsidRPr="002866E5">
        <w:rPr>
          <w:noProof/>
        </w:rPr>
        <w:t xml:space="preserve"> z</w:t>
      </w:r>
      <w:r w:rsidR="008B35E8">
        <w:rPr>
          <w:noProof/>
        </w:rPr>
        <w:t> </w:t>
      </w:r>
      <w:r w:rsidR="008B35E8" w:rsidRPr="002866E5">
        <w:rPr>
          <w:noProof/>
        </w:rPr>
        <w:t>wdr</w:t>
      </w:r>
      <w:r w:rsidR="007B4B75" w:rsidRPr="002866E5">
        <w:rPr>
          <w:noProof/>
        </w:rPr>
        <w:t>ożeniem niniejszego rozporządzenia.</w:t>
      </w:r>
    </w:p>
    <w:p w14:paraId="67ED8875" w14:textId="73172A23" w:rsidR="007B4B75" w:rsidRPr="002866E5" w:rsidRDefault="00B4087C" w:rsidP="00B4087C">
      <w:pPr>
        <w:pStyle w:val="ManualNumPar1"/>
        <w:rPr>
          <w:noProof/>
        </w:rPr>
      </w:pPr>
      <w:r w:rsidRPr="00B4087C">
        <w:t>11.</w:t>
      </w:r>
      <w:r w:rsidRPr="00B4087C">
        <w:tab/>
      </w:r>
      <w:r w:rsidR="006A7D4B" w:rsidRPr="002866E5">
        <w:rPr>
          <w:noProof/>
        </w:rPr>
        <w:t>Do celów jednolitego stosowania niniejszego rozporządzenia ustanawia się specjalną grupę współpracy administracyjnej (grupę ADCO), zgodnie</w:t>
      </w:r>
      <w:r w:rsidR="008B35E8" w:rsidRPr="002866E5">
        <w:rPr>
          <w:noProof/>
        </w:rPr>
        <w:t xml:space="preserve"> z</w:t>
      </w:r>
      <w:r w:rsidR="008B35E8">
        <w:rPr>
          <w:noProof/>
        </w:rPr>
        <w:t> </w:t>
      </w:r>
      <w:r w:rsidR="008B35E8" w:rsidRPr="008B35E8">
        <w:rPr>
          <w:noProof/>
        </w:rPr>
        <w:t>art</w:t>
      </w:r>
      <w:r w:rsidR="006A7D4B" w:rsidRPr="008B35E8">
        <w:rPr>
          <w:noProof/>
        </w:rPr>
        <w:t>.</w:t>
      </w:r>
      <w:r w:rsidR="008B35E8" w:rsidRPr="008B35E8">
        <w:rPr>
          <w:noProof/>
        </w:rPr>
        <w:t> </w:t>
      </w:r>
      <w:r w:rsidR="006A7D4B" w:rsidRPr="008B35E8">
        <w:rPr>
          <w:noProof/>
        </w:rPr>
        <w:t>3</w:t>
      </w:r>
      <w:r w:rsidR="006A7D4B" w:rsidRPr="002866E5">
        <w:rPr>
          <w:noProof/>
        </w:rPr>
        <w:t xml:space="preserve">0 </w:t>
      </w:r>
      <w:r w:rsidR="006A7D4B" w:rsidRPr="008B35E8">
        <w:rPr>
          <w:noProof/>
        </w:rPr>
        <w:t>ust.</w:t>
      </w:r>
      <w:r w:rsidR="008B35E8" w:rsidRPr="008B35E8">
        <w:rPr>
          <w:noProof/>
        </w:rPr>
        <w:t> </w:t>
      </w:r>
      <w:r w:rsidR="006A7D4B" w:rsidRPr="008B35E8">
        <w:rPr>
          <w:noProof/>
        </w:rPr>
        <w:t>2</w:t>
      </w:r>
      <w:r w:rsidR="006A7D4B" w:rsidRPr="002866E5">
        <w:rPr>
          <w:noProof/>
        </w:rPr>
        <w:t xml:space="preserve"> rozporządzenia (UE) 2019/1020</w:t>
      </w:r>
      <w:r w:rsidR="008B35E8" w:rsidRPr="002866E5">
        <w:rPr>
          <w:noProof/>
        </w:rPr>
        <w:t>. W</w:t>
      </w:r>
      <w:r w:rsidR="008B35E8">
        <w:rPr>
          <w:noProof/>
        </w:rPr>
        <w:t> </w:t>
      </w:r>
      <w:r w:rsidR="008B35E8" w:rsidRPr="002866E5">
        <w:rPr>
          <w:noProof/>
        </w:rPr>
        <w:t>skł</w:t>
      </w:r>
      <w:r w:rsidR="006A7D4B" w:rsidRPr="002866E5">
        <w:rPr>
          <w:noProof/>
        </w:rPr>
        <w:t>ad grupy ADCO wchodzą przedstawiciele wyznaczonych organów nadzoru rynku oraz,</w:t>
      </w:r>
      <w:r w:rsidR="008B35E8" w:rsidRPr="002866E5">
        <w:rPr>
          <w:noProof/>
        </w:rPr>
        <w:t xml:space="preserve"> w</w:t>
      </w:r>
      <w:r w:rsidR="008B35E8">
        <w:rPr>
          <w:noProof/>
        </w:rPr>
        <w:t> </w:t>
      </w:r>
      <w:r w:rsidR="008B35E8" w:rsidRPr="002866E5">
        <w:rPr>
          <w:noProof/>
        </w:rPr>
        <w:t>raz</w:t>
      </w:r>
      <w:r w:rsidR="006A7D4B" w:rsidRPr="002866E5">
        <w:rPr>
          <w:noProof/>
        </w:rPr>
        <w:t>ie potrzeby, przedstawiciele jednolitych urzędów łącznikowych.</w:t>
      </w:r>
    </w:p>
    <w:p w14:paraId="67ED8876" w14:textId="66BC464E" w:rsidR="0088539F" w:rsidRPr="002866E5" w:rsidRDefault="0088539F" w:rsidP="005741D7">
      <w:pPr>
        <w:pStyle w:val="Titrearticle0"/>
        <w:rPr>
          <w:i w:val="0"/>
          <w:noProof/>
        </w:rPr>
      </w:pPr>
      <w:r w:rsidRPr="002866E5">
        <w:rPr>
          <w:noProof/>
        </w:rPr>
        <w:t>Artykuł 42</w:t>
      </w:r>
    </w:p>
    <w:p w14:paraId="67ED8877" w14:textId="4A08F515" w:rsidR="0088539F" w:rsidRPr="002866E5" w:rsidRDefault="0088539F" w:rsidP="00084E38">
      <w:pPr>
        <w:jc w:val="center"/>
        <w:rPr>
          <w:i/>
          <w:noProof/>
        </w:rPr>
      </w:pPr>
      <w:r w:rsidRPr="002866E5">
        <w:rPr>
          <w:i/>
          <w:noProof/>
        </w:rPr>
        <w:t>Dostęp do danych</w:t>
      </w:r>
      <w:r w:rsidR="008B35E8" w:rsidRPr="002866E5">
        <w:rPr>
          <w:i/>
          <w:noProof/>
        </w:rPr>
        <w:t xml:space="preserve"> i</w:t>
      </w:r>
      <w:r w:rsidR="008B35E8">
        <w:rPr>
          <w:i/>
          <w:noProof/>
        </w:rPr>
        <w:t> </w:t>
      </w:r>
      <w:r w:rsidR="008B35E8" w:rsidRPr="002866E5">
        <w:rPr>
          <w:i/>
          <w:noProof/>
        </w:rPr>
        <w:t>dok</w:t>
      </w:r>
      <w:r w:rsidRPr="002866E5">
        <w:rPr>
          <w:i/>
          <w:noProof/>
        </w:rPr>
        <w:t>umentacji</w:t>
      </w:r>
    </w:p>
    <w:p w14:paraId="67ED8878" w14:textId="7CAA1C0C" w:rsidR="0088539F" w:rsidRPr="002866E5" w:rsidRDefault="0088539F" w:rsidP="00E54C23">
      <w:pPr>
        <w:rPr>
          <w:noProof/>
        </w:rPr>
      </w:pPr>
      <w:r w:rsidRPr="002866E5">
        <w:rPr>
          <w:noProof/>
        </w:rPr>
        <w:t>Jeżeli jest to konieczne do oceny zgodności produktów</w:t>
      </w:r>
      <w:r w:rsidR="008B35E8" w:rsidRPr="002866E5">
        <w:rPr>
          <w:noProof/>
        </w:rPr>
        <w:t xml:space="preserve"> z</w:t>
      </w:r>
      <w:r w:rsidR="008B35E8">
        <w:rPr>
          <w:noProof/>
        </w:rPr>
        <w:t> </w:t>
      </w:r>
      <w:r w:rsidR="008B35E8" w:rsidRPr="002866E5">
        <w:rPr>
          <w:noProof/>
        </w:rPr>
        <w:t>ele</w:t>
      </w:r>
      <w:r w:rsidRPr="002866E5">
        <w:rPr>
          <w:noProof/>
        </w:rPr>
        <w:t>mentami cyfrowymi</w:t>
      </w:r>
      <w:r w:rsidR="008B35E8" w:rsidRPr="002866E5">
        <w:rPr>
          <w:noProof/>
        </w:rPr>
        <w:t xml:space="preserve"> i</w:t>
      </w:r>
      <w:r w:rsidR="008B35E8">
        <w:rPr>
          <w:noProof/>
        </w:rPr>
        <w:t> </w:t>
      </w:r>
      <w:r w:rsidR="008B35E8" w:rsidRPr="002866E5">
        <w:rPr>
          <w:noProof/>
        </w:rPr>
        <w:t>pro</w:t>
      </w:r>
      <w:r w:rsidRPr="002866E5">
        <w:rPr>
          <w:noProof/>
        </w:rPr>
        <w:t>cedur wprowadzonych przez ich producentów</w:t>
      </w:r>
      <w:r w:rsidR="008B35E8" w:rsidRPr="002866E5">
        <w:rPr>
          <w:noProof/>
        </w:rPr>
        <w:t xml:space="preserve"> z</w:t>
      </w:r>
      <w:r w:rsidR="008B35E8">
        <w:rPr>
          <w:noProof/>
        </w:rPr>
        <w:t> </w:t>
      </w:r>
      <w:r w:rsidR="008B35E8" w:rsidRPr="002866E5">
        <w:rPr>
          <w:noProof/>
        </w:rPr>
        <w:t>zas</w:t>
      </w:r>
      <w:r w:rsidRPr="002866E5">
        <w:rPr>
          <w:noProof/>
        </w:rPr>
        <w:t>adniczymi wymogami określonymi</w:t>
      </w:r>
      <w:r w:rsidR="008B35E8" w:rsidRPr="002866E5">
        <w:rPr>
          <w:noProof/>
        </w:rPr>
        <w:t xml:space="preserve"> w</w:t>
      </w:r>
      <w:r w:rsidR="008B35E8">
        <w:rPr>
          <w:noProof/>
        </w:rPr>
        <w:t> </w:t>
      </w:r>
      <w:r w:rsidR="008B35E8" w:rsidRPr="002866E5">
        <w:rPr>
          <w:noProof/>
        </w:rPr>
        <w:t>zał</w:t>
      </w:r>
      <w:r w:rsidRPr="002866E5">
        <w:rPr>
          <w:noProof/>
        </w:rPr>
        <w:t>ączniku I,</w:t>
      </w:r>
      <w:r w:rsidR="008B35E8" w:rsidRPr="002866E5">
        <w:rPr>
          <w:noProof/>
        </w:rPr>
        <w:t xml:space="preserve"> a</w:t>
      </w:r>
      <w:r w:rsidR="008B35E8">
        <w:rPr>
          <w:noProof/>
        </w:rPr>
        <w:t> </w:t>
      </w:r>
      <w:r w:rsidR="008B35E8" w:rsidRPr="002866E5">
        <w:rPr>
          <w:noProof/>
        </w:rPr>
        <w:t>tak</w:t>
      </w:r>
      <w:r w:rsidRPr="002866E5">
        <w:rPr>
          <w:noProof/>
        </w:rPr>
        <w:t>że na uzasadniony wniosek organom nadzoru rynku przyznaje się dostęp do danych niezbędnych do oceny projektu, procesu opracowywania, produkcji</w:t>
      </w:r>
      <w:r w:rsidR="008B35E8" w:rsidRPr="002866E5">
        <w:rPr>
          <w:noProof/>
        </w:rPr>
        <w:t xml:space="preserve"> i</w:t>
      </w:r>
      <w:r w:rsidR="008B35E8">
        <w:rPr>
          <w:noProof/>
        </w:rPr>
        <w:t> </w:t>
      </w:r>
      <w:r w:rsidR="008B35E8" w:rsidRPr="002866E5">
        <w:rPr>
          <w:noProof/>
        </w:rPr>
        <w:t>pos</w:t>
      </w:r>
      <w:r w:rsidRPr="002866E5">
        <w:rPr>
          <w:noProof/>
        </w:rPr>
        <w:t>tępowania</w:t>
      </w:r>
      <w:r w:rsidR="008B35E8" w:rsidRPr="002866E5">
        <w:rPr>
          <w:noProof/>
        </w:rPr>
        <w:t xml:space="preserve"> w</w:t>
      </w:r>
      <w:r w:rsidR="008B35E8">
        <w:rPr>
          <w:noProof/>
        </w:rPr>
        <w:t> </w:t>
      </w:r>
      <w:r w:rsidR="008B35E8" w:rsidRPr="002866E5">
        <w:rPr>
          <w:noProof/>
        </w:rPr>
        <w:t>prz</w:t>
      </w:r>
      <w:r w:rsidRPr="002866E5">
        <w:rPr>
          <w:noProof/>
        </w:rPr>
        <w:t>ypadku wykrycia podatności,</w:t>
      </w:r>
      <w:r w:rsidR="008B35E8" w:rsidRPr="002866E5">
        <w:rPr>
          <w:noProof/>
        </w:rPr>
        <w:t xml:space="preserve"> w</w:t>
      </w:r>
      <w:r w:rsidR="008B35E8">
        <w:rPr>
          <w:noProof/>
        </w:rPr>
        <w:t> </w:t>
      </w:r>
      <w:r w:rsidR="008B35E8" w:rsidRPr="002866E5">
        <w:rPr>
          <w:noProof/>
        </w:rPr>
        <w:t>tym</w:t>
      </w:r>
      <w:r w:rsidRPr="002866E5">
        <w:rPr>
          <w:noProof/>
        </w:rPr>
        <w:t xml:space="preserve"> dostęp do powiązanej dokumentacji wewnętrznej dotyczącej danego podmiotu gospodarczego.</w:t>
      </w:r>
    </w:p>
    <w:p w14:paraId="67ED8879" w14:textId="5FE2001E" w:rsidR="0088539F" w:rsidRPr="002866E5" w:rsidRDefault="0088539F" w:rsidP="005741D7">
      <w:pPr>
        <w:pStyle w:val="Titrearticle0"/>
        <w:rPr>
          <w:i w:val="0"/>
          <w:noProof/>
        </w:rPr>
      </w:pPr>
      <w:r w:rsidRPr="002866E5">
        <w:rPr>
          <w:noProof/>
        </w:rPr>
        <w:t>Artykuł</w:t>
      </w:r>
      <w:r w:rsidRPr="002866E5">
        <w:rPr>
          <w:i w:val="0"/>
          <w:noProof/>
        </w:rPr>
        <w:t xml:space="preserve"> </w:t>
      </w:r>
      <w:r w:rsidRPr="002866E5">
        <w:rPr>
          <w:noProof/>
        </w:rPr>
        <w:t>43</w:t>
      </w:r>
    </w:p>
    <w:p w14:paraId="67ED887A" w14:textId="3CBB1167" w:rsidR="0088539F" w:rsidRPr="002866E5" w:rsidRDefault="0088539F" w:rsidP="00084E38">
      <w:pPr>
        <w:jc w:val="center"/>
        <w:rPr>
          <w:i/>
          <w:noProof/>
        </w:rPr>
      </w:pPr>
      <w:r w:rsidRPr="002866E5">
        <w:rPr>
          <w:i/>
          <w:noProof/>
        </w:rPr>
        <w:t>Procedura na szczeblu krajowym dotycząca produktów</w:t>
      </w:r>
      <w:r w:rsidR="008B35E8" w:rsidRPr="002866E5">
        <w:rPr>
          <w:i/>
          <w:noProof/>
        </w:rPr>
        <w:t xml:space="preserve"> z</w:t>
      </w:r>
      <w:r w:rsidR="008B35E8">
        <w:rPr>
          <w:i/>
          <w:noProof/>
        </w:rPr>
        <w:t> </w:t>
      </w:r>
      <w:r w:rsidR="008B35E8" w:rsidRPr="002866E5">
        <w:rPr>
          <w:i/>
          <w:noProof/>
        </w:rPr>
        <w:t>ele</w:t>
      </w:r>
      <w:r w:rsidRPr="002866E5">
        <w:rPr>
          <w:i/>
          <w:noProof/>
        </w:rPr>
        <w:t>mentami cyfrowymi stwarzających istotne ryzyko</w:t>
      </w:r>
      <w:r w:rsidR="008B35E8" w:rsidRPr="002866E5">
        <w:rPr>
          <w:i/>
          <w:noProof/>
        </w:rPr>
        <w:t xml:space="preserve"> w</w:t>
      </w:r>
      <w:r w:rsidR="008B35E8">
        <w:rPr>
          <w:i/>
          <w:noProof/>
        </w:rPr>
        <w:t> </w:t>
      </w:r>
      <w:r w:rsidR="008B35E8" w:rsidRPr="002866E5">
        <w:rPr>
          <w:i/>
          <w:noProof/>
        </w:rPr>
        <w:t>cyb</w:t>
      </w:r>
      <w:r w:rsidRPr="002866E5">
        <w:rPr>
          <w:i/>
          <w:noProof/>
        </w:rPr>
        <w:t>erprzestrzeni</w:t>
      </w:r>
    </w:p>
    <w:p w14:paraId="67ED887B" w14:textId="3539524D" w:rsidR="0088539F" w:rsidRPr="002866E5" w:rsidRDefault="00B4087C" w:rsidP="00B4087C">
      <w:pPr>
        <w:pStyle w:val="ManualNumPar1"/>
        <w:rPr>
          <w:noProof/>
        </w:rPr>
      </w:pPr>
      <w:r w:rsidRPr="00B4087C">
        <w:t>1.</w:t>
      </w:r>
      <w:r w:rsidRPr="00B4087C">
        <w:tab/>
      </w:r>
      <w:r w:rsidR="0088539F" w:rsidRPr="002866E5">
        <w:rPr>
          <w:noProof/>
        </w:rPr>
        <w:t>Jeżeli organ nadzoru rynku państwa członkowskiego ma wystarczające powody, aby uznać, że produkt</w:t>
      </w:r>
      <w:r w:rsidR="008B35E8" w:rsidRPr="002866E5">
        <w:rPr>
          <w:noProof/>
        </w:rPr>
        <w:t xml:space="preserve"> z</w:t>
      </w:r>
      <w:r w:rsidR="008B35E8">
        <w:rPr>
          <w:noProof/>
        </w:rPr>
        <w:t> </w:t>
      </w:r>
      <w:r w:rsidR="008B35E8" w:rsidRPr="002866E5">
        <w:rPr>
          <w:noProof/>
        </w:rPr>
        <w:t>ele</w:t>
      </w:r>
      <w:r w:rsidR="0088539F" w:rsidRPr="002866E5">
        <w:rPr>
          <w:noProof/>
        </w:rPr>
        <w:t>mentami cyfrowymi,</w:t>
      </w:r>
      <w:r w:rsidR="008B35E8" w:rsidRPr="002866E5">
        <w:rPr>
          <w:noProof/>
        </w:rPr>
        <w:t xml:space="preserve"> w</w:t>
      </w:r>
      <w:r w:rsidR="008B35E8">
        <w:rPr>
          <w:noProof/>
        </w:rPr>
        <w:t> </w:t>
      </w:r>
      <w:r w:rsidR="008B35E8" w:rsidRPr="002866E5">
        <w:rPr>
          <w:noProof/>
        </w:rPr>
        <w:t>tym</w:t>
      </w:r>
      <w:r w:rsidR="0088539F" w:rsidRPr="002866E5">
        <w:rPr>
          <w:noProof/>
        </w:rPr>
        <w:t xml:space="preserve"> dotyczące go postępowanie</w:t>
      </w:r>
      <w:r w:rsidR="008B35E8" w:rsidRPr="002866E5">
        <w:rPr>
          <w:noProof/>
        </w:rPr>
        <w:t xml:space="preserve"> w</w:t>
      </w:r>
      <w:r w:rsidR="008B35E8">
        <w:rPr>
          <w:noProof/>
        </w:rPr>
        <w:t> </w:t>
      </w:r>
      <w:r w:rsidR="008B35E8" w:rsidRPr="002866E5">
        <w:rPr>
          <w:noProof/>
        </w:rPr>
        <w:t>prz</w:t>
      </w:r>
      <w:r w:rsidR="0088539F" w:rsidRPr="002866E5">
        <w:rPr>
          <w:noProof/>
        </w:rPr>
        <w:t>ypadku wykrycia podatności, stwarza istotne ryzyko</w:t>
      </w:r>
      <w:r w:rsidR="008B35E8" w:rsidRPr="002866E5">
        <w:rPr>
          <w:noProof/>
        </w:rPr>
        <w:t xml:space="preserve"> w</w:t>
      </w:r>
      <w:r w:rsidR="008B35E8">
        <w:rPr>
          <w:noProof/>
        </w:rPr>
        <w:t> </w:t>
      </w:r>
      <w:r w:rsidR="008B35E8" w:rsidRPr="002866E5">
        <w:rPr>
          <w:noProof/>
        </w:rPr>
        <w:t>cyb</w:t>
      </w:r>
      <w:r w:rsidR="0088539F" w:rsidRPr="002866E5">
        <w:rPr>
          <w:noProof/>
        </w:rPr>
        <w:t>erprzestrzeni, organ przeprowadza ocenę tego produktu</w:t>
      </w:r>
      <w:r w:rsidR="008B35E8" w:rsidRPr="002866E5">
        <w:rPr>
          <w:noProof/>
        </w:rPr>
        <w:t xml:space="preserve"> z</w:t>
      </w:r>
      <w:r w:rsidR="008B35E8">
        <w:rPr>
          <w:noProof/>
        </w:rPr>
        <w:t> </w:t>
      </w:r>
      <w:r w:rsidR="008B35E8" w:rsidRPr="002866E5">
        <w:rPr>
          <w:noProof/>
        </w:rPr>
        <w:t>ele</w:t>
      </w:r>
      <w:r w:rsidR="0088539F" w:rsidRPr="002866E5">
        <w:rPr>
          <w:noProof/>
        </w:rPr>
        <w:t>mentami cyfrowymi pod kątem zgodności produktu ze wszystkimi wymogami określonymi</w:t>
      </w:r>
      <w:r w:rsidR="008B35E8" w:rsidRPr="002866E5">
        <w:rPr>
          <w:noProof/>
        </w:rPr>
        <w:t xml:space="preserve"> w</w:t>
      </w:r>
      <w:r w:rsidR="008B35E8">
        <w:rPr>
          <w:noProof/>
        </w:rPr>
        <w:t> </w:t>
      </w:r>
      <w:r w:rsidR="008B35E8" w:rsidRPr="002866E5">
        <w:rPr>
          <w:noProof/>
        </w:rPr>
        <w:t>nin</w:t>
      </w:r>
      <w:r w:rsidR="0088539F" w:rsidRPr="002866E5">
        <w:rPr>
          <w:noProof/>
        </w:rPr>
        <w:t>iejszym rozporządzeniu</w:t>
      </w:r>
      <w:r w:rsidR="008B35E8" w:rsidRPr="002866E5">
        <w:rPr>
          <w:noProof/>
        </w:rPr>
        <w:t>. W</w:t>
      </w:r>
      <w:r w:rsidR="008B35E8">
        <w:rPr>
          <w:noProof/>
        </w:rPr>
        <w:t> </w:t>
      </w:r>
      <w:r w:rsidR="008B35E8" w:rsidRPr="002866E5">
        <w:rPr>
          <w:noProof/>
        </w:rPr>
        <w:t>raz</w:t>
      </w:r>
      <w:r w:rsidR="0088539F" w:rsidRPr="002866E5">
        <w:rPr>
          <w:noProof/>
        </w:rPr>
        <w:t>ie potrzeby odpowiednie podmioty gospodarcze współpracują</w:t>
      </w:r>
      <w:r w:rsidR="008B35E8" w:rsidRPr="002866E5">
        <w:rPr>
          <w:noProof/>
        </w:rPr>
        <w:t xml:space="preserve"> z</w:t>
      </w:r>
      <w:r w:rsidR="008B35E8">
        <w:rPr>
          <w:noProof/>
        </w:rPr>
        <w:t> </w:t>
      </w:r>
      <w:r w:rsidR="008B35E8" w:rsidRPr="002866E5">
        <w:rPr>
          <w:noProof/>
        </w:rPr>
        <w:t>dan</w:t>
      </w:r>
      <w:r w:rsidR="0088539F" w:rsidRPr="002866E5">
        <w:rPr>
          <w:noProof/>
        </w:rPr>
        <w:t>ym organem nadzoru rynku.</w:t>
      </w:r>
    </w:p>
    <w:p w14:paraId="67ED887C" w14:textId="452C94AC" w:rsidR="0088539F" w:rsidRPr="002866E5" w:rsidRDefault="0088539F" w:rsidP="0088539F">
      <w:pPr>
        <w:pStyle w:val="Text1"/>
        <w:rPr>
          <w:noProof/>
        </w:rPr>
      </w:pPr>
      <w:r w:rsidRPr="002866E5">
        <w:rPr>
          <w:noProof/>
        </w:rPr>
        <w:t>Jeżeli</w:t>
      </w:r>
      <w:r w:rsidR="008B35E8" w:rsidRPr="002866E5">
        <w:rPr>
          <w:noProof/>
        </w:rPr>
        <w:t xml:space="preserve"> w</w:t>
      </w:r>
      <w:r w:rsidR="008B35E8">
        <w:rPr>
          <w:noProof/>
        </w:rPr>
        <w:t> </w:t>
      </w:r>
      <w:r w:rsidR="008B35E8" w:rsidRPr="002866E5">
        <w:rPr>
          <w:noProof/>
        </w:rPr>
        <w:t>tra</w:t>
      </w:r>
      <w:r w:rsidRPr="002866E5">
        <w:rPr>
          <w:noProof/>
        </w:rPr>
        <w:t>kcie tej oceny organ nadzoru rynku stwierdzi, że produkt</w:t>
      </w:r>
      <w:r w:rsidR="008B35E8" w:rsidRPr="002866E5">
        <w:rPr>
          <w:noProof/>
        </w:rPr>
        <w:t xml:space="preserve"> z</w:t>
      </w:r>
      <w:r w:rsidR="008B35E8">
        <w:rPr>
          <w:noProof/>
        </w:rPr>
        <w:t> </w:t>
      </w:r>
      <w:r w:rsidR="008B35E8" w:rsidRPr="002866E5">
        <w:rPr>
          <w:noProof/>
        </w:rPr>
        <w:t>ele</w:t>
      </w:r>
      <w:r w:rsidRPr="002866E5">
        <w:rPr>
          <w:noProof/>
        </w:rPr>
        <w:t>mentami cyfrowymi nie jest zgodny</w:t>
      </w:r>
      <w:r w:rsidR="008B35E8" w:rsidRPr="002866E5">
        <w:rPr>
          <w:noProof/>
        </w:rPr>
        <w:t xml:space="preserve"> z</w:t>
      </w:r>
      <w:r w:rsidR="008B35E8">
        <w:rPr>
          <w:noProof/>
        </w:rPr>
        <w:t> </w:t>
      </w:r>
      <w:r w:rsidR="008B35E8" w:rsidRPr="002866E5">
        <w:rPr>
          <w:noProof/>
        </w:rPr>
        <w:t>wym</w:t>
      </w:r>
      <w:r w:rsidRPr="002866E5">
        <w:rPr>
          <w:noProof/>
        </w:rPr>
        <w:t>ogami określonymi</w:t>
      </w:r>
      <w:r w:rsidR="008B35E8" w:rsidRPr="002866E5">
        <w:rPr>
          <w:noProof/>
        </w:rPr>
        <w:t xml:space="preserve"> w</w:t>
      </w:r>
      <w:r w:rsidR="008B35E8">
        <w:rPr>
          <w:noProof/>
        </w:rPr>
        <w:t> </w:t>
      </w:r>
      <w:r w:rsidR="008B35E8" w:rsidRPr="002866E5">
        <w:rPr>
          <w:noProof/>
        </w:rPr>
        <w:t>nin</w:t>
      </w:r>
      <w:r w:rsidRPr="002866E5">
        <w:rPr>
          <w:noProof/>
        </w:rPr>
        <w:t xml:space="preserve">iejszym rozporządzeniu, niezwłocznie zobowiązuje właściwy podmiot gospodarczy do podjęcia wszelkich </w:t>
      </w:r>
      <w:r w:rsidRPr="002866E5">
        <w:rPr>
          <w:noProof/>
        </w:rPr>
        <w:lastRenderedPageBreak/>
        <w:t>odpowiednich działań naprawczych</w:t>
      </w:r>
      <w:r w:rsidR="008B35E8" w:rsidRPr="002866E5">
        <w:rPr>
          <w:noProof/>
        </w:rPr>
        <w:t xml:space="preserve"> w</w:t>
      </w:r>
      <w:r w:rsidR="008B35E8">
        <w:rPr>
          <w:noProof/>
        </w:rPr>
        <w:t> </w:t>
      </w:r>
      <w:r w:rsidR="008B35E8" w:rsidRPr="002866E5">
        <w:rPr>
          <w:noProof/>
        </w:rPr>
        <w:t>cel</w:t>
      </w:r>
      <w:r w:rsidRPr="002866E5">
        <w:rPr>
          <w:noProof/>
        </w:rPr>
        <w:t>u zapewnienia zgodności produktu</w:t>
      </w:r>
      <w:r w:rsidR="008B35E8" w:rsidRPr="002866E5">
        <w:rPr>
          <w:noProof/>
        </w:rPr>
        <w:t xml:space="preserve"> z</w:t>
      </w:r>
      <w:r w:rsidR="008B35E8">
        <w:rPr>
          <w:noProof/>
        </w:rPr>
        <w:t> </w:t>
      </w:r>
      <w:r w:rsidR="008B35E8" w:rsidRPr="002866E5">
        <w:rPr>
          <w:noProof/>
        </w:rPr>
        <w:t>ele</w:t>
      </w:r>
      <w:r w:rsidRPr="002866E5">
        <w:rPr>
          <w:noProof/>
        </w:rPr>
        <w:t>mentami cyfrowymi</w:t>
      </w:r>
      <w:r w:rsidR="008B35E8" w:rsidRPr="002866E5">
        <w:rPr>
          <w:noProof/>
        </w:rPr>
        <w:t xml:space="preserve"> z</w:t>
      </w:r>
      <w:r w:rsidR="008B35E8">
        <w:rPr>
          <w:noProof/>
        </w:rPr>
        <w:t> </w:t>
      </w:r>
      <w:r w:rsidR="008B35E8" w:rsidRPr="002866E5">
        <w:rPr>
          <w:noProof/>
        </w:rPr>
        <w:t>tym</w:t>
      </w:r>
      <w:r w:rsidRPr="002866E5">
        <w:rPr>
          <w:noProof/>
        </w:rPr>
        <w:t>i wymogami, wycofania go</w:t>
      </w:r>
      <w:r w:rsidR="008B35E8" w:rsidRPr="002866E5">
        <w:rPr>
          <w:noProof/>
        </w:rPr>
        <w:t xml:space="preserve"> z</w:t>
      </w:r>
      <w:r w:rsidR="008B35E8">
        <w:rPr>
          <w:noProof/>
        </w:rPr>
        <w:t> </w:t>
      </w:r>
      <w:r w:rsidR="008B35E8" w:rsidRPr="002866E5">
        <w:rPr>
          <w:noProof/>
        </w:rPr>
        <w:t>obr</w:t>
      </w:r>
      <w:r w:rsidRPr="002866E5">
        <w:rPr>
          <w:noProof/>
        </w:rPr>
        <w:t>otu lub odzyskania go</w:t>
      </w:r>
      <w:r w:rsidR="008B35E8" w:rsidRPr="002866E5">
        <w:rPr>
          <w:noProof/>
        </w:rPr>
        <w:t xml:space="preserve"> w</w:t>
      </w:r>
      <w:r w:rsidR="008B35E8">
        <w:rPr>
          <w:noProof/>
        </w:rPr>
        <w:t> </w:t>
      </w:r>
      <w:r w:rsidR="008B35E8" w:rsidRPr="002866E5">
        <w:rPr>
          <w:noProof/>
        </w:rPr>
        <w:t>wyz</w:t>
      </w:r>
      <w:r w:rsidRPr="002866E5">
        <w:rPr>
          <w:noProof/>
        </w:rPr>
        <w:t>naczonym przez organ rozsądnym terminie, stosownym do charakteru ryzyka.</w:t>
      </w:r>
    </w:p>
    <w:p w14:paraId="67ED887D" w14:textId="5ECC60BF" w:rsidR="0088539F" w:rsidRPr="002866E5" w:rsidRDefault="0088539F" w:rsidP="0088539F">
      <w:pPr>
        <w:pStyle w:val="Text1"/>
        <w:rPr>
          <w:noProof/>
        </w:rPr>
      </w:pPr>
      <w:r w:rsidRPr="002866E5">
        <w:rPr>
          <w:noProof/>
        </w:rPr>
        <w:t>Organ nadzoru rynku informuje</w:t>
      </w:r>
      <w:r w:rsidR="008B35E8" w:rsidRPr="002866E5">
        <w:rPr>
          <w:noProof/>
        </w:rPr>
        <w:t xml:space="preserve"> o</w:t>
      </w:r>
      <w:r w:rsidR="008B35E8">
        <w:rPr>
          <w:noProof/>
        </w:rPr>
        <w:t> </w:t>
      </w:r>
      <w:r w:rsidR="008B35E8" w:rsidRPr="002866E5">
        <w:rPr>
          <w:noProof/>
        </w:rPr>
        <w:t>tym</w:t>
      </w:r>
      <w:r w:rsidRPr="002866E5">
        <w:rPr>
          <w:noProof/>
        </w:rPr>
        <w:t xml:space="preserve"> odpowiednią jednostkę notyfikowaną. Art. 18 rozporządzenia (UE) 2019/1020 ma zastosowanie do odpowiednich działań naprawczych.</w:t>
      </w:r>
    </w:p>
    <w:p w14:paraId="67ED887E" w14:textId="50179EF1" w:rsidR="00E54C23" w:rsidRPr="002866E5" w:rsidRDefault="00B4087C" w:rsidP="00B4087C">
      <w:pPr>
        <w:pStyle w:val="ManualNumPar1"/>
        <w:rPr>
          <w:noProof/>
        </w:rPr>
      </w:pPr>
      <w:r w:rsidRPr="00B4087C">
        <w:t>2.</w:t>
      </w:r>
      <w:r w:rsidRPr="00B4087C">
        <w:tab/>
      </w:r>
      <w:r w:rsidR="0088539F" w:rsidRPr="002866E5">
        <w:rPr>
          <w:noProof/>
        </w:rPr>
        <w:t>W przypadku gdy organ nadzoru rynku uzna, że niezgodność</w:t>
      </w:r>
      <w:r w:rsidR="008B35E8" w:rsidRPr="002866E5">
        <w:rPr>
          <w:noProof/>
        </w:rPr>
        <w:t xml:space="preserve"> z</w:t>
      </w:r>
      <w:r w:rsidR="008B35E8">
        <w:rPr>
          <w:noProof/>
        </w:rPr>
        <w:t> </w:t>
      </w:r>
      <w:r w:rsidR="008B35E8" w:rsidRPr="002866E5">
        <w:rPr>
          <w:noProof/>
        </w:rPr>
        <w:t>wym</w:t>
      </w:r>
      <w:r w:rsidR="0088539F" w:rsidRPr="002866E5">
        <w:rPr>
          <w:noProof/>
        </w:rPr>
        <w:t>ogami nie ogranicza się do jego terytorium krajowego, informuje Komisję oraz pozostałe państwa członkowskie</w:t>
      </w:r>
      <w:r w:rsidR="008B35E8" w:rsidRPr="002866E5">
        <w:rPr>
          <w:noProof/>
        </w:rPr>
        <w:t xml:space="preserve"> o</w:t>
      </w:r>
      <w:r w:rsidR="008B35E8">
        <w:rPr>
          <w:noProof/>
        </w:rPr>
        <w:t> </w:t>
      </w:r>
      <w:r w:rsidR="008B35E8" w:rsidRPr="002866E5">
        <w:rPr>
          <w:noProof/>
        </w:rPr>
        <w:t>wyn</w:t>
      </w:r>
      <w:r w:rsidR="0088539F" w:rsidRPr="002866E5">
        <w:rPr>
          <w:noProof/>
        </w:rPr>
        <w:t>ikach oceny oraz</w:t>
      </w:r>
      <w:r w:rsidR="008B35E8" w:rsidRPr="002866E5">
        <w:rPr>
          <w:noProof/>
        </w:rPr>
        <w:t xml:space="preserve"> o</w:t>
      </w:r>
      <w:r w:rsidR="008B35E8">
        <w:rPr>
          <w:noProof/>
        </w:rPr>
        <w:t> </w:t>
      </w:r>
      <w:r w:rsidR="008B35E8" w:rsidRPr="002866E5">
        <w:rPr>
          <w:noProof/>
        </w:rPr>
        <w:t>dzi</w:t>
      </w:r>
      <w:r w:rsidR="0088539F" w:rsidRPr="002866E5">
        <w:rPr>
          <w:noProof/>
        </w:rPr>
        <w:t>ałaniach, których podjęcia zażądał od danego podmiotu gospodarczego.</w:t>
      </w:r>
    </w:p>
    <w:p w14:paraId="67ED887F" w14:textId="5DEC5F79" w:rsidR="00E54C23" w:rsidRPr="002866E5" w:rsidRDefault="00B4087C" w:rsidP="00B4087C">
      <w:pPr>
        <w:pStyle w:val="ManualNumPar1"/>
        <w:rPr>
          <w:noProof/>
        </w:rPr>
      </w:pPr>
      <w:r w:rsidRPr="00B4087C">
        <w:t>3.</w:t>
      </w:r>
      <w:r w:rsidRPr="00B4087C">
        <w:tab/>
      </w:r>
      <w:r w:rsidR="00926F7E" w:rsidRPr="002866E5">
        <w:rPr>
          <w:noProof/>
        </w:rPr>
        <w:t>Producent zapewnia podjęcie wszelkich odpowiednich działań naprawczych</w:t>
      </w:r>
      <w:r w:rsidR="008B35E8" w:rsidRPr="002866E5">
        <w:rPr>
          <w:noProof/>
        </w:rPr>
        <w:t xml:space="preserve"> w</w:t>
      </w:r>
      <w:r w:rsidR="008B35E8">
        <w:rPr>
          <w:noProof/>
        </w:rPr>
        <w:t> </w:t>
      </w:r>
      <w:r w:rsidR="008B35E8" w:rsidRPr="002866E5">
        <w:rPr>
          <w:noProof/>
        </w:rPr>
        <w:t>odn</w:t>
      </w:r>
      <w:r w:rsidR="00926F7E" w:rsidRPr="002866E5">
        <w:rPr>
          <w:noProof/>
        </w:rPr>
        <w:t>iesieniu do wszystkich odnośnych produktów</w:t>
      </w:r>
      <w:r w:rsidR="008B35E8" w:rsidRPr="002866E5">
        <w:rPr>
          <w:noProof/>
        </w:rPr>
        <w:t xml:space="preserve"> z</w:t>
      </w:r>
      <w:r w:rsidR="008B35E8">
        <w:rPr>
          <w:noProof/>
        </w:rPr>
        <w:t> </w:t>
      </w:r>
      <w:r w:rsidR="008B35E8" w:rsidRPr="002866E5">
        <w:rPr>
          <w:noProof/>
        </w:rPr>
        <w:t>ele</w:t>
      </w:r>
      <w:r w:rsidR="00926F7E" w:rsidRPr="002866E5">
        <w:rPr>
          <w:noProof/>
        </w:rPr>
        <w:t>mentami cyfrowymi, które udostępnił na rynku</w:t>
      </w:r>
      <w:r w:rsidR="008B35E8" w:rsidRPr="002866E5">
        <w:rPr>
          <w:noProof/>
        </w:rPr>
        <w:t xml:space="preserve"> w</w:t>
      </w:r>
      <w:r w:rsidR="008B35E8">
        <w:rPr>
          <w:noProof/>
        </w:rPr>
        <w:t> </w:t>
      </w:r>
      <w:r w:rsidR="008B35E8" w:rsidRPr="002866E5">
        <w:rPr>
          <w:noProof/>
        </w:rPr>
        <w:t>cał</w:t>
      </w:r>
      <w:r w:rsidR="00926F7E" w:rsidRPr="002866E5">
        <w:rPr>
          <w:noProof/>
        </w:rPr>
        <w:t>ej Unii.</w:t>
      </w:r>
    </w:p>
    <w:p w14:paraId="67ED8880" w14:textId="55CE1444" w:rsidR="002726EC" w:rsidRPr="002866E5" w:rsidRDefault="00B4087C" w:rsidP="00B4087C">
      <w:pPr>
        <w:pStyle w:val="ManualNumPar1"/>
        <w:rPr>
          <w:noProof/>
        </w:rPr>
      </w:pPr>
      <w:r w:rsidRPr="00B4087C">
        <w:t>4.</w:t>
      </w:r>
      <w:r w:rsidRPr="00B4087C">
        <w:tab/>
      </w:r>
      <w:r w:rsidR="00926F7E" w:rsidRPr="002866E5">
        <w:rPr>
          <w:noProof/>
        </w:rPr>
        <w:t>W przypadku niepodjęcia przez producenta produktu</w:t>
      </w:r>
      <w:r w:rsidR="008B35E8" w:rsidRPr="002866E5">
        <w:rPr>
          <w:noProof/>
        </w:rPr>
        <w:t xml:space="preserve"> z</w:t>
      </w:r>
      <w:r w:rsidR="008B35E8">
        <w:rPr>
          <w:noProof/>
        </w:rPr>
        <w:t> </w:t>
      </w:r>
      <w:r w:rsidR="008B35E8" w:rsidRPr="002866E5">
        <w:rPr>
          <w:noProof/>
        </w:rPr>
        <w:t>ele</w:t>
      </w:r>
      <w:r w:rsidR="00926F7E" w:rsidRPr="002866E5">
        <w:rPr>
          <w:noProof/>
        </w:rPr>
        <w:t>mentami cyfrowymi odpowiednich działań naprawczych</w:t>
      </w:r>
      <w:r w:rsidR="008B35E8" w:rsidRPr="002866E5">
        <w:rPr>
          <w:noProof/>
        </w:rPr>
        <w:t xml:space="preserve"> w</w:t>
      </w:r>
      <w:r w:rsidR="008B35E8">
        <w:rPr>
          <w:noProof/>
        </w:rPr>
        <w:t> </w:t>
      </w:r>
      <w:r w:rsidR="008B35E8" w:rsidRPr="002866E5">
        <w:rPr>
          <w:noProof/>
        </w:rPr>
        <w:t>ter</w:t>
      </w:r>
      <w:r w:rsidR="00926F7E" w:rsidRPr="002866E5">
        <w:rPr>
          <w:noProof/>
        </w:rPr>
        <w:t>minie,</w:t>
      </w:r>
      <w:r w:rsidR="008B35E8" w:rsidRPr="002866E5">
        <w:rPr>
          <w:noProof/>
        </w:rPr>
        <w:t xml:space="preserve"> o</w:t>
      </w:r>
      <w:r w:rsidR="008B35E8">
        <w:rPr>
          <w:noProof/>
        </w:rPr>
        <w:t> </w:t>
      </w:r>
      <w:r w:rsidR="008B35E8" w:rsidRPr="002866E5">
        <w:rPr>
          <w:noProof/>
        </w:rPr>
        <w:t>któ</w:t>
      </w:r>
      <w:r w:rsidR="00926F7E" w:rsidRPr="002866E5">
        <w:rPr>
          <w:noProof/>
        </w:rPr>
        <w:t>rym mowa</w:t>
      </w:r>
      <w:r w:rsidR="008B35E8" w:rsidRPr="002866E5">
        <w:rPr>
          <w:noProof/>
        </w:rPr>
        <w:t xml:space="preserve"> w</w:t>
      </w:r>
      <w:r w:rsidR="008B35E8">
        <w:rPr>
          <w:noProof/>
        </w:rPr>
        <w:t> </w:t>
      </w:r>
      <w:r w:rsidR="008B35E8" w:rsidRPr="008B35E8">
        <w:rPr>
          <w:noProof/>
        </w:rPr>
        <w:t>ust</w:t>
      </w:r>
      <w:r w:rsidR="00926F7E" w:rsidRPr="008B35E8">
        <w:rPr>
          <w:noProof/>
        </w:rPr>
        <w:t>.</w:t>
      </w:r>
      <w:r w:rsidR="008B35E8" w:rsidRPr="008B35E8">
        <w:rPr>
          <w:noProof/>
        </w:rPr>
        <w:t> </w:t>
      </w:r>
      <w:r w:rsidR="00926F7E" w:rsidRPr="008B35E8">
        <w:rPr>
          <w:noProof/>
        </w:rPr>
        <w:t>1</w:t>
      </w:r>
      <w:r w:rsidR="00926F7E" w:rsidRPr="002866E5">
        <w:rPr>
          <w:noProof/>
        </w:rPr>
        <w:t xml:space="preserve"> akapit drugi, organ nadzoru rynku wprowadza wszelkie odpowiednie środki tymczasowe</w:t>
      </w:r>
      <w:r w:rsidR="008B35E8" w:rsidRPr="002866E5">
        <w:rPr>
          <w:noProof/>
        </w:rPr>
        <w:t xml:space="preserve"> w</w:t>
      </w:r>
      <w:r w:rsidR="008B35E8">
        <w:rPr>
          <w:noProof/>
        </w:rPr>
        <w:t> </w:t>
      </w:r>
      <w:r w:rsidR="008B35E8" w:rsidRPr="002866E5">
        <w:rPr>
          <w:noProof/>
        </w:rPr>
        <w:t>cel</w:t>
      </w:r>
      <w:r w:rsidR="00926F7E" w:rsidRPr="002866E5">
        <w:rPr>
          <w:noProof/>
        </w:rPr>
        <w:t>u zakazania lub ograniczenia udostępniania tego produktu na rynku krajowym, wycofania produktu</w:t>
      </w:r>
      <w:r w:rsidR="008B35E8" w:rsidRPr="002866E5">
        <w:rPr>
          <w:noProof/>
        </w:rPr>
        <w:t xml:space="preserve"> z</w:t>
      </w:r>
      <w:r w:rsidR="008B35E8">
        <w:rPr>
          <w:noProof/>
        </w:rPr>
        <w:t> </w:t>
      </w:r>
      <w:r w:rsidR="008B35E8" w:rsidRPr="002866E5">
        <w:rPr>
          <w:noProof/>
        </w:rPr>
        <w:t>obr</w:t>
      </w:r>
      <w:r w:rsidR="00926F7E" w:rsidRPr="002866E5">
        <w:rPr>
          <w:noProof/>
        </w:rPr>
        <w:t xml:space="preserve">otu lub odzyskania go. </w:t>
      </w:r>
    </w:p>
    <w:p w14:paraId="67ED8881" w14:textId="1773F8C7" w:rsidR="00926F7E" w:rsidRPr="002866E5" w:rsidRDefault="00926F7E" w:rsidP="002726EC">
      <w:pPr>
        <w:pStyle w:val="Text1"/>
        <w:rPr>
          <w:noProof/>
        </w:rPr>
      </w:pPr>
      <w:r w:rsidRPr="002866E5">
        <w:rPr>
          <w:noProof/>
        </w:rPr>
        <w:t>Organ ten niezwłocznie informuje Komisję</w:t>
      </w:r>
      <w:r w:rsidR="008B35E8" w:rsidRPr="002866E5">
        <w:rPr>
          <w:noProof/>
        </w:rPr>
        <w:t xml:space="preserve"> i</w:t>
      </w:r>
      <w:r w:rsidR="008B35E8">
        <w:rPr>
          <w:noProof/>
        </w:rPr>
        <w:t> </w:t>
      </w:r>
      <w:r w:rsidR="008B35E8" w:rsidRPr="002866E5">
        <w:rPr>
          <w:noProof/>
        </w:rPr>
        <w:t>poz</w:t>
      </w:r>
      <w:r w:rsidRPr="002866E5">
        <w:rPr>
          <w:noProof/>
        </w:rPr>
        <w:t>ostałe państwa członkowskie</w:t>
      </w:r>
      <w:r w:rsidR="008B35E8" w:rsidRPr="002866E5">
        <w:rPr>
          <w:noProof/>
        </w:rPr>
        <w:t xml:space="preserve"> o</w:t>
      </w:r>
      <w:r w:rsidR="008B35E8">
        <w:rPr>
          <w:noProof/>
        </w:rPr>
        <w:t> </w:t>
      </w:r>
      <w:r w:rsidR="008B35E8" w:rsidRPr="002866E5">
        <w:rPr>
          <w:noProof/>
        </w:rPr>
        <w:t>tyc</w:t>
      </w:r>
      <w:r w:rsidRPr="002866E5">
        <w:rPr>
          <w:noProof/>
        </w:rPr>
        <w:t>h środkach.</w:t>
      </w:r>
    </w:p>
    <w:p w14:paraId="67ED8882" w14:textId="3F0C4C0B" w:rsidR="00926F7E" w:rsidRPr="002866E5" w:rsidRDefault="00B4087C" w:rsidP="00B4087C">
      <w:pPr>
        <w:pStyle w:val="ManualNumPar1"/>
        <w:rPr>
          <w:noProof/>
        </w:rPr>
      </w:pPr>
      <w:r w:rsidRPr="00B4087C">
        <w:t>5.</w:t>
      </w:r>
      <w:r w:rsidRPr="00B4087C">
        <w:tab/>
      </w:r>
      <w:r w:rsidR="00926F7E" w:rsidRPr="002866E5">
        <w:rPr>
          <w:noProof/>
        </w:rPr>
        <w:t>Informacje,</w:t>
      </w:r>
      <w:r w:rsidR="008B35E8" w:rsidRPr="002866E5">
        <w:rPr>
          <w:noProof/>
        </w:rPr>
        <w:t xml:space="preserve"> o</w:t>
      </w:r>
      <w:r w:rsidR="008B35E8">
        <w:rPr>
          <w:noProof/>
        </w:rPr>
        <w:t> </w:t>
      </w:r>
      <w:r w:rsidR="008B35E8" w:rsidRPr="002866E5">
        <w:rPr>
          <w:noProof/>
        </w:rPr>
        <w:t>któ</w:t>
      </w:r>
      <w:r w:rsidR="00926F7E" w:rsidRPr="002866E5">
        <w:rPr>
          <w:noProof/>
        </w:rPr>
        <w:t>rych mowa</w:t>
      </w:r>
      <w:r w:rsidR="008B35E8" w:rsidRPr="002866E5">
        <w:rPr>
          <w:noProof/>
        </w:rPr>
        <w:t xml:space="preserve"> w</w:t>
      </w:r>
      <w:r w:rsidR="008B35E8">
        <w:rPr>
          <w:noProof/>
        </w:rPr>
        <w:t> </w:t>
      </w:r>
      <w:r w:rsidR="008B35E8" w:rsidRPr="008B35E8">
        <w:rPr>
          <w:noProof/>
        </w:rPr>
        <w:t>ust</w:t>
      </w:r>
      <w:r w:rsidR="00926F7E" w:rsidRPr="008B35E8">
        <w:rPr>
          <w:noProof/>
        </w:rPr>
        <w:t>.</w:t>
      </w:r>
      <w:r w:rsidR="008B35E8" w:rsidRPr="008B35E8">
        <w:rPr>
          <w:noProof/>
        </w:rPr>
        <w:t> </w:t>
      </w:r>
      <w:r w:rsidR="00926F7E" w:rsidRPr="008B35E8">
        <w:rPr>
          <w:noProof/>
        </w:rPr>
        <w:t>4</w:t>
      </w:r>
      <w:r w:rsidR="00926F7E" w:rsidRPr="002866E5">
        <w:rPr>
          <w:noProof/>
        </w:rPr>
        <w:t>, obejmują wszelkie dostępne informacje szczegółowe,</w:t>
      </w:r>
      <w:r w:rsidR="008B35E8" w:rsidRPr="002866E5">
        <w:rPr>
          <w:noProof/>
        </w:rPr>
        <w:t xml:space="preserve"> w</w:t>
      </w:r>
      <w:r w:rsidR="008B35E8">
        <w:rPr>
          <w:noProof/>
        </w:rPr>
        <w:t> </w:t>
      </w:r>
      <w:r w:rsidR="008B35E8" w:rsidRPr="002866E5">
        <w:rPr>
          <w:noProof/>
        </w:rPr>
        <w:t>szc</w:t>
      </w:r>
      <w:r w:rsidR="00926F7E" w:rsidRPr="002866E5">
        <w:rPr>
          <w:noProof/>
        </w:rPr>
        <w:t>zególności dane niezbędne do identyfikacji niezgodnego</w:t>
      </w:r>
      <w:r w:rsidR="008B35E8" w:rsidRPr="002866E5">
        <w:rPr>
          <w:noProof/>
        </w:rPr>
        <w:t xml:space="preserve"> z</w:t>
      </w:r>
      <w:r w:rsidR="008B35E8">
        <w:rPr>
          <w:noProof/>
        </w:rPr>
        <w:t> </w:t>
      </w:r>
      <w:r w:rsidR="008B35E8" w:rsidRPr="002866E5">
        <w:rPr>
          <w:noProof/>
        </w:rPr>
        <w:t>prz</w:t>
      </w:r>
      <w:r w:rsidR="00926F7E" w:rsidRPr="002866E5">
        <w:rPr>
          <w:noProof/>
        </w:rPr>
        <w:t>episami produktu</w:t>
      </w:r>
      <w:r w:rsidR="008B35E8" w:rsidRPr="002866E5">
        <w:rPr>
          <w:noProof/>
        </w:rPr>
        <w:t xml:space="preserve"> z</w:t>
      </w:r>
      <w:r w:rsidR="008B35E8">
        <w:rPr>
          <w:noProof/>
        </w:rPr>
        <w:t> </w:t>
      </w:r>
      <w:r w:rsidR="008B35E8" w:rsidRPr="002866E5">
        <w:rPr>
          <w:noProof/>
        </w:rPr>
        <w:t>ele</w:t>
      </w:r>
      <w:r w:rsidR="00926F7E" w:rsidRPr="002866E5">
        <w:rPr>
          <w:noProof/>
        </w:rPr>
        <w:t>mentami cyfrowymi, pochodzenie produktu</w:t>
      </w:r>
      <w:r w:rsidR="008B35E8" w:rsidRPr="002866E5">
        <w:rPr>
          <w:noProof/>
        </w:rPr>
        <w:t xml:space="preserve"> z</w:t>
      </w:r>
      <w:r w:rsidR="008B35E8">
        <w:rPr>
          <w:noProof/>
        </w:rPr>
        <w:t> </w:t>
      </w:r>
      <w:r w:rsidR="008B35E8" w:rsidRPr="002866E5">
        <w:rPr>
          <w:noProof/>
        </w:rPr>
        <w:t>ele</w:t>
      </w:r>
      <w:r w:rsidR="00926F7E" w:rsidRPr="002866E5">
        <w:rPr>
          <w:noProof/>
        </w:rPr>
        <w:t>mentami cyfrowymi, charakter domniemanej niezgodności</w:t>
      </w:r>
      <w:r w:rsidR="008B35E8" w:rsidRPr="002866E5">
        <w:rPr>
          <w:noProof/>
        </w:rPr>
        <w:t xml:space="preserve"> i</w:t>
      </w:r>
      <w:r w:rsidR="008B35E8">
        <w:rPr>
          <w:noProof/>
        </w:rPr>
        <w:t> </w:t>
      </w:r>
      <w:r w:rsidR="008B35E8" w:rsidRPr="002866E5">
        <w:rPr>
          <w:noProof/>
        </w:rPr>
        <w:t>zwi</w:t>
      </w:r>
      <w:r w:rsidR="00926F7E" w:rsidRPr="002866E5">
        <w:rPr>
          <w:noProof/>
        </w:rPr>
        <w:t>ązanego</w:t>
      </w:r>
      <w:r w:rsidR="008B35E8" w:rsidRPr="002866E5">
        <w:rPr>
          <w:noProof/>
        </w:rPr>
        <w:t xml:space="preserve"> z</w:t>
      </w:r>
      <w:r w:rsidR="008B35E8">
        <w:rPr>
          <w:noProof/>
        </w:rPr>
        <w:t> </w:t>
      </w:r>
      <w:r w:rsidR="008B35E8" w:rsidRPr="002866E5">
        <w:rPr>
          <w:noProof/>
        </w:rPr>
        <w:t>nią</w:t>
      </w:r>
      <w:r w:rsidR="00926F7E" w:rsidRPr="002866E5">
        <w:rPr>
          <w:noProof/>
        </w:rPr>
        <w:t xml:space="preserve"> ryzyka, charakter</w:t>
      </w:r>
      <w:r w:rsidR="008B35E8" w:rsidRPr="002866E5">
        <w:rPr>
          <w:noProof/>
        </w:rPr>
        <w:t xml:space="preserve"> i</w:t>
      </w:r>
      <w:r w:rsidR="008B35E8">
        <w:rPr>
          <w:noProof/>
        </w:rPr>
        <w:t> </w:t>
      </w:r>
      <w:r w:rsidR="008B35E8" w:rsidRPr="002866E5">
        <w:rPr>
          <w:noProof/>
        </w:rPr>
        <w:t>okr</w:t>
      </w:r>
      <w:r w:rsidR="00926F7E" w:rsidRPr="002866E5">
        <w:rPr>
          <w:noProof/>
        </w:rPr>
        <w:t>es obowiązywania wprowadzonych środków krajowych oraz argumenty przedstawione przez właściwy podmiot gospodarczy</w:t>
      </w:r>
      <w:r w:rsidR="008B35E8" w:rsidRPr="002866E5">
        <w:rPr>
          <w:noProof/>
        </w:rPr>
        <w:t>. W</w:t>
      </w:r>
      <w:r w:rsidR="008B35E8">
        <w:rPr>
          <w:noProof/>
        </w:rPr>
        <w:t> </w:t>
      </w:r>
      <w:r w:rsidR="008B35E8" w:rsidRPr="002866E5">
        <w:rPr>
          <w:noProof/>
        </w:rPr>
        <w:t>szc</w:t>
      </w:r>
      <w:r w:rsidR="00926F7E" w:rsidRPr="002866E5">
        <w:rPr>
          <w:noProof/>
        </w:rPr>
        <w:t>zególności organ nadzoru rynku wskazuje, czy niezgodność wynika z co najmniej jednej</w:t>
      </w:r>
      <w:r w:rsidR="008B35E8" w:rsidRPr="002866E5">
        <w:rPr>
          <w:noProof/>
        </w:rPr>
        <w:t xml:space="preserve"> z</w:t>
      </w:r>
      <w:r w:rsidR="008B35E8">
        <w:rPr>
          <w:noProof/>
        </w:rPr>
        <w:t> </w:t>
      </w:r>
      <w:r w:rsidR="008B35E8" w:rsidRPr="002866E5">
        <w:rPr>
          <w:noProof/>
        </w:rPr>
        <w:t>nas</w:t>
      </w:r>
      <w:r w:rsidR="00926F7E" w:rsidRPr="002866E5">
        <w:rPr>
          <w:noProof/>
        </w:rPr>
        <w:t>tępujących przyczyn:</w:t>
      </w:r>
    </w:p>
    <w:p w14:paraId="67ED8883" w14:textId="7342758E" w:rsidR="00AB741C" w:rsidRPr="002866E5" w:rsidRDefault="000340F9" w:rsidP="000340F9">
      <w:pPr>
        <w:pStyle w:val="Point1"/>
        <w:rPr>
          <w:noProof/>
        </w:rPr>
      </w:pPr>
      <w:r w:rsidRPr="000340F9">
        <w:rPr>
          <w:noProof/>
        </w:rPr>
        <w:t>a)</w:t>
      </w:r>
      <w:r w:rsidRPr="000340F9">
        <w:rPr>
          <w:noProof/>
        </w:rPr>
        <w:tab/>
      </w:r>
      <w:r w:rsidR="00926F7E" w:rsidRPr="002866E5">
        <w:rPr>
          <w:noProof/>
        </w:rPr>
        <w:t>niespełnienia przez produkt lub procedury wprowadzone przez producenta zasadniczych wymogów określonych</w:t>
      </w:r>
      <w:r w:rsidR="008B35E8" w:rsidRPr="002866E5">
        <w:rPr>
          <w:noProof/>
        </w:rPr>
        <w:t xml:space="preserve"> w</w:t>
      </w:r>
      <w:r w:rsidR="008B35E8">
        <w:rPr>
          <w:noProof/>
        </w:rPr>
        <w:t> </w:t>
      </w:r>
      <w:r w:rsidR="008B35E8" w:rsidRPr="002866E5">
        <w:rPr>
          <w:noProof/>
        </w:rPr>
        <w:t>zał</w:t>
      </w:r>
      <w:r w:rsidR="00926F7E" w:rsidRPr="002866E5">
        <w:rPr>
          <w:noProof/>
        </w:rPr>
        <w:t>ączniku I;</w:t>
      </w:r>
    </w:p>
    <w:p w14:paraId="67ED8884" w14:textId="543C2214" w:rsidR="00926F7E" w:rsidRPr="002866E5" w:rsidRDefault="000340F9" w:rsidP="000340F9">
      <w:pPr>
        <w:pStyle w:val="Point1"/>
        <w:rPr>
          <w:noProof/>
        </w:rPr>
      </w:pPr>
      <w:r w:rsidRPr="000340F9">
        <w:rPr>
          <w:noProof/>
        </w:rPr>
        <w:t>b)</w:t>
      </w:r>
      <w:r w:rsidRPr="000340F9">
        <w:rPr>
          <w:noProof/>
        </w:rPr>
        <w:tab/>
      </w:r>
      <w:r w:rsidR="00926F7E" w:rsidRPr="002866E5">
        <w:rPr>
          <w:noProof/>
        </w:rPr>
        <w:t>niedociągnięć</w:t>
      </w:r>
      <w:r w:rsidR="008B35E8" w:rsidRPr="002866E5">
        <w:rPr>
          <w:noProof/>
        </w:rPr>
        <w:t xml:space="preserve"> w</w:t>
      </w:r>
      <w:r w:rsidR="008B35E8">
        <w:rPr>
          <w:noProof/>
        </w:rPr>
        <w:t> </w:t>
      </w:r>
      <w:r w:rsidR="008B35E8" w:rsidRPr="002866E5">
        <w:rPr>
          <w:noProof/>
        </w:rPr>
        <w:t>nor</w:t>
      </w:r>
      <w:r w:rsidR="00926F7E" w:rsidRPr="002866E5">
        <w:rPr>
          <w:noProof/>
        </w:rPr>
        <w:t>mach zharmonizowanych, programach certyfikacji cyberbezpieczeństwa lub wspólnych specyfikacjach,</w:t>
      </w:r>
      <w:r w:rsidR="008B35E8" w:rsidRPr="002866E5">
        <w:rPr>
          <w:noProof/>
        </w:rPr>
        <w:t xml:space="preserve"> o</w:t>
      </w:r>
      <w:r w:rsidR="008B35E8">
        <w:rPr>
          <w:noProof/>
        </w:rPr>
        <w:t> </w:t>
      </w:r>
      <w:r w:rsidR="008B35E8" w:rsidRPr="002866E5">
        <w:rPr>
          <w:noProof/>
        </w:rPr>
        <w:t>któ</w:t>
      </w:r>
      <w:r w:rsidR="00926F7E" w:rsidRPr="002866E5">
        <w:rPr>
          <w:noProof/>
        </w:rPr>
        <w:t>rych mowa</w:t>
      </w:r>
      <w:r w:rsidR="008B35E8" w:rsidRPr="002866E5">
        <w:rPr>
          <w:noProof/>
        </w:rPr>
        <w:t xml:space="preserve"> w</w:t>
      </w:r>
      <w:r w:rsidR="008B35E8">
        <w:rPr>
          <w:noProof/>
        </w:rPr>
        <w:t> </w:t>
      </w:r>
      <w:r w:rsidR="008B35E8" w:rsidRPr="008B35E8">
        <w:rPr>
          <w:noProof/>
        </w:rPr>
        <w:t>art</w:t>
      </w:r>
      <w:r w:rsidR="00926F7E" w:rsidRPr="008B35E8">
        <w:rPr>
          <w:noProof/>
        </w:rPr>
        <w:t>.</w:t>
      </w:r>
      <w:r w:rsidR="008B35E8" w:rsidRPr="008B35E8">
        <w:rPr>
          <w:noProof/>
        </w:rPr>
        <w:t> </w:t>
      </w:r>
      <w:r w:rsidR="00926F7E" w:rsidRPr="008B35E8">
        <w:rPr>
          <w:noProof/>
        </w:rPr>
        <w:t>1</w:t>
      </w:r>
      <w:r w:rsidR="00926F7E" w:rsidRPr="002866E5">
        <w:rPr>
          <w:noProof/>
        </w:rPr>
        <w:t>8.</w:t>
      </w:r>
    </w:p>
    <w:p w14:paraId="67ED8885" w14:textId="4E12B73C" w:rsidR="0088539F" w:rsidRPr="002866E5" w:rsidRDefault="00B4087C" w:rsidP="00B4087C">
      <w:pPr>
        <w:pStyle w:val="ManualNumPar1"/>
        <w:rPr>
          <w:noProof/>
        </w:rPr>
      </w:pPr>
      <w:r w:rsidRPr="00B4087C">
        <w:t>6.</w:t>
      </w:r>
      <w:r w:rsidRPr="00B4087C">
        <w:tab/>
      </w:r>
      <w:r w:rsidR="00EF1897" w:rsidRPr="002866E5">
        <w:rPr>
          <w:noProof/>
        </w:rPr>
        <w:t>Organy nadzoru rynku państw członkowskich inne niż organ nadzoru rynku państwa członkowskiego wszczynającego procedurę niezwłocznie informują Komisję</w:t>
      </w:r>
      <w:r w:rsidR="008B35E8" w:rsidRPr="002866E5">
        <w:rPr>
          <w:noProof/>
        </w:rPr>
        <w:t xml:space="preserve"> i</w:t>
      </w:r>
      <w:r w:rsidR="008B35E8">
        <w:rPr>
          <w:noProof/>
        </w:rPr>
        <w:t> </w:t>
      </w:r>
      <w:r w:rsidR="008B35E8" w:rsidRPr="002866E5">
        <w:rPr>
          <w:noProof/>
        </w:rPr>
        <w:t>poz</w:t>
      </w:r>
      <w:r w:rsidR="00EF1897" w:rsidRPr="002866E5">
        <w:rPr>
          <w:noProof/>
        </w:rPr>
        <w:t>ostałe państwa członkowskie</w:t>
      </w:r>
      <w:r w:rsidR="008B35E8" w:rsidRPr="002866E5">
        <w:rPr>
          <w:noProof/>
        </w:rPr>
        <w:t xml:space="preserve"> o</w:t>
      </w:r>
      <w:r w:rsidR="008B35E8">
        <w:rPr>
          <w:noProof/>
        </w:rPr>
        <w:t> </w:t>
      </w:r>
      <w:r w:rsidR="008B35E8" w:rsidRPr="002866E5">
        <w:rPr>
          <w:noProof/>
        </w:rPr>
        <w:t>wsz</w:t>
      </w:r>
      <w:r w:rsidR="00EF1897" w:rsidRPr="002866E5">
        <w:rPr>
          <w:noProof/>
        </w:rPr>
        <w:t>elkich przyjętych środkach</w:t>
      </w:r>
      <w:r w:rsidR="008B35E8" w:rsidRPr="002866E5">
        <w:rPr>
          <w:noProof/>
        </w:rPr>
        <w:t xml:space="preserve"> i</w:t>
      </w:r>
      <w:r w:rsidR="008B35E8">
        <w:rPr>
          <w:noProof/>
        </w:rPr>
        <w:t> </w:t>
      </w:r>
      <w:r w:rsidR="008B35E8" w:rsidRPr="002866E5">
        <w:rPr>
          <w:noProof/>
        </w:rPr>
        <w:t>prz</w:t>
      </w:r>
      <w:r w:rsidR="00EF1897" w:rsidRPr="002866E5">
        <w:rPr>
          <w:noProof/>
        </w:rPr>
        <w:t>ekazują wszelkie posiadane dodatkowe informacje dotyczące niezgodności danego produktu</w:t>
      </w:r>
      <w:r w:rsidR="008B35E8" w:rsidRPr="002866E5">
        <w:rPr>
          <w:noProof/>
        </w:rPr>
        <w:t xml:space="preserve"> z</w:t>
      </w:r>
      <w:r w:rsidR="008B35E8">
        <w:rPr>
          <w:noProof/>
        </w:rPr>
        <w:t> </w:t>
      </w:r>
      <w:r w:rsidR="008B35E8" w:rsidRPr="002866E5">
        <w:rPr>
          <w:noProof/>
        </w:rPr>
        <w:t>prz</w:t>
      </w:r>
      <w:r w:rsidR="00EF1897" w:rsidRPr="002866E5">
        <w:rPr>
          <w:noProof/>
        </w:rPr>
        <w:t>episami lub przedstawiają swoje zastrzeżenia, jeżeli nie zgadzają się ze zgłoszonym środkiem krajowym.</w:t>
      </w:r>
    </w:p>
    <w:p w14:paraId="67ED8886" w14:textId="1BF2D644" w:rsidR="00EF1897" w:rsidRPr="002866E5" w:rsidRDefault="00B4087C" w:rsidP="00B4087C">
      <w:pPr>
        <w:pStyle w:val="ManualNumPar1"/>
        <w:rPr>
          <w:noProof/>
        </w:rPr>
      </w:pPr>
      <w:r w:rsidRPr="00B4087C">
        <w:t>7.</w:t>
      </w:r>
      <w:r w:rsidRPr="00B4087C">
        <w:tab/>
      </w:r>
      <w:r w:rsidR="00EF1897" w:rsidRPr="002866E5">
        <w:rPr>
          <w:noProof/>
        </w:rPr>
        <w:t>W przypadku gdy</w:t>
      </w:r>
      <w:r w:rsidR="008B35E8" w:rsidRPr="002866E5">
        <w:rPr>
          <w:noProof/>
        </w:rPr>
        <w:t xml:space="preserve"> w</w:t>
      </w:r>
      <w:r w:rsidR="008B35E8">
        <w:rPr>
          <w:noProof/>
        </w:rPr>
        <w:t> </w:t>
      </w:r>
      <w:r w:rsidR="008B35E8" w:rsidRPr="002866E5">
        <w:rPr>
          <w:noProof/>
        </w:rPr>
        <w:t>ter</w:t>
      </w:r>
      <w:r w:rsidR="00EF1897" w:rsidRPr="002866E5">
        <w:rPr>
          <w:noProof/>
        </w:rPr>
        <w:t>minie trzech miesięcy od otrzymania informacji,</w:t>
      </w:r>
      <w:r w:rsidR="008B35E8" w:rsidRPr="002866E5">
        <w:rPr>
          <w:noProof/>
        </w:rPr>
        <w:t xml:space="preserve"> o</w:t>
      </w:r>
      <w:r w:rsidR="008B35E8">
        <w:rPr>
          <w:noProof/>
        </w:rPr>
        <w:t> </w:t>
      </w:r>
      <w:r w:rsidR="008B35E8" w:rsidRPr="002866E5">
        <w:rPr>
          <w:noProof/>
        </w:rPr>
        <w:t>któ</w:t>
      </w:r>
      <w:r w:rsidR="00EF1897" w:rsidRPr="002866E5">
        <w:rPr>
          <w:noProof/>
        </w:rPr>
        <w:t>rych mowa</w:t>
      </w:r>
      <w:r w:rsidR="008B35E8" w:rsidRPr="002866E5">
        <w:rPr>
          <w:noProof/>
        </w:rPr>
        <w:t xml:space="preserve"> w</w:t>
      </w:r>
      <w:r w:rsidR="008B35E8">
        <w:rPr>
          <w:noProof/>
        </w:rPr>
        <w:t> </w:t>
      </w:r>
      <w:r w:rsidR="008B35E8" w:rsidRPr="008B35E8">
        <w:rPr>
          <w:noProof/>
        </w:rPr>
        <w:t>ust</w:t>
      </w:r>
      <w:r w:rsidR="00EF1897" w:rsidRPr="008B35E8">
        <w:rPr>
          <w:noProof/>
        </w:rPr>
        <w:t>.</w:t>
      </w:r>
      <w:r w:rsidR="008B35E8" w:rsidRPr="008B35E8">
        <w:rPr>
          <w:noProof/>
        </w:rPr>
        <w:t> </w:t>
      </w:r>
      <w:r w:rsidR="00EF1897" w:rsidRPr="008B35E8">
        <w:rPr>
          <w:noProof/>
        </w:rPr>
        <w:t>4</w:t>
      </w:r>
      <w:r w:rsidR="00EF1897" w:rsidRPr="002866E5">
        <w:rPr>
          <w:noProof/>
        </w:rPr>
        <w:t>, żadne państwo członkowskie ani Komisja nie zgłosi sprzeciwu wobec środka tymczasowego wprowadzonego przez dane państwo członkowskie, środek ten uznaje się za uzasadniony. Pozostaje to bez uszczerbku dla praw procesowych danego podmiotu gospodarczego określonych</w:t>
      </w:r>
      <w:r w:rsidR="008B35E8" w:rsidRPr="002866E5">
        <w:rPr>
          <w:noProof/>
        </w:rPr>
        <w:t xml:space="preserve"> w</w:t>
      </w:r>
      <w:r w:rsidR="008B35E8">
        <w:rPr>
          <w:noProof/>
        </w:rPr>
        <w:t> </w:t>
      </w:r>
      <w:r w:rsidR="008B35E8" w:rsidRPr="008B35E8">
        <w:rPr>
          <w:noProof/>
        </w:rPr>
        <w:t>art</w:t>
      </w:r>
      <w:r w:rsidR="00EF1897" w:rsidRPr="008B35E8">
        <w:rPr>
          <w:noProof/>
        </w:rPr>
        <w:t>.</w:t>
      </w:r>
      <w:r w:rsidR="008B35E8" w:rsidRPr="008B35E8">
        <w:rPr>
          <w:noProof/>
        </w:rPr>
        <w:t> </w:t>
      </w:r>
      <w:r w:rsidR="00EF1897" w:rsidRPr="008B35E8">
        <w:rPr>
          <w:noProof/>
        </w:rPr>
        <w:t>1</w:t>
      </w:r>
      <w:r w:rsidR="00EF1897" w:rsidRPr="002866E5">
        <w:rPr>
          <w:noProof/>
        </w:rPr>
        <w:t>8 rozporządzenia (UE) 2019/1020.</w:t>
      </w:r>
    </w:p>
    <w:p w14:paraId="67ED8887" w14:textId="463FE2F6" w:rsidR="00EF1897" w:rsidRPr="002866E5" w:rsidRDefault="00B4087C" w:rsidP="00B4087C">
      <w:pPr>
        <w:pStyle w:val="ManualNumPar1"/>
        <w:rPr>
          <w:noProof/>
        </w:rPr>
      </w:pPr>
      <w:r w:rsidRPr="00B4087C">
        <w:lastRenderedPageBreak/>
        <w:t>8.</w:t>
      </w:r>
      <w:r w:rsidRPr="00B4087C">
        <w:tab/>
      </w:r>
      <w:r w:rsidR="00EF1897" w:rsidRPr="002866E5">
        <w:rPr>
          <w:noProof/>
        </w:rPr>
        <w:t>Organy nadzoru rynku we wszystkich państwach członkowskich zapewniają niezwłoczne wprowadzenie odpowiednich środków ograniczających</w:t>
      </w:r>
      <w:r w:rsidR="008B35E8" w:rsidRPr="002866E5">
        <w:rPr>
          <w:noProof/>
        </w:rPr>
        <w:t xml:space="preserve"> w</w:t>
      </w:r>
      <w:r w:rsidR="008B35E8">
        <w:rPr>
          <w:noProof/>
        </w:rPr>
        <w:t> </w:t>
      </w:r>
      <w:r w:rsidR="008B35E8" w:rsidRPr="002866E5">
        <w:rPr>
          <w:noProof/>
        </w:rPr>
        <w:t>odn</w:t>
      </w:r>
      <w:r w:rsidR="00EF1897" w:rsidRPr="002866E5">
        <w:rPr>
          <w:noProof/>
        </w:rPr>
        <w:t>iesieniu do danego produktu, takich jak wycofanie produktu</w:t>
      </w:r>
      <w:r w:rsidR="008B35E8" w:rsidRPr="002866E5">
        <w:rPr>
          <w:noProof/>
        </w:rPr>
        <w:t xml:space="preserve"> z</w:t>
      </w:r>
      <w:r w:rsidR="008B35E8">
        <w:rPr>
          <w:noProof/>
        </w:rPr>
        <w:t> </w:t>
      </w:r>
      <w:r w:rsidR="008B35E8" w:rsidRPr="002866E5">
        <w:rPr>
          <w:noProof/>
        </w:rPr>
        <w:t>obr</w:t>
      </w:r>
      <w:r w:rsidR="00EF1897" w:rsidRPr="002866E5">
        <w:rPr>
          <w:noProof/>
        </w:rPr>
        <w:t>otu.</w:t>
      </w:r>
    </w:p>
    <w:p w14:paraId="67ED8888" w14:textId="2634799E" w:rsidR="0088539F" w:rsidRPr="002866E5" w:rsidRDefault="00EF1897" w:rsidP="0027065F">
      <w:pPr>
        <w:pStyle w:val="Titrearticle0"/>
        <w:rPr>
          <w:i w:val="0"/>
          <w:noProof/>
        </w:rPr>
      </w:pPr>
      <w:r w:rsidRPr="002866E5">
        <w:rPr>
          <w:noProof/>
        </w:rPr>
        <w:t>Artykuł 44</w:t>
      </w:r>
    </w:p>
    <w:p w14:paraId="67ED8889" w14:textId="77777777" w:rsidR="00EF1897" w:rsidRPr="002866E5" w:rsidRDefault="00EF1897" w:rsidP="00084E38">
      <w:pPr>
        <w:jc w:val="center"/>
        <w:rPr>
          <w:i/>
          <w:noProof/>
        </w:rPr>
      </w:pPr>
      <w:r w:rsidRPr="002866E5">
        <w:rPr>
          <w:i/>
          <w:noProof/>
        </w:rPr>
        <w:t>Unijna procedura ochronna</w:t>
      </w:r>
    </w:p>
    <w:p w14:paraId="67ED888A" w14:textId="20BB2324" w:rsidR="00EF1897" w:rsidRPr="002866E5" w:rsidRDefault="00B4087C" w:rsidP="00B4087C">
      <w:pPr>
        <w:pStyle w:val="ManualNumPar1"/>
        <w:rPr>
          <w:noProof/>
        </w:rPr>
      </w:pPr>
      <w:r w:rsidRPr="00B4087C">
        <w:t>1.</w:t>
      </w:r>
      <w:r w:rsidRPr="00B4087C">
        <w:tab/>
      </w:r>
      <w:r w:rsidR="00EF1897" w:rsidRPr="002866E5">
        <w:rPr>
          <w:noProof/>
        </w:rPr>
        <w:t>Jeżeli</w:t>
      </w:r>
      <w:r w:rsidR="008B35E8" w:rsidRPr="002866E5">
        <w:rPr>
          <w:noProof/>
        </w:rPr>
        <w:t xml:space="preserve"> w</w:t>
      </w:r>
      <w:r w:rsidR="008B35E8">
        <w:rPr>
          <w:noProof/>
        </w:rPr>
        <w:t> </w:t>
      </w:r>
      <w:r w:rsidR="008B35E8" w:rsidRPr="002866E5">
        <w:rPr>
          <w:noProof/>
        </w:rPr>
        <w:t>ter</w:t>
      </w:r>
      <w:r w:rsidR="00EF1897" w:rsidRPr="002866E5">
        <w:rPr>
          <w:noProof/>
        </w:rPr>
        <w:t>minie trzech miesięcy od dnia otrzymania informacji,</w:t>
      </w:r>
      <w:r w:rsidR="008B35E8" w:rsidRPr="002866E5">
        <w:rPr>
          <w:noProof/>
        </w:rPr>
        <w:t xml:space="preserve"> o</w:t>
      </w:r>
      <w:r w:rsidR="008B35E8">
        <w:rPr>
          <w:noProof/>
        </w:rPr>
        <w:t> </w:t>
      </w:r>
      <w:r w:rsidR="008B35E8" w:rsidRPr="002866E5">
        <w:rPr>
          <w:noProof/>
        </w:rPr>
        <w:t>któ</w:t>
      </w:r>
      <w:r w:rsidR="00EF1897" w:rsidRPr="002866E5">
        <w:rPr>
          <w:noProof/>
        </w:rPr>
        <w:t>rej mowa</w:t>
      </w:r>
      <w:r w:rsidR="008B35E8" w:rsidRPr="002866E5">
        <w:rPr>
          <w:noProof/>
        </w:rPr>
        <w:t xml:space="preserve"> w</w:t>
      </w:r>
      <w:r w:rsidR="008B35E8">
        <w:rPr>
          <w:noProof/>
        </w:rPr>
        <w:t> </w:t>
      </w:r>
      <w:r w:rsidR="008B35E8" w:rsidRPr="008B35E8">
        <w:rPr>
          <w:noProof/>
        </w:rPr>
        <w:t>art</w:t>
      </w:r>
      <w:r w:rsidR="00EF1897" w:rsidRPr="008B35E8">
        <w:rPr>
          <w:noProof/>
        </w:rPr>
        <w:t>.</w:t>
      </w:r>
      <w:r w:rsidR="008B35E8" w:rsidRPr="008B35E8">
        <w:rPr>
          <w:noProof/>
        </w:rPr>
        <w:t> </w:t>
      </w:r>
      <w:r w:rsidR="00EF1897" w:rsidRPr="008B35E8">
        <w:rPr>
          <w:noProof/>
        </w:rPr>
        <w:t>4</w:t>
      </w:r>
      <w:r w:rsidR="00EF1897" w:rsidRPr="002866E5">
        <w:rPr>
          <w:noProof/>
        </w:rPr>
        <w:t xml:space="preserve">3 </w:t>
      </w:r>
      <w:r w:rsidR="00EF1897" w:rsidRPr="008B35E8">
        <w:rPr>
          <w:noProof/>
        </w:rPr>
        <w:t>ust.</w:t>
      </w:r>
      <w:r w:rsidR="008B35E8" w:rsidRPr="008B35E8">
        <w:rPr>
          <w:noProof/>
        </w:rPr>
        <w:t> </w:t>
      </w:r>
      <w:r w:rsidR="00EF1897" w:rsidRPr="008B35E8">
        <w:rPr>
          <w:noProof/>
        </w:rPr>
        <w:t>4</w:t>
      </w:r>
      <w:r w:rsidR="00EF1897" w:rsidRPr="002866E5">
        <w:rPr>
          <w:noProof/>
        </w:rPr>
        <w:t>, państwo członkowskie zgłosi zastrzeżenia dotyczące środka wprowadzonego przez inne państwo członkowskie lub jeżeli Komisja uzna taki środek za sprzeczny</w:t>
      </w:r>
      <w:r w:rsidR="008B35E8" w:rsidRPr="002866E5">
        <w:rPr>
          <w:noProof/>
        </w:rPr>
        <w:t xml:space="preserve"> z</w:t>
      </w:r>
      <w:r w:rsidR="008B35E8">
        <w:rPr>
          <w:noProof/>
        </w:rPr>
        <w:t> </w:t>
      </w:r>
      <w:r w:rsidR="008B35E8" w:rsidRPr="002866E5">
        <w:rPr>
          <w:noProof/>
        </w:rPr>
        <w:t>prz</w:t>
      </w:r>
      <w:r w:rsidR="00EF1897" w:rsidRPr="002866E5">
        <w:rPr>
          <w:noProof/>
        </w:rPr>
        <w:t>episami Unii, Komisja niezwłocznie przystępuje do konsultacji</w:t>
      </w:r>
      <w:r w:rsidR="008B35E8" w:rsidRPr="002866E5">
        <w:rPr>
          <w:noProof/>
        </w:rPr>
        <w:t xml:space="preserve"> z</w:t>
      </w:r>
      <w:r w:rsidR="008B35E8">
        <w:rPr>
          <w:noProof/>
        </w:rPr>
        <w:t> </w:t>
      </w:r>
      <w:r w:rsidR="008B35E8" w:rsidRPr="002866E5">
        <w:rPr>
          <w:noProof/>
        </w:rPr>
        <w:t>odp</w:t>
      </w:r>
      <w:r w:rsidR="00EF1897" w:rsidRPr="002866E5">
        <w:rPr>
          <w:noProof/>
        </w:rPr>
        <w:t>owiednim państwem członkowskim</w:t>
      </w:r>
      <w:r w:rsidR="008B35E8" w:rsidRPr="002866E5">
        <w:rPr>
          <w:noProof/>
        </w:rPr>
        <w:t xml:space="preserve"> i</w:t>
      </w:r>
      <w:r w:rsidR="008B35E8">
        <w:rPr>
          <w:noProof/>
        </w:rPr>
        <w:t> </w:t>
      </w:r>
      <w:r w:rsidR="008B35E8" w:rsidRPr="002866E5">
        <w:rPr>
          <w:noProof/>
        </w:rPr>
        <w:t>pod</w:t>
      </w:r>
      <w:r w:rsidR="00EF1897" w:rsidRPr="002866E5">
        <w:rPr>
          <w:noProof/>
        </w:rPr>
        <w:t>miotem gospodarczym lub podmiotami gospodarczymi</w:t>
      </w:r>
      <w:r w:rsidR="008B35E8" w:rsidRPr="002866E5">
        <w:rPr>
          <w:noProof/>
        </w:rPr>
        <w:t xml:space="preserve"> i</w:t>
      </w:r>
      <w:r w:rsidR="008B35E8">
        <w:rPr>
          <w:noProof/>
        </w:rPr>
        <w:t> </w:t>
      </w:r>
      <w:r w:rsidR="008B35E8" w:rsidRPr="002866E5">
        <w:rPr>
          <w:noProof/>
        </w:rPr>
        <w:t>pod</w:t>
      </w:r>
      <w:r w:rsidR="00EF1897" w:rsidRPr="002866E5">
        <w:rPr>
          <w:noProof/>
        </w:rPr>
        <w:t>daje taki środek krajowy ocenie. Na podstawie wyników tej oceny Komisja podejmuje decyzję, czy środek krajowy jest uzasadniony czy nie,</w:t>
      </w:r>
      <w:r w:rsidR="008B35E8" w:rsidRPr="002866E5">
        <w:rPr>
          <w:noProof/>
        </w:rPr>
        <w:t xml:space="preserve"> w</w:t>
      </w:r>
      <w:r w:rsidR="008B35E8">
        <w:rPr>
          <w:noProof/>
        </w:rPr>
        <w:t> </w:t>
      </w:r>
      <w:r w:rsidR="008B35E8" w:rsidRPr="002866E5">
        <w:rPr>
          <w:noProof/>
        </w:rPr>
        <w:t>ter</w:t>
      </w:r>
      <w:r w:rsidR="00EF1897" w:rsidRPr="002866E5">
        <w:rPr>
          <w:noProof/>
        </w:rPr>
        <w:t>minie dziewięciu miesięcy od otrzymania informacji,</w:t>
      </w:r>
      <w:r w:rsidR="008B35E8" w:rsidRPr="002866E5">
        <w:rPr>
          <w:noProof/>
        </w:rPr>
        <w:t xml:space="preserve"> o</w:t>
      </w:r>
      <w:r w:rsidR="008B35E8">
        <w:rPr>
          <w:noProof/>
        </w:rPr>
        <w:t> </w:t>
      </w:r>
      <w:r w:rsidR="008B35E8" w:rsidRPr="002866E5">
        <w:rPr>
          <w:noProof/>
        </w:rPr>
        <w:t>któ</w:t>
      </w:r>
      <w:r w:rsidR="00EF1897" w:rsidRPr="002866E5">
        <w:rPr>
          <w:noProof/>
        </w:rPr>
        <w:t>rej mowa</w:t>
      </w:r>
      <w:r w:rsidR="008B35E8" w:rsidRPr="002866E5">
        <w:rPr>
          <w:noProof/>
        </w:rPr>
        <w:t xml:space="preserve"> w</w:t>
      </w:r>
      <w:r w:rsidR="008B35E8">
        <w:rPr>
          <w:noProof/>
        </w:rPr>
        <w:t> </w:t>
      </w:r>
      <w:r w:rsidR="008B35E8" w:rsidRPr="008B35E8">
        <w:rPr>
          <w:noProof/>
        </w:rPr>
        <w:t>art</w:t>
      </w:r>
      <w:r w:rsidR="00EF1897" w:rsidRPr="008B35E8">
        <w:rPr>
          <w:noProof/>
        </w:rPr>
        <w:t>.</w:t>
      </w:r>
      <w:r w:rsidR="008B35E8" w:rsidRPr="008B35E8">
        <w:rPr>
          <w:noProof/>
        </w:rPr>
        <w:t> </w:t>
      </w:r>
      <w:r w:rsidR="00EF1897" w:rsidRPr="008B35E8">
        <w:rPr>
          <w:noProof/>
        </w:rPr>
        <w:t>4</w:t>
      </w:r>
      <w:r w:rsidR="00EF1897" w:rsidRPr="002866E5">
        <w:rPr>
          <w:noProof/>
        </w:rPr>
        <w:t xml:space="preserve">3 </w:t>
      </w:r>
      <w:r w:rsidR="00EF1897" w:rsidRPr="008B35E8">
        <w:rPr>
          <w:noProof/>
        </w:rPr>
        <w:t>ust.</w:t>
      </w:r>
      <w:r w:rsidR="008B35E8" w:rsidRPr="008B35E8">
        <w:rPr>
          <w:noProof/>
        </w:rPr>
        <w:t> </w:t>
      </w:r>
      <w:r w:rsidR="00EF1897" w:rsidRPr="008B35E8">
        <w:rPr>
          <w:noProof/>
        </w:rPr>
        <w:t>4</w:t>
      </w:r>
      <w:r w:rsidR="00EF1897" w:rsidRPr="002866E5">
        <w:rPr>
          <w:noProof/>
        </w:rPr>
        <w:t>,</w:t>
      </w:r>
      <w:r w:rsidR="008B35E8" w:rsidRPr="002866E5">
        <w:rPr>
          <w:noProof/>
        </w:rPr>
        <w:t xml:space="preserve"> i</w:t>
      </w:r>
      <w:r w:rsidR="008B35E8">
        <w:rPr>
          <w:noProof/>
        </w:rPr>
        <w:t> </w:t>
      </w:r>
      <w:r w:rsidR="008B35E8" w:rsidRPr="002866E5">
        <w:rPr>
          <w:noProof/>
        </w:rPr>
        <w:t>inf</w:t>
      </w:r>
      <w:r w:rsidR="00EF1897" w:rsidRPr="002866E5">
        <w:rPr>
          <w:noProof/>
        </w:rPr>
        <w:t>ormuje</w:t>
      </w:r>
      <w:r w:rsidR="008B35E8" w:rsidRPr="002866E5">
        <w:rPr>
          <w:noProof/>
        </w:rPr>
        <w:t xml:space="preserve"> o</w:t>
      </w:r>
      <w:r w:rsidR="008B35E8">
        <w:rPr>
          <w:noProof/>
        </w:rPr>
        <w:t> </w:t>
      </w:r>
      <w:r w:rsidR="008B35E8" w:rsidRPr="002866E5">
        <w:rPr>
          <w:noProof/>
        </w:rPr>
        <w:t>tej</w:t>
      </w:r>
      <w:r w:rsidR="00EF1897" w:rsidRPr="002866E5">
        <w:rPr>
          <w:noProof/>
        </w:rPr>
        <w:t xml:space="preserve"> decyzji dane państwo członkowskie.</w:t>
      </w:r>
    </w:p>
    <w:p w14:paraId="67ED888B" w14:textId="01291945" w:rsidR="00EF1897" w:rsidRPr="002866E5" w:rsidRDefault="00B4087C" w:rsidP="00B4087C">
      <w:pPr>
        <w:pStyle w:val="ManualNumPar1"/>
        <w:rPr>
          <w:noProof/>
        </w:rPr>
      </w:pPr>
      <w:r w:rsidRPr="00B4087C">
        <w:t>2.</w:t>
      </w:r>
      <w:r w:rsidRPr="00B4087C">
        <w:tab/>
      </w:r>
      <w:r w:rsidR="00EF1897" w:rsidRPr="002866E5">
        <w:rPr>
          <w:noProof/>
        </w:rPr>
        <w:t>W przypadku uznania krajowego środka za uzasadniony wszystkie państwa członkowskie wprowadzają środki konieczne do zapewnienia wycofania niezgodnego</w:t>
      </w:r>
      <w:r w:rsidR="008B35E8" w:rsidRPr="002866E5">
        <w:rPr>
          <w:noProof/>
        </w:rPr>
        <w:t xml:space="preserve"> z</w:t>
      </w:r>
      <w:r w:rsidR="008B35E8">
        <w:rPr>
          <w:noProof/>
        </w:rPr>
        <w:t> </w:t>
      </w:r>
      <w:r w:rsidR="008B35E8" w:rsidRPr="002866E5">
        <w:rPr>
          <w:noProof/>
        </w:rPr>
        <w:t>prz</w:t>
      </w:r>
      <w:r w:rsidR="00EF1897" w:rsidRPr="002866E5">
        <w:rPr>
          <w:noProof/>
        </w:rPr>
        <w:t>episami produktu</w:t>
      </w:r>
      <w:r w:rsidR="008B35E8" w:rsidRPr="002866E5">
        <w:rPr>
          <w:noProof/>
        </w:rPr>
        <w:t xml:space="preserve"> z</w:t>
      </w:r>
      <w:r w:rsidR="008B35E8">
        <w:rPr>
          <w:noProof/>
        </w:rPr>
        <w:t> </w:t>
      </w:r>
      <w:r w:rsidR="008B35E8" w:rsidRPr="002866E5">
        <w:rPr>
          <w:noProof/>
        </w:rPr>
        <w:t>ele</w:t>
      </w:r>
      <w:r w:rsidR="00EF1897" w:rsidRPr="002866E5">
        <w:rPr>
          <w:noProof/>
        </w:rPr>
        <w:t>mentami cyfrowymi ze swoich rynków oraz przekazują Komisji odpowiednie informacje</w:t>
      </w:r>
      <w:r w:rsidR="008B35E8" w:rsidRPr="002866E5">
        <w:rPr>
          <w:noProof/>
        </w:rPr>
        <w:t>. W</w:t>
      </w:r>
      <w:r w:rsidR="008B35E8">
        <w:rPr>
          <w:noProof/>
        </w:rPr>
        <w:t> </w:t>
      </w:r>
      <w:r w:rsidR="008B35E8" w:rsidRPr="002866E5">
        <w:rPr>
          <w:noProof/>
        </w:rPr>
        <w:t>prz</w:t>
      </w:r>
      <w:r w:rsidR="00EF1897" w:rsidRPr="002866E5">
        <w:rPr>
          <w:noProof/>
        </w:rPr>
        <w:t>ypadku uznania krajowego środka za nieuzasadniony dane państwo członkowskie wycofuje ten środek.</w:t>
      </w:r>
    </w:p>
    <w:p w14:paraId="67ED888C" w14:textId="7BFBAD02" w:rsidR="00956FBC" w:rsidRPr="002866E5" w:rsidRDefault="00B4087C" w:rsidP="00B4087C">
      <w:pPr>
        <w:pStyle w:val="ManualNumPar1"/>
        <w:rPr>
          <w:noProof/>
        </w:rPr>
      </w:pPr>
      <w:r w:rsidRPr="00B4087C">
        <w:t>3.</w:t>
      </w:r>
      <w:r w:rsidRPr="00B4087C">
        <w:tab/>
      </w:r>
      <w:r w:rsidR="00EF1897" w:rsidRPr="002866E5">
        <w:rPr>
          <w:noProof/>
        </w:rPr>
        <w:t>W przypadku uznania krajowego środka za uzasadniony</w:t>
      </w:r>
      <w:r w:rsidR="008B35E8" w:rsidRPr="002866E5">
        <w:rPr>
          <w:noProof/>
        </w:rPr>
        <w:t xml:space="preserve"> i</w:t>
      </w:r>
      <w:r w:rsidR="008B35E8">
        <w:rPr>
          <w:noProof/>
        </w:rPr>
        <w:t> </w:t>
      </w:r>
      <w:r w:rsidR="008B35E8" w:rsidRPr="002866E5">
        <w:rPr>
          <w:noProof/>
        </w:rPr>
        <w:t>stw</w:t>
      </w:r>
      <w:r w:rsidR="00EF1897" w:rsidRPr="002866E5">
        <w:rPr>
          <w:noProof/>
        </w:rPr>
        <w:t>ierdzenia, że niezgodność produktu</w:t>
      </w:r>
      <w:r w:rsidR="008B35E8" w:rsidRPr="002866E5">
        <w:rPr>
          <w:noProof/>
        </w:rPr>
        <w:t xml:space="preserve"> z</w:t>
      </w:r>
      <w:r w:rsidR="008B35E8">
        <w:rPr>
          <w:noProof/>
        </w:rPr>
        <w:t> </w:t>
      </w:r>
      <w:r w:rsidR="008B35E8" w:rsidRPr="002866E5">
        <w:rPr>
          <w:noProof/>
        </w:rPr>
        <w:t>ele</w:t>
      </w:r>
      <w:r w:rsidR="00EF1897" w:rsidRPr="002866E5">
        <w:rPr>
          <w:noProof/>
        </w:rPr>
        <w:t>mentami cyfrowymi wynika</w:t>
      </w:r>
      <w:r w:rsidR="008B35E8" w:rsidRPr="002866E5">
        <w:rPr>
          <w:noProof/>
        </w:rPr>
        <w:t xml:space="preserve"> z</w:t>
      </w:r>
      <w:r w:rsidR="008B35E8">
        <w:rPr>
          <w:noProof/>
        </w:rPr>
        <w:t> </w:t>
      </w:r>
      <w:r w:rsidR="008B35E8" w:rsidRPr="002866E5">
        <w:rPr>
          <w:noProof/>
        </w:rPr>
        <w:t>nie</w:t>
      </w:r>
      <w:r w:rsidR="00EF1897" w:rsidRPr="002866E5">
        <w:rPr>
          <w:noProof/>
        </w:rPr>
        <w:t>dociągnięć</w:t>
      </w:r>
      <w:r w:rsidR="008B35E8" w:rsidRPr="002866E5">
        <w:rPr>
          <w:noProof/>
        </w:rPr>
        <w:t xml:space="preserve"> w</w:t>
      </w:r>
      <w:r w:rsidR="008B35E8">
        <w:rPr>
          <w:noProof/>
        </w:rPr>
        <w:t> </w:t>
      </w:r>
      <w:r w:rsidR="008B35E8" w:rsidRPr="002866E5">
        <w:rPr>
          <w:noProof/>
        </w:rPr>
        <w:t>nor</w:t>
      </w:r>
      <w:r w:rsidR="00EF1897" w:rsidRPr="002866E5">
        <w:rPr>
          <w:noProof/>
        </w:rPr>
        <w:t>mach zharmonizowanych, Komisja stosuje procedurę przewidzianą</w:t>
      </w:r>
      <w:r w:rsidR="008B35E8" w:rsidRPr="002866E5">
        <w:rPr>
          <w:noProof/>
        </w:rPr>
        <w:t xml:space="preserve"> w</w:t>
      </w:r>
      <w:r w:rsidR="008B35E8">
        <w:rPr>
          <w:noProof/>
        </w:rPr>
        <w:t> </w:t>
      </w:r>
      <w:r w:rsidR="008B35E8" w:rsidRPr="008B35E8">
        <w:rPr>
          <w:noProof/>
        </w:rPr>
        <w:t>art</w:t>
      </w:r>
      <w:r w:rsidR="00EF1897" w:rsidRPr="008B35E8">
        <w:rPr>
          <w:noProof/>
        </w:rPr>
        <w:t>.</w:t>
      </w:r>
      <w:r w:rsidR="008B35E8" w:rsidRPr="008B35E8">
        <w:rPr>
          <w:noProof/>
        </w:rPr>
        <w:t> </w:t>
      </w:r>
      <w:r w:rsidR="00EF1897" w:rsidRPr="008B35E8">
        <w:rPr>
          <w:noProof/>
        </w:rPr>
        <w:t>1</w:t>
      </w:r>
      <w:r w:rsidR="00EF1897" w:rsidRPr="002866E5">
        <w:rPr>
          <w:noProof/>
        </w:rPr>
        <w:t xml:space="preserve">0 rozporządzenia (UE) </w:t>
      </w:r>
      <w:r w:rsidR="00EF1897" w:rsidRPr="008B35E8">
        <w:rPr>
          <w:noProof/>
        </w:rPr>
        <w:t>nr</w:t>
      </w:r>
      <w:r w:rsidR="008B35E8" w:rsidRPr="008B35E8">
        <w:rPr>
          <w:noProof/>
        </w:rPr>
        <w:t> </w:t>
      </w:r>
      <w:r w:rsidR="00EF1897" w:rsidRPr="008B35E8">
        <w:rPr>
          <w:noProof/>
        </w:rPr>
        <w:t>1</w:t>
      </w:r>
      <w:r w:rsidR="00EF1897" w:rsidRPr="002866E5">
        <w:rPr>
          <w:noProof/>
        </w:rPr>
        <w:t>025/2012.</w:t>
      </w:r>
    </w:p>
    <w:p w14:paraId="67ED888D" w14:textId="10B49D1A" w:rsidR="00E3183D" w:rsidRPr="002866E5" w:rsidRDefault="00B4087C" w:rsidP="00B4087C">
      <w:pPr>
        <w:pStyle w:val="ManualNumPar1"/>
        <w:rPr>
          <w:noProof/>
        </w:rPr>
      </w:pPr>
      <w:r w:rsidRPr="00B4087C">
        <w:t>4.</w:t>
      </w:r>
      <w:r w:rsidRPr="00B4087C">
        <w:tab/>
      </w:r>
      <w:r w:rsidR="00E3183D" w:rsidRPr="002866E5">
        <w:rPr>
          <w:noProof/>
        </w:rPr>
        <w:t>W przypadku uznania krajowego środka za uzasadniony</w:t>
      </w:r>
      <w:r w:rsidR="008B35E8" w:rsidRPr="002866E5">
        <w:rPr>
          <w:noProof/>
        </w:rPr>
        <w:t xml:space="preserve"> i</w:t>
      </w:r>
      <w:r w:rsidR="008B35E8">
        <w:rPr>
          <w:noProof/>
        </w:rPr>
        <w:t> </w:t>
      </w:r>
      <w:r w:rsidR="008B35E8" w:rsidRPr="002866E5">
        <w:rPr>
          <w:noProof/>
        </w:rPr>
        <w:t>stw</w:t>
      </w:r>
      <w:r w:rsidR="00E3183D" w:rsidRPr="002866E5">
        <w:rPr>
          <w:noProof/>
        </w:rPr>
        <w:t>ierdzenia, że niezgodność produktu</w:t>
      </w:r>
      <w:r w:rsidR="008B35E8" w:rsidRPr="002866E5">
        <w:rPr>
          <w:noProof/>
        </w:rPr>
        <w:t xml:space="preserve"> z</w:t>
      </w:r>
      <w:r w:rsidR="008B35E8">
        <w:rPr>
          <w:noProof/>
        </w:rPr>
        <w:t> </w:t>
      </w:r>
      <w:r w:rsidR="008B35E8" w:rsidRPr="002866E5">
        <w:rPr>
          <w:noProof/>
        </w:rPr>
        <w:t>ele</w:t>
      </w:r>
      <w:r w:rsidR="00E3183D" w:rsidRPr="002866E5">
        <w:rPr>
          <w:noProof/>
        </w:rPr>
        <w:t>mentami cyfrowymi wynika</w:t>
      </w:r>
      <w:r w:rsidR="008B35E8" w:rsidRPr="002866E5">
        <w:rPr>
          <w:noProof/>
        </w:rPr>
        <w:t xml:space="preserve"> z</w:t>
      </w:r>
      <w:r w:rsidR="008B35E8">
        <w:rPr>
          <w:noProof/>
        </w:rPr>
        <w:t> </w:t>
      </w:r>
      <w:r w:rsidR="008B35E8" w:rsidRPr="002866E5">
        <w:rPr>
          <w:noProof/>
        </w:rPr>
        <w:t>nie</w:t>
      </w:r>
      <w:r w:rsidR="00E3183D" w:rsidRPr="002866E5">
        <w:rPr>
          <w:noProof/>
        </w:rPr>
        <w:t>dociągnięć</w:t>
      </w:r>
      <w:r w:rsidR="008B35E8" w:rsidRPr="002866E5">
        <w:rPr>
          <w:noProof/>
        </w:rPr>
        <w:t xml:space="preserve"> w</w:t>
      </w:r>
      <w:r w:rsidR="008B35E8">
        <w:rPr>
          <w:noProof/>
        </w:rPr>
        <w:t> </w:t>
      </w:r>
      <w:r w:rsidR="008B35E8" w:rsidRPr="002866E5">
        <w:rPr>
          <w:noProof/>
        </w:rPr>
        <w:t>eur</w:t>
      </w:r>
      <w:r w:rsidR="00E3183D" w:rsidRPr="002866E5">
        <w:rPr>
          <w:noProof/>
        </w:rPr>
        <w:t>opejskim programie certyfikacji cyberbezpieczeństwa,</w:t>
      </w:r>
      <w:r w:rsidR="008B35E8" w:rsidRPr="002866E5">
        <w:rPr>
          <w:noProof/>
        </w:rPr>
        <w:t xml:space="preserve"> o</w:t>
      </w:r>
      <w:r w:rsidR="008B35E8">
        <w:rPr>
          <w:noProof/>
        </w:rPr>
        <w:t> </w:t>
      </w:r>
      <w:r w:rsidR="008B35E8" w:rsidRPr="002866E5">
        <w:rPr>
          <w:noProof/>
        </w:rPr>
        <w:t>któ</w:t>
      </w:r>
      <w:r w:rsidR="00E3183D" w:rsidRPr="002866E5">
        <w:rPr>
          <w:noProof/>
        </w:rPr>
        <w:t>rym mowa</w:t>
      </w:r>
      <w:r w:rsidR="008B35E8" w:rsidRPr="002866E5">
        <w:rPr>
          <w:noProof/>
        </w:rPr>
        <w:t xml:space="preserve"> w</w:t>
      </w:r>
      <w:r w:rsidR="008B35E8">
        <w:rPr>
          <w:noProof/>
        </w:rPr>
        <w:t> </w:t>
      </w:r>
      <w:r w:rsidR="008B35E8" w:rsidRPr="008B35E8">
        <w:rPr>
          <w:noProof/>
        </w:rPr>
        <w:t>art</w:t>
      </w:r>
      <w:r w:rsidR="00E3183D" w:rsidRPr="008B35E8">
        <w:rPr>
          <w:noProof/>
        </w:rPr>
        <w:t>.</w:t>
      </w:r>
      <w:r w:rsidR="008B35E8" w:rsidRPr="008B35E8">
        <w:rPr>
          <w:noProof/>
        </w:rPr>
        <w:t> </w:t>
      </w:r>
      <w:r w:rsidR="00E3183D" w:rsidRPr="008B35E8">
        <w:rPr>
          <w:noProof/>
        </w:rPr>
        <w:t>1</w:t>
      </w:r>
      <w:r w:rsidR="00E3183D" w:rsidRPr="002866E5">
        <w:rPr>
          <w:noProof/>
        </w:rPr>
        <w:t>8, Komisja rozważa, czy zmienić lub uchylić akt wykonawczy,</w:t>
      </w:r>
      <w:r w:rsidR="008B35E8" w:rsidRPr="002866E5">
        <w:rPr>
          <w:noProof/>
        </w:rPr>
        <w:t xml:space="preserve"> o</w:t>
      </w:r>
      <w:r w:rsidR="008B35E8">
        <w:rPr>
          <w:noProof/>
        </w:rPr>
        <w:t> </w:t>
      </w:r>
      <w:r w:rsidR="008B35E8" w:rsidRPr="002866E5">
        <w:rPr>
          <w:noProof/>
        </w:rPr>
        <w:t>któ</w:t>
      </w:r>
      <w:r w:rsidR="00E3183D" w:rsidRPr="002866E5">
        <w:rPr>
          <w:noProof/>
        </w:rPr>
        <w:t>rym mowa</w:t>
      </w:r>
      <w:r w:rsidR="008B35E8" w:rsidRPr="002866E5">
        <w:rPr>
          <w:noProof/>
        </w:rPr>
        <w:t xml:space="preserve"> w</w:t>
      </w:r>
      <w:r w:rsidR="008B35E8">
        <w:rPr>
          <w:noProof/>
        </w:rPr>
        <w:t> </w:t>
      </w:r>
      <w:r w:rsidR="008B35E8" w:rsidRPr="008B35E8">
        <w:rPr>
          <w:noProof/>
        </w:rPr>
        <w:t>art</w:t>
      </w:r>
      <w:r w:rsidR="00E3183D" w:rsidRPr="008B35E8">
        <w:rPr>
          <w:noProof/>
        </w:rPr>
        <w:t>.</w:t>
      </w:r>
      <w:r w:rsidR="008B35E8" w:rsidRPr="008B35E8">
        <w:rPr>
          <w:noProof/>
        </w:rPr>
        <w:t> </w:t>
      </w:r>
      <w:r w:rsidR="00E3183D" w:rsidRPr="008B35E8">
        <w:rPr>
          <w:noProof/>
        </w:rPr>
        <w:t>1</w:t>
      </w:r>
      <w:r w:rsidR="00E3183D" w:rsidRPr="002866E5">
        <w:rPr>
          <w:noProof/>
        </w:rPr>
        <w:t xml:space="preserve">8 </w:t>
      </w:r>
      <w:r w:rsidR="00E3183D" w:rsidRPr="008B35E8">
        <w:rPr>
          <w:noProof/>
        </w:rPr>
        <w:t>ust.</w:t>
      </w:r>
      <w:r w:rsidR="008B35E8" w:rsidRPr="008B35E8">
        <w:rPr>
          <w:noProof/>
        </w:rPr>
        <w:t> </w:t>
      </w:r>
      <w:r w:rsidR="00E3183D" w:rsidRPr="008B35E8">
        <w:rPr>
          <w:noProof/>
        </w:rPr>
        <w:t>4</w:t>
      </w:r>
      <w:r w:rsidR="00E3183D" w:rsidRPr="002866E5">
        <w:rPr>
          <w:noProof/>
        </w:rPr>
        <w:t>, określający domniemanie zgodności dotyczące tego programu certyfikacji.</w:t>
      </w:r>
    </w:p>
    <w:p w14:paraId="67ED888E" w14:textId="76E6D635" w:rsidR="00EB3CC5" w:rsidRPr="002866E5" w:rsidRDefault="00B4087C" w:rsidP="00B4087C">
      <w:pPr>
        <w:pStyle w:val="ManualNumPar1"/>
        <w:rPr>
          <w:noProof/>
        </w:rPr>
      </w:pPr>
      <w:r w:rsidRPr="00B4087C">
        <w:t>5.</w:t>
      </w:r>
      <w:r w:rsidRPr="00B4087C">
        <w:tab/>
      </w:r>
      <w:r w:rsidR="00EB3CC5" w:rsidRPr="002866E5">
        <w:rPr>
          <w:noProof/>
        </w:rPr>
        <w:t>W przypadku uznania krajowego środka za uzasadniony</w:t>
      </w:r>
      <w:r w:rsidR="008B35E8" w:rsidRPr="002866E5">
        <w:rPr>
          <w:noProof/>
        </w:rPr>
        <w:t xml:space="preserve"> i</w:t>
      </w:r>
      <w:r w:rsidR="008B35E8">
        <w:rPr>
          <w:noProof/>
        </w:rPr>
        <w:t> </w:t>
      </w:r>
      <w:r w:rsidR="008B35E8" w:rsidRPr="002866E5">
        <w:rPr>
          <w:noProof/>
        </w:rPr>
        <w:t>stw</w:t>
      </w:r>
      <w:r w:rsidR="00EB3CC5" w:rsidRPr="002866E5">
        <w:rPr>
          <w:noProof/>
        </w:rPr>
        <w:t>ierdzenia, że niezgodność produktu</w:t>
      </w:r>
      <w:r w:rsidR="008B35E8" w:rsidRPr="002866E5">
        <w:rPr>
          <w:noProof/>
        </w:rPr>
        <w:t xml:space="preserve"> z</w:t>
      </w:r>
      <w:r w:rsidR="008B35E8">
        <w:rPr>
          <w:noProof/>
        </w:rPr>
        <w:t> </w:t>
      </w:r>
      <w:r w:rsidR="008B35E8" w:rsidRPr="002866E5">
        <w:rPr>
          <w:noProof/>
        </w:rPr>
        <w:t>ele</w:t>
      </w:r>
      <w:r w:rsidR="00EB3CC5" w:rsidRPr="002866E5">
        <w:rPr>
          <w:noProof/>
        </w:rPr>
        <w:t>mentami cyfrowymi wynika</w:t>
      </w:r>
      <w:r w:rsidR="008B35E8" w:rsidRPr="002866E5">
        <w:rPr>
          <w:noProof/>
        </w:rPr>
        <w:t xml:space="preserve"> z</w:t>
      </w:r>
      <w:r w:rsidR="008B35E8">
        <w:rPr>
          <w:noProof/>
        </w:rPr>
        <w:t> </w:t>
      </w:r>
      <w:r w:rsidR="008B35E8" w:rsidRPr="002866E5">
        <w:rPr>
          <w:noProof/>
        </w:rPr>
        <w:t>nie</w:t>
      </w:r>
      <w:r w:rsidR="00EB3CC5" w:rsidRPr="002866E5">
        <w:rPr>
          <w:noProof/>
        </w:rPr>
        <w:t>dociągnięć we wspólnych specyfikacjach,</w:t>
      </w:r>
      <w:r w:rsidR="008B35E8" w:rsidRPr="002866E5">
        <w:rPr>
          <w:noProof/>
        </w:rPr>
        <w:t xml:space="preserve"> o</w:t>
      </w:r>
      <w:r w:rsidR="008B35E8">
        <w:rPr>
          <w:noProof/>
        </w:rPr>
        <w:t> </w:t>
      </w:r>
      <w:r w:rsidR="008B35E8" w:rsidRPr="002866E5">
        <w:rPr>
          <w:noProof/>
        </w:rPr>
        <w:t>któ</w:t>
      </w:r>
      <w:r w:rsidR="00EB3CC5" w:rsidRPr="002866E5">
        <w:rPr>
          <w:noProof/>
        </w:rPr>
        <w:t>rych mowa</w:t>
      </w:r>
      <w:r w:rsidR="008B35E8" w:rsidRPr="002866E5">
        <w:rPr>
          <w:noProof/>
        </w:rPr>
        <w:t xml:space="preserve"> w</w:t>
      </w:r>
      <w:r w:rsidR="008B35E8">
        <w:rPr>
          <w:noProof/>
        </w:rPr>
        <w:t> </w:t>
      </w:r>
      <w:r w:rsidR="008B35E8" w:rsidRPr="008B35E8">
        <w:rPr>
          <w:noProof/>
        </w:rPr>
        <w:t>art</w:t>
      </w:r>
      <w:r w:rsidR="00EB3CC5" w:rsidRPr="008B35E8">
        <w:rPr>
          <w:noProof/>
        </w:rPr>
        <w:t>.</w:t>
      </w:r>
      <w:r w:rsidR="008B35E8" w:rsidRPr="008B35E8">
        <w:rPr>
          <w:noProof/>
        </w:rPr>
        <w:t> </w:t>
      </w:r>
      <w:r w:rsidR="00EB3CC5" w:rsidRPr="008B35E8">
        <w:rPr>
          <w:noProof/>
        </w:rPr>
        <w:t>1</w:t>
      </w:r>
      <w:r w:rsidR="00EB3CC5" w:rsidRPr="002866E5">
        <w:rPr>
          <w:noProof/>
        </w:rPr>
        <w:t>9, Komisja rozważa, czy zmienić lub uchylić akt wykonawczy,</w:t>
      </w:r>
      <w:r w:rsidR="008B35E8" w:rsidRPr="002866E5">
        <w:rPr>
          <w:noProof/>
        </w:rPr>
        <w:t xml:space="preserve"> o</w:t>
      </w:r>
      <w:r w:rsidR="008B35E8">
        <w:rPr>
          <w:noProof/>
        </w:rPr>
        <w:t> </w:t>
      </w:r>
      <w:r w:rsidR="008B35E8" w:rsidRPr="002866E5">
        <w:rPr>
          <w:noProof/>
        </w:rPr>
        <w:t>któ</w:t>
      </w:r>
      <w:r w:rsidR="00EB3CC5" w:rsidRPr="002866E5">
        <w:rPr>
          <w:noProof/>
        </w:rPr>
        <w:t>rym mowa</w:t>
      </w:r>
      <w:r w:rsidR="008B35E8" w:rsidRPr="002866E5">
        <w:rPr>
          <w:noProof/>
        </w:rPr>
        <w:t xml:space="preserve"> w</w:t>
      </w:r>
      <w:r w:rsidR="008B35E8">
        <w:rPr>
          <w:noProof/>
        </w:rPr>
        <w:t> </w:t>
      </w:r>
      <w:r w:rsidR="008B35E8" w:rsidRPr="008B35E8">
        <w:rPr>
          <w:noProof/>
        </w:rPr>
        <w:t>art</w:t>
      </w:r>
      <w:r w:rsidR="00EB3CC5" w:rsidRPr="008B35E8">
        <w:rPr>
          <w:noProof/>
        </w:rPr>
        <w:t>.</w:t>
      </w:r>
      <w:r w:rsidR="008B35E8" w:rsidRPr="008B35E8">
        <w:rPr>
          <w:noProof/>
        </w:rPr>
        <w:t> </w:t>
      </w:r>
      <w:r w:rsidR="00EB3CC5" w:rsidRPr="008B35E8">
        <w:rPr>
          <w:noProof/>
        </w:rPr>
        <w:t>1</w:t>
      </w:r>
      <w:r w:rsidR="00EB3CC5" w:rsidRPr="002866E5">
        <w:rPr>
          <w:noProof/>
        </w:rPr>
        <w:t xml:space="preserve">9, określający te wspólne specyfikacje. </w:t>
      </w:r>
    </w:p>
    <w:p w14:paraId="67ED888F" w14:textId="4F95A532" w:rsidR="001B7588" w:rsidRPr="002866E5" w:rsidRDefault="001B7588" w:rsidP="001B7588">
      <w:pPr>
        <w:pStyle w:val="Titrearticle3"/>
        <w:rPr>
          <w:noProof/>
        </w:rPr>
      </w:pPr>
      <w:r w:rsidRPr="002866E5">
        <w:rPr>
          <w:noProof/>
        </w:rPr>
        <w:t>Artykuł 45</w:t>
      </w:r>
    </w:p>
    <w:p w14:paraId="67ED8890" w14:textId="39E6F484" w:rsidR="000F5FBF" w:rsidRPr="002866E5" w:rsidRDefault="000F5FBF" w:rsidP="0027065F">
      <w:pPr>
        <w:jc w:val="center"/>
        <w:rPr>
          <w:i/>
          <w:noProof/>
        </w:rPr>
      </w:pPr>
      <w:r w:rsidRPr="002866E5">
        <w:rPr>
          <w:i/>
          <w:noProof/>
        </w:rPr>
        <w:t>Procedura na szczeblu UE dotycząca produktów</w:t>
      </w:r>
      <w:r w:rsidR="008B35E8" w:rsidRPr="002866E5">
        <w:rPr>
          <w:i/>
          <w:noProof/>
        </w:rPr>
        <w:t xml:space="preserve"> z</w:t>
      </w:r>
      <w:r w:rsidR="008B35E8">
        <w:rPr>
          <w:i/>
          <w:noProof/>
        </w:rPr>
        <w:t> </w:t>
      </w:r>
      <w:r w:rsidR="008B35E8" w:rsidRPr="002866E5">
        <w:rPr>
          <w:i/>
          <w:noProof/>
        </w:rPr>
        <w:t>ele</w:t>
      </w:r>
      <w:r w:rsidRPr="002866E5">
        <w:rPr>
          <w:i/>
          <w:noProof/>
        </w:rPr>
        <w:t>mentami cyfrowymi stwarzających istotne ryzyko</w:t>
      </w:r>
      <w:r w:rsidR="008B35E8" w:rsidRPr="002866E5">
        <w:rPr>
          <w:i/>
          <w:noProof/>
        </w:rPr>
        <w:t xml:space="preserve"> w</w:t>
      </w:r>
      <w:r w:rsidR="008B35E8">
        <w:rPr>
          <w:i/>
          <w:noProof/>
        </w:rPr>
        <w:t> </w:t>
      </w:r>
      <w:r w:rsidR="008B35E8" w:rsidRPr="002866E5">
        <w:rPr>
          <w:i/>
          <w:noProof/>
        </w:rPr>
        <w:t>cyb</w:t>
      </w:r>
      <w:r w:rsidRPr="002866E5">
        <w:rPr>
          <w:i/>
          <w:noProof/>
        </w:rPr>
        <w:t>erprzestrzeni</w:t>
      </w:r>
    </w:p>
    <w:p w14:paraId="67ED8891" w14:textId="04B38AF7" w:rsidR="00956FBC" w:rsidRPr="002866E5" w:rsidRDefault="00B4087C" w:rsidP="00B4087C">
      <w:pPr>
        <w:pStyle w:val="ManualNumPar1"/>
        <w:rPr>
          <w:noProof/>
        </w:rPr>
      </w:pPr>
      <w:r w:rsidRPr="00B4087C">
        <w:t>1.</w:t>
      </w:r>
      <w:r w:rsidRPr="00B4087C">
        <w:tab/>
      </w:r>
      <w:r w:rsidR="00956FBC" w:rsidRPr="002866E5">
        <w:rPr>
          <w:noProof/>
        </w:rPr>
        <w:t>W przypadku gdy Komisja ma wystarczające powody, aby uznać,</w:t>
      </w:r>
      <w:r w:rsidR="008B35E8" w:rsidRPr="002866E5">
        <w:rPr>
          <w:noProof/>
        </w:rPr>
        <w:t xml:space="preserve"> w</w:t>
      </w:r>
      <w:r w:rsidR="008B35E8">
        <w:rPr>
          <w:noProof/>
        </w:rPr>
        <w:t> </w:t>
      </w:r>
      <w:r w:rsidR="008B35E8" w:rsidRPr="002866E5">
        <w:rPr>
          <w:noProof/>
        </w:rPr>
        <w:t>tym</w:t>
      </w:r>
      <w:r w:rsidR="00956FBC" w:rsidRPr="002866E5">
        <w:rPr>
          <w:noProof/>
        </w:rPr>
        <w:t xml:space="preserve"> na podstawie informacji przekazanych przez ENISA, że produkt</w:t>
      </w:r>
      <w:r w:rsidR="008B35E8" w:rsidRPr="002866E5">
        <w:rPr>
          <w:noProof/>
        </w:rPr>
        <w:t xml:space="preserve"> z</w:t>
      </w:r>
      <w:r w:rsidR="008B35E8">
        <w:rPr>
          <w:noProof/>
        </w:rPr>
        <w:t> </w:t>
      </w:r>
      <w:r w:rsidR="008B35E8" w:rsidRPr="002866E5">
        <w:rPr>
          <w:noProof/>
        </w:rPr>
        <w:t>ele</w:t>
      </w:r>
      <w:r w:rsidR="00956FBC" w:rsidRPr="002866E5">
        <w:rPr>
          <w:noProof/>
        </w:rPr>
        <w:t>mentami cyfrowymi, który stanowi istotne ryzyko</w:t>
      </w:r>
      <w:r w:rsidR="008B35E8" w:rsidRPr="002866E5">
        <w:rPr>
          <w:noProof/>
        </w:rPr>
        <w:t xml:space="preserve"> w</w:t>
      </w:r>
      <w:r w:rsidR="008B35E8">
        <w:rPr>
          <w:noProof/>
        </w:rPr>
        <w:t> </w:t>
      </w:r>
      <w:r w:rsidR="008B35E8" w:rsidRPr="002866E5">
        <w:rPr>
          <w:noProof/>
        </w:rPr>
        <w:t>cyb</w:t>
      </w:r>
      <w:r w:rsidR="00956FBC" w:rsidRPr="002866E5">
        <w:rPr>
          <w:noProof/>
        </w:rPr>
        <w:t>erprzestrzeni, nie spełnia wymagań określonych</w:t>
      </w:r>
      <w:r w:rsidR="008B35E8" w:rsidRPr="002866E5">
        <w:rPr>
          <w:noProof/>
        </w:rPr>
        <w:t xml:space="preserve"> w</w:t>
      </w:r>
      <w:r w:rsidR="008B35E8">
        <w:rPr>
          <w:noProof/>
        </w:rPr>
        <w:t> </w:t>
      </w:r>
      <w:r w:rsidR="008B35E8" w:rsidRPr="002866E5">
        <w:rPr>
          <w:noProof/>
        </w:rPr>
        <w:t>nin</w:t>
      </w:r>
      <w:r w:rsidR="00956FBC" w:rsidRPr="002866E5">
        <w:rPr>
          <w:noProof/>
        </w:rPr>
        <w:t>iejszym rozporządzeniu, może zwrócić się do odpowiednich organów nadzoru rynku</w:t>
      </w:r>
      <w:r w:rsidR="008B35E8" w:rsidRPr="002866E5">
        <w:rPr>
          <w:noProof/>
        </w:rPr>
        <w:t xml:space="preserve"> o</w:t>
      </w:r>
      <w:r w:rsidR="008B35E8">
        <w:rPr>
          <w:noProof/>
        </w:rPr>
        <w:t> </w:t>
      </w:r>
      <w:r w:rsidR="008B35E8" w:rsidRPr="002866E5">
        <w:rPr>
          <w:noProof/>
        </w:rPr>
        <w:t>prz</w:t>
      </w:r>
      <w:r w:rsidR="00956FBC" w:rsidRPr="002866E5">
        <w:rPr>
          <w:noProof/>
        </w:rPr>
        <w:t>eprowadzenie oceny zgodności</w:t>
      </w:r>
      <w:r w:rsidR="008B35E8" w:rsidRPr="002866E5">
        <w:rPr>
          <w:noProof/>
        </w:rPr>
        <w:t xml:space="preserve"> i</w:t>
      </w:r>
      <w:r w:rsidR="008B35E8">
        <w:rPr>
          <w:noProof/>
        </w:rPr>
        <w:t> </w:t>
      </w:r>
      <w:r w:rsidR="008B35E8" w:rsidRPr="002866E5">
        <w:rPr>
          <w:noProof/>
        </w:rPr>
        <w:t>zas</w:t>
      </w:r>
      <w:r w:rsidR="00956FBC" w:rsidRPr="002866E5">
        <w:rPr>
          <w:noProof/>
        </w:rPr>
        <w:t>tosowanie procedur,</w:t>
      </w:r>
      <w:r w:rsidR="008B35E8" w:rsidRPr="002866E5">
        <w:rPr>
          <w:noProof/>
        </w:rPr>
        <w:t xml:space="preserve"> o</w:t>
      </w:r>
      <w:r w:rsidR="008B35E8">
        <w:rPr>
          <w:noProof/>
        </w:rPr>
        <w:t> </w:t>
      </w:r>
      <w:r w:rsidR="008B35E8" w:rsidRPr="002866E5">
        <w:rPr>
          <w:noProof/>
        </w:rPr>
        <w:t>któ</w:t>
      </w:r>
      <w:r w:rsidR="00956FBC" w:rsidRPr="002866E5">
        <w:rPr>
          <w:noProof/>
        </w:rPr>
        <w:t>rych mowa</w:t>
      </w:r>
      <w:r w:rsidR="008B35E8" w:rsidRPr="002866E5">
        <w:rPr>
          <w:noProof/>
        </w:rPr>
        <w:t xml:space="preserve"> w</w:t>
      </w:r>
      <w:r w:rsidR="008B35E8">
        <w:rPr>
          <w:noProof/>
        </w:rPr>
        <w:t> </w:t>
      </w:r>
      <w:r w:rsidR="008B35E8" w:rsidRPr="008B35E8">
        <w:rPr>
          <w:noProof/>
        </w:rPr>
        <w:t>art</w:t>
      </w:r>
      <w:r w:rsidR="00956FBC" w:rsidRPr="008B35E8">
        <w:rPr>
          <w:noProof/>
        </w:rPr>
        <w:t>.</w:t>
      </w:r>
      <w:r w:rsidR="008B35E8" w:rsidRPr="008B35E8">
        <w:rPr>
          <w:noProof/>
        </w:rPr>
        <w:t> </w:t>
      </w:r>
      <w:r w:rsidR="00956FBC" w:rsidRPr="008B35E8">
        <w:rPr>
          <w:noProof/>
        </w:rPr>
        <w:t>4</w:t>
      </w:r>
      <w:r w:rsidR="00956FBC" w:rsidRPr="002866E5">
        <w:rPr>
          <w:noProof/>
        </w:rPr>
        <w:t>3.</w:t>
      </w:r>
    </w:p>
    <w:p w14:paraId="67ED8892" w14:textId="36FC3615" w:rsidR="00956FBC" w:rsidRPr="002866E5" w:rsidRDefault="00B4087C" w:rsidP="00B4087C">
      <w:pPr>
        <w:pStyle w:val="ManualNumPar1"/>
        <w:rPr>
          <w:noProof/>
        </w:rPr>
      </w:pPr>
      <w:r w:rsidRPr="00B4087C">
        <w:lastRenderedPageBreak/>
        <w:t>2.</w:t>
      </w:r>
      <w:r w:rsidRPr="00B4087C">
        <w:tab/>
      </w:r>
      <w:r w:rsidR="00956FBC" w:rsidRPr="002866E5">
        <w:rPr>
          <w:noProof/>
        </w:rPr>
        <w:t>W wyjątkowych okolicznościach, które uzasadniają niezwłoczną interwencję</w:t>
      </w:r>
      <w:r w:rsidR="008B35E8" w:rsidRPr="002866E5">
        <w:rPr>
          <w:noProof/>
        </w:rPr>
        <w:t xml:space="preserve"> w</w:t>
      </w:r>
      <w:r w:rsidR="008B35E8">
        <w:rPr>
          <w:noProof/>
        </w:rPr>
        <w:t> </w:t>
      </w:r>
      <w:r w:rsidR="008B35E8" w:rsidRPr="002866E5">
        <w:rPr>
          <w:noProof/>
        </w:rPr>
        <w:t>cel</w:t>
      </w:r>
      <w:r w:rsidR="00956FBC" w:rsidRPr="002866E5">
        <w:rPr>
          <w:noProof/>
        </w:rPr>
        <w:t>u utrzymania prawidłowego funkcjonowania rynku wewnętrznego,</w:t>
      </w:r>
      <w:r w:rsidR="008B35E8" w:rsidRPr="002866E5">
        <w:rPr>
          <w:noProof/>
        </w:rPr>
        <w:t xml:space="preserve"> i</w:t>
      </w:r>
      <w:r w:rsidR="008B35E8">
        <w:rPr>
          <w:noProof/>
        </w:rPr>
        <w:t> </w:t>
      </w:r>
      <w:r w:rsidR="008B35E8" w:rsidRPr="002866E5">
        <w:rPr>
          <w:noProof/>
        </w:rPr>
        <w:t>jeż</w:t>
      </w:r>
      <w:r w:rsidR="00956FBC" w:rsidRPr="002866E5">
        <w:rPr>
          <w:noProof/>
        </w:rPr>
        <w:t>eli Komisja ma wystarczające powody, aby uznać, że produkt,</w:t>
      </w:r>
      <w:r w:rsidR="008B35E8" w:rsidRPr="002866E5">
        <w:rPr>
          <w:noProof/>
        </w:rPr>
        <w:t xml:space="preserve"> o</w:t>
      </w:r>
      <w:r w:rsidR="008B35E8">
        <w:rPr>
          <w:noProof/>
        </w:rPr>
        <w:t> </w:t>
      </w:r>
      <w:r w:rsidR="008B35E8" w:rsidRPr="002866E5">
        <w:rPr>
          <w:noProof/>
        </w:rPr>
        <w:t>któ</w:t>
      </w:r>
      <w:r w:rsidR="00956FBC" w:rsidRPr="002866E5">
        <w:rPr>
          <w:noProof/>
        </w:rPr>
        <w:t>rym mowa</w:t>
      </w:r>
      <w:r w:rsidR="008B35E8" w:rsidRPr="002866E5">
        <w:rPr>
          <w:noProof/>
        </w:rPr>
        <w:t xml:space="preserve"> w</w:t>
      </w:r>
      <w:r w:rsidR="008B35E8">
        <w:rPr>
          <w:noProof/>
        </w:rPr>
        <w:t> </w:t>
      </w:r>
      <w:r w:rsidR="008B35E8" w:rsidRPr="008B35E8">
        <w:rPr>
          <w:noProof/>
        </w:rPr>
        <w:t>ust</w:t>
      </w:r>
      <w:r w:rsidR="00956FBC" w:rsidRPr="008B35E8">
        <w:rPr>
          <w:noProof/>
        </w:rPr>
        <w:t>.</w:t>
      </w:r>
      <w:r w:rsidR="008B35E8" w:rsidRPr="008B35E8">
        <w:rPr>
          <w:noProof/>
        </w:rPr>
        <w:t> </w:t>
      </w:r>
      <w:r w:rsidR="00956FBC" w:rsidRPr="008B35E8">
        <w:rPr>
          <w:noProof/>
        </w:rPr>
        <w:t>1</w:t>
      </w:r>
      <w:r w:rsidR="00956FBC" w:rsidRPr="002866E5">
        <w:rPr>
          <w:noProof/>
        </w:rPr>
        <w:t>, nadal nie spełnia wymogów określonych</w:t>
      </w:r>
      <w:r w:rsidR="008B35E8" w:rsidRPr="002866E5">
        <w:rPr>
          <w:noProof/>
        </w:rPr>
        <w:t xml:space="preserve"> w</w:t>
      </w:r>
      <w:r w:rsidR="008B35E8">
        <w:rPr>
          <w:noProof/>
        </w:rPr>
        <w:t> </w:t>
      </w:r>
      <w:r w:rsidR="008B35E8" w:rsidRPr="002866E5">
        <w:rPr>
          <w:noProof/>
        </w:rPr>
        <w:t>nin</w:t>
      </w:r>
      <w:r w:rsidR="00956FBC" w:rsidRPr="002866E5">
        <w:rPr>
          <w:noProof/>
        </w:rPr>
        <w:t>iejszym rozporządzeniu,</w:t>
      </w:r>
      <w:r w:rsidR="008B35E8" w:rsidRPr="002866E5">
        <w:rPr>
          <w:noProof/>
        </w:rPr>
        <w:t xml:space="preserve"> a</w:t>
      </w:r>
      <w:r w:rsidR="008B35E8">
        <w:rPr>
          <w:noProof/>
        </w:rPr>
        <w:t> </w:t>
      </w:r>
      <w:r w:rsidR="008B35E8" w:rsidRPr="002866E5">
        <w:rPr>
          <w:noProof/>
        </w:rPr>
        <w:t>odp</w:t>
      </w:r>
      <w:r w:rsidR="00956FBC" w:rsidRPr="002866E5">
        <w:rPr>
          <w:noProof/>
        </w:rPr>
        <w:t>owiednie organy nadzoru rynku nie wprowadziły żadnych skutecznych środków, Komisja może zwrócić się do ENISA</w:t>
      </w:r>
      <w:r w:rsidR="008B35E8" w:rsidRPr="002866E5">
        <w:rPr>
          <w:noProof/>
        </w:rPr>
        <w:t xml:space="preserve"> o</w:t>
      </w:r>
      <w:r w:rsidR="008B35E8">
        <w:rPr>
          <w:noProof/>
        </w:rPr>
        <w:t> </w:t>
      </w:r>
      <w:r w:rsidR="008B35E8" w:rsidRPr="002866E5">
        <w:rPr>
          <w:noProof/>
        </w:rPr>
        <w:t>prz</w:t>
      </w:r>
      <w:r w:rsidR="00956FBC" w:rsidRPr="002866E5">
        <w:rPr>
          <w:noProof/>
        </w:rPr>
        <w:t>eprowadzenie oceny zgodności. Komisja informuje</w:t>
      </w:r>
      <w:r w:rsidR="008B35E8" w:rsidRPr="002866E5">
        <w:rPr>
          <w:noProof/>
        </w:rPr>
        <w:t xml:space="preserve"> o</w:t>
      </w:r>
      <w:r w:rsidR="008B35E8">
        <w:rPr>
          <w:noProof/>
        </w:rPr>
        <w:t> </w:t>
      </w:r>
      <w:r w:rsidR="008B35E8" w:rsidRPr="002866E5">
        <w:rPr>
          <w:noProof/>
        </w:rPr>
        <w:t>tym</w:t>
      </w:r>
      <w:r w:rsidR="00956FBC" w:rsidRPr="002866E5">
        <w:rPr>
          <w:noProof/>
        </w:rPr>
        <w:t xml:space="preserve"> odpowiednie organy nadzoru rynku. Odpowiednie podmioty gospodarcze współpracują</w:t>
      </w:r>
      <w:r w:rsidR="008B35E8" w:rsidRPr="002866E5">
        <w:rPr>
          <w:noProof/>
        </w:rPr>
        <w:t xml:space="preserve"> w</w:t>
      </w:r>
      <w:r w:rsidR="008B35E8">
        <w:rPr>
          <w:noProof/>
        </w:rPr>
        <w:t> </w:t>
      </w:r>
      <w:r w:rsidR="008B35E8" w:rsidRPr="002866E5">
        <w:rPr>
          <w:noProof/>
        </w:rPr>
        <w:t>raz</w:t>
      </w:r>
      <w:r w:rsidR="00956FBC" w:rsidRPr="002866E5">
        <w:rPr>
          <w:noProof/>
        </w:rPr>
        <w:t>ie konieczności z ENISA.</w:t>
      </w:r>
    </w:p>
    <w:p w14:paraId="67ED8893" w14:textId="1696EC84" w:rsidR="00956FBC" w:rsidRPr="002866E5" w:rsidRDefault="00B4087C" w:rsidP="00B4087C">
      <w:pPr>
        <w:pStyle w:val="ManualNumPar1"/>
        <w:rPr>
          <w:noProof/>
        </w:rPr>
      </w:pPr>
      <w:r w:rsidRPr="00B4087C">
        <w:t>3.</w:t>
      </w:r>
      <w:r w:rsidRPr="00B4087C">
        <w:tab/>
      </w:r>
      <w:r w:rsidR="00956FBC" w:rsidRPr="002866E5">
        <w:rPr>
          <w:noProof/>
        </w:rPr>
        <w:t>Na podstawie oceny ENISA Komisja może zdecydować, że konieczne jest wprowadzenie środka naprawczego lub ograniczającego na szczeblu Unii</w:t>
      </w:r>
      <w:r w:rsidR="008B35E8" w:rsidRPr="002866E5">
        <w:rPr>
          <w:noProof/>
        </w:rPr>
        <w:t>. W</w:t>
      </w:r>
      <w:r w:rsidR="008B35E8">
        <w:rPr>
          <w:noProof/>
        </w:rPr>
        <w:t> </w:t>
      </w:r>
      <w:r w:rsidR="008B35E8" w:rsidRPr="002866E5">
        <w:rPr>
          <w:noProof/>
        </w:rPr>
        <w:t>tym</w:t>
      </w:r>
      <w:r w:rsidR="00956FBC" w:rsidRPr="002866E5">
        <w:rPr>
          <w:noProof/>
        </w:rPr>
        <w:t xml:space="preserve"> celu Komisja niezwłocznie przeprowadza konsultacje</w:t>
      </w:r>
      <w:r w:rsidR="008B35E8" w:rsidRPr="002866E5">
        <w:rPr>
          <w:noProof/>
        </w:rPr>
        <w:t xml:space="preserve"> z</w:t>
      </w:r>
      <w:r w:rsidR="008B35E8">
        <w:rPr>
          <w:noProof/>
        </w:rPr>
        <w:t> </w:t>
      </w:r>
      <w:r w:rsidR="008B35E8" w:rsidRPr="002866E5">
        <w:rPr>
          <w:noProof/>
        </w:rPr>
        <w:t>zai</w:t>
      </w:r>
      <w:r w:rsidR="00956FBC" w:rsidRPr="002866E5">
        <w:rPr>
          <w:noProof/>
        </w:rPr>
        <w:t>nteresowanymi państwami członkowskimi</w:t>
      </w:r>
      <w:r w:rsidR="008B35E8" w:rsidRPr="002866E5">
        <w:rPr>
          <w:noProof/>
        </w:rPr>
        <w:t xml:space="preserve"> i</w:t>
      </w:r>
      <w:r w:rsidR="008B35E8">
        <w:rPr>
          <w:noProof/>
        </w:rPr>
        <w:t> </w:t>
      </w:r>
      <w:r w:rsidR="008B35E8" w:rsidRPr="002866E5">
        <w:rPr>
          <w:noProof/>
        </w:rPr>
        <w:t>odp</w:t>
      </w:r>
      <w:r w:rsidR="00956FBC" w:rsidRPr="002866E5">
        <w:rPr>
          <w:noProof/>
        </w:rPr>
        <w:t>owiednim podmiotem gospodarczym lub podmiotami gospodarczymi.</w:t>
      </w:r>
    </w:p>
    <w:p w14:paraId="67ED8894" w14:textId="1A56FF90" w:rsidR="00956FBC" w:rsidRPr="002866E5" w:rsidRDefault="00B4087C" w:rsidP="00B4087C">
      <w:pPr>
        <w:pStyle w:val="ManualNumPar1"/>
        <w:rPr>
          <w:noProof/>
        </w:rPr>
      </w:pPr>
      <w:r w:rsidRPr="00B4087C">
        <w:t>4.</w:t>
      </w:r>
      <w:r w:rsidRPr="00B4087C">
        <w:tab/>
      </w:r>
      <w:r w:rsidR="00956FBC" w:rsidRPr="002866E5">
        <w:rPr>
          <w:noProof/>
        </w:rPr>
        <w:t>Na podstawie konsultacji,</w:t>
      </w:r>
      <w:r w:rsidR="008B35E8" w:rsidRPr="002866E5">
        <w:rPr>
          <w:noProof/>
        </w:rPr>
        <w:t xml:space="preserve"> o</w:t>
      </w:r>
      <w:r w:rsidR="008B35E8">
        <w:rPr>
          <w:noProof/>
        </w:rPr>
        <w:t> </w:t>
      </w:r>
      <w:r w:rsidR="008B35E8" w:rsidRPr="002866E5">
        <w:rPr>
          <w:noProof/>
        </w:rPr>
        <w:t>któ</w:t>
      </w:r>
      <w:r w:rsidR="00956FBC" w:rsidRPr="002866E5">
        <w:rPr>
          <w:noProof/>
        </w:rPr>
        <w:t>rych mowa</w:t>
      </w:r>
      <w:r w:rsidR="008B35E8" w:rsidRPr="002866E5">
        <w:rPr>
          <w:noProof/>
        </w:rPr>
        <w:t xml:space="preserve"> w</w:t>
      </w:r>
      <w:r w:rsidR="008B35E8">
        <w:rPr>
          <w:noProof/>
        </w:rPr>
        <w:t> </w:t>
      </w:r>
      <w:r w:rsidR="008B35E8" w:rsidRPr="008B35E8">
        <w:rPr>
          <w:noProof/>
        </w:rPr>
        <w:t>ust</w:t>
      </w:r>
      <w:r w:rsidR="00956FBC" w:rsidRPr="008B35E8">
        <w:rPr>
          <w:noProof/>
        </w:rPr>
        <w:t>.</w:t>
      </w:r>
      <w:r w:rsidR="008B35E8" w:rsidRPr="008B35E8">
        <w:rPr>
          <w:noProof/>
        </w:rPr>
        <w:t> </w:t>
      </w:r>
      <w:r w:rsidR="00956FBC" w:rsidRPr="008B35E8">
        <w:rPr>
          <w:noProof/>
        </w:rPr>
        <w:t>3</w:t>
      </w:r>
      <w:r w:rsidR="00956FBC" w:rsidRPr="002866E5">
        <w:rPr>
          <w:noProof/>
        </w:rPr>
        <w:t>, Komisja może przyjąć akty wykonawcze</w:t>
      </w:r>
      <w:r w:rsidR="008B35E8" w:rsidRPr="002866E5">
        <w:rPr>
          <w:noProof/>
        </w:rPr>
        <w:t xml:space="preserve"> w</w:t>
      </w:r>
      <w:r w:rsidR="008B35E8">
        <w:rPr>
          <w:noProof/>
        </w:rPr>
        <w:t> </w:t>
      </w:r>
      <w:r w:rsidR="008B35E8" w:rsidRPr="002866E5">
        <w:rPr>
          <w:noProof/>
        </w:rPr>
        <w:t>cel</w:t>
      </w:r>
      <w:r w:rsidR="00956FBC" w:rsidRPr="002866E5">
        <w:rPr>
          <w:noProof/>
        </w:rPr>
        <w:t>u podjęcia decyzji</w:t>
      </w:r>
      <w:r w:rsidR="008B35E8" w:rsidRPr="002866E5">
        <w:rPr>
          <w:noProof/>
        </w:rPr>
        <w:t xml:space="preserve"> o</w:t>
      </w:r>
      <w:r w:rsidR="008B35E8">
        <w:rPr>
          <w:noProof/>
        </w:rPr>
        <w:t> </w:t>
      </w:r>
      <w:r w:rsidR="008B35E8" w:rsidRPr="002866E5">
        <w:rPr>
          <w:noProof/>
        </w:rPr>
        <w:t>wpr</w:t>
      </w:r>
      <w:r w:rsidR="00956FBC" w:rsidRPr="002866E5">
        <w:rPr>
          <w:noProof/>
        </w:rPr>
        <w:t>owadzeniu środków naprawczych lub ograniczających na szczeblu Unii,</w:t>
      </w:r>
      <w:r w:rsidR="008B35E8" w:rsidRPr="002866E5">
        <w:rPr>
          <w:noProof/>
        </w:rPr>
        <w:t xml:space="preserve"> w</w:t>
      </w:r>
      <w:r w:rsidR="008B35E8">
        <w:rPr>
          <w:noProof/>
        </w:rPr>
        <w:t> </w:t>
      </w:r>
      <w:r w:rsidR="008B35E8" w:rsidRPr="002866E5">
        <w:rPr>
          <w:noProof/>
        </w:rPr>
        <w:t>tym</w:t>
      </w:r>
      <w:r w:rsidR="00956FBC" w:rsidRPr="002866E5">
        <w:rPr>
          <w:noProof/>
        </w:rPr>
        <w:t xml:space="preserve"> nakazu wycofania produktu</w:t>
      </w:r>
      <w:r w:rsidR="008B35E8" w:rsidRPr="002866E5">
        <w:rPr>
          <w:noProof/>
        </w:rPr>
        <w:t xml:space="preserve"> z</w:t>
      </w:r>
      <w:r w:rsidR="008B35E8">
        <w:rPr>
          <w:noProof/>
        </w:rPr>
        <w:t> </w:t>
      </w:r>
      <w:r w:rsidR="008B35E8" w:rsidRPr="002866E5">
        <w:rPr>
          <w:noProof/>
        </w:rPr>
        <w:t>obr</w:t>
      </w:r>
      <w:r w:rsidR="00956FBC" w:rsidRPr="002866E5">
        <w:rPr>
          <w:noProof/>
        </w:rPr>
        <w:t>otu lub odzyskania go,</w:t>
      </w:r>
      <w:r w:rsidR="008B35E8" w:rsidRPr="002866E5">
        <w:rPr>
          <w:noProof/>
        </w:rPr>
        <w:t xml:space="preserve"> w</w:t>
      </w:r>
      <w:r w:rsidR="008B35E8">
        <w:rPr>
          <w:noProof/>
        </w:rPr>
        <w:t> </w:t>
      </w:r>
      <w:r w:rsidR="008B35E8" w:rsidRPr="002866E5">
        <w:rPr>
          <w:noProof/>
        </w:rPr>
        <w:t>roz</w:t>
      </w:r>
      <w:r w:rsidR="00956FBC" w:rsidRPr="002866E5">
        <w:rPr>
          <w:noProof/>
        </w:rPr>
        <w:t>sądnym terminie, stosownym do charakteru ryzyka. Te akty wykonawcze przyjmuje się zgodnie</w:t>
      </w:r>
      <w:r w:rsidR="008B35E8" w:rsidRPr="002866E5">
        <w:rPr>
          <w:noProof/>
        </w:rPr>
        <w:t xml:space="preserve"> z</w:t>
      </w:r>
      <w:r w:rsidR="008B35E8">
        <w:rPr>
          <w:noProof/>
        </w:rPr>
        <w:t> </w:t>
      </w:r>
      <w:r w:rsidR="008B35E8" w:rsidRPr="002866E5">
        <w:rPr>
          <w:noProof/>
        </w:rPr>
        <w:t>pro</w:t>
      </w:r>
      <w:r w:rsidR="00956FBC" w:rsidRPr="002866E5">
        <w:rPr>
          <w:noProof/>
        </w:rPr>
        <w:t>cedurą sprawdzającą,</w:t>
      </w:r>
      <w:r w:rsidR="008B35E8" w:rsidRPr="002866E5">
        <w:rPr>
          <w:noProof/>
        </w:rPr>
        <w:t xml:space="preserve"> o</w:t>
      </w:r>
      <w:r w:rsidR="008B35E8">
        <w:rPr>
          <w:noProof/>
        </w:rPr>
        <w:t> </w:t>
      </w:r>
      <w:r w:rsidR="008B35E8" w:rsidRPr="002866E5">
        <w:rPr>
          <w:noProof/>
        </w:rPr>
        <w:t>któ</w:t>
      </w:r>
      <w:r w:rsidR="00956FBC" w:rsidRPr="002866E5">
        <w:rPr>
          <w:noProof/>
        </w:rPr>
        <w:t>rej mowa</w:t>
      </w:r>
      <w:r w:rsidR="008B35E8" w:rsidRPr="002866E5">
        <w:rPr>
          <w:noProof/>
        </w:rPr>
        <w:t xml:space="preserve"> w</w:t>
      </w:r>
      <w:r w:rsidR="008B35E8">
        <w:rPr>
          <w:noProof/>
        </w:rPr>
        <w:t> </w:t>
      </w:r>
      <w:r w:rsidR="008B35E8" w:rsidRPr="008B35E8">
        <w:rPr>
          <w:noProof/>
        </w:rPr>
        <w:t>art</w:t>
      </w:r>
      <w:r w:rsidR="00956FBC" w:rsidRPr="008B35E8">
        <w:rPr>
          <w:noProof/>
        </w:rPr>
        <w:t>.</w:t>
      </w:r>
      <w:r w:rsidR="008B35E8" w:rsidRPr="008B35E8">
        <w:rPr>
          <w:noProof/>
        </w:rPr>
        <w:t> </w:t>
      </w:r>
      <w:r w:rsidR="00956FBC" w:rsidRPr="008B35E8">
        <w:rPr>
          <w:noProof/>
        </w:rPr>
        <w:t>5</w:t>
      </w:r>
      <w:r w:rsidR="00956FBC" w:rsidRPr="002866E5">
        <w:rPr>
          <w:noProof/>
        </w:rPr>
        <w:t xml:space="preserve">1 </w:t>
      </w:r>
      <w:r w:rsidR="00956FBC" w:rsidRPr="008B35E8">
        <w:rPr>
          <w:noProof/>
        </w:rPr>
        <w:t>ust.</w:t>
      </w:r>
      <w:r w:rsidR="008B35E8" w:rsidRPr="008B35E8">
        <w:rPr>
          <w:noProof/>
        </w:rPr>
        <w:t> </w:t>
      </w:r>
      <w:r w:rsidR="00956FBC" w:rsidRPr="008B35E8">
        <w:rPr>
          <w:noProof/>
        </w:rPr>
        <w:t>2</w:t>
      </w:r>
      <w:r w:rsidR="00956FBC" w:rsidRPr="002866E5">
        <w:rPr>
          <w:noProof/>
        </w:rPr>
        <w:t>.</w:t>
      </w:r>
    </w:p>
    <w:p w14:paraId="67ED8895" w14:textId="44DE2C51" w:rsidR="00956FBC" w:rsidRPr="002866E5" w:rsidRDefault="00B4087C" w:rsidP="00B4087C">
      <w:pPr>
        <w:pStyle w:val="ManualNumPar1"/>
        <w:rPr>
          <w:noProof/>
        </w:rPr>
      </w:pPr>
      <w:r w:rsidRPr="00B4087C">
        <w:t>5.</w:t>
      </w:r>
      <w:r w:rsidRPr="00B4087C">
        <w:tab/>
      </w:r>
      <w:r w:rsidR="00956FBC" w:rsidRPr="002866E5">
        <w:rPr>
          <w:noProof/>
        </w:rPr>
        <w:t>Komisja niezwłocznie informuje odpowiedni podmiot gospodarczy lub odpowiednie podmioty gospodarcze</w:t>
      </w:r>
      <w:r w:rsidR="008B35E8" w:rsidRPr="002866E5">
        <w:rPr>
          <w:noProof/>
        </w:rPr>
        <w:t xml:space="preserve"> o</w:t>
      </w:r>
      <w:r w:rsidR="008B35E8">
        <w:rPr>
          <w:noProof/>
        </w:rPr>
        <w:t> </w:t>
      </w:r>
      <w:r w:rsidR="008B35E8" w:rsidRPr="002866E5">
        <w:rPr>
          <w:noProof/>
        </w:rPr>
        <w:t>pod</w:t>
      </w:r>
      <w:r w:rsidR="00956FBC" w:rsidRPr="002866E5">
        <w:rPr>
          <w:noProof/>
        </w:rPr>
        <w:t>jętej decyzji,</w:t>
      </w:r>
      <w:r w:rsidR="008B35E8" w:rsidRPr="002866E5">
        <w:rPr>
          <w:noProof/>
        </w:rPr>
        <w:t xml:space="preserve"> o</w:t>
      </w:r>
      <w:r w:rsidR="008B35E8">
        <w:rPr>
          <w:noProof/>
        </w:rPr>
        <w:t> </w:t>
      </w:r>
      <w:r w:rsidR="008B35E8" w:rsidRPr="002866E5">
        <w:rPr>
          <w:noProof/>
        </w:rPr>
        <w:t>któ</w:t>
      </w:r>
      <w:r w:rsidR="00956FBC" w:rsidRPr="002866E5">
        <w:rPr>
          <w:noProof/>
        </w:rPr>
        <w:t>rej mowa</w:t>
      </w:r>
      <w:r w:rsidR="008B35E8" w:rsidRPr="002866E5">
        <w:rPr>
          <w:noProof/>
        </w:rPr>
        <w:t xml:space="preserve"> w</w:t>
      </w:r>
      <w:r w:rsidR="008B35E8">
        <w:rPr>
          <w:noProof/>
        </w:rPr>
        <w:t> </w:t>
      </w:r>
      <w:r w:rsidR="008B35E8" w:rsidRPr="008B35E8">
        <w:rPr>
          <w:noProof/>
        </w:rPr>
        <w:t>ust</w:t>
      </w:r>
      <w:r w:rsidR="00956FBC" w:rsidRPr="008B35E8">
        <w:rPr>
          <w:noProof/>
        </w:rPr>
        <w:t>.</w:t>
      </w:r>
      <w:r w:rsidR="008B35E8" w:rsidRPr="008B35E8">
        <w:rPr>
          <w:noProof/>
        </w:rPr>
        <w:t> </w:t>
      </w:r>
      <w:r w:rsidR="00956FBC" w:rsidRPr="008B35E8">
        <w:rPr>
          <w:noProof/>
        </w:rPr>
        <w:t>4</w:t>
      </w:r>
      <w:r w:rsidR="00956FBC" w:rsidRPr="002866E5">
        <w:rPr>
          <w:noProof/>
        </w:rPr>
        <w:t>. Państwo członkowskie niezwłocznie wdraża akty,</w:t>
      </w:r>
      <w:r w:rsidR="008B35E8" w:rsidRPr="002866E5">
        <w:rPr>
          <w:noProof/>
        </w:rPr>
        <w:t xml:space="preserve"> o</w:t>
      </w:r>
      <w:r w:rsidR="008B35E8">
        <w:rPr>
          <w:noProof/>
        </w:rPr>
        <w:t> </w:t>
      </w:r>
      <w:r w:rsidR="008B35E8" w:rsidRPr="002866E5">
        <w:rPr>
          <w:noProof/>
        </w:rPr>
        <w:t>któ</w:t>
      </w:r>
      <w:r w:rsidR="00956FBC" w:rsidRPr="002866E5">
        <w:rPr>
          <w:noProof/>
        </w:rPr>
        <w:t>rych mowa</w:t>
      </w:r>
      <w:r w:rsidR="008B35E8" w:rsidRPr="002866E5">
        <w:rPr>
          <w:noProof/>
        </w:rPr>
        <w:t xml:space="preserve"> w</w:t>
      </w:r>
      <w:r w:rsidR="008B35E8">
        <w:rPr>
          <w:noProof/>
        </w:rPr>
        <w:t> </w:t>
      </w:r>
      <w:r w:rsidR="008B35E8" w:rsidRPr="008B35E8">
        <w:rPr>
          <w:noProof/>
        </w:rPr>
        <w:t>ust</w:t>
      </w:r>
      <w:r w:rsidR="00956FBC" w:rsidRPr="008B35E8">
        <w:rPr>
          <w:noProof/>
        </w:rPr>
        <w:t>.</w:t>
      </w:r>
      <w:r w:rsidR="008B35E8" w:rsidRPr="008B35E8">
        <w:rPr>
          <w:noProof/>
        </w:rPr>
        <w:t> </w:t>
      </w:r>
      <w:r w:rsidR="00956FBC" w:rsidRPr="008B35E8">
        <w:rPr>
          <w:noProof/>
        </w:rPr>
        <w:t>4</w:t>
      </w:r>
      <w:r w:rsidR="00956FBC" w:rsidRPr="002866E5">
        <w:rPr>
          <w:noProof/>
        </w:rPr>
        <w:t>,</w:t>
      </w:r>
      <w:r w:rsidR="008B35E8" w:rsidRPr="002866E5">
        <w:rPr>
          <w:noProof/>
        </w:rPr>
        <w:t xml:space="preserve"> i</w:t>
      </w:r>
      <w:r w:rsidR="008B35E8">
        <w:rPr>
          <w:noProof/>
        </w:rPr>
        <w:t> </w:t>
      </w:r>
      <w:r w:rsidR="008B35E8" w:rsidRPr="002866E5">
        <w:rPr>
          <w:noProof/>
        </w:rPr>
        <w:t>inf</w:t>
      </w:r>
      <w:r w:rsidR="00956FBC" w:rsidRPr="002866E5">
        <w:rPr>
          <w:noProof/>
        </w:rPr>
        <w:t>ormuje</w:t>
      </w:r>
      <w:r w:rsidR="008B35E8" w:rsidRPr="002866E5">
        <w:rPr>
          <w:noProof/>
        </w:rPr>
        <w:t xml:space="preserve"> o</w:t>
      </w:r>
      <w:r w:rsidR="008B35E8">
        <w:rPr>
          <w:noProof/>
        </w:rPr>
        <w:t> </w:t>
      </w:r>
      <w:r w:rsidR="008B35E8" w:rsidRPr="002866E5">
        <w:rPr>
          <w:noProof/>
        </w:rPr>
        <w:t>tym</w:t>
      </w:r>
      <w:r w:rsidR="00956FBC" w:rsidRPr="002866E5">
        <w:rPr>
          <w:noProof/>
        </w:rPr>
        <w:t xml:space="preserve"> Komisję.</w:t>
      </w:r>
    </w:p>
    <w:p w14:paraId="67ED8896" w14:textId="475FE4ED" w:rsidR="00956FBC" w:rsidRPr="002866E5" w:rsidRDefault="00B4087C" w:rsidP="00B4087C">
      <w:pPr>
        <w:pStyle w:val="ManualNumPar1"/>
        <w:rPr>
          <w:noProof/>
        </w:rPr>
      </w:pPr>
      <w:r w:rsidRPr="00B4087C">
        <w:t>6.</w:t>
      </w:r>
      <w:r w:rsidRPr="00B4087C">
        <w:tab/>
      </w:r>
      <w:r w:rsidR="00956FBC" w:rsidRPr="002866E5">
        <w:rPr>
          <w:noProof/>
        </w:rPr>
        <w:t xml:space="preserve">Przepisy </w:t>
      </w:r>
      <w:r w:rsidR="00956FBC" w:rsidRPr="008B35E8">
        <w:rPr>
          <w:noProof/>
        </w:rPr>
        <w:t>ust.</w:t>
      </w:r>
      <w:r w:rsidR="008B35E8" w:rsidRPr="008B35E8">
        <w:rPr>
          <w:noProof/>
        </w:rPr>
        <w:t> </w:t>
      </w:r>
      <w:r w:rsidR="00956FBC" w:rsidRPr="008B35E8">
        <w:rPr>
          <w:noProof/>
        </w:rPr>
        <w:t>2</w:t>
      </w:r>
      <w:r w:rsidR="00956FBC" w:rsidRPr="002866E5">
        <w:rPr>
          <w:noProof/>
        </w:rPr>
        <w:t>–5 mają zastosowanie przez okres trwania wyjątkowej sytuacji, która uzasadnia interwencję Komisji, oraz do czasu zapewnienia zgodności danego produktu</w:t>
      </w:r>
      <w:r w:rsidR="008B35E8" w:rsidRPr="002866E5">
        <w:rPr>
          <w:noProof/>
        </w:rPr>
        <w:t xml:space="preserve"> z</w:t>
      </w:r>
      <w:r w:rsidR="008B35E8">
        <w:rPr>
          <w:noProof/>
        </w:rPr>
        <w:t> </w:t>
      </w:r>
      <w:r w:rsidR="008B35E8" w:rsidRPr="002866E5">
        <w:rPr>
          <w:noProof/>
        </w:rPr>
        <w:t>prz</w:t>
      </w:r>
      <w:r w:rsidR="00956FBC" w:rsidRPr="002866E5">
        <w:rPr>
          <w:noProof/>
        </w:rPr>
        <w:t>episami niniejszego rozporządzenia.</w:t>
      </w:r>
    </w:p>
    <w:p w14:paraId="67ED8897" w14:textId="2581FFB3" w:rsidR="00E47F6C" w:rsidRPr="002866E5" w:rsidRDefault="000E72CE" w:rsidP="0027065F">
      <w:pPr>
        <w:pStyle w:val="Titrearticle0"/>
        <w:rPr>
          <w:i w:val="0"/>
          <w:noProof/>
        </w:rPr>
      </w:pPr>
      <w:r w:rsidRPr="002866E5">
        <w:rPr>
          <w:noProof/>
        </w:rPr>
        <w:t>Artykuł 46</w:t>
      </w:r>
    </w:p>
    <w:p w14:paraId="67ED8898" w14:textId="2F626267" w:rsidR="00465B52" w:rsidRPr="002866E5" w:rsidRDefault="000E72CE" w:rsidP="00084E38">
      <w:pPr>
        <w:jc w:val="center"/>
        <w:rPr>
          <w:i/>
          <w:noProof/>
        </w:rPr>
      </w:pPr>
      <w:r w:rsidRPr="002866E5">
        <w:rPr>
          <w:i/>
          <w:noProof/>
        </w:rPr>
        <w:t>Zgodne</w:t>
      </w:r>
      <w:r w:rsidR="008B35E8" w:rsidRPr="002866E5">
        <w:rPr>
          <w:i/>
          <w:noProof/>
        </w:rPr>
        <w:t xml:space="preserve"> z</w:t>
      </w:r>
      <w:r w:rsidR="008B35E8">
        <w:rPr>
          <w:i/>
          <w:noProof/>
        </w:rPr>
        <w:t> </w:t>
      </w:r>
      <w:r w:rsidR="008B35E8" w:rsidRPr="002866E5">
        <w:rPr>
          <w:i/>
          <w:noProof/>
        </w:rPr>
        <w:t>prz</w:t>
      </w:r>
      <w:r w:rsidRPr="002866E5">
        <w:rPr>
          <w:i/>
          <w:noProof/>
        </w:rPr>
        <w:t>episami produkty</w:t>
      </w:r>
      <w:r w:rsidR="008B35E8" w:rsidRPr="002866E5">
        <w:rPr>
          <w:i/>
          <w:noProof/>
        </w:rPr>
        <w:t xml:space="preserve"> z</w:t>
      </w:r>
      <w:r w:rsidR="008B35E8">
        <w:rPr>
          <w:i/>
          <w:noProof/>
        </w:rPr>
        <w:t> </w:t>
      </w:r>
      <w:r w:rsidR="008B35E8" w:rsidRPr="002866E5">
        <w:rPr>
          <w:i/>
          <w:noProof/>
        </w:rPr>
        <w:t>ele</w:t>
      </w:r>
      <w:r w:rsidRPr="002866E5">
        <w:rPr>
          <w:i/>
          <w:noProof/>
        </w:rPr>
        <w:t>mentami cyfrowymi, które stwarzają istotne ryzyko</w:t>
      </w:r>
      <w:r w:rsidR="008B35E8" w:rsidRPr="002866E5">
        <w:rPr>
          <w:i/>
          <w:noProof/>
        </w:rPr>
        <w:t xml:space="preserve"> w</w:t>
      </w:r>
      <w:r w:rsidR="008B35E8">
        <w:rPr>
          <w:i/>
          <w:noProof/>
        </w:rPr>
        <w:t> </w:t>
      </w:r>
      <w:r w:rsidR="008B35E8" w:rsidRPr="002866E5">
        <w:rPr>
          <w:i/>
          <w:noProof/>
        </w:rPr>
        <w:t>cyb</w:t>
      </w:r>
      <w:r w:rsidRPr="002866E5">
        <w:rPr>
          <w:i/>
          <w:noProof/>
        </w:rPr>
        <w:t xml:space="preserve">erprzestrzeni </w:t>
      </w:r>
    </w:p>
    <w:p w14:paraId="67ED8899" w14:textId="27F399CC" w:rsidR="000E72CE" w:rsidRPr="002866E5" w:rsidRDefault="00B4087C" w:rsidP="00B4087C">
      <w:pPr>
        <w:pStyle w:val="ManualNumPar1"/>
        <w:rPr>
          <w:noProof/>
        </w:rPr>
      </w:pPr>
      <w:r w:rsidRPr="00B4087C">
        <w:t>1.</w:t>
      </w:r>
      <w:r w:rsidRPr="00B4087C">
        <w:tab/>
      </w:r>
      <w:r w:rsidR="000E72CE" w:rsidRPr="002866E5">
        <w:rPr>
          <w:noProof/>
        </w:rPr>
        <w:t>Jeżeli po przeprowadzeniu oceny zgodnie</w:t>
      </w:r>
      <w:r w:rsidR="008B35E8" w:rsidRPr="002866E5">
        <w:rPr>
          <w:noProof/>
        </w:rPr>
        <w:t xml:space="preserve"> z</w:t>
      </w:r>
      <w:r w:rsidR="008B35E8">
        <w:rPr>
          <w:noProof/>
        </w:rPr>
        <w:t> </w:t>
      </w:r>
      <w:r w:rsidR="008B35E8" w:rsidRPr="008B35E8">
        <w:rPr>
          <w:noProof/>
        </w:rPr>
        <w:t>art</w:t>
      </w:r>
      <w:r w:rsidR="000E72CE" w:rsidRPr="008B35E8">
        <w:rPr>
          <w:noProof/>
        </w:rPr>
        <w:t>.</w:t>
      </w:r>
      <w:r w:rsidR="008B35E8" w:rsidRPr="008B35E8">
        <w:rPr>
          <w:noProof/>
        </w:rPr>
        <w:t> </w:t>
      </w:r>
      <w:r w:rsidR="000E72CE" w:rsidRPr="008B35E8">
        <w:rPr>
          <w:noProof/>
        </w:rPr>
        <w:t>4</w:t>
      </w:r>
      <w:r w:rsidR="000E72CE" w:rsidRPr="002866E5">
        <w:rPr>
          <w:noProof/>
        </w:rPr>
        <w:t>3 organ nadzoru rynku państwa członkowskiego stwierdzi, że chociaż produkt</w:t>
      </w:r>
      <w:r w:rsidR="008B35E8" w:rsidRPr="002866E5">
        <w:rPr>
          <w:noProof/>
        </w:rPr>
        <w:t xml:space="preserve"> z</w:t>
      </w:r>
      <w:r w:rsidR="008B35E8">
        <w:rPr>
          <w:noProof/>
        </w:rPr>
        <w:t> </w:t>
      </w:r>
      <w:r w:rsidR="008B35E8" w:rsidRPr="002866E5">
        <w:rPr>
          <w:noProof/>
        </w:rPr>
        <w:t>ele</w:t>
      </w:r>
      <w:r w:rsidR="000E72CE" w:rsidRPr="002866E5">
        <w:rPr>
          <w:noProof/>
        </w:rPr>
        <w:t>mentami cyfrowymi</w:t>
      </w:r>
      <w:r w:rsidR="008B35E8" w:rsidRPr="002866E5">
        <w:rPr>
          <w:noProof/>
        </w:rPr>
        <w:t xml:space="preserve"> i</w:t>
      </w:r>
      <w:r w:rsidR="008B35E8">
        <w:rPr>
          <w:noProof/>
        </w:rPr>
        <w:t> </w:t>
      </w:r>
      <w:r w:rsidR="008B35E8" w:rsidRPr="002866E5">
        <w:rPr>
          <w:noProof/>
        </w:rPr>
        <w:t>pro</w:t>
      </w:r>
      <w:r w:rsidR="000E72CE" w:rsidRPr="002866E5">
        <w:rPr>
          <w:noProof/>
        </w:rPr>
        <w:t>cedury wprowadzone przez producenta są zgodne</w:t>
      </w:r>
      <w:r w:rsidR="008B35E8" w:rsidRPr="002866E5">
        <w:rPr>
          <w:noProof/>
        </w:rPr>
        <w:t xml:space="preserve"> z</w:t>
      </w:r>
      <w:r w:rsidR="008B35E8">
        <w:rPr>
          <w:noProof/>
        </w:rPr>
        <w:t> </w:t>
      </w:r>
      <w:r w:rsidR="008B35E8" w:rsidRPr="002866E5">
        <w:rPr>
          <w:noProof/>
        </w:rPr>
        <w:t>nin</w:t>
      </w:r>
      <w:r w:rsidR="000E72CE" w:rsidRPr="002866E5">
        <w:rPr>
          <w:noProof/>
        </w:rPr>
        <w:t>iejszym rozporządzeniem, stwarzają one istotne ryzyko</w:t>
      </w:r>
      <w:r w:rsidR="008B35E8" w:rsidRPr="002866E5">
        <w:rPr>
          <w:noProof/>
        </w:rPr>
        <w:t xml:space="preserve"> w</w:t>
      </w:r>
      <w:r w:rsidR="008B35E8">
        <w:rPr>
          <w:noProof/>
        </w:rPr>
        <w:t> </w:t>
      </w:r>
      <w:r w:rsidR="008B35E8" w:rsidRPr="002866E5">
        <w:rPr>
          <w:noProof/>
        </w:rPr>
        <w:t>cyb</w:t>
      </w:r>
      <w:r w:rsidR="000E72CE" w:rsidRPr="002866E5">
        <w:rPr>
          <w:noProof/>
        </w:rPr>
        <w:t>erprzestrzeni,</w:t>
      </w:r>
      <w:r w:rsidR="008B35E8" w:rsidRPr="002866E5">
        <w:rPr>
          <w:noProof/>
        </w:rPr>
        <w:t xml:space="preserve"> a</w:t>
      </w:r>
      <w:r w:rsidR="008B35E8">
        <w:rPr>
          <w:noProof/>
        </w:rPr>
        <w:t> </w:t>
      </w:r>
      <w:r w:rsidR="008B35E8" w:rsidRPr="002866E5">
        <w:rPr>
          <w:noProof/>
        </w:rPr>
        <w:t>tak</w:t>
      </w:r>
      <w:r w:rsidR="000E72CE" w:rsidRPr="002866E5">
        <w:rPr>
          <w:noProof/>
        </w:rPr>
        <w:t>że stwarzają ryzyko dla zdrowia</w:t>
      </w:r>
      <w:r w:rsidR="008B35E8" w:rsidRPr="002866E5">
        <w:rPr>
          <w:noProof/>
        </w:rPr>
        <w:t xml:space="preserve"> i</w:t>
      </w:r>
      <w:r w:rsidR="008B35E8">
        <w:rPr>
          <w:noProof/>
        </w:rPr>
        <w:t> </w:t>
      </w:r>
      <w:r w:rsidR="008B35E8" w:rsidRPr="002866E5">
        <w:rPr>
          <w:noProof/>
        </w:rPr>
        <w:t>bez</w:t>
      </w:r>
      <w:r w:rsidR="000E72CE" w:rsidRPr="002866E5">
        <w:rPr>
          <w:noProof/>
        </w:rPr>
        <w:t>pieczeństwa osób, dla wypełnienia obowiązków wynikających</w:t>
      </w:r>
      <w:r w:rsidR="008B35E8" w:rsidRPr="002866E5">
        <w:rPr>
          <w:noProof/>
        </w:rPr>
        <w:t xml:space="preserve"> z</w:t>
      </w:r>
      <w:r w:rsidR="008B35E8">
        <w:rPr>
          <w:noProof/>
        </w:rPr>
        <w:t> </w:t>
      </w:r>
      <w:r w:rsidR="008B35E8" w:rsidRPr="002866E5">
        <w:rPr>
          <w:noProof/>
        </w:rPr>
        <w:t>pra</w:t>
      </w:r>
      <w:r w:rsidR="000E72CE" w:rsidRPr="002866E5">
        <w:rPr>
          <w:noProof/>
        </w:rPr>
        <w:t>wa Unii lub prawa krajowego mających na celu ochronę praw podstawowych, dostępności, autentyczności, integralności lub poufności usług oferowanych przy użyciu elektronicznego systemu informacyjnego przez podmioty niezbędne takie jak podmioty,</w:t>
      </w:r>
      <w:r w:rsidR="008B35E8" w:rsidRPr="002866E5">
        <w:rPr>
          <w:noProof/>
        </w:rPr>
        <w:t xml:space="preserve"> o</w:t>
      </w:r>
      <w:r w:rsidR="008B35E8">
        <w:rPr>
          <w:noProof/>
        </w:rPr>
        <w:t> </w:t>
      </w:r>
      <w:r w:rsidR="008B35E8" w:rsidRPr="002866E5">
        <w:rPr>
          <w:noProof/>
        </w:rPr>
        <w:t>któ</w:t>
      </w:r>
      <w:r w:rsidR="000E72CE" w:rsidRPr="002866E5">
        <w:rPr>
          <w:noProof/>
        </w:rPr>
        <w:t>rych mowa w [załączniku I do dyrektywy XXX / XXXX (dyrektywy NIS 2)], lub dla innych aspektów ochrony interesu publicznego, organ zobowiązuje właściwy podmiot gospodarczy do wprowadzenia wszelkich odpowiednich środków</w:t>
      </w:r>
      <w:r w:rsidR="008B35E8" w:rsidRPr="002866E5">
        <w:rPr>
          <w:noProof/>
        </w:rPr>
        <w:t xml:space="preserve"> w</w:t>
      </w:r>
      <w:r w:rsidR="008B35E8">
        <w:rPr>
          <w:noProof/>
        </w:rPr>
        <w:t> </w:t>
      </w:r>
      <w:r w:rsidR="008B35E8" w:rsidRPr="002866E5">
        <w:rPr>
          <w:noProof/>
        </w:rPr>
        <w:t>cel</w:t>
      </w:r>
      <w:r w:rsidR="000E72CE" w:rsidRPr="002866E5">
        <w:rPr>
          <w:noProof/>
        </w:rPr>
        <w:t>u zapewnienia, aby dany produkt</w:t>
      </w:r>
      <w:r w:rsidR="008B35E8" w:rsidRPr="002866E5">
        <w:rPr>
          <w:noProof/>
        </w:rPr>
        <w:t xml:space="preserve"> z</w:t>
      </w:r>
      <w:r w:rsidR="008B35E8">
        <w:rPr>
          <w:noProof/>
        </w:rPr>
        <w:t> </w:t>
      </w:r>
      <w:r w:rsidR="008B35E8" w:rsidRPr="002866E5">
        <w:rPr>
          <w:noProof/>
        </w:rPr>
        <w:t>ele</w:t>
      </w:r>
      <w:r w:rsidR="000E72CE" w:rsidRPr="002866E5">
        <w:rPr>
          <w:noProof/>
        </w:rPr>
        <w:t>mentami cyfrowymi oraz dane procedury wprowadzone przez producenta po wprowadzeniu do obrotu nie stwarzały już takiego ryzyka, do wycofania produktu</w:t>
      </w:r>
      <w:r w:rsidR="008B35E8" w:rsidRPr="002866E5">
        <w:rPr>
          <w:noProof/>
        </w:rPr>
        <w:t xml:space="preserve"> z</w:t>
      </w:r>
      <w:r w:rsidR="008B35E8">
        <w:rPr>
          <w:noProof/>
        </w:rPr>
        <w:t> </w:t>
      </w:r>
      <w:r w:rsidR="008B35E8" w:rsidRPr="002866E5">
        <w:rPr>
          <w:noProof/>
        </w:rPr>
        <w:t>ele</w:t>
      </w:r>
      <w:r w:rsidR="000E72CE" w:rsidRPr="002866E5">
        <w:rPr>
          <w:noProof/>
        </w:rPr>
        <w:t>mentami cyfrowymi</w:t>
      </w:r>
      <w:r w:rsidR="008B35E8" w:rsidRPr="002866E5">
        <w:rPr>
          <w:noProof/>
        </w:rPr>
        <w:t xml:space="preserve"> z</w:t>
      </w:r>
      <w:r w:rsidR="008B35E8">
        <w:rPr>
          <w:noProof/>
        </w:rPr>
        <w:t> </w:t>
      </w:r>
      <w:r w:rsidR="008B35E8" w:rsidRPr="002866E5">
        <w:rPr>
          <w:noProof/>
        </w:rPr>
        <w:t>obr</w:t>
      </w:r>
      <w:r w:rsidR="000E72CE" w:rsidRPr="002866E5">
        <w:rPr>
          <w:noProof/>
        </w:rPr>
        <w:t>otu lub odzyskania go</w:t>
      </w:r>
      <w:r w:rsidR="008B35E8" w:rsidRPr="002866E5">
        <w:rPr>
          <w:noProof/>
        </w:rPr>
        <w:t xml:space="preserve"> w</w:t>
      </w:r>
      <w:r w:rsidR="008B35E8">
        <w:rPr>
          <w:noProof/>
        </w:rPr>
        <w:t> </w:t>
      </w:r>
      <w:r w:rsidR="008B35E8" w:rsidRPr="002866E5">
        <w:rPr>
          <w:noProof/>
        </w:rPr>
        <w:t>roz</w:t>
      </w:r>
      <w:r w:rsidR="000E72CE" w:rsidRPr="002866E5">
        <w:rPr>
          <w:noProof/>
        </w:rPr>
        <w:t>sądnym terminie, stosownym do charakteru ryzyka.</w:t>
      </w:r>
    </w:p>
    <w:p w14:paraId="67ED889A" w14:textId="4B76CF18" w:rsidR="000E72CE" w:rsidRPr="002866E5" w:rsidRDefault="00B4087C" w:rsidP="00B4087C">
      <w:pPr>
        <w:pStyle w:val="ManualNumPar1"/>
        <w:rPr>
          <w:noProof/>
        </w:rPr>
      </w:pPr>
      <w:r w:rsidRPr="00B4087C">
        <w:t>2.</w:t>
      </w:r>
      <w:r w:rsidRPr="00B4087C">
        <w:tab/>
      </w:r>
      <w:r w:rsidR="000E72CE" w:rsidRPr="002866E5">
        <w:rPr>
          <w:noProof/>
        </w:rPr>
        <w:t>Producent lub inne właściwe podmioty gospodarcze zapewniają podjęcie działań naprawczych</w:t>
      </w:r>
      <w:r w:rsidR="008B35E8" w:rsidRPr="002866E5">
        <w:rPr>
          <w:noProof/>
        </w:rPr>
        <w:t xml:space="preserve"> w</w:t>
      </w:r>
      <w:r w:rsidR="008B35E8">
        <w:rPr>
          <w:noProof/>
        </w:rPr>
        <w:t> </w:t>
      </w:r>
      <w:r w:rsidR="008B35E8" w:rsidRPr="002866E5">
        <w:rPr>
          <w:noProof/>
        </w:rPr>
        <w:t>odn</w:t>
      </w:r>
      <w:r w:rsidR="000E72CE" w:rsidRPr="002866E5">
        <w:rPr>
          <w:noProof/>
        </w:rPr>
        <w:t>iesieniu do odnośnych produktów</w:t>
      </w:r>
      <w:r w:rsidR="008B35E8" w:rsidRPr="002866E5">
        <w:rPr>
          <w:noProof/>
        </w:rPr>
        <w:t xml:space="preserve"> z</w:t>
      </w:r>
      <w:r w:rsidR="008B35E8">
        <w:rPr>
          <w:noProof/>
        </w:rPr>
        <w:t> </w:t>
      </w:r>
      <w:r w:rsidR="008B35E8" w:rsidRPr="002866E5">
        <w:rPr>
          <w:noProof/>
        </w:rPr>
        <w:t>ele</w:t>
      </w:r>
      <w:r w:rsidR="000E72CE" w:rsidRPr="002866E5">
        <w:rPr>
          <w:noProof/>
        </w:rPr>
        <w:t xml:space="preserve">mentami cyfrowymi, </w:t>
      </w:r>
      <w:r w:rsidR="000E72CE" w:rsidRPr="002866E5">
        <w:rPr>
          <w:noProof/>
        </w:rPr>
        <w:lastRenderedPageBreak/>
        <w:t>które udostępniły na rynku</w:t>
      </w:r>
      <w:r w:rsidR="008B35E8" w:rsidRPr="002866E5">
        <w:rPr>
          <w:noProof/>
        </w:rPr>
        <w:t xml:space="preserve"> w</w:t>
      </w:r>
      <w:r w:rsidR="008B35E8">
        <w:rPr>
          <w:noProof/>
        </w:rPr>
        <w:t> </w:t>
      </w:r>
      <w:r w:rsidR="008B35E8" w:rsidRPr="002866E5">
        <w:rPr>
          <w:noProof/>
        </w:rPr>
        <w:t>cał</w:t>
      </w:r>
      <w:r w:rsidR="000E72CE" w:rsidRPr="002866E5">
        <w:rPr>
          <w:noProof/>
        </w:rPr>
        <w:t>ej Unii,</w:t>
      </w:r>
      <w:r w:rsidR="008B35E8" w:rsidRPr="002866E5">
        <w:rPr>
          <w:noProof/>
        </w:rPr>
        <w:t xml:space="preserve"> w</w:t>
      </w:r>
      <w:r w:rsidR="008B35E8">
        <w:rPr>
          <w:noProof/>
        </w:rPr>
        <w:t> </w:t>
      </w:r>
      <w:r w:rsidR="008B35E8" w:rsidRPr="002866E5">
        <w:rPr>
          <w:noProof/>
        </w:rPr>
        <w:t>ter</w:t>
      </w:r>
      <w:r w:rsidR="000E72CE" w:rsidRPr="002866E5">
        <w:rPr>
          <w:noProof/>
        </w:rPr>
        <w:t>minie wyznaczonym przez organ nadzoru rynku państwa członkowskiego,</w:t>
      </w:r>
      <w:r w:rsidR="008B35E8" w:rsidRPr="002866E5">
        <w:rPr>
          <w:noProof/>
        </w:rPr>
        <w:t xml:space="preserve"> o</w:t>
      </w:r>
      <w:r w:rsidR="008B35E8">
        <w:rPr>
          <w:noProof/>
        </w:rPr>
        <w:t> </w:t>
      </w:r>
      <w:r w:rsidR="008B35E8" w:rsidRPr="002866E5">
        <w:rPr>
          <w:noProof/>
        </w:rPr>
        <w:t>któ</w:t>
      </w:r>
      <w:r w:rsidR="000E72CE" w:rsidRPr="002866E5">
        <w:rPr>
          <w:noProof/>
        </w:rPr>
        <w:t>rym mowa</w:t>
      </w:r>
      <w:r w:rsidR="008B35E8" w:rsidRPr="002866E5">
        <w:rPr>
          <w:noProof/>
        </w:rPr>
        <w:t xml:space="preserve"> w</w:t>
      </w:r>
      <w:r w:rsidR="008B35E8">
        <w:rPr>
          <w:noProof/>
        </w:rPr>
        <w:t> </w:t>
      </w:r>
      <w:r w:rsidR="008B35E8" w:rsidRPr="008B35E8">
        <w:rPr>
          <w:noProof/>
        </w:rPr>
        <w:t>ust</w:t>
      </w:r>
      <w:r w:rsidR="000E72CE" w:rsidRPr="008B35E8">
        <w:rPr>
          <w:noProof/>
        </w:rPr>
        <w:t>.</w:t>
      </w:r>
      <w:r w:rsidR="008B35E8" w:rsidRPr="008B35E8">
        <w:rPr>
          <w:noProof/>
        </w:rPr>
        <w:t> </w:t>
      </w:r>
      <w:r w:rsidR="000E72CE" w:rsidRPr="008B35E8">
        <w:rPr>
          <w:noProof/>
        </w:rPr>
        <w:t>1</w:t>
      </w:r>
      <w:r w:rsidR="000E72CE" w:rsidRPr="002866E5">
        <w:rPr>
          <w:noProof/>
        </w:rPr>
        <w:t>.</w:t>
      </w:r>
    </w:p>
    <w:p w14:paraId="67ED889B" w14:textId="5764A766" w:rsidR="000E72CE" w:rsidRPr="002866E5" w:rsidRDefault="00B4087C" w:rsidP="00B4087C">
      <w:pPr>
        <w:pStyle w:val="ManualNumPar1"/>
        <w:rPr>
          <w:noProof/>
        </w:rPr>
      </w:pPr>
      <w:r w:rsidRPr="00B4087C">
        <w:t>3.</w:t>
      </w:r>
      <w:r w:rsidRPr="00B4087C">
        <w:tab/>
      </w:r>
      <w:r w:rsidR="000E72CE" w:rsidRPr="002866E5">
        <w:rPr>
          <w:noProof/>
        </w:rPr>
        <w:t>Państwo członkowskie niezwłocznie informuje Komisję</w:t>
      </w:r>
      <w:r w:rsidR="008B35E8" w:rsidRPr="002866E5">
        <w:rPr>
          <w:noProof/>
        </w:rPr>
        <w:t xml:space="preserve"> i</w:t>
      </w:r>
      <w:r w:rsidR="008B35E8">
        <w:rPr>
          <w:noProof/>
        </w:rPr>
        <w:t> </w:t>
      </w:r>
      <w:r w:rsidR="008B35E8" w:rsidRPr="002866E5">
        <w:rPr>
          <w:noProof/>
        </w:rPr>
        <w:t>poz</w:t>
      </w:r>
      <w:r w:rsidR="000E72CE" w:rsidRPr="002866E5">
        <w:rPr>
          <w:noProof/>
        </w:rPr>
        <w:t>ostałe państwa członkowskie</w:t>
      </w:r>
      <w:r w:rsidR="008B35E8" w:rsidRPr="002866E5">
        <w:rPr>
          <w:noProof/>
        </w:rPr>
        <w:t xml:space="preserve"> o</w:t>
      </w:r>
      <w:r w:rsidR="008B35E8">
        <w:rPr>
          <w:noProof/>
        </w:rPr>
        <w:t> </w:t>
      </w:r>
      <w:r w:rsidR="008B35E8" w:rsidRPr="002866E5">
        <w:rPr>
          <w:noProof/>
        </w:rPr>
        <w:t>śro</w:t>
      </w:r>
      <w:r w:rsidR="000E72CE" w:rsidRPr="002866E5">
        <w:rPr>
          <w:noProof/>
        </w:rPr>
        <w:t xml:space="preserve">dkach wprowadzonych na podstawie </w:t>
      </w:r>
      <w:r w:rsidR="000E72CE" w:rsidRPr="008B35E8">
        <w:rPr>
          <w:noProof/>
        </w:rPr>
        <w:t>ust.</w:t>
      </w:r>
      <w:r w:rsidR="008B35E8" w:rsidRPr="008B35E8">
        <w:rPr>
          <w:noProof/>
        </w:rPr>
        <w:t> </w:t>
      </w:r>
      <w:r w:rsidR="000E72CE" w:rsidRPr="008B35E8">
        <w:rPr>
          <w:noProof/>
        </w:rPr>
        <w:t>1</w:t>
      </w:r>
      <w:r w:rsidR="000E72CE" w:rsidRPr="002866E5">
        <w:rPr>
          <w:noProof/>
        </w:rPr>
        <w:t>. Informacje te obejmują wszelkie dostępne informacje szczegółowe,</w:t>
      </w:r>
      <w:r w:rsidR="008B35E8" w:rsidRPr="002866E5">
        <w:rPr>
          <w:noProof/>
        </w:rPr>
        <w:t xml:space="preserve"> w</w:t>
      </w:r>
      <w:r w:rsidR="008B35E8">
        <w:rPr>
          <w:noProof/>
        </w:rPr>
        <w:t> </w:t>
      </w:r>
      <w:r w:rsidR="008B35E8" w:rsidRPr="002866E5">
        <w:rPr>
          <w:noProof/>
        </w:rPr>
        <w:t>szc</w:t>
      </w:r>
      <w:r w:rsidR="000E72CE" w:rsidRPr="002866E5">
        <w:rPr>
          <w:noProof/>
        </w:rPr>
        <w:t>zególności dane konieczne do identyfikacji odnośnych produktów</w:t>
      </w:r>
      <w:r w:rsidR="008B35E8" w:rsidRPr="002866E5">
        <w:rPr>
          <w:noProof/>
        </w:rPr>
        <w:t xml:space="preserve"> z</w:t>
      </w:r>
      <w:r w:rsidR="008B35E8">
        <w:rPr>
          <w:noProof/>
        </w:rPr>
        <w:t> </w:t>
      </w:r>
      <w:r w:rsidR="008B35E8" w:rsidRPr="002866E5">
        <w:rPr>
          <w:noProof/>
        </w:rPr>
        <w:t>ele</w:t>
      </w:r>
      <w:r w:rsidR="000E72CE" w:rsidRPr="002866E5">
        <w:rPr>
          <w:noProof/>
        </w:rPr>
        <w:t>mentami cyfrowymi, informacje na temat pochodzenia</w:t>
      </w:r>
      <w:r w:rsidR="008B35E8" w:rsidRPr="002866E5">
        <w:rPr>
          <w:noProof/>
        </w:rPr>
        <w:t xml:space="preserve"> i</w:t>
      </w:r>
      <w:r w:rsidR="008B35E8">
        <w:rPr>
          <w:noProof/>
        </w:rPr>
        <w:t> </w:t>
      </w:r>
      <w:r w:rsidR="008B35E8" w:rsidRPr="002866E5">
        <w:rPr>
          <w:noProof/>
        </w:rPr>
        <w:t>łań</w:t>
      </w:r>
      <w:r w:rsidR="000E72CE" w:rsidRPr="002866E5">
        <w:rPr>
          <w:noProof/>
        </w:rPr>
        <w:t>cucha dostaw tych produktów</w:t>
      </w:r>
      <w:r w:rsidR="008B35E8" w:rsidRPr="002866E5">
        <w:rPr>
          <w:noProof/>
        </w:rPr>
        <w:t xml:space="preserve"> z</w:t>
      </w:r>
      <w:r w:rsidR="008B35E8">
        <w:rPr>
          <w:noProof/>
        </w:rPr>
        <w:t> </w:t>
      </w:r>
      <w:r w:rsidR="008B35E8" w:rsidRPr="002866E5">
        <w:rPr>
          <w:noProof/>
        </w:rPr>
        <w:t>ele</w:t>
      </w:r>
      <w:r w:rsidR="000E72CE" w:rsidRPr="002866E5">
        <w:rPr>
          <w:noProof/>
        </w:rPr>
        <w:t>mentami cyfrowymi, charakteru występującego ryzyka oraz rodzaju</w:t>
      </w:r>
      <w:r w:rsidR="008B35E8" w:rsidRPr="002866E5">
        <w:rPr>
          <w:noProof/>
        </w:rPr>
        <w:t xml:space="preserve"> i</w:t>
      </w:r>
      <w:r w:rsidR="008B35E8">
        <w:rPr>
          <w:noProof/>
        </w:rPr>
        <w:t> </w:t>
      </w:r>
      <w:r w:rsidR="008B35E8" w:rsidRPr="002866E5">
        <w:rPr>
          <w:noProof/>
        </w:rPr>
        <w:t>okr</w:t>
      </w:r>
      <w:r w:rsidR="000E72CE" w:rsidRPr="002866E5">
        <w:rPr>
          <w:noProof/>
        </w:rPr>
        <w:t>esu obowiązywania wprowadzonych środków krajowych.</w:t>
      </w:r>
    </w:p>
    <w:p w14:paraId="67ED889C" w14:textId="7951EFAD" w:rsidR="000E72CE" w:rsidRPr="002866E5" w:rsidRDefault="00B4087C" w:rsidP="00B4087C">
      <w:pPr>
        <w:pStyle w:val="ManualNumPar1"/>
        <w:rPr>
          <w:noProof/>
        </w:rPr>
      </w:pPr>
      <w:r w:rsidRPr="00B4087C">
        <w:t>4.</w:t>
      </w:r>
      <w:r w:rsidRPr="00B4087C">
        <w:tab/>
      </w:r>
      <w:r w:rsidR="000E72CE" w:rsidRPr="002866E5">
        <w:rPr>
          <w:noProof/>
        </w:rPr>
        <w:t>Komisja niezwłocznie rozpoczyna konsultacje</w:t>
      </w:r>
      <w:r w:rsidR="008B35E8" w:rsidRPr="002866E5">
        <w:rPr>
          <w:noProof/>
        </w:rPr>
        <w:t xml:space="preserve"> z</w:t>
      </w:r>
      <w:r w:rsidR="008B35E8">
        <w:rPr>
          <w:noProof/>
        </w:rPr>
        <w:t> </w:t>
      </w:r>
      <w:r w:rsidR="008B35E8" w:rsidRPr="002866E5">
        <w:rPr>
          <w:noProof/>
        </w:rPr>
        <w:t>pań</w:t>
      </w:r>
      <w:r w:rsidR="000E72CE" w:rsidRPr="002866E5">
        <w:rPr>
          <w:noProof/>
        </w:rPr>
        <w:t>stwami członkowskimi</w:t>
      </w:r>
      <w:r w:rsidR="008B35E8" w:rsidRPr="002866E5">
        <w:rPr>
          <w:noProof/>
        </w:rPr>
        <w:t xml:space="preserve"> i</w:t>
      </w:r>
      <w:r w:rsidR="008B35E8">
        <w:rPr>
          <w:noProof/>
        </w:rPr>
        <w:t> </w:t>
      </w:r>
      <w:r w:rsidR="008B35E8" w:rsidRPr="002866E5">
        <w:rPr>
          <w:noProof/>
        </w:rPr>
        <w:t>odp</w:t>
      </w:r>
      <w:r w:rsidR="000E72CE" w:rsidRPr="002866E5">
        <w:rPr>
          <w:noProof/>
        </w:rPr>
        <w:t>owiednim podmiotem gospodarczym oraz ocenia wprowadzone środki krajowe. Na podstawie wyników tej oceny Komisja decyduje, czy dany środek jest uzasadniony, oraz proponuje odpowiednie środki,</w:t>
      </w:r>
      <w:r w:rsidR="008B35E8" w:rsidRPr="002866E5">
        <w:rPr>
          <w:noProof/>
        </w:rPr>
        <w:t xml:space="preserve"> o</w:t>
      </w:r>
      <w:r w:rsidR="008B35E8">
        <w:rPr>
          <w:noProof/>
        </w:rPr>
        <w:t> </w:t>
      </w:r>
      <w:r w:rsidR="008B35E8" w:rsidRPr="002866E5">
        <w:rPr>
          <w:noProof/>
        </w:rPr>
        <w:t>ile</w:t>
      </w:r>
      <w:r w:rsidR="000E72CE" w:rsidRPr="002866E5">
        <w:rPr>
          <w:noProof/>
        </w:rPr>
        <w:t xml:space="preserve"> są konieczne.</w:t>
      </w:r>
    </w:p>
    <w:p w14:paraId="67ED889D" w14:textId="0AE47465" w:rsidR="001B2B18" w:rsidRPr="002866E5" w:rsidRDefault="00B4087C" w:rsidP="00B4087C">
      <w:pPr>
        <w:pStyle w:val="ManualNumPar1"/>
        <w:rPr>
          <w:noProof/>
        </w:rPr>
      </w:pPr>
      <w:r w:rsidRPr="00B4087C">
        <w:t>5.</w:t>
      </w:r>
      <w:r w:rsidRPr="00B4087C">
        <w:tab/>
      </w:r>
      <w:r w:rsidR="000E72CE" w:rsidRPr="002866E5">
        <w:rPr>
          <w:noProof/>
        </w:rPr>
        <w:t>Komisja kieruje swoją decyzję do państw członkowskich.</w:t>
      </w:r>
    </w:p>
    <w:p w14:paraId="67ED889E" w14:textId="749B7500" w:rsidR="001B2B18" w:rsidRPr="002866E5" w:rsidRDefault="00B4087C" w:rsidP="00B4087C">
      <w:pPr>
        <w:pStyle w:val="ManualNumPar1"/>
        <w:rPr>
          <w:noProof/>
        </w:rPr>
      </w:pPr>
      <w:r w:rsidRPr="00B4087C">
        <w:t>6.</w:t>
      </w:r>
      <w:r w:rsidRPr="00B4087C">
        <w:tab/>
      </w:r>
      <w:r w:rsidR="001B2B18" w:rsidRPr="002866E5">
        <w:rPr>
          <w:noProof/>
        </w:rPr>
        <w:t>W przypadku gdy Komisja ma wystarczające powody, aby uznać,</w:t>
      </w:r>
      <w:r w:rsidR="008B35E8" w:rsidRPr="002866E5">
        <w:rPr>
          <w:noProof/>
        </w:rPr>
        <w:t xml:space="preserve"> w</w:t>
      </w:r>
      <w:r w:rsidR="008B35E8">
        <w:rPr>
          <w:noProof/>
        </w:rPr>
        <w:t> </w:t>
      </w:r>
      <w:r w:rsidR="008B35E8" w:rsidRPr="002866E5">
        <w:rPr>
          <w:noProof/>
        </w:rPr>
        <w:t>tym</w:t>
      </w:r>
      <w:r w:rsidR="001B2B18" w:rsidRPr="002866E5">
        <w:rPr>
          <w:noProof/>
        </w:rPr>
        <w:t xml:space="preserve"> na podstawie informacji przekazanych przez ENISA, że produkt</w:t>
      </w:r>
      <w:r w:rsidR="008B35E8" w:rsidRPr="002866E5">
        <w:rPr>
          <w:noProof/>
        </w:rPr>
        <w:t xml:space="preserve"> z</w:t>
      </w:r>
      <w:r w:rsidR="008B35E8">
        <w:rPr>
          <w:noProof/>
        </w:rPr>
        <w:t> </w:t>
      </w:r>
      <w:r w:rsidR="008B35E8" w:rsidRPr="002866E5">
        <w:rPr>
          <w:noProof/>
        </w:rPr>
        <w:t>ele</w:t>
      </w:r>
      <w:r w:rsidR="001B2B18" w:rsidRPr="002866E5">
        <w:rPr>
          <w:noProof/>
        </w:rPr>
        <w:t>mentami cyfrowymi, choć zgodny</w:t>
      </w:r>
      <w:r w:rsidR="008B35E8" w:rsidRPr="002866E5">
        <w:rPr>
          <w:noProof/>
        </w:rPr>
        <w:t xml:space="preserve"> z</w:t>
      </w:r>
      <w:r w:rsidR="008B35E8">
        <w:rPr>
          <w:noProof/>
        </w:rPr>
        <w:t> </w:t>
      </w:r>
      <w:r w:rsidR="008B35E8" w:rsidRPr="002866E5">
        <w:rPr>
          <w:noProof/>
        </w:rPr>
        <w:t>nin</w:t>
      </w:r>
      <w:r w:rsidR="001B2B18" w:rsidRPr="002866E5">
        <w:rPr>
          <w:noProof/>
        </w:rPr>
        <w:t>iejszym rozporządzeniem, stwarza ryzyko,</w:t>
      </w:r>
      <w:r w:rsidR="008B35E8" w:rsidRPr="002866E5">
        <w:rPr>
          <w:noProof/>
        </w:rPr>
        <w:t xml:space="preserve"> o</w:t>
      </w:r>
      <w:r w:rsidR="008B35E8">
        <w:rPr>
          <w:noProof/>
        </w:rPr>
        <w:t> </w:t>
      </w:r>
      <w:r w:rsidR="008B35E8" w:rsidRPr="002866E5">
        <w:rPr>
          <w:noProof/>
        </w:rPr>
        <w:t>któ</w:t>
      </w:r>
      <w:r w:rsidR="001B2B18" w:rsidRPr="002866E5">
        <w:rPr>
          <w:noProof/>
        </w:rPr>
        <w:t>rym mowa</w:t>
      </w:r>
      <w:r w:rsidR="008B35E8" w:rsidRPr="002866E5">
        <w:rPr>
          <w:noProof/>
        </w:rPr>
        <w:t xml:space="preserve"> w</w:t>
      </w:r>
      <w:r w:rsidR="008B35E8">
        <w:rPr>
          <w:noProof/>
        </w:rPr>
        <w:t> </w:t>
      </w:r>
      <w:r w:rsidR="008B35E8" w:rsidRPr="008B35E8">
        <w:rPr>
          <w:noProof/>
        </w:rPr>
        <w:t>ust</w:t>
      </w:r>
      <w:r w:rsidR="001B2B18" w:rsidRPr="008B35E8">
        <w:rPr>
          <w:noProof/>
        </w:rPr>
        <w:t>.</w:t>
      </w:r>
      <w:r w:rsidR="008B35E8" w:rsidRPr="008B35E8">
        <w:rPr>
          <w:noProof/>
        </w:rPr>
        <w:t> </w:t>
      </w:r>
      <w:r w:rsidR="001B2B18" w:rsidRPr="008B35E8">
        <w:rPr>
          <w:noProof/>
        </w:rPr>
        <w:t>1</w:t>
      </w:r>
      <w:r w:rsidR="001B2B18" w:rsidRPr="002866E5">
        <w:rPr>
          <w:noProof/>
        </w:rPr>
        <w:t>, może zwrócić się do odpowiedniego organu lub odpowiednich organów nadzoru rynku</w:t>
      </w:r>
      <w:r w:rsidR="008B35E8" w:rsidRPr="002866E5">
        <w:rPr>
          <w:noProof/>
        </w:rPr>
        <w:t xml:space="preserve"> o</w:t>
      </w:r>
      <w:r w:rsidR="008B35E8">
        <w:rPr>
          <w:noProof/>
        </w:rPr>
        <w:t> </w:t>
      </w:r>
      <w:r w:rsidR="008B35E8" w:rsidRPr="002866E5">
        <w:rPr>
          <w:noProof/>
        </w:rPr>
        <w:t>prz</w:t>
      </w:r>
      <w:r w:rsidR="001B2B18" w:rsidRPr="002866E5">
        <w:rPr>
          <w:noProof/>
        </w:rPr>
        <w:t>eprowadzenie oceny zgodności</w:t>
      </w:r>
      <w:r w:rsidR="008B35E8" w:rsidRPr="002866E5">
        <w:rPr>
          <w:noProof/>
        </w:rPr>
        <w:t xml:space="preserve"> i</w:t>
      </w:r>
      <w:r w:rsidR="008B35E8">
        <w:rPr>
          <w:noProof/>
        </w:rPr>
        <w:t> </w:t>
      </w:r>
      <w:r w:rsidR="008B35E8" w:rsidRPr="002866E5">
        <w:rPr>
          <w:noProof/>
        </w:rPr>
        <w:t>zas</w:t>
      </w:r>
      <w:r w:rsidR="001B2B18" w:rsidRPr="002866E5">
        <w:rPr>
          <w:noProof/>
        </w:rPr>
        <w:t>tosowanie procedur,</w:t>
      </w:r>
      <w:r w:rsidR="008B35E8" w:rsidRPr="002866E5">
        <w:rPr>
          <w:noProof/>
        </w:rPr>
        <w:t xml:space="preserve"> o</w:t>
      </w:r>
      <w:r w:rsidR="008B35E8">
        <w:rPr>
          <w:noProof/>
        </w:rPr>
        <w:t> </w:t>
      </w:r>
      <w:r w:rsidR="008B35E8" w:rsidRPr="002866E5">
        <w:rPr>
          <w:noProof/>
        </w:rPr>
        <w:t>któ</w:t>
      </w:r>
      <w:r w:rsidR="001B2B18" w:rsidRPr="002866E5">
        <w:rPr>
          <w:noProof/>
        </w:rPr>
        <w:t>rych mowa</w:t>
      </w:r>
      <w:r w:rsidR="008B35E8" w:rsidRPr="002866E5">
        <w:rPr>
          <w:noProof/>
        </w:rPr>
        <w:t xml:space="preserve"> w</w:t>
      </w:r>
      <w:r w:rsidR="008B35E8">
        <w:rPr>
          <w:noProof/>
        </w:rPr>
        <w:t> </w:t>
      </w:r>
      <w:r w:rsidR="008B35E8" w:rsidRPr="008B35E8">
        <w:rPr>
          <w:noProof/>
        </w:rPr>
        <w:t>art</w:t>
      </w:r>
      <w:r w:rsidR="001B2B18" w:rsidRPr="008B35E8">
        <w:rPr>
          <w:noProof/>
        </w:rPr>
        <w:t>.</w:t>
      </w:r>
      <w:r w:rsidR="008B35E8" w:rsidRPr="008B35E8">
        <w:rPr>
          <w:noProof/>
        </w:rPr>
        <w:t> </w:t>
      </w:r>
      <w:r w:rsidR="001B2B18" w:rsidRPr="008B35E8">
        <w:rPr>
          <w:noProof/>
        </w:rPr>
        <w:t>4</w:t>
      </w:r>
      <w:r w:rsidR="001B2B18" w:rsidRPr="002866E5">
        <w:rPr>
          <w:noProof/>
        </w:rPr>
        <w:t>3 oraz</w:t>
      </w:r>
      <w:r w:rsidR="008B35E8" w:rsidRPr="002866E5">
        <w:rPr>
          <w:noProof/>
        </w:rPr>
        <w:t xml:space="preserve"> w</w:t>
      </w:r>
      <w:r w:rsidR="008B35E8">
        <w:rPr>
          <w:noProof/>
        </w:rPr>
        <w:t> </w:t>
      </w:r>
      <w:r w:rsidR="008B35E8" w:rsidRPr="008B35E8">
        <w:rPr>
          <w:noProof/>
        </w:rPr>
        <w:t>ust</w:t>
      </w:r>
      <w:r w:rsidR="001B2B18" w:rsidRPr="008B35E8">
        <w:rPr>
          <w:noProof/>
        </w:rPr>
        <w:t>.</w:t>
      </w:r>
      <w:r w:rsidR="008B35E8" w:rsidRPr="008B35E8">
        <w:rPr>
          <w:noProof/>
        </w:rPr>
        <w:t> </w:t>
      </w:r>
      <w:r w:rsidR="001B2B18" w:rsidRPr="008B35E8">
        <w:rPr>
          <w:noProof/>
        </w:rPr>
        <w:t>1</w:t>
      </w:r>
      <w:r w:rsidR="001B2B18" w:rsidRPr="002866E5">
        <w:rPr>
          <w:noProof/>
        </w:rPr>
        <w:t>, 2</w:t>
      </w:r>
      <w:r w:rsidR="008B35E8" w:rsidRPr="002866E5">
        <w:rPr>
          <w:noProof/>
        </w:rPr>
        <w:t xml:space="preserve"> i</w:t>
      </w:r>
      <w:r w:rsidR="008B35E8">
        <w:rPr>
          <w:noProof/>
        </w:rPr>
        <w:t> </w:t>
      </w:r>
      <w:r w:rsidR="008B35E8" w:rsidRPr="002866E5">
        <w:rPr>
          <w:noProof/>
        </w:rPr>
        <w:t>3</w:t>
      </w:r>
      <w:r w:rsidR="001B2B18" w:rsidRPr="002866E5">
        <w:rPr>
          <w:noProof/>
        </w:rPr>
        <w:t xml:space="preserve"> niniejszego artykułu.</w:t>
      </w:r>
    </w:p>
    <w:p w14:paraId="67ED889F" w14:textId="4B2F6751" w:rsidR="001B2B18" w:rsidRPr="002866E5" w:rsidRDefault="00B4087C" w:rsidP="00B4087C">
      <w:pPr>
        <w:pStyle w:val="ManualNumPar1"/>
        <w:rPr>
          <w:noProof/>
        </w:rPr>
      </w:pPr>
      <w:r w:rsidRPr="00B4087C">
        <w:t>7.</w:t>
      </w:r>
      <w:r w:rsidRPr="00B4087C">
        <w:tab/>
      </w:r>
      <w:r w:rsidR="001B2B18" w:rsidRPr="002866E5">
        <w:rPr>
          <w:noProof/>
        </w:rPr>
        <w:t>W wyjątkowych okolicznościach, które uzasadniają niezwłoczną interwencję</w:t>
      </w:r>
      <w:r w:rsidR="008B35E8" w:rsidRPr="002866E5">
        <w:rPr>
          <w:noProof/>
        </w:rPr>
        <w:t xml:space="preserve"> w</w:t>
      </w:r>
      <w:r w:rsidR="008B35E8">
        <w:rPr>
          <w:noProof/>
        </w:rPr>
        <w:t> </w:t>
      </w:r>
      <w:r w:rsidR="008B35E8" w:rsidRPr="002866E5">
        <w:rPr>
          <w:noProof/>
        </w:rPr>
        <w:t>cel</w:t>
      </w:r>
      <w:r w:rsidR="001B2B18" w:rsidRPr="002866E5">
        <w:rPr>
          <w:noProof/>
        </w:rPr>
        <w:t>u utrzymania prawidłowego funkcjonowania rynku wewnętrznego,</w:t>
      </w:r>
      <w:r w:rsidR="008B35E8" w:rsidRPr="002866E5">
        <w:rPr>
          <w:noProof/>
        </w:rPr>
        <w:t xml:space="preserve"> i</w:t>
      </w:r>
      <w:r w:rsidR="008B35E8">
        <w:rPr>
          <w:noProof/>
        </w:rPr>
        <w:t> </w:t>
      </w:r>
      <w:r w:rsidR="008B35E8" w:rsidRPr="002866E5">
        <w:rPr>
          <w:noProof/>
        </w:rPr>
        <w:t>jeż</w:t>
      </w:r>
      <w:r w:rsidR="001B2B18" w:rsidRPr="002866E5">
        <w:rPr>
          <w:noProof/>
        </w:rPr>
        <w:t>eli Komisja ma wystarczające powody, aby uznać, że produkt,</w:t>
      </w:r>
      <w:r w:rsidR="008B35E8" w:rsidRPr="002866E5">
        <w:rPr>
          <w:noProof/>
        </w:rPr>
        <w:t xml:space="preserve"> o</w:t>
      </w:r>
      <w:r w:rsidR="008B35E8">
        <w:rPr>
          <w:noProof/>
        </w:rPr>
        <w:t> </w:t>
      </w:r>
      <w:r w:rsidR="008B35E8" w:rsidRPr="002866E5">
        <w:rPr>
          <w:noProof/>
        </w:rPr>
        <w:t>któ</w:t>
      </w:r>
      <w:r w:rsidR="001B2B18" w:rsidRPr="002866E5">
        <w:rPr>
          <w:noProof/>
        </w:rPr>
        <w:t>rym mowa</w:t>
      </w:r>
      <w:r w:rsidR="008B35E8" w:rsidRPr="002866E5">
        <w:rPr>
          <w:noProof/>
        </w:rPr>
        <w:t xml:space="preserve"> w</w:t>
      </w:r>
      <w:r w:rsidR="008B35E8">
        <w:rPr>
          <w:noProof/>
        </w:rPr>
        <w:t> </w:t>
      </w:r>
      <w:r w:rsidR="008B35E8" w:rsidRPr="008B35E8">
        <w:rPr>
          <w:noProof/>
        </w:rPr>
        <w:t>ust</w:t>
      </w:r>
      <w:r w:rsidR="001B2B18" w:rsidRPr="008B35E8">
        <w:rPr>
          <w:noProof/>
        </w:rPr>
        <w:t>.</w:t>
      </w:r>
      <w:r w:rsidR="008B35E8" w:rsidRPr="008B35E8">
        <w:rPr>
          <w:noProof/>
        </w:rPr>
        <w:t> </w:t>
      </w:r>
      <w:r w:rsidR="001B2B18" w:rsidRPr="008B35E8">
        <w:rPr>
          <w:noProof/>
        </w:rPr>
        <w:t>6</w:t>
      </w:r>
      <w:r w:rsidR="001B2B18" w:rsidRPr="002866E5">
        <w:rPr>
          <w:noProof/>
        </w:rPr>
        <w:t>, nadal stwarza ryzyko,</w:t>
      </w:r>
      <w:r w:rsidR="008B35E8" w:rsidRPr="002866E5">
        <w:rPr>
          <w:noProof/>
        </w:rPr>
        <w:t xml:space="preserve"> o</w:t>
      </w:r>
      <w:r w:rsidR="008B35E8">
        <w:rPr>
          <w:noProof/>
        </w:rPr>
        <w:t> </w:t>
      </w:r>
      <w:r w:rsidR="008B35E8" w:rsidRPr="002866E5">
        <w:rPr>
          <w:noProof/>
        </w:rPr>
        <w:t>któ</w:t>
      </w:r>
      <w:r w:rsidR="001B2B18" w:rsidRPr="002866E5">
        <w:rPr>
          <w:noProof/>
        </w:rPr>
        <w:t>rym mowa</w:t>
      </w:r>
      <w:r w:rsidR="008B35E8" w:rsidRPr="002866E5">
        <w:rPr>
          <w:noProof/>
        </w:rPr>
        <w:t xml:space="preserve"> w</w:t>
      </w:r>
      <w:r w:rsidR="008B35E8">
        <w:rPr>
          <w:noProof/>
        </w:rPr>
        <w:t> </w:t>
      </w:r>
      <w:r w:rsidR="008B35E8" w:rsidRPr="008B35E8">
        <w:rPr>
          <w:noProof/>
        </w:rPr>
        <w:t>ust</w:t>
      </w:r>
      <w:r w:rsidR="001B2B18" w:rsidRPr="008B35E8">
        <w:rPr>
          <w:noProof/>
        </w:rPr>
        <w:t>.</w:t>
      </w:r>
      <w:r w:rsidR="008B35E8" w:rsidRPr="008B35E8">
        <w:rPr>
          <w:noProof/>
        </w:rPr>
        <w:t> </w:t>
      </w:r>
      <w:r w:rsidR="001B2B18" w:rsidRPr="008B35E8">
        <w:rPr>
          <w:noProof/>
        </w:rPr>
        <w:t>1</w:t>
      </w:r>
      <w:r w:rsidR="001B2B18" w:rsidRPr="002866E5">
        <w:rPr>
          <w:noProof/>
        </w:rPr>
        <w:t>,</w:t>
      </w:r>
      <w:r w:rsidR="008B35E8" w:rsidRPr="002866E5">
        <w:rPr>
          <w:noProof/>
        </w:rPr>
        <w:t xml:space="preserve"> a</w:t>
      </w:r>
      <w:r w:rsidR="008B35E8">
        <w:rPr>
          <w:noProof/>
        </w:rPr>
        <w:t> </w:t>
      </w:r>
      <w:r w:rsidR="008B35E8" w:rsidRPr="002866E5">
        <w:rPr>
          <w:noProof/>
        </w:rPr>
        <w:t>odp</w:t>
      </w:r>
      <w:r w:rsidR="001B2B18" w:rsidRPr="002866E5">
        <w:rPr>
          <w:noProof/>
        </w:rPr>
        <w:t>owiednie krajowe organy nadzoru rynku nie wprowadziły żadnych skutecznych środków, Komisja może zwrócić się do ENISA</w:t>
      </w:r>
      <w:r w:rsidR="008B35E8" w:rsidRPr="002866E5">
        <w:rPr>
          <w:noProof/>
        </w:rPr>
        <w:t xml:space="preserve"> o</w:t>
      </w:r>
      <w:r w:rsidR="008B35E8">
        <w:rPr>
          <w:noProof/>
        </w:rPr>
        <w:t> </w:t>
      </w:r>
      <w:r w:rsidR="008B35E8" w:rsidRPr="002866E5">
        <w:rPr>
          <w:noProof/>
        </w:rPr>
        <w:t>prz</w:t>
      </w:r>
      <w:r w:rsidR="001B2B18" w:rsidRPr="002866E5">
        <w:rPr>
          <w:noProof/>
        </w:rPr>
        <w:t>eprowadzenie oceny ryzyka stwarzanego przez ten produkt</w:t>
      </w:r>
      <w:r w:rsidR="008B35E8" w:rsidRPr="002866E5">
        <w:rPr>
          <w:noProof/>
        </w:rPr>
        <w:t xml:space="preserve"> i</w:t>
      </w:r>
      <w:r w:rsidR="008B35E8">
        <w:rPr>
          <w:noProof/>
        </w:rPr>
        <w:t> </w:t>
      </w:r>
      <w:r w:rsidR="008B35E8" w:rsidRPr="002866E5">
        <w:rPr>
          <w:noProof/>
        </w:rPr>
        <w:t>inf</w:t>
      </w:r>
      <w:r w:rsidR="001B2B18" w:rsidRPr="002866E5">
        <w:rPr>
          <w:noProof/>
        </w:rPr>
        <w:t>ormuje</w:t>
      </w:r>
      <w:r w:rsidR="008B35E8" w:rsidRPr="002866E5">
        <w:rPr>
          <w:noProof/>
        </w:rPr>
        <w:t xml:space="preserve"> o</w:t>
      </w:r>
      <w:r w:rsidR="008B35E8">
        <w:rPr>
          <w:noProof/>
        </w:rPr>
        <w:t> </w:t>
      </w:r>
      <w:r w:rsidR="008B35E8" w:rsidRPr="002866E5">
        <w:rPr>
          <w:noProof/>
        </w:rPr>
        <w:t>tym</w:t>
      </w:r>
      <w:r w:rsidR="001B2B18" w:rsidRPr="002866E5">
        <w:rPr>
          <w:noProof/>
        </w:rPr>
        <w:t xml:space="preserve"> odpowiednie organy nadzoru rynku. Odpowiednie podmioty gospodarcze współpracują</w:t>
      </w:r>
      <w:r w:rsidR="008B35E8" w:rsidRPr="002866E5">
        <w:rPr>
          <w:noProof/>
        </w:rPr>
        <w:t xml:space="preserve"> w</w:t>
      </w:r>
      <w:r w:rsidR="008B35E8">
        <w:rPr>
          <w:noProof/>
        </w:rPr>
        <w:t> </w:t>
      </w:r>
      <w:r w:rsidR="008B35E8" w:rsidRPr="002866E5">
        <w:rPr>
          <w:noProof/>
        </w:rPr>
        <w:t>raz</w:t>
      </w:r>
      <w:r w:rsidR="001B2B18" w:rsidRPr="002866E5">
        <w:rPr>
          <w:noProof/>
        </w:rPr>
        <w:t>ie konieczności z ENISA.</w:t>
      </w:r>
    </w:p>
    <w:p w14:paraId="67ED88A0" w14:textId="7AF95B45" w:rsidR="001B2B18" w:rsidRPr="002866E5" w:rsidRDefault="00B4087C" w:rsidP="00B4087C">
      <w:pPr>
        <w:pStyle w:val="ManualNumPar1"/>
        <w:rPr>
          <w:noProof/>
        </w:rPr>
      </w:pPr>
      <w:r w:rsidRPr="00B4087C">
        <w:t>8.</w:t>
      </w:r>
      <w:r w:rsidRPr="00B4087C">
        <w:tab/>
      </w:r>
      <w:r w:rsidR="001B2B18" w:rsidRPr="002866E5">
        <w:rPr>
          <w:noProof/>
        </w:rPr>
        <w:t>Na podstawie oceny ENISA,</w:t>
      </w:r>
      <w:r w:rsidR="008B35E8" w:rsidRPr="002866E5">
        <w:rPr>
          <w:noProof/>
        </w:rPr>
        <w:t xml:space="preserve"> o</w:t>
      </w:r>
      <w:r w:rsidR="008B35E8">
        <w:rPr>
          <w:noProof/>
        </w:rPr>
        <w:t> </w:t>
      </w:r>
      <w:r w:rsidR="008B35E8" w:rsidRPr="002866E5">
        <w:rPr>
          <w:noProof/>
        </w:rPr>
        <w:t>któ</w:t>
      </w:r>
      <w:r w:rsidR="001B2B18" w:rsidRPr="002866E5">
        <w:rPr>
          <w:noProof/>
        </w:rPr>
        <w:t>rej mowa</w:t>
      </w:r>
      <w:r w:rsidR="008B35E8" w:rsidRPr="002866E5">
        <w:rPr>
          <w:noProof/>
        </w:rPr>
        <w:t xml:space="preserve"> w</w:t>
      </w:r>
      <w:r w:rsidR="008B35E8">
        <w:rPr>
          <w:noProof/>
        </w:rPr>
        <w:t> </w:t>
      </w:r>
      <w:r w:rsidR="008B35E8" w:rsidRPr="008B35E8">
        <w:rPr>
          <w:noProof/>
        </w:rPr>
        <w:t>ust</w:t>
      </w:r>
      <w:r w:rsidR="001B2B18" w:rsidRPr="008B35E8">
        <w:rPr>
          <w:noProof/>
        </w:rPr>
        <w:t>.</w:t>
      </w:r>
      <w:r w:rsidR="008B35E8" w:rsidRPr="008B35E8">
        <w:rPr>
          <w:noProof/>
        </w:rPr>
        <w:t> </w:t>
      </w:r>
      <w:r w:rsidR="001B2B18" w:rsidRPr="008B35E8">
        <w:rPr>
          <w:noProof/>
        </w:rPr>
        <w:t>7</w:t>
      </w:r>
      <w:r w:rsidR="001B2B18" w:rsidRPr="002866E5">
        <w:rPr>
          <w:noProof/>
        </w:rPr>
        <w:t>, Komisja może ustalić, że konieczne jest wprowadzenie środka naprawczego lub ograniczającego na szczeblu Unii</w:t>
      </w:r>
      <w:r w:rsidR="008B35E8" w:rsidRPr="002866E5">
        <w:rPr>
          <w:noProof/>
        </w:rPr>
        <w:t>. W</w:t>
      </w:r>
      <w:r w:rsidR="008B35E8">
        <w:rPr>
          <w:noProof/>
        </w:rPr>
        <w:t> </w:t>
      </w:r>
      <w:r w:rsidR="008B35E8" w:rsidRPr="002866E5">
        <w:rPr>
          <w:noProof/>
        </w:rPr>
        <w:t>tym</w:t>
      </w:r>
      <w:r w:rsidR="001B2B18" w:rsidRPr="002866E5">
        <w:rPr>
          <w:noProof/>
        </w:rPr>
        <w:t xml:space="preserve"> celu Komisja niezwłocznie przeprowadza konsultacje</w:t>
      </w:r>
      <w:r w:rsidR="008B35E8" w:rsidRPr="002866E5">
        <w:rPr>
          <w:noProof/>
        </w:rPr>
        <w:t xml:space="preserve"> z</w:t>
      </w:r>
      <w:r w:rsidR="008B35E8">
        <w:rPr>
          <w:noProof/>
        </w:rPr>
        <w:t> </w:t>
      </w:r>
      <w:r w:rsidR="008B35E8" w:rsidRPr="002866E5">
        <w:rPr>
          <w:noProof/>
        </w:rPr>
        <w:t>zai</w:t>
      </w:r>
      <w:r w:rsidR="001B2B18" w:rsidRPr="002866E5">
        <w:rPr>
          <w:noProof/>
        </w:rPr>
        <w:t>nteresowanymi państwami członkowskimi</w:t>
      </w:r>
      <w:r w:rsidR="008B35E8" w:rsidRPr="002866E5">
        <w:rPr>
          <w:noProof/>
        </w:rPr>
        <w:t xml:space="preserve"> i</w:t>
      </w:r>
      <w:r w:rsidR="008B35E8">
        <w:rPr>
          <w:noProof/>
        </w:rPr>
        <w:t> </w:t>
      </w:r>
      <w:r w:rsidR="008B35E8" w:rsidRPr="002866E5">
        <w:rPr>
          <w:noProof/>
        </w:rPr>
        <w:t>odp</w:t>
      </w:r>
      <w:r w:rsidR="001B2B18" w:rsidRPr="002866E5">
        <w:rPr>
          <w:noProof/>
        </w:rPr>
        <w:t>owiednim podmiotem gospodarczym lub odpowiednimi podmiotami gospodarczymi.</w:t>
      </w:r>
    </w:p>
    <w:p w14:paraId="67ED88A1" w14:textId="1DCA750E" w:rsidR="001B2B18" w:rsidRPr="002866E5" w:rsidRDefault="00B4087C" w:rsidP="00B4087C">
      <w:pPr>
        <w:pStyle w:val="ManualNumPar1"/>
        <w:rPr>
          <w:noProof/>
        </w:rPr>
      </w:pPr>
      <w:r w:rsidRPr="00B4087C">
        <w:t>9.</w:t>
      </w:r>
      <w:r w:rsidRPr="00B4087C">
        <w:tab/>
      </w:r>
      <w:r w:rsidR="001B2B18" w:rsidRPr="002866E5">
        <w:rPr>
          <w:noProof/>
        </w:rPr>
        <w:t>Na podstawie konsultacji,</w:t>
      </w:r>
      <w:r w:rsidR="008B35E8" w:rsidRPr="002866E5">
        <w:rPr>
          <w:noProof/>
        </w:rPr>
        <w:t xml:space="preserve"> o</w:t>
      </w:r>
      <w:r w:rsidR="008B35E8">
        <w:rPr>
          <w:noProof/>
        </w:rPr>
        <w:t> </w:t>
      </w:r>
      <w:r w:rsidR="008B35E8" w:rsidRPr="002866E5">
        <w:rPr>
          <w:noProof/>
        </w:rPr>
        <w:t>któ</w:t>
      </w:r>
      <w:r w:rsidR="001B2B18" w:rsidRPr="002866E5">
        <w:rPr>
          <w:noProof/>
        </w:rPr>
        <w:t>rych mowa</w:t>
      </w:r>
      <w:r w:rsidR="008B35E8" w:rsidRPr="002866E5">
        <w:rPr>
          <w:noProof/>
        </w:rPr>
        <w:t xml:space="preserve"> w</w:t>
      </w:r>
      <w:r w:rsidR="008B35E8">
        <w:rPr>
          <w:noProof/>
        </w:rPr>
        <w:t> </w:t>
      </w:r>
      <w:r w:rsidR="008B35E8" w:rsidRPr="008B35E8">
        <w:rPr>
          <w:noProof/>
        </w:rPr>
        <w:t>ust</w:t>
      </w:r>
      <w:r w:rsidR="001B2B18" w:rsidRPr="008B35E8">
        <w:rPr>
          <w:noProof/>
        </w:rPr>
        <w:t>.</w:t>
      </w:r>
      <w:r w:rsidR="008B35E8" w:rsidRPr="008B35E8">
        <w:rPr>
          <w:noProof/>
        </w:rPr>
        <w:t> </w:t>
      </w:r>
      <w:r w:rsidR="001B2B18" w:rsidRPr="008B35E8">
        <w:rPr>
          <w:noProof/>
        </w:rPr>
        <w:t>8</w:t>
      </w:r>
      <w:r w:rsidR="001B2B18" w:rsidRPr="002866E5">
        <w:rPr>
          <w:noProof/>
        </w:rPr>
        <w:t>, Komisja może przyjąć akty wykonawcze</w:t>
      </w:r>
      <w:r w:rsidR="008B35E8" w:rsidRPr="002866E5">
        <w:rPr>
          <w:noProof/>
        </w:rPr>
        <w:t xml:space="preserve"> w</w:t>
      </w:r>
      <w:r w:rsidR="008B35E8">
        <w:rPr>
          <w:noProof/>
        </w:rPr>
        <w:t> </w:t>
      </w:r>
      <w:r w:rsidR="008B35E8" w:rsidRPr="002866E5">
        <w:rPr>
          <w:noProof/>
        </w:rPr>
        <w:t>cel</w:t>
      </w:r>
      <w:r w:rsidR="001B2B18" w:rsidRPr="002866E5">
        <w:rPr>
          <w:noProof/>
        </w:rPr>
        <w:t>u podjęcia decyzji</w:t>
      </w:r>
      <w:r w:rsidR="008B35E8" w:rsidRPr="002866E5">
        <w:rPr>
          <w:noProof/>
        </w:rPr>
        <w:t xml:space="preserve"> o</w:t>
      </w:r>
      <w:r w:rsidR="008B35E8">
        <w:rPr>
          <w:noProof/>
        </w:rPr>
        <w:t> </w:t>
      </w:r>
      <w:r w:rsidR="008B35E8" w:rsidRPr="002866E5">
        <w:rPr>
          <w:noProof/>
        </w:rPr>
        <w:t>wpr</w:t>
      </w:r>
      <w:r w:rsidR="001B2B18" w:rsidRPr="002866E5">
        <w:rPr>
          <w:noProof/>
        </w:rPr>
        <w:t>owadzeniu środków naprawczych lub ograniczających na szczeblu Unii,</w:t>
      </w:r>
      <w:r w:rsidR="008B35E8" w:rsidRPr="002866E5">
        <w:rPr>
          <w:noProof/>
        </w:rPr>
        <w:t xml:space="preserve"> w</w:t>
      </w:r>
      <w:r w:rsidR="008B35E8">
        <w:rPr>
          <w:noProof/>
        </w:rPr>
        <w:t> </w:t>
      </w:r>
      <w:r w:rsidR="008B35E8" w:rsidRPr="002866E5">
        <w:rPr>
          <w:noProof/>
        </w:rPr>
        <w:t>tym</w:t>
      </w:r>
      <w:r w:rsidR="001B2B18" w:rsidRPr="002866E5">
        <w:rPr>
          <w:noProof/>
        </w:rPr>
        <w:t xml:space="preserve"> nakazu wycofania produktu</w:t>
      </w:r>
      <w:r w:rsidR="008B35E8" w:rsidRPr="002866E5">
        <w:rPr>
          <w:noProof/>
        </w:rPr>
        <w:t xml:space="preserve"> z</w:t>
      </w:r>
      <w:r w:rsidR="008B35E8">
        <w:rPr>
          <w:noProof/>
        </w:rPr>
        <w:t> </w:t>
      </w:r>
      <w:r w:rsidR="008B35E8" w:rsidRPr="002866E5">
        <w:rPr>
          <w:noProof/>
        </w:rPr>
        <w:t>obr</w:t>
      </w:r>
      <w:r w:rsidR="001B2B18" w:rsidRPr="002866E5">
        <w:rPr>
          <w:noProof/>
        </w:rPr>
        <w:t>otu lub odzyskania go,</w:t>
      </w:r>
      <w:r w:rsidR="008B35E8" w:rsidRPr="002866E5">
        <w:rPr>
          <w:noProof/>
        </w:rPr>
        <w:t xml:space="preserve"> w</w:t>
      </w:r>
      <w:r w:rsidR="008B35E8">
        <w:rPr>
          <w:noProof/>
        </w:rPr>
        <w:t> </w:t>
      </w:r>
      <w:r w:rsidR="008B35E8" w:rsidRPr="002866E5">
        <w:rPr>
          <w:noProof/>
        </w:rPr>
        <w:t>roz</w:t>
      </w:r>
      <w:r w:rsidR="001B2B18" w:rsidRPr="002866E5">
        <w:rPr>
          <w:noProof/>
        </w:rPr>
        <w:t>sądnym terminie, stosownym do charakteru ryzyka. Te akty wykonawcze przyjmuje się zgodnie</w:t>
      </w:r>
      <w:r w:rsidR="008B35E8" w:rsidRPr="002866E5">
        <w:rPr>
          <w:noProof/>
        </w:rPr>
        <w:t xml:space="preserve"> z</w:t>
      </w:r>
      <w:r w:rsidR="008B35E8">
        <w:rPr>
          <w:noProof/>
        </w:rPr>
        <w:t> </w:t>
      </w:r>
      <w:r w:rsidR="008B35E8" w:rsidRPr="002866E5">
        <w:rPr>
          <w:noProof/>
        </w:rPr>
        <w:t>pro</w:t>
      </w:r>
      <w:r w:rsidR="001B2B18" w:rsidRPr="002866E5">
        <w:rPr>
          <w:noProof/>
        </w:rPr>
        <w:t>cedurą sprawdzającą,</w:t>
      </w:r>
      <w:r w:rsidR="008B35E8" w:rsidRPr="002866E5">
        <w:rPr>
          <w:noProof/>
        </w:rPr>
        <w:t xml:space="preserve"> o</w:t>
      </w:r>
      <w:r w:rsidR="008B35E8">
        <w:rPr>
          <w:noProof/>
        </w:rPr>
        <w:t> </w:t>
      </w:r>
      <w:r w:rsidR="008B35E8" w:rsidRPr="002866E5">
        <w:rPr>
          <w:noProof/>
        </w:rPr>
        <w:t>któ</w:t>
      </w:r>
      <w:r w:rsidR="001B2B18" w:rsidRPr="002866E5">
        <w:rPr>
          <w:noProof/>
        </w:rPr>
        <w:t>rej mowa</w:t>
      </w:r>
      <w:r w:rsidR="008B35E8" w:rsidRPr="002866E5">
        <w:rPr>
          <w:noProof/>
        </w:rPr>
        <w:t xml:space="preserve"> w</w:t>
      </w:r>
      <w:r w:rsidR="008B35E8">
        <w:rPr>
          <w:noProof/>
        </w:rPr>
        <w:t> </w:t>
      </w:r>
      <w:r w:rsidR="008B35E8" w:rsidRPr="008B35E8">
        <w:rPr>
          <w:noProof/>
        </w:rPr>
        <w:t>art</w:t>
      </w:r>
      <w:r w:rsidR="001B2B18" w:rsidRPr="008B35E8">
        <w:rPr>
          <w:noProof/>
        </w:rPr>
        <w:t>.</w:t>
      </w:r>
      <w:r w:rsidR="008B35E8" w:rsidRPr="008B35E8">
        <w:rPr>
          <w:noProof/>
        </w:rPr>
        <w:t> </w:t>
      </w:r>
      <w:r w:rsidR="001B2B18" w:rsidRPr="008B35E8">
        <w:rPr>
          <w:noProof/>
        </w:rPr>
        <w:t>5</w:t>
      </w:r>
      <w:r w:rsidR="001B2B18" w:rsidRPr="002866E5">
        <w:rPr>
          <w:noProof/>
        </w:rPr>
        <w:t xml:space="preserve">1 </w:t>
      </w:r>
      <w:r w:rsidR="001B2B18" w:rsidRPr="008B35E8">
        <w:rPr>
          <w:noProof/>
        </w:rPr>
        <w:t>ust.</w:t>
      </w:r>
      <w:r w:rsidR="008B35E8" w:rsidRPr="008B35E8">
        <w:rPr>
          <w:noProof/>
        </w:rPr>
        <w:t> </w:t>
      </w:r>
      <w:r w:rsidR="001B2B18" w:rsidRPr="008B35E8">
        <w:rPr>
          <w:noProof/>
        </w:rPr>
        <w:t>2</w:t>
      </w:r>
      <w:r w:rsidR="001B2B18" w:rsidRPr="002866E5">
        <w:rPr>
          <w:noProof/>
        </w:rPr>
        <w:t>.</w:t>
      </w:r>
    </w:p>
    <w:p w14:paraId="67ED88A2" w14:textId="56BFF943" w:rsidR="001B2B18" w:rsidRPr="002866E5" w:rsidRDefault="00B4087C" w:rsidP="00B4087C">
      <w:pPr>
        <w:pStyle w:val="ManualNumPar1"/>
        <w:rPr>
          <w:noProof/>
        </w:rPr>
      </w:pPr>
      <w:r w:rsidRPr="00B4087C">
        <w:t>10.</w:t>
      </w:r>
      <w:r w:rsidRPr="00B4087C">
        <w:tab/>
      </w:r>
      <w:r w:rsidR="001B2B18" w:rsidRPr="002866E5">
        <w:rPr>
          <w:noProof/>
        </w:rPr>
        <w:t>Komisja niezwłocznie informuje odpowiedni podmiot gospodarczy lub odpowiednie podmioty gospodarcze</w:t>
      </w:r>
      <w:r w:rsidR="008B35E8" w:rsidRPr="002866E5">
        <w:rPr>
          <w:noProof/>
        </w:rPr>
        <w:t xml:space="preserve"> o</w:t>
      </w:r>
      <w:r w:rsidR="008B35E8">
        <w:rPr>
          <w:noProof/>
        </w:rPr>
        <w:t> </w:t>
      </w:r>
      <w:r w:rsidR="008B35E8" w:rsidRPr="002866E5">
        <w:rPr>
          <w:noProof/>
        </w:rPr>
        <w:t>pod</w:t>
      </w:r>
      <w:r w:rsidR="001B2B18" w:rsidRPr="002866E5">
        <w:rPr>
          <w:noProof/>
        </w:rPr>
        <w:t>jętej decyzji,</w:t>
      </w:r>
      <w:r w:rsidR="008B35E8" w:rsidRPr="002866E5">
        <w:rPr>
          <w:noProof/>
        </w:rPr>
        <w:t xml:space="preserve"> o</w:t>
      </w:r>
      <w:r w:rsidR="008B35E8">
        <w:rPr>
          <w:noProof/>
        </w:rPr>
        <w:t> </w:t>
      </w:r>
      <w:r w:rsidR="008B35E8" w:rsidRPr="002866E5">
        <w:rPr>
          <w:noProof/>
        </w:rPr>
        <w:t>któ</w:t>
      </w:r>
      <w:r w:rsidR="001B2B18" w:rsidRPr="002866E5">
        <w:rPr>
          <w:noProof/>
        </w:rPr>
        <w:t>rej mowa</w:t>
      </w:r>
      <w:r w:rsidR="008B35E8" w:rsidRPr="002866E5">
        <w:rPr>
          <w:noProof/>
        </w:rPr>
        <w:t xml:space="preserve"> w</w:t>
      </w:r>
      <w:r w:rsidR="008B35E8">
        <w:rPr>
          <w:noProof/>
        </w:rPr>
        <w:t> </w:t>
      </w:r>
      <w:r w:rsidR="008B35E8" w:rsidRPr="008B35E8">
        <w:rPr>
          <w:noProof/>
        </w:rPr>
        <w:t>ust</w:t>
      </w:r>
      <w:r w:rsidR="001B2B18" w:rsidRPr="008B35E8">
        <w:rPr>
          <w:noProof/>
        </w:rPr>
        <w:t>.</w:t>
      </w:r>
      <w:r w:rsidR="008B35E8" w:rsidRPr="008B35E8">
        <w:rPr>
          <w:noProof/>
        </w:rPr>
        <w:t> </w:t>
      </w:r>
      <w:r w:rsidR="001B2B18" w:rsidRPr="008B35E8">
        <w:rPr>
          <w:noProof/>
        </w:rPr>
        <w:t>9</w:t>
      </w:r>
      <w:r w:rsidR="001B2B18" w:rsidRPr="002866E5">
        <w:rPr>
          <w:noProof/>
        </w:rPr>
        <w:t>. Państwo członkowskie niezwłocznie wprowadza</w:t>
      </w:r>
      <w:r w:rsidR="008B35E8" w:rsidRPr="002866E5">
        <w:rPr>
          <w:noProof/>
        </w:rPr>
        <w:t xml:space="preserve"> w</w:t>
      </w:r>
      <w:r w:rsidR="008B35E8">
        <w:rPr>
          <w:noProof/>
        </w:rPr>
        <w:t> </w:t>
      </w:r>
      <w:r w:rsidR="008B35E8" w:rsidRPr="002866E5">
        <w:rPr>
          <w:noProof/>
        </w:rPr>
        <w:t>życ</w:t>
      </w:r>
      <w:r w:rsidR="001B2B18" w:rsidRPr="002866E5">
        <w:rPr>
          <w:noProof/>
        </w:rPr>
        <w:t>ie takie akty</w:t>
      </w:r>
      <w:r w:rsidR="008B35E8" w:rsidRPr="002866E5">
        <w:rPr>
          <w:noProof/>
        </w:rPr>
        <w:t xml:space="preserve"> i</w:t>
      </w:r>
      <w:r w:rsidR="008B35E8">
        <w:rPr>
          <w:noProof/>
        </w:rPr>
        <w:t> </w:t>
      </w:r>
      <w:r w:rsidR="008B35E8" w:rsidRPr="002866E5">
        <w:rPr>
          <w:noProof/>
        </w:rPr>
        <w:t>inf</w:t>
      </w:r>
      <w:r w:rsidR="001B2B18" w:rsidRPr="002866E5">
        <w:rPr>
          <w:noProof/>
        </w:rPr>
        <w:t>ormuje</w:t>
      </w:r>
      <w:r w:rsidR="008B35E8" w:rsidRPr="002866E5">
        <w:rPr>
          <w:noProof/>
        </w:rPr>
        <w:t xml:space="preserve"> o</w:t>
      </w:r>
      <w:r w:rsidR="008B35E8">
        <w:rPr>
          <w:noProof/>
        </w:rPr>
        <w:t> </w:t>
      </w:r>
      <w:r w:rsidR="008B35E8" w:rsidRPr="002866E5">
        <w:rPr>
          <w:noProof/>
        </w:rPr>
        <w:t>tym</w:t>
      </w:r>
      <w:r w:rsidR="001B2B18" w:rsidRPr="002866E5">
        <w:rPr>
          <w:noProof/>
        </w:rPr>
        <w:t xml:space="preserve"> Komisję.</w:t>
      </w:r>
    </w:p>
    <w:p w14:paraId="67ED88A3" w14:textId="7846FF60" w:rsidR="001B2B18" w:rsidRPr="002866E5" w:rsidRDefault="00B4087C" w:rsidP="00B4087C">
      <w:pPr>
        <w:pStyle w:val="ManualNumPar1"/>
        <w:rPr>
          <w:noProof/>
        </w:rPr>
      </w:pPr>
      <w:r w:rsidRPr="00B4087C">
        <w:t>11.</w:t>
      </w:r>
      <w:r w:rsidRPr="00B4087C">
        <w:tab/>
      </w:r>
      <w:r w:rsidR="001B2B18" w:rsidRPr="002866E5">
        <w:rPr>
          <w:noProof/>
        </w:rPr>
        <w:t xml:space="preserve">Przepisy </w:t>
      </w:r>
      <w:r w:rsidR="001B2B18" w:rsidRPr="008B35E8">
        <w:rPr>
          <w:noProof/>
        </w:rPr>
        <w:t>ust.</w:t>
      </w:r>
      <w:r w:rsidR="008B35E8" w:rsidRPr="008B35E8">
        <w:rPr>
          <w:noProof/>
        </w:rPr>
        <w:t> </w:t>
      </w:r>
      <w:r w:rsidR="001B2B18" w:rsidRPr="008B35E8">
        <w:rPr>
          <w:noProof/>
        </w:rPr>
        <w:t>6</w:t>
      </w:r>
      <w:r w:rsidR="001B2B18" w:rsidRPr="002866E5">
        <w:rPr>
          <w:noProof/>
        </w:rPr>
        <w:t>–10 mają zastosowanie przez okres trwania wyjątkowej sytuacji, która uzasadnia interwencję Komisji, oraz do czasu, aż dany produkt przestanie stwarzać ryzyko,</w:t>
      </w:r>
      <w:r w:rsidR="008B35E8" w:rsidRPr="002866E5">
        <w:rPr>
          <w:noProof/>
        </w:rPr>
        <w:t xml:space="preserve"> o</w:t>
      </w:r>
      <w:r w:rsidR="008B35E8">
        <w:rPr>
          <w:noProof/>
        </w:rPr>
        <w:t> </w:t>
      </w:r>
      <w:r w:rsidR="008B35E8" w:rsidRPr="002866E5">
        <w:rPr>
          <w:noProof/>
        </w:rPr>
        <w:t>któ</w:t>
      </w:r>
      <w:r w:rsidR="001B2B18" w:rsidRPr="002866E5">
        <w:rPr>
          <w:noProof/>
        </w:rPr>
        <w:t>rym mowa</w:t>
      </w:r>
      <w:r w:rsidR="008B35E8" w:rsidRPr="002866E5">
        <w:rPr>
          <w:noProof/>
        </w:rPr>
        <w:t xml:space="preserve"> w</w:t>
      </w:r>
      <w:r w:rsidR="008B35E8">
        <w:rPr>
          <w:noProof/>
        </w:rPr>
        <w:t> </w:t>
      </w:r>
      <w:r w:rsidR="008B35E8" w:rsidRPr="008B35E8">
        <w:rPr>
          <w:noProof/>
        </w:rPr>
        <w:t>ust</w:t>
      </w:r>
      <w:r w:rsidR="001B2B18" w:rsidRPr="008B35E8">
        <w:rPr>
          <w:noProof/>
        </w:rPr>
        <w:t>.</w:t>
      </w:r>
      <w:r w:rsidR="008B35E8" w:rsidRPr="008B35E8">
        <w:rPr>
          <w:noProof/>
        </w:rPr>
        <w:t> </w:t>
      </w:r>
      <w:r w:rsidR="001B2B18" w:rsidRPr="008B35E8">
        <w:rPr>
          <w:noProof/>
        </w:rPr>
        <w:t>1</w:t>
      </w:r>
      <w:r w:rsidR="001B2B18" w:rsidRPr="002866E5">
        <w:rPr>
          <w:noProof/>
        </w:rPr>
        <w:t>.</w:t>
      </w:r>
    </w:p>
    <w:p w14:paraId="67ED88A4" w14:textId="43DC8FE5" w:rsidR="00E47F6C" w:rsidRPr="002866E5" w:rsidRDefault="000E72CE" w:rsidP="0027065F">
      <w:pPr>
        <w:pStyle w:val="Titrearticle0"/>
        <w:rPr>
          <w:i w:val="0"/>
          <w:noProof/>
        </w:rPr>
      </w:pPr>
      <w:r w:rsidRPr="002866E5">
        <w:rPr>
          <w:noProof/>
        </w:rPr>
        <w:lastRenderedPageBreak/>
        <w:t>Artykuł 47</w:t>
      </w:r>
    </w:p>
    <w:p w14:paraId="67ED88A5" w14:textId="38851D88" w:rsidR="000E72CE" w:rsidRPr="002866E5" w:rsidRDefault="000E72CE" w:rsidP="00084E38">
      <w:pPr>
        <w:jc w:val="center"/>
        <w:rPr>
          <w:i/>
          <w:noProof/>
        </w:rPr>
      </w:pPr>
      <w:r w:rsidRPr="002866E5">
        <w:rPr>
          <w:i/>
          <w:noProof/>
        </w:rPr>
        <w:t>Formalna niezgodność</w:t>
      </w:r>
      <w:r w:rsidR="008B35E8" w:rsidRPr="002866E5">
        <w:rPr>
          <w:i/>
          <w:noProof/>
        </w:rPr>
        <w:t xml:space="preserve"> z</w:t>
      </w:r>
      <w:r w:rsidR="008B35E8">
        <w:rPr>
          <w:i/>
          <w:noProof/>
        </w:rPr>
        <w:t> </w:t>
      </w:r>
      <w:r w:rsidR="008B35E8" w:rsidRPr="002866E5">
        <w:rPr>
          <w:i/>
          <w:noProof/>
        </w:rPr>
        <w:t>prz</w:t>
      </w:r>
      <w:r w:rsidRPr="002866E5">
        <w:rPr>
          <w:i/>
          <w:noProof/>
        </w:rPr>
        <w:t>episami</w:t>
      </w:r>
    </w:p>
    <w:p w14:paraId="67ED88A6" w14:textId="232FB532" w:rsidR="000E72CE" w:rsidRPr="002866E5" w:rsidRDefault="00B4087C" w:rsidP="00B4087C">
      <w:pPr>
        <w:pStyle w:val="ManualNumPar1"/>
        <w:rPr>
          <w:noProof/>
        </w:rPr>
      </w:pPr>
      <w:r w:rsidRPr="00B4087C">
        <w:t>1.</w:t>
      </w:r>
      <w:r w:rsidRPr="00B4087C">
        <w:tab/>
      </w:r>
      <w:r w:rsidR="000E72CE" w:rsidRPr="002866E5">
        <w:rPr>
          <w:noProof/>
        </w:rPr>
        <w:t>Jeżeli organ nadzoru rynku państwa członkowskiego dokona jednego</w:t>
      </w:r>
      <w:r w:rsidR="008B35E8" w:rsidRPr="002866E5">
        <w:rPr>
          <w:noProof/>
        </w:rPr>
        <w:t xml:space="preserve"> z</w:t>
      </w:r>
      <w:r w:rsidR="008B35E8">
        <w:rPr>
          <w:noProof/>
        </w:rPr>
        <w:t> </w:t>
      </w:r>
      <w:r w:rsidR="008B35E8" w:rsidRPr="002866E5">
        <w:rPr>
          <w:noProof/>
        </w:rPr>
        <w:t>pon</w:t>
      </w:r>
      <w:r w:rsidR="000E72CE" w:rsidRPr="002866E5">
        <w:rPr>
          <w:noProof/>
        </w:rPr>
        <w:t>iższych ustaleń, wymaga od właściwego producenta usunięcia danej niezgodności:</w:t>
      </w:r>
    </w:p>
    <w:p w14:paraId="67ED88A7" w14:textId="0F5B329E" w:rsidR="000E72CE" w:rsidRPr="002866E5" w:rsidRDefault="000340F9" w:rsidP="000340F9">
      <w:pPr>
        <w:pStyle w:val="Point1"/>
        <w:rPr>
          <w:noProof/>
        </w:rPr>
      </w:pPr>
      <w:r w:rsidRPr="000340F9">
        <w:rPr>
          <w:noProof/>
        </w:rPr>
        <w:t>a)</w:t>
      </w:r>
      <w:r w:rsidRPr="000340F9">
        <w:rPr>
          <w:noProof/>
        </w:rPr>
        <w:tab/>
      </w:r>
      <w:r w:rsidR="000E72CE" w:rsidRPr="002866E5">
        <w:rPr>
          <w:noProof/>
        </w:rPr>
        <w:t>umieszczenie oznakowania zgodności</w:t>
      </w:r>
      <w:r w:rsidR="008B35E8" w:rsidRPr="002866E5">
        <w:rPr>
          <w:noProof/>
        </w:rPr>
        <w:t xml:space="preserve"> z</w:t>
      </w:r>
      <w:r w:rsidR="008B35E8">
        <w:rPr>
          <w:noProof/>
        </w:rPr>
        <w:t> </w:t>
      </w:r>
      <w:r w:rsidR="008B35E8" w:rsidRPr="002866E5">
        <w:rPr>
          <w:noProof/>
        </w:rPr>
        <w:t>nar</w:t>
      </w:r>
      <w:r w:rsidR="000E72CE" w:rsidRPr="002866E5">
        <w:rPr>
          <w:noProof/>
        </w:rPr>
        <w:t xml:space="preserve">uszeniem </w:t>
      </w:r>
      <w:r w:rsidR="000E72CE" w:rsidRPr="008B35E8">
        <w:rPr>
          <w:noProof/>
        </w:rPr>
        <w:t>art.</w:t>
      </w:r>
      <w:r w:rsidR="008B35E8" w:rsidRPr="008B35E8">
        <w:rPr>
          <w:noProof/>
        </w:rPr>
        <w:t> </w:t>
      </w:r>
      <w:r w:rsidR="000E72CE" w:rsidRPr="008B35E8">
        <w:rPr>
          <w:noProof/>
        </w:rPr>
        <w:t>2</w:t>
      </w:r>
      <w:r w:rsidR="000E72CE" w:rsidRPr="002866E5">
        <w:rPr>
          <w:noProof/>
        </w:rPr>
        <w:t>1</w:t>
      </w:r>
      <w:r w:rsidR="008B35E8" w:rsidRPr="002866E5">
        <w:rPr>
          <w:noProof/>
        </w:rPr>
        <w:t xml:space="preserve"> i</w:t>
      </w:r>
      <w:r w:rsidR="008B35E8">
        <w:rPr>
          <w:noProof/>
        </w:rPr>
        <w:t> </w:t>
      </w:r>
      <w:r w:rsidR="008B35E8" w:rsidRPr="002866E5">
        <w:rPr>
          <w:noProof/>
        </w:rPr>
        <w:t>2</w:t>
      </w:r>
      <w:r w:rsidR="000E72CE" w:rsidRPr="002866E5">
        <w:rPr>
          <w:noProof/>
        </w:rPr>
        <w:t>2;</w:t>
      </w:r>
    </w:p>
    <w:p w14:paraId="67ED88A8" w14:textId="1026767F" w:rsidR="000E72CE" w:rsidRPr="002866E5" w:rsidRDefault="000340F9" w:rsidP="000340F9">
      <w:pPr>
        <w:pStyle w:val="Point1"/>
        <w:rPr>
          <w:noProof/>
        </w:rPr>
      </w:pPr>
      <w:r w:rsidRPr="000340F9">
        <w:rPr>
          <w:noProof/>
        </w:rPr>
        <w:t>b)</w:t>
      </w:r>
      <w:r w:rsidRPr="000340F9">
        <w:rPr>
          <w:noProof/>
        </w:rPr>
        <w:tab/>
      </w:r>
      <w:r w:rsidR="000E72CE" w:rsidRPr="002866E5">
        <w:rPr>
          <w:noProof/>
        </w:rPr>
        <w:t>nieumieszczenie oznakowania zgodności;</w:t>
      </w:r>
    </w:p>
    <w:p w14:paraId="67ED88A9" w14:textId="5FA3EA1D" w:rsidR="000E72CE" w:rsidRPr="002866E5" w:rsidRDefault="000340F9" w:rsidP="000340F9">
      <w:pPr>
        <w:pStyle w:val="Point1"/>
        <w:rPr>
          <w:noProof/>
        </w:rPr>
      </w:pPr>
      <w:r w:rsidRPr="000340F9">
        <w:rPr>
          <w:noProof/>
        </w:rPr>
        <w:t>c)</w:t>
      </w:r>
      <w:r w:rsidRPr="000340F9">
        <w:rPr>
          <w:noProof/>
        </w:rPr>
        <w:tab/>
      </w:r>
      <w:r w:rsidR="000E72CE" w:rsidRPr="002866E5">
        <w:rPr>
          <w:noProof/>
        </w:rPr>
        <w:t>niesporządzenie deklaracji zgodności UE;</w:t>
      </w:r>
    </w:p>
    <w:p w14:paraId="67ED88AA" w14:textId="4F4F0D88" w:rsidR="000E72CE" w:rsidRPr="002866E5" w:rsidRDefault="000340F9" w:rsidP="000340F9">
      <w:pPr>
        <w:pStyle w:val="Point1"/>
        <w:rPr>
          <w:noProof/>
        </w:rPr>
      </w:pPr>
      <w:r w:rsidRPr="000340F9">
        <w:rPr>
          <w:noProof/>
        </w:rPr>
        <w:t>d)</w:t>
      </w:r>
      <w:r w:rsidRPr="000340F9">
        <w:rPr>
          <w:noProof/>
        </w:rPr>
        <w:tab/>
      </w:r>
      <w:r w:rsidR="000E72CE" w:rsidRPr="002866E5">
        <w:rPr>
          <w:noProof/>
        </w:rPr>
        <w:t>nieprawidłowe sporządzenie deklaracji zgodności UE;</w:t>
      </w:r>
    </w:p>
    <w:p w14:paraId="67ED88AB" w14:textId="0030349A" w:rsidR="000E72CE" w:rsidRPr="002866E5" w:rsidRDefault="000340F9" w:rsidP="000340F9">
      <w:pPr>
        <w:pStyle w:val="Point1"/>
        <w:rPr>
          <w:noProof/>
        </w:rPr>
      </w:pPr>
      <w:r w:rsidRPr="000340F9">
        <w:rPr>
          <w:noProof/>
        </w:rPr>
        <w:t>e)</w:t>
      </w:r>
      <w:r w:rsidRPr="000340F9">
        <w:rPr>
          <w:noProof/>
        </w:rPr>
        <w:tab/>
      </w:r>
      <w:r w:rsidR="000E72CE" w:rsidRPr="002866E5">
        <w:rPr>
          <w:noProof/>
        </w:rPr>
        <w:t>nieumieszczenie numeru identyfikacyjnego jednostki notyfikowanej zaangażowanej,</w:t>
      </w:r>
      <w:r w:rsidR="008B35E8" w:rsidRPr="002866E5">
        <w:rPr>
          <w:noProof/>
        </w:rPr>
        <w:t xml:space="preserve"> w</w:t>
      </w:r>
      <w:r w:rsidR="008B35E8">
        <w:rPr>
          <w:noProof/>
        </w:rPr>
        <w:t> </w:t>
      </w:r>
      <w:r w:rsidR="008B35E8" w:rsidRPr="002866E5">
        <w:rPr>
          <w:noProof/>
        </w:rPr>
        <w:t>sto</w:t>
      </w:r>
      <w:r w:rsidR="000E72CE" w:rsidRPr="002866E5">
        <w:rPr>
          <w:noProof/>
        </w:rPr>
        <w:t>sownych przypadkach,</w:t>
      </w:r>
      <w:r w:rsidR="008B35E8" w:rsidRPr="002866E5">
        <w:rPr>
          <w:noProof/>
        </w:rPr>
        <w:t xml:space="preserve"> w</w:t>
      </w:r>
      <w:r w:rsidR="008B35E8">
        <w:rPr>
          <w:noProof/>
        </w:rPr>
        <w:t> </w:t>
      </w:r>
      <w:r w:rsidR="008B35E8" w:rsidRPr="002866E5">
        <w:rPr>
          <w:noProof/>
        </w:rPr>
        <w:t>pro</w:t>
      </w:r>
      <w:r w:rsidR="000E72CE" w:rsidRPr="002866E5">
        <w:rPr>
          <w:noProof/>
        </w:rPr>
        <w:t>cedurę oceny zgodności;</w:t>
      </w:r>
    </w:p>
    <w:p w14:paraId="67ED88AC" w14:textId="07C8399A" w:rsidR="005D2DD3" w:rsidRPr="002866E5" w:rsidRDefault="000340F9" w:rsidP="000340F9">
      <w:pPr>
        <w:pStyle w:val="Point1"/>
        <w:rPr>
          <w:noProof/>
        </w:rPr>
      </w:pPr>
      <w:r w:rsidRPr="000340F9">
        <w:rPr>
          <w:noProof/>
        </w:rPr>
        <w:t>f)</w:t>
      </w:r>
      <w:r w:rsidRPr="000340F9">
        <w:rPr>
          <w:noProof/>
        </w:rPr>
        <w:tab/>
      </w:r>
      <w:r w:rsidR="002D3E62" w:rsidRPr="002866E5">
        <w:rPr>
          <w:noProof/>
        </w:rPr>
        <w:t>niedostępna albo niekompletna dokumentacja techniczna.</w:t>
      </w:r>
    </w:p>
    <w:p w14:paraId="67ED88AD" w14:textId="2B883395" w:rsidR="000E72CE" w:rsidRPr="002866E5" w:rsidRDefault="00B4087C" w:rsidP="00B4087C">
      <w:pPr>
        <w:pStyle w:val="ManualNumPar1"/>
        <w:rPr>
          <w:noProof/>
        </w:rPr>
      </w:pPr>
      <w:r w:rsidRPr="00B4087C">
        <w:t>2.</w:t>
      </w:r>
      <w:r w:rsidRPr="00B4087C">
        <w:tab/>
      </w:r>
      <w:r w:rsidR="000E72CE" w:rsidRPr="002866E5">
        <w:rPr>
          <w:noProof/>
        </w:rPr>
        <w:t>W przypadku utrzymywania się niezgodności,</w:t>
      </w:r>
      <w:r w:rsidR="008B35E8" w:rsidRPr="002866E5">
        <w:rPr>
          <w:noProof/>
        </w:rPr>
        <w:t xml:space="preserve"> o</w:t>
      </w:r>
      <w:r w:rsidR="008B35E8">
        <w:rPr>
          <w:noProof/>
        </w:rPr>
        <w:t> </w:t>
      </w:r>
      <w:r w:rsidR="008B35E8" w:rsidRPr="002866E5">
        <w:rPr>
          <w:noProof/>
        </w:rPr>
        <w:t>któ</w:t>
      </w:r>
      <w:r w:rsidR="000E72CE" w:rsidRPr="002866E5">
        <w:rPr>
          <w:noProof/>
        </w:rPr>
        <w:t>rej mowa</w:t>
      </w:r>
      <w:r w:rsidR="008B35E8" w:rsidRPr="002866E5">
        <w:rPr>
          <w:noProof/>
        </w:rPr>
        <w:t xml:space="preserve"> w</w:t>
      </w:r>
      <w:r w:rsidR="008B35E8">
        <w:rPr>
          <w:noProof/>
        </w:rPr>
        <w:t> </w:t>
      </w:r>
      <w:r w:rsidR="008B35E8" w:rsidRPr="008B35E8">
        <w:rPr>
          <w:noProof/>
        </w:rPr>
        <w:t>ust</w:t>
      </w:r>
      <w:r w:rsidR="000E72CE" w:rsidRPr="008B35E8">
        <w:rPr>
          <w:noProof/>
        </w:rPr>
        <w:t>.</w:t>
      </w:r>
      <w:r w:rsidR="008B35E8" w:rsidRPr="008B35E8">
        <w:rPr>
          <w:noProof/>
        </w:rPr>
        <w:t> </w:t>
      </w:r>
      <w:r w:rsidR="000E72CE" w:rsidRPr="008B35E8">
        <w:rPr>
          <w:noProof/>
        </w:rPr>
        <w:t>1</w:t>
      </w:r>
      <w:r w:rsidR="000E72CE" w:rsidRPr="002866E5">
        <w:rPr>
          <w:noProof/>
        </w:rPr>
        <w:t>, dane państwo członkowskie wprowadza wszystkie odpowiednie środki</w:t>
      </w:r>
      <w:r w:rsidR="008B35E8" w:rsidRPr="002866E5">
        <w:rPr>
          <w:noProof/>
        </w:rPr>
        <w:t xml:space="preserve"> w</w:t>
      </w:r>
      <w:r w:rsidR="008B35E8">
        <w:rPr>
          <w:noProof/>
        </w:rPr>
        <w:t> </w:t>
      </w:r>
      <w:r w:rsidR="008B35E8" w:rsidRPr="002866E5">
        <w:rPr>
          <w:noProof/>
        </w:rPr>
        <w:t>cel</w:t>
      </w:r>
      <w:r w:rsidR="000E72CE" w:rsidRPr="002866E5">
        <w:rPr>
          <w:noProof/>
        </w:rPr>
        <w:t>u ograniczenia lub zakazania udostępniania danego produktu</w:t>
      </w:r>
      <w:r w:rsidR="008B35E8" w:rsidRPr="002866E5">
        <w:rPr>
          <w:noProof/>
        </w:rPr>
        <w:t xml:space="preserve"> z</w:t>
      </w:r>
      <w:r w:rsidR="008B35E8">
        <w:rPr>
          <w:noProof/>
        </w:rPr>
        <w:t> </w:t>
      </w:r>
      <w:r w:rsidR="008B35E8" w:rsidRPr="002866E5">
        <w:rPr>
          <w:noProof/>
        </w:rPr>
        <w:t>ele</w:t>
      </w:r>
      <w:r w:rsidR="000E72CE" w:rsidRPr="002866E5">
        <w:rPr>
          <w:noProof/>
        </w:rPr>
        <w:t>mentami cyfrowymi na rynku bądź zapewnienia jego odzyskania lub wycofania</w:t>
      </w:r>
      <w:r w:rsidR="008B35E8" w:rsidRPr="002866E5">
        <w:rPr>
          <w:noProof/>
        </w:rPr>
        <w:t xml:space="preserve"> z</w:t>
      </w:r>
      <w:r w:rsidR="008B35E8">
        <w:rPr>
          <w:noProof/>
        </w:rPr>
        <w:t> </w:t>
      </w:r>
      <w:r w:rsidR="008B35E8" w:rsidRPr="002866E5">
        <w:rPr>
          <w:noProof/>
        </w:rPr>
        <w:t>obr</w:t>
      </w:r>
      <w:r w:rsidR="000E72CE" w:rsidRPr="002866E5">
        <w:rPr>
          <w:noProof/>
        </w:rPr>
        <w:t>otu.</w:t>
      </w:r>
    </w:p>
    <w:p w14:paraId="67ED88AE" w14:textId="18732FA7" w:rsidR="00DF1F3F" w:rsidRPr="002866E5" w:rsidRDefault="00DF1F3F" w:rsidP="00BE55DD">
      <w:pPr>
        <w:pStyle w:val="Titrearticle0"/>
        <w:rPr>
          <w:noProof/>
        </w:rPr>
      </w:pPr>
      <w:r w:rsidRPr="002866E5">
        <w:rPr>
          <w:noProof/>
        </w:rPr>
        <w:t>Artykuł 48</w:t>
      </w:r>
    </w:p>
    <w:p w14:paraId="67ED88AF" w14:textId="77777777" w:rsidR="00DF1F3F" w:rsidRPr="002866E5" w:rsidRDefault="00DF1F3F" w:rsidP="00084E38">
      <w:pPr>
        <w:jc w:val="center"/>
        <w:rPr>
          <w:i/>
          <w:noProof/>
        </w:rPr>
      </w:pPr>
      <w:r w:rsidRPr="002866E5">
        <w:rPr>
          <w:i/>
          <w:noProof/>
        </w:rPr>
        <w:t>Wspólne działania organów nadzoru rynku</w:t>
      </w:r>
    </w:p>
    <w:p w14:paraId="67ED88B0" w14:textId="1EDD5164" w:rsidR="00DF1F3F" w:rsidRPr="002866E5" w:rsidRDefault="00B4087C" w:rsidP="00B4087C">
      <w:pPr>
        <w:pStyle w:val="ManualNumPar1"/>
        <w:rPr>
          <w:noProof/>
        </w:rPr>
      </w:pPr>
      <w:r w:rsidRPr="00B4087C">
        <w:t>1.</w:t>
      </w:r>
      <w:r w:rsidRPr="00B4087C">
        <w:tab/>
      </w:r>
      <w:r w:rsidR="004950E3" w:rsidRPr="002866E5">
        <w:rPr>
          <w:noProof/>
        </w:rPr>
        <w:t>Organy nadzoru rynku mogą zawierać porozumienia</w:t>
      </w:r>
      <w:r w:rsidR="008B35E8" w:rsidRPr="002866E5">
        <w:rPr>
          <w:noProof/>
        </w:rPr>
        <w:t xml:space="preserve"> z</w:t>
      </w:r>
      <w:r w:rsidR="008B35E8">
        <w:rPr>
          <w:noProof/>
        </w:rPr>
        <w:t> </w:t>
      </w:r>
      <w:r w:rsidR="008B35E8" w:rsidRPr="002866E5">
        <w:rPr>
          <w:noProof/>
        </w:rPr>
        <w:t>inn</w:t>
      </w:r>
      <w:r w:rsidR="004950E3" w:rsidRPr="002866E5">
        <w:rPr>
          <w:noProof/>
        </w:rPr>
        <w:t>ymi odpowiednimi organami</w:t>
      </w:r>
      <w:r w:rsidR="008B35E8" w:rsidRPr="002866E5">
        <w:rPr>
          <w:noProof/>
        </w:rPr>
        <w:t xml:space="preserve"> w</w:t>
      </w:r>
      <w:r w:rsidR="008B35E8">
        <w:rPr>
          <w:noProof/>
        </w:rPr>
        <w:t> </w:t>
      </w:r>
      <w:r w:rsidR="008B35E8" w:rsidRPr="002866E5">
        <w:rPr>
          <w:noProof/>
        </w:rPr>
        <w:t>spr</w:t>
      </w:r>
      <w:r w:rsidR="004950E3" w:rsidRPr="002866E5">
        <w:rPr>
          <w:noProof/>
        </w:rPr>
        <w:t>awie podejmowania wspólnych działań ukierunkowanych na zapewnienie cyberbezpieczeństwa</w:t>
      </w:r>
      <w:r w:rsidR="008B35E8" w:rsidRPr="002866E5">
        <w:rPr>
          <w:noProof/>
        </w:rPr>
        <w:t xml:space="preserve"> i</w:t>
      </w:r>
      <w:r w:rsidR="008B35E8">
        <w:rPr>
          <w:noProof/>
        </w:rPr>
        <w:t> </w:t>
      </w:r>
      <w:r w:rsidR="008B35E8" w:rsidRPr="002866E5">
        <w:rPr>
          <w:noProof/>
        </w:rPr>
        <w:t>och</w:t>
      </w:r>
      <w:r w:rsidR="004950E3" w:rsidRPr="002866E5">
        <w:rPr>
          <w:noProof/>
        </w:rPr>
        <w:t>ronę konsumentów</w:t>
      </w:r>
      <w:r w:rsidR="008B35E8" w:rsidRPr="002866E5">
        <w:rPr>
          <w:noProof/>
        </w:rPr>
        <w:t xml:space="preserve"> w</w:t>
      </w:r>
      <w:r w:rsidR="008B35E8">
        <w:rPr>
          <w:noProof/>
        </w:rPr>
        <w:t> </w:t>
      </w:r>
      <w:r w:rsidR="008B35E8" w:rsidRPr="002866E5">
        <w:rPr>
          <w:noProof/>
        </w:rPr>
        <w:t>odn</w:t>
      </w:r>
      <w:r w:rsidR="004950E3" w:rsidRPr="002866E5">
        <w:rPr>
          <w:noProof/>
        </w:rPr>
        <w:t>iesieniu do określonych produktów</w:t>
      </w:r>
      <w:r w:rsidR="008B35E8" w:rsidRPr="002866E5">
        <w:rPr>
          <w:noProof/>
        </w:rPr>
        <w:t xml:space="preserve"> z</w:t>
      </w:r>
      <w:r w:rsidR="008B35E8">
        <w:rPr>
          <w:noProof/>
        </w:rPr>
        <w:t> </w:t>
      </w:r>
      <w:r w:rsidR="008B35E8" w:rsidRPr="002866E5">
        <w:rPr>
          <w:noProof/>
        </w:rPr>
        <w:t>ele</w:t>
      </w:r>
      <w:r w:rsidR="004950E3" w:rsidRPr="002866E5">
        <w:rPr>
          <w:noProof/>
        </w:rPr>
        <w:t>mentami cyfrowymi wprowadzonych do obrotu lub udostępnionych na rynku,</w:t>
      </w:r>
      <w:r w:rsidR="008B35E8" w:rsidRPr="002866E5">
        <w:rPr>
          <w:noProof/>
        </w:rPr>
        <w:t xml:space="preserve"> w</w:t>
      </w:r>
      <w:r w:rsidR="008B35E8">
        <w:rPr>
          <w:noProof/>
        </w:rPr>
        <w:t> </w:t>
      </w:r>
      <w:r w:rsidR="008B35E8" w:rsidRPr="002866E5">
        <w:rPr>
          <w:noProof/>
        </w:rPr>
        <w:t>szc</w:t>
      </w:r>
      <w:r w:rsidR="004950E3" w:rsidRPr="002866E5">
        <w:rPr>
          <w:noProof/>
        </w:rPr>
        <w:t>zególności produktów często stwarzających ryzyko</w:t>
      </w:r>
      <w:r w:rsidR="008B35E8" w:rsidRPr="002866E5">
        <w:rPr>
          <w:noProof/>
        </w:rPr>
        <w:t xml:space="preserve"> w</w:t>
      </w:r>
      <w:r w:rsidR="008B35E8">
        <w:rPr>
          <w:noProof/>
        </w:rPr>
        <w:t> </w:t>
      </w:r>
      <w:r w:rsidR="008B35E8" w:rsidRPr="002866E5">
        <w:rPr>
          <w:noProof/>
        </w:rPr>
        <w:t>cyb</w:t>
      </w:r>
      <w:r w:rsidR="004950E3" w:rsidRPr="002866E5">
        <w:rPr>
          <w:noProof/>
        </w:rPr>
        <w:t xml:space="preserve">erprzestrzeni. </w:t>
      </w:r>
    </w:p>
    <w:p w14:paraId="67ED88B1" w14:textId="4E6BF686" w:rsidR="00DF1F3F" w:rsidRPr="002866E5" w:rsidRDefault="00B4087C" w:rsidP="00B4087C">
      <w:pPr>
        <w:pStyle w:val="ManualNumPar1"/>
        <w:rPr>
          <w:noProof/>
        </w:rPr>
      </w:pPr>
      <w:r w:rsidRPr="00B4087C">
        <w:t>2.</w:t>
      </w:r>
      <w:r w:rsidRPr="00B4087C">
        <w:tab/>
      </w:r>
      <w:r w:rsidR="00DF1F3F" w:rsidRPr="002866E5">
        <w:rPr>
          <w:noProof/>
        </w:rPr>
        <w:t>Komisja lub ENISA mogą zaproponować wspólne działania</w:t>
      </w:r>
      <w:r w:rsidR="008B35E8" w:rsidRPr="002866E5">
        <w:rPr>
          <w:noProof/>
        </w:rPr>
        <w:t xml:space="preserve"> w</w:t>
      </w:r>
      <w:r w:rsidR="008B35E8">
        <w:rPr>
          <w:noProof/>
        </w:rPr>
        <w:t> </w:t>
      </w:r>
      <w:r w:rsidR="008B35E8" w:rsidRPr="002866E5">
        <w:rPr>
          <w:noProof/>
        </w:rPr>
        <w:t>zak</w:t>
      </w:r>
      <w:r w:rsidR="00DF1F3F" w:rsidRPr="002866E5">
        <w:rPr>
          <w:noProof/>
        </w:rPr>
        <w:t>resie kontroli zgodności</w:t>
      </w:r>
      <w:r w:rsidR="008B35E8" w:rsidRPr="002866E5">
        <w:rPr>
          <w:noProof/>
        </w:rPr>
        <w:t xml:space="preserve"> z</w:t>
      </w:r>
      <w:r w:rsidR="008B35E8">
        <w:rPr>
          <w:noProof/>
        </w:rPr>
        <w:t> </w:t>
      </w:r>
      <w:r w:rsidR="008B35E8" w:rsidRPr="002866E5">
        <w:rPr>
          <w:noProof/>
        </w:rPr>
        <w:t>nin</w:t>
      </w:r>
      <w:r w:rsidR="00DF1F3F" w:rsidRPr="002866E5">
        <w:rPr>
          <w:noProof/>
        </w:rPr>
        <w:t>iejszym rozporządzeniem, które mają być prowadzone przez organy nadzoru rynku, na podstawie wskazań lub informacji dotyczących potencjalnej niezgodności produktów objętych zakresem stosowania niniejszego rozporządzenia</w:t>
      </w:r>
      <w:r w:rsidR="008B35E8" w:rsidRPr="002866E5">
        <w:rPr>
          <w:noProof/>
        </w:rPr>
        <w:t xml:space="preserve"> z</w:t>
      </w:r>
      <w:r w:rsidR="008B35E8">
        <w:rPr>
          <w:noProof/>
        </w:rPr>
        <w:t> </w:t>
      </w:r>
      <w:r w:rsidR="008B35E8" w:rsidRPr="002866E5">
        <w:rPr>
          <w:noProof/>
        </w:rPr>
        <w:t>wym</w:t>
      </w:r>
      <w:r w:rsidR="00DF1F3F" w:rsidRPr="002866E5">
        <w:rPr>
          <w:noProof/>
        </w:rPr>
        <w:t>ogami określonymi</w:t>
      </w:r>
      <w:r w:rsidR="008B35E8" w:rsidRPr="002866E5">
        <w:rPr>
          <w:noProof/>
        </w:rPr>
        <w:t xml:space="preserve"> w</w:t>
      </w:r>
      <w:r w:rsidR="008B35E8">
        <w:rPr>
          <w:noProof/>
        </w:rPr>
        <w:t> </w:t>
      </w:r>
      <w:r w:rsidR="008B35E8" w:rsidRPr="002866E5">
        <w:rPr>
          <w:noProof/>
        </w:rPr>
        <w:t>nin</w:t>
      </w:r>
      <w:r w:rsidR="00DF1F3F" w:rsidRPr="002866E5">
        <w:rPr>
          <w:noProof/>
        </w:rPr>
        <w:t>iejszym rozporządzeniu</w:t>
      </w:r>
      <w:r w:rsidR="008B35E8" w:rsidRPr="002866E5">
        <w:rPr>
          <w:noProof/>
        </w:rPr>
        <w:t xml:space="preserve"> w</w:t>
      </w:r>
      <w:r w:rsidR="008B35E8">
        <w:rPr>
          <w:noProof/>
        </w:rPr>
        <w:t> </w:t>
      </w:r>
      <w:r w:rsidR="008B35E8" w:rsidRPr="002866E5">
        <w:rPr>
          <w:noProof/>
        </w:rPr>
        <w:t>sze</w:t>
      </w:r>
      <w:r w:rsidR="00DF1F3F" w:rsidRPr="002866E5">
        <w:rPr>
          <w:noProof/>
        </w:rPr>
        <w:t>regu państw członkowskich.</w:t>
      </w:r>
    </w:p>
    <w:p w14:paraId="67ED88B2" w14:textId="1F1A48EA" w:rsidR="00DF1F3F" w:rsidRPr="002866E5" w:rsidRDefault="00B4087C" w:rsidP="00B4087C">
      <w:pPr>
        <w:pStyle w:val="ManualNumPar1"/>
        <w:rPr>
          <w:noProof/>
        </w:rPr>
      </w:pPr>
      <w:r w:rsidRPr="00B4087C">
        <w:t>3.</w:t>
      </w:r>
      <w:r w:rsidRPr="00B4087C">
        <w:tab/>
      </w:r>
      <w:r w:rsidR="00DF1F3F" w:rsidRPr="002866E5">
        <w:rPr>
          <w:noProof/>
        </w:rPr>
        <w:t>Organy nadzoru rynku oraz Komisja,</w:t>
      </w:r>
      <w:r w:rsidR="008B35E8" w:rsidRPr="002866E5">
        <w:rPr>
          <w:noProof/>
        </w:rPr>
        <w:t xml:space="preserve"> w</w:t>
      </w:r>
      <w:r w:rsidR="008B35E8">
        <w:rPr>
          <w:noProof/>
        </w:rPr>
        <w:t> </w:t>
      </w:r>
      <w:r w:rsidR="008B35E8" w:rsidRPr="002866E5">
        <w:rPr>
          <w:noProof/>
        </w:rPr>
        <w:t>sto</w:t>
      </w:r>
      <w:r w:rsidR="00DF1F3F" w:rsidRPr="002866E5">
        <w:rPr>
          <w:noProof/>
        </w:rPr>
        <w:t>sownych przypadkach, zapewniają, aby porozumienie</w:t>
      </w:r>
      <w:r w:rsidR="008B35E8" w:rsidRPr="002866E5">
        <w:rPr>
          <w:noProof/>
        </w:rPr>
        <w:t xml:space="preserve"> w</w:t>
      </w:r>
      <w:r w:rsidR="008B35E8">
        <w:rPr>
          <w:noProof/>
        </w:rPr>
        <w:t> </w:t>
      </w:r>
      <w:r w:rsidR="008B35E8" w:rsidRPr="002866E5">
        <w:rPr>
          <w:noProof/>
        </w:rPr>
        <w:t>spr</w:t>
      </w:r>
      <w:r w:rsidR="00DF1F3F" w:rsidRPr="002866E5">
        <w:rPr>
          <w:noProof/>
        </w:rPr>
        <w:t>awie wspólnych działań nie prowadziło do nieuczciwej konkurencji między podmiotami gospodarczymi ani nie wpływało negatywnie na obiektywizm, niezależność</w:t>
      </w:r>
      <w:r w:rsidR="008B35E8" w:rsidRPr="002866E5">
        <w:rPr>
          <w:noProof/>
        </w:rPr>
        <w:t xml:space="preserve"> i</w:t>
      </w:r>
      <w:r w:rsidR="008B35E8">
        <w:rPr>
          <w:noProof/>
        </w:rPr>
        <w:t> </w:t>
      </w:r>
      <w:r w:rsidR="008B35E8" w:rsidRPr="002866E5">
        <w:rPr>
          <w:noProof/>
        </w:rPr>
        <w:t>bez</w:t>
      </w:r>
      <w:r w:rsidR="00DF1F3F" w:rsidRPr="002866E5">
        <w:rPr>
          <w:noProof/>
        </w:rPr>
        <w:t xml:space="preserve">stronność stron porozumienia. </w:t>
      </w:r>
    </w:p>
    <w:p w14:paraId="67ED88B3" w14:textId="4F5F8912" w:rsidR="00DF1F3F" w:rsidRPr="002866E5" w:rsidRDefault="00B4087C" w:rsidP="00B4087C">
      <w:pPr>
        <w:pStyle w:val="ManualNumPar1"/>
        <w:rPr>
          <w:noProof/>
        </w:rPr>
      </w:pPr>
      <w:r w:rsidRPr="00B4087C">
        <w:t>4.</w:t>
      </w:r>
      <w:r w:rsidRPr="00B4087C">
        <w:tab/>
      </w:r>
      <w:r w:rsidR="00DF1F3F" w:rsidRPr="002866E5">
        <w:rPr>
          <w:noProof/>
        </w:rPr>
        <w:t>Organ nadzoru rynku może wykorzystywać wszelkie informacje uzyskane</w:t>
      </w:r>
      <w:r w:rsidR="008B35E8" w:rsidRPr="002866E5">
        <w:rPr>
          <w:noProof/>
        </w:rPr>
        <w:t xml:space="preserve"> w</w:t>
      </w:r>
      <w:r w:rsidR="008B35E8">
        <w:rPr>
          <w:noProof/>
        </w:rPr>
        <w:t> </w:t>
      </w:r>
      <w:r w:rsidR="008B35E8" w:rsidRPr="002866E5">
        <w:rPr>
          <w:noProof/>
        </w:rPr>
        <w:t>wyn</w:t>
      </w:r>
      <w:r w:rsidR="00DF1F3F" w:rsidRPr="002866E5">
        <w:rPr>
          <w:noProof/>
        </w:rPr>
        <w:t>iku działań prowadzonych</w:t>
      </w:r>
      <w:r w:rsidR="008B35E8" w:rsidRPr="002866E5">
        <w:rPr>
          <w:noProof/>
        </w:rPr>
        <w:t xml:space="preserve"> w</w:t>
      </w:r>
      <w:r w:rsidR="008B35E8">
        <w:rPr>
          <w:noProof/>
        </w:rPr>
        <w:t> </w:t>
      </w:r>
      <w:r w:rsidR="008B35E8" w:rsidRPr="002866E5">
        <w:rPr>
          <w:noProof/>
        </w:rPr>
        <w:t>ram</w:t>
      </w:r>
      <w:r w:rsidR="00DF1F3F" w:rsidRPr="002866E5">
        <w:rPr>
          <w:noProof/>
        </w:rPr>
        <w:t xml:space="preserve">ach wszczętego przez ten organ postępowania wyjaśniającego. </w:t>
      </w:r>
    </w:p>
    <w:p w14:paraId="67ED88B4" w14:textId="0B9ADEBC" w:rsidR="00DF1F3F" w:rsidRPr="002866E5" w:rsidRDefault="00B4087C" w:rsidP="00B4087C">
      <w:pPr>
        <w:pStyle w:val="ManualNumPar1"/>
        <w:rPr>
          <w:noProof/>
        </w:rPr>
      </w:pPr>
      <w:r w:rsidRPr="00B4087C">
        <w:t>5.</w:t>
      </w:r>
      <w:r w:rsidRPr="00B4087C">
        <w:tab/>
      </w:r>
      <w:r w:rsidR="00DF1F3F" w:rsidRPr="002866E5">
        <w:rPr>
          <w:noProof/>
        </w:rPr>
        <w:t>Dany organ nadzoru rynku oraz Komisja,</w:t>
      </w:r>
      <w:r w:rsidR="008B35E8" w:rsidRPr="002866E5">
        <w:rPr>
          <w:noProof/>
        </w:rPr>
        <w:t xml:space="preserve"> w</w:t>
      </w:r>
      <w:r w:rsidR="008B35E8">
        <w:rPr>
          <w:noProof/>
        </w:rPr>
        <w:t> </w:t>
      </w:r>
      <w:r w:rsidR="008B35E8" w:rsidRPr="002866E5">
        <w:rPr>
          <w:noProof/>
        </w:rPr>
        <w:t>sto</w:t>
      </w:r>
      <w:r w:rsidR="00DF1F3F" w:rsidRPr="002866E5">
        <w:rPr>
          <w:noProof/>
        </w:rPr>
        <w:t>sownych przypadkach, udostępniają publicznie porozumienie</w:t>
      </w:r>
      <w:r w:rsidR="008B35E8" w:rsidRPr="002866E5">
        <w:rPr>
          <w:noProof/>
        </w:rPr>
        <w:t xml:space="preserve"> w</w:t>
      </w:r>
      <w:r w:rsidR="008B35E8">
        <w:rPr>
          <w:noProof/>
        </w:rPr>
        <w:t> </w:t>
      </w:r>
      <w:r w:rsidR="008B35E8" w:rsidRPr="002866E5">
        <w:rPr>
          <w:noProof/>
        </w:rPr>
        <w:t>spr</w:t>
      </w:r>
      <w:r w:rsidR="00DF1F3F" w:rsidRPr="002866E5">
        <w:rPr>
          <w:noProof/>
        </w:rPr>
        <w:t>awie wspólnych działań, podając nazwy zaangażowanych</w:t>
      </w:r>
      <w:r w:rsidR="008B35E8" w:rsidRPr="002866E5">
        <w:rPr>
          <w:noProof/>
        </w:rPr>
        <w:t xml:space="preserve"> w</w:t>
      </w:r>
      <w:r w:rsidR="008B35E8">
        <w:rPr>
          <w:noProof/>
        </w:rPr>
        <w:t> </w:t>
      </w:r>
      <w:r w:rsidR="008B35E8" w:rsidRPr="002866E5">
        <w:rPr>
          <w:noProof/>
        </w:rPr>
        <w:t>nie</w:t>
      </w:r>
      <w:r w:rsidR="00DF1F3F" w:rsidRPr="002866E5">
        <w:rPr>
          <w:noProof/>
        </w:rPr>
        <w:t xml:space="preserve"> podmiotów.</w:t>
      </w:r>
    </w:p>
    <w:p w14:paraId="67ED88B5" w14:textId="15F7D204" w:rsidR="00DF1F3F" w:rsidRPr="002866E5" w:rsidRDefault="00DF1F3F" w:rsidP="00BE55DD">
      <w:pPr>
        <w:pStyle w:val="Titrearticle0"/>
        <w:rPr>
          <w:noProof/>
        </w:rPr>
      </w:pPr>
      <w:r w:rsidRPr="002866E5">
        <w:rPr>
          <w:noProof/>
        </w:rPr>
        <w:t>Artykuł 49</w:t>
      </w:r>
    </w:p>
    <w:p w14:paraId="67ED88B6" w14:textId="77777777" w:rsidR="00DF1F3F" w:rsidRPr="002866E5" w:rsidRDefault="00DF1F3F" w:rsidP="00084E38">
      <w:pPr>
        <w:jc w:val="center"/>
        <w:rPr>
          <w:i/>
          <w:noProof/>
        </w:rPr>
      </w:pPr>
      <w:r w:rsidRPr="002866E5">
        <w:rPr>
          <w:i/>
          <w:noProof/>
        </w:rPr>
        <w:t>Akcje kontrolne</w:t>
      </w:r>
    </w:p>
    <w:p w14:paraId="67ED88B7" w14:textId="0E988109" w:rsidR="00DF1F3F" w:rsidRPr="002866E5" w:rsidRDefault="00B4087C" w:rsidP="00B4087C">
      <w:pPr>
        <w:pStyle w:val="ManualNumPar1"/>
        <w:rPr>
          <w:noProof/>
        </w:rPr>
      </w:pPr>
      <w:r w:rsidRPr="00B4087C">
        <w:lastRenderedPageBreak/>
        <w:t>1.</w:t>
      </w:r>
      <w:r w:rsidRPr="00B4087C">
        <w:tab/>
      </w:r>
      <w:r w:rsidR="00DF1F3F" w:rsidRPr="002866E5">
        <w:rPr>
          <w:noProof/>
        </w:rPr>
        <w:t>Organy nadzoru rynku mogą podjąć decyzję</w:t>
      </w:r>
      <w:r w:rsidR="008B35E8" w:rsidRPr="002866E5">
        <w:rPr>
          <w:noProof/>
        </w:rPr>
        <w:t xml:space="preserve"> o</w:t>
      </w:r>
      <w:r w:rsidR="008B35E8">
        <w:rPr>
          <w:noProof/>
        </w:rPr>
        <w:t> </w:t>
      </w:r>
      <w:r w:rsidR="008B35E8" w:rsidRPr="002866E5">
        <w:rPr>
          <w:noProof/>
        </w:rPr>
        <w:t>prz</w:t>
      </w:r>
      <w:r w:rsidR="00DF1F3F" w:rsidRPr="002866E5">
        <w:rPr>
          <w:noProof/>
        </w:rPr>
        <w:t>eprowadzeniu jednoczesnych skoordynowanych działań kontrolnych („akcji kontrolnych”)</w:t>
      </w:r>
      <w:r w:rsidR="008B35E8" w:rsidRPr="002866E5">
        <w:rPr>
          <w:noProof/>
        </w:rPr>
        <w:t xml:space="preserve"> w</w:t>
      </w:r>
      <w:r w:rsidR="008B35E8">
        <w:rPr>
          <w:noProof/>
        </w:rPr>
        <w:t> </w:t>
      </w:r>
      <w:r w:rsidR="008B35E8" w:rsidRPr="002866E5">
        <w:rPr>
          <w:noProof/>
        </w:rPr>
        <w:t>odn</w:t>
      </w:r>
      <w:r w:rsidR="00DF1F3F" w:rsidRPr="002866E5">
        <w:rPr>
          <w:noProof/>
        </w:rPr>
        <w:t>iesieniu do poszczególnych produktów</w:t>
      </w:r>
      <w:r w:rsidR="008B35E8" w:rsidRPr="002866E5">
        <w:rPr>
          <w:noProof/>
        </w:rPr>
        <w:t xml:space="preserve"> z</w:t>
      </w:r>
      <w:r w:rsidR="008B35E8">
        <w:rPr>
          <w:noProof/>
        </w:rPr>
        <w:t> </w:t>
      </w:r>
      <w:r w:rsidR="008B35E8" w:rsidRPr="002866E5">
        <w:rPr>
          <w:noProof/>
        </w:rPr>
        <w:t>ele</w:t>
      </w:r>
      <w:r w:rsidR="00DF1F3F" w:rsidRPr="002866E5">
        <w:rPr>
          <w:noProof/>
        </w:rPr>
        <w:t>mentami cyfrowymi lub ich kategorii</w:t>
      </w:r>
      <w:r w:rsidR="008B35E8" w:rsidRPr="002866E5">
        <w:rPr>
          <w:noProof/>
        </w:rPr>
        <w:t xml:space="preserve"> w</w:t>
      </w:r>
      <w:r w:rsidR="008B35E8">
        <w:rPr>
          <w:noProof/>
        </w:rPr>
        <w:t> </w:t>
      </w:r>
      <w:r w:rsidR="008B35E8" w:rsidRPr="002866E5">
        <w:rPr>
          <w:noProof/>
        </w:rPr>
        <w:t>cel</w:t>
      </w:r>
      <w:r w:rsidR="00DF1F3F" w:rsidRPr="002866E5">
        <w:rPr>
          <w:noProof/>
        </w:rPr>
        <w:t>u sprawdzenia zgodności</w:t>
      </w:r>
      <w:r w:rsidR="008B35E8" w:rsidRPr="002866E5">
        <w:rPr>
          <w:noProof/>
        </w:rPr>
        <w:t xml:space="preserve"> z</w:t>
      </w:r>
      <w:r w:rsidR="008B35E8">
        <w:rPr>
          <w:noProof/>
        </w:rPr>
        <w:t> </w:t>
      </w:r>
      <w:r w:rsidR="008B35E8" w:rsidRPr="002866E5">
        <w:rPr>
          <w:noProof/>
        </w:rPr>
        <w:t>nin</w:t>
      </w:r>
      <w:r w:rsidR="00DF1F3F" w:rsidRPr="002866E5">
        <w:rPr>
          <w:noProof/>
        </w:rPr>
        <w:t>iejszym rozporządzeniem lub wykrycia jego naruszeń.</w:t>
      </w:r>
    </w:p>
    <w:p w14:paraId="67ED88B8" w14:textId="40D38B6C" w:rsidR="00C31ED3" w:rsidRPr="002866E5" w:rsidRDefault="00B4087C" w:rsidP="00B4087C">
      <w:pPr>
        <w:pStyle w:val="ManualNumPar1"/>
        <w:rPr>
          <w:noProof/>
        </w:rPr>
      </w:pPr>
      <w:r w:rsidRPr="00B4087C">
        <w:t>2.</w:t>
      </w:r>
      <w:r w:rsidRPr="00B4087C">
        <w:tab/>
      </w:r>
      <w:r w:rsidR="00DF1F3F" w:rsidRPr="002866E5">
        <w:rPr>
          <w:noProof/>
        </w:rPr>
        <w:t>O ile zaangażowane organy nadzoru rynku nie uzgodnią inaczej, akcje kontrolne koordynuje Komisja. Koordynator akcji kontrolnej może</w:t>
      </w:r>
      <w:r w:rsidR="008B35E8" w:rsidRPr="002866E5">
        <w:rPr>
          <w:noProof/>
        </w:rPr>
        <w:t xml:space="preserve"> w</w:t>
      </w:r>
      <w:r w:rsidR="008B35E8">
        <w:rPr>
          <w:noProof/>
        </w:rPr>
        <w:t> </w:t>
      </w:r>
      <w:r w:rsidR="008B35E8" w:rsidRPr="002866E5">
        <w:rPr>
          <w:noProof/>
        </w:rPr>
        <w:t>sto</w:t>
      </w:r>
      <w:r w:rsidR="00DF1F3F" w:rsidRPr="002866E5">
        <w:rPr>
          <w:noProof/>
        </w:rPr>
        <w:t xml:space="preserve">sownych przypadkach podać do publicznej wiadomości zagregowane wyniki. </w:t>
      </w:r>
    </w:p>
    <w:p w14:paraId="67ED88B9" w14:textId="7DB5C1AA" w:rsidR="00C31ED3" w:rsidRPr="002866E5" w:rsidRDefault="00B4087C" w:rsidP="00B4087C">
      <w:pPr>
        <w:pStyle w:val="ManualNumPar1"/>
        <w:rPr>
          <w:noProof/>
        </w:rPr>
      </w:pPr>
      <w:r w:rsidRPr="00B4087C">
        <w:t>3.</w:t>
      </w:r>
      <w:r w:rsidRPr="00B4087C">
        <w:tab/>
      </w:r>
      <w:r w:rsidR="00C31ED3" w:rsidRPr="002866E5">
        <w:rPr>
          <w:noProof/>
        </w:rPr>
        <w:t>ENISA może określić –</w:t>
      </w:r>
      <w:r w:rsidR="008B35E8" w:rsidRPr="002866E5">
        <w:rPr>
          <w:noProof/>
        </w:rPr>
        <w:t xml:space="preserve"> w</w:t>
      </w:r>
      <w:r w:rsidR="008B35E8">
        <w:rPr>
          <w:noProof/>
        </w:rPr>
        <w:t> </w:t>
      </w:r>
      <w:r w:rsidR="008B35E8" w:rsidRPr="002866E5">
        <w:rPr>
          <w:noProof/>
        </w:rPr>
        <w:t>ram</w:t>
      </w:r>
      <w:r w:rsidR="00C31ED3" w:rsidRPr="002866E5">
        <w:rPr>
          <w:noProof/>
        </w:rPr>
        <w:t>ach wykonywania swoich zadań,</w:t>
      </w:r>
      <w:r w:rsidR="008B35E8" w:rsidRPr="002866E5">
        <w:rPr>
          <w:noProof/>
        </w:rPr>
        <w:t xml:space="preserve"> w</w:t>
      </w:r>
      <w:r w:rsidR="008B35E8">
        <w:rPr>
          <w:noProof/>
        </w:rPr>
        <w:t> </w:t>
      </w:r>
      <w:r w:rsidR="008B35E8" w:rsidRPr="002866E5">
        <w:rPr>
          <w:noProof/>
        </w:rPr>
        <w:t>tym</w:t>
      </w:r>
      <w:r w:rsidR="00C31ED3" w:rsidRPr="002866E5">
        <w:rPr>
          <w:noProof/>
        </w:rPr>
        <w:t xml:space="preserve"> na podstawie zgłoszeń otrzymywanych zgodnie</w:t>
      </w:r>
      <w:r w:rsidR="008B35E8" w:rsidRPr="002866E5">
        <w:rPr>
          <w:noProof/>
        </w:rPr>
        <w:t xml:space="preserve"> z</w:t>
      </w:r>
      <w:r w:rsidR="008B35E8">
        <w:rPr>
          <w:noProof/>
        </w:rPr>
        <w:t> </w:t>
      </w:r>
      <w:r w:rsidR="008B35E8" w:rsidRPr="008B35E8">
        <w:rPr>
          <w:noProof/>
        </w:rPr>
        <w:t>art</w:t>
      </w:r>
      <w:r w:rsidR="00C31ED3" w:rsidRPr="008B35E8">
        <w:rPr>
          <w:noProof/>
        </w:rPr>
        <w:t>.</w:t>
      </w:r>
      <w:r w:rsidR="008B35E8" w:rsidRPr="008B35E8">
        <w:rPr>
          <w:noProof/>
        </w:rPr>
        <w:t> </w:t>
      </w:r>
      <w:r w:rsidR="00C31ED3" w:rsidRPr="008B35E8">
        <w:rPr>
          <w:noProof/>
        </w:rPr>
        <w:t>1</w:t>
      </w:r>
      <w:r w:rsidR="00C31ED3" w:rsidRPr="002866E5">
        <w:rPr>
          <w:noProof/>
        </w:rPr>
        <w:t xml:space="preserve">1 </w:t>
      </w:r>
      <w:r w:rsidR="00C31ED3" w:rsidRPr="008B35E8">
        <w:rPr>
          <w:noProof/>
        </w:rPr>
        <w:t>ust.</w:t>
      </w:r>
      <w:r w:rsidR="008B35E8" w:rsidRPr="008B35E8">
        <w:rPr>
          <w:noProof/>
        </w:rPr>
        <w:t> </w:t>
      </w:r>
      <w:r w:rsidR="00C31ED3" w:rsidRPr="008B35E8">
        <w:rPr>
          <w:noProof/>
        </w:rPr>
        <w:t>1</w:t>
      </w:r>
      <w:r w:rsidR="008B35E8" w:rsidRPr="002866E5">
        <w:rPr>
          <w:noProof/>
        </w:rPr>
        <w:t xml:space="preserve"> i</w:t>
      </w:r>
      <w:r w:rsidR="008B35E8">
        <w:rPr>
          <w:noProof/>
        </w:rPr>
        <w:t> </w:t>
      </w:r>
      <w:r w:rsidR="008B35E8" w:rsidRPr="002866E5">
        <w:rPr>
          <w:noProof/>
        </w:rPr>
        <w:t>2</w:t>
      </w:r>
      <w:r w:rsidR="00C31ED3" w:rsidRPr="002866E5">
        <w:rPr>
          <w:noProof/>
        </w:rPr>
        <w:t xml:space="preserve"> – kategorie produktów,</w:t>
      </w:r>
      <w:r w:rsidR="008B35E8" w:rsidRPr="002866E5">
        <w:rPr>
          <w:noProof/>
        </w:rPr>
        <w:t xml:space="preserve"> w</w:t>
      </w:r>
      <w:r w:rsidR="008B35E8">
        <w:rPr>
          <w:noProof/>
        </w:rPr>
        <w:t> </w:t>
      </w:r>
      <w:r w:rsidR="008B35E8" w:rsidRPr="002866E5">
        <w:rPr>
          <w:noProof/>
        </w:rPr>
        <w:t>odn</w:t>
      </w:r>
      <w:r w:rsidR="00C31ED3" w:rsidRPr="002866E5">
        <w:rPr>
          <w:noProof/>
        </w:rPr>
        <w:t>iesieniu do których można zorganizować akcje kontrolne. Wniosek dotyczący akcji kontrolnych przedkłada się potencjalnemu koordynatorowi,</w:t>
      </w:r>
      <w:r w:rsidR="008B35E8" w:rsidRPr="002866E5">
        <w:rPr>
          <w:noProof/>
        </w:rPr>
        <w:t xml:space="preserve"> o</w:t>
      </w:r>
      <w:r w:rsidR="008B35E8">
        <w:rPr>
          <w:noProof/>
        </w:rPr>
        <w:t> </w:t>
      </w:r>
      <w:r w:rsidR="008B35E8" w:rsidRPr="002866E5">
        <w:rPr>
          <w:noProof/>
        </w:rPr>
        <w:t>któ</w:t>
      </w:r>
      <w:r w:rsidR="00C31ED3" w:rsidRPr="002866E5">
        <w:rPr>
          <w:noProof/>
        </w:rPr>
        <w:t>rym mowa</w:t>
      </w:r>
      <w:r w:rsidR="008B35E8" w:rsidRPr="002866E5">
        <w:rPr>
          <w:noProof/>
        </w:rPr>
        <w:t xml:space="preserve"> w</w:t>
      </w:r>
      <w:r w:rsidR="008B35E8">
        <w:rPr>
          <w:noProof/>
        </w:rPr>
        <w:t> </w:t>
      </w:r>
      <w:r w:rsidR="008B35E8" w:rsidRPr="008B35E8">
        <w:rPr>
          <w:noProof/>
        </w:rPr>
        <w:t>ust</w:t>
      </w:r>
      <w:r w:rsidR="00C31ED3" w:rsidRPr="008B35E8">
        <w:rPr>
          <w:noProof/>
        </w:rPr>
        <w:t>.</w:t>
      </w:r>
      <w:r w:rsidR="008B35E8" w:rsidRPr="008B35E8">
        <w:rPr>
          <w:noProof/>
        </w:rPr>
        <w:t> </w:t>
      </w:r>
      <w:r w:rsidR="00C31ED3" w:rsidRPr="008B35E8">
        <w:rPr>
          <w:noProof/>
        </w:rPr>
        <w:t>2</w:t>
      </w:r>
      <w:r w:rsidR="00C31ED3" w:rsidRPr="002866E5">
        <w:rPr>
          <w:noProof/>
        </w:rPr>
        <w:t>, do rozpatrzenia przez organy nadzoru rynku.</w:t>
      </w:r>
    </w:p>
    <w:p w14:paraId="67ED88BA" w14:textId="0ABC87E3" w:rsidR="00DF1F3F" w:rsidRPr="002866E5" w:rsidRDefault="00B4087C" w:rsidP="00B4087C">
      <w:pPr>
        <w:pStyle w:val="ManualNumPar1"/>
        <w:rPr>
          <w:noProof/>
        </w:rPr>
      </w:pPr>
      <w:r w:rsidRPr="00B4087C">
        <w:t>4.</w:t>
      </w:r>
      <w:r w:rsidRPr="00B4087C">
        <w:tab/>
      </w:r>
      <w:r w:rsidR="00DF1F3F" w:rsidRPr="002866E5">
        <w:rPr>
          <w:noProof/>
        </w:rPr>
        <w:t>Prowadząc akcje kontrolne, zaangażowane organy nadzoru rynku mogą korzystać</w:t>
      </w:r>
      <w:r w:rsidR="008B35E8" w:rsidRPr="002866E5">
        <w:rPr>
          <w:noProof/>
        </w:rPr>
        <w:t xml:space="preserve"> z</w:t>
      </w:r>
      <w:r w:rsidR="008B35E8">
        <w:rPr>
          <w:noProof/>
        </w:rPr>
        <w:t> </w:t>
      </w:r>
      <w:r w:rsidR="008B35E8" w:rsidRPr="002866E5">
        <w:rPr>
          <w:noProof/>
        </w:rPr>
        <w:t>upr</w:t>
      </w:r>
      <w:r w:rsidR="00DF1F3F" w:rsidRPr="002866E5">
        <w:rPr>
          <w:noProof/>
        </w:rPr>
        <w:t>awnień do przeprowadzania postępowania wyjaśniającego określonych</w:t>
      </w:r>
      <w:r w:rsidR="008B35E8" w:rsidRPr="002866E5">
        <w:rPr>
          <w:noProof/>
        </w:rPr>
        <w:t xml:space="preserve"> w</w:t>
      </w:r>
      <w:r w:rsidR="008B35E8">
        <w:rPr>
          <w:noProof/>
        </w:rPr>
        <w:t> </w:t>
      </w:r>
      <w:r w:rsidR="008B35E8" w:rsidRPr="002866E5">
        <w:rPr>
          <w:noProof/>
        </w:rPr>
        <w:t>art</w:t>
      </w:r>
      <w:r w:rsidR="00DF1F3F" w:rsidRPr="002866E5">
        <w:rPr>
          <w:noProof/>
        </w:rPr>
        <w:t>. 41–47</w:t>
      </w:r>
      <w:r w:rsidR="008B35E8" w:rsidRPr="002866E5">
        <w:rPr>
          <w:noProof/>
        </w:rPr>
        <w:t xml:space="preserve"> i</w:t>
      </w:r>
      <w:r w:rsidR="008B35E8">
        <w:rPr>
          <w:noProof/>
        </w:rPr>
        <w:t> </w:t>
      </w:r>
      <w:r w:rsidR="008B35E8" w:rsidRPr="002866E5">
        <w:rPr>
          <w:noProof/>
        </w:rPr>
        <w:t>wsz</w:t>
      </w:r>
      <w:r w:rsidR="00DF1F3F" w:rsidRPr="002866E5">
        <w:rPr>
          <w:noProof/>
        </w:rPr>
        <w:t xml:space="preserve">elkich innych uprawnień nadanych im na mocy przepisów prawa krajowego. </w:t>
      </w:r>
    </w:p>
    <w:p w14:paraId="67ED88BB" w14:textId="381EA569" w:rsidR="00DF1F3F" w:rsidRPr="002866E5" w:rsidRDefault="00B4087C" w:rsidP="00B4087C">
      <w:pPr>
        <w:pStyle w:val="ManualNumPar1"/>
        <w:rPr>
          <w:noProof/>
        </w:rPr>
      </w:pPr>
      <w:r w:rsidRPr="00B4087C">
        <w:t>5.</w:t>
      </w:r>
      <w:r w:rsidRPr="00B4087C">
        <w:tab/>
      </w:r>
      <w:r w:rsidR="00DF1F3F" w:rsidRPr="002866E5">
        <w:rPr>
          <w:noProof/>
        </w:rPr>
        <w:t>Organy nadzoru rynku mogą zapraszać urzędników Komisji</w:t>
      </w:r>
      <w:r w:rsidR="008B35E8" w:rsidRPr="002866E5">
        <w:rPr>
          <w:noProof/>
        </w:rPr>
        <w:t xml:space="preserve"> i</w:t>
      </w:r>
      <w:r w:rsidR="008B35E8">
        <w:rPr>
          <w:noProof/>
        </w:rPr>
        <w:t> </w:t>
      </w:r>
      <w:r w:rsidR="008B35E8" w:rsidRPr="002866E5">
        <w:rPr>
          <w:noProof/>
        </w:rPr>
        <w:t>inn</w:t>
      </w:r>
      <w:r w:rsidR="00DF1F3F" w:rsidRPr="002866E5">
        <w:rPr>
          <w:noProof/>
        </w:rPr>
        <w:t>e osoby towarzyszące upoważnione przez Komisję do udziału</w:t>
      </w:r>
      <w:r w:rsidR="008B35E8" w:rsidRPr="002866E5">
        <w:rPr>
          <w:noProof/>
        </w:rPr>
        <w:t xml:space="preserve"> w</w:t>
      </w:r>
      <w:r w:rsidR="008B35E8">
        <w:rPr>
          <w:noProof/>
        </w:rPr>
        <w:t> </w:t>
      </w:r>
      <w:r w:rsidR="008B35E8" w:rsidRPr="002866E5">
        <w:rPr>
          <w:noProof/>
        </w:rPr>
        <w:t>akc</w:t>
      </w:r>
      <w:r w:rsidR="00DF1F3F" w:rsidRPr="002866E5">
        <w:rPr>
          <w:noProof/>
        </w:rPr>
        <w:t>jach kontrolnych.</w:t>
      </w:r>
    </w:p>
    <w:p w14:paraId="67ED88BC" w14:textId="77777777" w:rsidR="009D0F4B" w:rsidRPr="002866E5" w:rsidRDefault="009D0F4B" w:rsidP="0027065F">
      <w:pPr>
        <w:pStyle w:val="Titrearticle0"/>
        <w:rPr>
          <w:b/>
          <w:noProof/>
        </w:rPr>
      </w:pPr>
      <w:r w:rsidRPr="002866E5">
        <w:rPr>
          <w:b/>
          <w:i w:val="0"/>
          <w:noProof/>
        </w:rPr>
        <w:t>ROZDZIAŁ VI</w:t>
      </w:r>
    </w:p>
    <w:p w14:paraId="67ED88BD" w14:textId="77777777" w:rsidR="009D0F4B" w:rsidRPr="002866E5" w:rsidRDefault="009D0F4B" w:rsidP="0027065F">
      <w:pPr>
        <w:pStyle w:val="Titrearticle0"/>
        <w:rPr>
          <w:b/>
          <w:noProof/>
        </w:rPr>
      </w:pPr>
      <w:r w:rsidRPr="002866E5">
        <w:rPr>
          <w:b/>
          <w:i w:val="0"/>
          <w:noProof/>
        </w:rPr>
        <w:t>PRZEKAZANE UPRAWNIENIA I PROCEDURA KOMITETOWA</w:t>
      </w:r>
    </w:p>
    <w:p w14:paraId="67ED88BE" w14:textId="6489092D" w:rsidR="00E14BF2" w:rsidRPr="002866E5" w:rsidRDefault="00A7348F" w:rsidP="0027065F">
      <w:pPr>
        <w:pStyle w:val="Titrearticle0"/>
        <w:rPr>
          <w:noProof/>
        </w:rPr>
      </w:pPr>
      <w:r w:rsidRPr="002866E5">
        <w:rPr>
          <w:noProof/>
        </w:rPr>
        <w:t>Artykuł 50</w:t>
      </w:r>
    </w:p>
    <w:p w14:paraId="67ED88BF" w14:textId="77777777" w:rsidR="00A7348F" w:rsidRPr="002866E5" w:rsidRDefault="00A7348F" w:rsidP="00084E38">
      <w:pPr>
        <w:jc w:val="center"/>
        <w:rPr>
          <w:i/>
          <w:noProof/>
        </w:rPr>
      </w:pPr>
      <w:r w:rsidRPr="002866E5">
        <w:rPr>
          <w:i/>
          <w:noProof/>
        </w:rPr>
        <w:t>Wykonywanie przekazanych uprawnień</w:t>
      </w:r>
    </w:p>
    <w:p w14:paraId="67ED88C0" w14:textId="0EE9BDAF" w:rsidR="00A7348F" w:rsidRPr="002866E5" w:rsidRDefault="00B4087C" w:rsidP="00B4087C">
      <w:pPr>
        <w:pStyle w:val="ManualNumPar1"/>
        <w:rPr>
          <w:noProof/>
        </w:rPr>
      </w:pPr>
      <w:r w:rsidRPr="00B4087C">
        <w:t>1.</w:t>
      </w:r>
      <w:r w:rsidRPr="00B4087C">
        <w:tab/>
      </w:r>
      <w:r w:rsidR="00A7348F" w:rsidRPr="002866E5">
        <w:rPr>
          <w:noProof/>
        </w:rPr>
        <w:t>Powierzenie Komisji uprawnień do przyjmowania aktów delegowanych podlega warunkom określonym</w:t>
      </w:r>
      <w:r w:rsidR="008B35E8" w:rsidRPr="002866E5">
        <w:rPr>
          <w:noProof/>
        </w:rPr>
        <w:t xml:space="preserve"> w</w:t>
      </w:r>
      <w:r w:rsidR="008B35E8">
        <w:rPr>
          <w:noProof/>
        </w:rPr>
        <w:t> </w:t>
      </w:r>
      <w:r w:rsidR="008B35E8" w:rsidRPr="002866E5">
        <w:rPr>
          <w:noProof/>
        </w:rPr>
        <w:t>nin</w:t>
      </w:r>
      <w:r w:rsidR="00A7348F" w:rsidRPr="002866E5">
        <w:rPr>
          <w:noProof/>
        </w:rPr>
        <w:t xml:space="preserve">iejszym artykule. </w:t>
      </w:r>
    </w:p>
    <w:p w14:paraId="67ED88C1" w14:textId="297F2CE3" w:rsidR="00A7348F" w:rsidRPr="002866E5" w:rsidRDefault="00B4087C" w:rsidP="00B4087C">
      <w:pPr>
        <w:pStyle w:val="ManualNumPar1"/>
        <w:rPr>
          <w:noProof/>
        </w:rPr>
      </w:pPr>
      <w:r w:rsidRPr="00B4087C">
        <w:t>2.</w:t>
      </w:r>
      <w:r w:rsidRPr="00B4087C">
        <w:tab/>
      </w:r>
      <w:r w:rsidR="00A7348F" w:rsidRPr="002866E5">
        <w:rPr>
          <w:noProof/>
        </w:rPr>
        <w:t>Uprawnienia do przyjmowania aktów delegowanych,</w:t>
      </w:r>
      <w:r w:rsidR="008B35E8" w:rsidRPr="002866E5">
        <w:rPr>
          <w:noProof/>
        </w:rPr>
        <w:t xml:space="preserve"> o</w:t>
      </w:r>
      <w:r w:rsidR="008B35E8">
        <w:rPr>
          <w:noProof/>
        </w:rPr>
        <w:t> </w:t>
      </w:r>
      <w:r w:rsidR="008B35E8" w:rsidRPr="002866E5">
        <w:rPr>
          <w:noProof/>
        </w:rPr>
        <w:t>któ</w:t>
      </w:r>
      <w:r w:rsidR="00A7348F" w:rsidRPr="002866E5">
        <w:rPr>
          <w:noProof/>
        </w:rPr>
        <w:t>rych mowa</w:t>
      </w:r>
      <w:r w:rsidR="008B35E8" w:rsidRPr="002866E5">
        <w:rPr>
          <w:noProof/>
        </w:rPr>
        <w:t xml:space="preserve"> w</w:t>
      </w:r>
      <w:r w:rsidR="008B35E8">
        <w:rPr>
          <w:noProof/>
        </w:rPr>
        <w:t> </w:t>
      </w:r>
      <w:r w:rsidR="008B35E8" w:rsidRPr="008B35E8">
        <w:rPr>
          <w:noProof/>
        </w:rPr>
        <w:t>art</w:t>
      </w:r>
      <w:r w:rsidR="00A7348F" w:rsidRPr="008B35E8">
        <w:rPr>
          <w:noProof/>
        </w:rPr>
        <w:t>.</w:t>
      </w:r>
      <w:r w:rsidR="008B35E8" w:rsidRPr="008B35E8">
        <w:rPr>
          <w:noProof/>
        </w:rPr>
        <w:t> </w:t>
      </w:r>
      <w:r w:rsidR="00A7348F" w:rsidRPr="008B35E8">
        <w:rPr>
          <w:noProof/>
        </w:rPr>
        <w:t>2</w:t>
      </w:r>
      <w:r w:rsidR="00A7348F" w:rsidRPr="002866E5">
        <w:rPr>
          <w:noProof/>
        </w:rPr>
        <w:t xml:space="preserve"> </w:t>
      </w:r>
      <w:r w:rsidR="00A7348F" w:rsidRPr="008B35E8">
        <w:rPr>
          <w:noProof/>
        </w:rPr>
        <w:t>ust.</w:t>
      </w:r>
      <w:r w:rsidR="008B35E8" w:rsidRPr="008B35E8">
        <w:rPr>
          <w:noProof/>
        </w:rPr>
        <w:t> </w:t>
      </w:r>
      <w:r w:rsidR="00A7348F" w:rsidRPr="008B35E8">
        <w:rPr>
          <w:noProof/>
        </w:rPr>
        <w:t>4</w:t>
      </w:r>
      <w:r w:rsidR="00A7348F" w:rsidRPr="002866E5">
        <w:rPr>
          <w:noProof/>
        </w:rPr>
        <w:t xml:space="preserve">, </w:t>
      </w:r>
      <w:r w:rsidR="00A7348F" w:rsidRPr="008B35E8">
        <w:rPr>
          <w:noProof/>
        </w:rPr>
        <w:t>art.</w:t>
      </w:r>
      <w:r w:rsidR="008B35E8" w:rsidRPr="008B35E8">
        <w:rPr>
          <w:noProof/>
        </w:rPr>
        <w:t> </w:t>
      </w:r>
      <w:r w:rsidR="00A7348F" w:rsidRPr="008B35E8">
        <w:rPr>
          <w:noProof/>
        </w:rPr>
        <w:t>6</w:t>
      </w:r>
      <w:r w:rsidR="00A7348F" w:rsidRPr="002866E5">
        <w:rPr>
          <w:noProof/>
        </w:rPr>
        <w:t xml:space="preserve"> </w:t>
      </w:r>
      <w:r w:rsidR="00A7348F" w:rsidRPr="008B35E8">
        <w:rPr>
          <w:noProof/>
        </w:rPr>
        <w:t>ust.</w:t>
      </w:r>
      <w:r w:rsidR="008B35E8" w:rsidRPr="008B35E8">
        <w:rPr>
          <w:noProof/>
        </w:rPr>
        <w:t> </w:t>
      </w:r>
      <w:r w:rsidR="00A7348F" w:rsidRPr="008B35E8">
        <w:rPr>
          <w:noProof/>
        </w:rPr>
        <w:t>2</w:t>
      </w:r>
      <w:r w:rsidR="00A7348F" w:rsidRPr="002866E5">
        <w:rPr>
          <w:noProof/>
        </w:rPr>
        <w:t>, 3</w:t>
      </w:r>
      <w:r w:rsidR="008B35E8" w:rsidRPr="002866E5">
        <w:rPr>
          <w:noProof/>
        </w:rPr>
        <w:t xml:space="preserve"> i</w:t>
      </w:r>
      <w:r w:rsidR="008B35E8">
        <w:rPr>
          <w:noProof/>
        </w:rPr>
        <w:t> </w:t>
      </w:r>
      <w:r w:rsidR="008B35E8" w:rsidRPr="002866E5">
        <w:rPr>
          <w:noProof/>
        </w:rPr>
        <w:t>5</w:t>
      </w:r>
      <w:r w:rsidR="00A7348F" w:rsidRPr="002866E5">
        <w:rPr>
          <w:noProof/>
        </w:rPr>
        <w:t xml:space="preserve">, </w:t>
      </w:r>
      <w:r w:rsidR="00A7348F" w:rsidRPr="008B35E8">
        <w:rPr>
          <w:noProof/>
        </w:rPr>
        <w:t>art.</w:t>
      </w:r>
      <w:r w:rsidR="008B35E8" w:rsidRPr="008B35E8">
        <w:rPr>
          <w:noProof/>
        </w:rPr>
        <w:t> </w:t>
      </w:r>
      <w:r w:rsidR="00A7348F" w:rsidRPr="008B35E8">
        <w:rPr>
          <w:noProof/>
        </w:rPr>
        <w:t>2</w:t>
      </w:r>
      <w:r w:rsidR="00A7348F" w:rsidRPr="002866E5">
        <w:rPr>
          <w:noProof/>
        </w:rPr>
        <w:t xml:space="preserve">0 </w:t>
      </w:r>
      <w:r w:rsidR="00A7348F" w:rsidRPr="008B35E8">
        <w:rPr>
          <w:noProof/>
        </w:rPr>
        <w:t>ust.</w:t>
      </w:r>
      <w:r w:rsidR="008B35E8" w:rsidRPr="008B35E8">
        <w:rPr>
          <w:noProof/>
        </w:rPr>
        <w:t> </w:t>
      </w:r>
      <w:r w:rsidR="00A7348F" w:rsidRPr="008B35E8">
        <w:rPr>
          <w:noProof/>
        </w:rPr>
        <w:t>5</w:t>
      </w:r>
      <w:r w:rsidR="008B35E8" w:rsidRPr="002866E5">
        <w:rPr>
          <w:noProof/>
        </w:rPr>
        <w:t xml:space="preserve"> i</w:t>
      </w:r>
      <w:r w:rsidR="008B35E8">
        <w:rPr>
          <w:noProof/>
        </w:rPr>
        <w:t> </w:t>
      </w:r>
      <w:r w:rsidR="008B35E8" w:rsidRPr="008B35E8">
        <w:rPr>
          <w:noProof/>
        </w:rPr>
        <w:t>art</w:t>
      </w:r>
      <w:r w:rsidR="00A7348F" w:rsidRPr="008B35E8">
        <w:rPr>
          <w:noProof/>
        </w:rPr>
        <w:t>.</w:t>
      </w:r>
      <w:r w:rsidR="008B35E8" w:rsidRPr="008B35E8">
        <w:rPr>
          <w:noProof/>
        </w:rPr>
        <w:t> </w:t>
      </w:r>
      <w:r w:rsidR="00A7348F" w:rsidRPr="008B35E8">
        <w:rPr>
          <w:noProof/>
        </w:rPr>
        <w:t>2</w:t>
      </w:r>
      <w:r w:rsidR="00A7348F" w:rsidRPr="002866E5">
        <w:rPr>
          <w:noProof/>
        </w:rPr>
        <w:t xml:space="preserve">3 </w:t>
      </w:r>
      <w:r w:rsidR="00A7348F" w:rsidRPr="008B35E8">
        <w:rPr>
          <w:noProof/>
        </w:rPr>
        <w:t>ust.</w:t>
      </w:r>
      <w:r w:rsidR="008B35E8" w:rsidRPr="008B35E8">
        <w:rPr>
          <w:noProof/>
        </w:rPr>
        <w:t> </w:t>
      </w:r>
      <w:r w:rsidR="00A7348F" w:rsidRPr="008B35E8">
        <w:rPr>
          <w:noProof/>
        </w:rPr>
        <w:t>5</w:t>
      </w:r>
      <w:r w:rsidR="00A7348F" w:rsidRPr="002866E5">
        <w:rPr>
          <w:noProof/>
        </w:rPr>
        <w:t>, powierza się Komisji.</w:t>
      </w:r>
    </w:p>
    <w:p w14:paraId="67ED88C2" w14:textId="66ECE7A2" w:rsidR="00A7348F" w:rsidRPr="002866E5" w:rsidRDefault="00B4087C" w:rsidP="00B4087C">
      <w:pPr>
        <w:pStyle w:val="ManualNumPar1"/>
        <w:rPr>
          <w:noProof/>
        </w:rPr>
      </w:pPr>
      <w:r w:rsidRPr="00B4087C">
        <w:t>3.</w:t>
      </w:r>
      <w:r w:rsidRPr="00B4087C">
        <w:tab/>
      </w:r>
      <w:r w:rsidR="00A7348F" w:rsidRPr="002866E5">
        <w:rPr>
          <w:noProof/>
        </w:rPr>
        <w:t>Przekazanie uprawnień,</w:t>
      </w:r>
      <w:r w:rsidR="008B35E8" w:rsidRPr="002866E5">
        <w:rPr>
          <w:noProof/>
        </w:rPr>
        <w:t xml:space="preserve"> o</w:t>
      </w:r>
      <w:r w:rsidR="008B35E8">
        <w:rPr>
          <w:noProof/>
        </w:rPr>
        <w:t> </w:t>
      </w:r>
      <w:r w:rsidR="008B35E8" w:rsidRPr="002866E5">
        <w:rPr>
          <w:noProof/>
        </w:rPr>
        <w:t>któ</w:t>
      </w:r>
      <w:r w:rsidR="00A7348F" w:rsidRPr="002866E5">
        <w:rPr>
          <w:noProof/>
        </w:rPr>
        <w:t>rym mowa</w:t>
      </w:r>
      <w:r w:rsidR="008B35E8" w:rsidRPr="002866E5">
        <w:rPr>
          <w:noProof/>
        </w:rPr>
        <w:t xml:space="preserve"> w</w:t>
      </w:r>
      <w:r w:rsidR="008B35E8">
        <w:rPr>
          <w:noProof/>
        </w:rPr>
        <w:t> </w:t>
      </w:r>
      <w:r w:rsidR="008B35E8" w:rsidRPr="008B35E8">
        <w:rPr>
          <w:noProof/>
        </w:rPr>
        <w:t>art</w:t>
      </w:r>
      <w:r w:rsidR="00A7348F" w:rsidRPr="008B35E8">
        <w:rPr>
          <w:noProof/>
        </w:rPr>
        <w:t>.</w:t>
      </w:r>
      <w:r w:rsidR="008B35E8" w:rsidRPr="008B35E8">
        <w:rPr>
          <w:noProof/>
        </w:rPr>
        <w:t> </w:t>
      </w:r>
      <w:r w:rsidR="00A7348F" w:rsidRPr="008B35E8">
        <w:rPr>
          <w:noProof/>
        </w:rPr>
        <w:t>2</w:t>
      </w:r>
      <w:r w:rsidR="00A7348F" w:rsidRPr="002866E5">
        <w:rPr>
          <w:noProof/>
        </w:rPr>
        <w:t xml:space="preserve"> </w:t>
      </w:r>
      <w:r w:rsidR="00A7348F" w:rsidRPr="008B35E8">
        <w:rPr>
          <w:noProof/>
        </w:rPr>
        <w:t>ust.</w:t>
      </w:r>
      <w:r w:rsidR="008B35E8" w:rsidRPr="008B35E8">
        <w:rPr>
          <w:noProof/>
        </w:rPr>
        <w:t> </w:t>
      </w:r>
      <w:r w:rsidR="00A7348F" w:rsidRPr="008B35E8">
        <w:rPr>
          <w:noProof/>
        </w:rPr>
        <w:t>4</w:t>
      </w:r>
      <w:r w:rsidR="00A7348F" w:rsidRPr="002866E5">
        <w:rPr>
          <w:noProof/>
        </w:rPr>
        <w:t xml:space="preserve">, </w:t>
      </w:r>
      <w:r w:rsidR="00A7348F" w:rsidRPr="008B35E8">
        <w:rPr>
          <w:noProof/>
        </w:rPr>
        <w:t>art.</w:t>
      </w:r>
      <w:r w:rsidR="008B35E8" w:rsidRPr="008B35E8">
        <w:rPr>
          <w:noProof/>
        </w:rPr>
        <w:t> </w:t>
      </w:r>
      <w:r w:rsidR="00A7348F" w:rsidRPr="008B35E8">
        <w:rPr>
          <w:noProof/>
        </w:rPr>
        <w:t>6</w:t>
      </w:r>
      <w:r w:rsidR="00A7348F" w:rsidRPr="002866E5">
        <w:rPr>
          <w:noProof/>
        </w:rPr>
        <w:t xml:space="preserve"> </w:t>
      </w:r>
      <w:r w:rsidR="00A7348F" w:rsidRPr="008B35E8">
        <w:rPr>
          <w:noProof/>
        </w:rPr>
        <w:t>ust.</w:t>
      </w:r>
      <w:r w:rsidR="008B35E8" w:rsidRPr="008B35E8">
        <w:rPr>
          <w:noProof/>
        </w:rPr>
        <w:t> </w:t>
      </w:r>
      <w:r w:rsidR="00A7348F" w:rsidRPr="008B35E8">
        <w:rPr>
          <w:noProof/>
        </w:rPr>
        <w:t>2</w:t>
      </w:r>
      <w:r w:rsidR="00A7348F" w:rsidRPr="002866E5">
        <w:rPr>
          <w:noProof/>
        </w:rPr>
        <w:t>, 3</w:t>
      </w:r>
      <w:r w:rsidR="008B35E8" w:rsidRPr="002866E5">
        <w:rPr>
          <w:noProof/>
        </w:rPr>
        <w:t xml:space="preserve"> i</w:t>
      </w:r>
      <w:r w:rsidR="008B35E8">
        <w:rPr>
          <w:noProof/>
        </w:rPr>
        <w:t> </w:t>
      </w:r>
      <w:r w:rsidR="008B35E8" w:rsidRPr="002866E5">
        <w:rPr>
          <w:noProof/>
        </w:rPr>
        <w:t>5</w:t>
      </w:r>
      <w:r w:rsidR="00A7348F" w:rsidRPr="002866E5">
        <w:rPr>
          <w:noProof/>
        </w:rPr>
        <w:t xml:space="preserve">, </w:t>
      </w:r>
      <w:r w:rsidR="00A7348F" w:rsidRPr="008B35E8">
        <w:rPr>
          <w:noProof/>
        </w:rPr>
        <w:t>art.</w:t>
      </w:r>
      <w:r w:rsidR="008B35E8" w:rsidRPr="008B35E8">
        <w:rPr>
          <w:noProof/>
        </w:rPr>
        <w:t> </w:t>
      </w:r>
      <w:r w:rsidR="00A7348F" w:rsidRPr="008B35E8">
        <w:rPr>
          <w:noProof/>
        </w:rPr>
        <w:t>2</w:t>
      </w:r>
      <w:r w:rsidR="00A7348F" w:rsidRPr="002866E5">
        <w:rPr>
          <w:noProof/>
        </w:rPr>
        <w:t xml:space="preserve">0 </w:t>
      </w:r>
      <w:r w:rsidR="00A7348F" w:rsidRPr="008B35E8">
        <w:rPr>
          <w:noProof/>
        </w:rPr>
        <w:t>ust.</w:t>
      </w:r>
      <w:r w:rsidR="008B35E8" w:rsidRPr="008B35E8">
        <w:rPr>
          <w:noProof/>
        </w:rPr>
        <w:t> </w:t>
      </w:r>
      <w:r w:rsidR="00A7348F" w:rsidRPr="008B35E8">
        <w:rPr>
          <w:noProof/>
        </w:rPr>
        <w:t>5</w:t>
      </w:r>
      <w:r w:rsidR="008B35E8" w:rsidRPr="002866E5">
        <w:rPr>
          <w:noProof/>
        </w:rPr>
        <w:t xml:space="preserve"> i</w:t>
      </w:r>
      <w:r w:rsidR="008B35E8">
        <w:rPr>
          <w:noProof/>
        </w:rPr>
        <w:t> </w:t>
      </w:r>
      <w:r w:rsidR="008B35E8" w:rsidRPr="008B35E8">
        <w:rPr>
          <w:noProof/>
        </w:rPr>
        <w:t>art</w:t>
      </w:r>
      <w:r w:rsidR="00A7348F" w:rsidRPr="008B35E8">
        <w:rPr>
          <w:noProof/>
        </w:rPr>
        <w:t>.</w:t>
      </w:r>
      <w:r w:rsidR="008B35E8" w:rsidRPr="008B35E8">
        <w:rPr>
          <w:noProof/>
        </w:rPr>
        <w:t> </w:t>
      </w:r>
      <w:r w:rsidR="00A7348F" w:rsidRPr="008B35E8">
        <w:rPr>
          <w:noProof/>
        </w:rPr>
        <w:t>2</w:t>
      </w:r>
      <w:r w:rsidR="00A7348F" w:rsidRPr="002866E5">
        <w:rPr>
          <w:noProof/>
        </w:rPr>
        <w:t xml:space="preserve">3 </w:t>
      </w:r>
      <w:r w:rsidR="00A7348F" w:rsidRPr="008B35E8">
        <w:rPr>
          <w:noProof/>
        </w:rPr>
        <w:t>ust.</w:t>
      </w:r>
      <w:r w:rsidR="008B35E8" w:rsidRPr="008B35E8">
        <w:rPr>
          <w:noProof/>
        </w:rPr>
        <w:t> </w:t>
      </w:r>
      <w:r w:rsidR="00A7348F" w:rsidRPr="008B35E8">
        <w:rPr>
          <w:noProof/>
        </w:rPr>
        <w:t>5</w:t>
      </w:r>
      <w:r w:rsidR="00A7348F" w:rsidRPr="002866E5">
        <w:rPr>
          <w:noProof/>
        </w:rPr>
        <w:t>, może zostać</w:t>
      </w:r>
      <w:r w:rsidR="008B35E8" w:rsidRPr="002866E5">
        <w:rPr>
          <w:noProof/>
        </w:rPr>
        <w:t xml:space="preserve"> w</w:t>
      </w:r>
      <w:r w:rsidR="008B35E8">
        <w:rPr>
          <w:noProof/>
        </w:rPr>
        <w:t> </w:t>
      </w:r>
      <w:r w:rsidR="008B35E8" w:rsidRPr="002866E5">
        <w:rPr>
          <w:noProof/>
        </w:rPr>
        <w:t>dow</w:t>
      </w:r>
      <w:r w:rsidR="00A7348F" w:rsidRPr="002866E5">
        <w:rPr>
          <w:noProof/>
        </w:rPr>
        <w:t>olnym momencie odwołane przez Parlament Europejski lub przez Radę. Decyzja</w:t>
      </w:r>
      <w:r w:rsidR="008B35E8" w:rsidRPr="002866E5">
        <w:rPr>
          <w:noProof/>
        </w:rPr>
        <w:t xml:space="preserve"> o</w:t>
      </w:r>
      <w:r w:rsidR="008B35E8">
        <w:rPr>
          <w:noProof/>
        </w:rPr>
        <w:t> </w:t>
      </w:r>
      <w:r w:rsidR="008B35E8" w:rsidRPr="002866E5">
        <w:rPr>
          <w:noProof/>
        </w:rPr>
        <w:t>odw</w:t>
      </w:r>
      <w:r w:rsidR="00A7348F" w:rsidRPr="002866E5">
        <w:rPr>
          <w:noProof/>
        </w:rPr>
        <w:t>ołaniu kończy przekazanie określonych</w:t>
      </w:r>
      <w:r w:rsidR="008B35E8" w:rsidRPr="002866E5">
        <w:rPr>
          <w:noProof/>
        </w:rPr>
        <w:t xml:space="preserve"> w</w:t>
      </w:r>
      <w:r w:rsidR="008B35E8">
        <w:rPr>
          <w:noProof/>
        </w:rPr>
        <w:t> </w:t>
      </w:r>
      <w:r w:rsidR="008B35E8" w:rsidRPr="002866E5">
        <w:rPr>
          <w:noProof/>
        </w:rPr>
        <w:t>nie</w:t>
      </w:r>
      <w:r w:rsidR="00A7348F" w:rsidRPr="002866E5">
        <w:rPr>
          <w:noProof/>
        </w:rPr>
        <w:t>j uprawnień. Decyzja</w:t>
      </w:r>
      <w:r w:rsidR="008B35E8" w:rsidRPr="002866E5">
        <w:rPr>
          <w:noProof/>
        </w:rPr>
        <w:t xml:space="preserve"> o</w:t>
      </w:r>
      <w:r w:rsidR="008B35E8">
        <w:rPr>
          <w:noProof/>
        </w:rPr>
        <w:t> </w:t>
      </w:r>
      <w:r w:rsidR="008B35E8" w:rsidRPr="002866E5">
        <w:rPr>
          <w:noProof/>
        </w:rPr>
        <w:t>odw</w:t>
      </w:r>
      <w:r w:rsidR="00A7348F" w:rsidRPr="002866E5">
        <w:rPr>
          <w:noProof/>
        </w:rPr>
        <w:t>ołaniu staje się skuteczna następnego dnia po jej opublikowaniu</w:t>
      </w:r>
      <w:r w:rsidR="008B35E8" w:rsidRPr="002866E5">
        <w:rPr>
          <w:noProof/>
        </w:rPr>
        <w:t xml:space="preserve"> w</w:t>
      </w:r>
      <w:r w:rsidR="008B35E8">
        <w:rPr>
          <w:noProof/>
        </w:rPr>
        <w:t> </w:t>
      </w:r>
      <w:r w:rsidR="008B35E8" w:rsidRPr="002866E5">
        <w:rPr>
          <w:i/>
          <w:noProof/>
        </w:rPr>
        <w:t>Dzi</w:t>
      </w:r>
      <w:r w:rsidR="00A7348F" w:rsidRPr="002866E5">
        <w:rPr>
          <w:i/>
          <w:noProof/>
        </w:rPr>
        <w:t>enniku Urzędowym Unii Europejskiej</w:t>
      </w:r>
      <w:r w:rsidR="00A7348F" w:rsidRPr="002866E5">
        <w:rPr>
          <w:noProof/>
        </w:rPr>
        <w:t xml:space="preserve"> lub</w:t>
      </w:r>
      <w:r w:rsidR="008B35E8" w:rsidRPr="002866E5">
        <w:rPr>
          <w:noProof/>
        </w:rPr>
        <w:t xml:space="preserve"> w</w:t>
      </w:r>
      <w:r w:rsidR="008B35E8">
        <w:rPr>
          <w:noProof/>
        </w:rPr>
        <w:t> </w:t>
      </w:r>
      <w:r w:rsidR="008B35E8" w:rsidRPr="002866E5">
        <w:rPr>
          <w:noProof/>
        </w:rPr>
        <w:t>póź</w:t>
      </w:r>
      <w:r w:rsidR="00A7348F" w:rsidRPr="002866E5">
        <w:rPr>
          <w:noProof/>
        </w:rPr>
        <w:t>niejszym terminie określonym</w:t>
      </w:r>
      <w:r w:rsidR="008B35E8" w:rsidRPr="002866E5">
        <w:rPr>
          <w:noProof/>
        </w:rPr>
        <w:t xml:space="preserve"> w</w:t>
      </w:r>
      <w:r w:rsidR="008B35E8">
        <w:rPr>
          <w:noProof/>
        </w:rPr>
        <w:t> </w:t>
      </w:r>
      <w:r w:rsidR="008B35E8" w:rsidRPr="002866E5">
        <w:rPr>
          <w:noProof/>
        </w:rPr>
        <w:t>tej</w:t>
      </w:r>
      <w:r w:rsidR="00A7348F" w:rsidRPr="002866E5">
        <w:rPr>
          <w:noProof/>
        </w:rPr>
        <w:t xml:space="preserve"> decyzji. Nie wpływa ona na ważność już obowiązujących aktów delegowanych.</w:t>
      </w:r>
    </w:p>
    <w:p w14:paraId="67ED88C3" w14:textId="4C2FF593" w:rsidR="00A7348F" w:rsidRPr="002866E5" w:rsidRDefault="00B4087C" w:rsidP="00B4087C">
      <w:pPr>
        <w:pStyle w:val="ManualNumPar1"/>
        <w:rPr>
          <w:noProof/>
        </w:rPr>
      </w:pPr>
      <w:r w:rsidRPr="00B4087C">
        <w:t>4.</w:t>
      </w:r>
      <w:r w:rsidRPr="00B4087C">
        <w:tab/>
      </w:r>
      <w:r w:rsidR="00A7348F" w:rsidRPr="002866E5">
        <w:rPr>
          <w:noProof/>
        </w:rPr>
        <w:t>Przed przyjęciem aktu delegowanego Komisja konsultuje się</w:t>
      </w:r>
      <w:r w:rsidR="008B35E8" w:rsidRPr="002866E5">
        <w:rPr>
          <w:noProof/>
        </w:rPr>
        <w:t xml:space="preserve"> z</w:t>
      </w:r>
      <w:r w:rsidR="008B35E8">
        <w:rPr>
          <w:noProof/>
        </w:rPr>
        <w:t> </w:t>
      </w:r>
      <w:r w:rsidR="008B35E8" w:rsidRPr="002866E5">
        <w:rPr>
          <w:noProof/>
        </w:rPr>
        <w:t>eks</w:t>
      </w:r>
      <w:r w:rsidR="00A7348F" w:rsidRPr="002866E5">
        <w:rPr>
          <w:noProof/>
        </w:rPr>
        <w:t>pertami wyznaczonymi przez każde państwo członkowskie zgodnie</w:t>
      </w:r>
      <w:r w:rsidR="008B35E8" w:rsidRPr="002866E5">
        <w:rPr>
          <w:noProof/>
        </w:rPr>
        <w:t xml:space="preserve"> z</w:t>
      </w:r>
      <w:r w:rsidR="008B35E8">
        <w:rPr>
          <w:noProof/>
        </w:rPr>
        <w:t> </w:t>
      </w:r>
      <w:r w:rsidR="008B35E8" w:rsidRPr="002866E5">
        <w:rPr>
          <w:noProof/>
        </w:rPr>
        <w:t>zas</w:t>
      </w:r>
      <w:r w:rsidR="00A7348F" w:rsidRPr="002866E5">
        <w:rPr>
          <w:noProof/>
        </w:rPr>
        <w:t>adami określonymi</w:t>
      </w:r>
      <w:r w:rsidR="008B35E8" w:rsidRPr="002866E5">
        <w:rPr>
          <w:noProof/>
        </w:rPr>
        <w:t xml:space="preserve"> w</w:t>
      </w:r>
      <w:r w:rsidR="008B35E8">
        <w:rPr>
          <w:noProof/>
        </w:rPr>
        <w:t> </w:t>
      </w:r>
      <w:r w:rsidR="008B35E8" w:rsidRPr="002866E5">
        <w:rPr>
          <w:noProof/>
        </w:rPr>
        <w:t>Por</w:t>
      </w:r>
      <w:r w:rsidR="00A7348F" w:rsidRPr="002866E5">
        <w:rPr>
          <w:noProof/>
        </w:rPr>
        <w:t>ozumieniu międzyinstytucjonalnym</w:t>
      </w:r>
      <w:r w:rsidR="008B35E8" w:rsidRPr="002866E5">
        <w:rPr>
          <w:noProof/>
        </w:rPr>
        <w:t xml:space="preserve"> w</w:t>
      </w:r>
      <w:r w:rsidR="008B35E8">
        <w:rPr>
          <w:noProof/>
        </w:rPr>
        <w:t> </w:t>
      </w:r>
      <w:r w:rsidR="008B35E8" w:rsidRPr="002866E5">
        <w:rPr>
          <w:noProof/>
        </w:rPr>
        <w:t>spr</w:t>
      </w:r>
      <w:r w:rsidR="00A7348F" w:rsidRPr="002866E5">
        <w:rPr>
          <w:noProof/>
        </w:rPr>
        <w:t>awie lepszego stanowienia prawa</w:t>
      </w:r>
      <w:r w:rsidR="008B35E8" w:rsidRPr="002866E5">
        <w:rPr>
          <w:noProof/>
        </w:rPr>
        <w:t xml:space="preserve"> z</w:t>
      </w:r>
      <w:r w:rsidR="008B35E8">
        <w:rPr>
          <w:noProof/>
        </w:rPr>
        <w:t> </w:t>
      </w:r>
      <w:r w:rsidR="008B35E8" w:rsidRPr="002866E5">
        <w:rPr>
          <w:noProof/>
        </w:rPr>
        <w:t>dni</w:t>
      </w:r>
      <w:r w:rsidR="00A7348F" w:rsidRPr="002866E5">
        <w:rPr>
          <w:noProof/>
        </w:rPr>
        <w:t>a 13 kwietnia 20</w:t>
      </w:r>
      <w:r w:rsidR="00A7348F" w:rsidRPr="008B35E8">
        <w:rPr>
          <w:noProof/>
        </w:rPr>
        <w:t>16</w:t>
      </w:r>
      <w:r w:rsidR="008B35E8" w:rsidRPr="008B35E8">
        <w:rPr>
          <w:noProof/>
        </w:rPr>
        <w:t> </w:t>
      </w:r>
      <w:r w:rsidR="00A7348F" w:rsidRPr="008B35E8">
        <w:rPr>
          <w:noProof/>
        </w:rPr>
        <w:t>r.</w:t>
      </w:r>
    </w:p>
    <w:p w14:paraId="67ED88C4" w14:textId="066E2FE4" w:rsidR="00A7348F" w:rsidRPr="002866E5" w:rsidRDefault="00B4087C" w:rsidP="00B4087C">
      <w:pPr>
        <w:pStyle w:val="ManualNumPar1"/>
        <w:rPr>
          <w:noProof/>
        </w:rPr>
      </w:pPr>
      <w:r w:rsidRPr="00B4087C">
        <w:t>5.</w:t>
      </w:r>
      <w:r w:rsidRPr="00B4087C">
        <w:tab/>
      </w:r>
      <w:r w:rsidR="00A7348F" w:rsidRPr="002866E5">
        <w:rPr>
          <w:noProof/>
        </w:rPr>
        <w:t>Niezwłocznie po przyjęciu aktu delegowanego Komisja przekazuje go równocześnie Parlamentowi Europejskiemu</w:t>
      </w:r>
      <w:r w:rsidR="008B35E8" w:rsidRPr="002866E5">
        <w:rPr>
          <w:noProof/>
        </w:rPr>
        <w:t xml:space="preserve"> i</w:t>
      </w:r>
      <w:r w:rsidR="008B35E8">
        <w:rPr>
          <w:noProof/>
        </w:rPr>
        <w:t> </w:t>
      </w:r>
      <w:r w:rsidR="008B35E8" w:rsidRPr="002866E5">
        <w:rPr>
          <w:noProof/>
        </w:rPr>
        <w:t>Rad</w:t>
      </w:r>
      <w:r w:rsidR="00A7348F" w:rsidRPr="002866E5">
        <w:rPr>
          <w:noProof/>
        </w:rPr>
        <w:t>zie.</w:t>
      </w:r>
    </w:p>
    <w:p w14:paraId="67ED88C5" w14:textId="1D2DF073" w:rsidR="00A7348F" w:rsidRPr="002866E5" w:rsidRDefault="00B4087C" w:rsidP="00B4087C">
      <w:pPr>
        <w:pStyle w:val="ManualNumPar1"/>
        <w:rPr>
          <w:noProof/>
        </w:rPr>
      </w:pPr>
      <w:r w:rsidRPr="00B4087C">
        <w:t>6.</w:t>
      </w:r>
      <w:r w:rsidRPr="00B4087C">
        <w:tab/>
      </w:r>
      <w:r w:rsidR="00A7348F" w:rsidRPr="002866E5">
        <w:rPr>
          <w:noProof/>
        </w:rPr>
        <w:t xml:space="preserve">Akt delegowany przyjęty na podstawie </w:t>
      </w:r>
      <w:r w:rsidR="00A7348F" w:rsidRPr="008B35E8">
        <w:rPr>
          <w:noProof/>
        </w:rPr>
        <w:t>art.</w:t>
      </w:r>
      <w:r w:rsidR="008B35E8" w:rsidRPr="008B35E8">
        <w:rPr>
          <w:noProof/>
        </w:rPr>
        <w:t> </w:t>
      </w:r>
      <w:r w:rsidR="00A7348F" w:rsidRPr="008B35E8">
        <w:rPr>
          <w:noProof/>
        </w:rPr>
        <w:t>2</w:t>
      </w:r>
      <w:r w:rsidR="00A7348F" w:rsidRPr="002866E5">
        <w:rPr>
          <w:noProof/>
        </w:rPr>
        <w:t xml:space="preserve"> </w:t>
      </w:r>
      <w:r w:rsidR="00A7348F" w:rsidRPr="008B35E8">
        <w:rPr>
          <w:noProof/>
        </w:rPr>
        <w:t>ust.</w:t>
      </w:r>
      <w:r w:rsidR="008B35E8" w:rsidRPr="008B35E8">
        <w:rPr>
          <w:noProof/>
        </w:rPr>
        <w:t> </w:t>
      </w:r>
      <w:r w:rsidR="00A7348F" w:rsidRPr="008B35E8">
        <w:rPr>
          <w:noProof/>
        </w:rPr>
        <w:t>4</w:t>
      </w:r>
      <w:r w:rsidR="00A7348F" w:rsidRPr="002866E5">
        <w:rPr>
          <w:noProof/>
        </w:rPr>
        <w:t xml:space="preserve">, </w:t>
      </w:r>
      <w:r w:rsidR="00A7348F" w:rsidRPr="008B35E8">
        <w:rPr>
          <w:noProof/>
        </w:rPr>
        <w:t>art.</w:t>
      </w:r>
      <w:r w:rsidR="008B35E8" w:rsidRPr="008B35E8">
        <w:rPr>
          <w:noProof/>
        </w:rPr>
        <w:t> </w:t>
      </w:r>
      <w:r w:rsidR="00A7348F" w:rsidRPr="008B35E8">
        <w:rPr>
          <w:noProof/>
        </w:rPr>
        <w:t>6</w:t>
      </w:r>
      <w:r w:rsidR="00A7348F" w:rsidRPr="002866E5">
        <w:rPr>
          <w:noProof/>
        </w:rPr>
        <w:t xml:space="preserve"> </w:t>
      </w:r>
      <w:r w:rsidR="00A7348F" w:rsidRPr="008B35E8">
        <w:rPr>
          <w:noProof/>
        </w:rPr>
        <w:t>ust.</w:t>
      </w:r>
      <w:r w:rsidR="008B35E8" w:rsidRPr="008B35E8">
        <w:rPr>
          <w:noProof/>
        </w:rPr>
        <w:t> </w:t>
      </w:r>
      <w:r w:rsidR="00A7348F" w:rsidRPr="008B35E8">
        <w:rPr>
          <w:noProof/>
        </w:rPr>
        <w:t>2</w:t>
      </w:r>
      <w:r w:rsidR="00A7348F" w:rsidRPr="002866E5">
        <w:rPr>
          <w:noProof/>
        </w:rPr>
        <w:t>, 3</w:t>
      </w:r>
      <w:r w:rsidR="008B35E8" w:rsidRPr="002866E5">
        <w:rPr>
          <w:noProof/>
        </w:rPr>
        <w:t xml:space="preserve"> i</w:t>
      </w:r>
      <w:r w:rsidR="008B35E8">
        <w:rPr>
          <w:noProof/>
        </w:rPr>
        <w:t> </w:t>
      </w:r>
      <w:r w:rsidR="008B35E8" w:rsidRPr="002866E5">
        <w:rPr>
          <w:noProof/>
        </w:rPr>
        <w:t>5</w:t>
      </w:r>
      <w:r w:rsidR="00A7348F" w:rsidRPr="002866E5">
        <w:rPr>
          <w:noProof/>
        </w:rPr>
        <w:t xml:space="preserve">, </w:t>
      </w:r>
      <w:r w:rsidR="00A7348F" w:rsidRPr="008B35E8">
        <w:rPr>
          <w:noProof/>
        </w:rPr>
        <w:t>art.</w:t>
      </w:r>
      <w:r w:rsidR="008B35E8" w:rsidRPr="008B35E8">
        <w:rPr>
          <w:noProof/>
        </w:rPr>
        <w:t> </w:t>
      </w:r>
      <w:r w:rsidR="00A7348F" w:rsidRPr="008B35E8">
        <w:rPr>
          <w:noProof/>
        </w:rPr>
        <w:t>2</w:t>
      </w:r>
      <w:r w:rsidR="00A7348F" w:rsidRPr="002866E5">
        <w:rPr>
          <w:noProof/>
        </w:rPr>
        <w:t xml:space="preserve">0 </w:t>
      </w:r>
      <w:r w:rsidR="00A7348F" w:rsidRPr="008B35E8">
        <w:rPr>
          <w:noProof/>
        </w:rPr>
        <w:t>ust.</w:t>
      </w:r>
      <w:r w:rsidR="008B35E8" w:rsidRPr="008B35E8">
        <w:rPr>
          <w:noProof/>
        </w:rPr>
        <w:t> </w:t>
      </w:r>
      <w:r w:rsidR="00A7348F" w:rsidRPr="008B35E8">
        <w:rPr>
          <w:noProof/>
        </w:rPr>
        <w:t>5</w:t>
      </w:r>
      <w:r w:rsidR="008B35E8" w:rsidRPr="002866E5">
        <w:rPr>
          <w:noProof/>
        </w:rPr>
        <w:t xml:space="preserve"> i</w:t>
      </w:r>
      <w:r w:rsidR="008B35E8">
        <w:rPr>
          <w:noProof/>
        </w:rPr>
        <w:t> </w:t>
      </w:r>
      <w:r w:rsidR="008B35E8" w:rsidRPr="008B35E8">
        <w:rPr>
          <w:noProof/>
        </w:rPr>
        <w:t>art</w:t>
      </w:r>
      <w:r w:rsidR="00A7348F" w:rsidRPr="008B35E8">
        <w:rPr>
          <w:noProof/>
        </w:rPr>
        <w:t>.</w:t>
      </w:r>
      <w:r w:rsidR="008B35E8" w:rsidRPr="008B35E8">
        <w:rPr>
          <w:noProof/>
        </w:rPr>
        <w:t> </w:t>
      </w:r>
      <w:r w:rsidR="00A7348F" w:rsidRPr="008B35E8">
        <w:rPr>
          <w:noProof/>
        </w:rPr>
        <w:t>2</w:t>
      </w:r>
      <w:r w:rsidR="00A7348F" w:rsidRPr="002866E5">
        <w:rPr>
          <w:noProof/>
        </w:rPr>
        <w:t xml:space="preserve">3 </w:t>
      </w:r>
      <w:r w:rsidR="00A7348F" w:rsidRPr="008B35E8">
        <w:rPr>
          <w:noProof/>
        </w:rPr>
        <w:t>ust.</w:t>
      </w:r>
      <w:r w:rsidR="008B35E8" w:rsidRPr="008B35E8">
        <w:rPr>
          <w:noProof/>
        </w:rPr>
        <w:t> </w:t>
      </w:r>
      <w:r w:rsidR="00A7348F" w:rsidRPr="008B35E8">
        <w:rPr>
          <w:noProof/>
        </w:rPr>
        <w:t>5</w:t>
      </w:r>
      <w:r w:rsidR="00A7348F" w:rsidRPr="002866E5">
        <w:rPr>
          <w:noProof/>
        </w:rPr>
        <w:t xml:space="preserve"> wchodzi</w:t>
      </w:r>
      <w:r w:rsidR="008B35E8" w:rsidRPr="002866E5">
        <w:rPr>
          <w:noProof/>
        </w:rPr>
        <w:t xml:space="preserve"> w</w:t>
      </w:r>
      <w:r w:rsidR="008B35E8">
        <w:rPr>
          <w:noProof/>
        </w:rPr>
        <w:t> </w:t>
      </w:r>
      <w:r w:rsidR="008B35E8" w:rsidRPr="002866E5">
        <w:rPr>
          <w:noProof/>
        </w:rPr>
        <w:t>życ</w:t>
      </w:r>
      <w:r w:rsidR="00A7348F" w:rsidRPr="002866E5">
        <w:rPr>
          <w:noProof/>
        </w:rPr>
        <w:t>ie tylko wówczas, gdy ani Parlament Europejski, ani Rada nie wyraziły sprzeciwu</w:t>
      </w:r>
      <w:r w:rsidR="008B35E8" w:rsidRPr="002866E5">
        <w:rPr>
          <w:noProof/>
        </w:rPr>
        <w:t xml:space="preserve"> w</w:t>
      </w:r>
      <w:r w:rsidR="008B35E8">
        <w:rPr>
          <w:noProof/>
        </w:rPr>
        <w:t> </w:t>
      </w:r>
      <w:r w:rsidR="008B35E8" w:rsidRPr="002866E5">
        <w:rPr>
          <w:noProof/>
        </w:rPr>
        <w:t>ter</w:t>
      </w:r>
      <w:r w:rsidR="00A7348F" w:rsidRPr="002866E5">
        <w:rPr>
          <w:noProof/>
        </w:rPr>
        <w:t xml:space="preserve">minie dwóch miesięcy od przekazania tego aktu </w:t>
      </w:r>
      <w:r w:rsidR="00A7348F" w:rsidRPr="002866E5">
        <w:rPr>
          <w:noProof/>
        </w:rPr>
        <w:lastRenderedPageBreak/>
        <w:t>Parlamentowi Europejskiemu</w:t>
      </w:r>
      <w:r w:rsidR="008B35E8" w:rsidRPr="002866E5">
        <w:rPr>
          <w:noProof/>
        </w:rPr>
        <w:t xml:space="preserve"> i</w:t>
      </w:r>
      <w:r w:rsidR="008B35E8">
        <w:rPr>
          <w:noProof/>
        </w:rPr>
        <w:t> </w:t>
      </w:r>
      <w:r w:rsidR="008B35E8" w:rsidRPr="002866E5">
        <w:rPr>
          <w:noProof/>
        </w:rPr>
        <w:t>Rad</w:t>
      </w:r>
      <w:r w:rsidR="00A7348F" w:rsidRPr="002866E5">
        <w:rPr>
          <w:noProof/>
        </w:rPr>
        <w:t>zie lub gdy, przed upływem tego terminu, zarówno Parlament Europejski, jak</w:t>
      </w:r>
      <w:r w:rsidR="008B35E8" w:rsidRPr="002866E5">
        <w:rPr>
          <w:noProof/>
        </w:rPr>
        <w:t xml:space="preserve"> i</w:t>
      </w:r>
      <w:r w:rsidR="008B35E8">
        <w:rPr>
          <w:noProof/>
        </w:rPr>
        <w:t> </w:t>
      </w:r>
      <w:r w:rsidR="008B35E8" w:rsidRPr="002866E5">
        <w:rPr>
          <w:noProof/>
        </w:rPr>
        <w:t>Rad</w:t>
      </w:r>
      <w:r w:rsidR="00A7348F" w:rsidRPr="002866E5">
        <w:rPr>
          <w:noProof/>
        </w:rPr>
        <w:t>a poinformowały Komisję, że nie wniosą sprzeciwu. Termin ten przedłuża się</w:t>
      </w:r>
      <w:r w:rsidR="008B35E8" w:rsidRPr="002866E5">
        <w:rPr>
          <w:noProof/>
        </w:rPr>
        <w:t xml:space="preserve"> o</w:t>
      </w:r>
      <w:r w:rsidR="008B35E8">
        <w:rPr>
          <w:noProof/>
        </w:rPr>
        <w:t> </w:t>
      </w:r>
      <w:r w:rsidR="008B35E8" w:rsidRPr="002866E5">
        <w:rPr>
          <w:noProof/>
        </w:rPr>
        <w:t>dwa</w:t>
      </w:r>
      <w:r w:rsidR="00A7348F" w:rsidRPr="002866E5">
        <w:rPr>
          <w:noProof/>
        </w:rPr>
        <w:t xml:space="preserve"> miesiące</w:t>
      </w:r>
      <w:r w:rsidR="008B35E8" w:rsidRPr="002866E5">
        <w:rPr>
          <w:noProof/>
        </w:rPr>
        <w:t xml:space="preserve"> z</w:t>
      </w:r>
      <w:r w:rsidR="008B35E8">
        <w:rPr>
          <w:noProof/>
        </w:rPr>
        <w:t> </w:t>
      </w:r>
      <w:r w:rsidR="008B35E8" w:rsidRPr="002866E5">
        <w:rPr>
          <w:noProof/>
        </w:rPr>
        <w:t>ini</w:t>
      </w:r>
      <w:r w:rsidR="00A7348F" w:rsidRPr="002866E5">
        <w:rPr>
          <w:noProof/>
        </w:rPr>
        <w:t>cjatywy Parlamentu Europejskiego lub Rady.</w:t>
      </w:r>
    </w:p>
    <w:p w14:paraId="67ED88C6" w14:textId="18CED592" w:rsidR="006A6BA3" w:rsidRPr="002866E5" w:rsidRDefault="00CB3184" w:rsidP="0027065F">
      <w:pPr>
        <w:pStyle w:val="Titrearticle0"/>
        <w:rPr>
          <w:noProof/>
        </w:rPr>
      </w:pPr>
      <w:r w:rsidRPr="002866E5">
        <w:rPr>
          <w:noProof/>
        </w:rPr>
        <w:t>Artykuł 51</w:t>
      </w:r>
    </w:p>
    <w:p w14:paraId="67ED88C7" w14:textId="77777777" w:rsidR="00CB3184" w:rsidRPr="002866E5" w:rsidRDefault="006A6BA3" w:rsidP="00084E38">
      <w:pPr>
        <w:jc w:val="center"/>
        <w:rPr>
          <w:i/>
          <w:noProof/>
        </w:rPr>
      </w:pPr>
      <w:r w:rsidRPr="002866E5">
        <w:rPr>
          <w:i/>
          <w:noProof/>
        </w:rPr>
        <w:t>Procedura komitetowa</w:t>
      </w:r>
    </w:p>
    <w:p w14:paraId="67ED88C8" w14:textId="30A3F655" w:rsidR="00CB3184" w:rsidRPr="002866E5" w:rsidRDefault="00B4087C" w:rsidP="00B4087C">
      <w:pPr>
        <w:pStyle w:val="ManualNumPar1"/>
        <w:rPr>
          <w:noProof/>
        </w:rPr>
      </w:pPr>
      <w:r w:rsidRPr="00B4087C">
        <w:t>1.</w:t>
      </w:r>
      <w:r w:rsidRPr="00B4087C">
        <w:tab/>
      </w:r>
      <w:r w:rsidR="00CB3184" w:rsidRPr="002866E5">
        <w:rPr>
          <w:noProof/>
        </w:rPr>
        <w:t>Komisję wspomaga komitet. Komitet ten jest komitetem</w:t>
      </w:r>
      <w:r w:rsidR="008B35E8" w:rsidRPr="002866E5">
        <w:rPr>
          <w:noProof/>
        </w:rPr>
        <w:t xml:space="preserve"> w</w:t>
      </w:r>
      <w:r w:rsidR="008B35E8">
        <w:rPr>
          <w:noProof/>
        </w:rPr>
        <w:t> </w:t>
      </w:r>
      <w:r w:rsidR="008B35E8" w:rsidRPr="002866E5">
        <w:rPr>
          <w:noProof/>
        </w:rPr>
        <w:t>roz</w:t>
      </w:r>
      <w:r w:rsidR="00CB3184" w:rsidRPr="002866E5">
        <w:rPr>
          <w:noProof/>
        </w:rPr>
        <w:t>umieniu rozporządzenia (UE) nr 182/2011.</w:t>
      </w:r>
    </w:p>
    <w:p w14:paraId="67ED88C9" w14:textId="2679FB21" w:rsidR="00CB3184" w:rsidRPr="002866E5" w:rsidRDefault="00B4087C" w:rsidP="00B4087C">
      <w:pPr>
        <w:pStyle w:val="ManualNumPar1"/>
        <w:rPr>
          <w:noProof/>
        </w:rPr>
      </w:pPr>
      <w:r w:rsidRPr="00B4087C">
        <w:t>2.</w:t>
      </w:r>
      <w:r w:rsidRPr="00B4087C">
        <w:tab/>
      </w:r>
      <w:r w:rsidR="00CB3184" w:rsidRPr="002866E5">
        <w:rPr>
          <w:noProof/>
        </w:rPr>
        <w:t xml:space="preserve">W przypadku odesłania do niniejszego ustępu stosuje się </w:t>
      </w:r>
      <w:r w:rsidR="00CB3184" w:rsidRPr="008B35E8">
        <w:rPr>
          <w:noProof/>
        </w:rPr>
        <w:t>art.</w:t>
      </w:r>
      <w:r w:rsidR="008B35E8" w:rsidRPr="008B35E8">
        <w:rPr>
          <w:noProof/>
        </w:rPr>
        <w:t> </w:t>
      </w:r>
      <w:r w:rsidR="00CB3184" w:rsidRPr="008B35E8">
        <w:rPr>
          <w:noProof/>
        </w:rPr>
        <w:t>5</w:t>
      </w:r>
      <w:r w:rsidR="00CB3184" w:rsidRPr="002866E5">
        <w:rPr>
          <w:noProof/>
        </w:rPr>
        <w:t xml:space="preserve"> rozporządzenia (UE) nr 182/2011.</w:t>
      </w:r>
    </w:p>
    <w:p w14:paraId="67ED88CA" w14:textId="7D14EAA0" w:rsidR="00CB3184" w:rsidRPr="002866E5" w:rsidRDefault="00B4087C" w:rsidP="00B4087C">
      <w:pPr>
        <w:pStyle w:val="ManualNumPar1"/>
        <w:rPr>
          <w:noProof/>
        </w:rPr>
      </w:pPr>
      <w:r w:rsidRPr="00B4087C">
        <w:t>3.</w:t>
      </w:r>
      <w:r w:rsidRPr="00B4087C">
        <w:tab/>
      </w:r>
      <w:r w:rsidR="00CB3184" w:rsidRPr="002866E5">
        <w:rPr>
          <w:noProof/>
        </w:rPr>
        <w:t>W przypadku gdy opinia komitetu ma zostać uzyskana</w:t>
      </w:r>
      <w:r w:rsidR="008B35E8" w:rsidRPr="002866E5">
        <w:rPr>
          <w:noProof/>
        </w:rPr>
        <w:t xml:space="preserve"> w</w:t>
      </w:r>
      <w:r w:rsidR="008B35E8">
        <w:rPr>
          <w:noProof/>
        </w:rPr>
        <w:t> </w:t>
      </w:r>
      <w:r w:rsidR="008B35E8" w:rsidRPr="002866E5">
        <w:rPr>
          <w:noProof/>
        </w:rPr>
        <w:t>dro</w:t>
      </w:r>
      <w:r w:rsidR="00CB3184" w:rsidRPr="002866E5">
        <w:rPr>
          <w:noProof/>
        </w:rPr>
        <w:t>dze procedury pisemnej, procedura ta kończy się bez osiągnięcia rezultatu, gdy – przed upływem terminu na wydanie opinii – zdecyduje</w:t>
      </w:r>
      <w:r w:rsidR="008B35E8" w:rsidRPr="002866E5">
        <w:rPr>
          <w:noProof/>
        </w:rPr>
        <w:t xml:space="preserve"> o</w:t>
      </w:r>
      <w:r w:rsidR="008B35E8">
        <w:rPr>
          <w:noProof/>
        </w:rPr>
        <w:t> </w:t>
      </w:r>
      <w:r w:rsidR="008B35E8" w:rsidRPr="002866E5">
        <w:rPr>
          <w:noProof/>
        </w:rPr>
        <w:t>tym</w:t>
      </w:r>
      <w:r w:rsidR="00CB3184" w:rsidRPr="002866E5">
        <w:rPr>
          <w:noProof/>
        </w:rPr>
        <w:t xml:space="preserve"> przewodniczący komitetu lub wniesie o to członek komitetu.</w:t>
      </w:r>
    </w:p>
    <w:p w14:paraId="67ED88CB" w14:textId="77777777" w:rsidR="00D822DE" w:rsidRPr="002866E5" w:rsidRDefault="00284DD6" w:rsidP="0027065F">
      <w:pPr>
        <w:pStyle w:val="Titrearticle0"/>
        <w:rPr>
          <w:b/>
          <w:noProof/>
        </w:rPr>
      </w:pPr>
      <w:r w:rsidRPr="002866E5">
        <w:rPr>
          <w:b/>
          <w:i w:val="0"/>
          <w:noProof/>
        </w:rPr>
        <w:t>ROZDZIAŁ VII</w:t>
      </w:r>
    </w:p>
    <w:p w14:paraId="67ED88CC" w14:textId="77777777" w:rsidR="00D822DE" w:rsidRPr="002866E5" w:rsidRDefault="00D822DE" w:rsidP="0027065F">
      <w:pPr>
        <w:pStyle w:val="Titrearticle0"/>
        <w:rPr>
          <w:b/>
          <w:noProof/>
        </w:rPr>
      </w:pPr>
      <w:r w:rsidRPr="002866E5">
        <w:rPr>
          <w:b/>
          <w:i w:val="0"/>
          <w:noProof/>
        </w:rPr>
        <w:t>POUFNOŚĆ I KARY</w:t>
      </w:r>
    </w:p>
    <w:p w14:paraId="67ED88CD" w14:textId="51E4022D" w:rsidR="008D2507" w:rsidRPr="002866E5" w:rsidRDefault="008D2507" w:rsidP="0027065F">
      <w:pPr>
        <w:pStyle w:val="Titrearticle0"/>
        <w:rPr>
          <w:noProof/>
        </w:rPr>
      </w:pPr>
      <w:r w:rsidRPr="002866E5">
        <w:rPr>
          <w:noProof/>
        </w:rPr>
        <w:t>Artykuł 52</w:t>
      </w:r>
    </w:p>
    <w:p w14:paraId="67ED88CE" w14:textId="77777777" w:rsidR="008D2507" w:rsidRPr="002866E5" w:rsidRDefault="008D2507" w:rsidP="00084E38">
      <w:pPr>
        <w:jc w:val="center"/>
        <w:rPr>
          <w:i/>
          <w:noProof/>
        </w:rPr>
      </w:pPr>
      <w:r w:rsidRPr="002866E5">
        <w:rPr>
          <w:i/>
          <w:noProof/>
        </w:rPr>
        <w:t>Poufność</w:t>
      </w:r>
    </w:p>
    <w:p w14:paraId="67ED88CF" w14:textId="4DFCFA23" w:rsidR="008D2507" w:rsidRPr="002866E5" w:rsidRDefault="00B4087C" w:rsidP="00B4087C">
      <w:pPr>
        <w:pStyle w:val="ManualNumPar1"/>
        <w:rPr>
          <w:noProof/>
        </w:rPr>
      </w:pPr>
      <w:r w:rsidRPr="00B4087C">
        <w:t>1.</w:t>
      </w:r>
      <w:r w:rsidRPr="00B4087C">
        <w:tab/>
      </w:r>
      <w:r w:rsidR="008D2507" w:rsidRPr="002866E5">
        <w:rPr>
          <w:noProof/>
        </w:rPr>
        <w:t>Wszystkie strony zaangażowane</w:t>
      </w:r>
      <w:r w:rsidR="008B35E8" w:rsidRPr="002866E5">
        <w:rPr>
          <w:noProof/>
        </w:rPr>
        <w:t xml:space="preserve"> w</w:t>
      </w:r>
      <w:r w:rsidR="008B35E8">
        <w:rPr>
          <w:noProof/>
        </w:rPr>
        <w:t> </w:t>
      </w:r>
      <w:r w:rsidR="008B35E8" w:rsidRPr="002866E5">
        <w:rPr>
          <w:noProof/>
        </w:rPr>
        <w:t>sto</w:t>
      </w:r>
      <w:r w:rsidR="008D2507" w:rsidRPr="002866E5">
        <w:rPr>
          <w:noProof/>
        </w:rPr>
        <w:t>sowanie niniejszego rozporządzenia przestrzegają zasady poufności informacji</w:t>
      </w:r>
      <w:r w:rsidR="008B35E8" w:rsidRPr="002866E5">
        <w:rPr>
          <w:noProof/>
        </w:rPr>
        <w:t xml:space="preserve"> i</w:t>
      </w:r>
      <w:r w:rsidR="008B35E8">
        <w:rPr>
          <w:noProof/>
        </w:rPr>
        <w:t> </w:t>
      </w:r>
      <w:r w:rsidR="008B35E8" w:rsidRPr="002866E5">
        <w:rPr>
          <w:noProof/>
        </w:rPr>
        <w:t>dan</w:t>
      </w:r>
      <w:r w:rsidR="008D2507" w:rsidRPr="002866E5">
        <w:rPr>
          <w:noProof/>
        </w:rPr>
        <w:t>ych uzyskanych podczas wykonywania swoich zadań</w:t>
      </w:r>
      <w:r w:rsidR="008B35E8" w:rsidRPr="002866E5">
        <w:rPr>
          <w:noProof/>
        </w:rPr>
        <w:t xml:space="preserve"> i</w:t>
      </w:r>
      <w:r w:rsidR="008B35E8">
        <w:rPr>
          <w:noProof/>
        </w:rPr>
        <w:t> </w:t>
      </w:r>
      <w:r w:rsidR="008B35E8" w:rsidRPr="002866E5">
        <w:rPr>
          <w:noProof/>
        </w:rPr>
        <w:t>swo</w:t>
      </w:r>
      <w:r w:rsidR="008D2507" w:rsidRPr="002866E5">
        <w:rPr>
          <w:noProof/>
        </w:rPr>
        <w:t>jej działalności</w:t>
      </w:r>
      <w:r w:rsidR="008B35E8" w:rsidRPr="002866E5">
        <w:rPr>
          <w:noProof/>
        </w:rPr>
        <w:t xml:space="preserve"> w</w:t>
      </w:r>
      <w:r w:rsidR="008B35E8">
        <w:rPr>
          <w:noProof/>
        </w:rPr>
        <w:t> </w:t>
      </w:r>
      <w:r w:rsidR="008B35E8" w:rsidRPr="002866E5">
        <w:rPr>
          <w:noProof/>
        </w:rPr>
        <w:t>tak</w:t>
      </w:r>
      <w:r w:rsidR="008D2507" w:rsidRPr="002866E5">
        <w:rPr>
          <w:noProof/>
        </w:rPr>
        <w:t>i sposób, aby chronić</w:t>
      </w:r>
      <w:r w:rsidR="008B35E8" w:rsidRPr="002866E5">
        <w:rPr>
          <w:noProof/>
        </w:rPr>
        <w:t xml:space="preserve"> w</w:t>
      </w:r>
      <w:r w:rsidR="008B35E8">
        <w:rPr>
          <w:noProof/>
        </w:rPr>
        <w:t> </w:t>
      </w:r>
      <w:r w:rsidR="008B35E8" w:rsidRPr="002866E5">
        <w:rPr>
          <w:noProof/>
        </w:rPr>
        <w:t>szc</w:t>
      </w:r>
      <w:r w:rsidR="008D2507" w:rsidRPr="002866E5">
        <w:rPr>
          <w:noProof/>
        </w:rPr>
        <w:t>zególności:</w:t>
      </w:r>
    </w:p>
    <w:p w14:paraId="67ED88D0" w14:textId="64A37DA2" w:rsidR="00853701" w:rsidRPr="002866E5" w:rsidRDefault="000340F9" w:rsidP="000340F9">
      <w:pPr>
        <w:pStyle w:val="Point1"/>
        <w:rPr>
          <w:noProof/>
        </w:rPr>
      </w:pPr>
      <w:r w:rsidRPr="000340F9">
        <w:rPr>
          <w:noProof/>
        </w:rPr>
        <w:t>a)</w:t>
      </w:r>
      <w:r w:rsidRPr="000340F9">
        <w:rPr>
          <w:noProof/>
        </w:rPr>
        <w:tab/>
      </w:r>
      <w:r w:rsidR="00853701" w:rsidRPr="002866E5">
        <w:rPr>
          <w:noProof/>
        </w:rPr>
        <w:t>prawa własności intelektualnej oraz poufne informacje handlowe lub tajemnice przedsiębiorstwa osoby fizycznej lub prawnej,</w:t>
      </w:r>
      <w:r w:rsidR="008B35E8" w:rsidRPr="002866E5">
        <w:rPr>
          <w:noProof/>
        </w:rPr>
        <w:t xml:space="preserve"> w</w:t>
      </w:r>
      <w:r w:rsidR="008B35E8">
        <w:rPr>
          <w:noProof/>
        </w:rPr>
        <w:t> </w:t>
      </w:r>
      <w:r w:rsidR="008B35E8" w:rsidRPr="002866E5">
        <w:rPr>
          <w:noProof/>
        </w:rPr>
        <w:t>tym</w:t>
      </w:r>
      <w:r w:rsidR="00853701" w:rsidRPr="002866E5">
        <w:rPr>
          <w:noProof/>
        </w:rPr>
        <w:t xml:space="preserve"> kod źródłowy, chyba że zastosowanie mają przypadki określone</w:t>
      </w:r>
      <w:r w:rsidR="008B35E8" w:rsidRPr="002866E5">
        <w:rPr>
          <w:noProof/>
        </w:rPr>
        <w:t xml:space="preserve"> w</w:t>
      </w:r>
      <w:r w:rsidR="008B35E8">
        <w:rPr>
          <w:noProof/>
        </w:rPr>
        <w:t> </w:t>
      </w:r>
      <w:r w:rsidR="008B35E8" w:rsidRPr="008B35E8">
        <w:rPr>
          <w:noProof/>
        </w:rPr>
        <w:t>art</w:t>
      </w:r>
      <w:r w:rsidR="00853701" w:rsidRPr="008B35E8">
        <w:rPr>
          <w:noProof/>
        </w:rPr>
        <w:t>.</w:t>
      </w:r>
      <w:r w:rsidR="008B35E8" w:rsidRPr="008B35E8">
        <w:rPr>
          <w:noProof/>
        </w:rPr>
        <w:t> </w:t>
      </w:r>
      <w:r w:rsidR="00853701" w:rsidRPr="008B35E8">
        <w:rPr>
          <w:noProof/>
        </w:rPr>
        <w:t>5</w:t>
      </w:r>
      <w:r w:rsidR="00853701" w:rsidRPr="002866E5">
        <w:rPr>
          <w:noProof/>
        </w:rPr>
        <w:t xml:space="preserve"> dyrektywy Parlamentu Europejskiego</w:t>
      </w:r>
      <w:r w:rsidR="008B35E8" w:rsidRPr="002866E5">
        <w:rPr>
          <w:noProof/>
        </w:rPr>
        <w:t xml:space="preserve"> i</w:t>
      </w:r>
      <w:r w:rsidR="008B35E8">
        <w:rPr>
          <w:noProof/>
        </w:rPr>
        <w:t> </w:t>
      </w:r>
      <w:r w:rsidR="008B35E8" w:rsidRPr="002866E5">
        <w:rPr>
          <w:noProof/>
        </w:rPr>
        <w:t>Rad</w:t>
      </w:r>
      <w:r w:rsidR="00853701" w:rsidRPr="002866E5">
        <w:rPr>
          <w:noProof/>
        </w:rPr>
        <w:t>y 2016/943</w:t>
      </w:r>
      <w:r w:rsidR="00853701" w:rsidRPr="002866E5">
        <w:rPr>
          <w:rStyle w:val="FootnoteReference"/>
          <w:noProof/>
        </w:rPr>
        <w:footnoteReference w:id="37"/>
      </w:r>
      <w:r w:rsidR="00853701" w:rsidRPr="002866E5">
        <w:rPr>
          <w:noProof/>
        </w:rPr>
        <w:t>;</w:t>
      </w:r>
    </w:p>
    <w:p w14:paraId="67ED88D1" w14:textId="62410C1E" w:rsidR="00DF2A17" w:rsidRPr="002866E5" w:rsidRDefault="000340F9" w:rsidP="000340F9">
      <w:pPr>
        <w:pStyle w:val="Point1"/>
        <w:rPr>
          <w:noProof/>
        </w:rPr>
      </w:pPr>
      <w:r w:rsidRPr="000340F9">
        <w:rPr>
          <w:noProof/>
        </w:rPr>
        <w:t>b)</w:t>
      </w:r>
      <w:r w:rsidRPr="000340F9">
        <w:rPr>
          <w:noProof/>
        </w:rPr>
        <w:tab/>
      </w:r>
      <w:r w:rsidR="00853701" w:rsidRPr="002866E5">
        <w:rPr>
          <w:noProof/>
        </w:rPr>
        <w:t>skuteczne wdrożenie niniejszego rozporządzenia,</w:t>
      </w:r>
      <w:r w:rsidR="008B35E8" w:rsidRPr="002866E5">
        <w:rPr>
          <w:noProof/>
        </w:rPr>
        <w:t xml:space="preserve"> w</w:t>
      </w:r>
      <w:r w:rsidR="008B35E8">
        <w:rPr>
          <w:noProof/>
        </w:rPr>
        <w:t> </w:t>
      </w:r>
      <w:r w:rsidR="008B35E8" w:rsidRPr="002866E5">
        <w:rPr>
          <w:noProof/>
        </w:rPr>
        <w:t>szc</w:t>
      </w:r>
      <w:r w:rsidR="00853701" w:rsidRPr="002866E5">
        <w:rPr>
          <w:noProof/>
        </w:rPr>
        <w:t>zególności do celów inspekcji, postępowań wyjaśniających lub audytów;</w:t>
      </w:r>
    </w:p>
    <w:p w14:paraId="67ED88D2" w14:textId="23B662C5" w:rsidR="00BF681D" w:rsidRPr="002866E5" w:rsidRDefault="000340F9" w:rsidP="000340F9">
      <w:pPr>
        <w:pStyle w:val="Point1"/>
        <w:rPr>
          <w:noProof/>
        </w:rPr>
      </w:pPr>
      <w:r w:rsidRPr="000340F9">
        <w:rPr>
          <w:noProof/>
        </w:rPr>
        <w:t>c)</w:t>
      </w:r>
      <w:r w:rsidRPr="000340F9">
        <w:rPr>
          <w:noProof/>
        </w:rPr>
        <w:tab/>
      </w:r>
      <w:r w:rsidR="00853701" w:rsidRPr="002866E5">
        <w:rPr>
          <w:noProof/>
        </w:rPr>
        <w:t>interesy bezpieczeństwa publicznego</w:t>
      </w:r>
      <w:r w:rsidR="008B35E8" w:rsidRPr="002866E5">
        <w:rPr>
          <w:noProof/>
        </w:rPr>
        <w:t xml:space="preserve"> i</w:t>
      </w:r>
      <w:r w:rsidR="008B35E8">
        <w:rPr>
          <w:noProof/>
        </w:rPr>
        <w:t> </w:t>
      </w:r>
      <w:r w:rsidR="008B35E8" w:rsidRPr="002866E5">
        <w:rPr>
          <w:noProof/>
        </w:rPr>
        <w:t>nar</w:t>
      </w:r>
      <w:r w:rsidR="00853701" w:rsidRPr="002866E5">
        <w:rPr>
          <w:noProof/>
        </w:rPr>
        <w:t>odowego;</w:t>
      </w:r>
    </w:p>
    <w:p w14:paraId="67ED88D3" w14:textId="4A64D1A7" w:rsidR="008D2507" w:rsidRPr="002866E5" w:rsidRDefault="000340F9" w:rsidP="000340F9">
      <w:pPr>
        <w:pStyle w:val="Point1"/>
        <w:rPr>
          <w:noProof/>
        </w:rPr>
      </w:pPr>
      <w:r w:rsidRPr="000340F9">
        <w:rPr>
          <w:noProof/>
        </w:rPr>
        <w:t>d)</w:t>
      </w:r>
      <w:r w:rsidRPr="000340F9">
        <w:rPr>
          <w:noProof/>
        </w:rPr>
        <w:tab/>
      </w:r>
      <w:r w:rsidR="00853701" w:rsidRPr="002866E5">
        <w:rPr>
          <w:noProof/>
        </w:rPr>
        <w:t>uczciwy przebieg postępowań karnych</w:t>
      </w:r>
      <w:r w:rsidR="008B35E8" w:rsidRPr="002866E5">
        <w:rPr>
          <w:noProof/>
        </w:rPr>
        <w:t xml:space="preserve"> i</w:t>
      </w:r>
      <w:r w:rsidR="008B35E8">
        <w:rPr>
          <w:noProof/>
        </w:rPr>
        <w:t> </w:t>
      </w:r>
      <w:r w:rsidR="008B35E8" w:rsidRPr="002866E5">
        <w:rPr>
          <w:noProof/>
        </w:rPr>
        <w:t>adm</w:t>
      </w:r>
      <w:r w:rsidR="00853701" w:rsidRPr="002866E5">
        <w:rPr>
          <w:noProof/>
        </w:rPr>
        <w:t>inistracyjnych.</w:t>
      </w:r>
    </w:p>
    <w:p w14:paraId="67ED88D4" w14:textId="2E820B6C" w:rsidR="00BF681D" w:rsidRPr="002866E5" w:rsidRDefault="00B4087C" w:rsidP="00B4087C">
      <w:pPr>
        <w:pStyle w:val="ManualNumPar1"/>
        <w:rPr>
          <w:noProof/>
        </w:rPr>
      </w:pPr>
      <w:r w:rsidRPr="00B4087C">
        <w:t>2.</w:t>
      </w:r>
      <w:r w:rsidRPr="00B4087C">
        <w:tab/>
      </w:r>
      <w:r w:rsidR="00BF681D" w:rsidRPr="002866E5">
        <w:rPr>
          <w:noProof/>
        </w:rPr>
        <w:t>Nie naruszając przepisów ust. 1, informacji wymienianych na zasadzie poufności między organami nadzoru rynku oraz między organami nadzoru rynku</w:t>
      </w:r>
      <w:r w:rsidR="008B35E8" w:rsidRPr="002866E5">
        <w:rPr>
          <w:noProof/>
        </w:rPr>
        <w:t xml:space="preserve"> a</w:t>
      </w:r>
      <w:r w:rsidR="008B35E8">
        <w:rPr>
          <w:noProof/>
        </w:rPr>
        <w:t> </w:t>
      </w:r>
      <w:r w:rsidR="008B35E8" w:rsidRPr="002866E5">
        <w:rPr>
          <w:noProof/>
        </w:rPr>
        <w:t>Kom</w:t>
      </w:r>
      <w:r w:rsidR="00BF681D" w:rsidRPr="002866E5">
        <w:rPr>
          <w:noProof/>
        </w:rPr>
        <w:t>isją nie ujawnia się bez uprzedniej zgody organu nadzoru rynku, od którego informacje te pochodzą.</w:t>
      </w:r>
    </w:p>
    <w:p w14:paraId="67ED88D5" w14:textId="1A4D9CB8" w:rsidR="008D2507" w:rsidRPr="002866E5" w:rsidRDefault="00B4087C" w:rsidP="00B4087C">
      <w:pPr>
        <w:pStyle w:val="ManualNumPar1"/>
        <w:rPr>
          <w:noProof/>
        </w:rPr>
      </w:pPr>
      <w:r w:rsidRPr="00B4087C">
        <w:t>3.</w:t>
      </w:r>
      <w:r w:rsidRPr="00B4087C">
        <w:tab/>
      </w:r>
      <w:r w:rsidR="008D2507" w:rsidRPr="002866E5">
        <w:rPr>
          <w:noProof/>
        </w:rPr>
        <w:t>Ust. 1</w:t>
      </w:r>
      <w:r w:rsidR="008B35E8" w:rsidRPr="002866E5">
        <w:rPr>
          <w:noProof/>
        </w:rPr>
        <w:t xml:space="preserve"> i</w:t>
      </w:r>
      <w:r w:rsidR="008B35E8">
        <w:rPr>
          <w:noProof/>
        </w:rPr>
        <w:t> </w:t>
      </w:r>
      <w:r w:rsidR="008B35E8" w:rsidRPr="002866E5">
        <w:rPr>
          <w:noProof/>
        </w:rPr>
        <w:t>2</w:t>
      </w:r>
      <w:r w:rsidR="008D2507" w:rsidRPr="002866E5">
        <w:rPr>
          <w:noProof/>
        </w:rPr>
        <w:t xml:space="preserve"> pozostają bez uszczerbku dla praw</w:t>
      </w:r>
      <w:r w:rsidR="008B35E8" w:rsidRPr="002866E5">
        <w:rPr>
          <w:noProof/>
        </w:rPr>
        <w:t xml:space="preserve"> i</w:t>
      </w:r>
      <w:r w:rsidR="008B35E8">
        <w:rPr>
          <w:noProof/>
        </w:rPr>
        <w:t> </w:t>
      </w:r>
      <w:r w:rsidR="008B35E8" w:rsidRPr="002866E5">
        <w:rPr>
          <w:noProof/>
        </w:rPr>
        <w:t>obo</w:t>
      </w:r>
      <w:r w:rsidR="008D2507" w:rsidRPr="002866E5">
        <w:rPr>
          <w:noProof/>
        </w:rPr>
        <w:t>wiązków Komisji, państw członkowskich</w:t>
      </w:r>
      <w:r w:rsidR="008B35E8" w:rsidRPr="002866E5">
        <w:rPr>
          <w:noProof/>
        </w:rPr>
        <w:t xml:space="preserve"> i</w:t>
      </w:r>
      <w:r w:rsidR="008B35E8">
        <w:rPr>
          <w:noProof/>
        </w:rPr>
        <w:t> </w:t>
      </w:r>
      <w:r w:rsidR="008B35E8" w:rsidRPr="002866E5">
        <w:rPr>
          <w:noProof/>
        </w:rPr>
        <w:t>jed</w:t>
      </w:r>
      <w:r w:rsidR="008D2507" w:rsidRPr="002866E5">
        <w:rPr>
          <w:noProof/>
        </w:rPr>
        <w:t>nostek notyfikowanych</w:t>
      </w:r>
      <w:r w:rsidR="008B35E8" w:rsidRPr="002866E5">
        <w:rPr>
          <w:noProof/>
        </w:rPr>
        <w:t xml:space="preserve"> w</w:t>
      </w:r>
      <w:r w:rsidR="008B35E8">
        <w:rPr>
          <w:noProof/>
        </w:rPr>
        <w:t> </w:t>
      </w:r>
      <w:r w:rsidR="008B35E8" w:rsidRPr="002866E5">
        <w:rPr>
          <w:noProof/>
        </w:rPr>
        <w:t>zak</w:t>
      </w:r>
      <w:r w:rsidR="008D2507" w:rsidRPr="002866E5">
        <w:rPr>
          <w:noProof/>
        </w:rPr>
        <w:t>resie wymiany informacji</w:t>
      </w:r>
      <w:r w:rsidR="008B35E8" w:rsidRPr="002866E5">
        <w:rPr>
          <w:noProof/>
        </w:rPr>
        <w:t xml:space="preserve"> </w:t>
      </w:r>
      <w:r w:rsidR="008B35E8" w:rsidRPr="002866E5">
        <w:rPr>
          <w:noProof/>
        </w:rPr>
        <w:lastRenderedPageBreak/>
        <w:t>i</w:t>
      </w:r>
      <w:r w:rsidR="008B35E8">
        <w:rPr>
          <w:noProof/>
        </w:rPr>
        <w:t> </w:t>
      </w:r>
      <w:r w:rsidR="008B35E8" w:rsidRPr="002866E5">
        <w:rPr>
          <w:noProof/>
        </w:rPr>
        <w:t>wyd</w:t>
      </w:r>
      <w:r w:rsidR="008D2507" w:rsidRPr="002866E5">
        <w:rPr>
          <w:noProof/>
        </w:rPr>
        <w:t>awania ostrzeżeń oraz obowiązków zainteresowanych osób</w:t>
      </w:r>
      <w:r w:rsidR="008B35E8" w:rsidRPr="002866E5">
        <w:rPr>
          <w:noProof/>
        </w:rPr>
        <w:t xml:space="preserve"> w</w:t>
      </w:r>
      <w:r w:rsidR="008B35E8">
        <w:rPr>
          <w:noProof/>
        </w:rPr>
        <w:t> </w:t>
      </w:r>
      <w:r w:rsidR="008B35E8" w:rsidRPr="002866E5">
        <w:rPr>
          <w:noProof/>
        </w:rPr>
        <w:t>zak</w:t>
      </w:r>
      <w:r w:rsidR="008D2507" w:rsidRPr="002866E5">
        <w:rPr>
          <w:noProof/>
        </w:rPr>
        <w:t>resie udzielania informacji zgodnie</w:t>
      </w:r>
      <w:r w:rsidR="008B35E8" w:rsidRPr="002866E5">
        <w:rPr>
          <w:noProof/>
        </w:rPr>
        <w:t xml:space="preserve"> z</w:t>
      </w:r>
      <w:r w:rsidR="008B35E8">
        <w:rPr>
          <w:noProof/>
        </w:rPr>
        <w:t> </w:t>
      </w:r>
      <w:r w:rsidR="008B35E8" w:rsidRPr="002866E5">
        <w:rPr>
          <w:noProof/>
        </w:rPr>
        <w:t>pra</w:t>
      </w:r>
      <w:r w:rsidR="008D2507" w:rsidRPr="002866E5">
        <w:rPr>
          <w:noProof/>
        </w:rPr>
        <w:t>wem karnym państw członkowskich.</w:t>
      </w:r>
    </w:p>
    <w:p w14:paraId="67ED88D6" w14:textId="14D3BEDB" w:rsidR="00284DD6" w:rsidRPr="002866E5" w:rsidRDefault="00B4087C" w:rsidP="00B4087C">
      <w:pPr>
        <w:pStyle w:val="ManualNumPar1"/>
        <w:rPr>
          <w:noProof/>
        </w:rPr>
      </w:pPr>
      <w:r w:rsidRPr="00B4087C">
        <w:t>4.</w:t>
      </w:r>
      <w:r w:rsidRPr="00B4087C">
        <w:tab/>
      </w:r>
      <w:r w:rsidR="00E14BF2" w:rsidRPr="002866E5">
        <w:rPr>
          <w:noProof/>
        </w:rPr>
        <w:t>W stosownych przypadkach Komisja</w:t>
      </w:r>
      <w:r w:rsidR="008B35E8" w:rsidRPr="002866E5">
        <w:rPr>
          <w:noProof/>
        </w:rPr>
        <w:t xml:space="preserve"> i</w:t>
      </w:r>
      <w:r w:rsidR="008B35E8">
        <w:rPr>
          <w:noProof/>
        </w:rPr>
        <w:t> </w:t>
      </w:r>
      <w:r w:rsidR="008B35E8" w:rsidRPr="002866E5">
        <w:rPr>
          <w:noProof/>
        </w:rPr>
        <w:t>pań</w:t>
      </w:r>
      <w:r w:rsidR="00E14BF2" w:rsidRPr="002866E5">
        <w:rPr>
          <w:noProof/>
        </w:rPr>
        <w:t>stwa członkowskie mogą wymieniać informacje szczególnie chronione</w:t>
      </w:r>
      <w:r w:rsidR="008B35E8" w:rsidRPr="002866E5">
        <w:rPr>
          <w:noProof/>
        </w:rPr>
        <w:t xml:space="preserve"> z</w:t>
      </w:r>
      <w:r w:rsidR="008B35E8">
        <w:rPr>
          <w:noProof/>
        </w:rPr>
        <w:t> </w:t>
      </w:r>
      <w:r w:rsidR="008B35E8" w:rsidRPr="002866E5">
        <w:rPr>
          <w:noProof/>
        </w:rPr>
        <w:t>odp</w:t>
      </w:r>
      <w:r w:rsidR="00E14BF2" w:rsidRPr="002866E5">
        <w:rPr>
          <w:noProof/>
        </w:rPr>
        <w:t>owiednimi organami państw trzecich,</w:t>
      </w:r>
      <w:r w:rsidR="008B35E8" w:rsidRPr="002866E5">
        <w:rPr>
          <w:noProof/>
        </w:rPr>
        <w:t xml:space="preserve"> z</w:t>
      </w:r>
      <w:r w:rsidR="008B35E8">
        <w:rPr>
          <w:noProof/>
        </w:rPr>
        <w:t> </w:t>
      </w:r>
      <w:r w:rsidR="008B35E8" w:rsidRPr="002866E5">
        <w:rPr>
          <w:noProof/>
        </w:rPr>
        <w:t>któ</w:t>
      </w:r>
      <w:r w:rsidR="00E14BF2" w:rsidRPr="002866E5">
        <w:rPr>
          <w:noProof/>
        </w:rPr>
        <w:t>rymi zawarły dwustronne lub wielostronne porozumienia</w:t>
      </w:r>
      <w:r w:rsidR="008B35E8" w:rsidRPr="002866E5">
        <w:rPr>
          <w:noProof/>
        </w:rPr>
        <w:t xml:space="preserve"> o</w:t>
      </w:r>
      <w:r w:rsidR="008B35E8">
        <w:rPr>
          <w:noProof/>
        </w:rPr>
        <w:t> </w:t>
      </w:r>
      <w:r w:rsidR="008B35E8" w:rsidRPr="002866E5">
        <w:rPr>
          <w:noProof/>
        </w:rPr>
        <w:t>pou</w:t>
      </w:r>
      <w:r w:rsidR="00E14BF2" w:rsidRPr="002866E5">
        <w:rPr>
          <w:noProof/>
        </w:rPr>
        <w:t>fności gwarantujące odpowiedni stopień ochrony.</w:t>
      </w:r>
    </w:p>
    <w:p w14:paraId="67ED88D7" w14:textId="333464C5" w:rsidR="008D2507" w:rsidRPr="002866E5" w:rsidRDefault="008D2507" w:rsidP="003E6E73">
      <w:pPr>
        <w:pStyle w:val="Titrearticle0"/>
        <w:rPr>
          <w:noProof/>
        </w:rPr>
      </w:pPr>
      <w:r w:rsidRPr="002866E5">
        <w:rPr>
          <w:noProof/>
        </w:rPr>
        <w:t>Artykuł 53</w:t>
      </w:r>
    </w:p>
    <w:p w14:paraId="67ED88D8" w14:textId="77777777" w:rsidR="008D2507" w:rsidRPr="002866E5" w:rsidRDefault="008D2507" w:rsidP="00084E38">
      <w:pPr>
        <w:jc w:val="center"/>
        <w:rPr>
          <w:i/>
          <w:noProof/>
        </w:rPr>
      </w:pPr>
      <w:r w:rsidRPr="002866E5">
        <w:rPr>
          <w:i/>
          <w:noProof/>
        </w:rPr>
        <w:t>Kary</w:t>
      </w:r>
    </w:p>
    <w:p w14:paraId="67ED88D9" w14:textId="633574EE" w:rsidR="008D2507" w:rsidRPr="002866E5" w:rsidRDefault="00B4087C" w:rsidP="00B4087C">
      <w:pPr>
        <w:pStyle w:val="ManualNumPar1"/>
        <w:rPr>
          <w:noProof/>
        </w:rPr>
      </w:pPr>
      <w:r w:rsidRPr="00B4087C">
        <w:t>1.</w:t>
      </w:r>
      <w:r w:rsidRPr="00B4087C">
        <w:tab/>
      </w:r>
      <w:r w:rsidR="008D2507" w:rsidRPr="002866E5">
        <w:rPr>
          <w:noProof/>
        </w:rPr>
        <w:t>Państwa członkowskie ustanawiają przepisy dotyczące kar mających zastosowanie</w:t>
      </w:r>
      <w:r w:rsidR="008B35E8" w:rsidRPr="002866E5">
        <w:rPr>
          <w:noProof/>
        </w:rPr>
        <w:t xml:space="preserve"> w</w:t>
      </w:r>
      <w:r w:rsidR="008B35E8">
        <w:rPr>
          <w:noProof/>
        </w:rPr>
        <w:t> </w:t>
      </w:r>
      <w:r w:rsidR="008B35E8" w:rsidRPr="002866E5">
        <w:rPr>
          <w:noProof/>
        </w:rPr>
        <w:t>prz</w:t>
      </w:r>
      <w:r w:rsidR="008D2507" w:rsidRPr="002866E5">
        <w:rPr>
          <w:noProof/>
        </w:rPr>
        <w:t>ypadku naruszania przez podmioty gospodarcze przepisów niniejszego rozporządzenia</w:t>
      </w:r>
      <w:r w:rsidR="008B35E8" w:rsidRPr="002866E5">
        <w:rPr>
          <w:noProof/>
        </w:rPr>
        <w:t xml:space="preserve"> i</w:t>
      </w:r>
      <w:r w:rsidR="008B35E8">
        <w:rPr>
          <w:noProof/>
        </w:rPr>
        <w:t> </w:t>
      </w:r>
      <w:r w:rsidR="008B35E8" w:rsidRPr="002866E5">
        <w:rPr>
          <w:noProof/>
        </w:rPr>
        <w:t>wdr</w:t>
      </w:r>
      <w:r w:rsidR="008D2507" w:rsidRPr="002866E5">
        <w:rPr>
          <w:noProof/>
        </w:rPr>
        <w:t>ażają wszystkie środki niezbędne</w:t>
      </w:r>
      <w:r w:rsidR="008B35E8" w:rsidRPr="002866E5">
        <w:rPr>
          <w:noProof/>
        </w:rPr>
        <w:t xml:space="preserve"> w</w:t>
      </w:r>
      <w:r w:rsidR="008B35E8">
        <w:rPr>
          <w:noProof/>
        </w:rPr>
        <w:t> </w:t>
      </w:r>
      <w:r w:rsidR="008B35E8" w:rsidRPr="002866E5">
        <w:rPr>
          <w:noProof/>
        </w:rPr>
        <w:t>cel</w:t>
      </w:r>
      <w:r w:rsidR="008D2507" w:rsidRPr="002866E5">
        <w:rPr>
          <w:noProof/>
        </w:rPr>
        <w:t>u zapewnienia ich wprowadzenia. Przewidziane kary muszą być skuteczne, proporcjonalne</w:t>
      </w:r>
      <w:r w:rsidR="008B35E8" w:rsidRPr="002866E5">
        <w:rPr>
          <w:noProof/>
        </w:rPr>
        <w:t xml:space="preserve"> i</w:t>
      </w:r>
      <w:r w:rsidR="008B35E8">
        <w:rPr>
          <w:noProof/>
        </w:rPr>
        <w:t> </w:t>
      </w:r>
      <w:r w:rsidR="008B35E8" w:rsidRPr="002866E5">
        <w:rPr>
          <w:noProof/>
        </w:rPr>
        <w:t>ods</w:t>
      </w:r>
      <w:r w:rsidR="008D2507" w:rsidRPr="002866E5">
        <w:rPr>
          <w:noProof/>
        </w:rPr>
        <w:t>traszające.</w:t>
      </w:r>
    </w:p>
    <w:p w14:paraId="67ED88DA" w14:textId="322226C0" w:rsidR="008D2507" w:rsidRPr="002866E5" w:rsidRDefault="00B4087C" w:rsidP="00B4087C">
      <w:pPr>
        <w:pStyle w:val="ManualNumPar1"/>
        <w:rPr>
          <w:noProof/>
        </w:rPr>
      </w:pPr>
      <w:r w:rsidRPr="00B4087C">
        <w:t>2.</w:t>
      </w:r>
      <w:r w:rsidRPr="00B4087C">
        <w:tab/>
      </w:r>
      <w:r w:rsidR="008D2507" w:rsidRPr="002866E5">
        <w:rPr>
          <w:noProof/>
        </w:rPr>
        <w:t>Państwa członkowskie niezwłocznie powiadamiają Komisję</w:t>
      </w:r>
      <w:r w:rsidR="008B35E8" w:rsidRPr="002866E5">
        <w:rPr>
          <w:noProof/>
        </w:rPr>
        <w:t xml:space="preserve"> o</w:t>
      </w:r>
      <w:r w:rsidR="008B35E8">
        <w:rPr>
          <w:noProof/>
        </w:rPr>
        <w:t> </w:t>
      </w:r>
      <w:r w:rsidR="008B35E8" w:rsidRPr="002866E5">
        <w:rPr>
          <w:noProof/>
        </w:rPr>
        <w:t>tyc</w:t>
      </w:r>
      <w:r w:rsidR="008D2507" w:rsidRPr="002866E5">
        <w:rPr>
          <w:noProof/>
        </w:rPr>
        <w:t>h przepisach</w:t>
      </w:r>
      <w:r w:rsidR="008B35E8" w:rsidRPr="002866E5">
        <w:rPr>
          <w:noProof/>
        </w:rPr>
        <w:t xml:space="preserve"> i</w:t>
      </w:r>
      <w:r w:rsidR="008B35E8">
        <w:rPr>
          <w:noProof/>
        </w:rPr>
        <w:t> </w:t>
      </w:r>
      <w:r w:rsidR="008B35E8" w:rsidRPr="002866E5">
        <w:rPr>
          <w:noProof/>
        </w:rPr>
        <w:t>śro</w:t>
      </w:r>
      <w:r w:rsidR="008D2507" w:rsidRPr="002866E5">
        <w:rPr>
          <w:noProof/>
        </w:rPr>
        <w:t>dkach,</w:t>
      </w:r>
      <w:r w:rsidR="008B35E8" w:rsidRPr="002866E5">
        <w:rPr>
          <w:noProof/>
        </w:rPr>
        <w:t xml:space="preserve"> a</w:t>
      </w:r>
      <w:r w:rsidR="008B35E8">
        <w:rPr>
          <w:noProof/>
        </w:rPr>
        <w:t> </w:t>
      </w:r>
      <w:r w:rsidR="008B35E8" w:rsidRPr="002866E5">
        <w:rPr>
          <w:noProof/>
        </w:rPr>
        <w:t>tak</w:t>
      </w:r>
      <w:r w:rsidR="008D2507" w:rsidRPr="002866E5">
        <w:rPr>
          <w:noProof/>
        </w:rPr>
        <w:t>że powiadamiają ją niezwłocznie</w:t>
      </w:r>
      <w:r w:rsidR="008B35E8" w:rsidRPr="002866E5">
        <w:rPr>
          <w:noProof/>
        </w:rPr>
        <w:t xml:space="preserve"> o</w:t>
      </w:r>
      <w:r w:rsidR="008B35E8">
        <w:rPr>
          <w:noProof/>
        </w:rPr>
        <w:t> </w:t>
      </w:r>
      <w:r w:rsidR="008B35E8" w:rsidRPr="002866E5">
        <w:rPr>
          <w:noProof/>
        </w:rPr>
        <w:t>wsz</w:t>
      </w:r>
      <w:r w:rsidR="008D2507" w:rsidRPr="002866E5">
        <w:rPr>
          <w:noProof/>
        </w:rPr>
        <w:t>elkich późniejszych zmianach, które ich dotyczą.</w:t>
      </w:r>
    </w:p>
    <w:p w14:paraId="67ED88DB" w14:textId="6D84407E" w:rsidR="00CD3C5B" w:rsidRPr="002866E5" w:rsidRDefault="00B4087C" w:rsidP="00B4087C">
      <w:pPr>
        <w:pStyle w:val="ManualNumPar1"/>
        <w:rPr>
          <w:noProof/>
        </w:rPr>
      </w:pPr>
      <w:r w:rsidRPr="00B4087C">
        <w:t>3.</w:t>
      </w:r>
      <w:r w:rsidRPr="00B4087C">
        <w:tab/>
      </w:r>
      <w:r w:rsidR="00CD3C5B" w:rsidRPr="002866E5">
        <w:rPr>
          <w:noProof/>
        </w:rPr>
        <w:t>Niezgodność</w:t>
      </w:r>
      <w:r w:rsidR="008B35E8" w:rsidRPr="002866E5">
        <w:rPr>
          <w:noProof/>
        </w:rPr>
        <w:t xml:space="preserve"> z</w:t>
      </w:r>
      <w:r w:rsidR="008B35E8">
        <w:rPr>
          <w:noProof/>
        </w:rPr>
        <w:t> </w:t>
      </w:r>
      <w:r w:rsidR="008B35E8" w:rsidRPr="002866E5">
        <w:rPr>
          <w:noProof/>
        </w:rPr>
        <w:t>zas</w:t>
      </w:r>
      <w:r w:rsidR="00CD3C5B" w:rsidRPr="002866E5">
        <w:rPr>
          <w:noProof/>
        </w:rPr>
        <w:t>adniczymi wymogami cyberbezpieczeństwa określonymi</w:t>
      </w:r>
      <w:r w:rsidR="008B35E8" w:rsidRPr="002866E5">
        <w:rPr>
          <w:noProof/>
        </w:rPr>
        <w:t xml:space="preserve"> w</w:t>
      </w:r>
      <w:r w:rsidR="008B35E8">
        <w:rPr>
          <w:noProof/>
        </w:rPr>
        <w:t> </w:t>
      </w:r>
      <w:r w:rsidR="008B35E8" w:rsidRPr="002866E5">
        <w:rPr>
          <w:noProof/>
        </w:rPr>
        <w:t>zał</w:t>
      </w:r>
      <w:r w:rsidR="00CD3C5B" w:rsidRPr="002866E5">
        <w:rPr>
          <w:noProof/>
        </w:rPr>
        <w:t>ączniku I oraz</w:t>
      </w:r>
      <w:r w:rsidR="008B35E8" w:rsidRPr="002866E5">
        <w:rPr>
          <w:noProof/>
        </w:rPr>
        <w:t xml:space="preserve"> z</w:t>
      </w:r>
      <w:r w:rsidR="008B35E8">
        <w:rPr>
          <w:noProof/>
        </w:rPr>
        <w:t> </w:t>
      </w:r>
      <w:r w:rsidR="008B35E8" w:rsidRPr="002866E5">
        <w:rPr>
          <w:noProof/>
        </w:rPr>
        <w:t>obo</w:t>
      </w:r>
      <w:r w:rsidR="00CD3C5B" w:rsidRPr="002866E5">
        <w:rPr>
          <w:noProof/>
        </w:rPr>
        <w:t>wiązkami określonymi</w:t>
      </w:r>
      <w:r w:rsidR="008B35E8" w:rsidRPr="002866E5">
        <w:rPr>
          <w:noProof/>
        </w:rPr>
        <w:t xml:space="preserve"> w</w:t>
      </w:r>
      <w:r w:rsidR="008B35E8">
        <w:rPr>
          <w:noProof/>
        </w:rPr>
        <w:t> </w:t>
      </w:r>
      <w:r w:rsidR="008B35E8" w:rsidRPr="008B35E8">
        <w:rPr>
          <w:noProof/>
        </w:rPr>
        <w:t>art</w:t>
      </w:r>
      <w:r w:rsidR="00CD3C5B" w:rsidRPr="008B35E8">
        <w:rPr>
          <w:noProof/>
        </w:rPr>
        <w:t>.</w:t>
      </w:r>
      <w:r w:rsidR="008B35E8" w:rsidRPr="008B35E8">
        <w:rPr>
          <w:noProof/>
        </w:rPr>
        <w:t> </w:t>
      </w:r>
      <w:r w:rsidR="00CD3C5B" w:rsidRPr="008B35E8">
        <w:rPr>
          <w:noProof/>
        </w:rPr>
        <w:t>1</w:t>
      </w:r>
      <w:r w:rsidR="00CD3C5B" w:rsidRPr="002866E5">
        <w:rPr>
          <w:noProof/>
        </w:rPr>
        <w:t>0</w:t>
      </w:r>
      <w:r w:rsidR="008B35E8" w:rsidRPr="002866E5">
        <w:rPr>
          <w:noProof/>
        </w:rPr>
        <w:t xml:space="preserve"> i</w:t>
      </w:r>
      <w:r w:rsidR="008B35E8">
        <w:rPr>
          <w:noProof/>
        </w:rPr>
        <w:t> </w:t>
      </w:r>
      <w:r w:rsidR="008B35E8" w:rsidRPr="002866E5">
        <w:rPr>
          <w:noProof/>
        </w:rPr>
        <w:t>1</w:t>
      </w:r>
      <w:r w:rsidR="00CD3C5B" w:rsidRPr="002866E5">
        <w:rPr>
          <w:noProof/>
        </w:rPr>
        <w:t>1 podlega administracyjnej karze pieniężnej</w:t>
      </w:r>
      <w:r w:rsidR="008B35E8" w:rsidRPr="002866E5">
        <w:rPr>
          <w:noProof/>
        </w:rPr>
        <w:t xml:space="preserve"> w</w:t>
      </w:r>
      <w:r w:rsidR="008B35E8">
        <w:rPr>
          <w:noProof/>
        </w:rPr>
        <w:t> </w:t>
      </w:r>
      <w:r w:rsidR="008B35E8" w:rsidRPr="002866E5">
        <w:rPr>
          <w:noProof/>
        </w:rPr>
        <w:t>wys</w:t>
      </w:r>
      <w:r w:rsidR="00CD3C5B" w:rsidRPr="002866E5">
        <w:rPr>
          <w:noProof/>
        </w:rPr>
        <w:t xml:space="preserve">okości </w:t>
      </w:r>
      <w:r w:rsidR="00CD3C5B" w:rsidRPr="008B35E8">
        <w:rPr>
          <w:noProof/>
        </w:rPr>
        <w:t>do</w:t>
      </w:r>
      <w:r w:rsidR="008B35E8" w:rsidRPr="008B35E8">
        <w:rPr>
          <w:noProof/>
        </w:rPr>
        <w:t> </w:t>
      </w:r>
      <w:r w:rsidR="00CD3C5B" w:rsidRPr="008B35E8">
        <w:rPr>
          <w:noProof/>
        </w:rPr>
        <w:t>1</w:t>
      </w:r>
      <w:r w:rsidR="00CD3C5B" w:rsidRPr="002866E5">
        <w:rPr>
          <w:noProof/>
        </w:rPr>
        <w:t>5 000 000 EUR lub, jeżeli za naruszenie odpowiada przedsiębiorstwo –</w:t>
      </w:r>
      <w:r w:rsidR="008B35E8" w:rsidRPr="002866E5">
        <w:rPr>
          <w:noProof/>
        </w:rPr>
        <w:t xml:space="preserve"> w</w:t>
      </w:r>
      <w:r w:rsidR="008B35E8">
        <w:rPr>
          <w:noProof/>
        </w:rPr>
        <w:t> </w:t>
      </w:r>
      <w:r w:rsidR="008B35E8" w:rsidRPr="002866E5">
        <w:rPr>
          <w:noProof/>
        </w:rPr>
        <w:t>wys</w:t>
      </w:r>
      <w:r w:rsidR="00CD3C5B" w:rsidRPr="002866E5">
        <w:rPr>
          <w:noProof/>
        </w:rPr>
        <w:t xml:space="preserve">okości </w:t>
      </w:r>
      <w:r w:rsidR="00CD3C5B" w:rsidRPr="008B35E8">
        <w:rPr>
          <w:noProof/>
        </w:rPr>
        <w:t>do</w:t>
      </w:r>
      <w:r w:rsidR="008B35E8" w:rsidRPr="008B35E8">
        <w:rPr>
          <w:noProof/>
        </w:rPr>
        <w:t> </w:t>
      </w:r>
      <w:r w:rsidR="00CD3C5B" w:rsidRPr="008B35E8">
        <w:rPr>
          <w:noProof/>
        </w:rPr>
        <w:t>2</w:t>
      </w:r>
      <w:r w:rsidR="00CD3C5B" w:rsidRPr="002866E5">
        <w:rPr>
          <w:noProof/>
        </w:rPr>
        <w:t>,</w:t>
      </w:r>
      <w:r w:rsidR="00CD3C5B" w:rsidRPr="008B35E8">
        <w:rPr>
          <w:noProof/>
        </w:rPr>
        <w:t>5</w:t>
      </w:r>
      <w:r w:rsidR="008B35E8" w:rsidRPr="008B35E8">
        <w:rPr>
          <w:noProof/>
        </w:rPr>
        <w:t> </w:t>
      </w:r>
      <w:r w:rsidR="00CD3C5B" w:rsidRPr="008B35E8">
        <w:rPr>
          <w:noProof/>
        </w:rPr>
        <w:t>%</w:t>
      </w:r>
      <w:r w:rsidR="00CD3C5B" w:rsidRPr="002866E5">
        <w:rPr>
          <w:noProof/>
        </w:rPr>
        <w:t xml:space="preserve"> jego całkowitego rocznego światowego obrotu</w:t>
      </w:r>
      <w:r w:rsidR="008B35E8" w:rsidRPr="002866E5">
        <w:rPr>
          <w:noProof/>
        </w:rPr>
        <w:t xml:space="preserve"> z</w:t>
      </w:r>
      <w:r w:rsidR="008B35E8">
        <w:rPr>
          <w:noProof/>
        </w:rPr>
        <w:t> </w:t>
      </w:r>
      <w:r w:rsidR="008B35E8" w:rsidRPr="002866E5">
        <w:rPr>
          <w:noProof/>
        </w:rPr>
        <w:t>pop</w:t>
      </w:r>
      <w:r w:rsidR="00CD3C5B" w:rsidRPr="002866E5">
        <w:rPr>
          <w:noProof/>
        </w:rPr>
        <w:t>rzedniego roku obrotowego, przy czym zastosowanie ma kwota wyższa.</w:t>
      </w:r>
    </w:p>
    <w:p w14:paraId="67ED88DC" w14:textId="6031B1F0" w:rsidR="0036678D" w:rsidRPr="002866E5" w:rsidRDefault="00B4087C" w:rsidP="00B4087C">
      <w:pPr>
        <w:pStyle w:val="ManualNumPar1"/>
        <w:rPr>
          <w:noProof/>
        </w:rPr>
      </w:pPr>
      <w:r w:rsidRPr="00B4087C">
        <w:t>4.</w:t>
      </w:r>
      <w:r w:rsidRPr="00B4087C">
        <w:tab/>
      </w:r>
      <w:r w:rsidR="001B0D84" w:rsidRPr="002866E5">
        <w:rPr>
          <w:noProof/>
        </w:rPr>
        <w:t>Niezgodność</w:t>
      </w:r>
      <w:r w:rsidR="008B35E8" w:rsidRPr="002866E5">
        <w:rPr>
          <w:noProof/>
        </w:rPr>
        <w:t xml:space="preserve"> z</w:t>
      </w:r>
      <w:r w:rsidR="008B35E8">
        <w:rPr>
          <w:noProof/>
        </w:rPr>
        <w:t> </w:t>
      </w:r>
      <w:r w:rsidR="008B35E8" w:rsidRPr="002866E5">
        <w:rPr>
          <w:noProof/>
        </w:rPr>
        <w:t>wsz</w:t>
      </w:r>
      <w:r w:rsidR="001B0D84" w:rsidRPr="002866E5">
        <w:rPr>
          <w:noProof/>
        </w:rPr>
        <w:t>elkimi innymi obowiązkami wynikającymi</w:t>
      </w:r>
      <w:r w:rsidR="008B35E8" w:rsidRPr="002866E5">
        <w:rPr>
          <w:noProof/>
        </w:rPr>
        <w:t xml:space="preserve"> z</w:t>
      </w:r>
      <w:r w:rsidR="008B35E8">
        <w:rPr>
          <w:noProof/>
        </w:rPr>
        <w:t> </w:t>
      </w:r>
      <w:r w:rsidR="008B35E8" w:rsidRPr="002866E5">
        <w:rPr>
          <w:noProof/>
        </w:rPr>
        <w:t>nin</w:t>
      </w:r>
      <w:r w:rsidR="001B0D84" w:rsidRPr="002866E5">
        <w:rPr>
          <w:noProof/>
        </w:rPr>
        <w:t>iejszego rozporządzenia podlega administracyjnej karze pieniężnej</w:t>
      </w:r>
      <w:r w:rsidR="008B35E8" w:rsidRPr="002866E5">
        <w:rPr>
          <w:noProof/>
        </w:rPr>
        <w:t xml:space="preserve"> w</w:t>
      </w:r>
      <w:r w:rsidR="008B35E8">
        <w:rPr>
          <w:noProof/>
        </w:rPr>
        <w:t> </w:t>
      </w:r>
      <w:r w:rsidR="008B35E8" w:rsidRPr="002866E5">
        <w:rPr>
          <w:noProof/>
        </w:rPr>
        <w:t>wys</w:t>
      </w:r>
      <w:r w:rsidR="001B0D84" w:rsidRPr="002866E5">
        <w:rPr>
          <w:noProof/>
        </w:rPr>
        <w:t xml:space="preserve">okości </w:t>
      </w:r>
      <w:r w:rsidR="001B0D84" w:rsidRPr="008B35E8">
        <w:rPr>
          <w:noProof/>
        </w:rPr>
        <w:t>do</w:t>
      </w:r>
      <w:r w:rsidR="008B35E8" w:rsidRPr="008B35E8">
        <w:rPr>
          <w:noProof/>
        </w:rPr>
        <w:t> </w:t>
      </w:r>
      <w:r w:rsidR="001B0D84" w:rsidRPr="008B35E8">
        <w:rPr>
          <w:noProof/>
        </w:rPr>
        <w:t>1</w:t>
      </w:r>
      <w:r w:rsidR="001B0D84" w:rsidRPr="002866E5">
        <w:rPr>
          <w:noProof/>
        </w:rPr>
        <w:t>0 000 000 EUR lub, jeżeli za naruszenie odpowiada przedsiębiorstwo –</w:t>
      </w:r>
      <w:r w:rsidR="008B35E8" w:rsidRPr="002866E5">
        <w:rPr>
          <w:noProof/>
        </w:rPr>
        <w:t xml:space="preserve"> w</w:t>
      </w:r>
      <w:r w:rsidR="008B35E8">
        <w:rPr>
          <w:noProof/>
        </w:rPr>
        <w:t> </w:t>
      </w:r>
      <w:r w:rsidR="008B35E8" w:rsidRPr="002866E5">
        <w:rPr>
          <w:noProof/>
        </w:rPr>
        <w:t>wys</w:t>
      </w:r>
      <w:r w:rsidR="001B0D84" w:rsidRPr="002866E5">
        <w:rPr>
          <w:noProof/>
        </w:rPr>
        <w:t xml:space="preserve">okości </w:t>
      </w:r>
      <w:r w:rsidR="001B0D84" w:rsidRPr="008B35E8">
        <w:rPr>
          <w:noProof/>
        </w:rPr>
        <w:t>do</w:t>
      </w:r>
      <w:r w:rsidR="008B35E8" w:rsidRPr="008B35E8">
        <w:rPr>
          <w:noProof/>
        </w:rPr>
        <w:t> </w:t>
      </w:r>
      <w:r w:rsidR="001B0D84" w:rsidRPr="008B35E8">
        <w:rPr>
          <w:noProof/>
        </w:rPr>
        <w:t>2</w:t>
      </w:r>
      <w:r w:rsidR="008B35E8" w:rsidRPr="008B35E8">
        <w:rPr>
          <w:noProof/>
        </w:rPr>
        <w:t> </w:t>
      </w:r>
      <w:r w:rsidR="001B0D84" w:rsidRPr="008B35E8">
        <w:rPr>
          <w:noProof/>
        </w:rPr>
        <w:t>%</w:t>
      </w:r>
      <w:r w:rsidR="001B0D84" w:rsidRPr="002866E5">
        <w:rPr>
          <w:noProof/>
        </w:rPr>
        <w:t xml:space="preserve"> jego całkowitego rocznego światowego obrotu</w:t>
      </w:r>
      <w:r w:rsidR="008B35E8" w:rsidRPr="002866E5">
        <w:rPr>
          <w:noProof/>
        </w:rPr>
        <w:t xml:space="preserve"> z</w:t>
      </w:r>
      <w:r w:rsidR="008B35E8">
        <w:rPr>
          <w:noProof/>
        </w:rPr>
        <w:t> </w:t>
      </w:r>
      <w:r w:rsidR="008B35E8" w:rsidRPr="002866E5">
        <w:rPr>
          <w:noProof/>
        </w:rPr>
        <w:t>pop</w:t>
      </w:r>
      <w:r w:rsidR="001B0D84" w:rsidRPr="002866E5">
        <w:rPr>
          <w:noProof/>
        </w:rPr>
        <w:t>rzedniego roku obrotowego, przy czym zastosowanie ma kwota wyższa.</w:t>
      </w:r>
    </w:p>
    <w:p w14:paraId="67ED88DD" w14:textId="2C01E818" w:rsidR="0036678D" w:rsidRPr="002866E5" w:rsidRDefault="00B4087C" w:rsidP="00B4087C">
      <w:pPr>
        <w:pStyle w:val="ManualNumPar1"/>
        <w:rPr>
          <w:noProof/>
        </w:rPr>
      </w:pPr>
      <w:r w:rsidRPr="00B4087C">
        <w:t>5.</w:t>
      </w:r>
      <w:r w:rsidRPr="00B4087C">
        <w:tab/>
      </w:r>
      <w:r w:rsidR="0036678D" w:rsidRPr="002866E5">
        <w:rPr>
          <w:noProof/>
        </w:rPr>
        <w:t>Przekazywanie informacji nieprawidłowych, niekompletnych lub wprowadzających</w:t>
      </w:r>
      <w:r w:rsidR="008B35E8" w:rsidRPr="002866E5">
        <w:rPr>
          <w:noProof/>
        </w:rPr>
        <w:t xml:space="preserve"> w</w:t>
      </w:r>
      <w:r w:rsidR="008B35E8">
        <w:rPr>
          <w:noProof/>
        </w:rPr>
        <w:t> </w:t>
      </w:r>
      <w:r w:rsidR="008B35E8" w:rsidRPr="002866E5">
        <w:rPr>
          <w:noProof/>
        </w:rPr>
        <w:t>błą</w:t>
      </w:r>
      <w:r w:rsidR="0036678D" w:rsidRPr="002866E5">
        <w:rPr>
          <w:noProof/>
        </w:rPr>
        <w:t>d jednostkom notyfikowanym</w:t>
      </w:r>
      <w:r w:rsidR="008B35E8" w:rsidRPr="002866E5">
        <w:rPr>
          <w:noProof/>
        </w:rPr>
        <w:t xml:space="preserve"> i</w:t>
      </w:r>
      <w:r w:rsidR="008B35E8">
        <w:rPr>
          <w:noProof/>
        </w:rPr>
        <w:t> </w:t>
      </w:r>
      <w:r w:rsidR="008B35E8" w:rsidRPr="002866E5">
        <w:rPr>
          <w:noProof/>
        </w:rPr>
        <w:t>org</w:t>
      </w:r>
      <w:r w:rsidR="0036678D" w:rsidRPr="002866E5">
        <w:rPr>
          <w:noProof/>
        </w:rPr>
        <w:t>anom nadzoru rynku</w:t>
      </w:r>
      <w:r w:rsidR="008B35E8" w:rsidRPr="002866E5">
        <w:rPr>
          <w:noProof/>
        </w:rPr>
        <w:t xml:space="preserve"> w</w:t>
      </w:r>
      <w:r w:rsidR="008B35E8">
        <w:rPr>
          <w:noProof/>
        </w:rPr>
        <w:t> </w:t>
      </w:r>
      <w:r w:rsidR="008B35E8" w:rsidRPr="002866E5">
        <w:rPr>
          <w:noProof/>
        </w:rPr>
        <w:t>odp</w:t>
      </w:r>
      <w:r w:rsidR="0036678D" w:rsidRPr="002866E5">
        <w:rPr>
          <w:noProof/>
        </w:rPr>
        <w:t>owiedzi na ich wniosek podlega administracyjnej karze pieniężnej</w:t>
      </w:r>
      <w:r w:rsidR="008B35E8" w:rsidRPr="002866E5">
        <w:rPr>
          <w:noProof/>
        </w:rPr>
        <w:t xml:space="preserve"> w</w:t>
      </w:r>
      <w:r w:rsidR="008B35E8">
        <w:rPr>
          <w:noProof/>
        </w:rPr>
        <w:t> </w:t>
      </w:r>
      <w:r w:rsidR="008B35E8" w:rsidRPr="002866E5">
        <w:rPr>
          <w:noProof/>
        </w:rPr>
        <w:t>wys</w:t>
      </w:r>
      <w:r w:rsidR="0036678D" w:rsidRPr="002866E5">
        <w:rPr>
          <w:noProof/>
        </w:rPr>
        <w:t xml:space="preserve">okości </w:t>
      </w:r>
      <w:r w:rsidR="0036678D" w:rsidRPr="008B35E8">
        <w:rPr>
          <w:noProof/>
        </w:rPr>
        <w:t>do</w:t>
      </w:r>
      <w:r w:rsidR="008B35E8" w:rsidRPr="008B35E8">
        <w:rPr>
          <w:noProof/>
        </w:rPr>
        <w:t> </w:t>
      </w:r>
      <w:r w:rsidR="0036678D" w:rsidRPr="008B35E8">
        <w:rPr>
          <w:noProof/>
        </w:rPr>
        <w:t>5</w:t>
      </w:r>
      <w:r w:rsidR="0036678D" w:rsidRPr="002866E5">
        <w:rPr>
          <w:noProof/>
        </w:rPr>
        <w:t xml:space="preserve"> 000 000 EUR lub, jeżeli za naruszenie odpowiada przedsiębiorstwo –</w:t>
      </w:r>
      <w:r w:rsidR="008B35E8" w:rsidRPr="002866E5">
        <w:rPr>
          <w:noProof/>
        </w:rPr>
        <w:t xml:space="preserve"> w</w:t>
      </w:r>
      <w:r w:rsidR="008B35E8">
        <w:rPr>
          <w:noProof/>
        </w:rPr>
        <w:t> </w:t>
      </w:r>
      <w:r w:rsidR="008B35E8" w:rsidRPr="002866E5">
        <w:rPr>
          <w:noProof/>
        </w:rPr>
        <w:t>wys</w:t>
      </w:r>
      <w:r w:rsidR="0036678D" w:rsidRPr="002866E5">
        <w:rPr>
          <w:noProof/>
        </w:rPr>
        <w:t xml:space="preserve">okości </w:t>
      </w:r>
      <w:r w:rsidR="0036678D" w:rsidRPr="008B35E8">
        <w:rPr>
          <w:noProof/>
        </w:rPr>
        <w:t>do</w:t>
      </w:r>
      <w:r w:rsidR="008B35E8" w:rsidRPr="008B35E8">
        <w:rPr>
          <w:noProof/>
        </w:rPr>
        <w:t> </w:t>
      </w:r>
      <w:r w:rsidR="0036678D" w:rsidRPr="008B35E8">
        <w:rPr>
          <w:noProof/>
        </w:rPr>
        <w:t>1</w:t>
      </w:r>
      <w:r w:rsidR="008B35E8" w:rsidRPr="008B35E8">
        <w:rPr>
          <w:noProof/>
        </w:rPr>
        <w:t> </w:t>
      </w:r>
      <w:r w:rsidR="0036678D" w:rsidRPr="008B35E8">
        <w:rPr>
          <w:noProof/>
        </w:rPr>
        <w:t>%</w:t>
      </w:r>
      <w:r w:rsidR="0036678D" w:rsidRPr="002866E5">
        <w:rPr>
          <w:noProof/>
        </w:rPr>
        <w:t xml:space="preserve"> jego całkowitego rocznego światowego obrotu</w:t>
      </w:r>
      <w:r w:rsidR="008B35E8" w:rsidRPr="002866E5">
        <w:rPr>
          <w:noProof/>
        </w:rPr>
        <w:t xml:space="preserve"> z</w:t>
      </w:r>
      <w:r w:rsidR="008B35E8">
        <w:rPr>
          <w:noProof/>
        </w:rPr>
        <w:t> </w:t>
      </w:r>
      <w:r w:rsidR="008B35E8" w:rsidRPr="002866E5">
        <w:rPr>
          <w:noProof/>
        </w:rPr>
        <w:t>pop</w:t>
      </w:r>
      <w:r w:rsidR="0036678D" w:rsidRPr="002866E5">
        <w:rPr>
          <w:noProof/>
        </w:rPr>
        <w:t>rzedniego roku obrotowego, przy czym zastosowanie ma kwota wyższa.</w:t>
      </w:r>
    </w:p>
    <w:p w14:paraId="67ED88DE" w14:textId="0EFA1B9C" w:rsidR="0036678D" w:rsidRPr="002866E5" w:rsidRDefault="00B4087C" w:rsidP="00B4087C">
      <w:pPr>
        <w:pStyle w:val="ManualNumPar1"/>
        <w:rPr>
          <w:noProof/>
        </w:rPr>
      </w:pPr>
      <w:r w:rsidRPr="00B4087C">
        <w:t>6.</w:t>
      </w:r>
      <w:r w:rsidRPr="00B4087C">
        <w:tab/>
      </w:r>
      <w:r w:rsidR="0036678D" w:rsidRPr="002866E5">
        <w:rPr>
          <w:noProof/>
        </w:rPr>
        <w:t>Ustalając wysokość administracyjnej kary pieniężnej,</w:t>
      </w:r>
      <w:r w:rsidR="008B35E8" w:rsidRPr="002866E5">
        <w:rPr>
          <w:noProof/>
        </w:rPr>
        <w:t xml:space="preserve"> w</w:t>
      </w:r>
      <w:r w:rsidR="008B35E8">
        <w:rPr>
          <w:noProof/>
        </w:rPr>
        <w:t> </w:t>
      </w:r>
      <w:r w:rsidR="008B35E8" w:rsidRPr="002866E5">
        <w:rPr>
          <w:noProof/>
        </w:rPr>
        <w:t>każ</w:t>
      </w:r>
      <w:r w:rsidR="0036678D" w:rsidRPr="002866E5">
        <w:rPr>
          <w:noProof/>
        </w:rPr>
        <w:t>dym indywidualnym przypadku uwzględnia się wszystkie istotne okoliczności danej sytuacji</w:t>
      </w:r>
      <w:r w:rsidR="008B35E8" w:rsidRPr="002866E5">
        <w:rPr>
          <w:noProof/>
        </w:rPr>
        <w:t xml:space="preserve"> i</w:t>
      </w:r>
      <w:r w:rsidR="008B35E8">
        <w:rPr>
          <w:noProof/>
        </w:rPr>
        <w:t> </w:t>
      </w:r>
      <w:r w:rsidR="008B35E8" w:rsidRPr="002866E5">
        <w:rPr>
          <w:noProof/>
        </w:rPr>
        <w:t>zwr</w:t>
      </w:r>
      <w:r w:rsidR="0036678D" w:rsidRPr="002866E5">
        <w:rPr>
          <w:noProof/>
        </w:rPr>
        <w:t xml:space="preserve">aca się należytą uwagę na następujące kwestie: </w:t>
      </w:r>
    </w:p>
    <w:p w14:paraId="67ED88DF" w14:textId="3BE587BE" w:rsidR="0036678D" w:rsidRPr="002866E5" w:rsidRDefault="000340F9" w:rsidP="000340F9">
      <w:pPr>
        <w:pStyle w:val="Point1"/>
        <w:rPr>
          <w:noProof/>
        </w:rPr>
      </w:pPr>
      <w:r w:rsidRPr="000340F9">
        <w:rPr>
          <w:noProof/>
        </w:rPr>
        <w:t>a)</w:t>
      </w:r>
      <w:r w:rsidRPr="000340F9">
        <w:rPr>
          <w:noProof/>
        </w:rPr>
        <w:tab/>
      </w:r>
      <w:r w:rsidR="0036678D" w:rsidRPr="002866E5">
        <w:rPr>
          <w:noProof/>
        </w:rPr>
        <w:t>charakter, wagę</w:t>
      </w:r>
      <w:r w:rsidR="008B35E8" w:rsidRPr="002866E5">
        <w:rPr>
          <w:noProof/>
        </w:rPr>
        <w:t xml:space="preserve"> i</w:t>
      </w:r>
      <w:r w:rsidR="008B35E8">
        <w:rPr>
          <w:noProof/>
        </w:rPr>
        <w:t> </w:t>
      </w:r>
      <w:r w:rsidR="008B35E8" w:rsidRPr="002866E5">
        <w:rPr>
          <w:noProof/>
        </w:rPr>
        <w:t>cza</w:t>
      </w:r>
      <w:r w:rsidR="0036678D" w:rsidRPr="002866E5">
        <w:rPr>
          <w:noProof/>
        </w:rPr>
        <w:t xml:space="preserve">s trwania naruszenia oraz jego konsekwencje; </w:t>
      </w:r>
    </w:p>
    <w:p w14:paraId="67ED88E0" w14:textId="0AA0E5E7" w:rsidR="0036678D" w:rsidRPr="002866E5" w:rsidRDefault="000340F9" w:rsidP="000340F9">
      <w:pPr>
        <w:pStyle w:val="Point1"/>
        <w:rPr>
          <w:noProof/>
        </w:rPr>
      </w:pPr>
      <w:r w:rsidRPr="000340F9">
        <w:rPr>
          <w:noProof/>
        </w:rPr>
        <w:t>b)</w:t>
      </w:r>
      <w:r w:rsidRPr="000340F9">
        <w:rPr>
          <w:noProof/>
        </w:rPr>
        <w:tab/>
      </w:r>
      <w:r w:rsidR="0036678D" w:rsidRPr="002866E5">
        <w:rPr>
          <w:noProof/>
        </w:rPr>
        <w:t xml:space="preserve">czy inne organy nadzoru rynku nałożyły już na ten sam podmiot gospodarczy administracyjne kary pieniężne za podobne naruszenie; </w:t>
      </w:r>
    </w:p>
    <w:p w14:paraId="67ED88E1" w14:textId="50975191" w:rsidR="0036678D" w:rsidRPr="002866E5" w:rsidRDefault="000340F9" w:rsidP="000340F9">
      <w:pPr>
        <w:pStyle w:val="Point1"/>
        <w:rPr>
          <w:noProof/>
        </w:rPr>
      </w:pPr>
      <w:r w:rsidRPr="000340F9">
        <w:rPr>
          <w:noProof/>
        </w:rPr>
        <w:t>c)</w:t>
      </w:r>
      <w:r w:rsidRPr="000340F9">
        <w:rPr>
          <w:noProof/>
        </w:rPr>
        <w:tab/>
      </w:r>
      <w:r w:rsidR="0036678D" w:rsidRPr="002866E5">
        <w:rPr>
          <w:noProof/>
        </w:rPr>
        <w:t>wielkość podmiotu gospodarczego dopuszczającego się naruszenia</w:t>
      </w:r>
      <w:r w:rsidR="008B35E8" w:rsidRPr="002866E5">
        <w:rPr>
          <w:noProof/>
        </w:rPr>
        <w:t xml:space="preserve"> i</w:t>
      </w:r>
      <w:r w:rsidR="008B35E8">
        <w:rPr>
          <w:noProof/>
        </w:rPr>
        <w:t> </w:t>
      </w:r>
      <w:r w:rsidR="008B35E8" w:rsidRPr="002866E5">
        <w:rPr>
          <w:noProof/>
        </w:rPr>
        <w:t>jeg</w:t>
      </w:r>
      <w:r w:rsidR="0036678D" w:rsidRPr="002866E5">
        <w:rPr>
          <w:noProof/>
        </w:rPr>
        <w:t>o udział</w:t>
      </w:r>
      <w:r w:rsidR="008B35E8" w:rsidRPr="002866E5">
        <w:rPr>
          <w:noProof/>
        </w:rPr>
        <w:t xml:space="preserve"> w</w:t>
      </w:r>
      <w:r w:rsidR="008B35E8">
        <w:rPr>
          <w:noProof/>
        </w:rPr>
        <w:t> </w:t>
      </w:r>
      <w:r w:rsidR="008B35E8" w:rsidRPr="002866E5">
        <w:rPr>
          <w:noProof/>
        </w:rPr>
        <w:t>ryn</w:t>
      </w:r>
      <w:r w:rsidR="0036678D" w:rsidRPr="002866E5">
        <w:rPr>
          <w:noProof/>
        </w:rPr>
        <w:t>ku.</w:t>
      </w:r>
    </w:p>
    <w:p w14:paraId="67ED88E2" w14:textId="26C5D7F2" w:rsidR="00150F9E" w:rsidRPr="002866E5" w:rsidRDefault="00B4087C" w:rsidP="00B4087C">
      <w:pPr>
        <w:pStyle w:val="ManualNumPar1"/>
        <w:rPr>
          <w:noProof/>
        </w:rPr>
      </w:pPr>
      <w:r w:rsidRPr="00B4087C">
        <w:t>7.</w:t>
      </w:r>
      <w:r w:rsidRPr="00B4087C">
        <w:tab/>
      </w:r>
      <w:r w:rsidR="008E7D71" w:rsidRPr="002866E5">
        <w:rPr>
          <w:noProof/>
        </w:rPr>
        <w:t xml:space="preserve">Organy nadzoru rynku, które stosują administracyjne kary pieniężne, przekazują te informacje organom nadzoru rynku pozostałych państw członkowskich za </w:t>
      </w:r>
      <w:r w:rsidR="008E7D71" w:rsidRPr="002866E5">
        <w:rPr>
          <w:noProof/>
        </w:rPr>
        <w:lastRenderedPageBreak/>
        <w:t>pośrednictwem systemu informacyjnego</w:t>
      </w:r>
      <w:r w:rsidR="008B35E8" w:rsidRPr="002866E5">
        <w:rPr>
          <w:noProof/>
        </w:rPr>
        <w:t xml:space="preserve"> i</w:t>
      </w:r>
      <w:r w:rsidR="008B35E8">
        <w:rPr>
          <w:noProof/>
        </w:rPr>
        <w:t> </w:t>
      </w:r>
      <w:r w:rsidR="008B35E8" w:rsidRPr="002866E5">
        <w:rPr>
          <w:noProof/>
        </w:rPr>
        <w:t>kom</w:t>
      </w:r>
      <w:r w:rsidR="008E7D71" w:rsidRPr="002866E5">
        <w:rPr>
          <w:noProof/>
        </w:rPr>
        <w:t>unikacyjnego,</w:t>
      </w:r>
      <w:r w:rsidR="008B35E8" w:rsidRPr="002866E5">
        <w:rPr>
          <w:noProof/>
        </w:rPr>
        <w:t xml:space="preserve"> o</w:t>
      </w:r>
      <w:r w:rsidR="008B35E8">
        <w:rPr>
          <w:noProof/>
        </w:rPr>
        <w:t> </w:t>
      </w:r>
      <w:r w:rsidR="008B35E8" w:rsidRPr="002866E5">
        <w:rPr>
          <w:noProof/>
        </w:rPr>
        <w:t>któ</w:t>
      </w:r>
      <w:r w:rsidR="008E7D71" w:rsidRPr="002866E5">
        <w:rPr>
          <w:noProof/>
        </w:rPr>
        <w:t>rym mowa</w:t>
      </w:r>
      <w:r w:rsidR="008B35E8" w:rsidRPr="002866E5">
        <w:rPr>
          <w:noProof/>
        </w:rPr>
        <w:t xml:space="preserve"> w</w:t>
      </w:r>
      <w:r w:rsidR="008B35E8">
        <w:rPr>
          <w:noProof/>
        </w:rPr>
        <w:t> </w:t>
      </w:r>
      <w:r w:rsidR="008B35E8" w:rsidRPr="008B35E8">
        <w:rPr>
          <w:noProof/>
        </w:rPr>
        <w:t>art</w:t>
      </w:r>
      <w:r w:rsidR="008E7D71" w:rsidRPr="008B35E8">
        <w:rPr>
          <w:noProof/>
        </w:rPr>
        <w:t>.</w:t>
      </w:r>
      <w:r w:rsidR="008B35E8" w:rsidRPr="008B35E8">
        <w:rPr>
          <w:noProof/>
        </w:rPr>
        <w:t> </w:t>
      </w:r>
      <w:r w:rsidR="008E7D71" w:rsidRPr="008B35E8">
        <w:rPr>
          <w:noProof/>
        </w:rPr>
        <w:t>3</w:t>
      </w:r>
      <w:r w:rsidR="008E7D71" w:rsidRPr="002866E5">
        <w:rPr>
          <w:noProof/>
        </w:rPr>
        <w:t>4 rozporządzenia (UE) 2019/1020.</w:t>
      </w:r>
    </w:p>
    <w:p w14:paraId="67ED88E3" w14:textId="0C43F976" w:rsidR="008D2507" w:rsidRPr="002866E5" w:rsidRDefault="00B4087C" w:rsidP="00B4087C">
      <w:pPr>
        <w:pStyle w:val="ManualNumPar1"/>
        <w:rPr>
          <w:noProof/>
        </w:rPr>
      </w:pPr>
      <w:r w:rsidRPr="00B4087C">
        <w:t>8.</w:t>
      </w:r>
      <w:r w:rsidRPr="00B4087C">
        <w:tab/>
      </w:r>
      <w:r w:rsidR="0036678D" w:rsidRPr="002866E5">
        <w:rPr>
          <w:noProof/>
        </w:rPr>
        <w:t>Każde państwo członkowskie określa, czy</w:t>
      </w:r>
      <w:r w:rsidR="008B35E8" w:rsidRPr="002866E5">
        <w:rPr>
          <w:noProof/>
        </w:rPr>
        <w:t xml:space="preserve"> i</w:t>
      </w:r>
      <w:r w:rsidR="008B35E8">
        <w:rPr>
          <w:noProof/>
        </w:rPr>
        <w:t> </w:t>
      </w:r>
      <w:r w:rsidR="008B35E8" w:rsidRPr="002866E5">
        <w:rPr>
          <w:noProof/>
        </w:rPr>
        <w:t>w</w:t>
      </w:r>
      <w:r w:rsidR="008B35E8">
        <w:rPr>
          <w:noProof/>
        </w:rPr>
        <w:t> </w:t>
      </w:r>
      <w:r w:rsidR="008B35E8" w:rsidRPr="002866E5">
        <w:rPr>
          <w:noProof/>
        </w:rPr>
        <w:t>jak</w:t>
      </w:r>
      <w:r w:rsidR="0036678D" w:rsidRPr="002866E5">
        <w:rPr>
          <w:noProof/>
        </w:rPr>
        <w:t>im zakresie administracyjne kary pieniężne można nakładać na organy</w:t>
      </w:r>
      <w:r w:rsidR="008B35E8" w:rsidRPr="002866E5">
        <w:rPr>
          <w:noProof/>
        </w:rPr>
        <w:t xml:space="preserve"> i</w:t>
      </w:r>
      <w:r w:rsidR="008B35E8">
        <w:rPr>
          <w:noProof/>
        </w:rPr>
        <w:t> </w:t>
      </w:r>
      <w:r w:rsidR="008B35E8" w:rsidRPr="002866E5">
        <w:rPr>
          <w:noProof/>
        </w:rPr>
        <w:t>pod</w:t>
      </w:r>
      <w:r w:rsidR="0036678D" w:rsidRPr="002866E5">
        <w:rPr>
          <w:noProof/>
        </w:rPr>
        <w:t>mioty publiczne ustanowione</w:t>
      </w:r>
      <w:r w:rsidR="008B35E8" w:rsidRPr="002866E5">
        <w:rPr>
          <w:noProof/>
        </w:rPr>
        <w:t xml:space="preserve"> w</w:t>
      </w:r>
      <w:r w:rsidR="008B35E8">
        <w:rPr>
          <w:noProof/>
        </w:rPr>
        <w:t> </w:t>
      </w:r>
      <w:r w:rsidR="008B35E8" w:rsidRPr="002866E5">
        <w:rPr>
          <w:noProof/>
        </w:rPr>
        <w:t>tym</w:t>
      </w:r>
      <w:r w:rsidR="0036678D" w:rsidRPr="002866E5">
        <w:rPr>
          <w:noProof/>
        </w:rPr>
        <w:t xml:space="preserve"> państwie członkowskim.</w:t>
      </w:r>
    </w:p>
    <w:p w14:paraId="67ED88E4" w14:textId="0615C56F" w:rsidR="0036678D" w:rsidRPr="002866E5" w:rsidRDefault="00B4087C" w:rsidP="00B4087C">
      <w:pPr>
        <w:pStyle w:val="ManualNumPar1"/>
        <w:rPr>
          <w:noProof/>
        </w:rPr>
      </w:pPr>
      <w:r w:rsidRPr="00B4087C">
        <w:t>9.</w:t>
      </w:r>
      <w:r w:rsidRPr="00B4087C">
        <w:tab/>
      </w:r>
      <w:r w:rsidR="0036678D" w:rsidRPr="002866E5">
        <w:rPr>
          <w:noProof/>
        </w:rPr>
        <w:t>W zależności od systemu prawnego państw członkowskich przepisy dotyczące administracyjnych kar pieniężnych można stosować</w:t>
      </w:r>
      <w:r w:rsidR="008B35E8" w:rsidRPr="002866E5">
        <w:rPr>
          <w:noProof/>
        </w:rPr>
        <w:t xml:space="preserve"> w</w:t>
      </w:r>
      <w:r w:rsidR="008B35E8">
        <w:rPr>
          <w:noProof/>
        </w:rPr>
        <w:t> </w:t>
      </w:r>
      <w:r w:rsidR="008B35E8" w:rsidRPr="002866E5">
        <w:rPr>
          <w:noProof/>
        </w:rPr>
        <w:t>tak</w:t>
      </w:r>
      <w:r w:rsidR="0036678D" w:rsidRPr="002866E5">
        <w:rPr>
          <w:noProof/>
        </w:rPr>
        <w:t>i sposób, że kary nakładają właściwe sądy krajowe lub inne odpowiednie organy zgodnie</w:t>
      </w:r>
      <w:r w:rsidR="008B35E8" w:rsidRPr="002866E5">
        <w:rPr>
          <w:noProof/>
        </w:rPr>
        <w:t xml:space="preserve"> z</w:t>
      </w:r>
      <w:r w:rsidR="008B35E8">
        <w:rPr>
          <w:noProof/>
        </w:rPr>
        <w:t> </w:t>
      </w:r>
      <w:r w:rsidR="008B35E8" w:rsidRPr="002866E5">
        <w:rPr>
          <w:noProof/>
        </w:rPr>
        <w:t>kom</w:t>
      </w:r>
      <w:r w:rsidR="0036678D" w:rsidRPr="002866E5">
        <w:rPr>
          <w:noProof/>
        </w:rPr>
        <w:t>petencjami ustanowionymi na szczeblu krajowym</w:t>
      </w:r>
      <w:r w:rsidR="008B35E8" w:rsidRPr="002866E5">
        <w:rPr>
          <w:noProof/>
        </w:rPr>
        <w:t xml:space="preserve"> w</w:t>
      </w:r>
      <w:r w:rsidR="008B35E8">
        <w:rPr>
          <w:noProof/>
        </w:rPr>
        <w:t> </w:t>
      </w:r>
      <w:r w:rsidR="008B35E8" w:rsidRPr="002866E5">
        <w:rPr>
          <w:noProof/>
        </w:rPr>
        <w:t>tyc</w:t>
      </w:r>
      <w:r w:rsidR="0036678D" w:rsidRPr="002866E5">
        <w:rPr>
          <w:noProof/>
        </w:rPr>
        <w:t>h państwach członkowskich. Stosowanie takich przepisów</w:t>
      </w:r>
      <w:r w:rsidR="008B35E8" w:rsidRPr="002866E5">
        <w:rPr>
          <w:noProof/>
        </w:rPr>
        <w:t xml:space="preserve"> w</w:t>
      </w:r>
      <w:r w:rsidR="008B35E8">
        <w:rPr>
          <w:noProof/>
        </w:rPr>
        <w:t> </w:t>
      </w:r>
      <w:r w:rsidR="008B35E8" w:rsidRPr="002866E5">
        <w:rPr>
          <w:noProof/>
        </w:rPr>
        <w:t>tyc</w:t>
      </w:r>
      <w:r w:rsidR="0036678D" w:rsidRPr="002866E5">
        <w:rPr>
          <w:noProof/>
        </w:rPr>
        <w:t>h państwach członkowskich ma skutek równoważny.</w:t>
      </w:r>
    </w:p>
    <w:p w14:paraId="67ED88E5" w14:textId="5448C0B5" w:rsidR="00A270EF" w:rsidRPr="002866E5" w:rsidRDefault="00B4087C" w:rsidP="00B4087C">
      <w:pPr>
        <w:pStyle w:val="ManualNumPar1"/>
        <w:rPr>
          <w:noProof/>
        </w:rPr>
      </w:pPr>
      <w:r w:rsidRPr="00B4087C">
        <w:t>10.</w:t>
      </w:r>
      <w:r w:rsidRPr="00B4087C">
        <w:tab/>
      </w:r>
      <w:r w:rsidR="00A270EF" w:rsidRPr="002866E5">
        <w:rPr>
          <w:noProof/>
        </w:rPr>
        <w:t>Administracyjne kary pieniężne można nakładać,</w:t>
      </w:r>
      <w:r w:rsidR="008B35E8" w:rsidRPr="002866E5">
        <w:rPr>
          <w:noProof/>
        </w:rPr>
        <w:t xml:space="preserve"> w</w:t>
      </w:r>
      <w:r w:rsidR="008B35E8">
        <w:rPr>
          <w:noProof/>
        </w:rPr>
        <w:t> </w:t>
      </w:r>
      <w:r w:rsidR="008B35E8" w:rsidRPr="002866E5">
        <w:rPr>
          <w:noProof/>
        </w:rPr>
        <w:t>zal</w:t>
      </w:r>
      <w:r w:rsidR="00A270EF" w:rsidRPr="002866E5">
        <w:rPr>
          <w:noProof/>
        </w:rPr>
        <w:t>eżności od okoliczności każdego indywidualnego przypadku, oprócz wszelkich innych środków naprawczych lub ograniczających stosowanych przez organy nadzoru rynku</w:t>
      </w:r>
      <w:r w:rsidR="008B35E8" w:rsidRPr="002866E5">
        <w:rPr>
          <w:noProof/>
        </w:rPr>
        <w:t xml:space="preserve"> w</w:t>
      </w:r>
      <w:r w:rsidR="008B35E8">
        <w:rPr>
          <w:noProof/>
        </w:rPr>
        <w:t> </w:t>
      </w:r>
      <w:r w:rsidR="008B35E8" w:rsidRPr="002866E5">
        <w:rPr>
          <w:noProof/>
        </w:rPr>
        <w:t>odn</w:t>
      </w:r>
      <w:r w:rsidR="00A270EF" w:rsidRPr="002866E5">
        <w:rPr>
          <w:noProof/>
        </w:rPr>
        <w:t>iesieniu do tego samego naruszenia.</w:t>
      </w:r>
    </w:p>
    <w:p w14:paraId="67ED88E6" w14:textId="77777777" w:rsidR="00D822DE" w:rsidRPr="002866E5" w:rsidRDefault="00D822DE" w:rsidP="0027065F">
      <w:pPr>
        <w:pStyle w:val="Titrearticle0"/>
        <w:rPr>
          <w:b/>
          <w:noProof/>
        </w:rPr>
      </w:pPr>
      <w:r w:rsidRPr="002866E5">
        <w:rPr>
          <w:b/>
          <w:i w:val="0"/>
          <w:noProof/>
        </w:rPr>
        <w:t>ROZDZIAŁ VIII</w:t>
      </w:r>
    </w:p>
    <w:p w14:paraId="67ED88E7" w14:textId="77777777" w:rsidR="00D822DE" w:rsidRPr="002866E5" w:rsidRDefault="00D822DE" w:rsidP="0027065F">
      <w:pPr>
        <w:pStyle w:val="Titrearticle0"/>
        <w:rPr>
          <w:b/>
          <w:noProof/>
        </w:rPr>
      </w:pPr>
      <w:r w:rsidRPr="002866E5">
        <w:rPr>
          <w:b/>
          <w:i w:val="0"/>
          <w:noProof/>
        </w:rPr>
        <w:t>PRZEPISY PRZEJŚCIOWE I KOŃCOWE</w:t>
      </w:r>
    </w:p>
    <w:p w14:paraId="67ED88E8" w14:textId="65E608E6" w:rsidR="008767DF" w:rsidRPr="002866E5" w:rsidRDefault="008767DF" w:rsidP="0027065F">
      <w:pPr>
        <w:pStyle w:val="Titrearticle0"/>
        <w:rPr>
          <w:noProof/>
        </w:rPr>
      </w:pPr>
      <w:r w:rsidRPr="002866E5">
        <w:rPr>
          <w:noProof/>
        </w:rPr>
        <w:t>Artykuł 54</w:t>
      </w:r>
    </w:p>
    <w:p w14:paraId="67ED88E9" w14:textId="70A1FB05" w:rsidR="008767DF" w:rsidRPr="002866E5" w:rsidRDefault="008767DF" w:rsidP="00D56A43">
      <w:pPr>
        <w:jc w:val="center"/>
        <w:rPr>
          <w:i/>
          <w:noProof/>
        </w:rPr>
      </w:pPr>
      <w:r w:rsidRPr="002866E5">
        <w:rPr>
          <w:i/>
          <w:noProof/>
        </w:rPr>
        <w:t>Zmiana</w:t>
      </w:r>
      <w:r w:rsidR="008B35E8" w:rsidRPr="002866E5">
        <w:rPr>
          <w:i/>
          <w:noProof/>
        </w:rPr>
        <w:t xml:space="preserve"> w</w:t>
      </w:r>
      <w:r w:rsidR="008B35E8">
        <w:rPr>
          <w:i/>
          <w:noProof/>
        </w:rPr>
        <w:t> </w:t>
      </w:r>
      <w:r w:rsidR="008B35E8" w:rsidRPr="002866E5">
        <w:rPr>
          <w:i/>
          <w:noProof/>
        </w:rPr>
        <w:t>roz</w:t>
      </w:r>
      <w:r w:rsidRPr="002866E5">
        <w:rPr>
          <w:i/>
          <w:noProof/>
        </w:rPr>
        <w:t xml:space="preserve">porządzeniu </w:t>
      </w:r>
      <w:r w:rsidRPr="002866E5">
        <w:rPr>
          <w:noProof/>
        </w:rPr>
        <w:t>(</w:t>
      </w:r>
      <w:r w:rsidRPr="002866E5">
        <w:rPr>
          <w:i/>
          <w:noProof/>
        </w:rPr>
        <w:t>UE) 2019/1020</w:t>
      </w:r>
    </w:p>
    <w:p w14:paraId="67ED88EA" w14:textId="3A46EC89" w:rsidR="0019270D" w:rsidRPr="002866E5" w:rsidRDefault="00A248AD" w:rsidP="00D56A43">
      <w:pPr>
        <w:rPr>
          <w:noProof/>
        </w:rPr>
      </w:pPr>
      <w:r w:rsidRPr="002866E5">
        <w:rPr>
          <w:noProof/>
        </w:rPr>
        <w:t>W załączniku I do rozporządzenia (UE) 2019/1020 dodaje się punkt</w:t>
      </w:r>
      <w:r w:rsidR="008B35E8" w:rsidRPr="002866E5">
        <w:rPr>
          <w:noProof/>
        </w:rPr>
        <w:t xml:space="preserve"> w</w:t>
      </w:r>
      <w:r w:rsidR="008B35E8">
        <w:rPr>
          <w:noProof/>
        </w:rPr>
        <w:t> </w:t>
      </w:r>
      <w:r w:rsidR="008B35E8" w:rsidRPr="002866E5">
        <w:rPr>
          <w:noProof/>
        </w:rPr>
        <w:t>brz</w:t>
      </w:r>
      <w:r w:rsidRPr="002866E5">
        <w:rPr>
          <w:noProof/>
        </w:rPr>
        <w:t>mieniu:</w:t>
      </w:r>
    </w:p>
    <w:p w14:paraId="67ED88EB" w14:textId="77777777" w:rsidR="008767DF" w:rsidRPr="002866E5" w:rsidRDefault="0019270D" w:rsidP="00D56A43">
      <w:pPr>
        <w:rPr>
          <w:noProof/>
        </w:rPr>
      </w:pPr>
      <w:r w:rsidRPr="002866E5">
        <w:rPr>
          <w:noProof/>
        </w:rPr>
        <w:t>„71. [Rozporządzenie XXX][akt dotyczący cyberodporności].”</w:t>
      </w:r>
    </w:p>
    <w:p w14:paraId="67ED88EC" w14:textId="44F03B44" w:rsidR="00707AB2" w:rsidRPr="002866E5" w:rsidRDefault="00707AB2" w:rsidP="0027065F">
      <w:pPr>
        <w:pStyle w:val="Titrearticle0"/>
        <w:rPr>
          <w:noProof/>
        </w:rPr>
      </w:pPr>
      <w:r w:rsidRPr="002866E5">
        <w:rPr>
          <w:noProof/>
        </w:rPr>
        <w:t>Artykuł 55</w:t>
      </w:r>
    </w:p>
    <w:p w14:paraId="67ED88ED" w14:textId="77777777" w:rsidR="00707AB2" w:rsidRPr="002866E5" w:rsidRDefault="00707AB2" w:rsidP="00084E38">
      <w:pPr>
        <w:jc w:val="center"/>
        <w:rPr>
          <w:i/>
          <w:noProof/>
        </w:rPr>
      </w:pPr>
      <w:r w:rsidRPr="002866E5">
        <w:rPr>
          <w:i/>
          <w:noProof/>
        </w:rPr>
        <w:t>Przepisy przejściowe</w:t>
      </w:r>
    </w:p>
    <w:p w14:paraId="67ED88EE" w14:textId="0C7DE1B6" w:rsidR="00707AB2" w:rsidRPr="002866E5" w:rsidRDefault="00B4087C" w:rsidP="00B4087C">
      <w:pPr>
        <w:pStyle w:val="ManualNumPar1"/>
        <w:rPr>
          <w:noProof/>
        </w:rPr>
      </w:pPr>
      <w:r w:rsidRPr="00B4087C">
        <w:t>1.</w:t>
      </w:r>
      <w:r w:rsidRPr="00B4087C">
        <w:tab/>
      </w:r>
      <w:r w:rsidR="00707AB2" w:rsidRPr="002866E5">
        <w:rPr>
          <w:noProof/>
        </w:rPr>
        <w:t>Certyfikaty badania typu UE</w:t>
      </w:r>
      <w:r w:rsidR="008B35E8" w:rsidRPr="002866E5">
        <w:rPr>
          <w:noProof/>
        </w:rPr>
        <w:t xml:space="preserve"> i</w:t>
      </w:r>
      <w:r w:rsidR="008B35E8">
        <w:rPr>
          <w:noProof/>
        </w:rPr>
        <w:t> </w:t>
      </w:r>
      <w:r w:rsidR="008B35E8" w:rsidRPr="002866E5">
        <w:rPr>
          <w:noProof/>
        </w:rPr>
        <w:t>dec</w:t>
      </w:r>
      <w:r w:rsidR="00707AB2" w:rsidRPr="002866E5">
        <w:rPr>
          <w:noProof/>
        </w:rPr>
        <w:t>yzje</w:t>
      </w:r>
      <w:r w:rsidR="008B35E8" w:rsidRPr="002866E5">
        <w:rPr>
          <w:noProof/>
        </w:rPr>
        <w:t xml:space="preserve"> o</w:t>
      </w:r>
      <w:r w:rsidR="008B35E8">
        <w:rPr>
          <w:noProof/>
        </w:rPr>
        <w:t> </w:t>
      </w:r>
      <w:r w:rsidR="008B35E8" w:rsidRPr="002866E5">
        <w:rPr>
          <w:noProof/>
        </w:rPr>
        <w:t>zat</w:t>
      </w:r>
      <w:r w:rsidR="00707AB2" w:rsidRPr="002866E5">
        <w:rPr>
          <w:noProof/>
        </w:rPr>
        <w:t>wierdzeniu wydane</w:t>
      </w:r>
      <w:r w:rsidR="008B35E8" w:rsidRPr="002866E5">
        <w:rPr>
          <w:noProof/>
        </w:rPr>
        <w:t xml:space="preserve"> w</w:t>
      </w:r>
      <w:r w:rsidR="008B35E8">
        <w:rPr>
          <w:noProof/>
        </w:rPr>
        <w:t> </w:t>
      </w:r>
      <w:r w:rsidR="008B35E8" w:rsidRPr="002866E5">
        <w:rPr>
          <w:noProof/>
        </w:rPr>
        <w:t>odn</w:t>
      </w:r>
      <w:r w:rsidR="00707AB2" w:rsidRPr="002866E5">
        <w:rPr>
          <w:noProof/>
        </w:rPr>
        <w:t>iesieniu do wymogów cyberbezpieczeństwa dotyczących produktów</w:t>
      </w:r>
      <w:r w:rsidR="008B35E8" w:rsidRPr="002866E5">
        <w:rPr>
          <w:noProof/>
        </w:rPr>
        <w:t xml:space="preserve"> z</w:t>
      </w:r>
      <w:r w:rsidR="008B35E8">
        <w:rPr>
          <w:noProof/>
        </w:rPr>
        <w:t> </w:t>
      </w:r>
      <w:r w:rsidR="008B35E8" w:rsidRPr="002866E5">
        <w:rPr>
          <w:noProof/>
        </w:rPr>
        <w:t>ele</w:t>
      </w:r>
      <w:r w:rsidR="00707AB2" w:rsidRPr="002866E5">
        <w:rPr>
          <w:noProof/>
        </w:rPr>
        <w:t>mentami cyfrowymi, które podlegają innemu unijnemu prawodawstwu harmonizacyjnemu, zachowują ważność do [42 miesięcy od daty wejścia</w:t>
      </w:r>
      <w:r w:rsidR="008B35E8" w:rsidRPr="002866E5">
        <w:rPr>
          <w:noProof/>
        </w:rPr>
        <w:t xml:space="preserve"> w</w:t>
      </w:r>
      <w:r w:rsidR="008B35E8">
        <w:rPr>
          <w:noProof/>
        </w:rPr>
        <w:t> </w:t>
      </w:r>
      <w:r w:rsidR="008B35E8" w:rsidRPr="002866E5">
        <w:rPr>
          <w:noProof/>
        </w:rPr>
        <w:t>życ</w:t>
      </w:r>
      <w:r w:rsidR="00707AB2" w:rsidRPr="002866E5">
        <w:rPr>
          <w:noProof/>
        </w:rPr>
        <w:t>ie niniejszego rozporządzenia] r., chyba że ich ważność wygasa przed tą datą lub że określono inaczej</w:t>
      </w:r>
      <w:r w:rsidR="008B35E8" w:rsidRPr="002866E5">
        <w:rPr>
          <w:noProof/>
        </w:rPr>
        <w:t xml:space="preserve"> w</w:t>
      </w:r>
      <w:r w:rsidR="008B35E8">
        <w:rPr>
          <w:noProof/>
        </w:rPr>
        <w:t> </w:t>
      </w:r>
      <w:r w:rsidR="008B35E8" w:rsidRPr="002866E5">
        <w:rPr>
          <w:noProof/>
        </w:rPr>
        <w:t>inn</w:t>
      </w:r>
      <w:r w:rsidR="00707AB2" w:rsidRPr="002866E5">
        <w:rPr>
          <w:noProof/>
        </w:rPr>
        <w:t>ych przepisach Unii,</w:t>
      </w:r>
      <w:r w:rsidR="008B35E8" w:rsidRPr="002866E5">
        <w:rPr>
          <w:noProof/>
        </w:rPr>
        <w:t xml:space="preserve"> w</w:t>
      </w:r>
      <w:r w:rsidR="008B35E8">
        <w:rPr>
          <w:noProof/>
        </w:rPr>
        <w:t> </w:t>
      </w:r>
      <w:r w:rsidR="008B35E8" w:rsidRPr="002866E5">
        <w:rPr>
          <w:noProof/>
        </w:rPr>
        <w:t>któ</w:t>
      </w:r>
      <w:r w:rsidR="00707AB2" w:rsidRPr="002866E5">
        <w:rPr>
          <w:noProof/>
        </w:rPr>
        <w:t>rym to przypadku zachowują ważność zgodnie</w:t>
      </w:r>
      <w:r w:rsidR="008B35E8" w:rsidRPr="002866E5">
        <w:rPr>
          <w:noProof/>
        </w:rPr>
        <w:t xml:space="preserve"> z</w:t>
      </w:r>
      <w:r w:rsidR="008B35E8">
        <w:rPr>
          <w:noProof/>
        </w:rPr>
        <w:t> </w:t>
      </w:r>
      <w:r w:rsidR="008B35E8" w:rsidRPr="002866E5">
        <w:rPr>
          <w:noProof/>
        </w:rPr>
        <w:t>tym</w:t>
      </w:r>
      <w:r w:rsidR="00707AB2" w:rsidRPr="002866E5">
        <w:rPr>
          <w:noProof/>
        </w:rPr>
        <w:t xml:space="preserve">i przepisami Unii. </w:t>
      </w:r>
    </w:p>
    <w:p w14:paraId="67ED88EF" w14:textId="0D0ED13E" w:rsidR="00026627" w:rsidRPr="002866E5" w:rsidRDefault="00B4087C" w:rsidP="00B4087C">
      <w:pPr>
        <w:pStyle w:val="ManualNumPar1"/>
        <w:rPr>
          <w:noProof/>
        </w:rPr>
      </w:pPr>
      <w:r w:rsidRPr="00B4087C">
        <w:t>2.</w:t>
      </w:r>
      <w:r w:rsidRPr="00B4087C">
        <w:tab/>
      </w:r>
      <w:r w:rsidR="00FF193D" w:rsidRPr="002866E5">
        <w:rPr>
          <w:noProof/>
        </w:rPr>
        <w:t>Produkty</w:t>
      </w:r>
      <w:r w:rsidR="008B35E8" w:rsidRPr="002866E5">
        <w:rPr>
          <w:noProof/>
        </w:rPr>
        <w:t xml:space="preserve"> z</w:t>
      </w:r>
      <w:r w:rsidR="008B35E8">
        <w:rPr>
          <w:noProof/>
        </w:rPr>
        <w:t> </w:t>
      </w:r>
      <w:r w:rsidR="008B35E8" w:rsidRPr="002866E5">
        <w:rPr>
          <w:noProof/>
        </w:rPr>
        <w:t>ele</w:t>
      </w:r>
      <w:r w:rsidR="00FF193D" w:rsidRPr="002866E5">
        <w:rPr>
          <w:noProof/>
        </w:rPr>
        <w:t>mentami cyfrowymi, które zostały wprowadzone do obrotu przed [data rozpoczęcia stosowania niniejszego rozporządzenia,</w:t>
      </w:r>
      <w:r w:rsidR="008B35E8" w:rsidRPr="002866E5">
        <w:rPr>
          <w:noProof/>
        </w:rPr>
        <w:t xml:space="preserve"> o</w:t>
      </w:r>
      <w:r w:rsidR="008B35E8">
        <w:rPr>
          <w:noProof/>
        </w:rPr>
        <w:t> </w:t>
      </w:r>
      <w:r w:rsidR="008B35E8" w:rsidRPr="002866E5">
        <w:rPr>
          <w:noProof/>
        </w:rPr>
        <w:t>któ</w:t>
      </w:r>
      <w:r w:rsidR="00FF193D" w:rsidRPr="002866E5">
        <w:rPr>
          <w:noProof/>
        </w:rPr>
        <w:t>rej mowa</w:t>
      </w:r>
      <w:r w:rsidR="008B35E8" w:rsidRPr="002866E5">
        <w:rPr>
          <w:noProof/>
        </w:rPr>
        <w:t xml:space="preserve"> w</w:t>
      </w:r>
      <w:r w:rsidR="008B35E8">
        <w:rPr>
          <w:noProof/>
        </w:rPr>
        <w:t> </w:t>
      </w:r>
      <w:r w:rsidR="008B35E8" w:rsidRPr="008B35E8">
        <w:rPr>
          <w:noProof/>
        </w:rPr>
        <w:t>art</w:t>
      </w:r>
      <w:r w:rsidR="00FF193D" w:rsidRPr="008B35E8">
        <w:rPr>
          <w:noProof/>
        </w:rPr>
        <w:t>.</w:t>
      </w:r>
      <w:r w:rsidR="008B35E8" w:rsidRPr="008B35E8">
        <w:rPr>
          <w:noProof/>
        </w:rPr>
        <w:t> </w:t>
      </w:r>
      <w:r w:rsidR="00FF193D" w:rsidRPr="008B35E8">
        <w:rPr>
          <w:noProof/>
        </w:rPr>
        <w:t>5</w:t>
      </w:r>
      <w:r w:rsidR="00FF193D" w:rsidRPr="002866E5">
        <w:rPr>
          <w:noProof/>
        </w:rPr>
        <w:t>7] r., podlegają wymogom określonym</w:t>
      </w:r>
      <w:r w:rsidR="008B35E8" w:rsidRPr="002866E5">
        <w:rPr>
          <w:noProof/>
        </w:rPr>
        <w:t xml:space="preserve"> w</w:t>
      </w:r>
      <w:r w:rsidR="008B35E8">
        <w:rPr>
          <w:noProof/>
        </w:rPr>
        <w:t> </w:t>
      </w:r>
      <w:r w:rsidR="008B35E8" w:rsidRPr="002866E5">
        <w:rPr>
          <w:noProof/>
        </w:rPr>
        <w:t>nin</w:t>
      </w:r>
      <w:r w:rsidR="00FF193D" w:rsidRPr="002866E5">
        <w:rPr>
          <w:noProof/>
        </w:rPr>
        <w:t>iejszym rozporządzeniu wyłącznie</w:t>
      </w:r>
      <w:r w:rsidR="008B35E8" w:rsidRPr="002866E5">
        <w:rPr>
          <w:noProof/>
        </w:rPr>
        <w:t xml:space="preserve"> w</w:t>
      </w:r>
      <w:r w:rsidR="008B35E8">
        <w:rPr>
          <w:noProof/>
        </w:rPr>
        <w:t> </w:t>
      </w:r>
      <w:r w:rsidR="008B35E8" w:rsidRPr="002866E5">
        <w:rPr>
          <w:noProof/>
        </w:rPr>
        <w:t>prz</w:t>
      </w:r>
      <w:r w:rsidR="00FF193D" w:rsidRPr="002866E5">
        <w:rPr>
          <w:noProof/>
        </w:rPr>
        <w:t>ypadku, gdy od tej daty nastąpią istotne modyfikacje projektu lub przeznaczenia tych produktów.</w:t>
      </w:r>
    </w:p>
    <w:p w14:paraId="67ED88F0" w14:textId="7B51D2BF" w:rsidR="003E6E76" w:rsidRPr="002866E5" w:rsidRDefault="00B4087C" w:rsidP="00B4087C">
      <w:pPr>
        <w:pStyle w:val="ManualNumPar1"/>
        <w:rPr>
          <w:noProof/>
        </w:rPr>
      </w:pPr>
      <w:r w:rsidRPr="00B4087C">
        <w:t>3.</w:t>
      </w:r>
      <w:r w:rsidRPr="00B4087C">
        <w:tab/>
      </w:r>
      <w:r w:rsidR="00026627" w:rsidRPr="002866E5">
        <w:rPr>
          <w:noProof/>
        </w:rPr>
        <w:t xml:space="preserve">Na zasadzie odstępstwa od </w:t>
      </w:r>
      <w:r w:rsidR="00026627" w:rsidRPr="008B35E8">
        <w:rPr>
          <w:noProof/>
        </w:rPr>
        <w:t>ust.</w:t>
      </w:r>
      <w:r w:rsidR="008B35E8" w:rsidRPr="008B35E8">
        <w:rPr>
          <w:noProof/>
        </w:rPr>
        <w:t> </w:t>
      </w:r>
      <w:r w:rsidR="00026627" w:rsidRPr="008B35E8">
        <w:rPr>
          <w:noProof/>
        </w:rPr>
        <w:t>2</w:t>
      </w:r>
      <w:r w:rsidR="00026627" w:rsidRPr="002866E5">
        <w:rPr>
          <w:noProof/>
        </w:rPr>
        <w:t xml:space="preserve"> obowiązki określone</w:t>
      </w:r>
      <w:r w:rsidR="008B35E8" w:rsidRPr="002866E5">
        <w:rPr>
          <w:noProof/>
        </w:rPr>
        <w:t xml:space="preserve"> w</w:t>
      </w:r>
      <w:r w:rsidR="008B35E8">
        <w:rPr>
          <w:noProof/>
        </w:rPr>
        <w:t> </w:t>
      </w:r>
      <w:r w:rsidR="008B35E8" w:rsidRPr="008B35E8">
        <w:rPr>
          <w:noProof/>
        </w:rPr>
        <w:t>art</w:t>
      </w:r>
      <w:r w:rsidR="00026627" w:rsidRPr="008B35E8">
        <w:rPr>
          <w:noProof/>
        </w:rPr>
        <w:t>.</w:t>
      </w:r>
      <w:r w:rsidR="008B35E8" w:rsidRPr="008B35E8">
        <w:rPr>
          <w:noProof/>
        </w:rPr>
        <w:t> </w:t>
      </w:r>
      <w:r w:rsidR="00026627" w:rsidRPr="008B35E8">
        <w:rPr>
          <w:noProof/>
        </w:rPr>
        <w:t>1</w:t>
      </w:r>
      <w:r w:rsidR="00026627" w:rsidRPr="002866E5">
        <w:rPr>
          <w:noProof/>
        </w:rPr>
        <w:t>1 mają zastosowanie do wszystkich produktów</w:t>
      </w:r>
      <w:r w:rsidR="008B35E8" w:rsidRPr="002866E5">
        <w:rPr>
          <w:noProof/>
        </w:rPr>
        <w:t xml:space="preserve"> z</w:t>
      </w:r>
      <w:r w:rsidR="008B35E8">
        <w:rPr>
          <w:noProof/>
        </w:rPr>
        <w:t> </w:t>
      </w:r>
      <w:r w:rsidR="008B35E8" w:rsidRPr="002866E5">
        <w:rPr>
          <w:noProof/>
        </w:rPr>
        <w:t>ele</w:t>
      </w:r>
      <w:r w:rsidR="00026627" w:rsidRPr="002866E5">
        <w:rPr>
          <w:noProof/>
        </w:rPr>
        <w:t>mentami cyfrowymi objętych zakresem stosowania niniejszego rozporządzenia, które zostały wprowadzone do obrotu przed [data rozpoczęcia stosowania niniejszego rozporządzenia,</w:t>
      </w:r>
      <w:r w:rsidR="008B35E8" w:rsidRPr="002866E5">
        <w:rPr>
          <w:noProof/>
        </w:rPr>
        <w:t xml:space="preserve"> o</w:t>
      </w:r>
      <w:r w:rsidR="008B35E8">
        <w:rPr>
          <w:noProof/>
        </w:rPr>
        <w:t> </w:t>
      </w:r>
      <w:r w:rsidR="008B35E8" w:rsidRPr="002866E5">
        <w:rPr>
          <w:noProof/>
        </w:rPr>
        <w:t>któ</w:t>
      </w:r>
      <w:r w:rsidR="00026627" w:rsidRPr="002866E5">
        <w:rPr>
          <w:noProof/>
        </w:rPr>
        <w:t>rej mowa</w:t>
      </w:r>
      <w:r w:rsidR="008B35E8" w:rsidRPr="002866E5">
        <w:rPr>
          <w:noProof/>
        </w:rPr>
        <w:t xml:space="preserve"> w</w:t>
      </w:r>
      <w:r w:rsidR="008B35E8">
        <w:rPr>
          <w:noProof/>
        </w:rPr>
        <w:t> </w:t>
      </w:r>
      <w:r w:rsidR="008B35E8" w:rsidRPr="008B35E8">
        <w:rPr>
          <w:noProof/>
        </w:rPr>
        <w:t>art</w:t>
      </w:r>
      <w:r w:rsidR="00026627" w:rsidRPr="008B35E8">
        <w:rPr>
          <w:noProof/>
        </w:rPr>
        <w:t>.</w:t>
      </w:r>
      <w:r w:rsidR="008B35E8" w:rsidRPr="008B35E8">
        <w:rPr>
          <w:noProof/>
        </w:rPr>
        <w:t> </w:t>
      </w:r>
      <w:r w:rsidR="00026627" w:rsidRPr="008B35E8">
        <w:rPr>
          <w:noProof/>
        </w:rPr>
        <w:t>5</w:t>
      </w:r>
      <w:r w:rsidR="00026627" w:rsidRPr="002866E5">
        <w:rPr>
          <w:noProof/>
        </w:rPr>
        <w:t>7] r.</w:t>
      </w:r>
    </w:p>
    <w:p w14:paraId="67ED88F1" w14:textId="0C5FD562" w:rsidR="008D2507" w:rsidRPr="002866E5" w:rsidRDefault="00E14BF2" w:rsidP="00F86F80">
      <w:pPr>
        <w:pStyle w:val="Titrearticle3"/>
        <w:rPr>
          <w:noProof/>
        </w:rPr>
      </w:pPr>
      <w:r w:rsidRPr="002866E5">
        <w:rPr>
          <w:noProof/>
        </w:rPr>
        <w:lastRenderedPageBreak/>
        <w:t>Artykuł 56</w:t>
      </w:r>
    </w:p>
    <w:p w14:paraId="67ED88F2" w14:textId="2334DA45" w:rsidR="008D2507" w:rsidRPr="002866E5" w:rsidRDefault="008D2507" w:rsidP="00084E38">
      <w:pPr>
        <w:jc w:val="center"/>
        <w:rPr>
          <w:i/>
          <w:noProof/>
        </w:rPr>
      </w:pPr>
      <w:r w:rsidRPr="002866E5">
        <w:rPr>
          <w:i/>
          <w:noProof/>
        </w:rPr>
        <w:t>Ocena</w:t>
      </w:r>
      <w:r w:rsidR="008B35E8" w:rsidRPr="002866E5">
        <w:rPr>
          <w:i/>
          <w:noProof/>
        </w:rPr>
        <w:t xml:space="preserve"> i</w:t>
      </w:r>
      <w:r w:rsidR="008B35E8">
        <w:rPr>
          <w:i/>
          <w:noProof/>
        </w:rPr>
        <w:t> </w:t>
      </w:r>
      <w:r w:rsidR="008B35E8" w:rsidRPr="002866E5">
        <w:rPr>
          <w:i/>
          <w:noProof/>
        </w:rPr>
        <w:t>prz</w:t>
      </w:r>
      <w:r w:rsidRPr="002866E5">
        <w:rPr>
          <w:i/>
          <w:noProof/>
        </w:rPr>
        <w:t>egląd</w:t>
      </w:r>
    </w:p>
    <w:p w14:paraId="67ED88F3" w14:textId="69DB620A" w:rsidR="008D2507" w:rsidRPr="002866E5" w:rsidRDefault="008D2507" w:rsidP="007A25AB">
      <w:pPr>
        <w:rPr>
          <w:noProof/>
        </w:rPr>
      </w:pPr>
      <w:r w:rsidRPr="002866E5">
        <w:rPr>
          <w:noProof/>
        </w:rPr>
        <w:t>Do [36 miesięcy od daty rozpoczęcia stosowania niniejszego rozporządzenia] r.,</w:t>
      </w:r>
      <w:r w:rsidR="008B35E8" w:rsidRPr="002866E5">
        <w:rPr>
          <w:noProof/>
        </w:rPr>
        <w:t xml:space="preserve"> a</w:t>
      </w:r>
      <w:r w:rsidR="008B35E8">
        <w:rPr>
          <w:noProof/>
        </w:rPr>
        <w:t> </w:t>
      </w:r>
      <w:r w:rsidR="008B35E8" w:rsidRPr="002866E5">
        <w:rPr>
          <w:noProof/>
        </w:rPr>
        <w:t>nas</w:t>
      </w:r>
      <w:r w:rsidRPr="002866E5">
        <w:rPr>
          <w:noProof/>
        </w:rPr>
        <w:t>tępnie co cztery lata Komisja przedkłada Parlamentowi Europejskiemu</w:t>
      </w:r>
      <w:r w:rsidR="008B35E8" w:rsidRPr="002866E5">
        <w:rPr>
          <w:noProof/>
        </w:rPr>
        <w:t xml:space="preserve"> i</w:t>
      </w:r>
      <w:r w:rsidR="008B35E8">
        <w:rPr>
          <w:noProof/>
        </w:rPr>
        <w:t> </w:t>
      </w:r>
      <w:r w:rsidR="008B35E8" w:rsidRPr="002866E5">
        <w:rPr>
          <w:noProof/>
        </w:rPr>
        <w:t>Rad</w:t>
      </w:r>
      <w:r w:rsidRPr="002866E5">
        <w:rPr>
          <w:noProof/>
        </w:rPr>
        <w:t>zie sprawozdanie</w:t>
      </w:r>
      <w:r w:rsidR="008B35E8" w:rsidRPr="002866E5">
        <w:rPr>
          <w:noProof/>
        </w:rPr>
        <w:t xml:space="preserve"> z</w:t>
      </w:r>
      <w:r w:rsidR="008B35E8">
        <w:rPr>
          <w:noProof/>
        </w:rPr>
        <w:t> </w:t>
      </w:r>
      <w:r w:rsidR="008B35E8" w:rsidRPr="002866E5">
        <w:rPr>
          <w:noProof/>
        </w:rPr>
        <w:t>oce</w:t>
      </w:r>
      <w:r w:rsidRPr="002866E5">
        <w:rPr>
          <w:noProof/>
        </w:rPr>
        <w:t>ny</w:t>
      </w:r>
      <w:r w:rsidR="008B35E8" w:rsidRPr="002866E5">
        <w:rPr>
          <w:noProof/>
        </w:rPr>
        <w:t xml:space="preserve"> i</w:t>
      </w:r>
      <w:r w:rsidR="008B35E8">
        <w:rPr>
          <w:noProof/>
        </w:rPr>
        <w:t> </w:t>
      </w:r>
      <w:r w:rsidR="008B35E8" w:rsidRPr="002866E5">
        <w:rPr>
          <w:noProof/>
        </w:rPr>
        <w:t>prz</w:t>
      </w:r>
      <w:r w:rsidRPr="002866E5">
        <w:rPr>
          <w:noProof/>
        </w:rPr>
        <w:t>eglądu niniejszego rozporządzenia. Sprawozdania te są podawane do wiadomości publicznej.</w:t>
      </w:r>
    </w:p>
    <w:p w14:paraId="67ED88F4" w14:textId="5389CC2B" w:rsidR="0037165D" w:rsidRPr="002866E5" w:rsidRDefault="0037165D" w:rsidP="0027065F">
      <w:pPr>
        <w:pStyle w:val="Titrearticle0"/>
        <w:rPr>
          <w:noProof/>
        </w:rPr>
      </w:pPr>
      <w:r w:rsidRPr="002866E5">
        <w:rPr>
          <w:noProof/>
        </w:rPr>
        <w:t>Artykuł 57</w:t>
      </w:r>
    </w:p>
    <w:p w14:paraId="67ED88F5" w14:textId="61001281" w:rsidR="002C326C" w:rsidRPr="002866E5" w:rsidRDefault="002C326C" w:rsidP="00084E38">
      <w:pPr>
        <w:jc w:val="center"/>
        <w:rPr>
          <w:i/>
          <w:noProof/>
        </w:rPr>
      </w:pPr>
      <w:r w:rsidRPr="002866E5">
        <w:rPr>
          <w:i/>
          <w:noProof/>
        </w:rPr>
        <w:t>Wejście</w:t>
      </w:r>
      <w:r w:rsidR="008B35E8" w:rsidRPr="002866E5">
        <w:rPr>
          <w:i/>
          <w:noProof/>
        </w:rPr>
        <w:t xml:space="preserve"> w</w:t>
      </w:r>
      <w:r w:rsidR="008B35E8">
        <w:rPr>
          <w:i/>
          <w:noProof/>
        </w:rPr>
        <w:t> </w:t>
      </w:r>
      <w:r w:rsidR="008B35E8" w:rsidRPr="002866E5">
        <w:rPr>
          <w:i/>
          <w:noProof/>
        </w:rPr>
        <w:t>życ</w:t>
      </w:r>
      <w:r w:rsidRPr="002866E5">
        <w:rPr>
          <w:i/>
          <w:noProof/>
        </w:rPr>
        <w:t>ie</w:t>
      </w:r>
      <w:r w:rsidR="008B35E8" w:rsidRPr="002866E5">
        <w:rPr>
          <w:i/>
          <w:noProof/>
        </w:rPr>
        <w:t xml:space="preserve"> i</w:t>
      </w:r>
      <w:r w:rsidR="008B35E8">
        <w:rPr>
          <w:i/>
          <w:noProof/>
        </w:rPr>
        <w:t> </w:t>
      </w:r>
      <w:r w:rsidR="008B35E8" w:rsidRPr="002866E5">
        <w:rPr>
          <w:i/>
          <w:noProof/>
        </w:rPr>
        <w:t>sto</w:t>
      </w:r>
      <w:r w:rsidRPr="002866E5">
        <w:rPr>
          <w:i/>
          <w:noProof/>
        </w:rPr>
        <w:t>sowanie</w:t>
      </w:r>
    </w:p>
    <w:p w14:paraId="67ED88F6" w14:textId="3815BFFD" w:rsidR="0037165D" w:rsidRPr="002866E5" w:rsidRDefault="0037165D" w:rsidP="00881943">
      <w:pPr>
        <w:rPr>
          <w:noProof/>
        </w:rPr>
      </w:pPr>
      <w:r w:rsidRPr="002866E5">
        <w:rPr>
          <w:noProof/>
        </w:rPr>
        <w:t>Niniejsze rozporządzenie wchodzi</w:t>
      </w:r>
      <w:r w:rsidR="008B35E8" w:rsidRPr="002866E5">
        <w:rPr>
          <w:noProof/>
        </w:rPr>
        <w:t xml:space="preserve"> w</w:t>
      </w:r>
      <w:r w:rsidR="008B35E8">
        <w:rPr>
          <w:noProof/>
        </w:rPr>
        <w:t> </w:t>
      </w:r>
      <w:r w:rsidR="008B35E8" w:rsidRPr="002866E5">
        <w:rPr>
          <w:noProof/>
        </w:rPr>
        <w:t>życ</w:t>
      </w:r>
      <w:r w:rsidRPr="002866E5">
        <w:rPr>
          <w:noProof/>
        </w:rPr>
        <w:t>ie dwudziestego dnia po jego opublikowaniu</w:t>
      </w:r>
      <w:r w:rsidR="008B35E8" w:rsidRPr="002866E5">
        <w:rPr>
          <w:noProof/>
        </w:rPr>
        <w:t xml:space="preserve"> w</w:t>
      </w:r>
      <w:r w:rsidR="008B35E8">
        <w:rPr>
          <w:noProof/>
        </w:rPr>
        <w:t> </w:t>
      </w:r>
      <w:r w:rsidR="008B35E8" w:rsidRPr="002866E5">
        <w:rPr>
          <w:i/>
          <w:noProof/>
        </w:rPr>
        <w:t>Dzi</w:t>
      </w:r>
      <w:r w:rsidRPr="002866E5">
        <w:rPr>
          <w:i/>
          <w:noProof/>
        </w:rPr>
        <w:t>enniku Urzędowym Unii Europejskiej</w:t>
      </w:r>
      <w:r w:rsidRPr="002866E5">
        <w:rPr>
          <w:noProof/>
        </w:rPr>
        <w:t>.</w:t>
      </w:r>
    </w:p>
    <w:p w14:paraId="67ED88F7" w14:textId="59E7BBD7" w:rsidR="00384D4D" w:rsidRPr="002866E5" w:rsidRDefault="00D822DE" w:rsidP="00384D4D">
      <w:pPr>
        <w:rPr>
          <w:noProof/>
        </w:rPr>
      </w:pPr>
      <w:r w:rsidRPr="002866E5">
        <w:rPr>
          <w:noProof/>
        </w:rPr>
        <w:t>Niniejsze rozporządzenie stosuje się od [24 miesiące od wejścia</w:t>
      </w:r>
      <w:r w:rsidR="008B35E8" w:rsidRPr="002866E5">
        <w:rPr>
          <w:noProof/>
        </w:rPr>
        <w:t xml:space="preserve"> w</w:t>
      </w:r>
      <w:r w:rsidR="008B35E8">
        <w:rPr>
          <w:noProof/>
        </w:rPr>
        <w:t> </w:t>
      </w:r>
      <w:r w:rsidR="008B35E8" w:rsidRPr="002866E5">
        <w:rPr>
          <w:noProof/>
        </w:rPr>
        <w:t>życ</w:t>
      </w:r>
      <w:r w:rsidRPr="002866E5">
        <w:rPr>
          <w:noProof/>
        </w:rPr>
        <w:t>ie niniejszego rozporządzenia] r. Art. 11 stosuje się jednak od [12 miesięcy od wejścia</w:t>
      </w:r>
      <w:r w:rsidR="008B35E8" w:rsidRPr="002866E5">
        <w:rPr>
          <w:noProof/>
        </w:rPr>
        <w:t xml:space="preserve"> w</w:t>
      </w:r>
      <w:r w:rsidR="008B35E8">
        <w:rPr>
          <w:noProof/>
        </w:rPr>
        <w:t> </w:t>
      </w:r>
      <w:r w:rsidR="008B35E8" w:rsidRPr="002866E5">
        <w:rPr>
          <w:noProof/>
        </w:rPr>
        <w:t>życ</w:t>
      </w:r>
      <w:r w:rsidRPr="002866E5">
        <w:rPr>
          <w:noProof/>
        </w:rPr>
        <w:t>ie niniejszego rozporządzenia] r.</w:t>
      </w:r>
    </w:p>
    <w:p w14:paraId="67ED88F8" w14:textId="77777777" w:rsidR="008E53D5" w:rsidRPr="002866E5" w:rsidRDefault="008E53D5" w:rsidP="00384D4D">
      <w:pPr>
        <w:rPr>
          <w:noProof/>
        </w:rPr>
      </w:pPr>
    </w:p>
    <w:p w14:paraId="67ED88F9" w14:textId="1F30F047" w:rsidR="0037165D" w:rsidRPr="002866E5" w:rsidRDefault="0037165D" w:rsidP="00384D4D">
      <w:pPr>
        <w:rPr>
          <w:noProof/>
        </w:rPr>
      </w:pPr>
      <w:r w:rsidRPr="002866E5">
        <w:rPr>
          <w:noProof/>
        </w:rPr>
        <w:t>Niniejsze rozporządzenie wiąże</w:t>
      </w:r>
      <w:r w:rsidR="008B35E8" w:rsidRPr="002866E5">
        <w:rPr>
          <w:noProof/>
        </w:rPr>
        <w:t xml:space="preserve"> w</w:t>
      </w:r>
      <w:r w:rsidR="008B35E8">
        <w:rPr>
          <w:noProof/>
        </w:rPr>
        <w:t> </w:t>
      </w:r>
      <w:r w:rsidR="008B35E8" w:rsidRPr="002866E5">
        <w:rPr>
          <w:noProof/>
        </w:rPr>
        <w:t>cał</w:t>
      </w:r>
      <w:r w:rsidRPr="002866E5">
        <w:rPr>
          <w:noProof/>
        </w:rPr>
        <w:t>ości</w:t>
      </w:r>
      <w:r w:rsidR="008B35E8" w:rsidRPr="002866E5">
        <w:rPr>
          <w:noProof/>
        </w:rPr>
        <w:t xml:space="preserve"> i</w:t>
      </w:r>
      <w:r w:rsidR="008B35E8">
        <w:rPr>
          <w:noProof/>
        </w:rPr>
        <w:t> </w:t>
      </w:r>
      <w:r w:rsidR="008B35E8" w:rsidRPr="002866E5">
        <w:rPr>
          <w:noProof/>
        </w:rPr>
        <w:t>jes</w:t>
      </w:r>
      <w:r w:rsidRPr="002866E5">
        <w:rPr>
          <w:noProof/>
        </w:rPr>
        <w:t>t bezpośrednio stosowane we wszystkich państwach członkowskich.</w:t>
      </w:r>
    </w:p>
    <w:p w14:paraId="67ED88FA" w14:textId="2E31E87C" w:rsidR="0037165D" w:rsidRPr="002866E5" w:rsidRDefault="00E42990" w:rsidP="00A1712E">
      <w:pPr>
        <w:pStyle w:val="Fait"/>
        <w:rPr>
          <w:noProof/>
        </w:rPr>
      </w:pPr>
      <w:r w:rsidRPr="00E42990">
        <w:t xml:space="preserve">Sporządzono w Brukseli dnia </w:t>
      </w:r>
      <w:r w:rsidRPr="00E42990">
        <w:rPr>
          <w:rStyle w:val="Marker"/>
        </w:rPr>
        <w:t>[…]</w:t>
      </w:r>
      <w:r w:rsidRPr="00E42990">
        <w:t xml:space="preserve"> r.</w:t>
      </w:r>
    </w:p>
    <w:p w14:paraId="67ED88FB" w14:textId="77777777" w:rsidR="0037165D" w:rsidRPr="002866E5" w:rsidRDefault="0037165D" w:rsidP="00A1712E">
      <w:pPr>
        <w:pStyle w:val="Institutionquisigne"/>
        <w:rPr>
          <w:noProof/>
        </w:rPr>
      </w:pPr>
      <w:r w:rsidRPr="002866E5">
        <w:rPr>
          <w:noProof/>
        </w:rPr>
        <w:t>W imieniu Parlamentu Europejskiego</w:t>
      </w:r>
      <w:r w:rsidRPr="002866E5">
        <w:rPr>
          <w:noProof/>
        </w:rPr>
        <w:tab/>
        <w:t>W imieniu Rady</w:t>
      </w:r>
    </w:p>
    <w:p w14:paraId="67ED88FC" w14:textId="77777777" w:rsidR="0037165D" w:rsidRPr="002866E5" w:rsidRDefault="0037165D" w:rsidP="0037165D">
      <w:pPr>
        <w:pStyle w:val="Personnequisigne"/>
        <w:rPr>
          <w:noProof/>
        </w:rPr>
      </w:pPr>
      <w:r w:rsidRPr="002866E5">
        <w:rPr>
          <w:noProof/>
        </w:rPr>
        <w:t>Przewodnicząca</w:t>
      </w:r>
      <w:r w:rsidRPr="002866E5">
        <w:rPr>
          <w:noProof/>
        </w:rPr>
        <w:tab/>
        <w:t>Przewodniczący</w:t>
      </w:r>
    </w:p>
    <w:p w14:paraId="67ED88FD" w14:textId="77777777" w:rsidR="0037165D" w:rsidRPr="002866E5" w:rsidRDefault="0037165D" w:rsidP="0037165D">
      <w:pPr>
        <w:rPr>
          <w:noProof/>
        </w:rPr>
        <w:sectPr w:rsidR="0037165D" w:rsidRPr="002866E5" w:rsidSect="00C00460">
          <w:footnotePr>
            <w:numRestart w:val="eachSect"/>
          </w:footnotePr>
          <w:pgSz w:w="11907" w:h="16839"/>
          <w:pgMar w:top="1134" w:right="1417" w:bottom="1134" w:left="1417" w:header="709" w:footer="709" w:gutter="0"/>
          <w:cols w:space="708"/>
          <w:docGrid w:linePitch="360"/>
        </w:sectPr>
      </w:pPr>
    </w:p>
    <w:p w14:paraId="67ED88FE" w14:textId="77777777" w:rsidR="0037165D" w:rsidRPr="002866E5" w:rsidRDefault="0037165D" w:rsidP="00881943">
      <w:pPr>
        <w:pStyle w:val="Fichefinanciretitre"/>
        <w:keepNext/>
        <w:rPr>
          <w:noProof/>
        </w:rPr>
      </w:pPr>
      <w:r w:rsidRPr="002866E5">
        <w:rPr>
          <w:noProof/>
        </w:rPr>
        <w:lastRenderedPageBreak/>
        <w:t>OCENA SKUTKÓW FINANSOWYCH REGULACJI</w:t>
      </w:r>
    </w:p>
    <w:p w14:paraId="67ED88FF" w14:textId="77777777" w:rsidR="0037165D" w:rsidRPr="002866E5" w:rsidRDefault="0037165D" w:rsidP="00881943">
      <w:pPr>
        <w:pStyle w:val="ManualHeading1"/>
        <w:rPr>
          <w:noProof/>
        </w:rPr>
      </w:pPr>
      <w:r w:rsidRPr="002866E5">
        <w:rPr>
          <w:noProof/>
        </w:rPr>
        <w:t>1.</w:t>
      </w:r>
      <w:r w:rsidRPr="002866E5">
        <w:rPr>
          <w:noProof/>
        </w:rPr>
        <w:tab/>
        <w:t>STRUKTURA WNIOSKU/INICJATYWY</w:t>
      </w:r>
    </w:p>
    <w:p w14:paraId="67ED8900" w14:textId="77777777" w:rsidR="0037165D" w:rsidRPr="002866E5" w:rsidRDefault="0037165D" w:rsidP="00881943">
      <w:pPr>
        <w:pStyle w:val="ManualHeading2"/>
        <w:rPr>
          <w:noProof/>
        </w:rPr>
      </w:pPr>
      <w:r w:rsidRPr="002866E5">
        <w:rPr>
          <w:noProof/>
        </w:rPr>
        <w:tab/>
        <w:t>1.1.</w:t>
      </w:r>
      <w:r w:rsidRPr="002866E5">
        <w:rPr>
          <w:noProof/>
        </w:rPr>
        <w:tab/>
        <w:t>Tytuł wniosku/inicjatywy</w:t>
      </w:r>
    </w:p>
    <w:p w14:paraId="67ED8901" w14:textId="77777777" w:rsidR="0037165D" w:rsidRPr="002866E5" w:rsidRDefault="0037165D" w:rsidP="00881943">
      <w:pPr>
        <w:pStyle w:val="ManualHeading2"/>
        <w:rPr>
          <w:noProof/>
        </w:rPr>
      </w:pPr>
      <w:r w:rsidRPr="002866E5">
        <w:rPr>
          <w:noProof/>
        </w:rPr>
        <w:tab/>
        <w:t>1.2.</w:t>
      </w:r>
      <w:r w:rsidRPr="002866E5">
        <w:rPr>
          <w:noProof/>
        </w:rPr>
        <w:tab/>
        <w:t>Obszary polityki, których dotyczy wniosek/inicjatywa</w:t>
      </w:r>
    </w:p>
    <w:p w14:paraId="67ED8902" w14:textId="77777777" w:rsidR="0037165D" w:rsidRPr="002866E5" w:rsidRDefault="0037165D" w:rsidP="00881943">
      <w:pPr>
        <w:pStyle w:val="ManualHeading2"/>
        <w:rPr>
          <w:noProof/>
        </w:rPr>
      </w:pPr>
      <w:r w:rsidRPr="002866E5">
        <w:rPr>
          <w:noProof/>
        </w:rPr>
        <w:tab/>
        <w:t>1.3.</w:t>
      </w:r>
      <w:r w:rsidRPr="002866E5">
        <w:rPr>
          <w:noProof/>
        </w:rPr>
        <w:tab/>
        <w:t>Wniosek/inicjatywa dotyczy:</w:t>
      </w:r>
    </w:p>
    <w:p w14:paraId="67ED8903" w14:textId="77777777" w:rsidR="0037165D" w:rsidRPr="002866E5" w:rsidRDefault="0037165D" w:rsidP="00881943">
      <w:pPr>
        <w:pStyle w:val="ManualHeading2"/>
        <w:rPr>
          <w:noProof/>
        </w:rPr>
      </w:pPr>
      <w:r w:rsidRPr="002866E5">
        <w:rPr>
          <w:noProof/>
        </w:rPr>
        <w:tab/>
        <w:t>1.4.</w:t>
      </w:r>
      <w:r w:rsidRPr="002866E5">
        <w:rPr>
          <w:noProof/>
        </w:rPr>
        <w:tab/>
        <w:t>Cel(e)</w:t>
      </w:r>
    </w:p>
    <w:p w14:paraId="67ED8904" w14:textId="77777777" w:rsidR="0037165D" w:rsidRPr="002866E5" w:rsidRDefault="0037165D" w:rsidP="00881943">
      <w:pPr>
        <w:pStyle w:val="ManualHeading3"/>
        <w:rPr>
          <w:noProof/>
        </w:rPr>
      </w:pPr>
      <w:r w:rsidRPr="002866E5">
        <w:rPr>
          <w:noProof/>
        </w:rPr>
        <w:tab/>
        <w:t>1.4.1.</w:t>
      </w:r>
      <w:r w:rsidRPr="002866E5">
        <w:rPr>
          <w:noProof/>
        </w:rPr>
        <w:tab/>
        <w:t>Cel(e) ogólny(e)</w:t>
      </w:r>
    </w:p>
    <w:p w14:paraId="67ED8905" w14:textId="77777777" w:rsidR="0037165D" w:rsidRPr="002866E5" w:rsidRDefault="0037165D" w:rsidP="00881943">
      <w:pPr>
        <w:pStyle w:val="ManualHeading3"/>
        <w:rPr>
          <w:noProof/>
        </w:rPr>
      </w:pPr>
      <w:r w:rsidRPr="002866E5">
        <w:rPr>
          <w:noProof/>
        </w:rPr>
        <w:tab/>
        <w:t>1.4.2.</w:t>
      </w:r>
      <w:r w:rsidRPr="002866E5">
        <w:rPr>
          <w:noProof/>
        </w:rPr>
        <w:tab/>
        <w:t>Cel(e) szczegółowy(e)</w:t>
      </w:r>
    </w:p>
    <w:p w14:paraId="67ED8906" w14:textId="368B8936" w:rsidR="0037165D" w:rsidRPr="002866E5" w:rsidRDefault="0037165D" w:rsidP="00881943">
      <w:pPr>
        <w:pStyle w:val="ManualHeading3"/>
        <w:rPr>
          <w:noProof/>
        </w:rPr>
      </w:pPr>
      <w:r w:rsidRPr="002866E5">
        <w:rPr>
          <w:noProof/>
        </w:rPr>
        <w:tab/>
        <w:t>1.4.3.</w:t>
      </w:r>
      <w:r w:rsidRPr="002866E5">
        <w:rPr>
          <w:noProof/>
        </w:rPr>
        <w:tab/>
        <w:t>Oczekiwane wyniki</w:t>
      </w:r>
      <w:r w:rsidR="008B35E8" w:rsidRPr="002866E5">
        <w:rPr>
          <w:noProof/>
        </w:rPr>
        <w:t xml:space="preserve"> i</w:t>
      </w:r>
      <w:r w:rsidR="008B35E8">
        <w:rPr>
          <w:noProof/>
        </w:rPr>
        <w:t> </w:t>
      </w:r>
      <w:r w:rsidR="008B35E8" w:rsidRPr="002866E5">
        <w:rPr>
          <w:noProof/>
        </w:rPr>
        <w:t>wpł</w:t>
      </w:r>
      <w:r w:rsidRPr="002866E5">
        <w:rPr>
          <w:noProof/>
        </w:rPr>
        <w:t>yw</w:t>
      </w:r>
    </w:p>
    <w:p w14:paraId="67ED8907" w14:textId="77777777" w:rsidR="0037165D" w:rsidRPr="002866E5" w:rsidRDefault="0037165D" w:rsidP="00881943">
      <w:pPr>
        <w:pStyle w:val="ManualHeading3"/>
        <w:rPr>
          <w:noProof/>
        </w:rPr>
      </w:pPr>
      <w:r w:rsidRPr="002866E5">
        <w:rPr>
          <w:noProof/>
        </w:rPr>
        <w:tab/>
        <w:t>1.4.4.</w:t>
      </w:r>
      <w:r w:rsidRPr="002866E5">
        <w:rPr>
          <w:noProof/>
        </w:rPr>
        <w:tab/>
        <w:t>Wskaźniki dotyczące realizacji celów</w:t>
      </w:r>
    </w:p>
    <w:p w14:paraId="67ED8908" w14:textId="77777777" w:rsidR="0037165D" w:rsidRPr="002866E5" w:rsidRDefault="0037165D" w:rsidP="00881943">
      <w:pPr>
        <w:pStyle w:val="ManualHeading2"/>
        <w:rPr>
          <w:noProof/>
        </w:rPr>
      </w:pPr>
      <w:r w:rsidRPr="002866E5">
        <w:rPr>
          <w:noProof/>
        </w:rPr>
        <w:tab/>
        <w:t>1.5.</w:t>
      </w:r>
      <w:r w:rsidRPr="002866E5">
        <w:rPr>
          <w:noProof/>
        </w:rPr>
        <w:tab/>
        <w:t>Uzasadnienie wniosku/inicjatywy</w:t>
      </w:r>
    </w:p>
    <w:p w14:paraId="67ED8909" w14:textId="1A2CF1EC" w:rsidR="0037165D" w:rsidRPr="002866E5" w:rsidRDefault="0037165D" w:rsidP="00881943">
      <w:pPr>
        <w:pStyle w:val="ManualHeading3"/>
        <w:rPr>
          <w:noProof/>
        </w:rPr>
      </w:pPr>
      <w:r w:rsidRPr="002866E5">
        <w:rPr>
          <w:noProof/>
        </w:rPr>
        <w:tab/>
        <w:t>1.5.1.</w:t>
      </w:r>
      <w:r w:rsidRPr="002866E5">
        <w:rPr>
          <w:noProof/>
        </w:rPr>
        <w:tab/>
        <w:t>Potrzeby, które należy zaspokoić</w:t>
      </w:r>
      <w:r w:rsidR="008B35E8" w:rsidRPr="002866E5">
        <w:rPr>
          <w:noProof/>
        </w:rPr>
        <w:t xml:space="preserve"> w</w:t>
      </w:r>
      <w:r w:rsidR="008B35E8">
        <w:rPr>
          <w:noProof/>
        </w:rPr>
        <w:t> </w:t>
      </w:r>
      <w:r w:rsidR="008B35E8" w:rsidRPr="002866E5">
        <w:rPr>
          <w:noProof/>
        </w:rPr>
        <w:t>per</w:t>
      </w:r>
      <w:r w:rsidRPr="002866E5">
        <w:rPr>
          <w:noProof/>
        </w:rPr>
        <w:t>spektywie krótko- lub długoterminowej,</w:t>
      </w:r>
      <w:r w:rsidR="008B35E8" w:rsidRPr="002866E5">
        <w:rPr>
          <w:noProof/>
        </w:rPr>
        <w:t xml:space="preserve"> w</w:t>
      </w:r>
      <w:r w:rsidR="008B35E8">
        <w:rPr>
          <w:noProof/>
        </w:rPr>
        <w:t> </w:t>
      </w:r>
      <w:r w:rsidR="008B35E8" w:rsidRPr="002866E5">
        <w:rPr>
          <w:noProof/>
        </w:rPr>
        <w:t>tym</w:t>
      </w:r>
      <w:r w:rsidRPr="002866E5">
        <w:rPr>
          <w:noProof/>
        </w:rPr>
        <w:t xml:space="preserve"> szczegółowy terminarz przebiegu realizacji inicjatywy</w:t>
      </w:r>
    </w:p>
    <w:p w14:paraId="67ED890A" w14:textId="4E867654" w:rsidR="0037165D" w:rsidRPr="002866E5" w:rsidRDefault="0037165D" w:rsidP="00881943">
      <w:pPr>
        <w:pStyle w:val="ManualHeading3"/>
        <w:rPr>
          <w:noProof/>
        </w:rPr>
      </w:pPr>
      <w:r w:rsidRPr="002866E5">
        <w:rPr>
          <w:noProof/>
        </w:rPr>
        <w:tab/>
        <w:t>1.5.2.</w:t>
      </w:r>
      <w:r w:rsidRPr="002866E5">
        <w:rPr>
          <w:noProof/>
        </w:rPr>
        <w:tab/>
        <w:t>Wartość dodana</w:t>
      </w:r>
      <w:r w:rsidR="008B35E8" w:rsidRPr="002866E5">
        <w:rPr>
          <w:noProof/>
        </w:rPr>
        <w:t xml:space="preserve"> z</w:t>
      </w:r>
      <w:r w:rsidR="008B35E8">
        <w:rPr>
          <w:noProof/>
        </w:rPr>
        <w:t> </w:t>
      </w:r>
      <w:r w:rsidR="008B35E8" w:rsidRPr="002866E5">
        <w:rPr>
          <w:noProof/>
        </w:rPr>
        <w:t>tyt</w:t>
      </w:r>
      <w:r w:rsidRPr="002866E5">
        <w:rPr>
          <w:noProof/>
        </w:rPr>
        <w:t>ułu zaangażowania Unii (może wynikać</w:t>
      </w:r>
      <w:r w:rsidR="008B35E8" w:rsidRPr="002866E5">
        <w:rPr>
          <w:noProof/>
        </w:rPr>
        <w:t xml:space="preserve"> z</w:t>
      </w:r>
      <w:r w:rsidR="008B35E8">
        <w:rPr>
          <w:noProof/>
        </w:rPr>
        <w:t> </w:t>
      </w:r>
      <w:r w:rsidR="008B35E8" w:rsidRPr="002866E5">
        <w:rPr>
          <w:noProof/>
        </w:rPr>
        <w:t>róż</w:t>
      </w:r>
      <w:r w:rsidRPr="002866E5">
        <w:rPr>
          <w:noProof/>
        </w:rPr>
        <w:t>nych czynników, na przykład korzyści koordynacyjnych, pewności prawa, większej efektywności lub komplementarności). Na potrzeby tego punktu „wartość dodaną</w:t>
      </w:r>
      <w:r w:rsidR="008B35E8" w:rsidRPr="002866E5">
        <w:rPr>
          <w:noProof/>
        </w:rPr>
        <w:t xml:space="preserve"> z</w:t>
      </w:r>
      <w:r w:rsidR="008B35E8">
        <w:rPr>
          <w:noProof/>
        </w:rPr>
        <w:t> </w:t>
      </w:r>
      <w:r w:rsidR="008B35E8" w:rsidRPr="002866E5">
        <w:rPr>
          <w:noProof/>
        </w:rPr>
        <w:t>tyt</w:t>
      </w:r>
      <w:r w:rsidRPr="002866E5">
        <w:rPr>
          <w:noProof/>
        </w:rPr>
        <w:t>ułu zaangażowania Unii” należy rozumieć jako wartość wynikającą</w:t>
      </w:r>
      <w:r w:rsidR="008B35E8" w:rsidRPr="002866E5">
        <w:rPr>
          <w:noProof/>
        </w:rPr>
        <w:t xml:space="preserve"> z</w:t>
      </w:r>
      <w:r w:rsidR="008B35E8">
        <w:rPr>
          <w:noProof/>
        </w:rPr>
        <w:t> </w:t>
      </w:r>
      <w:r w:rsidR="008B35E8" w:rsidRPr="002866E5">
        <w:rPr>
          <w:noProof/>
        </w:rPr>
        <w:t>uni</w:t>
      </w:r>
      <w:r w:rsidRPr="002866E5">
        <w:rPr>
          <w:noProof/>
        </w:rPr>
        <w:t>jnej interwencji wykraczającą poza wartość, która zostałaby wytworzona przez same państwa członkowskie.</w:t>
      </w:r>
    </w:p>
    <w:p w14:paraId="67ED890B" w14:textId="483AD8D5" w:rsidR="0037165D" w:rsidRPr="002866E5" w:rsidRDefault="0037165D" w:rsidP="00881943">
      <w:pPr>
        <w:pStyle w:val="ManualHeading3"/>
        <w:rPr>
          <w:noProof/>
        </w:rPr>
      </w:pPr>
      <w:r w:rsidRPr="002866E5">
        <w:rPr>
          <w:noProof/>
        </w:rPr>
        <w:tab/>
        <w:t>1.5.3.</w:t>
      </w:r>
      <w:r w:rsidRPr="002866E5">
        <w:rPr>
          <w:noProof/>
        </w:rPr>
        <w:tab/>
        <w:t>Główne wnioski wyciągnięte</w:t>
      </w:r>
      <w:r w:rsidR="008B35E8" w:rsidRPr="002866E5">
        <w:rPr>
          <w:noProof/>
        </w:rPr>
        <w:t xml:space="preserve"> z</w:t>
      </w:r>
      <w:r w:rsidR="008B35E8">
        <w:rPr>
          <w:noProof/>
        </w:rPr>
        <w:t> </w:t>
      </w:r>
      <w:r w:rsidR="008B35E8" w:rsidRPr="002866E5">
        <w:rPr>
          <w:noProof/>
        </w:rPr>
        <w:t>pod</w:t>
      </w:r>
      <w:r w:rsidRPr="002866E5">
        <w:rPr>
          <w:noProof/>
        </w:rPr>
        <w:t>obnych działań</w:t>
      </w:r>
    </w:p>
    <w:p w14:paraId="67ED890C" w14:textId="70469DB6" w:rsidR="0037165D" w:rsidRPr="002866E5" w:rsidRDefault="0037165D" w:rsidP="00881943">
      <w:pPr>
        <w:pStyle w:val="ManualHeading3"/>
        <w:rPr>
          <w:noProof/>
        </w:rPr>
      </w:pPr>
      <w:r w:rsidRPr="002866E5">
        <w:rPr>
          <w:noProof/>
        </w:rPr>
        <w:tab/>
        <w:t>1.5.4.</w:t>
      </w:r>
      <w:r w:rsidRPr="002866E5">
        <w:rPr>
          <w:noProof/>
        </w:rPr>
        <w:tab/>
        <w:t>Spójność</w:t>
      </w:r>
      <w:r w:rsidR="008B35E8" w:rsidRPr="002866E5">
        <w:rPr>
          <w:noProof/>
        </w:rPr>
        <w:t xml:space="preserve"> z</w:t>
      </w:r>
      <w:r w:rsidR="008B35E8">
        <w:rPr>
          <w:noProof/>
        </w:rPr>
        <w:t> </w:t>
      </w:r>
      <w:r w:rsidR="008B35E8" w:rsidRPr="002866E5">
        <w:rPr>
          <w:noProof/>
        </w:rPr>
        <w:t>wie</w:t>
      </w:r>
      <w:r w:rsidRPr="002866E5">
        <w:rPr>
          <w:noProof/>
        </w:rPr>
        <w:t>loletnimi ramami finansowymi oraz możliwa synergia</w:t>
      </w:r>
      <w:r w:rsidR="008B35E8" w:rsidRPr="002866E5">
        <w:rPr>
          <w:noProof/>
        </w:rPr>
        <w:t xml:space="preserve"> z</w:t>
      </w:r>
      <w:r w:rsidR="008B35E8">
        <w:rPr>
          <w:noProof/>
        </w:rPr>
        <w:t> </w:t>
      </w:r>
      <w:r w:rsidR="008B35E8" w:rsidRPr="002866E5">
        <w:rPr>
          <w:noProof/>
        </w:rPr>
        <w:t>inn</w:t>
      </w:r>
      <w:r w:rsidRPr="002866E5">
        <w:rPr>
          <w:noProof/>
        </w:rPr>
        <w:t>ymi właściwymi instrumentami</w:t>
      </w:r>
    </w:p>
    <w:p w14:paraId="67ED890D" w14:textId="5CA90E42" w:rsidR="0037165D" w:rsidRPr="002866E5" w:rsidRDefault="0037165D" w:rsidP="00881943">
      <w:pPr>
        <w:pStyle w:val="ManualHeading3"/>
        <w:rPr>
          <w:noProof/>
        </w:rPr>
      </w:pPr>
      <w:r w:rsidRPr="002866E5">
        <w:rPr>
          <w:noProof/>
        </w:rPr>
        <w:tab/>
        <w:t>1.5.5.</w:t>
      </w:r>
      <w:r w:rsidRPr="002866E5">
        <w:rPr>
          <w:noProof/>
        </w:rPr>
        <w:tab/>
        <w:t>Ocena różnych dostępnych możliwości finansowania,</w:t>
      </w:r>
      <w:r w:rsidR="008B35E8" w:rsidRPr="002866E5">
        <w:rPr>
          <w:noProof/>
        </w:rPr>
        <w:t xml:space="preserve"> w</w:t>
      </w:r>
      <w:r w:rsidR="008B35E8">
        <w:rPr>
          <w:noProof/>
        </w:rPr>
        <w:t> </w:t>
      </w:r>
      <w:r w:rsidR="008B35E8" w:rsidRPr="002866E5">
        <w:rPr>
          <w:noProof/>
        </w:rPr>
        <w:t>tym</w:t>
      </w:r>
      <w:r w:rsidRPr="002866E5">
        <w:rPr>
          <w:noProof/>
        </w:rPr>
        <w:t xml:space="preserve"> zakresu przegrupowania środków</w:t>
      </w:r>
    </w:p>
    <w:p w14:paraId="67ED890E" w14:textId="511E59D3" w:rsidR="0037165D" w:rsidRPr="002866E5" w:rsidRDefault="0037165D" w:rsidP="00881943">
      <w:pPr>
        <w:pStyle w:val="ManualHeading2"/>
        <w:rPr>
          <w:noProof/>
        </w:rPr>
      </w:pPr>
      <w:r w:rsidRPr="002866E5">
        <w:rPr>
          <w:noProof/>
        </w:rPr>
        <w:tab/>
        <w:t>1.6.</w:t>
      </w:r>
      <w:r w:rsidRPr="002866E5">
        <w:rPr>
          <w:noProof/>
        </w:rPr>
        <w:tab/>
        <w:t>Czas trwania</w:t>
      </w:r>
      <w:r w:rsidR="008B35E8" w:rsidRPr="002866E5">
        <w:rPr>
          <w:noProof/>
        </w:rPr>
        <w:t xml:space="preserve"> i</w:t>
      </w:r>
      <w:r w:rsidR="008B35E8">
        <w:rPr>
          <w:noProof/>
        </w:rPr>
        <w:t> </w:t>
      </w:r>
      <w:r w:rsidR="008B35E8" w:rsidRPr="002866E5">
        <w:rPr>
          <w:noProof/>
        </w:rPr>
        <w:t>wpł</w:t>
      </w:r>
      <w:r w:rsidRPr="002866E5">
        <w:rPr>
          <w:noProof/>
        </w:rPr>
        <w:t>yw finansowy wniosku/inicjatywy</w:t>
      </w:r>
    </w:p>
    <w:p w14:paraId="67ED890F" w14:textId="77777777" w:rsidR="0037165D" w:rsidRPr="002866E5" w:rsidRDefault="0037165D" w:rsidP="00881943">
      <w:pPr>
        <w:pStyle w:val="ManualHeading2"/>
        <w:rPr>
          <w:noProof/>
        </w:rPr>
      </w:pPr>
      <w:r w:rsidRPr="002866E5">
        <w:rPr>
          <w:noProof/>
        </w:rPr>
        <w:tab/>
        <w:t>1.7.</w:t>
      </w:r>
      <w:r w:rsidRPr="002866E5">
        <w:rPr>
          <w:noProof/>
        </w:rPr>
        <w:tab/>
        <w:t>Planowane tryby zarządzania</w:t>
      </w:r>
    </w:p>
    <w:p w14:paraId="67ED8910" w14:textId="77777777" w:rsidR="0037165D" w:rsidRPr="002866E5" w:rsidRDefault="0037165D" w:rsidP="00881943">
      <w:pPr>
        <w:pStyle w:val="ManualHeading1"/>
        <w:rPr>
          <w:noProof/>
        </w:rPr>
      </w:pPr>
      <w:r w:rsidRPr="002866E5">
        <w:rPr>
          <w:noProof/>
        </w:rPr>
        <w:tab/>
        <w:t>2.</w:t>
      </w:r>
      <w:r w:rsidRPr="002866E5">
        <w:rPr>
          <w:noProof/>
        </w:rPr>
        <w:tab/>
        <w:t>ŚRODKI ZARZĄDZANIA</w:t>
      </w:r>
    </w:p>
    <w:p w14:paraId="67ED8911" w14:textId="7BC39214" w:rsidR="0037165D" w:rsidRPr="002866E5" w:rsidRDefault="0037165D" w:rsidP="00881943">
      <w:pPr>
        <w:pStyle w:val="ManualHeading2"/>
        <w:rPr>
          <w:noProof/>
        </w:rPr>
      </w:pPr>
      <w:r w:rsidRPr="002866E5">
        <w:rPr>
          <w:noProof/>
        </w:rPr>
        <w:tab/>
        <w:t>2.1.</w:t>
      </w:r>
      <w:r w:rsidRPr="002866E5">
        <w:rPr>
          <w:noProof/>
        </w:rPr>
        <w:tab/>
        <w:t>Zasady nadzoru</w:t>
      </w:r>
      <w:r w:rsidR="008B35E8" w:rsidRPr="002866E5">
        <w:rPr>
          <w:noProof/>
        </w:rPr>
        <w:t xml:space="preserve"> i</w:t>
      </w:r>
      <w:r w:rsidR="008B35E8">
        <w:rPr>
          <w:noProof/>
        </w:rPr>
        <w:t> </w:t>
      </w:r>
      <w:r w:rsidR="008B35E8" w:rsidRPr="002866E5">
        <w:rPr>
          <w:noProof/>
        </w:rPr>
        <w:t>spr</w:t>
      </w:r>
      <w:r w:rsidRPr="002866E5">
        <w:rPr>
          <w:noProof/>
        </w:rPr>
        <w:t>awozdawczości</w:t>
      </w:r>
    </w:p>
    <w:p w14:paraId="67ED8912" w14:textId="3F12EB88" w:rsidR="0037165D" w:rsidRPr="002866E5" w:rsidRDefault="0037165D" w:rsidP="00881943">
      <w:pPr>
        <w:pStyle w:val="ManualHeading2"/>
        <w:rPr>
          <w:noProof/>
        </w:rPr>
      </w:pPr>
      <w:r w:rsidRPr="002866E5">
        <w:rPr>
          <w:noProof/>
        </w:rPr>
        <w:tab/>
        <w:t>2.2.</w:t>
      </w:r>
      <w:r w:rsidRPr="002866E5">
        <w:rPr>
          <w:noProof/>
        </w:rPr>
        <w:tab/>
        <w:t>System zarządzania</w:t>
      </w:r>
      <w:r w:rsidR="008B35E8" w:rsidRPr="002866E5">
        <w:rPr>
          <w:noProof/>
        </w:rPr>
        <w:t xml:space="preserve"> i</w:t>
      </w:r>
      <w:r w:rsidR="008B35E8">
        <w:rPr>
          <w:noProof/>
        </w:rPr>
        <w:t> </w:t>
      </w:r>
      <w:r w:rsidR="008B35E8" w:rsidRPr="002866E5">
        <w:rPr>
          <w:noProof/>
        </w:rPr>
        <w:t>kon</w:t>
      </w:r>
      <w:r w:rsidRPr="002866E5">
        <w:rPr>
          <w:noProof/>
        </w:rPr>
        <w:t>troli</w:t>
      </w:r>
    </w:p>
    <w:p w14:paraId="67ED8913" w14:textId="5231C046" w:rsidR="0037165D" w:rsidRPr="002866E5" w:rsidRDefault="0037165D" w:rsidP="00881943">
      <w:pPr>
        <w:pStyle w:val="ManualHeading3"/>
        <w:rPr>
          <w:noProof/>
        </w:rPr>
      </w:pPr>
      <w:r w:rsidRPr="002866E5">
        <w:rPr>
          <w:noProof/>
        </w:rPr>
        <w:tab/>
        <w:t>2.2.1.</w:t>
      </w:r>
      <w:r w:rsidRPr="002866E5">
        <w:rPr>
          <w:noProof/>
        </w:rPr>
        <w:tab/>
        <w:t>Uzasadnienie dla systemu zarządzania, mechanizmów finansowania wykonania, warunków płatności</w:t>
      </w:r>
      <w:r w:rsidR="008B35E8" w:rsidRPr="002866E5">
        <w:rPr>
          <w:noProof/>
        </w:rPr>
        <w:t xml:space="preserve"> i</w:t>
      </w:r>
      <w:r w:rsidR="008B35E8">
        <w:rPr>
          <w:noProof/>
        </w:rPr>
        <w:t> </w:t>
      </w:r>
      <w:r w:rsidR="008B35E8" w:rsidRPr="002866E5">
        <w:rPr>
          <w:noProof/>
        </w:rPr>
        <w:t>pro</w:t>
      </w:r>
      <w:r w:rsidRPr="002866E5">
        <w:rPr>
          <w:noProof/>
        </w:rPr>
        <w:t>ponowanej strategii kontroli</w:t>
      </w:r>
    </w:p>
    <w:p w14:paraId="67ED8914" w14:textId="3558F6BD" w:rsidR="0037165D" w:rsidRPr="002866E5" w:rsidRDefault="0037165D" w:rsidP="00881943">
      <w:pPr>
        <w:pStyle w:val="ManualHeading3"/>
        <w:rPr>
          <w:noProof/>
        </w:rPr>
      </w:pPr>
      <w:r w:rsidRPr="002866E5">
        <w:rPr>
          <w:noProof/>
        </w:rPr>
        <w:tab/>
        <w:t>2.2.2.</w:t>
      </w:r>
      <w:r w:rsidRPr="002866E5">
        <w:rPr>
          <w:noProof/>
        </w:rPr>
        <w:tab/>
        <w:t>Informacje dotyczące zidentyfikowanego ryzyka</w:t>
      </w:r>
      <w:r w:rsidR="008B35E8" w:rsidRPr="002866E5">
        <w:rPr>
          <w:noProof/>
        </w:rPr>
        <w:t xml:space="preserve"> i</w:t>
      </w:r>
      <w:r w:rsidR="008B35E8">
        <w:rPr>
          <w:noProof/>
        </w:rPr>
        <w:t> </w:t>
      </w:r>
      <w:r w:rsidR="008B35E8" w:rsidRPr="002866E5">
        <w:rPr>
          <w:noProof/>
        </w:rPr>
        <w:t>sys</w:t>
      </w:r>
      <w:r w:rsidRPr="002866E5">
        <w:rPr>
          <w:noProof/>
        </w:rPr>
        <w:t>temów kontroli wewnętrznej ustanowionych</w:t>
      </w:r>
      <w:r w:rsidR="008B35E8" w:rsidRPr="002866E5">
        <w:rPr>
          <w:noProof/>
        </w:rPr>
        <w:t xml:space="preserve"> w</w:t>
      </w:r>
      <w:r w:rsidR="008B35E8">
        <w:rPr>
          <w:noProof/>
        </w:rPr>
        <w:t> </w:t>
      </w:r>
      <w:r w:rsidR="008B35E8" w:rsidRPr="002866E5">
        <w:rPr>
          <w:noProof/>
        </w:rPr>
        <w:t>cel</w:t>
      </w:r>
      <w:r w:rsidRPr="002866E5">
        <w:rPr>
          <w:noProof/>
        </w:rPr>
        <w:t>u jego ograniczenia</w:t>
      </w:r>
    </w:p>
    <w:p w14:paraId="67ED8915" w14:textId="597DD119" w:rsidR="0037165D" w:rsidRPr="002866E5" w:rsidRDefault="0037165D" w:rsidP="00881943">
      <w:pPr>
        <w:pStyle w:val="ManualHeading3"/>
        <w:rPr>
          <w:noProof/>
        </w:rPr>
      </w:pPr>
      <w:r w:rsidRPr="002866E5">
        <w:rPr>
          <w:noProof/>
        </w:rPr>
        <w:tab/>
        <w:t>2.2.3.</w:t>
      </w:r>
      <w:r w:rsidRPr="002866E5">
        <w:rPr>
          <w:noProof/>
        </w:rPr>
        <w:tab/>
        <w:t>Oszacowanie</w:t>
      </w:r>
      <w:r w:rsidR="008B35E8" w:rsidRPr="002866E5">
        <w:rPr>
          <w:noProof/>
        </w:rPr>
        <w:t xml:space="preserve"> i</w:t>
      </w:r>
      <w:r w:rsidR="008B35E8">
        <w:rPr>
          <w:noProof/>
        </w:rPr>
        <w:t> </w:t>
      </w:r>
      <w:r w:rsidR="008B35E8" w:rsidRPr="002866E5">
        <w:rPr>
          <w:noProof/>
        </w:rPr>
        <w:t>uza</w:t>
      </w:r>
      <w:r w:rsidRPr="002866E5">
        <w:rPr>
          <w:noProof/>
        </w:rPr>
        <w:t>sadnienie opłacalności kontroli (stosunek „kosztów kontroli do wartości zarządzanych funduszy powiązanych”) oraz ocena oczekiwanych poziomów ryzyka błędu (przy płatności</w:t>
      </w:r>
      <w:r w:rsidR="008B35E8" w:rsidRPr="002866E5">
        <w:rPr>
          <w:noProof/>
        </w:rPr>
        <w:t xml:space="preserve"> i</w:t>
      </w:r>
      <w:r w:rsidR="008B35E8">
        <w:rPr>
          <w:noProof/>
        </w:rPr>
        <w:t> </w:t>
      </w:r>
      <w:r w:rsidR="008B35E8" w:rsidRPr="002866E5">
        <w:rPr>
          <w:noProof/>
        </w:rPr>
        <w:t>w</w:t>
      </w:r>
      <w:r w:rsidR="008B35E8">
        <w:rPr>
          <w:noProof/>
        </w:rPr>
        <w:t> </w:t>
      </w:r>
      <w:r w:rsidR="008B35E8" w:rsidRPr="002866E5">
        <w:rPr>
          <w:noProof/>
        </w:rPr>
        <w:t>chw</w:t>
      </w:r>
      <w:r w:rsidRPr="002866E5">
        <w:rPr>
          <w:noProof/>
        </w:rPr>
        <w:t>ili zamknięcia)</w:t>
      </w:r>
    </w:p>
    <w:p w14:paraId="67ED8916" w14:textId="16EECA76" w:rsidR="0037165D" w:rsidRPr="002866E5" w:rsidRDefault="0037165D" w:rsidP="00881943">
      <w:pPr>
        <w:pStyle w:val="ManualHeading2"/>
        <w:rPr>
          <w:noProof/>
        </w:rPr>
      </w:pPr>
      <w:r w:rsidRPr="002866E5">
        <w:rPr>
          <w:noProof/>
        </w:rPr>
        <w:tab/>
        <w:t>2.3.</w:t>
      </w:r>
      <w:r w:rsidRPr="002866E5">
        <w:rPr>
          <w:noProof/>
        </w:rPr>
        <w:tab/>
        <w:t>Środki zapobiegania nadużyciom finansowym</w:t>
      </w:r>
      <w:r w:rsidR="008B35E8" w:rsidRPr="002866E5">
        <w:rPr>
          <w:noProof/>
        </w:rPr>
        <w:t xml:space="preserve"> i</w:t>
      </w:r>
      <w:r w:rsidR="008B35E8">
        <w:rPr>
          <w:noProof/>
        </w:rPr>
        <w:t> </w:t>
      </w:r>
      <w:r w:rsidR="008B35E8" w:rsidRPr="002866E5">
        <w:rPr>
          <w:noProof/>
        </w:rPr>
        <w:t>nie</w:t>
      </w:r>
      <w:r w:rsidRPr="002866E5">
        <w:rPr>
          <w:noProof/>
        </w:rPr>
        <w:t>prawidłowościom</w:t>
      </w:r>
    </w:p>
    <w:p w14:paraId="67ED8917" w14:textId="77777777" w:rsidR="0037165D" w:rsidRPr="002866E5" w:rsidRDefault="0037165D" w:rsidP="00881943">
      <w:pPr>
        <w:pStyle w:val="ManualHeading1"/>
        <w:rPr>
          <w:noProof/>
        </w:rPr>
      </w:pPr>
      <w:r w:rsidRPr="002866E5">
        <w:rPr>
          <w:noProof/>
        </w:rPr>
        <w:t>3.</w:t>
      </w:r>
      <w:r w:rsidRPr="002866E5">
        <w:rPr>
          <w:noProof/>
        </w:rPr>
        <w:tab/>
        <w:t>SZACUNKOWY WPŁYW FINANSOWY WNIOSKU/INICJATYWY</w:t>
      </w:r>
      <w:r w:rsidRPr="002866E5">
        <w:rPr>
          <w:noProof/>
        </w:rPr>
        <w:tab/>
      </w:r>
    </w:p>
    <w:p w14:paraId="67ED8918" w14:textId="237AE899" w:rsidR="0037165D" w:rsidRPr="002866E5" w:rsidRDefault="0037165D" w:rsidP="00881943">
      <w:pPr>
        <w:pStyle w:val="ManualHeading2"/>
        <w:rPr>
          <w:noProof/>
        </w:rPr>
      </w:pPr>
      <w:r w:rsidRPr="002866E5">
        <w:rPr>
          <w:noProof/>
        </w:rPr>
        <w:tab/>
        <w:t>3.1.</w:t>
      </w:r>
      <w:r w:rsidRPr="002866E5">
        <w:rPr>
          <w:noProof/>
        </w:rPr>
        <w:tab/>
        <w:t>Działy wieloletnich ram finansowych</w:t>
      </w:r>
      <w:r w:rsidR="008B35E8" w:rsidRPr="002866E5">
        <w:rPr>
          <w:noProof/>
        </w:rPr>
        <w:t xml:space="preserve"> i</w:t>
      </w:r>
      <w:r w:rsidR="008B35E8">
        <w:rPr>
          <w:noProof/>
        </w:rPr>
        <w:t> </w:t>
      </w:r>
      <w:r w:rsidR="008B35E8" w:rsidRPr="002866E5">
        <w:rPr>
          <w:noProof/>
        </w:rPr>
        <w:t>lin</w:t>
      </w:r>
      <w:r w:rsidRPr="002866E5">
        <w:rPr>
          <w:noProof/>
        </w:rPr>
        <w:t>ie budżetowe po stronie wydatków, na które wniosek/inicjatywa ma wpływ</w:t>
      </w:r>
    </w:p>
    <w:p w14:paraId="67ED8919" w14:textId="77777777" w:rsidR="0037165D" w:rsidRPr="002866E5" w:rsidRDefault="0037165D" w:rsidP="00881943">
      <w:pPr>
        <w:pStyle w:val="ManualHeading2"/>
        <w:rPr>
          <w:noProof/>
        </w:rPr>
      </w:pPr>
      <w:r w:rsidRPr="002866E5">
        <w:rPr>
          <w:noProof/>
        </w:rPr>
        <w:tab/>
        <w:t>3.2.</w:t>
      </w:r>
      <w:r w:rsidRPr="002866E5">
        <w:rPr>
          <w:noProof/>
        </w:rPr>
        <w:tab/>
        <w:t>Szacunkowy wpływ finansowy wniosku na środki</w:t>
      </w:r>
    </w:p>
    <w:p w14:paraId="67ED891A" w14:textId="284E9ED8" w:rsidR="0037165D" w:rsidRPr="002866E5" w:rsidRDefault="00F04CC1" w:rsidP="00881943">
      <w:pPr>
        <w:pStyle w:val="ManualHeading3"/>
        <w:rPr>
          <w:noProof/>
        </w:rPr>
      </w:pPr>
      <w:r>
        <w:rPr>
          <w:noProof/>
        </w:rPr>
        <w:tab/>
        <w:t>3.2.1.</w:t>
      </w:r>
      <w:r>
        <w:rPr>
          <w:noProof/>
        </w:rPr>
        <w:tab/>
        <w:t>Podsumowanie</w:t>
      </w:r>
      <w:r w:rsidR="0037165D" w:rsidRPr="002866E5">
        <w:rPr>
          <w:noProof/>
        </w:rPr>
        <w:t xml:space="preserve"> szacunkowego wpływu na środki operacyjne</w:t>
      </w:r>
    </w:p>
    <w:p w14:paraId="67ED891B" w14:textId="77777777" w:rsidR="0037165D" w:rsidRPr="002866E5" w:rsidRDefault="0037165D" w:rsidP="00881943">
      <w:pPr>
        <w:pStyle w:val="ManualHeading3"/>
        <w:rPr>
          <w:noProof/>
        </w:rPr>
      </w:pPr>
      <w:r w:rsidRPr="002866E5">
        <w:rPr>
          <w:noProof/>
        </w:rPr>
        <w:tab/>
        <w:t>3.2.2.</w:t>
      </w:r>
      <w:r w:rsidRPr="002866E5">
        <w:rPr>
          <w:noProof/>
        </w:rPr>
        <w:tab/>
        <w:t>Przewidywany produkt finansowany ze środków operacyjnych</w:t>
      </w:r>
    </w:p>
    <w:p w14:paraId="67ED891C" w14:textId="6BFCB000" w:rsidR="0037165D" w:rsidRPr="002866E5" w:rsidRDefault="0037165D" w:rsidP="00881943">
      <w:pPr>
        <w:pStyle w:val="ManualHeading3"/>
        <w:rPr>
          <w:noProof/>
        </w:rPr>
      </w:pPr>
      <w:r w:rsidRPr="002866E5">
        <w:rPr>
          <w:noProof/>
        </w:rPr>
        <w:tab/>
        <w:t>3.2.3.</w:t>
      </w:r>
      <w:r w:rsidRPr="002866E5">
        <w:rPr>
          <w:noProof/>
        </w:rPr>
        <w:tab/>
      </w:r>
      <w:r w:rsidR="00F04CC1">
        <w:rPr>
          <w:noProof/>
        </w:rPr>
        <w:t>Podsumowanie</w:t>
      </w:r>
      <w:r w:rsidR="00F04CC1" w:rsidRPr="002866E5">
        <w:rPr>
          <w:noProof/>
        </w:rPr>
        <w:t xml:space="preserve"> </w:t>
      </w:r>
      <w:r w:rsidRPr="002866E5">
        <w:rPr>
          <w:noProof/>
        </w:rPr>
        <w:t>szacunkowego wpływu na środki administracyjne</w:t>
      </w:r>
    </w:p>
    <w:p w14:paraId="67ED891D" w14:textId="509B514C" w:rsidR="0037165D" w:rsidRPr="002866E5" w:rsidRDefault="0037165D" w:rsidP="00881943">
      <w:pPr>
        <w:pStyle w:val="ManualHeading3"/>
        <w:rPr>
          <w:noProof/>
        </w:rPr>
      </w:pPr>
      <w:r w:rsidRPr="002866E5">
        <w:rPr>
          <w:noProof/>
        </w:rPr>
        <w:tab/>
        <w:t>3.2.4.</w:t>
      </w:r>
      <w:r w:rsidRPr="002866E5">
        <w:rPr>
          <w:noProof/>
        </w:rPr>
        <w:tab/>
        <w:t>Zgodność</w:t>
      </w:r>
      <w:r w:rsidR="008B35E8" w:rsidRPr="002866E5">
        <w:rPr>
          <w:noProof/>
        </w:rPr>
        <w:t xml:space="preserve"> z</w:t>
      </w:r>
      <w:r w:rsidR="008B35E8">
        <w:rPr>
          <w:noProof/>
        </w:rPr>
        <w:t> </w:t>
      </w:r>
      <w:r w:rsidR="008B35E8" w:rsidRPr="002866E5">
        <w:rPr>
          <w:noProof/>
        </w:rPr>
        <w:t>obo</w:t>
      </w:r>
      <w:r w:rsidRPr="002866E5">
        <w:rPr>
          <w:noProof/>
        </w:rPr>
        <w:t>wiązującymi wieloletnimi ramami finansowymi</w:t>
      </w:r>
    </w:p>
    <w:p w14:paraId="67ED891E" w14:textId="1F138416" w:rsidR="0037165D" w:rsidRPr="002866E5" w:rsidRDefault="0037165D" w:rsidP="00881943">
      <w:pPr>
        <w:pStyle w:val="ManualHeading3"/>
        <w:rPr>
          <w:noProof/>
        </w:rPr>
      </w:pPr>
      <w:r w:rsidRPr="002866E5">
        <w:rPr>
          <w:noProof/>
        </w:rPr>
        <w:tab/>
        <w:t>3.2.5.</w:t>
      </w:r>
      <w:r w:rsidRPr="002866E5">
        <w:rPr>
          <w:noProof/>
        </w:rPr>
        <w:tab/>
        <w:t>Udział osób trzecich</w:t>
      </w:r>
      <w:r w:rsidR="008B35E8" w:rsidRPr="002866E5">
        <w:rPr>
          <w:noProof/>
        </w:rPr>
        <w:t xml:space="preserve"> w</w:t>
      </w:r>
      <w:r w:rsidR="008B35E8">
        <w:rPr>
          <w:noProof/>
        </w:rPr>
        <w:t> </w:t>
      </w:r>
      <w:r w:rsidR="008B35E8" w:rsidRPr="002866E5">
        <w:rPr>
          <w:noProof/>
        </w:rPr>
        <w:t>fin</w:t>
      </w:r>
      <w:r w:rsidRPr="002866E5">
        <w:rPr>
          <w:noProof/>
        </w:rPr>
        <w:t>ansowaniu</w:t>
      </w:r>
    </w:p>
    <w:p w14:paraId="67ED891F" w14:textId="77777777" w:rsidR="0037165D" w:rsidRPr="002866E5" w:rsidRDefault="0037165D" w:rsidP="00881943">
      <w:pPr>
        <w:pStyle w:val="ManualHeading2"/>
        <w:rPr>
          <w:noProof/>
        </w:rPr>
      </w:pPr>
      <w:r w:rsidRPr="002866E5">
        <w:rPr>
          <w:noProof/>
        </w:rPr>
        <w:tab/>
        <w:t>3.3.</w:t>
      </w:r>
      <w:r w:rsidRPr="002866E5">
        <w:rPr>
          <w:noProof/>
        </w:rPr>
        <w:tab/>
        <w:t>Szacunkowy wpływ na dochody</w:t>
      </w:r>
    </w:p>
    <w:p w14:paraId="67ED8920" w14:textId="77777777" w:rsidR="0037165D" w:rsidRPr="002866E5" w:rsidRDefault="0037165D" w:rsidP="00881943">
      <w:pPr>
        <w:rPr>
          <w:noProof/>
        </w:rPr>
        <w:sectPr w:rsidR="0037165D" w:rsidRPr="002866E5" w:rsidSect="00C00460">
          <w:pgSz w:w="11907" w:h="16840" w:code="9"/>
          <w:pgMar w:top="1134" w:right="1418" w:bottom="1134" w:left="1418" w:header="709" w:footer="709" w:gutter="0"/>
          <w:cols w:space="708"/>
          <w:docGrid w:linePitch="360"/>
        </w:sectPr>
      </w:pPr>
    </w:p>
    <w:p w14:paraId="67ED8921" w14:textId="77777777" w:rsidR="0037165D" w:rsidRPr="002866E5" w:rsidRDefault="0037165D" w:rsidP="00881943">
      <w:pPr>
        <w:jc w:val="center"/>
        <w:rPr>
          <w:noProof/>
        </w:rPr>
      </w:pPr>
      <w:r w:rsidRPr="002866E5">
        <w:rPr>
          <w:b/>
          <w:noProof/>
          <w:u w:val="single"/>
        </w:rPr>
        <w:t>OCENA SKUTKÓW FINANSOWYCH REGULACJI</w:t>
      </w:r>
    </w:p>
    <w:p w14:paraId="67ED8922" w14:textId="51491259" w:rsidR="0037165D" w:rsidRPr="002866E5" w:rsidRDefault="00B4087C" w:rsidP="00B4087C">
      <w:pPr>
        <w:pStyle w:val="ManualHeading1"/>
        <w:rPr>
          <w:noProof/>
        </w:rPr>
      </w:pPr>
      <w:r w:rsidRPr="00B4087C">
        <w:t>1.</w:t>
      </w:r>
      <w:r w:rsidRPr="00B4087C">
        <w:tab/>
      </w:r>
      <w:r w:rsidR="0037165D" w:rsidRPr="002866E5">
        <w:rPr>
          <w:noProof/>
        </w:rPr>
        <w:t xml:space="preserve">STRUKTURA WNIOSKU/INICJATYWY </w:t>
      </w:r>
    </w:p>
    <w:p w14:paraId="67ED8923" w14:textId="3B44965C" w:rsidR="0037165D" w:rsidRPr="002866E5" w:rsidRDefault="00B4087C" w:rsidP="00B4087C">
      <w:pPr>
        <w:pStyle w:val="ManualHeading2"/>
        <w:rPr>
          <w:noProof/>
        </w:rPr>
      </w:pPr>
      <w:r w:rsidRPr="00B4087C">
        <w:t>1.1.</w:t>
      </w:r>
      <w:r w:rsidRPr="00B4087C">
        <w:tab/>
      </w:r>
      <w:r w:rsidR="0037165D" w:rsidRPr="002866E5">
        <w:rPr>
          <w:noProof/>
        </w:rPr>
        <w:t>Tytuł wniosku/inicjatywy</w:t>
      </w:r>
    </w:p>
    <w:p w14:paraId="67ED8924" w14:textId="2C41450F" w:rsidR="0037165D" w:rsidRPr="002866E5" w:rsidRDefault="00293BE6" w:rsidP="00881943">
      <w:pPr>
        <w:pStyle w:val="Text1"/>
        <w:pBdr>
          <w:top w:val="single" w:sz="4" w:space="1" w:color="auto"/>
          <w:left w:val="single" w:sz="4" w:space="4" w:color="auto"/>
          <w:bottom w:val="single" w:sz="4" w:space="1" w:color="auto"/>
          <w:right w:val="single" w:sz="4" w:space="4" w:color="auto"/>
        </w:pBdr>
        <w:rPr>
          <w:noProof/>
        </w:rPr>
      </w:pPr>
      <w:r w:rsidRPr="002866E5">
        <w:rPr>
          <w:noProof/>
        </w:rPr>
        <w:t>Wniosek dotyczący rozporządzenia</w:t>
      </w:r>
      <w:r w:rsidR="008B35E8" w:rsidRPr="002866E5">
        <w:rPr>
          <w:noProof/>
        </w:rPr>
        <w:t xml:space="preserve"> w</w:t>
      </w:r>
      <w:r w:rsidR="008B35E8">
        <w:rPr>
          <w:noProof/>
        </w:rPr>
        <w:t> </w:t>
      </w:r>
      <w:r w:rsidR="008B35E8" w:rsidRPr="002866E5">
        <w:rPr>
          <w:noProof/>
        </w:rPr>
        <w:t>spr</w:t>
      </w:r>
      <w:r w:rsidRPr="002866E5">
        <w:rPr>
          <w:noProof/>
        </w:rPr>
        <w:t>awie horyzontalnych wymogów cyberbezpieczeństwa</w:t>
      </w:r>
      <w:r w:rsidR="008B35E8" w:rsidRPr="002866E5">
        <w:rPr>
          <w:noProof/>
        </w:rPr>
        <w:t xml:space="preserve"> w</w:t>
      </w:r>
      <w:r w:rsidR="008B35E8">
        <w:rPr>
          <w:noProof/>
        </w:rPr>
        <w:t> </w:t>
      </w:r>
      <w:r w:rsidR="008B35E8" w:rsidRPr="002866E5">
        <w:rPr>
          <w:noProof/>
        </w:rPr>
        <w:t>odn</w:t>
      </w:r>
      <w:r w:rsidRPr="002866E5">
        <w:rPr>
          <w:noProof/>
        </w:rPr>
        <w:t>iesieniu do produktów</w:t>
      </w:r>
      <w:r w:rsidR="008B35E8" w:rsidRPr="002866E5">
        <w:rPr>
          <w:noProof/>
        </w:rPr>
        <w:t xml:space="preserve"> z</w:t>
      </w:r>
      <w:r w:rsidR="008B35E8">
        <w:rPr>
          <w:noProof/>
        </w:rPr>
        <w:t> </w:t>
      </w:r>
      <w:r w:rsidR="008B35E8" w:rsidRPr="002866E5">
        <w:rPr>
          <w:noProof/>
        </w:rPr>
        <w:t>ele</w:t>
      </w:r>
      <w:r w:rsidRPr="002866E5">
        <w:rPr>
          <w:noProof/>
        </w:rPr>
        <w:t>mentami cyfrowymi (akt dotyczący cyberodporności)</w:t>
      </w:r>
    </w:p>
    <w:p w14:paraId="67ED8925" w14:textId="77777777" w:rsidR="0037165D" w:rsidRPr="002866E5" w:rsidRDefault="0037165D" w:rsidP="00881943">
      <w:pPr>
        <w:pStyle w:val="Text1"/>
        <w:pBdr>
          <w:top w:val="single" w:sz="4" w:space="1" w:color="auto"/>
          <w:left w:val="single" w:sz="4" w:space="4" w:color="auto"/>
          <w:bottom w:val="single" w:sz="4" w:space="1" w:color="auto"/>
          <w:right w:val="single" w:sz="4" w:space="4" w:color="auto"/>
        </w:pBdr>
        <w:rPr>
          <w:noProof/>
        </w:rPr>
      </w:pPr>
    </w:p>
    <w:p w14:paraId="67ED8926" w14:textId="663C8844" w:rsidR="0037165D" w:rsidRPr="002866E5" w:rsidRDefault="00B4087C" w:rsidP="00B4087C">
      <w:pPr>
        <w:pStyle w:val="ManualHeading2"/>
        <w:rPr>
          <w:i/>
          <w:noProof/>
        </w:rPr>
      </w:pPr>
      <w:r w:rsidRPr="00B4087C">
        <w:t>1.2.</w:t>
      </w:r>
      <w:r w:rsidRPr="00B4087C">
        <w:tab/>
      </w:r>
      <w:r w:rsidR="0037165D" w:rsidRPr="002866E5">
        <w:rPr>
          <w:noProof/>
        </w:rPr>
        <w:t>Obszary polityki, których dotyczy wniosek/inicjatywa</w:t>
      </w:r>
      <w:r w:rsidR="0037165D" w:rsidRPr="002866E5">
        <w:rPr>
          <w:i/>
          <w:noProof/>
        </w:rPr>
        <w:t xml:space="preserve"> </w:t>
      </w:r>
    </w:p>
    <w:p w14:paraId="67ED8927" w14:textId="20D0CFC7" w:rsidR="0037165D" w:rsidRPr="002866E5" w:rsidRDefault="00293BE6" w:rsidP="00881943">
      <w:pPr>
        <w:pStyle w:val="Text1"/>
        <w:pBdr>
          <w:top w:val="single" w:sz="4" w:space="1" w:color="auto"/>
          <w:left w:val="single" w:sz="4" w:space="4" w:color="auto"/>
          <w:bottom w:val="single" w:sz="4" w:space="1" w:color="auto"/>
          <w:right w:val="single" w:sz="4" w:space="4" w:color="auto"/>
        </w:pBdr>
        <w:rPr>
          <w:noProof/>
        </w:rPr>
      </w:pPr>
      <w:r w:rsidRPr="002866E5">
        <w:rPr>
          <w:noProof/>
        </w:rPr>
        <w:t>Sieci komunikacyjne, treści</w:t>
      </w:r>
      <w:r w:rsidR="008B35E8" w:rsidRPr="002866E5">
        <w:rPr>
          <w:noProof/>
        </w:rPr>
        <w:t xml:space="preserve"> i</w:t>
      </w:r>
      <w:r w:rsidR="008B35E8">
        <w:rPr>
          <w:noProof/>
        </w:rPr>
        <w:t> </w:t>
      </w:r>
      <w:r w:rsidR="008B35E8" w:rsidRPr="002866E5">
        <w:rPr>
          <w:noProof/>
        </w:rPr>
        <w:t>tec</w:t>
      </w:r>
      <w:r w:rsidRPr="002866E5">
        <w:rPr>
          <w:noProof/>
        </w:rPr>
        <w:t>hnologie</w:t>
      </w:r>
    </w:p>
    <w:p w14:paraId="67ED8928" w14:textId="642E7B49" w:rsidR="0037165D" w:rsidRPr="002866E5" w:rsidRDefault="00B4087C" w:rsidP="00B4087C">
      <w:pPr>
        <w:pStyle w:val="ManualHeading2"/>
        <w:rPr>
          <w:bCs/>
          <w:noProof/>
          <w:szCs w:val="24"/>
        </w:rPr>
      </w:pPr>
      <w:r w:rsidRPr="00B4087C">
        <w:t>1.3.</w:t>
      </w:r>
      <w:r w:rsidRPr="00B4087C">
        <w:tab/>
      </w:r>
      <w:r w:rsidR="0037165D" w:rsidRPr="002866E5">
        <w:rPr>
          <w:noProof/>
        </w:rPr>
        <w:t xml:space="preserve">Wniosek/inicjatywa dotyczy: </w:t>
      </w:r>
    </w:p>
    <w:p w14:paraId="67ED8929" w14:textId="77777777" w:rsidR="0037165D" w:rsidRPr="002866E5" w:rsidRDefault="00293BE6" w:rsidP="00881943">
      <w:pPr>
        <w:pStyle w:val="Text1"/>
        <w:rPr>
          <w:b/>
          <w:noProof/>
          <w:sz w:val="22"/>
        </w:rPr>
      </w:pPr>
      <w:r w:rsidRPr="002866E5">
        <w:rPr>
          <w:noProof/>
          <w:sz w:val="22"/>
        </w:rPr>
        <w:t>×</w:t>
      </w:r>
      <w:r w:rsidRPr="002866E5">
        <w:rPr>
          <w:b/>
          <w:i/>
          <w:noProof/>
          <w:sz w:val="22"/>
        </w:rPr>
        <w:t xml:space="preserve"> </w:t>
      </w:r>
      <w:r w:rsidRPr="002866E5">
        <w:rPr>
          <w:b/>
          <w:noProof/>
        </w:rPr>
        <w:t>nowego działania</w:t>
      </w:r>
      <w:r w:rsidRPr="002866E5">
        <w:rPr>
          <w:b/>
          <w:noProof/>
          <w:sz w:val="22"/>
        </w:rPr>
        <w:t xml:space="preserve"> </w:t>
      </w:r>
    </w:p>
    <w:p w14:paraId="67ED892A" w14:textId="77777777" w:rsidR="0037165D" w:rsidRPr="002866E5" w:rsidRDefault="0037165D" w:rsidP="00881943">
      <w:pPr>
        <w:pStyle w:val="Text1"/>
        <w:rPr>
          <w:noProof/>
          <w:sz w:val="22"/>
        </w:rPr>
      </w:pPr>
      <w:r w:rsidRPr="002866E5">
        <w:rPr>
          <w:noProof/>
          <w:sz w:val="22"/>
        </w:rPr>
        <w:sym w:font="Wingdings" w:char="F0A8"/>
      </w:r>
      <w:r w:rsidRPr="002866E5">
        <w:rPr>
          <w:i/>
          <w:noProof/>
          <w:sz w:val="22"/>
        </w:rPr>
        <w:t xml:space="preserve"> </w:t>
      </w:r>
      <w:r w:rsidRPr="002866E5">
        <w:rPr>
          <w:b/>
          <w:noProof/>
        </w:rPr>
        <w:t>nowego działania będącego następstwem projektu pilotażowego/działania przygotowawczego</w:t>
      </w:r>
      <w:r w:rsidRPr="002866E5">
        <w:rPr>
          <w:rStyle w:val="FootnoteReference"/>
          <w:noProof/>
        </w:rPr>
        <w:footnoteReference w:id="38"/>
      </w:r>
      <w:r w:rsidRPr="002866E5">
        <w:rPr>
          <w:noProof/>
          <w:sz w:val="22"/>
        </w:rPr>
        <w:t xml:space="preserve"> </w:t>
      </w:r>
    </w:p>
    <w:p w14:paraId="67ED892B" w14:textId="77777777" w:rsidR="0037165D" w:rsidRPr="002866E5" w:rsidRDefault="0037165D" w:rsidP="00881943">
      <w:pPr>
        <w:pStyle w:val="Text1"/>
        <w:rPr>
          <w:noProof/>
          <w:sz w:val="22"/>
        </w:rPr>
      </w:pPr>
      <w:r w:rsidRPr="002866E5">
        <w:rPr>
          <w:noProof/>
          <w:sz w:val="22"/>
        </w:rPr>
        <w:sym w:font="Wingdings" w:char="F0A8"/>
      </w:r>
      <w:r w:rsidRPr="002866E5">
        <w:rPr>
          <w:i/>
          <w:noProof/>
          <w:sz w:val="22"/>
        </w:rPr>
        <w:t xml:space="preserve"> </w:t>
      </w:r>
      <w:r w:rsidRPr="002866E5">
        <w:rPr>
          <w:b/>
          <w:noProof/>
        </w:rPr>
        <w:t>przedłużenia bieżącego działania</w:t>
      </w:r>
      <w:r w:rsidRPr="002866E5">
        <w:rPr>
          <w:noProof/>
          <w:sz w:val="22"/>
        </w:rPr>
        <w:t xml:space="preserve"> </w:t>
      </w:r>
    </w:p>
    <w:p w14:paraId="67ED892C" w14:textId="77777777" w:rsidR="0037165D" w:rsidRPr="002866E5" w:rsidRDefault="0037165D" w:rsidP="00881943">
      <w:pPr>
        <w:pStyle w:val="Text1"/>
        <w:rPr>
          <w:noProof/>
        </w:rPr>
      </w:pPr>
      <w:r w:rsidRPr="002866E5">
        <w:rPr>
          <w:noProof/>
          <w:sz w:val="22"/>
        </w:rPr>
        <w:sym w:font="Wingdings" w:char="F0A8"/>
      </w:r>
      <w:r w:rsidRPr="002866E5">
        <w:rPr>
          <w:i/>
          <w:noProof/>
          <w:sz w:val="22"/>
        </w:rPr>
        <w:t xml:space="preserve"> </w:t>
      </w:r>
      <w:r w:rsidRPr="002866E5">
        <w:rPr>
          <w:b/>
          <w:noProof/>
        </w:rPr>
        <w:t>połączenia lub przekształcenia co najmniej jednego działania pod kątem innego/nowego działania</w:t>
      </w:r>
      <w:r w:rsidRPr="002866E5">
        <w:rPr>
          <w:noProof/>
        </w:rPr>
        <w:t xml:space="preserve"> </w:t>
      </w:r>
    </w:p>
    <w:p w14:paraId="67ED892D" w14:textId="2F36CBA0" w:rsidR="0037165D" w:rsidRPr="002866E5" w:rsidRDefault="00B4087C" w:rsidP="00B4087C">
      <w:pPr>
        <w:pStyle w:val="ManualHeading2"/>
        <w:rPr>
          <w:bCs/>
          <w:noProof/>
          <w:szCs w:val="24"/>
        </w:rPr>
      </w:pPr>
      <w:r w:rsidRPr="00B4087C">
        <w:t>1.4.</w:t>
      </w:r>
      <w:r w:rsidRPr="00B4087C">
        <w:tab/>
      </w:r>
      <w:r w:rsidR="0037165D" w:rsidRPr="002866E5">
        <w:rPr>
          <w:noProof/>
        </w:rPr>
        <w:t>Cel(e)</w:t>
      </w:r>
    </w:p>
    <w:p w14:paraId="67ED892E" w14:textId="794A3742" w:rsidR="0037165D" w:rsidRPr="002866E5" w:rsidRDefault="00B4087C" w:rsidP="00B4087C">
      <w:pPr>
        <w:pStyle w:val="ManualHeading3"/>
        <w:rPr>
          <w:noProof/>
        </w:rPr>
      </w:pPr>
      <w:r w:rsidRPr="00B4087C">
        <w:t>1.4.1.</w:t>
      </w:r>
      <w:r w:rsidRPr="00B4087C">
        <w:tab/>
      </w:r>
      <w:r w:rsidR="0037165D" w:rsidRPr="002866E5">
        <w:rPr>
          <w:noProof/>
        </w:rPr>
        <w:t>Cel(e) ogólny(e)</w:t>
      </w:r>
    </w:p>
    <w:p w14:paraId="67ED892F" w14:textId="16E2C76F" w:rsidR="0037165D" w:rsidRPr="002866E5" w:rsidRDefault="00595A50" w:rsidP="00881943">
      <w:pPr>
        <w:pStyle w:val="Text1"/>
        <w:pBdr>
          <w:top w:val="single" w:sz="4" w:space="1" w:color="auto"/>
          <w:left w:val="single" w:sz="4" w:space="4" w:color="auto"/>
          <w:bottom w:val="single" w:sz="4" w:space="1" w:color="auto"/>
          <w:right w:val="single" w:sz="4" w:space="4" w:color="auto"/>
        </w:pBdr>
        <w:rPr>
          <w:noProof/>
        </w:rPr>
      </w:pPr>
      <w:r w:rsidRPr="002866E5">
        <w:rPr>
          <w:noProof/>
        </w:rPr>
        <w:t xml:space="preserve">Zakres wniosku obejmuje dwa główne cele służące zapewnieniu prawidłowego funkcjonowania rynku wewnętrznego: 1) </w:t>
      </w:r>
      <w:r w:rsidRPr="002866E5">
        <w:rPr>
          <w:b/>
          <w:noProof/>
        </w:rPr>
        <w:t>stworzenie warunków dla rozwoju bezpiecznych produktów</w:t>
      </w:r>
      <w:r w:rsidR="008B35E8" w:rsidRPr="002866E5">
        <w:rPr>
          <w:b/>
          <w:noProof/>
        </w:rPr>
        <w:t xml:space="preserve"> z</w:t>
      </w:r>
      <w:r w:rsidR="008B35E8">
        <w:rPr>
          <w:b/>
          <w:noProof/>
        </w:rPr>
        <w:t> </w:t>
      </w:r>
      <w:r w:rsidR="008B35E8" w:rsidRPr="002866E5">
        <w:rPr>
          <w:b/>
          <w:noProof/>
        </w:rPr>
        <w:t>ele</w:t>
      </w:r>
      <w:r w:rsidRPr="002866E5">
        <w:rPr>
          <w:b/>
          <w:noProof/>
        </w:rPr>
        <w:t>mentami cyfrowymi</w:t>
      </w:r>
      <w:r w:rsidRPr="002866E5">
        <w:rPr>
          <w:noProof/>
        </w:rPr>
        <w:t xml:space="preserve"> przez zapewnienie, aby sprzęt</w:t>
      </w:r>
      <w:r w:rsidR="008B35E8" w:rsidRPr="002866E5">
        <w:rPr>
          <w:noProof/>
        </w:rPr>
        <w:t xml:space="preserve"> i</w:t>
      </w:r>
      <w:r w:rsidR="008B35E8">
        <w:rPr>
          <w:noProof/>
        </w:rPr>
        <w:t> </w:t>
      </w:r>
      <w:r w:rsidR="008B35E8" w:rsidRPr="002866E5">
        <w:rPr>
          <w:noProof/>
        </w:rPr>
        <w:t>opr</w:t>
      </w:r>
      <w:r w:rsidRPr="002866E5">
        <w:rPr>
          <w:noProof/>
        </w:rPr>
        <w:t>ogramowanie były wprowadzane do obrotu</w:t>
      </w:r>
      <w:r w:rsidR="008B35E8" w:rsidRPr="002866E5">
        <w:rPr>
          <w:noProof/>
        </w:rPr>
        <w:t xml:space="preserve"> z</w:t>
      </w:r>
      <w:r w:rsidR="008B35E8">
        <w:rPr>
          <w:noProof/>
        </w:rPr>
        <w:t> </w:t>
      </w:r>
      <w:r w:rsidR="008B35E8" w:rsidRPr="002866E5">
        <w:rPr>
          <w:noProof/>
        </w:rPr>
        <w:t>mni</w:t>
      </w:r>
      <w:r w:rsidRPr="002866E5">
        <w:rPr>
          <w:noProof/>
        </w:rPr>
        <w:t>ejszą liczbą podatności,</w:t>
      </w:r>
      <w:r w:rsidR="008B35E8" w:rsidRPr="002866E5">
        <w:rPr>
          <w:noProof/>
        </w:rPr>
        <w:t xml:space="preserve"> a</w:t>
      </w:r>
      <w:r w:rsidR="008B35E8">
        <w:rPr>
          <w:noProof/>
        </w:rPr>
        <w:t> </w:t>
      </w:r>
      <w:r w:rsidR="008B35E8" w:rsidRPr="002866E5">
        <w:rPr>
          <w:noProof/>
        </w:rPr>
        <w:t>tak</w:t>
      </w:r>
      <w:r w:rsidRPr="002866E5">
        <w:rPr>
          <w:noProof/>
        </w:rPr>
        <w:t>że aby producenci poważnie traktowali bezpieczeństwo</w:t>
      </w:r>
      <w:r w:rsidR="008B35E8" w:rsidRPr="002866E5">
        <w:rPr>
          <w:noProof/>
        </w:rPr>
        <w:t xml:space="preserve"> w</w:t>
      </w:r>
      <w:r w:rsidR="008B35E8">
        <w:rPr>
          <w:noProof/>
        </w:rPr>
        <w:t> </w:t>
      </w:r>
      <w:r w:rsidR="008B35E8" w:rsidRPr="002866E5">
        <w:rPr>
          <w:noProof/>
        </w:rPr>
        <w:t>cał</w:t>
      </w:r>
      <w:r w:rsidRPr="002866E5">
        <w:rPr>
          <w:noProof/>
        </w:rPr>
        <w:t xml:space="preserve">ym cyklu życia produktu oraz 2) </w:t>
      </w:r>
      <w:r w:rsidRPr="002866E5">
        <w:rPr>
          <w:b/>
          <w:noProof/>
        </w:rPr>
        <w:t>stworzenie warunków umożliwiających użytkownikom uwzględnianie cyberbezpieczeństwa przy wyborze produktów</w:t>
      </w:r>
      <w:r w:rsidR="008B35E8" w:rsidRPr="002866E5">
        <w:rPr>
          <w:b/>
          <w:noProof/>
        </w:rPr>
        <w:t xml:space="preserve"> z</w:t>
      </w:r>
      <w:r w:rsidR="008B35E8">
        <w:rPr>
          <w:b/>
          <w:noProof/>
        </w:rPr>
        <w:t> </w:t>
      </w:r>
      <w:r w:rsidR="008B35E8" w:rsidRPr="002866E5">
        <w:rPr>
          <w:b/>
          <w:noProof/>
        </w:rPr>
        <w:t>ele</w:t>
      </w:r>
      <w:r w:rsidRPr="002866E5">
        <w:rPr>
          <w:b/>
          <w:noProof/>
        </w:rPr>
        <w:t>mentami cyfrowymi</w:t>
      </w:r>
      <w:r w:rsidR="008B35E8" w:rsidRPr="002866E5">
        <w:rPr>
          <w:b/>
          <w:noProof/>
        </w:rPr>
        <w:t xml:space="preserve"> i</w:t>
      </w:r>
      <w:r w:rsidR="008B35E8">
        <w:rPr>
          <w:b/>
          <w:noProof/>
        </w:rPr>
        <w:t> </w:t>
      </w:r>
      <w:r w:rsidR="008B35E8" w:rsidRPr="002866E5">
        <w:rPr>
          <w:b/>
          <w:noProof/>
        </w:rPr>
        <w:t>kor</w:t>
      </w:r>
      <w:r w:rsidRPr="002866E5">
        <w:rPr>
          <w:b/>
          <w:noProof/>
        </w:rPr>
        <w:t>zystaniu</w:t>
      </w:r>
      <w:r w:rsidR="008B35E8" w:rsidRPr="002866E5">
        <w:rPr>
          <w:b/>
          <w:noProof/>
        </w:rPr>
        <w:t xml:space="preserve"> z</w:t>
      </w:r>
      <w:r w:rsidR="008B35E8">
        <w:rPr>
          <w:b/>
          <w:noProof/>
        </w:rPr>
        <w:t> </w:t>
      </w:r>
      <w:r w:rsidR="008B35E8" w:rsidRPr="002866E5">
        <w:rPr>
          <w:b/>
          <w:noProof/>
        </w:rPr>
        <w:t>nic</w:t>
      </w:r>
      <w:r w:rsidRPr="002866E5">
        <w:rPr>
          <w:b/>
          <w:noProof/>
        </w:rPr>
        <w:t>h</w:t>
      </w:r>
      <w:r w:rsidRPr="002866E5">
        <w:rPr>
          <w:noProof/>
        </w:rPr>
        <w:t>.</w:t>
      </w:r>
    </w:p>
    <w:p w14:paraId="67ED8930" w14:textId="69659677" w:rsidR="0037165D" w:rsidRPr="002866E5" w:rsidRDefault="00B4087C" w:rsidP="00B4087C">
      <w:pPr>
        <w:pStyle w:val="ManualHeading3"/>
        <w:rPr>
          <w:bCs/>
          <w:noProof/>
          <w:szCs w:val="24"/>
        </w:rPr>
      </w:pPr>
      <w:r w:rsidRPr="00B4087C">
        <w:t>1.4.2.</w:t>
      </w:r>
      <w:r w:rsidRPr="00B4087C">
        <w:tab/>
      </w:r>
      <w:r w:rsidR="0037165D" w:rsidRPr="002866E5">
        <w:rPr>
          <w:noProof/>
        </w:rPr>
        <w:t>Cel(e) szczegółowy(e)</w:t>
      </w:r>
    </w:p>
    <w:p w14:paraId="67ED8931" w14:textId="3300F5EC" w:rsidR="0037165D" w:rsidRPr="002866E5" w:rsidRDefault="00595A50" w:rsidP="006F7855">
      <w:pPr>
        <w:pStyle w:val="Text1"/>
        <w:pBdr>
          <w:top w:val="single" w:sz="4" w:space="1" w:color="auto"/>
          <w:left w:val="single" w:sz="4" w:space="4" w:color="auto"/>
          <w:bottom w:val="single" w:sz="4" w:space="1" w:color="auto"/>
          <w:right w:val="single" w:sz="4" w:space="4" w:color="auto"/>
        </w:pBdr>
        <w:rPr>
          <w:noProof/>
        </w:rPr>
      </w:pPr>
      <w:r w:rsidRPr="002866E5">
        <w:rPr>
          <w:noProof/>
        </w:rPr>
        <w:t xml:space="preserve">Określono </w:t>
      </w:r>
      <w:r w:rsidRPr="002866E5">
        <w:rPr>
          <w:b/>
          <w:noProof/>
        </w:rPr>
        <w:t>cztery cele szczegółowe</w:t>
      </w:r>
      <w:r w:rsidR="008B35E8" w:rsidRPr="002866E5">
        <w:rPr>
          <w:noProof/>
        </w:rPr>
        <w:t xml:space="preserve"> w</w:t>
      </w:r>
      <w:r w:rsidR="008B35E8">
        <w:rPr>
          <w:noProof/>
        </w:rPr>
        <w:t> </w:t>
      </w:r>
      <w:r w:rsidR="008B35E8" w:rsidRPr="002866E5">
        <w:rPr>
          <w:noProof/>
        </w:rPr>
        <w:t>odn</w:t>
      </w:r>
      <w:r w:rsidRPr="002866E5">
        <w:rPr>
          <w:noProof/>
        </w:rPr>
        <w:t>iesieniu do wniosku: (i) zapewnienie, aby producenci poprawiali bezpieczeństwo produktów</w:t>
      </w:r>
      <w:r w:rsidR="008B35E8" w:rsidRPr="002866E5">
        <w:rPr>
          <w:noProof/>
        </w:rPr>
        <w:t xml:space="preserve"> z</w:t>
      </w:r>
      <w:r w:rsidR="008B35E8">
        <w:rPr>
          <w:noProof/>
        </w:rPr>
        <w:t> </w:t>
      </w:r>
      <w:r w:rsidR="008B35E8" w:rsidRPr="002866E5">
        <w:rPr>
          <w:noProof/>
        </w:rPr>
        <w:t>ele</w:t>
      </w:r>
      <w:r w:rsidRPr="002866E5">
        <w:rPr>
          <w:noProof/>
        </w:rPr>
        <w:t>mentami cyfrowymi, począwszy od etapu projektowania</w:t>
      </w:r>
      <w:r w:rsidR="008B35E8" w:rsidRPr="002866E5">
        <w:rPr>
          <w:noProof/>
        </w:rPr>
        <w:t xml:space="preserve"> i</w:t>
      </w:r>
      <w:r w:rsidR="008B35E8">
        <w:rPr>
          <w:noProof/>
        </w:rPr>
        <w:t> </w:t>
      </w:r>
      <w:r w:rsidR="008B35E8" w:rsidRPr="002866E5">
        <w:rPr>
          <w:noProof/>
        </w:rPr>
        <w:t>opr</w:t>
      </w:r>
      <w:r w:rsidRPr="002866E5">
        <w:rPr>
          <w:noProof/>
        </w:rPr>
        <w:t>acowywania oraz przez cały cykl życia; (ii) zapewnienie spójnych ram cyberbezpieczeństwa, ułatwiających producentom sprzętu</w:t>
      </w:r>
      <w:r w:rsidR="008B35E8" w:rsidRPr="002866E5">
        <w:rPr>
          <w:noProof/>
        </w:rPr>
        <w:t xml:space="preserve"> i</w:t>
      </w:r>
      <w:r w:rsidR="008B35E8">
        <w:rPr>
          <w:noProof/>
        </w:rPr>
        <w:t> </w:t>
      </w:r>
      <w:r w:rsidR="008B35E8" w:rsidRPr="002866E5">
        <w:rPr>
          <w:noProof/>
        </w:rPr>
        <w:t>opr</w:t>
      </w:r>
      <w:r w:rsidRPr="002866E5">
        <w:rPr>
          <w:noProof/>
        </w:rPr>
        <w:t>ogramowania przestrzeganie przepisów; (iii) zwiększenie przejrzystości zabezpieczeń produktów</w:t>
      </w:r>
      <w:r w:rsidR="008B35E8" w:rsidRPr="002866E5">
        <w:rPr>
          <w:noProof/>
        </w:rPr>
        <w:t xml:space="preserve"> z</w:t>
      </w:r>
      <w:r w:rsidR="008B35E8">
        <w:rPr>
          <w:noProof/>
        </w:rPr>
        <w:t> </w:t>
      </w:r>
      <w:r w:rsidR="008B35E8" w:rsidRPr="002866E5">
        <w:rPr>
          <w:noProof/>
        </w:rPr>
        <w:t>ele</w:t>
      </w:r>
      <w:r w:rsidRPr="002866E5">
        <w:rPr>
          <w:noProof/>
        </w:rPr>
        <w:t>mentami cyfrowymi oraz (iv) umożliwienie przedsiębiorstwom</w:t>
      </w:r>
      <w:r w:rsidR="008B35E8" w:rsidRPr="002866E5">
        <w:rPr>
          <w:noProof/>
        </w:rPr>
        <w:t xml:space="preserve"> i</w:t>
      </w:r>
      <w:r w:rsidR="008B35E8">
        <w:rPr>
          <w:noProof/>
        </w:rPr>
        <w:t> </w:t>
      </w:r>
      <w:r w:rsidR="008B35E8" w:rsidRPr="002866E5">
        <w:rPr>
          <w:noProof/>
        </w:rPr>
        <w:t>kon</w:t>
      </w:r>
      <w:r w:rsidRPr="002866E5">
        <w:rPr>
          <w:noProof/>
        </w:rPr>
        <w:t>sumentom bezpiecznego korzystania</w:t>
      </w:r>
      <w:r w:rsidR="008B35E8" w:rsidRPr="002866E5">
        <w:rPr>
          <w:noProof/>
        </w:rPr>
        <w:t xml:space="preserve"> z</w:t>
      </w:r>
      <w:r w:rsidR="008B35E8">
        <w:rPr>
          <w:noProof/>
        </w:rPr>
        <w:t> </w:t>
      </w:r>
      <w:r w:rsidR="008B35E8" w:rsidRPr="002866E5">
        <w:rPr>
          <w:noProof/>
        </w:rPr>
        <w:t>pro</w:t>
      </w:r>
      <w:r w:rsidRPr="002866E5">
        <w:rPr>
          <w:noProof/>
        </w:rPr>
        <w:t>duktów</w:t>
      </w:r>
      <w:r w:rsidR="008B35E8" w:rsidRPr="002866E5">
        <w:rPr>
          <w:noProof/>
        </w:rPr>
        <w:t xml:space="preserve"> z</w:t>
      </w:r>
      <w:r w:rsidR="008B35E8">
        <w:rPr>
          <w:noProof/>
        </w:rPr>
        <w:t> </w:t>
      </w:r>
      <w:r w:rsidR="008B35E8" w:rsidRPr="002866E5">
        <w:rPr>
          <w:noProof/>
        </w:rPr>
        <w:t>ele</w:t>
      </w:r>
      <w:r w:rsidRPr="002866E5">
        <w:rPr>
          <w:noProof/>
        </w:rPr>
        <w:t xml:space="preserve">mentami cyfrowymi. </w:t>
      </w:r>
    </w:p>
    <w:p w14:paraId="67ED8932" w14:textId="4AD33E3E" w:rsidR="009417D7" w:rsidRPr="008B35E8" w:rsidRDefault="009417D7" w:rsidP="00881943">
      <w:pPr>
        <w:pStyle w:val="Text1"/>
        <w:rPr>
          <w:i/>
          <w:noProof/>
        </w:rPr>
      </w:pPr>
      <w:r w:rsidRPr="002866E5">
        <w:rPr>
          <w:i/>
          <w:noProof/>
        </w:rPr>
        <w:t>Oczekiwane wyniki</w:t>
      </w:r>
      <w:r w:rsidR="008B35E8" w:rsidRPr="002866E5">
        <w:rPr>
          <w:i/>
          <w:noProof/>
        </w:rPr>
        <w:t xml:space="preserve"> i</w:t>
      </w:r>
      <w:r w:rsidR="008B35E8">
        <w:rPr>
          <w:i/>
          <w:noProof/>
        </w:rPr>
        <w:t> </w:t>
      </w:r>
      <w:r w:rsidR="008B35E8" w:rsidRPr="002866E5">
        <w:rPr>
          <w:i/>
          <w:noProof/>
        </w:rPr>
        <w:t>wpł</w:t>
      </w:r>
      <w:r w:rsidRPr="002866E5">
        <w:rPr>
          <w:i/>
          <w:noProof/>
        </w:rPr>
        <w:t>yw</w:t>
      </w:r>
    </w:p>
    <w:p w14:paraId="67ED8933" w14:textId="6A355DF7" w:rsidR="0037165D" w:rsidRPr="002866E5" w:rsidRDefault="009417D7" w:rsidP="00881943">
      <w:pPr>
        <w:pStyle w:val="Text1"/>
        <w:rPr>
          <w:i/>
          <w:noProof/>
          <w:sz w:val="20"/>
        </w:rPr>
      </w:pPr>
      <w:r w:rsidRPr="008B35E8">
        <w:rPr>
          <w:i/>
          <w:noProof/>
          <w:sz w:val="20"/>
        </w:rPr>
        <w:t>N</w:t>
      </w:r>
      <w:r w:rsidRPr="002866E5">
        <w:rPr>
          <w:i/>
          <w:noProof/>
          <w:sz w:val="20"/>
        </w:rPr>
        <w:t>ależy wskazać, jakie efekty przyniesie wniosek/inicjatywa beneficjentom/grupom docelowym.</w:t>
      </w:r>
    </w:p>
    <w:p w14:paraId="67ED8934" w14:textId="4DADA739" w:rsidR="0037165D" w:rsidRPr="002866E5" w:rsidRDefault="00595A50" w:rsidP="00881943">
      <w:pPr>
        <w:pStyle w:val="Text1"/>
        <w:pBdr>
          <w:top w:val="single" w:sz="4" w:space="1" w:color="auto"/>
          <w:left w:val="single" w:sz="4" w:space="4" w:color="auto"/>
          <w:bottom w:val="single" w:sz="4" w:space="1" w:color="auto"/>
          <w:right w:val="single" w:sz="4" w:space="4" w:color="auto"/>
        </w:pBdr>
        <w:rPr>
          <w:noProof/>
        </w:rPr>
      </w:pPr>
      <w:r w:rsidRPr="002866E5">
        <w:rPr>
          <w:noProof/>
        </w:rPr>
        <w:t>Wniosek może przynieść znaczące korzyści dla poszczególnych zainteresowanych stron</w:t>
      </w:r>
      <w:r w:rsidR="008B35E8" w:rsidRPr="002866E5">
        <w:rPr>
          <w:noProof/>
        </w:rPr>
        <w:t>. W</w:t>
      </w:r>
      <w:r w:rsidR="008B35E8">
        <w:rPr>
          <w:noProof/>
        </w:rPr>
        <w:t> </w:t>
      </w:r>
      <w:r w:rsidR="008B35E8" w:rsidRPr="002866E5">
        <w:rPr>
          <w:noProof/>
        </w:rPr>
        <w:t>prz</w:t>
      </w:r>
      <w:r w:rsidRPr="002866E5">
        <w:rPr>
          <w:noProof/>
        </w:rPr>
        <w:t>ypadku przedsiębiorstw pozwoli on zapobiec rozbieżnym przepisom dotyczącym bezpieczeństwa produktów</w:t>
      </w:r>
      <w:r w:rsidR="008B35E8" w:rsidRPr="002866E5">
        <w:rPr>
          <w:noProof/>
        </w:rPr>
        <w:t xml:space="preserve"> z</w:t>
      </w:r>
      <w:r w:rsidR="008B35E8">
        <w:rPr>
          <w:noProof/>
        </w:rPr>
        <w:t> </w:t>
      </w:r>
      <w:r w:rsidR="008B35E8" w:rsidRPr="002866E5">
        <w:rPr>
          <w:noProof/>
        </w:rPr>
        <w:t>ele</w:t>
      </w:r>
      <w:r w:rsidRPr="002866E5">
        <w:rPr>
          <w:noProof/>
        </w:rPr>
        <w:t>mentami cyfrowymi oraz obniżyć koszty przestrzegania związanych</w:t>
      </w:r>
      <w:r w:rsidR="008B35E8" w:rsidRPr="002866E5">
        <w:rPr>
          <w:noProof/>
        </w:rPr>
        <w:t xml:space="preserve"> z</w:t>
      </w:r>
      <w:r w:rsidR="008B35E8">
        <w:rPr>
          <w:noProof/>
        </w:rPr>
        <w:t> </w:t>
      </w:r>
      <w:r w:rsidR="008B35E8" w:rsidRPr="002866E5">
        <w:rPr>
          <w:noProof/>
        </w:rPr>
        <w:t>nim</w:t>
      </w:r>
      <w:r w:rsidRPr="002866E5">
        <w:rPr>
          <w:noProof/>
        </w:rPr>
        <w:t>i przepisów dotyczących cyberbezpieczeństwa. Może się on przyczynić do zmniejszenia liczby cyberincydentów, obniżenia kosztów postępowania</w:t>
      </w:r>
      <w:r w:rsidR="008B35E8" w:rsidRPr="002866E5">
        <w:rPr>
          <w:noProof/>
        </w:rPr>
        <w:t xml:space="preserve"> w</w:t>
      </w:r>
      <w:r w:rsidR="008B35E8">
        <w:rPr>
          <w:noProof/>
        </w:rPr>
        <w:t> </w:t>
      </w:r>
      <w:r w:rsidR="008B35E8" w:rsidRPr="002866E5">
        <w:rPr>
          <w:noProof/>
        </w:rPr>
        <w:t>prz</w:t>
      </w:r>
      <w:r w:rsidRPr="002866E5">
        <w:rPr>
          <w:noProof/>
        </w:rPr>
        <w:t>ypadku incydentu oraz uniknięcia nadszarpnięcia reputacji</w:t>
      </w:r>
      <w:r w:rsidR="008B35E8" w:rsidRPr="002866E5">
        <w:rPr>
          <w:noProof/>
        </w:rPr>
        <w:t>. W</w:t>
      </w:r>
      <w:r w:rsidR="008B35E8">
        <w:rPr>
          <w:noProof/>
        </w:rPr>
        <w:t> </w:t>
      </w:r>
      <w:r w:rsidR="008B35E8" w:rsidRPr="002866E5">
        <w:rPr>
          <w:noProof/>
        </w:rPr>
        <w:t>prz</w:t>
      </w:r>
      <w:r w:rsidRPr="002866E5">
        <w:rPr>
          <w:noProof/>
        </w:rPr>
        <w:t>ypadku całej UE szacuje się, że inicjatywa może doprowadzić do obniżenia kosztów związanych</w:t>
      </w:r>
      <w:r w:rsidR="008B35E8" w:rsidRPr="002866E5">
        <w:rPr>
          <w:noProof/>
        </w:rPr>
        <w:t xml:space="preserve"> z</w:t>
      </w:r>
      <w:r w:rsidR="008B35E8">
        <w:rPr>
          <w:noProof/>
        </w:rPr>
        <w:t> </w:t>
      </w:r>
      <w:r w:rsidR="008B35E8" w:rsidRPr="002866E5">
        <w:rPr>
          <w:noProof/>
        </w:rPr>
        <w:t>inc</w:t>
      </w:r>
      <w:r w:rsidRPr="002866E5">
        <w:rPr>
          <w:noProof/>
        </w:rPr>
        <w:t>ydentami dotyczącymi przedsiębiorstw</w:t>
      </w:r>
      <w:r w:rsidR="008B35E8" w:rsidRPr="002866E5">
        <w:rPr>
          <w:noProof/>
        </w:rPr>
        <w:t xml:space="preserve"> o</w:t>
      </w:r>
      <w:r w:rsidR="008B35E8">
        <w:rPr>
          <w:noProof/>
        </w:rPr>
        <w:t> </w:t>
      </w:r>
      <w:r w:rsidR="008B35E8" w:rsidRPr="002866E5">
        <w:rPr>
          <w:noProof/>
        </w:rPr>
        <w:t>oko</w:t>
      </w:r>
      <w:r w:rsidRPr="002866E5">
        <w:rPr>
          <w:noProof/>
        </w:rPr>
        <w:t>ło 180–290 mld EUR</w:t>
      </w:r>
      <w:r w:rsidRPr="002866E5">
        <w:rPr>
          <w:b/>
          <w:noProof/>
        </w:rPr>
        <w:t xml:space="preserve"> </w:t>
      </w:r>
      <w:r w:rsidRPr="002866E5">
        <w:rPr>
          <w:noProof/>
        </w:rPr>
        <w:t>rocznie</w:t>
      </w:r>
      <w:r w:rsidRPr="002866E5">
        <w:rPr>
          <w:rStyle w:val="FootnoteReference"/>
          <w:noProof/>
        </w:rPr>
        <w:footnoteReference w:id="39"/>
      </w:r>
      <w:r w:rsidRPr="002866E5">
        <w:rPr>
          <w:noProof/>
        </w:rPr>
        <w:t>. Inicjatywa może spowodować wzrost obrotu ze względu na coraz większy popyt na produkty</w:t>
      </w:r>
      <w:r w:rsidR="008B35E8" w:rsidRPr="002866E5">
        <w:rPr>
          <w:noProof/>
        </w:rPr>
        <w:t xml:space="preserve"> z</w:t>
      </w:r>
      <w:r w:rsidR="008B35E8">
        <w:rPr>
          <w:noProof/>
        </w:rPr>
        <w:t> </w:t>
      </w:r>
      <w:r w:rsidR="008B35E8" w:rsidRPr="002866E5">
        <w:rPr>
          <w:noProof/>
        </w:rPr>
        <w:t>ele</w:t>
      </w:r>
      <w:r w:rsidRPr="002866E5">
        <w:rPr>
          <w:noProof/>
        </w:rPr>
        <w:t>mentami cyfrowymi. Może poprawić światową reputację przedsiębiorstw, co spowodowałoby wzrost popytu również spoza UE. Jeżeli chodzi</w:t>
      </w:r>
      <w:r w:rsidR="008B35E8" w:rsidRPr="002866E5">
        <w:rPr>
          <w:noProof/>
        </w:rPr>
        <w:t xml:space="preserve"> o</w:t>
      </w:r>
      <w:r w:rsidR="008B35E8">
        <w:rPr>
          <w:noProof/>
        </w:rPr>
        <w:t> </w:t>
      </w:r>
      <w:r w:rsidR="008B35E8" w:rsidRPr="002866E5">
        <w:rPr>
          <w:noProof/>
        </w:rPr>
        <w:t>uży</w:t>
      </w:r>
      <w:r w:rsidRPr="002866E5">
        <w:rPr>
          <w:noProof/>
        </w:rPr>
        <w:t>tkowników, preferowany wariant może zwiększyć przejrzystość zabezpieczeń</w:t>
      </w:r>
      <w:r w:rsidR="008B35E8" w:rsidRPr="002866E5">
        <w:rPr>
          <w:noProof/>
        </w:rPr>
        <w:t xml:space="preserve"> i</w:t>
      </w:r>
      <w:r w:rsidR="008B35E8">
        <w:rPr>
          <w:noProof/>
        </w:rPr>
        <w:t> </w:t>
      </w:r>
      <w:r w:rsidR="008B35E8" w:rsidRPr="002866E5">
        <w:rPr>
          <w:noProof/>
        </w:rPr>
        <w:t>uła</w:t>
      </w:r>
      <w:r w:rsidRPr="002866E5">
        <w:rPr>
          <w:noProof/>
        </w:rPr>
        <w:t>twić korzystanie</w:t>
      </w:r>
      <w:r w:rsidR="008B35E8" w:rsidRPr="002866E5">
        <w:rPr>
          <w:noProof/>
        </w:rPr>
        <w:t xml:space="preserve"> z</w:t>
      </w:r>
      <w:r w:rsidR="008B35E8">
        <w:rPr>
          <w:noProof/>
        </w:rPr>
        <w:t> </w:t>
      </w:r>
      <w:r w:rsidR="008B35E8" w:rsidRPr="002866E5">
        <w:rPr>
          <w:noProof/>
        </w:rPr>
        <w:t>pro</w:t>
      </w:r>
      <w:r w:rsidRPr="002866E5">
        <w:rPr>
          <w:noProof/>
        </w:rPr>
        <w:t>duktów</w:t>
      </w:r>
      <w:r w:rsidR="008B35E8" w:rsidRPr="002866E5">
        <w:rPr>
          <w:noProof/>
        </w:rPr>
        <w:t xml:space="preserve"> z</w:t>
      </w:r>
      <w:r w:rsidR="008B35E8">
        <w:rPr>
          <w:noProof/>
        </w:rPr>
        <w:t> </w:t>
      </w:r>
      <w:r w:rsidR="008B35E8" w:rsidRPr="002866E5">
        <w:rPr>
          <w:noProof/>
        </w:rPr>
        <w:t>ele</w:t>
      </w:r>
      <w:r w:rsidRPr="002866E5">
        <w:rPr>
          <w:noProof/>
        </w:rPr>
        <w:t>mentami cyfrowymi. Konsumenci</w:t>
      </w:r>
      <w:r w:rsidR="008B35E8" w:rsidRPr="002866E5">
        <w:rPr>
          <w:noProof/>
        </w:rPr>
        <w:t xml:space="preserve"> i</w:t>
      </w:r>
      <w:r w:rsidR="008B35E8">
        <w:rPr>
          <w:noProof/>
        </w:rPr>
        <w:t> </w:t>
      </w:r>
      <w:r w:rsidR="008B35E8" w:rsidRPr="002866E5">
        <w:rPr>
          <w:noProof/>
        </w:rPr>
        <w:t>oby</w:t>
      </w:r>
      <w:r w:rsidRPr="002866E5">
        <w:rPr>
          <w:noProof/>
        </w:rPr>
        <w:t>watele odniosą także korzyść polegającą na lepszej ochronie ich praw podstawowych, takich jak prywatność</w:t>
      </w:r>
      <w:r w:rsidR="008B35E8" w:rsidRPr="002866E5">
        <w:rPr>
          <w:noProof/>
        </w:rPr>
        <w:t xml:space="preserve"> i</w:t>
      </w:r>
      <w:r w:rsidR="008B35E8">
        <w:rPr>
          <w:noProof/>
        </w:rPr>
        <w:t> </w:t>
      </w:r>
      <w:r w:rsidR="008B35E8" w:rsidRPr="002866E5">
        <w:rPr>
          <w:noProof/>
        </w:rPr>
        <w:t>och</w:t>
      </w:r>
      <w:r w:rsidRPr="002866E5">
        <w:rPr>
          <w:noProof/>
        </w:rPr>
        <w:t>rona danych.</w:t>
      </w:r>
    </w:p>
    <w:p w14:paraId="67ED8935" w14:textId="5CAD6735" w:rsidR="0037165D" w:rsidRPr="002866E5" w:rsidRDefault="00595A50" w:rsidP="00881943">
      <w:pPr>
        <w:pStyle w:val="Text1"/>
        <w:pBdr>
          <w:top w:val="single" w:sz="4" w:space="1" w:color="auto"/>
          <w:left w:val="single" w:sz="4" w:space="4" w:color="auto"/>
          <w:bottom w:val="single" w:sz="4" w:space="1" w:color="auto"/>
          <w:right w:val="single" w:sz="4" w:space="4" w:color="auto"/>
        </w:pBdr>
        <w:rPr>
          <w:noProof/>
        </w:rPr>
      </w:pPr>
      <w:r w:rsidRPr="002866E5">
        <w:rPr>
          <w:noProof/>
        </w:rPr>
        <w:t>Jednocześnie wniosek może zwiększyć koszty przestrzegania</w:t>
      </w:r>
      <w:r w:rsidR="008B35E8" w:rsidRPr="002866E5">
        <w:rPr>
          <w:noProof/>
        </w:rPr>
        <w:t xml:space="preserve"> i</w:t>
      </w:r>
      <w:r w:rsidR="008B35E8">
        <w:rPr>
          <w:noProof/>
        </w:rPr>
        <w:t> </w:t>
      </w:r>
      <w:r w:rsidR="008B35E8" w:rsidRPr="002866E5">
        <w:rPr>
          <w:noProof/>
        </w:rPr>
        <w:t>egz</w:t>
      </w:r>
      <w:r w:rsidRPr="002866E5">
        <w:rPr>
          <w:noProof/>
        </w:rPr>
        <w:t>ekwowania przepisów ponoszone przez przedsiębiorstwa, jednostki notyfikowane</w:t>
      </w:r>
      <w:r w:rsidR="008B35E8" w:rsidRPr="002866E5">
        <w:rPr>
          <w:noProof/>
        </w:rPr>
        <w:t xml:space="preserve"> i</w:t>
      </w:r>
      <w:r w:rsidR="008B35E8">
        <w:rPr>
          <w:noProof/>
        </w:rPr>
        <w:t> </w:t>
      </w:r>
      <w:r w:rsidR="008B35E8" w:rsidRPr="002866E5">
        <w:rPr>
          <w:noProof/>
        </w:rPr>
        <w:t>org</w:t>
      </w:r>
      <w:r w:rsidRPr="002866E5">
        <w:rPr>
          <w:noProof/>
        </w:rPr>
        <w:t>any publiczne,</w:t>
      </w:r>
      <w:r w:rsidR="008B35E8" w:rsidRPr="002866E5">
        <w:rPr>
          <w:noProof/>
        </w:rPr>
        <w:t xml:space="preserve"> w</w:t>
      </w:r>
      <w:r w:rsidR="008B35E8">
        <w:rPr>
          <w:noProof/>
        </w:rPr>
        <w:t> </w:t>
      </w:r>
      <w:r w:rsidR="008B35E8" w:rsidRPr="002866E5">
        <w:rPr>
          <w:noProof/>
        </w:rPr>
        <w:t>tym</w:t>
      </w:r>
      <w:r w:rsidRPr="002866E5">
        <w:rPr>
          <w:noProof/>
        </w:rPr>
        <w:t xml:space="preserve"> organy ds. akredytacji</w:t>
      </w:r>
      <w:r w:rsidR="008B35E8" w:rsidRPr="002866E5">
        <w:rPr>
          <w:noProof/>
        </w:rPr>
        <w:t xml:space="preserve"> i</w:t>
      </w:r>
      <w:r w:rsidR="008B35E8">
        <w:rPr>
          <w:noProof/>
        </w:rPr>
        <w:t> </w:t>
      </w:r>
      <w:r w:rsidR="008B35E8" w:rsidRPr="002866E5">
        <w:rPr>
          <w:noProof/>
        </w:rPr>
        <w:t>org</w:t>
      </w:r>
      <w:r w:rsidRPr="002866E5">
        <w:rPr>
          <w:noProof/>
        </w:rPr>
        <w:t>any nadzoru rynku</w:t>
      </w:r>
      <w:r w:rsidR="008B35E8" w:rsidRPr="002866E5">
        <w:rPr>
          <w:noProof/>
        </w:rPr>
        <w:t>. W</w:t>
      </w:r>
      <w:r w:rsidR="008B35E8">
        <w:rPr>
          <w:noProof/>
        </w:rPr>
        <w:t> </w:t>
      </w:r>
      <w:r w:rsidR="008B35E8" w:rsidRPr="002866E5">
        <w:rPr>
          <w:noProof/>
        </w:rPr>
        <w:t>prz</w:t>
      </w:r>
      <w:r w:rsidRPr="002866E5">
        <w:rPr>
          <w:noProof/>
        </w:rPr>
        <w:t>ypadku twórców oprogramowania</w:t>
      </w:r>
      <w:r w:rsidR="008B35E8" w:rsidRPr="002866E5">
        <w:rPr>
          <w:noProof/>
        </w:rPr>
        <w:t xml:space="preserve"> i</w:t>
      </w:r>
      <w:r w:rsidR="008B35E8">
        <w:rPr>
          <w:noProof/>
        </w:rPr>
        <w:t> </w:t>
      </w:r>
      <w:r w:rsidR="008B35E8" w:rsidRPr="002866E5">
        <w:rPr>
          <w:noProof/>
        </w:rPr>
        <w:t>pro</w:t>
      </w:r>
      <w:r w:rsidRPr="002866E5">
        <w:rPr>
          <w:noProof/>
        </w:rPr>
        <w:t>ducentów sprzętu oznaczać to będzie dodatkowe bezpośrednie koszty przestrzegania przepisów</w:t>
      </w:r>
      <w:r w:rsidR="008B35E8" w:rsidRPr="002866E5">
        <w:rPr>
          <w:noProof/>
        </w:rPr>
        <w:t xml:space="preserve"> w</w:t>
      </w:r>
      <w:r w:rsidR="008B35E8">
        <w:rPr>
          <w:noProof/>
        </w:rPr>
        <w:t> </w:t>
      </w:r>
      <w:r w:rsidR="008B35E8" w:rsidRPr="002866E5">
        <w:rPr>
          <w:noProof/>
        </w:rPr>
        <w:t>zwi</w:t>
      </w:r>
      <w:r w:rsidRPr="002866E5">
        <w:rPr>
          <w:noProof/>
        </w:rPr>
        <w:t>ązku</w:t>
      </w:r>
      <w:r w:rsidR="008B35E8" w:rsidRPr="002866E5">
        <w:rPr>
          <w:noProof/>
        </w:rPr>
        <w:t xml:space="preserve"> z</w:t>
      </w:r>
      <w:r w:rsidR="008B35E8">
        <w:rPr>
          <w:noProof/>
        </w:rPr>
        <w:t> </w:t>
      </w:r>
      <w:r w:rsidR="008B35E8" w:rsidRPr="002866E5">
        <w:rPr>
          <w:noProof/>
        </w:rPr>
        <w:t>now</w:t>
      </w:r>
      <w:r w:rsidRPr="002866E5">
        <w:rPr>
          <w:noProof/>
        </w:rPr>
        <w:t>ymi wymogami bezpieczeństwa, oceną zgodności, obowiązkami</w:t>
      </w:r>
      <w:r w:rsidR="008B35E8" w:rsidRPr="002866E5">
        <w:rPr>
          <w:noProof/>
        </w:rPr>
        <w:t xml:space="preserve"> w</w:t>
      </w:r>
      <w:r w:rsidR="008B35E8">
        <w:rPr>
          <w:noProof/>
        </w:rPr>
        <w:t> </w:t>
      </w:r>
      <w:r w:rsidR="008B35E8" w:rsidRPr="002866E5">
        <w:rPr>
          <w:noProof/>
        </w:rPr>
        <w:t>zak</w:t>
      </w:r>
      <w:r w:rsidRPr="002866E5">
        <w:rPr>
          <w:noProof/>
        </w:rPr>
        <w:t>resie dokumentacji</w:t>
      </w:r>
      <w:r w:rsidR="008B35E8" w:rsidRPr="002866E5">
        <w:rPr>
          <w:noProof/>
        </w:rPr>
        <w:t xml:space="preserve"> i</w:t>
      </w:r>
      <w:r w:rsidR="008B35E8">
        <w:rPr>
          <w:noProof/>
        </w:rPr>
        <w:t> </w:t>
      </w:r>
      <w:r w:rsidR="008B35E8" w:rsidRPr="002866E5">
        <w:rPr>
          <w:noProof/>
        </w:rPr>
        <w:t>zgł</w:t>
      </w:r>
      <w:r w:rsidRPr="002866E5">
        <w:rPr>
          <w:noProof/>
        </w:rPr>
        <w:t>aszania incydentów, co spowoduje, że zagregowane koszty przestrzegania przepisów wyniosą około 29 mld EUR przy szacowanej wartości rynkowej obrotu wynoszącej 1 485 mld EUR</w:t>
      </w:r>
      <w:r w:rsidRPr="002866E5">
        <w:rPr>
          <w:rStyle w:val="FootnoteReference"/>
          <w:noProof/>
        </w:rPr>
        <w:footnoteReference w:id="40"/>
      </w:r>
      <w:r w:rsidRPr="002866E5">
        <w:rPr>
          <w:noProof/>
        </w:rPr>
        <w:t>. Użytkownicy,</w:t>
      </w:r>
      <w:r w:rsidR="008B35E8" w:rsidRPr="002866E5">
        <w:rPr>
          <w:noProof/>
        </w:rPr>
        <w:t xml:space="preserve"> w</w:t>
      </w:r>
      <w:r w:rsidR="008B35E8">
        <w:rPr>
          <w:noProof/>
        </w:rPr>
        <w:t> </w:t>
      </w:r>
      <w:r w:rsidR="008B35E8" w:rsidRPr="002866E5">
        <w:rPr>
          <w:noProof/>
        </w:rPr>
        <w:t>tym</w:t>
      </w:r>
      <w:r w:rsidRPr="002866E5">
        <w:rPr>
          <w:noProof/>
        </w:rPr>
        <w:t xml:space="preserve"> użytkownicy biznesowi, konsumenci</w:t>
      </w:r>
      <w:r w:rsidR="008B35E8" w:rsidRPr="002866E5">
        <w:rPr>
          <w:noProof/>
        </w:rPr>
        <w:t xml:space="preserve"> i</w:t>
      </w:r>
      <w:r w:rsidR="008B35E8">
        <w:rPr>
          <w:noProof/>
        </w:rPr>
        <w:t> </w:t>
      </w:r>
      <w:r w:rsidR="008B35E8" w:rsidRPr="002866E5">
        <w:rPr>
          <w:noProof/>
        </w:rPr>
        <w:t>oby</w:t>
      </w:r>
      <w:r w:rsidRPr="002866E5">
        <w:rPr>
          <w:noProof/>
        </w:rPr>
        <w:t>watele mogą doświadczyć wyższych cen produktów</w:t>
      </w:r>
      <w:r w:rsidR="008B35E8" w:rsidRPr="002866E5">
        <w:rPr>
          <w:noProof/>
        </w:rPr>
        <w:t xml:space="preserve"> z</w:t>
      </w:r>
      <w:r w:rsidR="008B35E8">
        <w:rPr>
          <w:noProof/>
        </w:rPr>
        <w:t> </w:t>
      </w:r>
      <w:r w:rsidR="008B35E8" w:rsidRPr="002866E5">
        <w:rPr>
          <w:noProof/>
        </w:rPr>
        <w:t>ele</w:t>
      </w:r>
      <w:r w:rsidRPr="002866E5">
        <w:rPr>
          <w:noProof/>
        </w:rPr>
        <w:t>mentami cyfrowymi. Należy je jednak postrzegać</w:t>
      </w:r>
      <w:r w:rsidR="008B35E8" w:rsidRPr="002866E5">
        <w:rPr>
          <w:noProof/>
        </w:rPr>
        <w:t xml:space="preserve"> w</w:t>
      </w:r>
      <w:r w:rsidR="008B35E8">
        <w:rPr>
          <w:noProof/>
        </w:rPr>
        <w:t> </w:t>
      </w:r>
      <w:r w:rsidR="008B35E8" w:rsidRPr="002866E5">
        <w:rPr>
          <w:noProof/>
        </w:rPr>
        <w:t>kon</w:t>
      </w:r>
      <w:r w:rsidRPr="002866E5">
        <w:rPr>
          <w:noProof/>
        </w:rPr>
        <w:t>tekście znaczących korzyści opisanych powyżej.</w:t>
      </w:r>
    </w:p>
    <w:p w14:paraId="67ED8936" w14:textId="658639D5" w:rsidR="0037165D" w:rsidRPr="002866E5" w:rsidRDefault="00B4087C" w:rsidP="00B4087C">
      <w:pPr>
        <w:pStyle w:val="ManualHeading3"/>
        <w:rPr>
          <w:noProof/>
          <w:szCs w:val="24"/>
        </w:rPr>
      </w:pPr>
      <w:r w:rsidRPr="00B4087C">
        <w:t>1.4.3.</w:t>
      </w:r>
      <w:r w:rsidRPr="00B4087C">
        <w:tab/>
      </w:r>
      <w:r w:rsidR="0037165D" w:rsidRPr="002866E5">
        <w:rPr>
          <w:noProof/>
        </w:rPr>
        <w:t>Wskaźniki dotyczące realizacji celów</w:t>
      </w:r>
    </w:p>
    <w:p w14:paraId="67ED8937" w14:textId="417BD1DE" w:rsidR="0037165D" w:rsidRPr="002866E5" w:rsidRDefault="0037165D" w:rsidP="00881943">
      <w:pPr>
        <w:pStyle w:val="Text1"/>
        <w:rPr>
          <w:i/>
          <w:noProof/>
          <w:sz w:val="20"/>
        </w:rPr>
      </w:pPr>
      <w:r w:rsidRPr="002866E5">
        <w:rPr>
          <w:i/>
          <w:noProof/>
          <w:sz w:val="20"/>
        </w:rPr>
        <w:t>Należy określić wskaźniki stosowane do monitorowania postępów</w:t>
      </w:r>
      <w:r w:rsidR="008B35E8" w:rsidRPr="002866E5">
        <w:rPr>
          <w:i/>
          <w:noProof/>
          <w:sz w:val="20"/>
        </w:rPr>
        <w:t xml:space="preserve"> i</w:t>
      </w:r>
      <w:r w:rsidR="008B35E8">
        <w:rPr>
          <w:i/>
          <w:noProof/>
          <w:sz w:val="20"/>
        </w:rPr>
        <w:t> </w:t>
      </w:r>
      <w:r w:rsidR="008B35E8" w:rsidRPr="002866E5">
        <w:rPr>
          <w:i/>
          <w:noProof/>
          <w:sz w:val="20"/>
        </w:rPr>
        <w:t>osi</w:t>
      </w:r>
      <w:r w:rsidRPr="002866E5">
        <w:rPr>
          <w:i/>
          <w:noProof/>
          <w:sz w:val="20"/>
        </w:rPr>
        <w:t>ągnięć.</w:t>
      </w:r>
    </w:p>
    <w:p w14:paraId="67ED8938" w14:textId="321B43B5" w:rsidR="00627831" w:rsidRPr="002866E5" w:rsidRDefault="00627831" w:rsidP="00627831">
      <w:pPr>
        <w:pStyle w:val="Text1"/>
        <w:pBdr>
          <w:top w:val="single" w:sz="4" w:space="1" w:color="auto"/>
          <w:left w:val="single" w:sz="4" w:space="4" w:color="auto"/>
          <w:bottom w:val="single" w:sz="4" w:space="1" w:color="auto"/>
          <w:right w:val="single" w:sz="4" w:space="4" w:color="auto"/>
        </w:pBdr>
        <w:rPr>
          <w:noProof/>
        </w:rPr>
      </w:pPr>
      <w:r w:rsidRPr="002866E5">
        <w:rPr>
          <w:noProof/>
        </w:rPr>
        <w:t>Aby sprawdzić, czy producenci zwiększyli bezpieczeństwo produktów</w:t>
      </w:r>
      <w:r w:rsidR="008B35E8" w:rsidRPr="002866E5">
        <w:rPr>
          <w:noProof/>
        </w:rPr>
        <w:t xml:space="preserve"> z</w:t>
      </w:r>
      <w:r w:rsidR="008B35E8">
        <w:rPr>
          <w:noProof/>
        </w:rPr>
        <w:t> </w:t>
      </w:r>
      <w:r w:rsidR="008B35E8" w:rsidRPr="002866E5">
        <w:rPr>
          <w:noProof/>
        </w:rPr>
        <w:t>ele</w:t>
      </w:r>
      <w:r w:rsidRPr="002866E5">
        <w:rPr>
          <w:noProof/>
        </w:rPr>
        <w:t>mentami cyfrowymi, począwszy od etapu projektowania</w:t>
      </w:r>
      <w:r w:rsidR="008B35E8" w:rsidRPr="002866E5">
        <w:rPr>
          <w:noProof/>
        </w:rPr>
        <w:t xml:space="preserve"> i</w:t>
      </w:r>
      <w:r w:rsidR="008B35E8">
        <w:rPr>
          <w:noProof/>
        </w:rPr>
        <w:t> </w:t>
      </w:r>
      <w:r w:rsidR="008B35E8" w:rsidRPr="002866E5">
        <w:rPr>
          <w:noProof/>
        </w:rPr>
        <w:t>opr</w:t>
      </w:r>
      <w:r w:rsidRPr="002866E5">
        <w:rPr>
          <w:noProof/>
        </w:rPr>
        <w:t>acowywania oraz przez cały cykl życia tych produktów, można wziąć pod uwagę szereg wskaźników. Mogą to być: liczba istotnych incydentów</w:t>
      </w:r>
      <w:r w:rsidR="008B35E8" w:rsidRPr="002866E5">
        <w:rPr>
          <w:noProof/>
        </w:rPr>
        <w:t xml:space="preserve"> w</w:t>
      </w:r>
      <w:r w:rsidR="008B35E8">
        <w:rPr>
          <w:noProof/>
        </w:rPr>
        <w:t> </w:t>
      </w:r>
      <w:r w:rsidR="008B35E8" w:rsidRPr="002866E5">
        <w:rPr>
          <w:noProof/>
        </w:rPr>
        <w:t>Uni</w:t>
      </w:r>
      <w:r w:rsidRPr="002866E5">
        <w:rPr>
          <w:noProof/>
        </w:rPr>
        <w:t>i spowodowanych podatnościami, udział producentów sprzętu</w:t>
      </w:r>
      <w:r w:rsidR="008B35E8" w:rsidRPr="002866E5">
        <w:rPr>
          <w:noProof/>
        </w:rPr>
        <w:t xml:space="preserve"> i</w:t>
      </w:r>
      <w:r w:rsidR="008B35E8">
        <w:rPr>
          <w:noProof/>
        </w:rPr>
        <w:t> </w:t>
      </w:r>
      <w:r w:rsidR="008B35E8" w:rsidRPr="002866E5">
        <w:rPr>
          <w:noProof/>
        </w:rPr>
        <w:t>opr</w:t>
      </w:r>
      <w:r w:rsidRPr="002866E5">
        <w:rPr>
          <w:noProof/>
        </w:rPr>
        <w:t>ogramowania, którzy stosują cykl życia polegający na systematycznym bezpiecznym opracowywaniu, analiza jakościowa bezpieczeństwa produktów</w:t>
      </w:r>
      <w:r w:rsidR="008B35E8" w:rsidRPr="002866E5">
        <w:rPr>
          <w:noProof/>
        </w:rPr>
        <w:t xml:space="preserve"> z</w:t>
      </w:r>
      <w:r w:rsidR="008B35E8">
        <w:rPr>
          <w:noProof/>
        </w:rPr>
        <w:t> </w:t>
      </w:r>
      <w:r w:rsidR="008B35E8" w:rsidRPr="002866E5">
        <w:rPr>
          <w:noProof/>
        </w:rPr>
        <w:t>ele</w:t>
      </w:r>
      <w:r w:rsidRPr="002866E5">
        <w:rPr>
          <w:noProof/>
        </w:rPr>
        <w:t>mentami cyfrowymi, ilościowa</w:t>
      </w:r>
      <w:r w:rsidR="008B35E8" w:rsidRPr="002866E5">
        <w:rPr>
          <w:noProof/>
        </w:rPr>
        <w:t xml:space="preserve"> i</w:t>
      </w:r>
      <w:r w:rsidR="008B35E8">
        <w:rPr>
          <w:noProof/>
        </w:rPr>
        <w:t> </w:t>
      </w:r>
      <w:r w:rsidR="008B35E8" w:rsidRPr="002866E5">
        <w:rPr>
          <w:noProof/>
        </w:rPr>
        <w:t>jak</w:t>
      </w:r>
      <w:r w:rsidRPr="002866E5">
        <w:rPr>
          <w:noProof/>
        </w:rPr>
        <w:t>ościowa ocena baz danych dotyczących podatności, częstotliwość udostępniania przez producentów poprawek zabezpieczeń lub średnia liczba dni między wykryciem podatności</w:t>
      </w:r>
      <w:r w:rsidR="008B35E8" w:rsidRPr="002866E5">
        <w:rPr>
          <w:noProof/>
        </w:rPr>
        <w:t xml:space="preserve"> a</w:t>
      </w:r>
      <w:r w:rsidR="008B35E8">
        <w:rPr>
          <w:noProof/>
        </w:rPr>
        <w:t> </w:t>
      </w:r>
      <w:r w:rsidR="008B35E8" w:rsidRPr="002866E5">
        <w:rPr>
          <w:noProof/>
        </w:rPr>
        <w:t>udo</w:t>
      </w:r>
      <w:r w:rsidRPr="002866E5">
        <w:rPr>
          <w:noProof/>
        </w:rPr>
        <w:t>stępnieniem poprawek zabezpieczeń.</w:t>
      </w:r>
    </w:p>
    <w:p w14:paraId="67ED8939" w14:textId="2040B24E" w:rsidR="00627831" w:rsidRPr="002866E5" w:rsidRDefault="00FB7195" w:rsidP="00627831">
      <w:pPr>
        <w:pStyle w:val="Text1"/>
        <w:pBdr>
          <w:top w:val="single" w:sz="4" w:space="1" w:color="auto"/>
          <w:left w:val="single" w:sz="4" w:space="4" w:color="auto"/>
          <w:bottom w:val="single" w:sz="4" w:space="1" w:color="auto"/>
          <w:right w:val="single" w:sz="4" w:space="4" w:color="auto"/>
        </w:pBdr>
        <w:rPr>
          <w:noProof/>
        </w:rPr>
      </w:pPr>
      <w:r w:rsidRPr="002866E5">
        <w:rPr>
          <w:noProof/>
        </w:rPr>
        <w:t>Wskaźnikiem dotyczącym spójnych ram cyberbezpieczeństwa może być brak ukierunkowanych krajowych przepisów</w:t>
      </w:r>
      <w:r w:rsidR="008B35E8" w:rsidRPr="002866E5">
        <w:rPr>
          <w:noProof/>
        </w:rPr>
        <w:t xml:space="preserve"> w</w:t>
      </w:r>
      <w:r w:rsidR="008B35E8">
        <w:rPr>
          <w:noProof/>
        </w:rPr>
        <w:t> </w:t>
      </w:r>
      <w:r w:rsidR="008B35E8" w:rsidRPr="002866E5">
        <w:rPr>
          <w:noProof/>
        </w:rPr>
        <w:t>zak</w:t>
      </w:r>
      <w:r w:rsidRPr="002866E5">
        <w:rPr>
          <w:noProof/>
        </w:rPr>
        <w:t>resie cyberbezpieczeństwa dotyczących konkretnych produktów.</w:t>
      </w:r>
      <w:r w:rsidRPr="002866E5">
        <w:rPr>
          <w:noProof/>
        </w:rPr>
        <w:tab/>
      </w:r>
    </w:p>
    <w:p w14:paraId="67ED893A" w14:textId="3F34DAC0" w:rsidR="00627831" w:rsidRPr="002866E5" w:rsidRDefault="00FB7195" w:rsidP="006F7855">
      <w:pPr>
        <w:pStyle w:val="Text1"/>
        <w:pBdr>
          <w:top w:val="single" w:sz="4" w:space="1" w:color="auto"/>
          <w:left w:val="single" w:sz="4" w:space="4" w:color="auto"/>
          <w:bottom w:val="single" w:sz="4" w:space="1" w:color="auto"/>
          <w:right w:val="single" w:sz="4" w:space="4" w:color="auto"/>
        </w:pBdr>
        <w:rPr>
          <w:noProof/>
        </w:rPr>
      </w:pPr>
      <w:r w:rsidRPr="002866E5">
        <w:rPr>
          <w:noProof/>
        </w:rPr>
        <w:t>Wskaźnikiem dotyczącym zwiększonej przejrzystości</w:t>
      </w:r>
      <w:r w:rsidR="008B35E8" w:rsidRPr="002866E5">
        <w:rPr>
          <w:noProof/>
        </w:rPr>
        <w:t xml:space="preserve"> w</w:t>
      </w:r>
      <w:r w:rsidR="008B35E8">
        <w:rPr>
          <w:noProof/>
        </w:rPr>
        <w:t> </w:t>
      </w:r>
      <w:r w:rsidR="008B35E8" w:rsidRPr="002866E5">
        <w:rPr>
          <w:noProof/>
        </w:rPr>
        <w:t>zak</w:t>
      </w:r>
      <w:r w:rsidRPr="002866E5">
        <w:rPr>
          <w:noProof/>
        </w:rPr>
        <w:t>resie zabezpieczeń produktów</w:t>
      </w:r>
      <w:r w:rsidR="008B35E8" w:rsidRPr="002866E5">
        <w:rPr>
          <w:noProof/>
        </w:rPr>
        <w:t xml:space="preserve"> z</w:t>
      </w:r>
      <w:r w:rsidR="008B35E8">
        <w:rPr>
          <w:noProof/>
        </w:rPr>
        <w:t> </w:t>
      </w:r>
      <w:r w:rsidR="008B35E8" w:rsidRPr="002866E5">
        <w:rPr>
          <w:noProof/>
        </w:rPr>
        <w:t>ele</w:t>
      </w:r>
      <w:r w:rsidRPr="002866E5">
        <w:rPr>
          <w:noProof/>
        </w:rPr>
        <w:t>mentami cyfrowymi może być udział produktów</w:t>
      </w:r>
      <w:r w:rsidR="008B35E8" w:rsidRPr="002866E5">
        <w:rPr>
          <w:noProof/>
        </w:rPr>
        <w:t xml:space="preserve"> z</w:t>
      </w:r>
      <w:r w:rsidR="008B35E8">
        <w:rPr>
          <w:noProof/>
        </w:rPr>
        <w:t> </w:t>
      </w:r>
      <w:r w:rsidR="008B35E8" w:rsidRPr="002866E5">
        <w:rPr>
          <w:noProof/>
        </w:rPr>
        <w:t>ele</w:t>
      </w:r>
      <w:r w:rsidRPr="002866E5">
        <w:rPr>
          <w:noProof/>
        </w:rPr>
        <w:t>mentami cyfrowymi, które są dostarczane</w:t>
      </w:r>
      <w:r w:rsidR="008B35E8" w:rsidRPr="002866E5">
        <w:rPr>
          <w:noProof/>
        </w:rPr>
        <w:t xml:space="preserve"> z</w:t>
      </w:r>
      <w:r w:rsidR="008B35E8">
        <w:rPr>
          <w:noProof/>
        </w:rPr>
        <w:t> </w:t>
      </w:r>
      <w:r w:rsidR="008B35E8" w:rsidRPr="002866E5">
        <w:rPr>
          <w:noProof/>
        </w:rPr>
        <w:t>inf</w:t>
      </w:r>
      <w:r w:rsidRPr="002866E5">
        <w:rPr>
          <w:noProof/>
        </w:rPr>
        <w:t>ormacjami na temat zabezpieczeń. Ponadto jako wskaźnik tego, czy organizacjom</w:t>
      </w:r>
      <w:r w:rsidR="008B35E8" w:rsidRPr="002866E5">
        <w:rPr>
          <w:noProof/>
        </w:rPr>
        <w:t xml:space="preserve"> i</w:t>
      </w:r>
      <w:r w:rsidR="008B35E8">
        <w:rPr>
          <w:noProof/>
        </w:rPr>
        <w:t> </w:t>
      </w:r>
      <w:r w:rsidR="008B35E8" w:rsidRPr="002866E5">
        <w:rPr>
          <w:noProof/>
        </w:rPr>
        <w:t>kon</w:t>
      </w:r>
      <w:r w:rsidRPr="002866E5">
        <w:rPr>
          <w:noProof/>
        </w:rPr>
        <w:t>sumentom umożliwia się bezpieczne użytkowanie produktów</w:t>
      </w:r>
      <w:r w:rsidR="008B35E8" w:rsidRPr="002866E5">
        <w:rPr>
          <w:noProof/>
        </w:rPr>
        <w:t xml:space="preserve"> z</w:t>
      </w:r>
      <w:r w:rsidR="008B35E8">
        <w:rPr>
          <w:noProof/>
        </w:rPr>
        <w:t> </w:t>
      </w:r>
      <w:r w:rsidR="008B35E8" w:rsidRPr="002866E5">
        <w:rPr>
          <w:noProof/>
        </w:rPr>
        <w:t>ele</w:t>
      </w:r>
      <w:r w:rsidRPr="002866E5">
        <w:rPr>
          <w:noProof/>
        </w:rPr>
        <w:t>mentami cyfrowymi, można wykorzystać udział produktów</w:t>
      </w:r>
      <w:r w:rsidR="008B35E8" w:rsidRPr="002866E5">
        <w:rPr>
          <w:noProof/>
        </w:rPr>
        <w:t xml:space="preserve"> z</w:t>
      </w:r>
      <w:r w:rsidR="008B35E8">
        <w:rPr>
          <w:noProof/>
        </w:rPr>
        <w:t> </w:t>
      </w:r>
      <w:r w:rsidR="008B35E8" w:rsidRPr="002866E5">
        <w:rPr>
          <w:noProof/>
        </w:rPr>
        <w:t>ele</w:t>
      </w:r>
      <w:r w:rsidRPr="002866E5">
        <w:rPr>
          <w:noProof/>
        </w:rPr>
        <w:t>mentami cyfrowymi, które są dostarczane</w:t>
      </w:r>
      <w:r w:rsidR="008B35E8" w:rsidRPr="002866E5">
        <w:rPr>
          <w:noProof/>
        </w:rPr>
        <w:t xml:space="preserve"> z</w:t>
      </w:r>
      <w:r w:rsidR="008B35E8">
        <w:rPr>
          <w:noProof/>
        </w:rPr>
        <w:t> </w:t>
      </w:r>
      <w:r w:rsidR="008B35E8" w:rsidRPr="002866E5">
        <w:rPr>
          <w:noProof/>
        </w:rPr>
        <w:t>ins</w:t>
      </w:r>
      <w:r w:rsidRPr="002866E5">
        <w:rPr>
          <w:noProof/>
        </w:rPr>
        <w:t>trukcjami dla użytkownika dotyczącymi bezpiecznego użytkowania.</w:t>
      </w:r>
    </w:p>
    <w:p w14:paraId="67ED893B" w14:textId="6D79B7B2" w:rsidR="006A7F81" w:rsidRPr="002866E5" w:rsidRDefault="006A7F81" w:rsidP="0010782B">
      <w:pPr>
        <w:pStyle w:val="Text1"/>
        <w:pBdr>
          <w:top w:val="single" w:sz="4" w:space="1" w:color="auto"/>
          <w:left w:val="single" w:sz="4" w:space="4" w:color="auto"/>
          <w:bottom w:val="single" w:sz="4" w:space="1" w:color="auto"/>
          <w:right w:val="single" w:sz="4" w:space="4" w:color="auto"/>
        </w:pBdr>
        <w:rPr>
          <w:rFonts w:eastAsia="Calibri"/>
          <w:noProof/>
          <w:szCs w:val="24"/>
        </w:rPr>
      </w:pPr>
      <w:r w:rsidRPr="002866E5">
        <w:rPr>
          <w:noProof/>
        </w:rPr>
        <w:t>Jeżeli chodzi</w:t>
      </w:r>
      <w:r w:rsidR="008B35E8" w:rsidRPr="002866E5">
        <w:rPr>
          <w:noProof/>
        </w:rPr>
        <w:t xml:space="preserve"> o</w:t>
      </w:r>
      <w:r w:rsidR="008B35E8">
        <w:rPr>
          <w:noProof/>
        </w:rPr>
        <w:t> </w:t>
      </w:r>
      <w:r w:rsidR="008B35E8" w:rsidRPr="002866E5">
        <w:rPr>
          <w:noProof/>
        </w:rPr>
        <w:t>mon</w:t>
      </w:r>
      <w:r w:rsidRPr="002866E5">
        <w:rPr>
          <w:noProof/>
        </w:rPr>
        <w:t>itorowanie wpływu rozporządzenia,</w:t>
      </w:r>
      <w:r w:rsidR="008B35E8" w:rsidRPr="002866E5">
        <w:rPr>
          <w:noProof/>
        </w:rPr>
        <w:t xml:space="preserve"> w</w:t>
      </w:r>
      <w:r w:rsidR="008B35E8">
        <w:rPr>
          <w:noProof/>
        </w:rPr>
        <w:t> </w:t>
      </w:r>
      <w:r w:rsidR="008B35E8" w:rsidRPr="002866E5">
        <w:rPr>
          <w:noProof/>
        </w:rPr>
        <w:t>tym</w:t>
      </w:r>
      <w:r w:rsidRPr="002866E5">
        <w:rPr>
          <w:noProof/>
        </w:rPr>
        <w:t xml:space="preserve"> celu należałoby rozważyć określone wskaźniki, które Komisja,</w:t>
      </w:r>
      <w:r w:rsidR="008B35E8" w:rsidRPr="002866E5">
        <w:rPr>
          <w:noProof/>
        </w:rPr>
        <w:t xml:space="preserve"> w</w:t>
      </w:r>
      <w:r w:rsidR="008B35E8">
        <w:rPr>
          <w:noProof/>
        </w:rPr>
        <w:t> </w:t>
      </w:r>
      <w:r w:rsidR="008B35E8" w:rsidRPr="002866E5">
        <w:rPr>
          <w:noProof/>
        </w:rPr>
        <w:t>sto</w:t>
      </w:r>
      <w:r w:rsidRPr="002866E5">
        <w:rPr>
          <w:noProof/>
        </w:rPr>
        <w:t>sownych przypadkach przy wsparciu ENISA, miałaby poddawać ocenie</w:t>
      </w:r>
      <w:r w:rsidR="008B35E8" w:rsidRPr="002866E5">
        <w:rPr>
          <w:noProof/>
        </w:rPr>
        <w:t>. W</w:t>
      </w:r>
      <w:r w:rsidR="008B35E8">
        <w:rPr>
          <w:noProof/>
        </w:rPr>
        <w:t> </w:t>
      </w:r>
      <w:r w:rsidR="008B35E8" w:rsidRPr="002866E5">
        <w:rPr>
          <w:noProof/>
        </w:rPr>
        <w:t>zal</w:t>
      </w:r>
      <w:r w:rsidRPr="002866E5">
        <w:rPr>
          <w:noProof/>
        </w:rPr>
        <w:t>eżności od celu operacyjnego, który należy osiągnąć, niektóre wskaźniki monitorowania, na podstawie których zostanie ocenione powodzenie horyzontalnych wymogów cyberbezpieczeństwa, są następujące:</w:t>
      </w:r>
    </w:p>
    <w:p w14:paraId="67ED893C" w14:textId="73EDED2A" w:rsidR="008E464F" w:rsidRPr="002866E5" w:rsidRDefault="008E464F" w:rsidP="0010782B">
      <w:pPr>
        <w:pStyle w:val="Text1"/>
        <w:pBdr>
          <w:top w:val="single" w:sz="4" w:space="1" w:color="auto"/>
          <w:left w:val="single" w:sz="4" w:space="4" w:color="auto"/>
          <w:bottom w:val="single" w:sz="4" w:space="1" w:color="auto"/>
          <w:right w:val="single" w:sz="4" w:space="4" w:color="auto"/>
        </w:pBdr>
        <w:rPr>
          <w:i/>
          <w:noProof/>
        </w:rPr>
      </w:pPr>
      <w:r w:rsidRPr="002866E5">
        <w:rPr>
          <w:i/>
          <w:noProof/>
        </w:rPr>
        <w:t>W przypadku oceny poziomu cyberbezpieczeństwa produktów</w:t>
      </w:r>
      <w:r w:rsidR="008B35E8" w:rsidRPr="002866E5">
        <w:rPr>
          <w:i/>
          <w:noProof/>
        </w:rPr>
        <w:t xml:space="preserve"> z</w:t>
      </w:r>
      <w:r w:rsidR="008B35E8">
        <w:rPr>
          <w:i/>
          <w:noProof/>
        </w:rPr>
        <w:t> </w:t>
      </w:r>
      <w:r w:rsidR="008B35E8" w:rsidRPr="002866E5">
        <w:rPr>
          <w:i/>
          <w:noProof/>
        </w:rPr>
        <w:t>ele</w:t>
      </w:r>
      <w:r w:rsidRPr="002866E5">
        <w:rPr>
          <w:i/>
          <w:noProof/>
        </w:rPr>
        <w:t>mentami cyfrowymi:</w:t>
      </w:r>
    </w:p>
    <w:p w14:paraId="67ED893D" w14:textId="39B5AF29" w:rsidR="008E464F" w:rsidRPr="002866E5" w:rsidRDefault="0010782B" w:rsidP="0010782B">
      <w:pPr>
        <w:pStyle w:val="Text1"/>
        <w:pBdr>
          <w:top w:val="single" w:sz="4" w:space="1" w:color="auto"/>
          <w:left w:val="single" w:sz="4" w:space="4" w:color="auto"/>
          <w:bottom w:val="single" w:sz="4" w:space="1" w:color="auto"/>
          <w:right w:val="single" w:sz="4" w:space="4" w:color="auto"/>
        </w:pBdr>
        <w:rPr>
          <w:noProof/>
        </w:rPr>
      </w:pPr>
      <w:r w:rsidRPr="002866E5">
        <w:rPr>
          <w:noProof/>
        </w:rPr>
        <w:t xml:space="preserve"> – statystyka</w:t>
      </w:r>
      <w:r w:rsidR="008B35E8" w:rsidRPr="002866E5">
        <w:rPr>
          <w:noProof/>
        </w:rPr>
        <w:t xml:space="preserve"> i</w:t>
      </w:r>
      <w:r w:rsidR="008B35E8">
        <w:rPr>
          <w:noProof/>
        </w:rPr>
        <w:t> </w:t>
      </w:r>
      <w:r w:rsidR="008B35E8" w:rsidRPr="002866E5">
        <w:rPr>
          <w:noProof/>
        </w:rPr>
        <w:t>ana</w:t>
      </w:r>
      <w:r w:rsidRPr="002866E5">
        <w:rPr>
          <w:noProof/>
        </w:rPr>
        <w:t>liza jakościowa dotycząca incydentów mających wpływ na produkty</w:t>
      </w:r>
      <w:r w:rsidR="008B35E8" w:rsidRPr="002866E5">
        <w:rPr>
          <w:noProof/>
        </w:rPr>
        <w:t xml:space="preserve"> z</w:t>
      </w:r>
      <w:r w:rsidR="008B35E8">
        <w:rPr>
          <w:noProof/>
        </w:rPr>
        <w:t> </w:t>
      </w:r>
      <w:r w:rsidR="008B35E8" w:rsidRPr="002866E5">
        <w:rPr>
          <w:noProof/>
        </w:rPr>
        <w:t>ele</w:t>
      </w:r>
      <w:r w:rsidRPr="002866E5">
        <w:rPr>
          <w:noProof/>
        </w:rPr>
        <w:t>mentami cyfrowymi oraz sposób postępowania</w:t>
      </w:r>
      <w:r w:rsidR="008B35E8" w:rsidRPr="002866E5">
        <w:rPr>
          <w:noProof/>
        </w:rPr>
        <w:t xml:space="preserve"> z</w:t>
      </w:r>
      <w:r w:rsidR="008B35E8">
        <w:rPr>
          <w:noProof/>
        </w:rPr>
        <w:t> </w:t>
      </w:r>
      <w:r w:rsidR="008B35E8" w:rsidRPr="002866E5">
        <w:rPr>
          <w:noProof/>
        </w:rPr>
        <w:t>nim</w:t>
      </w:r>
      <w:r w:rsidRPr="002866E5">
        <w:rPr>
          <w:noProof/>
        </w:rPr>
        <w:t>i. Komisja, przy wsparciu ENISA, mogłaby gromadzić te dane</w:t>
      </w:r>
      <w:r w:rsidR="008B35E8" w:rsidRPr="002866E5">
        <w:rPr>
          <w:noProof/>
        </w:rPr>
        <w:t xml:space="preserve"> i</w:t>
      </w:r>
      <w:r w:rsidR="008B35E8">
        <w:rPr>
          <w:noProof/>
        </w:rPr>
        <w:t> </w:t>
      </w:r>
      <w:r w:rsidR="008B35E8" w:rsidRPr="002866E5">
        <w:rPr>
          <w:noProof/>
        </w:rPr>
        <w:t>oce</w:t>
      </w:r>
      <w:r w:rsidRPr="002866E5">
        <w:rPr>
          <w:noProof/>
        </w:rPr>
        <w:t>niać je;</w:t>
      </w:r>
    </w:p>
    <w:p w14:paraId="67ED893E" w14:textId="67F7FA73" w:rsidR="008E464F" w:rsidRPr="002866E5" w:rsidRDefault="0010782B" w:rsidP="0010782B">
      <w:pPr>
        <w:pStyle w:val="Text1"/>
        <w:pBdr>
          <w:top w:val="single" w:sz="4" w:space="1" w:color="auto"/>
          <w:left w:val="single" w:sz="4" w:space="4" w:color="auto"/>
          <w:bottom w:val="single" w:sz="4" w:space="1" w:color="auto"/>
          <w:right w:val="single" w:sz="4" w:space="4" w:color="auto"/>
        </w:pBdr>
        <w:rPr>
          <w:noProof/>
        </w:rPr>
      </w:pPr>
      <w:r w:rsidRPr="002866E5">
        <w:rPr>
          <w:noProof/>
        </w:rPr>
        <w:t>– rejestry znanych podatności</w:t>
      </w:r>
      <w:r w:rsidR="008B35E8" w:rsidRPr="002866E5">
        <w:rPr>
          <w:noProof/>
        </w:rPr>
        <w:t xml:space="preserve"> i</w:t>
      </w:r>
      <w:r w:rsidR="008B35E8">
        <w:rPr>
          <w:noProof/>
        </w:rPr>
        <w:t> </w:t>
      </w:r>
      <w:r w:rsidR="008B35E8" w:rsidRPr="002866E5">
        <w:rPr>
          <w:noProof/>
        </w:rPr>
        <w:t>ana</w:t>
      </w:r>
      <w:r w:rsidRPr="002866E5">
        <w:rPr>
          <w:noProof/>
        </w:rPr>
        <w:t>lizy sposobu postępowania</w:t>
      </w:r>
      <w:r w:rsidR="008B35E8" w:rsidRPr="002866E5">
        <w:rPr>
          <w:noProof/>
        </w:rPr>
        <w:t xml:space="preserve"> z</w:t>
      </w:r>
      <w:r w:rsidR="008B35E8">
        <w:rPr>
          <w:noProof/>
        </w:rPr>
        <w:t> </w:t>
      </w:r>
      <w:r w:rsidR="008B35E8" w:rsidRPr="002866E5">
        <w:rPr>
          <w:noProof/>
        </w:rPr>
        <w:t>nim</w:t>
      </w:r>
      <w:r w:rsidRPr="002866E5">
        <w:rPr>
          <w:noProof/>
        </w:rPr>
        <w:t>i. ENISA mogłaby przeprowadzić taką analizę</w:t>
      </w:r>
      <w:r w:rsidR="008B35E8" w:rsidRPr="002866E5">
        <w:rPr>
          <w:noProof/>
        </w:rPr>
        <w:t xml:space="preserve"> w</w:t>
      </w:r>
      <w:r w:rsidR="008B35E8">
        <w:rPr>
          <w:noProof/>
        </w:rPr>
        <w:t> </w:t>
      </w:r>
      <w:r w:rsidR="008B35E8" w:rsidRPr="002866E5">
        <w:rPr>
          <w:noProof/>
        </w:rPr>
        <w:t>opa</w:t>
      </w:r>
      <w:r w:rsidRPr="002866E5">
        <w:rPr>
          <w:noProof/>
        </w:rPr>
        <w:t>rciu</w:t>
      </w:r>
      <w:r w:rsidR="008B35E8" w:rsidRPr="002866E5">
        <w:rPr>
          <w:noProof/>
        </w:rPr>
        <w:t xml:space="preserve"> o</w:t>
      </w:r>
      <w:r w:rsidR="008B35E8">
        <w:rPr>
          <w:noProof/>
        </w:rPr>
        <w:t> </w:t>
      </w:r>
      <w:r w:rsidR="008B35E8" w:rsidRPr="002866E5">
        <w:rPr>
          <w:noProof/>
        </w:rPr>
        <w:t>eur</w:t>
      </w:r>
      <w:r w:rsidRPr="002866E5">
        <w:rPr>
          <w:noProof/>
        </w:rPr>
        <w:t>opejską bazę danych dotyczących podatności utworzoną na podstawie [dyrektywy XXX/XXXX (NIS 2)];</w:t>
      </w:r>
    </w:p>
    <w:p w14:paraId="67ED893F" w14:textId="5FCD3618" w:rsidR="008E464F" w:rsidRPr="002866E5" w:rsidRDefault="0010782B" w:rsidP="0010782B">
      <w:pPr>
        <w:pStyle w:val="Text1"/>
        <w:pBdr>
          <w:top w:val="single" w:sz="4" w:space="1" w:color="auto"/>
          <w:left w:val="single" w:sz="4" w:space="4" w:color="auto"/>
          <w:bottom w:val="single" w:sz="4" w:space="1" w:color="auto"/>
          <w:right w:val="single" w:sz="4" w:space="4" w:color="auto"/>
        </w:pBdr>
        <w:rPr>
          <w:noProof/>
        </w:rPr>
      </w:pPr>
      <w:r w:rsidRPr="002866E5">
        <w:rPr>
          <w:noProof/>
        </w:rPr>
        <w:t xml:space="preserve"> – badania prowadzone wśród producentów sprzętu</w:t>
      </w:r>
      <w:r w:rsidR="008B35E8" w:rsidRPr="002866E5">
        <w:rPr>
          <w:noProof/>
        </w:rPr>
        <w:t xml:space="preserve"> i</w:t>
      </w:r>
      <w:r w:rsidR="008B35E8">
        <w:rPr>
          <w:noProof/>
        </w:rPr>
        <w:t> </w:t>
      </w:r>
      <w:r w:rsidR="008B35E8" w:rsidRPr="002866E5">
        <w:rPr>
          <w:noProof/>
        </w:rPr>
        <w:t>opr</w:t>
      </w:r>
      <w:r w:rsidRPr="002866E5">
        <w:rPr>
          <w:noProof/>
        </w:rPr>
        <w:t>ogramowania</w:t>
      </w:r>
      <w:r w:rsidR="008B35E8" w:rsidRPr="002866E5">
        <w:rPr>
          <w:noProof/>
        </w:rPr>
        <w:t xml:space="preserve"> w</w:t>
      </w:r>
      <w:r w:rsidR="008B35E8">
        <w:rPr>
          <w:noProof/>
        </w:rPr>
        <w:t> </w:t>
      </w:r>
      <w:r w:rsidR="008B35E8" w:rsidRPr="002866E5">
        <w:rPr>
          <w:noProof/>
        </w:rPr>
        <w:t>cel</w:t>
      </w:r>
      <w:r w:rsidRPr="002866E5">
        <w:rPr>
          <w:noProof/>
        </w:rPr>
        <w:t>u monitorowania postępów.</w:t>
      </w:r>
    </w:p>
    <w:p w14:paraId="67ED8940" w14:textId="1D25814E" w:rsidR="008E464F" w:rsidRPr="002866E5" w:rsidRDefault="008E464F" w:rsidP="0010782B">
      <w:pPr>
        <w:pStyle w:val="Text1"/>
        <w:pBdr>
          <w:top w:val="single" w:sz="4" w:space="1" w:color="auto"/>
          <w:left w:val="single" w:sz="4" w:space="4" w:color="auto"/>
          <w:bottom w:val="single" w:sz="4" w:space="1" w:color="auto"/>
          <w:right w:val="single" w:sz="4" w:space="4" w:color="auto"/>
        </w:pBdr>
        <w:rPr>
          <w:noProof/>
        </w:rPr>
      </w:pPr>
      <w:r w:rsidRPr="002866E5">
        <w:rPr>
          <w:i/>
          <w:noProof/>
        </w:rPr>
        <w:t>W przypadku oceny poziomu informacji na temat zabezpieczeń, wsparcia</w:t>
      </w:r>
      <w:r w:rsidR="008B35E8" w:rsidRPr="002866E5">
        <w:rPr>
          <w:i/>
          <w:noProof/>
        </w:rPr>
        <w:t xml:space="preserve"> w</w:t>
      </w:r>
      <w:r w:rsidR="008B35E8">
        <w:rPr>
          <w:i/>
          <w:noProof/>
        </w:rPr>
        <w:t> </w:t>
      </w:r>
      <w:r w:rsidR="008B35E8" w:rsidRPr="002866E5">
        <w:rPr>
          <w:i/>
          <w:noProof/>
        </w:rPr>
        <w:t>zak</w:t>
      </w:r>
      <w:r w:rsidRPr="002866E5">
        <w:rPr>
          <w:i/>
          <w:noProof/>
        </w:rPr>
        <w:t>resie zabezpieczeń, wycofania</w:t>
      </w:r>
      <w:r w:rsidR="008B35E8" w:rsidRPr="002866E5">
        <w:rPr>
          <w:i/>
          <w:noProof/>
        </w:rPr>
        <w:t xml:space="preserve"> z</w:t>
      </w:r>
      <w:r w:rsidR="008B35E8">
        <w:rPr>
          <w:i/>
          <w:noProof/>
        </w:rPr>
        <w:t> </w:t>
      </w:r>
      <w:r w:rsidR="008B35E8" w:rsidRPr="002866E5">
        <w:rPr>
          <w:i/>
          <w:noProof/>
        </w:rPr>
        <w:t>eks</w:t>
      </w:r>
      <w:r w:rsidRPr="002866E5">
        <w:rPr>
          <w:i/>
          <w:noProof/>
        </w:rPr>
        <w:t>ploatacji</w:t>
      </w:r>
      <w:r w:rsidR="008B35E8" w:rsidRPr="002866E5">
        <w:rPr>
          <w:i/>
          <w:noProof/>
        </w:rPr>
        <w:t xml:space="preserve"> i</w:t>
      </w:r>
      <w:r w:rsidR="008B35E8">
        <w:rPr>
          <w:i/>
          <w:noProof/>
        </w:rPr>
        <w:t> </w:t>
      </w:r>
      <w:r w:rsidR="008B35E8" w:rsidRPr="002866E5">
        <w:rPr>
          <w:i/>
          <w:noProof/>
        </w:rPr>
        <w:t>nal</w:t>
      </w:r>
      <w:r w:rsidRPr="002866E5">
        <w:rPr>
          <w:i/>
          <w:noProof/>
        </w:rPr>
        <w:t>eżytej staranności</w:t>
      </w:r>
      <w:r w:rsidRPr="002866E5">
        <w:rPr>
          <w:noProof/>
        </w:rPr>
        <w:t>: wyniki badań, które przeprowadzi Komisja przy wsparciu ENISA, zarówno wśród użytkowników, jak</w:t>
      </w:r>
      <w:r w:rsidR="008B35E8" w:rsidRPr="002866E5">
        <w:rPr>
          <w:noProof/>
        </w:rPr>
        <w:t xml:space="preserve"> i</w:t>
      </w:r>
      <w:r w:rsidR="008B35E8">
        <w:rPr>
          <w:noProof/>
        </w:rPr>
        <w:t> </w:t>
      </w:r>
      <w:r w:rsidR="008B35E8" w:rsidRPr="002866E5">
        <w:rPr>
          <w:noProof/>
        </w:rPr>
        <w:t>prz</w:t>
      </w:r>
      <w:r w:rsidRPr="002866E5">
        <w:rPr>
          <w:noProof/>
        </w:rPr>
        <w:t>edsiębiorstw.</w:t>
      </w:r>
    </w:p>
    <w:p w14:paraId="67ED8941" w14:textId="0EF65055" w:rsidR="008E464F" w:rsidRPr="002866E5" w:rsidRDefault="008E464F" w:rsidP="0010782B">
      <w:pPr>
        <w:pStyle w:val="Text1"/>
        <w:pBdr>
          <w:top w:val="single" w:sz="4" w:space="1" w:color="auto"/>
          <w:left w:val="single" w:sz="4" w:space="4" w:color="auto"/>
          <w:bottom w:val="single" w:sz="4" w:space="1" w:color="auto"/>
          <w:right w:val="single" w:sz="4" w:space="4" w:color="auto"/>
        </w:pBdr>
        <w:rPr>
          <w:noProof/>
        </w:rPr>
      </w:pPr>
      <w:r w:rsidRPr="002866E5">
        <w:rPr>
          <w:i/>
          <w:noProof/>
        </w:rPr>
        <w:t>W przypadku oceny realizacji</w:t>
      </w:r>
      <w:r w:rsidRPr="002866E5">
        <w:rPr>
          <w:noProof/>
        </w:rPr>
        <w:t xml:space="preserve"> celem Komisji będzie zapewnienie skutecznego przeprowadzenia ocen zgodności</w:t>
      </w:r>
      <w:r w:rsidR="008B35E8" w:rsidRPr="002866E5">
        <w:rPr>
          <w:noProof/>
        </w:rPr>
        <w:t>. W</w:t>
      </w:r>
      <w:r w:rsidR="008B35E8">
        <w:rPr>
          <w:noProof/>
        </w:rPr>
        <w:t> </w:t>
      </w:r>
      <w:r w:rsidR="008B35E8" w:rsidRPr="002866E5">
        <w:rPr>
          <w:noProof/>
        </w:rPr>
        <w:t>tym</w:t>
      </w:r>
      <w:r w:rsidRPr="002866E5">
        <w:rPr>
          <w:noProof/>
        </w:rPr>
        <w:t xml:space="preserve"> celu zostanie wydane zlecenie normalizacji,</w:t>
      </w:r>
      <w:r w:rsidR="008B35E8" w:rsidRPr="002866E5">
        <w:rPr>
          <w:noProof/>
        </w:rPr>
        <w:t xml:space="preserve"> a</w:t>
      </w:r>
      <w:r w:rsidR="008B35E8">
        <w:rPr>
          <w:noProof/>
        </w:rPr>
        <w:t> </w:t>
      </w:r>
      <w:r w:rsidR="008B35E8" w:rsidRPr="002866E5">
        <w:rPr>
          <w:noProof/>
        </w:rPr>
        <w:t>jeg</w:t>
      </w:r>
      <w:r w:rsidRPr="002866E5">
        <w:rPr>
          <w:noProof/>
        </w:rPr>
        <w:t>o realizacja będzie monitorowana. Komisja sprawdzi również możliwości jednostek notyfikowanych oraz,</w:t>
      </w:r>
      <w:r w:rsidR="008B35E8" w:rsidRPr="002866E5">
        <w:rPr>
          <w:noProof/>
        </w:rPr>
        <w:t xml:space="preserve"> w</w:t>
      </w:r>
      <w:r w:rsidR="008B35E8">
        <w:rPr>
          <w:noProof/>
        </w:rPr>
        <w:t> </w:t>
      </w:r>
      <w:r w:rsidR="008B35E8" w:rsidRPr="002866E5">
        <w:rPr>
          <w:noProof/>
        </w:rPr>
        <w:t>sto</w:t>
      </w:r>
      <w:r w:rsidRPr="002866E5">
        <w:rPr>
          <w:noProof/>
        </w:rPr>
        <w:t>sownych przypadkach, jednostek certyfikujących.</w:t>
      </w:r>
    </w:p>
    <w:p w14:paraId="67ED8942" w14:textId="4B213BC4" w:rsidR="008E464F" w:rsidRPr="002866E5" w:rsidRDefault="008E464F" w:rsidP="0010782B">
      <w:pPr>
        <w:pStyle w:val="Text1"/>
        <w:pBdr>
          <w:top w:val="single" w:sz="4" w:space="1" w:color="auto"/>
          <w:left w:val="single" w:sz="4" w:space="4" w:color="auto"/>
          <w:bottom w:val="single" w:sz="4" w:space="1" w:color="auto"/>
          <w:right w:val="single" w:sz="4" w:space="4" w:color="auto"/>
        </w:pBdr>
        <w:rPr>
          <w:noProof/>
        </w:rPr>
      </w:pPr>
      <w:r w:rsidRPr="002866E5">
        <w:rPr>
          <w:i/>
          <w:noProof/>
        </w:rPr>
        <w:t>Jeżeli chodzi</w:t>
      </w:r>
      <w:r w:rsidR="008B35E8" w:rsidRPr="002866E5">
        <w:rPr>
          <w:i/>
          <w:noProof/>
        </w:rPr>
        <w:t xml:space="preserve"> o</w:t>
      </w:r>
      <w:r w:rsidR="008B35E8">
        <w:rPr>
          <w:i/>
          <w:noProof/>
        </w:rPr>
        <w:t> </w:t>
      </w:r>
      <w:r w:rsidR="008B35E8" w:rsidRPr="002866E5">
        <w:rPr>
          <w:i/>
          <w:noProof/>
        </w:rPr>
        <w:t>sto</w:t>
      </w:r>
      <w:r w:rsidRPr="002866E5">
        <w:rPr>
          <w:i/>
          <w:noProof/>
        </w:rPr>
        <w:t>sowanie</w:t>
      </w:r>
      <w:r w:rsidRPr="002866E5">
        <w:rPr>
          <w:noProof/>
        </w:rPr>
        <w:t>, za pomocą sprawozdań państw członkowskich Komisja sprawdzi, czy inicjatywy krajowe nie dotyczą aspektów objętych zakresem rozporządzenia.</w:t>
      </w:r>
    </w:p>
    <w:p w14:paraId="67ED8943" w14:textId="07E489C7" w:rsidR="0037165D" w:rsidRPr="002866E5" w:rsidRDefault="00B4087C" w:rsidP="00B4087C">
      <w:pPr>
        <w:pStyle w:val="ManualHeading2"/>
        <w:rPr>
          <w:bCs/>
          <w:noProof/>
          <w:szCs w:val="24"/>
        </w:rPr>
      </w:pPr>
      <w:r w:rsidRPr="00B4087C">
        <w:t>1.5.</w:t>
      </w:r>
      <w:r w:rsidRPr="00B4087C">
        <w:tab/>
      </w:r>
      <w:r w:rsidR="0037165D" w:rsidRPr="002866E5">
        <w:rPr>
          <w:noProof/>
        </w:rPr>
        <w:t xml:space="preserve">Uzasadnienie wniosku/inicjatywy </w:t>
      </w:r>
    </w:p>
    <w:p w14:paraId="67ED8944" w14:textId="69309582" w:rsidR="0037165D" w:rsidRPr="002866E5" w:rsidRDefault="00B4087C" w:rsidP="00B4087C">
      <w:pPr>
        <w:pStyle w:val="ManualHeading3"/>
        <w:rPr>
          <w:noProof/>
        </w:rPr>
      </w:pPr>
      <w:r w:rsidRPr="00B4087C">
        <w:t>1.5.1.</w:t>
      </w:r>
      <w:r w:rsidRPr="00B4087C">
        <w:tab/>
      </w:r>
      <w:r w:rsidR="0037165D" w:rsidRPr="002866E5">
        <w:rPr>
          <w:noProof/>
        </w:rPr>
        <w:t>Potrzeby, które należy zaspokoić</w:t>
      </w:r>
      <w:r w:rsidR="008B35E8" w:rsidRPr="002866E5">
        <w:rPr>
          <w:noProof/>
        </w:rPr>
        <w:t xml:space="preserve"> w</w:t>
      </w:r>
      <w:r w:rsidR="008B35E8">
        <w:rPr>
          <w:noProof/>
        </w:rPr>
        <w:t> </w:t>
      </w:r>
      <w:r w:rsidR="008B35E8" w:rsidRPr="002866E5">
        <w:rPr>
          <w:noProof/>
        </w:rPr>
        <w:t>per</w:t>
      </w:r>
      <w:r w:rsidR="0037165D" w:rsidRPr="002866E5">
        <w:rPr>
          <w:noProof/>
        </w:rPr>
        <w:t>spektywie krótko- lub długoterminowej,</w:t>
      </w:r>
      <w:r w:rsidR="008B35E8" w:rsidRPr="002866E5">
        <w:rPr>
          <w:noProof/>
        </w:rPr>
        <w:t xml:space="preserve"> w</w:t>
      </w:r>
      <w:r w:rsidR="008B35E8">
        <w:rPr>
          <w:noProof/>
        </w:rPr>
        <w:t> </w:t>
      </w:r>
      <w:r w:rsidR="008B35E8" w:rsidRPr="002866E5">
        <w:rPr>
          <w:noProof/>
        </w:rPr>
        <w:t>tym</w:t>
      </w:r>
      <w:r w:rsidR="0037165D" w:rsidRPr="002866E5">
        <w:rPr>
          <w:noProof/>
        </w:rPr>
        <w:t xml:space="preserve"> szczegółowy terminarz przebiegu realizacji inicjatywy</w:t>
      </w:r>
    </w:p>
    <w:p w14:paraId="67ED8945" w14:textId="696896DA" w:rsidR="0037165D" w:rsidRPr="002866E5" w:rsidRDefault="00CB5ADF" w:rsidP="00881943">
      <w:pPr>
        <w:pStyle w:val="Text1"/>
        <w:pBdr>
          <w:top w:val="single" w:sz="4" w:space="1" w:color="auto"/>
          <w:left w:val="single" w:sz="4" w:space="4" w:color="auto"/>
          <w:bottom w:val="single" w:sz="4" w:space="1" w:color="auto"/>
          <w:right w:val="single" w:sz="4" w:space="4" w:color="auto"/>
        </w:pBdr>
        <w:rPr>
          <w:noProof/>
        </w:rPr>
      </w:pPr>
      <w:r w:rsidRPr="002866E5">
        <w:rPr>
          <w:noProof/>
        </w:rPr>
        <w:t>Niniejsze rozporządzenie powinno mieć pełne zastosowanie 24 miesiące po jego wejściu</w:t>
      </w:r>
      <w:r w:rsidR="008B35E8" w:rsidRPr="002866E5">
        <w:rPr>
          <w:noProof/>
        </w:rPr>
        <w:t xml:space="preserve"> w</w:t>
      </w:r>
      <w:r w:rsidR="008B35E8">
        <w:rPr>
          <w:noProof/>
        </w:rPr>
        <w:t> </w:t>
      </w:r>
      <w:r w:rsidR="008B35E8" w:rsidRPr="002866E5">
        <w:rPr>
          <w:noProof/>
        </w:rPr>
        <w:t>życ</w:t>
      </w:r>
      <w:r w:rsidRPr="002866E5">
        <w:rPr>
          <w:noProof/>
        </w:rPr>
        <w:t>ie. Elementy struktury zarządzania powinny jednak funkcjonować wcześniej</w:t>
      </w:r>
      <w:r w:rsidR="008B35E8" w:rsidRPr="002866E5">
        <w:rPr>
          <w:noProof/>
        </w:rPr>
        <w:t>. W</w:t>
      </w:r>
      <w:r w:rsidR="008B35E8">
        <w:rPr>
          <w:noProof/>
        </w:rPr>
        <w:t> </w:t>
      </w:r>
      <w:r w:rsidR="008B35E8" w:rsidRPr="002866E5">
        <w:rPr>
          <w:noProof/>
        </w:rPr>
        <w:t>szc</w:t>
      </w:r>
      <w:r w:rsidRPr="002866E5">
        <w:rPr>
          <w:noProof/>
        </w:rPr>
        <w:t>zególności państwa członkowskie powinny wyznaczyć istniejące organy lub ustanowić nowe organy do wykonywania zadań określonych</w:t>
      </w:r>
      <w:r w:rsidR="008B35E8" w:rsidRPr="002866E5">
        <w:rPr>
          <w:noProof/>
        </w:rPr>
        <w:t xml:space="preserve"> w</w:t>
      </w:r>
      <w:r w:rsidR="008B35E8">
        <w:rPr>
          <w:noProof/>
        </w:rPr>
        <w:t> </w:t>
      </w:r>
      <w:r w:rsidR="008B35E8" w:rsidRPr="002866E5">
        <w:rPr>
          <w:noProof/>
        </w:rPr>
        <w:t>prz</w:t>
      </w:r>
      <w:r w:rsidRPr="002866E5">
        <w:rPr>
          <w:noProof/>
        </w:rPr>
        <w:t xml:space="preserve">episach. </w:t>
      </w:r>
    </w:p>
    <w:p w14:paraId="67ED8946" w14:textId="77777777" w:rsidR="0037165D" w:rsidRPr="002866E5" w:rsidRDefault="0037165D" w:rsidP="00881943">
      <w:pPr>
        <w:pStyle w:val="Text1"/>
        <w:pBdr>
          <w:top w:val="single" w:sz="4" w:space="1" w:color="auto"/>
          <w:left w:val="single" w:sz="4" w:space="4" w:color="auto"/>
          <w:bottom w:val="single" w:sz="4" w:space="1" w:color="auto"/>
          <w:right w:val="single" w:sz="4" w:space="4" w:color="auto"/>
        </w:pBdr>
        <w:rPr>
          <w:noProof/>
        </w:rPr>
      </w:pPr>
    </w:p>
    <w:p w14:paraId="67ED8947" w14:textId="1C7254EC" w:rsidR="0037165D" w:rsidRPr="002866E5" w:rsidRDefault="00B4087C" w:rsidP="00B4087C">
      <w:pPr>
        <w:pStyle w:val="ManualHeading3"/>
        <w:rPr>
          <w:bCs/>
          <w:noProof/>
          <w:szCs w:val="24"/>
        </w:rPr>
      </w:pPr>
      <w:r w:rsidRPr="00B4087C">
        <w:t>1.5.2.</w:t>
      </w:r>
      <w:r w:rsidRPr="00B4087C">
        <w:tab/>
      </w:r>
      <w:r w:rsidR="0037165D" w:rsidRPr="002866E5">
        <w:rPr>
          <w:noProof/>
        </w:rPr>
        <w:t>Wartość dodana</w:t>
      </w:r>
      <w:r w:rsidR="008B35E8" w:rsidRPr="002866E5">
        <w:rPr>
          <w:noProof/>
        </w:rPr>
        <w:t xml:space="preserve"> z</w:t>
      </w:r>
      <w:r w:rsidR="008B35E8">
        <w:rPr>
          <w:noProof/>
        </w:rPr>
        <w:t> </w:t>
      </w:r>
      <w:r w:rsidR="008B35E8" w:rsidRPr="002866E5">
        <w:rPr>
          <w:noProof/>
        </w:rPr>
        <w:t>tyt</w:t>
      </w:r>
      <w:r w:rsidR="0037165D" w:rsidRPr="002866E5">
        <w:rPr>
          <w:noProof/>
        </w:rPr>
        <w:t>ułu zaangażowania Unii (może wynikać</w:t>
      </w:r>
      <w:r w:rsidR="008B35E8" w:rsidRPr="002866E5">
        <w:rPr>
          <w:noProof/>
        </w:rPr>
        <w:t xml:space="preserve"> z</w:t>
      </w:r>
      <w:r w:rsidR="008B35E8">
        <w:rPr>
          <w:noProof/>
        </w:rPr>
        <w:t> </w:t>
      </w:r>
      <w:r w:rsidR="008B35E8" w:rsidRPr="002866E5">
        <w:rPr>
          <w:noProof/>
        </w:rPr>
        <w:t>róż</w:t>
      </w:r>
      <w:r w:rsidR="0037165D" w:rsidRPr="002866E5">
        <w:rPr>
          <w:noProof/>
        </w:rPr>
        <w:t>nych czynników, na przykład korzyści koordynacyjnych, pewności prawa, większej efektywności lub komplementarności). Na potrzeby tego punktu „wartość dodaną</w:t>
      </w:r>
      <w:r w:rsidR="008B35E8" w:rsidRPr="002866E5">
        <w:rPr>
          <w:noProof/>
        </w:rPr>
        <w:t xml:space="preserve"> z</w:t>
      </w:r>
      <w:r w:rsidR="008B35E8">
        <w:rPr>
          <w:noProof/>
        </w:rPr>
        <w:t> </w:t>
      </w:r>
      <w:r w:rsidR="008B35E8" w:rsidRPr="002866E5">
        <w:rPr>
          <w:noProof/>
        </w:rPr>
        <w:t>tyt</w:t>
      </w:r>
      <w:r w:rsidR="0037165D" w:rsidRPr="002866E5">
        <w:rPr>
          <w:noProof/>
        </w:rPr>
        <w:t>ułu zaangażowania Unii” należy rozumieć jako wartość wynikającą</w:t>
      </w:r>
      <w:r w:rsidR="008B35E8" w:rsidRPr="002866E5">
        <w:rPr>
          <w:noProof/>
        </w:rPr>
        <w:t xml:space="preserve"> z</w:t>
      </w:r>
      <w:r w:rsidR="008B35E8">
        <w:rPr>
          <w:noProof/>
        </w:rPr>
        <w:t> </w:t>
      </w:r>
      <w:r w:rsidR="008B35E8" w:rsidRPr="002866E5">
        <w:rPr>
          <w:noProof/>
        </w:rPr>
        <w:t>uni</w:t>
      </w:r>
      <w:r w:rsidR="0037165D" w:rsidRPr="002866E5">
        <w:rPr>
          <w:noProof/>
        </w:rPr>
        <w:t>jnej interwencji wykraczającą poza wartość, która zostałaby wytworzona przez same państwa członkowskie.</w:t>
      </w:r>
    </w:p>
    <w:p w14:paraId="67ED8948" w14:textId="176C8EB9" w:rsidR="00C7745B" w:rsidRPr="002866E5" w:rsidRDefault="00C7745B" w:rsidP="00881943">
      <w:pPr>
        <w:pStyle w:val="Text1"/>
        <w:pBdr>
          <w:top w:val="single" w:sz="4" w:space="1" w:color="auto"/>
          <w:left w:val="single" w:sz="4" w:space="4" w:color="auto"/>
          <w:bottom w:val="single" w:sz="4" w:space="1" w:color="auto"/>
          <w:right w:val="single" w:sz="4" w:space="4" w:color="auto"/>
        </w:pBdr>
        <w:rPr>
          <w:noProof/>
          <w:szCs w:val="24"/>
        </w:rPr>
      </w:pPr>
      <w:r w:rsidRPr="002866E5">
        <w:rPr>
          <w:noProof/>
        </w:rPr>
        <w:t>Wyraźnie transgraniczny charakter cyberbezpieczeństwa</w:t>
      </w:r>
      <w:r w:rsidR="008B35E8" w:rsidRPr="002866E5">
        <w:rPr>
          <w:noProof/>
        </w:rPr>
        <w:t xml:space="preserve"> i</w:t>
      </w:r>
      <w:r w:rsidR="008B35E8">
        <w:rPr>
          <w:noProof/>
        </w:rPr>
        <w:t> </w:t>
      </w:r>
      <w:r w:rsidR="008B35E8" w:rsidRPr="002866E5">
        <w:rPr>
          <w:noProof/>
        </w:rPr>
        <w:t>cor</w:t>
      </w:r>
      <w:r w:rsidRPr="002866E5">
        <w:rPr>
          <w:noProof/>
        </w:rPr>
        <w:t>az częstsze incydenty, których skutki uboczne są odczuwalne</w:t>
      </w:r>
      <w:r w:rsidR="008B35E8" w:rsidRPr="002866E5">
        <w:rPr>
          <w:noProof/>
        </w:rPr>
        <w:t xml:space="preserve"> w</w:t>
      </w:r>
      <w:r w:rsidR="008B35E8">
        <w:rPr>
          <w:noProof/>
        </w:rPr>
        <w:t> </w:t>
      </w:r>
      <w:r w:rsidR="008B35E8" w:rsidRPr="002866E5">
        <w:rPr>
          <w:noProof/>
        </w:rPr>
        <w:t>inn</w:t>
      </w:r>
      <w:r w:rsidRPr="002866E5">
        <w:rPr>
          <w:noProof/>
        </w:rPr>
        <w:t>ych krajach oraz dotykają inne sektory</w:t>
      </w:r>
      <w:r w:rsidR="008B35E8" w:rsidRPr="002866E5">
        <w:rPr>
          <w:noProof/>
        </w:rPr>
        <w:t xml:space="preserve"> i</w:t>
      </w:r>
      <w:r w:rsidR="008B35E8">
        <w:rPr>
          <w:noProof/>
        </w:rPr>
        <w:t> </w:t>
      </w:r>
      <w:r w:rsidR="008B35E8" w:rsidRPr="002866E5">
        <w:rPr>
          <w:noProof/>
        </w:rPr>
        <w:t>pro</w:t>
      </w:r>
      <w:r w:rsidRPr="002866E5">
        <w:rPr>
          <w:noProof/>
        </w:rPr>
        <w:t>dukty, oznaczają, że państwa członkowskie nie są</w:t>
      </w:r>
      <w:r w:rsidR="008B35E8" w:rsidRPr="002866E5">
        <w:rPr>
          <w:noProof/>
        </w:rPr>
        <w:t xml:space="preserve"> w</w:t>
      </w:r>
      <w:r w:rsidR="008B35E8">
        <w:rPr>
          <w:noProof/>
        </w:rPr>
        <w:t> </w:t>
      </w:r>
      <w:r w:rsidR="008B35E8" w:rsidRPr="002866E5">
        <w:rPr>
          <w:noProof/>
        </w:rPr>
        <w:t>sta</w:t>
      </w:r>
      <w:r w:rsidRPr="002866E5">
        <w:rPr>
          <w:noProof/>
        </w:rPr>
        <w:t>nie skutecznie osiągnąć wspomnianych celów samodzielnie. Biorąc pod uwagę globalny charakter rynków produktów</w:t>
      </w:r>
      <w:r w:rsidR="008B35E8" w:rsidRPr="002866E5">
        <w:rPr>
          <w:noProof/>
        </w:rPr>
        <w:t xml:space="preserve"> z</w:t>
      </w:r>
      <w:r w:rsidR="008B35E8">
        <w:rPr>
          <w:noProof/>
        </w:rPr>
        <w:t> </w:t>
      </w:r>
      <w:r w:rsidR="008B35E8" w:rsidRPr="002866E5">
        <w:rPr>
          <w:noProof/>
        </w:rPr>
        <w:t>ele</w:t>
      </w:r>
      <w:r w:rsidRPr="002866E5">
        <w:rPr>
          <w:noProof/>
        </w:rPr>
        <w:t>mentami cyfrowymi, państwa członkowskie stoją</w:t>
      </w:r>
      <w:r w:rsidR="008B35E8" w:rsidRPr="002866E5">
        <w:rPr>
          <w:noProof/>
        </w:rPr>
        <w:t xml:space="preserve"> w</w:t>
      </w:r>
      <w:r w:rsidR="008B35E8">
        <w:rPr>
          <w:noProof/>
        </w:rPr>
        <w:t> </w:t>
      </w:r>
      <w:r w:rsidR="008B35E8" w:rsidRPr="002866E5">
        <w:rPr>
          <w:noProof/>
        </w:rPr>
        <w:t>obl</w:t>
      </w:r>
      <w:r w:rsidRPr="002866E5">
        <w:rPr>
          <w:noProof/>
        </w:rPr>
        <w:t>iczu takiego samego ryzyka</w:t>
      </w:r>
      <w:r w:rsidR="008B35E8" w:rsidRPr="002866E5">
        <w:rPr>
          <w:noProof/>
        </w:rPr>
        <w:t xml:space="preserve"> w</w:t>
      </w:r>
      <w:r w:rsidR="008B35E8">
        <w:rPr>
          <w:noProof/>
        </w:rPr>
        <w:t> </w:t>
      </w:r>
      <w:r w:rsidR="008B35E8" w:rsidRPr="002866E5">
        <w:rPr>
          <w:noProof/>
        </w:rPr>
        <w:t>prz</w:t>
      </w:r>
      <w:r w:rsidRPr="002866E5">
        <w:rPr>
          <w:noProof/>
        </w:rPr>
        <w:t>ypadku tego samego produktu</w:t>
      </w:r>
      <w:r w:rsidR="008B35E8" w:rsidRPr="002866E5">
        <w:rPr>
          <w:noProof/>
        </w:rPr>
        <w:t xml:space="preserve"> z</w:t>
      </w:r>
      <w:r w:rsidR="008B35E8">
        <w:rPr>
          <w:noProof/>
        </w:rPr>
        <w:t> </w:t>
      </w:r>
      <w:r w:rsidR="008B35E8" w:rsidRPr="002866E5">
        <w:rPr>
          <w:noProof/>
        </w:rPr>
        <w:t>ele</w:t>
      </w:r>
      <w:r w:rsidRPr="002866E5">
        <w:rPr>
          <w:noProof/>
        </w:rPr>
        <w:t>mentami cyfrowymi na swoim terytorium. Pojawiające się niejednolite ramy potencjalnie rozbieżnych przepisów krajowych również mogą zakłócić otwarty</w:t>
      </w:r>
      <w:r w:rsidR="008B35E8" w:rsidRPr="002866E5">
        <w:rPr>
          <w:noProof/>
        </w:rPr>
        <w:t xml:space="preserve"> i</w:t>
      </w:r>
      <w:r w:rsidR="008B35E8">
        <w:rPr>
          <w:noProof/>
        </w:rPr>
        <w:t> </w:t>
      </w:r>
      <w:r w:rsidR="008B35E8" w:rsidRPr="002866E5">
        <w:rPr>
          <w:noProof/>
        </w:rPr>
        <w:t>kon</w:t>
      </w:r>
      <w:r w:rsidRPr="002866E5">
        <w:rPr>
          <w:noProof/>
        </w:rPr>
        <w:t>kurencyjny jednolity rynek produktów</w:t>
      </w:r>
      <w:r w:rsidR="008B35E8" w:rsidRPr="002866E5">
        <w:rPr>
          <w:noProof/>
        </w:rPr>
        <w:t xml:space="preserve"> z</w:t>
      </w:r>
      <w:r w:rsidR="008B35E8">
        <w:rPr>
          <w:noProof/>
        </w:rPr>
        <w:t> </w:t>
      </w:r>
      <w:r w:rsidR="008B35E8" w:rsidRPr="002866E5">
        <w:rPr>
          <w:noProof/>
        </w:rPr>
        <w:t>ele</w:t>
      </w:r>
      <w:r w:rsidRPr="002866E5">
        <w:rPr>
          <w:noProof/>
        </w:rPr>
        <w:t>mentami cyfrowymi. Wspólne działanie na szczeblu UE jest zatem konieczne, aby wzbudzić większe zaufanie użytkowników</w:t>
      </w:r>
      <w:r w:rsidR="008B35E8" w:rsidRPr="002866E5">
        <w:rPr>
          <w:noProof/>
        </w:rPr>
        <w:t xml:space="preserve"> i</w:t>
      </w:r>
      <w:r w:rsidR="008B35E8">
        <w:rPr>
          <w:noProof/>
        </w:rPr>
        <w:t> </w:t>
      </w:r>
      <w:r w:rsidR="008B35E8" w:rsidRPr="002866E5">
        <w:rPr>
          <w:noProof/>
        </w:rPr>
        <w:t>pop</w:t>
      </w:r>
      <w:r w:rsidRPr="002866E5">
        <w:rPr>
          <w:noProof/>
        </w:rPr>
        <w:t>rawić atrakcyjność unijnych produktów</w:t>
      </w:r>
      <w:r w:rsidR="008B35E8" w:rsidRPr="002866E5">
        <w:rPr>
          <w:noProof/>
        </w:rPr>
        <w:t xml:space="preserve"> z</w:t>
      </w:r>
      <w:r w:rsidR="008B35E8">
        <w:rPr>
          <w:noProof/>
        </w:rPr>
        <w:t> </w:t>
      </w:r>
      <w:r w:rsidR="008B35E8" w:rsidRPr="002866E5">
        <w:rPr>
          <w:noProof/>
        </w:rPr>
        <w:t>ele</w:t>
      </w:r>
      <w:r w:rsidRPr="002866E5">
        <w:rPr>
          <w:noProof/>
        </w:rPr>
        <w:t>mentami cyfrowymi. Przyniosłoby to również korzyści rynkowi wewnętrznemu, gdyż zapewniłoby pewność prawa</w:t>
      </w:r>
      <w:r w:rsidR="008B35E8" w:rsidRPr="002866E5">
        <w:rPr>
          <w:noProof/>
        </w:rPr>
        <w:t xml:space="preserve"> i</w:t>
      </w:r>
      <w:r w:rsidR="008B35E8">
        <w:rPr>
          <w:noProof/>
        </w:rPr>
        <w:t> </w:t>
      </w:r>
      <w:r w:rsidR="008B35E8" w:rsidRPr="002866E5">
        <w:rPr>
          <w:noProof/>
        </w:rPr>
        <w:t>rów</w:t>
      </w:r>
      <w:r w:rsidRPr="002866E5">
        <w:rPr>
          <w:noProof/>
        </w:rPr>
        <w:t>ne warunki działania sprzedawcom produktów</w:t>
      </w:r>
      <w:r w:rsidR="008B35E8" w:rsidRPr="002866E5">
        <w:rPr>
          <w:noProof/>
        </w:rPr>
        <w:t xml:space="preserve"> z</w:t>
      </w:r>
      <w:r w:rsidR="008B35E8">
        <w:rPr>
          <w:noProof/>
        </w:rPr>
        <w:t> </w:t>
      </w:r>
      <w:r w:rsidR="008B35E8" w:rsidRPr="002866E5">
        <w:rPr>
          <w:noProof/>
        </w:rPr>
        <w:t>ele</w:t>
      </w:r>
      <w:r w:rsidRPr="002866E5">
        <w:rPr>
          <w:noProof/>
        </w:rPr>
        <w:t>mentami cyfrowymi.</w:t>
      </w:r>
    </w:p>
    <w:p w14:paraId="67ED8949" w14:textId="1F7667A1" w:rsidR="0037165D" w:rsidRPr="002866E5" w:rsidRDefault="00B4087C" w:rsidP="00B4087C">
      <w:pPr>
        <w:pStyle w:val="ManualHeading3"/>
        <w:rPr>
          <w:noProof/>
        </w:rPr>
      </w:pPr>
      <w:r w:rsidRPr="00B4087C">
        <w:t>1.5.3.</w:t>
      </w:r>
      <w:r w:rsidRPr="00B4087C">
        <w:tab/>
      </w:r>
      <w:r w:rsidR="0037165D" w:rsidRPr="002866E5">
        <w:rPr>
          <w:noProof/>
        </w:rPr>
        <w:t>Główne wnioski wyciągnięte</w:t>
      </w:r>
      <w:r w:rsidR="008B35E8" w:rsidRPr="002866E5">
        <w:rPr>
          <w:noProof/>
        </w:rPr>
        <w:t xml:space="preserve"> z</w:t>
      </w:r>
      <w:r w:rsidR="008B35E8">
        <w:rPr>
          <w:noProof/>
        </w:rPr>
        <w:t> </w:t>
      </w:r>
      <w:r w:rsidR="008B35E8" w:rsidRPr="002866E5">
        <w:rPr>
          <w:noProof/>
        </w:rPr>
        <w:t>pod</w:t>
      </w:r>
      <w:r w:rsidR="0037165D" w:rsidRPr="002866E5">
        <w:rPr>
          <w:noProof/>
        </w:rPr>
        <w:t>obnych działań</w:t>
      </w:r>
    </w:p>
    <w:p w14:paraId="67ED894A" w14:textId="242D826E" w:rsidR="0037165D" w:rsidRPr="002866E5" w:rsidRDefault="003E630E" w:rsidP="00881943">
      <w:pPr>
        <w:pStyle w:val="Text1"/>
        <w:pBdr>
          <w:top w:val="single" w:sz="4" w:space="1" w:color="auto"/>
          <w:left w:val="single" w:sz="4" w:space="4" w:color="auto"/>
          <w:bottom w:val="single" w:sz="4" w:space="1" w:color="auto"/>
          <w:right w:val="single" w:sz="4" w:space="4" w:color="auto"/>
        </w:pBdr>
        <w:rPr>
          <w:noProof/>
        </w:rPr>
      </w:pPr>
      <w:r w:rsidRPr="002866E5">
        <w:rPr>
          <w:noProof/>
        </w:rPr>
        <w:t>Akt dotyczący cyberodporności jest pierwszą tego typu regulacją,</w:t>
      </w:r>
      <w:r w:rsidR="008B35E8" w:rsidRPr="002866E5">
        <w:rPr>
          <w:noProof/>
        </w:rPr>
        <w:t xml:space="preserve"> w</w:t>
      </w:r>
      <w:r w:rsidR="008B35E8">
        <w:rPr>
          <w:noProof/>
        </w:rPr>
        <w:t> </w:t>
      </w:r>
      <w:r w:rsidR="008B35E8" w:rsidRPr="002866E5">
        <w:rPr>
          <w:noProof/>
        </w:rPr>
        <w:t>ram</w:t>
      </w:r>
      <w:r w:rsidRPr="002866E5">
        <w:rPr>
          <w:noProof/>
        </w:rPr>
        <w:t>ach której wprowadza się wymogi cyberbezpieczeństwa</w:t>
      </w:r>
      <w:r w:rsidR="008B35E8" w:rsidRPr="002866E5">
        <w:rPr>
          <w:noProof/>
        </w:rPr>
        <w:t xml:space="preserve"> w</w:t>
      </w:r>
      <w:r w:rsidR="008B35E8">
        <w:rPr>
          <w:noProof/>
        </w:rPr>
        <w:t> </w:t>
      </w:r>
      <w:r w:rsidR="008B35E8" w:rsidRPr="002866E5">
        <w:rPr>
          <w:noProof/>
        </w:rPr>
        <w:t>zak</w:t>
      </w:r>
      <w:r w:rsidRPr="002866E5">
        <w:rPr>
          <w:noProof/>
        </w:rPr>
        <w:t>resie wprowadzania do obrotu produktów</w:t>
      </w:r>
      <w:r w:rsidR="008B35E8" w:rsidRPr="002866E5">
        <w:rPr>
          <w:noProof/>
        </w:rPr>
        <w:t xml:space="preserve"> z</w:t>
      </w:r>
      <w:r w:rsidR="008B35E8">
        <w:rPr>
          <w:noProof/>
        </w:rPr>
        <w:t> </w:t>
      </w:r>
      <w:r w:rsidR="008B35E8" w:rsidRPr="002866E5">
        <w:rPr>
          <w:noProof/>
        </w:rPr>
        <w:t>ele</w:t>
      </w:r>
      <w:r w:rsidRPr="002866E5">
        <w:rPr>
          <w:noProof/>
        </w:rPr>
        <w:t>mentami cyfrowymi. Opiera się on jednak na ustanowieniu nowych ram prawnych oraz na doświadczeniach zdobytych</w:t>
      </w:r>
      <w:r w:rsidR="008B35E8" w:rsidRPr="002866E5">
        <w:rPr>
          <w:noProof/>
        </w:rPr>
        <w:t xml:space="preserve"> w</w:t>
      </w:r>
      <w:r w:rsidR="008B35E8">
        <w:rPr>
          <w:noProof/>
        </w:rPr>
        <w:t> </w:t>
      </w:r>
      <w:r w:rsidR="008B35E8" w:rsidRPr="002866E5">
        <w:rPr>
          <w:noProof/>
        </w:rPr>
        <w:t>pro</w:t>
      </w:r>
      <w:r w:rsidRPr="002866E5">
        <w:rPr>
          <w:noProof/>
        </w:rPr>
        <w:t>cesie wdrażania obowiązującego unijnego prawodawstwa harmonizacyjnego dotyczącego różnych produktów, szczególnie</w:t>
      </w:r>
      <w:r w:rsidR="008B35E8" w:rsidRPr="002866E5">
        <w:rPr>
          <w:noProof/>
        </w:rPr>
        <w:t xml:space="preserve"> w</w:t>
      </w:r>
      <w:r w:rsidR="008B35E8">
        <w:rPr>
          <w:noProof/>
        </w:rPr>
        <w:t> </w:t>
      </w:r>
      <w:r w:rsidR="008B35E8" w:rsidRPr="002866E5">
        <w:rPr>
          <w:noProof/>
        </w:rPr>
        <w:t>zak</w:t>
      </w:r>
      <w:r w:rsidRPr="002866E5">
        <w:rPr>
          <w:noProof/>
        </w:rPr>
        <w:t>resie przygotowania do wdrażania,</w:t>
      </w:r>
      <w:r w:rsidR="008B35E8" w:rsidRPr="002866E5">
        <w:rPr>
          <w:noProof/>
        </w:rPr>
        <w:t xml:space="preserve"> w</w:t>
      </w:r>
      <w:r w:rsidR="008B35E8">
        <w:rPr>
          <w:noProof/>
        </w:rPr>
        <w:t> </w:t>
      </w:r>
      <w:r w:rsidR="008B35E8" w:rsidRPr="002866E5">
        <w:rPr>
          <w:noProof/>
        </w:rPr>
        <w:t>tym</w:t>
      </w:r>
      <w:r w:rsidRPr="002866E5">
        <w:rPr>
          <w:noProof/>
        </w:rPr>
        <w:t xml:space="preserve"> aspektów takich jak opracowanie norm zharmonizowanych.</w:t>
      </w:r>
    </w:p>
    <w:p w14:paraId="67ED894B" w14:textId="58F08DA2" w:rsidR="0037165D" w:rsidRPr="002866E5" w:rsidRDefault="00B4087C" w:rsidP="00B4087C">
      <w:pPr>
        <w:pStyle w:val="ManualHeading3"/>
        <w:rPr>
          <w:noProof/>
        </w:rPr>
      </w:pPr>
      <w:r w:rsidRPr="00B4087C">
        <w:t>1.5.4.</w:t>
      </w:r>
      <w:r w:rsidRPr="00B4087C">
        <w:tab/>
      </w:r>
      <w:r w:rsidR="0037165D" w:rsidRPr="002866E5">
        <w:rPr>
          <w:noProof/>
        </w:rPr>
        <w:t>Spójność</w:t>
      </w:r>
      <w:r w:rsidR="008B35E8" w:rsidRPr="002866E5">
        <w:rPr>
          <w:noProof/>
        </w:rPr>
        <w:t xml:space="preserve"> z</w:t>
      </w:r>
      <w:r w:rsidR="008B35E8">
        <w:rPr>
          <w:noProof/>
        </w:rPr>
        <w:t> </w:t>
      </w:r>
      <w:r w:rsidR="008B35E8" w:rsidRPr="002866E5">
        <w:rPr>
          <w:noProof/>
        </w:rPr>
        <w:t>wie</w:t>
      </w:r>
      <w:r w:rsidR="0037165D" w:rsidRPr="002866E5">
        <w:rPr>
          <w:noProof/>
        </w:rPr>
        <w:t>loletnimi ramami finansowymi oraz możliwa synergia</w:t>
      </w:r>
      <w:r w:rsidR="008B35E8" w:rsidRPr="002866E5">
        <w:rPr>
          <w:noProof/>
        </w:rPr>
        <w:t xml:space="preserve"> z</w:t>
      </w:r>
      <w:r w:rsidR="008B35E8">
        <w:rPr>
          <w:noProof/>
        </w:rPr>
        <w:t> </w:t>
      </w:r>
      <w:r w:rsidR="008B35E8" w:rsidRPr="002866E5">
        <w:rPr>
          <w:noProof/>
        </w:rPr>
        <w:t>inn</w:t>
      </w:r>
      <w:r w:rsidR="0037165D" w:rsidRPr="002866E5">
        <w:rPr>
          <w:noProof/>
        </w:rPr>
        <w:t>ymi właściwymi instrumentami</w:t>
      </w:r>
    </w:p>
    <w:p w14:paraId="67ED894C" w14:textId="4C5ED113" w:rsidR="0037165D" w:rsidRPr="002866E5" w:rsidRDefault="00C7745B" w:rsidP="00881943">
      <w:pPr>
        <w:pStyle w:val="Text1"/>
        <w:pBdr>
          <w:top w:val="single" w:sz="4" w:space="1" w:color="auto"/>
          <w:left w:val="single" w:sz="4" w:space="4" w:color="auto"/>
          <w:bottom w:val="single" w:sz="4" w:space="1" w:color="auto"/>
          <w:right w:val="single" w:sz="4" w:space="4" w:color="auto"/>
        </w:pBdr>
        <w:rPr>
          <w:noProof/>
        </w:rPr>
      </w:pPr>
      <w:r w:rsidRPr="002866E5">
        <w:rPr>
          <w:noProof/>
        </w:rPr>
        <w:t>W rozporządzeniu</w:t>
      </w:r>
      <w:r w:rsidR="008B35E8" w:rsidRPr="002866E5">
        <w:rPr>
          <w:noProof/>
        </w:rPr>
        <w:t xml:space="preserve"> w</w:t>
      </w:r>
      <w:r w:rsidR="008B35E8">
        <w:rPr>
          <w:noProof/>
        </w:rPr>
        <w:t> </w:t>
      </w:r>
      <w:r w:rsidR="008B35E8" w:rsidRPr="002866E5">
        <w:rPr>
          <w:noProof/>
        </w:rPr>
        <w:t>spr</w:t>
      </w:r>
      <w:r w:rsidRPr="002866E5">
        <w:rPr>
          <w:noProof/>
        </w:rPr>
        <w:t>awie horyzontalnych wymogów cyberbezpieczeństwa</w:t>
      </w:r>
      <w:r w:rsidR="008B35E8" w:rsidRPr="002866E5">
        <w:rPr>
          <w:noProof/>
        </w:rPr>
        <w:t xml:space="preserve"> w</w:t>
      </w:r>
      <w:r w:rsidR="008B35E8">
        <w:rPr>
          <w:noProof/>
        </w:rPr>
        <w:t> </w:t>
      </w:r>
      <w:r w:rsidR="008B35E8" w:rsidRPr="002866E5">
        <w:rPr>
          <w:noProof/>
        </w:rPr>
        <w:t>odn</w:t>
      </w:r>
      <w:r w:rsidRPr="002866E5">
        <w:rPr>
          <w:noProof/>
        </w:rPr>
        <w:t>iesieniu do produktów</w:t>
      </w:r>
      <w:r w:rsidR="008B35E8" w:rsidRPr="002866E5">
        <w:rPr>
          <w:noProof/>
        </w:rPr>
        <w:t xml:space="preserve"> z</w:t>
      </w:r>
      <w:r w:rsidR="008B35E8">
        <w:rPr>
          <w:noProof/>
        </w:rPr>
        <w:t> </w:t>
      </w:r>
      <w:r w:rsidR="008B35E8" w:rsidRPr="002866E5">
        <w:rPr>
          <w:noProof/>
        </w:rPr>
        <w:t>ele</w:t>
      </w:r>
      <w:r w:rsidRPr="002866E5">
        <w:rPr>
          <w:noProof/>
        </w:rPr>
        <w:t>mentami cyfrowymi określono nowe wymogi cyberbezpieczeństwa dla wszystkich produktów</w:t>
      </w:r>
      <w:r w:rsidR="008B35E8" w:rsidRPr="002866E5">
        <w:rPr>
          <w:noProof/>
        </w:rPr>
        <w:t xml:space="preserve"> z</w:t>
      </w:r>
      <w:r w:rsidR="008B35E8">
        <w:rPr>
          <w:noProof/>
        </w:rPr>
        <w:t> </w:t>
      </w:r>
      <w:r w:rsidR="008B35E8" w:rsidRPr="002866E5">
        <w:rPr>
          <w:noProof/>
        </w:rPr>
        <w:t>ele</w:t>
      </w:r>
      <w:r w:rsidRPr="002866E5">
        <w:rPr>
          <w:noProof/>
        </w:rPr>
        <w:t>mentami cyfrowymi wprowadzonych do obrotu na rynku UE, których zakres wykracza poza wszelkie wymogi przewidziane</w:t>
      </w:r>
      <w:r w:rsidR="008B35E8" w:rsidRPr="002866E5">
        <w:rPr>
          <w:noProof/>
        </w:rPr>
        <w:t xml:space="preserve"> w</w:t>
      </w:r>
      <w:r w:rsidR="008B35E8">
        <w:rPr>
          <w:noProof/>
        </w:rPr>
        <w:t> </w:t>
      </w:r>
      <w:r w:rsidR="008B35E8" w:rsidRPr="002866E5">
        <w:rPr>
          <w:noProof/>
        </w:rPr>
        <w:t>obo</w:t>
      </w:r>
      <w:r w:rsidRPr="002866E5">
        <w:rPr>
          <w:noProof/>
        </w:rPr>
        <w:t>wiązujących przepisach. Jednocześnie wniosek opiera się na obowiązującej strukturze przepisów nowych ram prawnych</w:t>
      </w:r>
      <w:r w:rsidR="008B35E8" w:rsidRPr="002866E5">
        <w:rPr>
          <w:noProof/>
        </w:rPr>
        <w:t>. W</w:t>
      </w:r>
      <w:r w:rsidR="008B35E8">
        <w:rPr>
          <w:noProof/>
        </w:rPr>
        <w:t> </w:t>
      </w:r>
      <w:r w:rsidR="008B35E8" w:rsidRPr="002866E5">
        <w:rPr>
          <w:noProof/>
        </w:rPr>
        <w:t>zwi</w:t>
      </w:r>
      <w:r w:rsidRPr="002866E5">
        <w:rPr>
          <w:noProof/>
        </w:rPr>
        <w:t>ązku</w:t>
      </w:r>
      <w:r w:rsidR="008B35E8" w:rsidRPr="002866E5">
        <w:rPr>
          <w:noProof/>
        </w:rPr>
        <w:t xml:space="preserve"> z</w:t>
      </w:r>
      <w:r w:rsidR="008B35E8">
        <w:rPr>
          <w:noProof/>
        </w:rPr>
        <w:t> </w:t>
      </w:r>
      <w:r w:rsidR="008B35E8" w:rsidRPr="002866E5">
        <w:rPr>
          <w:noProof/>
        </w:rPr>
        <w:t>tym</w:t>
      </w:r>
      <w:r w:rsidRPr="002866E5">
        <w:rPr>
          <w:noProof/>
        </w:rPr>
        <w:t xml:space="preserve"> opiera się on na obowiązujących strukturach</w:t>
      </w:r>
      <w:r w:rsidR="008B35E8" w:rsidRPr="002866E5">
        <w:rPr>
          <w:noProof/>
        </w:rPr>
        <w:t xml:space="preserve"> i</w:t>
      </w:r>
      <w:r w:rsidR="008B35E8">
        <w:rPr>
          <w:noProof/>
        </w:rPr>
        <w:t> </w:t>
      </w:r>
      <w:r w:rsidR="008B35E8" w:rsidRPr="002866E5">
        <w:rPr>
          <w:noProof/>
        </w:rPr>
        <w:t>pro</w:t>
      </w:r>
      <w:r w:rsidRPr="002866E5">
        <w:rPr>
          <w:noProof/>
        </w:rPr>
        <w:t>cedurach nowych ram prawnych, takich jak współpraca jednostek notyfikowanych</w:t>
      </w:r>
      <w:r w:rsidR="008B35E8" w:rsidRPr="002866E5">
        <w:rPr>
          <w:noProof/>
        </w:rPr>
        <w:t xml:space="preserve"> i</w:t>
      </w:r>
      <w:r w:rsidR="008B35E8">
        <w:rPr>
          <w:noProof/>
        </w:rPr>
        <w:t> </w:t>
      </w:r>
      <w:r w:rsidR="008B35E8" w:rsidRPr="002866E5">
        <w:rPr>
          <w:noProof/>
        </w:rPr>
        <w:t>nad</w:t>
      </w:r>
      <w:r w:rsidRPr="002866E5">
        <w:rPr>
          <w:noProof/>
        </w:rPr>
        <w:t>zór rynku, moduły oceny zgodności, opracowywanie norm zharmonizowanych. Ponadto nowy wniosek opiera się na niektórych strukturach opracowanych zgodnie</w:t>
      </w:r>
      <w:r w:rsidR="008B35E8" w:rsidRPr="002866E5">
        <w:rPr>
          <w:noProof/>
        </w:rPr>
        <w:t xml:space="preserve"> z</w:t>
      </w:r>
      <w:r w:rsidR="008B35E8">
        <w:rPr>
          <w:noProof/>
        </w:rPr>
        <w:t> </w:t>
      </w:r>
      <w:r w:rsidR="008B35E8" w:rsidRPr="002866E5">
        <w:rPr>
          <w:noProof/>
        </w:rPr>
        <w:t>inn</w:t>
      </w:r>
      <w:r w:rsidRPr="002866E5">
        <w:rPr>
          <w:noProof/>
        </w:rPr>
        <w:t>ymi przepisami dotyczącymi cyberbezpieczeństwa, takimi jak dyrektywa (UE) 2016/1148 (dyrektywa</w:t>
      </w:r>
      <w:r w:rsidR="008B35E8" w:rsidRPr="002866E5">
        <w:rPr>
          <w:noProof/>
        </w:rPr>
        <w:t xml:space="preserve"> w</w:t>
      </w:r>
      <w:r w:rsidR="008B35E8">
        <w:rPr>
          <w:noProof/>
        </w:rPr>
        <w:t> </w:t>
      </w:r>
      <w:r w:rsidR="008B35E8" w:rsidRPr="002866E5">
        <w:rPr>
          <w:noProof/>
        </w:rPr>
        <w:t>spr</w:t>
      </w:r>
      <w:r w:rsidRPr="002866E5">
        <w:rPr>
          <w:noProof/>
        </w:rPr>
        <w:t>awie bezpieczeństwa sieci</w:t>
      </w:r>
      <w:r w:rsidR="008B35E8" w:rsidRPr="002866E5">
        <w:rPr>
          <w:noProof/>
        </w:rPr>
        <w:t xml:space="preserve"> i</w:t>
      </w:r>
      <w:r w:rsidR="008B35E8">
        <w:rPr>
          <w:noProof/>
        </w:rPr>
        <w:t> </w:t>
      </w:r>
      <w:r w:rsidR="008B35E8" w:rsidRPr="002866E5">
        <w:rPr>
          <w:noProof/>
        </w:rPr>
        <w:t>inf</w:t>
      </w:r>
      <w:r w:rsidRPr="002866E5">
        <w:rPr>
          <w:noProof/>
        </w:rPr>
        <w:t>ormacji), odpowiednio [dyrektywa XXX/XXXX (NIS 2)] lub rozporządzenie (UE) 2019/881 (akt</w:t>
      </w:r>
      <w:r w:rsidR="008B35E8" w:rsidRPr="002866E5">
        <w:rPr>
          <w:noProof/>
        </w:rPr>
        <w:t xml:space="preserve"> o</w:t>
      </w:r>
      <w:r w:rsidR="008B35E8">
        <w:rPr>
          <w:noProof/>
        </w:rPr>
        <w:t> </w:t>
      </w:r>
      <w:r w:rsidR="008B35E8" w:rsidRPr="002866E5">
        <w:rPr>
          <w:noProof/>
        </w:rPr>
        <w:t>cyb</w:t>
      </w:r>
      <w:r w:rsidRPr="002866E5">
        <w:rPr>
          <w:noProof/>
        </w:rPr>
        <w:t xml:space="preserve">erbezpieczeństwie). </w:t>
      </w:r>
    </w:p>
    <w:p w14:paraId="67ED894D" w14:textId="28E0F3AA" w:rsidR="0037165D" w:rsidRPr="002866E5" w:rsidRDefault="00B4087C" w:rsidP="00B4087C">
      <w:pPr>
        <w:pStyle w:val="ManualHeading3"/>
        <w:rPr>
          <w:noProof/>
        </w:rPr>
      </w:pPr>
      <w:r w:rsidRPr="00B4087C">
        <w:t>1.5.5.</w:t>
      </w:r>
      <w:r w:rsidRPr="00B4087C">
        <w:tab/>
      </w:r>
      <w:r w:rsidR="0037165D" w:rsidRPr="002866E5">
        <w:rPr>
          <w:noProof/>
        </w:rPr>
        <w:t>Ocena różnych dostępnych możliwości finansowania,</w:t>
      </w:r>
      <w:r w:rsidR="008B35E8" w:rsidRPr="002866E5">
        <w:rPr>
          <w:noProof/>
        </w:rPr>
        <w:t xml:space="preserve"> w</w:t>
      </w:r>
      <w:r w:rsidR="008B35E8">
        <w:rPr>
          <w:noProof/>
        </w:rPr>
        <w:t> </w:t>
      </w:r>
      <w:r w:rsidR="008B35E8" w:rsidRPr="002866E5">
        <w:rPr>
          <w:noProof/>
        </w:rPr>
        <w:t>tym</w:t>
      </w:r>
      <w:r w:rsidR="0037165D" w:rsidRPr="002866E5">
        <w:rPr>
          <w:noProof/>
        </w:rPr>
        <w:t xml:space="preserve"> zakresu przegrupowania środków</w:t>
      </w:r>
    </w:p>
    <w:p w14:paraId="67ED894E" w14:textId="59A2F1F7" w:rsidR="0037165D" w:rsidRPr="002866E5" w:rsidRDefault="00360CC4" w:rsidP="00881943">
      <w:pPr>
        <w:pStyle w:val="Text1"/>
        <w:pBdr>
          <w:top w:val="single" w:sz="4" w:space="1" w:color="auto"/>
          <w:left w:val="single" w:sz="4" w:space="4" w:color="auto"/>
          <w:bottom w:val="single" w:sz="4" w:space="1" w:color="auto"/>
          <w:right w:val="single" w:sz="4" w:space="4" w:color="auto"/>
        </w:pBdr>
        <w:rPr>
          <w:noProof/>
        </w:rPr>
      </w:pPr>
      <w:r w:rsidRPr="002866E5">
        <w:rPr>
          <w:noProof/>
        </w:rPr>
        <w:t>Zarządzanie obszarami działania przydzielonymi ENISA odpowiada jej obowiązującemu mandatowi</w:t>
      </w:r>
      <w:r w:rsidR="008B35E8" w:rsidRPr="002866E5">
        <w:rPr>
          <w:noProof/>
        </w:rPr>
        <w:t xml:space="preserve"> i</w:t>
      </w:r>
      <w:r w:rsidR="008B35E8">
        <w:rPr>
          <w:noProof/>
        </w:rPr>
        <w:t> </w:t>
      </w:r>
      <w:r w:rsidR="008B35E8" w:rsidRPr="002866E5">
        <w:rPr>
          <w:noProof/>
        </w:rPr>
        <w:t>zad</w:t>
      </w:r>
      <w:r w:rsidRPr="002866E5">
        <w:rPr>
          <w:noProof/>
        </w:rPr>
        <w:t>aniom ogólnym. Te obszary działania mogą wymagać określonych profili lub nowych zadań, ale nie będą one znaczące</w:t>
      </w:r>
      <w:r w:rsidR="008B35E8" w:rsidRPr="002866E5">
        <w:rPr>
          <w:noProof/>
        </w:rPr>
        <w:t xml:space="preserve"> i</w:t>
      </w:r>
      <w:r w:rsidR="008B35E8">
        <w:rPr>
          <w:noProof/>
        </w:rPr>
        <w:t> </w:t>
      </w:r>
      <w:r w:rsidR="008B35E8" w:rsidRPr="002866E5">
        <w:rPr>
          <w:noProof/>
        </w:rPr>
        <w:t>mog</w:t>
      </w:r>
      <w:r w:rsidRPr="002866E5">
        <w:rPr>
          <w:noProof/>
        </w:rPr>
        <w:t>ą zostać wchłonięte przez istniejące zasoby ENISA oraz rozwiązane przez realokację lub połączenie różnych zadań. Na przykład jeden</w:t>
      </w:r>
      <w:r w:rsidR="008B35E8" w:rsidRPr="002866E5">
        <w:rPr>
          <w:noProof/>
        </w:rPr>
        <w:t xml:space="preserve"> z</w:t>
      </w:r>
      <w:r w:rsidR="008B35E8">
        <w:rPr>
          <w:noProof/>
        </w:rPr>
        <w:t> </w:t>
      </w:r>
      <w:r w:rsidR="008B35E8" w:rsidRPr="002866E5">
        <w:rPr>
          <w:noProof/>
        </w:rPr>
        <w:t>głó</w:t>
      </w:r>
      <w:r w:rsidRPr="002866E5">
        <w:rPr>
          <w:noProof/>
        </w:rPr>
        <w:t>wnych obszarów działania przydzielonych ENISA dotyczy gromadzenia</w:t>
      </w:r>
      <w:r w:rsidR="008B35E8" w:rsidRPr="002866E5">
        <w:rPr>
          <w:noProof/>
        </w:rPr>
        <w:t xml:space="preserve"> i</w:t>
      </w:r>
      <w:r w:rsidR="008B35E8">
        <w:rPr>
          <w:noProof/>
        </w:rPr>
        <w:t> </w:t>
      </w:r>
      <w:r w:rsidR="008B35E8" w:rsidRPr="002866E5">
        <w:rPr>
          <w:noProof/>
        </w:rPr>
        <w:t>prz</w:t>
      </w:r>
      <w:r w:rsidRPr="002866E5">
        <w:rPr>
          <w:noProof/>
        </w:rPr>
        <w:t>etwarzania zgłoszeń od producentów dotyczących wykorzystywanych podatności produktów. W [dyrektywie XXX/XXXX (NIS 2)] powierzono już ENISA zadanie polegające na utworzeniu europejskiej bazy danych dotyczących podatności,</w:t>
      </w:r>
      <w:r w:rsidR="008B35E8" w:rsidRPr="002866E5">
        <w:rPr>
          <w:noProof/>
        </w:rPr>
        <w:t xml:space="preserve"> w</w:t>
      </w:r>
      <w:r w:rsidR="008B35E8">
        <w:rPr>
          <w:noProof/>
        </w:rPr>
        <w:t> </w:t>
      </w:r>
      <w:r w:rsidR="008B35E8" w:rsidRPr="002866E5">
        <w:rPr>
          <w:noProof/>
        </w:rPr>
        <w:t>któ</w:t>
      </w:r>
      <w:r w:rsidRPr="002866E5">
        <w:rPr>
          <w:noProof/>
        </w:rPr>
        <w:t>rej można ujawniać</w:t>
      </w:r>
      <w:r w:rsidR="008B35E8" w:rsidRPr="002866E5">
        <w:rPr>
          <w:noProof/>
        </w:rPr>
        <w:t xml:space="preserve"> i</w:t>
      </w:r>
      <w:r w:rsidR="008B35E8">
        <w:rPr>
          <w:noProof/>
        </w:rPr>
        <w:t> </w:t>
      </w:r>
      <w:r w:rsidR="008B35E8" w:rsidRPr="002866E5">
        <w:rPr>
          <w:noProof/>
        </w:rPr>
        <w:t>rej</w:t>
      </w:r>
      <w:r w:rsidRPr="002866E5">
        <w:rPr>
          <w:noProof/>
        </w:rPr>
        <w:t>estrować publicznie znane podatności, na zasadzie dobrowolności,</w:t>
      </w:r>
      <w:r w:rsidR="008B35E8" w:rsidRPr="002866E5">
        <w:rPr>
          <w:noProof/>
        </w:rPr>
        <w:t xml:space="preserve"> w</w:t>
      </w:r>
      <w:r w:rsidR="008B35E8">
        <w:rPr>
          <w:noProof/>
        </w:rPr>
        <w:t> </w:t>
      </w:r>
      <w:r w:rsidR="008B35E8" w:rsidRPr="002866E5">
        <w:rPr>
          <w:noProof/>
        </w:rPr>
        <w:t>cel</w:t>
      </w:r>
      <w:r w:rsidRPr="002866E5">
        <w:rPr>
          <w:noProof/>
        </w:rPr>
        <w:t>u umożliwienia użytkownikom wprowadzenia odpowiednich środków łagodzących. Zasoby przeznaczone na ten cel można również wykorzystać na nowe wyżej wspomniane zadania związane</w:t>
      </w:r>
      <w:r w:rsidR="008B35E8" w:rsidRPr="002866E5">
        <w:rPr>
          <w:noProof/>
        </w:rPr>
        <w:t xml:space="preserve"> z</w:t>
      </w:r>
      <w:r w:rsidR="008B35E8">
        <w:rPr>
          <w:noProof/>
        </w:rPr>
        <w:t> </w:t>
      </w:r>
      <w:r w:rsidR="008B35E8" w:rsidRPr="002866E5">
        <w:rPr>
          <w:noProof/>
        </w:rPr>
        <w:t>zaw</w:t>
      </w:r>
      <w:r w:rsidRPr="002866E5">
        <w:rPr>
          <w:noProof/>
        </w:rPr>
        <w:t>iadomieniami</w:t>
      </w:r>
      <w:r w:rsidR="008B35E8" w:rsidRPr="002866E5">
        <w:rPr>
          <w:noProof/>
        </w:rPr>
        <w:t xml:space="preserve"> o</w:t>
      </w:r>
      <w:r w:rsidR="008B35E8">
        <w:rPr>
          <w:noProof/>
        </w:rPr>
        <w:t> </w:t>
      </w:r>
      <w:r w:rsidR="008B35E8" w:rsidRPr="002866E5">
        <w:rPr>
          <w:noProof/>
        </w:rPr>
        <w:t>pod</w:t>
      </w:r>
      <w:r w:rsidRPr="002866E5">
        <w:rPr>
          <w:noProof/>
        </w:rPr>
        <w:t>atnościach produktów. Mogłoby to zapewnić skuteczne wykorzystanie istniejących zasobów,</w:t>
      </w:r>
      <w:r w:rsidR="008B35E8" w:rsidRPr="002866E5">
        <w:rPr>
          <w:noProof/>
        </w:rPr>
        <w:t xml:space="preserve"> a</w:t>
      </w:r>
      <w:r w:rsidR="008B35E8">
        <w:rPr>
          <w:noProof/>
        </w:rPr>
        <w:t> </w:t>
      </w:r>
      <w:r w:rsidR="008B35E8" w:rsidRPr="002866E5">
        <w:rPr>
          <w:noProof/>
        </w:rPr>
        <w:t>tak</w:t>
      </w:r>
      <w:r w:rsidRPr="002866E5">
        <w:rPr>
          <w:noProof/>
        </w:rPr>
        <w:t>że doprowadzić do powstania niezbędnych synergii między takimi zadaniami, które można lepiej wykorzystać</w:t>
      </w:r>
      <w:r w:rsidR="008B35E8" w:rsidRPr="002866E5">
        <w:rPr>
          <w:noProof/>
        </w:rPr>
        <w:t xml:space="preserve"> w</w:t>
      </w:r>
      <w:r w:rsidR="008B35E8">
        <w:rPr>
          <w:noProof/>
        </w:rPr>
        <w:t> </w:t>
      </w:r>
      <w:r w:rsidR="008B35E8" w:rsidRPr="002866E5">
        <w:rPr>
          <w:noProof/>
        </w:rPr>
        <w:t>ana</w:t>
      </w:r>
      <w:r w:rsidRPr="002866E5">
        <w:rPr>
          <w:noProof/>
        </w:rPr>
        <w:t>lizach ENISA dotyczących ryzyka</w:t>
      </w:r>
      <w:r w:rsidR="008B35E8" w:rsidRPr="002866E5">
        <w:rPr>
          <w:noProof/>
        </w:rPr>
        <w:t xml:space="preserve"> i</w:t>
      </w:r>
      <w:r w:rsidR="008B35E8">
        <w:rPr>
          <w:noProof/>
        </w:rPr>
        <w:t> </w:t>
      </w:r>
      <w:r w:rsidR="008B35E8" w:rsidRPr="002866E5">
        <w:rPr>
          <w:noProof/>
        </w:rPr>
        <w:t>zag</w:t>
      </w:r>
      <w:r w:rsidRPr="002866E5">
        <w:rPr>
          <w:noProof/>
        </w:rPr>
        <w:t>rożeń</w:t>
      </w:r>
      <w:r w:rsidR="008B35E8" w:rsidRPr="002866E5">
        <w:rPr>
          <w:noProof/>
        </w:rPr>
        <w:t xml:space="preserve"> w</w:t>
      </w:r>
      <w:r w:rsidR="008B35E8">
        <w:rPr>
          <w:noProof/>
        </w:rPr>
        <w:t> </w:t>
      </w:r>
      <w:r w:rsidR="008B35E8" w:rsidRPr="002866E5">
        <w:rPr>
          <w:noProof/>
        </w:rPr>
        <w:t>cyb</w:t>
      </w:r>
      <w:r w:rsidRPr="002866E5">
        <w:rPr>
          <w:noProof/>
        </w:rPr>
        <w:t>erprzestrzeni.</w:t>
      </w:r>
    </w:p>
    <w:p w14:paraId="67ED894F" w14:textId="77777777" w:rsidR="0037165D" w:rsidRPr="002866E5" w:rsidRDefault="0037165D" w:rsidP="00881943">
      <w:pPr>
        <w:pStyle w:val="Text1"/>
        <w:rPr>
          <w:noProof/>
        </w:rPr>
      </w:pPr>
    </w:p>
    <w:p w14:paraId="67ED8950" w14:textId="273EA231" w:rsidR="0037165D" w:rsidRPr="002866E5" w:rsidRDefault="0037165D" w:rsidP="00B4087C">
      <w:pPr>
        <w:pStyle w:val="ManualHeading2"/>
        <w:rPr>
          <w:bCs/>
          <w:noProof/>
          <w:szCs w:val="24"/>
        </w:rPr>
      </w:pPr>
      <w:r w:rsidRPr="002866E5">
        <w:rPr>
          <w:noProof/>
        </w:rPr>
        <w:br w:type="page"/>
      </w:r>
      <w:r w:rsidR="00B4087C" w:rsidRPr="00B4087C">
        <w:t>1.6.</w:t>
      </w:r>
      <w:r w:rsidR="00B4087C" w:rsidRPr="00B4087C">
        <w:tab/>
      </w:r>
      <w:r w:rsidRPr="002866E5">
        <w:rPr>
          <w:noProof/>
        </w:rPr>
        <w:t>Czas trwania</w:t>
      </w:r>
      <w:r w:rsidR="008B35E8" w:rsidRPr="002866E5">
        <w:rPr>
          <w:noProof/>
        </w:rPr>
        <w:t xml:space="preserve"> i</w:t>
      </w:r>
      <w:r w:rsidR="008B35E8">
        <w:rPr>
          <w:noProof/>
        </w:rPr>
        <w:t> </w:t>
      </w:r>
      <w:r w:rsidR="008B35E8" w:rsidRPr="002866E5">
        <w:rPr>
          <w:noProof/>
        </w:rPr>
        <w:t>wpł</w:t>
      </w:r>
      <w:r w:rsidRPr="002866E5">
        <w:rPr>
          <w:noProof/>
        </w:rPr>
        <w:t>yw finansowy wniosku/inicjatywy</w:t>
      </w:r>
    </w:p>
    <w:p w14:paraId="67ED8951" w14:textId="77777777" w:rsidR="0037165D" w:rsidRPr="002866E5" w:rsidRDefault="0037165D" w:rsidP="00881943">
      <w:pPr>
        <w:pStyle w:val="Text1"/>
        <w:rPr>
          <w:noProof/>
        </w:rPr>
      </w:pPr>
      <w:r w:rsidRPr="002866E5">
        <w:rPr>
          <w:noProof/>
        </w:rPr>
        <w:sym w:font="Wingdings" w:char="F0A8"/>
      </w:r>
      <w:r w:rsidRPr="002866E5">
        <w:rPr>
          <w:b/>
          <w:i/>
          <w:noProof/>
        </w:rPr>
        <w:t xml:space="preserve"> </w:t>
      </w:r>
      <w:r w:rsidRPr="002866E5">
        <w:rPr>
          <w:b/>
          <w:noProof/>
        </w:rPr>
        <w:t xml:space="preserve">Ograniczony czas trwania </w:t>
      </w:r>
    </w:p>
    <w:p w14:paraId="67ED8952" w14:textId="77777777" w:rsidR="0037165D" w:rsidRPr="002866E5" w:rsidRDefault="0037165D" w:rsidP="00881943">
      <w:pPr>
        <w:pStyle w:val="ListDash2"/>
        <w:rPr>
          <w:noProof/>
        </w:rPr>
      </w:pPr>
      <w:r w:rsidRPr="002866E5">
        <w:rPr>
          <w:noProof/>
        </w:rPr>
        <w:sym w:font="Wingdings" w:char="F0A8"/>
      </w:r>
      <w:r w:rsidRPr="002866E5">
        <w:rPr>
          <w:noProof/>
        </w:rPr>
        <w:tab/>
        <w:t xml:space="preserve">Okres trwania wniosku/inicjatywy: od [DD/MM]RRRR r. do [DD/MM]RRRR r. </w:t>
      </w:r>
    </w:p>
    <w:p w14:paraId="67ED8953" w14:textId="4164EAE9" w:rsidR="0037165D" w:rsidRPr="002866E5" w:rsidRDefault="0037165D" w:rsidP="00881943">
      <w:pPr>
        <w:pStyle w:val="ListDash2"/>
        <w:rPr>
          <w:noProof/>
        </w:rPr>
      </w:pPr>
      <w:r w:rsidRPr="002866E5">
        <w:rPr>
          <w:noProof/>
        </w:rPr>
        <w:sym w:font="Wingdings" w:char="F0A8"/>
      </w:r>
      <w:r w:rsidRPr="002866E5">
        <w:rPr>
          <w:noProof/>
        </w:rPr>
        <w:tab/>
        <w:t>Okres trwania wpływu finansowego: od RRRR r. do RRRR r.</w:t>
      </w:r>
      <w:r w:rsidR="008B35E8" w:rsidRPr="002866E5">
        <w:rPr>
          <w:noProof/>
        </w:rPr>
        <w:t xml:space="preserve"> w</w:t>
      </w:r>
      <w:r w:rsidR="008B35E8">
        <w:rPr>
          <w:noProof/>
        </w:rPr>
        <w:t> </w:t>
      </w:r>
      <w:r w:rsidR="008B35E8" w:rsidRPr="002866E5">
        <w:rPr>
          <w:noProof/>
        </w:rPr>
        <w:t>odn</w:t>
      </w:r>
      <w:r w:rsidRPr="002866E5">
        <w:rPr>
          <w:noProof/>
        </w:rPr>
        <w:t>iesieniu do środków na zobowiązania oraz od RRRR r. do RRRR r.</w:t>
      </w:r>
      <w:r w:rsidR="008B35E8" w:rsidRPr="002866E5">
        <w:rPr>
          <w:noProof/>
        </w:rPr>
        <w:t xml:space="preserve"> w</w:t>
      </w:r>
      <w:r w:rsidR="008B35E8">
        <w:rPr>
          <w:noProof/>
        </w:rPr>
        <w:t> </w:t>
      </w:r>
      <w:r w:rsidR="008B35E8" w:rsidRPr="002866E5">
        <w:rPr>
          <w:noProof/>
        </w:rPr>
        <w:t>odn</w:t>
      </w:r>
      <w:r w:rsidRPr="002866E5">
        <w:rPr>
          <w:noProof/>
        </w:rPr>
        <w:t xml:space="preserve">iesieniu do środków na płatności. </w:t>
      </w:r>
    </w:p>
    <w:p w14:paraId="67ED8954" w14:textId="77777777" w:rsidR="0037165D" w:rsidRPr="002866E5" w:rsidRDefault="007111F4" w:rsidP="00881943">
      <w:pPr>
        <w:pStyle w:val="Text1"/>
        <w:rPr>
          <w:noProof/>
        </w:rPr>
      </w:pPr>
      <w:r w:rsidRPr="002866E5">
        <w:rPr>
          <w:noProof/>
        </w:rPr>
        <w:t>×</w:t>
      </w:r>
      <w:r w:rsidRPr="002866E5">
        <w:rPr>
          <w:b/>
          <w:i/>
          <w:noProof/>
        </w:rPr>
        <w:t xml:space="preserve"> </w:t>
      </w:r>
      <w:r w:rsidRPr="002866E5">
        <w:rPr>
          <w:b/>
          <w:noProof/>
        </w:rPr>
        <w:t>Nieograniczony czas trwania</w:t>
      </w:r>
    </w:p>
    <w:p w14:paraId="67ED8955" w14:textId="163D2FBA" w:rsidR="0037165D" w:rsidRPr="002866E5" w:rsidRDefault="0037165D" w:rsidP="00881943">
      <w:pPr>
        <w:pStyle w:val="ListDash1"/>
        <w:rPr>
          <w:noProof/>
        </w:rPr>
      </w:pPr>
      <w:r w:rsidRPr="002866E5">
        <w:rPr>
          <w:noProof/>
        </w:rPr>
        <w:t>Wprowadzenie</w:t>
      </w:r>
      <w:r w:rsidR="008B35E8" w:rsidRPr="002866E5">
        <w:rPr>
          <w:noProof/>
        </w:rPr>
        <w:t xml:space="preserve"> w</w:t>
      </w:r>
      <w:r w:rsidR="008B35E8">
        <w:rPr>
          <w:noProof/>
        </w:rPr>
        <w:t> </w:t>
      </w:r>
      <w:r w:rsidR="008B35E8" w:rsidRPr="002866E5">
        <w:rPr>
          <w:noProof/>
        </w:rPr>
        <w:t>życ</w:t>
      </w:r>
      <w:r w:rsidRPr="002866E5">
        <w:rPr>
          <w:noProof/>
        </w:rPr>
        <w:t>ie</w:t>
      </w:r>
      <w:r w:rsidR="008B35E8" w:rsidRPr="002866E5">
        <w:rPr>
          <w:noProof/>
        </w:rPr>
        <w:t xml:space="preserve"> z</w:t>
      </w:r>
      <w:r w:rsidR="008B35E8">
        <w:rPr>
          <w:noProof/>
        </w:rPr>
        <w:t> </w:t>
      </w:r>
      <w:r w:rsidR="008B35E8" w:rsidRPr="002866E5">
        <w:rPr>
          <w:noProof/>
        </w:rPr>
        <w:t>okr</w:t>
      </w:r>
      <w:r w:rsidRPr="002866E5">
        <w:rPr>
          <w:noProof/>
        </w:rPr>
        <w:t xml:space="preserve">esem rozruchu </w:t>
      </w:r>
      <w:r w:rsidRPr="008B35E8">
        <w:rPr>
          <w:noProof/>
        </w:rPr>
        <w:t>od</w:t>
      </w:r>
      <w:r w:rsidR="008B35E8" w:rsidRPr="008B35E8">
        <w:rPr>
          <w:noProof/>
        </w:rPr>
        <w:t> </w:t>
      </w:r>
      <w:r w:rsidRPr="008B35E8">
        <w:rPr>
          <w:noProof/>
        </w:rPr>
        <w:t>2</w:t>
      </w:r>
      <w:r w:rsidRPr="002866E5">
        <w:rPr>
          <w:noProof/>
        </w:rPr>
        <w:t>0</w:t>
      </w:r>
      <w:r w:rsidRPr="008B35E8">
        <w:rPr>
          <w:noProof/>
        </w:rPr>
        <w:t>25</w:t>
      </w:r>
      <w:r w:rsidR="008B35E8" w:rsidRPr="008B35E8">
        <w:rPr>
          <w:noProof/>
        </w:rPr>
        <w:t> </w:t>
      </w:r>
      <w:r w:rsidRPr="008B35E8">
        <w:rPr>
          <w:noProof/>
        </w:rPr>
        <w:t>r.</w:t>
      </w:r>
    </w:p>
    <w:p w14:paraId="67ED8956" w14:textId="77777777" w:rsidR="0037165D" w:rsidRPr="002866E5" w:rsidRDefault="0037165D" w:rsidP="00881943">
      <w:pPr>
        <w:pStyle w:val="ListDash1"/>
        <w:rPr>
          <w:noProof/>
        </w:rPr>
      </w:pPr>
      <w:r w:rsidRPr="002866E5">
        <w:rPr>
          <w:noProof/>
        </w:rPr>
        <w:t>po którym następuje faza operacyjna.</w:t>
      </w:r>
    </w:p>
    <w:p w14:paraId="67ED8957" w14:textId="6F22DB29" w:rsidR="0037165D" w:rsidRPr="002866E5" w:rsidRDefault="00B4087C" w:rsidP="00B4087C">
      <w:pPr>
        <w:pStyle w:val="ManualHeading2"/>
        <w:rPr>
          <w:bCs/>
          <w:noProof/>
          <w:szCs w:val="24"/>
        </w:rPr>
      </w:pPr>
      <w:r w:rsidRPr="00B4087C">
        <w:t>1.7.</w:t>
      </w:r>
      <w:r w:rsidRPr="00B4087C">
        <w:tab/>
      </w:r>
      <w:r w:rsidR="0037165D" w:rsidRPr="002866E5">
        <w:rPr>
          <w:noProof/>
        </w:rPr>
        <w:t>Planowane tryby zarządzania</w:t>
      </w:r>
      <w:r w:rsidR="0037165D" w:rsidRPr="002866E5">
        <w:rPr>
          <w:rStyle w:val="FootnoteReference"/>
          <w:noProof/>
        </w:rPr>
        <w:footnoteReference w:id="41"/>
      </w:r>
      <w:r w:rsidR="0037165D" w:rsidRPr="002866E5">
        <w:rPr>
          <w:noProof/>
        </w:rPr>
        <w:t xml:space="preserve"> </w:t>
      </w:r>
    </w:p>
    <w:p w14:paraId="67ED8958" w14:textId="77777777" w:rsidR="0037165D" w:rsidRPr="002866E5" w:rsidRDefault="0037165D" w:rsidP="00881943">
      <w:pPr>
        <w:pStyle w:val="Text1"/>
        <w:rPr>
          <w:noProof/>
        </w:rPr>
      </w:pPr>
      <w:r w:rsidRPr="002866E5">
        <w:rPr>
          <w:noProof/>
        </w:rPr>
        <w:sym w:font="Wingdings" w:char="F0A8"/>
      </w:r>
      <w:r w:rsidRPr="002866E5">
        <w:rPr>
          <w:i/>
          <w:noProof/>
        </w:rPr>
        <w:t xml:space="preserve"> </w:t>
      </w:r>
      <w:r w:rsidRPr="002866E5">
        <w:rPr>
          <w:b/>
          <w:noProof/>
        </w:rPr>
        <w:t>Zarządzanie bezpośrednie</w:t>
      </w:r>
      <w:r w:rsidRPr="002866E5">
        <w:rPr>
          <w:noProof/>
        </w:rPr>
        <w:t xml:space="preserve"> przez Komisję</w:t>
      </w:r>
    </w:p>
    <w:p w14:paraId="67ED8959" w14:textId="79114D6F" w:rsidR="0037165D" w:rsidRPr="002866E5" w:rsidRDefault="007111F4" w:rsidP="00881943">
      <w:pPr>
        <w:pStyle w:val="ListDash2"/>
        <w:rPr>
          <w:rFonts w:cs="EUAlbertina"/>
          <w:noProof/>
        </w:rPr>
      </w:pPr>
      <w:r w:rsidRPr="002866E5">
        <w:rPr>
          <w:noProof/>
        </w:rPr>
        <w:t>×</w:t>
      </w:r>
      <w:r w:rsidR="008B35E8" w:rsidRPr="002866E5">
        <w:rPr>
          <w:noProof/>
        </w:rPr>
        <w:t xml:space="preserve"> w</w:t>
      </w:r>
      <w:r w:rsidR="008B35E8">
        <w:rPr>
          <w:noProof/>
        </w:rPr>
        <w:t> </w:t>
      </w:r>
      <w:r w:rsidR="008B35E8" w:rsidRPr="002866E5">
        <w:rPr>
          <w:noProof/>
        </w:rPr>
        <w:t>ram</w:t>
      </w:r>
      <w:r w:rsidRPr="002866E5">
        <w:rPr>
          <w:noProof/>
        </w:rPr>
        <w:t>ach jej służb,</w:t>
      </w:r>
      <w:r w:rsidR="008B35E8" w:rsidRPr="002866E5">
        <w:rPr>
          <w:noProof/>
        </w:rPr>
        <w:t xml:space="preserve"> w</w:t>
      </w:r>
      <w:r w:rsidR="008B35E8">
        <w:rPr>
          <w:noProof/>
        </w:rPr>
        <w:t> </w:t>
      </w:r>
      <w:r w:rsidR="008B35E8" w:rsidRPr="002866E5">
        <w:rPr>
          <w:noProof/>
        </w:rPr>
        <w:t>tym</w:t>
      </w:r>
      <w:r w:rsidRPr="002866E5">
        <w:rPr>
          <w:noProof/>
        </w:rPr>
        <w:t xml:space="preserve"> za pośrednictwem jej pracowników</w:t>
      </w:r>
      <w:r w:rsidR="008B35E8" w:rsidRPr="002866E5">
        <w:rPr>
          <w:noProof/>
        </w:rPr>
        <w:t xml:space="preserve"> w</w:t>
      </w:r>
      <w:r w:rsidR="008B35E8">
        <w:rPr>
          <w:noProof/>
        </w:rPr>
        <w:t> </w:t>
      </w:r>
      <w:r w:rsidR="008B35E8" w:rsidRPr="002866E5">
        <w:rPr>
          <w:noProof/>
        </w:rPr>
        <w:t>del</w:t>
      </w:r>
      <w:r w:rsidRPr="002866E5">
        <w:rPr>
          <w:noProof/>
        </w:rPr>
        <w:t xml:space="preserve">egaturach Unii; </w:t>
      </w:r>
    </w:p>
    <w:p w14:paraId="67ED895A" w14:textId="77777777" w:rsidR="0037165D" w:rsidRPr="002866E5" w:rsidRDefault="0037165D" w:rsidP="00881943">
      <w:pPr>
        <w:pStyle w:val="ListDash2"/>
        <w:rPr>
          <w:noProof/>
        </w:rPr>
      </w:pPr>
      <w:r w:rsidRPr="002866E5">
        <w:rPr>
          <w:noProof/>
        </w:rPr>
        <w:sym w:font="Wingdings" w:char="F0A8"/>
      </w:r>
      <w:r w:rsidRPr="002866E5">
        <w:rPr>
          <w:noProof/>
        </w:rPr>
        <w:tab/>
        <w:t xml:space="preserve">przez agencje wykonawcze </w:t>
      </w:r>
    </w:p>
    <w:p w14:paraId="67ED895B" w14:textId="094F6151" w:rsidR="0037165D" w:rsidRPr="002866E5" w:rsidRDefault="0037165D" w:rsidP="00881943">
      <w:pPr>
        <w:pStyle w:val="Text1"/>
        <w:rPr>
          <w:noProof/>
        </w:rPr>
      </w:pPr>
      <w:r w:rsidRPr="002866E5">
        <w:rPr>
          <w:noProof/>
        </w:rPr>
        <w:sym w:font="Wingdings" w:char="F0A8"/>
      </w:r>
      <w:r w:rsidRPr="002866E5">
        <w:rPr>
          <w:b/>
          <w:i/>
          <w:noProof/>
        </w:rPr>
        <w:t xml:space="preserve"> </w:t>
      </w:r>
      <w:r w:rsidRPr="002866E5">
        <w:rPr>
          <w:b/>
          <w:noProof/>
        </w:rPr>
        <w:t>Zarządzanie dzielone</w:t>
      </w:r>
      <w:r w:rsidR="008B35E8" w:rsidRPr="002866E5">
        <w:rPr>
          <w:noProof/>
        </w:rPr>
        <w:t xml:space="preserve"> z</w:t>
      </w:r>
      <w:r w:rsidR="008B35E8">
        <w:rPr>
          <w:noProof/>
        </w:rPr>
        <w:t> </w:t>
      </w:r>
      <w:r w:rsidR="008B35E8" w:rsidRPr="002866E5">
        <w:rPr>
          <w:noProof/>
        </w:rPr>
        <w:t>pań</w:t>
      </w:r>
      <w:r w:rsidRPr="002866E5">
        <w:rPr>
          <w:noProof/>
        </w:rPr>
        <w:t xml:space="preserve">stwami członkowskimi </w:t>
      </w:r>
    </w:p>
    <w:p w14:paraId="67ED895C" w14:textId="123A14F4" w:rsidR="0037165D" w:rsidRPr="002866E5" w:rsidRDefault="0037165D" w:rsidP="00881943">
      <w:pPr>
        <w:pStyle w:val="Text1"/>
        <w:rPr>
          <w:noProof/>
        </w:rPr>
      </w:pPr>
      <w:r w:rsidRPr="002866E5">
        <w:rPr>
          <w:noProof/>
        </w:rPr>
        <w:sym w:font="Wingdings" w:char="F0A8"/>
      </w:r>
      <w:r w:rsidRPr="002866E5">
        <w:rPr>
          <w:i/>
          <w:noProof/>
        </w:rPr>
        <w:t xml:space="preserve"> </w:t>
      </w:r>
      <w:r w:rsidRPr="002866E5">
        <w:rPr>
          <w:b/>
          <w:noProof/>
        </w:rPr>
        <w:t>Zarządzanie pośrednie</w:t>
      </w:r>
      <w:r w:rsidRPr="002866E5">
        <w:rPr>
          <w:noProof/>
        </w:rPr>
        <w:t xml:space="preserve"> poprzez przekazanie zadań związanych</w:t>
      </w:r>
      <w:r w:rsidR="008B35E8" w:rsidRPr="002866E5">
        <w:rPr>
          <w:noProof/>
        </w:rPr>
        <w:t xml:space="preserve"> z</w:t>
      </w:r>
      <w:r w:rsidR="008B35E8">
        <w:rPr>
          <w:noProof/>
        </w:rPr>
        <w:t> </w:t>
      </w:r>
      <w:r w:rsidR="008B35E8" w:rsidRPr="002866E5">
        <w:rPr>
          <w:noProof/>
        </w:rPr>
        <w:t>wyk</w:t>
      </w:r>
      <w:r w:rsidRPr="002866E5">
        <w:rPr>
          <w:noProof/>
        </w:rPr>
        <w:t>onaniem budżetu:</w:t>
      </w:r>
    </w:p>
    <w:p w14:paraId="67ED895D" w14:textId="77777777" w:rsidR="0037165D" w:rsidRPr="002866E5" w:rsidRDefault="0037165D" w:rsidP="00881943">
      <w:pPr>
        <w:pStyle w:val="ListDash2"/>
        <w:rPr>
          <w:noProof/>
        </w:rPr>
      </w:pPr>
      <w:r w:rsidRPr="002866E5">
        <w:rPr>
          <w:noProof/>
        </w:rPr>
        <w:sym w:font="Wingdings" w:char="F0A8"/>
      </w:r>
      <w:r w:rsidRPr="002866E5">
        <w:rPr>
          <w:noProof/>
        </w:rPr>
        <w:t xml:space="preserve"> państwom trzecim lub organom przez nie wyznaczonym;</w:t>
      </w:r>
    </w:p>
    <w:p w14:paraId="67ED895E" w14:textId="4DD454EC" w:rsidR="0037165D" w:rsidRPr="002866E5" w:rsidRDefault="0037165D" w:rsidP="00881943">
      <w:pPr>
        <w:pStyle w:val="ListDash2"/>
        <w:rPr>
          <w:noProof/>
        </w:rPr>
      </w:pPr>
      <w:r w:rsidRPr="002866E5">
        <w:rPr>
          <w:noProof/>
        </w:rPr>
        <w:sym w:font="Wingdings" w:char="F0A8"/>
      </w:r>
      <w:r w:rsidRPr="002866E5">
        <w:rPr>
          <w:noProof/>
        </w:rPr>
        <w:t xml:space="preserve"> organizacjom międzynarodowym</w:t>
      </w:r>
      <w:r w:rsidR="008B35E8" w:rsidRPr="002866E5">
        <w:rPr>
          <w:noProof/>
        </w:rPr>
        <w:t xml:space="preserve"> i</w:t>
      </w:r>
      <w:r w:rsidR="008B35E8">
        <w:rPr>
          <w:noProof/>
        </w:rPr>
        <w:t> </w:t>
      </w:r>
      <w:r w:rsidR="008B35E8" w:rsidRPr="002866E5">
        <w:rPr>
          <w:noProof/>
        </w:rPr>
        <w:t>ich</w:t>
      </w:r>
      <w:r w:rsidRPr="002866E5">
        <w:rPr>
          <w:noProof/>
        </w:rPr>
        <w:t xml:space="preserve"> agencjom (należy wyszczególnić);</w:t>
      </w:r>
    </w:p>
    <w:p w14:paraId="67ED895F" w14:textId="77777777" w:rsidR="0037165D" w:rsidRPr="002866E5" w:rsidRDefault="0037165D" w:rsidP="00881943">
      <w:pPr>
        <w:pStyle w:val="ListDash2"/>
        <w:rPr>
          <w:noProof/>
        </w:rPr>
      </w:pPr>
      <w:r w:rsidRPr="002866E5">
        <w:rPr>
          <w:noProof/>
        </w:rPr>
        <w:sym w:font="Wingdings" w:char="F0A8"/>
      </w:r>
      <w:r w:rsidRPr="002866E5">
        <w:rPr>
          <w:noProof/>
        </w:rPr>
        <w:t xml:space="preserve"> EBI oraz Europejskiemu Funduszowi Inwestycyjnemu;</w:t>
      </w:r>
    </w:p>
    <w:p w14:paraId="67ED8960" w14:textId="53BEB7A2" w:rsidR="0037165D" w:rsidRPr="002866E5" w:rsidRDefault="0037165D" w:rsidP="00881943">
      <w:pPr>
        <w:pStyle w:val="ListDash2"/>
        <w:rPr>
          <w:noProof/>
        </w:rPr>
      </w:pPr>
      <w:r w:rsidRPr="002866E5">
        <w:rPr>
          <w:noProof/>
        </w:rPr>
        <w:sym w:font="Wingdings" w:char="F0A8"/>
      </w:r>
      <w:r w:rsidRPr="002866E5">
        <w:rPr>
          <w:noProof/>
        </w:rPr>
        <w:t xml:space="preserve"> organom,</w:t>
      </w:r>
      <w:r w:rsidR="008B35E8" w:rsidRPr="002866E5">
        <w:rPr>
          <w:noProof/>
        </w:rPr>
        <w:t xml:space="preserve"> o</w:t>
      </w:r>
      <w:r w:rsidR="008B35E8">
        <w:rPr>
          <w:noProof/>
        </w:rPr>
        <w:t> </w:t>
      </w:r>
      <w:r w:rsidR="008B35E8" w:rsidRPr="002866E5">
        <w:rPr>
          <w:noProof/>
        </w:rPr>
        <w:t>któ</w:t>
      </w:r>
      <w:r w:rsidRPr="002866E5">
        <w:rPr>
          <w:noProof/>
        </w:rPr>
        <w:t>rych mowa</w:t>
      </w:r>
      <w:r w:rsidR="008B35E8" w:rsidRPr="002866E5">
        <w:rPr>
          <w:noProof/>
        </w:rPr>
        <w:t xml:space="preserve"> w</w:t>
      </w:r>
      <w:r w:rsidR="008B35E8">
        <w:rPr>
          <w:noProof/>
        </w:rPr>
        <w:t> </w:t>
      </w:r>
      <w:r w:rsidR="008B35E8" w:rsidRPr="008B35E8">
        <w:rPr>
          <w:noProof/>
        </w:rPr>
        <w:t>art</w:t>
      </w:r>
      <w:r w:rsidRPr="008B35E8">
        <w:rPr>
          <w:noProof/>
        </w:rPr>
        <w:t>.</w:t>
      </w:r>
      <w:r w:rsidR="008B35E8" w:rsidRPr="008B35E8">
        <w:rPr>
          <w:noProof/>
        </w:rPr>
        <w:t> </w:t>
      </w:r>
      <w:r w:rsidRPr="008B35E8">
        <w:rPr>
          <w:noProof/>
        </w:rPr>
        <w:t>7</w:t>
      </w:r>
      <w:r w:rsidRPr="002866E5">
        <w:rPr>
          <w:noProof/>
        </w:rPr>
        <w:t>0</w:t>
      </w:r>
      <w:r w:rsidR="008B35E8" w:rsidRPr="002866E5">
        <w:rPr>
          <w:noProof/>
        </w:rPr>
        <w:t xml:space="preserve"> i</w:t>
      </w:r>
      <w:r w:rsidR="008B35E8">
        <w:rPr>
          <w:noProof/>
        </w:rPr>
        <w:t> </w:t>
      </w:r>
      <w:r w:rsidR="008B35E8" w:rsidRPr="002866E5">
        <w:rPr>
          <w:noProof/>
        </w:rPr>
        <w:t>7</w:t>
      </w:r>
      <w:r w:rsidRPr="002866E5">
        <w:rPr>
          <w:noProof/>
        </w:rPr>
        <w:t>1 rozporządzenia finansowego;</w:t>
      </w:r>
    </w:p>
    <w:p w14:paraId="67ED8961" w14:textId="77777777" w:rsidR="0037165D" w:rsidRPr="002866E5" w:rsidRDefault="0037165D" w:rsidP="00881943">
      <w:pPr>
        <w:pStyle w:val="ListDash2"/>
        <w:rPr>
          <w:noProof/>
        </w:rPr>
      </w:pPr>
      <w:r w:rsidRPr="002866E5">
        <w:rPr>
          <w:noProof/>
        </w:rPr>
        <w:sym w:font="Wingdings" w:char="F0A8"/>
      </w:r>
      <w:r w:rsidRPr="002866E5">
        <w:rPr>
          <w:noProof/>
        </w:rPr>
        <w:t xml:space="preserve"> organom prawa publicznego;</w:t>
      </w:r>
    </w:p>
    <w:p w14:paraId="67ED8962" w14:textId="31EBB7A2" w:rsidR="0037165D" w:rsidRPr="002866E5" w:rsidRDefault="0037165D" w:rsidP="00881943">
      <w:pPr>
        <w:pStyle w:val="ListDash2"/>
        <w:rPr>
          <w:noProof/>
        </w:rPr>
      </w:pPr>
      <w:r w:rsidRPr="002866E5">
        <w:rPr>
          <w:noProof/>
        </w:rPr>
        <w:sym w:font="Wingdings" w:char="F0A8"/>
      </w:r>
      <w:r w:rsidRPr="002866E5">
        <w:rPr>
          <w:noProof/>
        </w:rPr>
        <w:t xml:space="preserve"> podmiotom podlegającym prawu prywatnemu, które świadczą usługi użyteczności publicznej,</w:t>
      </w:r>
      <w:r w:rsidR="008B35E8" w:rsidRPr="002866E5">
        <w:rPr>
          <w:noProof/>
        </w:rPr>
        <w:t xml:space="preserve"> o</w:t>
      </w:r>
      <w:r w:rsidR="008B35E8">
        <w:rPr>
          <w:noProof/>
        </w:rPr>
        <w:t> </w:t>
      </w:r>
      <w:r w:rsidR="008B35E8" w:rsidRPr="002866E5">
        <w:rPr>
          <w:noProof/>
        </w:rPr>
        <w:t>ile</w:t>
      </w:r>
      <w:r w:rsidRPr="002866E5">
        <w:rPr>
          <w:noProof/>
        </w:rPr>
        <w:t xml:space="preserve"> są im zapewnione odpowiednie gwarancje finansowe;</w:t>
      </w:r>
    </w:p>
    <w:p w14:paraId="67ED8963" w14:textId="10F45987" w:rsidR="0037165D" w:rsidRPr="002866E5" w:rsidRDefault="0037165D" w:rsidP="00881943">
      <w:pPr>
        <w:pStyle w:val="ListDash2"/>
        <w:rPr>
          <w:noProof/>
        </w:rPr>
      </w:pPr>
      <w:r w:rsidRPr="002866E5">
        <w:rPr>
          <w:noProof/>
        </w:rPr>
        <w:sym w:font="Wingdings" w:char="F0A8"/>
      </w:r>
      <w:r w:rsidRPr="002866E5">
        <w:rPr>
          <w:noProof/>
        </w:rPr>
        <w:t xml:space="preserve"> podmiotom podlegającym prawu prywatnemu państwa członkowskiego, którym powierzono realizację partnerstwa publiczno-prywatnego</w:t>
      </w:r>
      <w:r w:rsidR="008B35E8" w:rsidRPr="002866E5">
        <w:rPr>
          <w:noProof/>
        </w:rPr>
        <w:t xml:space="preserve"> i</w:t>
      </w:r>
      <w:r w:rsidR="008B35E8">
        <w:rPr>
          <w:noProof/>
        </w:rPr>
        <w:t> </w:t>
      </w:r>
      <w:r w:rsidR="008B35E8" w:rsidRPr="002866E5">
        <w:rPr>
          <w:noProof/>
        </w:rPr>
        <w:t>zap</w:t>
      </w:r>
      <w:r w:rsidRPr="002866E5">
        <w:rPr>
          <w:noProof/>
        </w:rPr>
        <w:t>ewniono odpowiednie gwarancje finansowe;</w:t>
      </w:r>
    </w:p>
    <w:p w14:paraId="67ED8964" w14:textId="137E5556" w:rsidR="0037165D" w:rsidRPr="002866E5" w:rsidRDefault="0037165D" w:rsidP="00881943">
      <w:pPr>
        <w:pStyle w:val="ListDash2"/>
        <w:rPr>
          <w:noProof/>
        </w:rPr>
      </w:pPr>
      <w:r w:rsidRPr="002866E5">
        <w:rPr>
          <w:noProof/>
        </w:rPr>
        <w:sym w:font="Wingdings" w:char="F0A8"/>
      </w:r>
      <w:r w:rsidRPr="002866E5">
        <w:rPr>
          <w:noProof/>
        </w:rPr>
        <w:t xml:space="preserve"> osobom odpowiedzialnym za wykonanie określonych działań</w:t>
      </w:r>
      <w:r w:rsidR="008B35E8" w:rsidRPr="002866E5">
        <w:rPr>
          <w:noProof/>
        </w:rPr>
        <w:t xml:space="preserve"> w</w:t>
      </w:r>
      <w:r w:rsidR="008B35E8">
        <w:rPr>
          <w:noProof/>
        </w:rPr>
        <w:t> </w:t>
      </w:r>
      <w:r w:rsidR="008B35E8" w:rsidRPr="002866E5">
        <w:rPr>
          <w:noProof/>
        </w:rPr>
        <w:t>dzi</w:t>
      </w:r>
      <w:r w:rsidRPr="002866E5">
        <w:rPr>
          <w:noProof/>
        </w:rPr>
        <w:t>edzinie wspólnej polityki zagranicznej</w:t>
      </w:r>
      <w:r w:rsidR="008B35E8" w:rsidRPr="002866E5">
        <w:rPr>
          <w:noProof/>
        </w:rPr>
        <w:t xml:space="preserve"> i</w:t>
      </w:r>
      <w:r w:rsidR="008B35E8">
        <w:rPr>
          <w:noProof/>
        </w:rPr>
        <w:t> </w:t>
      </w:r>
      <w:r w:rsidR="008B35E8" w:rsidRPr="002866E5">
        <w:rPr>
          <w:noProof/>
        </w:rPr>
        <w:t>bez</w:t>
      </w:r>
      <w:r w:rsidRPr="002866E5">
        <w:rPr>
          <w:noProof/>
        </w:rPr>
        <w:t>pieczeństwa na mocy tytułu V Traktatu</w:t>
      </w:r>
      <w:r w:rsidR="008B35E8" w:rsidRPr="002866E5">
        <w:rPr>
          <w:noProof/>
        </w:rPr>
        <w:t xml:space="preserve"> o</w:t>
      </w:r>
      <w:r w:rsidR="008B35E8">
        <w:rPr>
          <w:noProof/>
        </w:rPr>
        <w:t> </w:t>
      </w:r>
      <w:r w:rsidR="008B35E8" w:rsidRPr="002866E5">
        <w:rPr>
          <w:noProof/>
        </w:rPr>
        <w:t>Uni</w:t>
      </w:r>
      <w:r w:rsidRPr="002866E5">
        <w:rPr>
          <w:noProof/>
        </w:rPr>
        <w:t>i Europejskiej oraz określonym we właściwym podstawowym akcie.</w:t>
      </w:r>
    </w:p>
    <w:p w14:paraId="67ED8965" w14:textId="6B6130C1" w:rsidR="0037165D" w:rsidRPr="002866E5" w:rsidRDefault="0037165D" w:rsidP="00881943">
      <w:pPr>
        <w:pStyle w:val="ListDash2"/>
        <w:rPr>
          <w:i/>
          <w:noProof/>
          <w:sz w:val="18"/>
          <w:u w:val="single"/>
        </w:rPr>
      </w:pPr>
      <w:r w:rsidRPr="002866E5">
        <w:rPr>
          <w:i/>
          <w:noProof/>
          <w:sz w:val="18"/>
        </w:rPr>
        <w:t>W przypadku wskazania więcej niż jednego trybu zarządzania należy podać dodatkowe informacje</w:t>
      </w:r>
      <w:r w:rsidR="008B35E8" w:rsidRPr="002866E5">
        <w:rPr>
          <w:i/>
          <w:noProof/>
          <w:sz w:val="18"/>
        </w:rPr>
        <w:t xml:space="preserve"> w</w:t>
      </w:r>
      <w:r w:rsidR="008B35E8">
        <w:rPr>
          <w:i/>
          <w:noProof/>
          <w:sz w:val="18"/>
        </w:rPr>
        <w:t> </w:t>
      </w:r>
      <w:r w:rsidR="008B35E8" w:rsidRPr="002866E5">
        <w:rPr>
          <w:i/>
          <w:noProof/>
          <w:sz w:val="18"/>
        </w:rPr>
        <w:t>czę</w:t>
      </w:r>
      <w:r w:rsidRPr="002866E5">
        <w:rPr>
          <w:i/>
          <w:noProof/>
          <w:sz w:val="18"/>
        </w:rPr>
        <w:t>ści „Uwagi”.</w:t>
      </w:r>
    </w:p>
    <w:p w14:paraId="67ED8966" w14:textId="77777777" w:rsidR="0037165D" w:rsidRPr="002866E5" w:rsidRDefault="0037165D" w:rsidP="00881943">
      <w:pPr>
        <w:rPr>
          <w:noProof/>
        </w:rPr>
      </w:pPr>
      <w:r w:rsidRPr="002866E5">
        <w:rPr>
          <w:noProof/>
        </w:rPr>
        <w:t xml:space="preserve">Uwagi </w:t>
      </w:r>
    </w:p>
    <w:p w14:paraId="67ED8967" w14:textId="3039749D" w:rsidR="0037165D" w:rsidRPr="002866E5" w:rsidRDefault="001E2C3A" w:rsidP="00881943">
      <w:pPr>
        <w:pBdr>
          <w:top w:val="single" w:sz="4" w:space="1" w:color="auto"/>
          <w:left w:val="single" w:sz="4" w:space="4" w:color="auto"/>
          <w:bottom w:val="single" w:sz="4" w:space="1" w:color="auto"/>
          <w:right w:val="single" w:sz="4" w:space="4" w:color="auto"/>
        </w:pBdr>
        <w:rPr>
          <w:noProof/>
        </w:rPr>
      </w:pPr>
      <w:r w:rsidRPr="002866E5">
        <w:rPr>
          <w:noProof/>
          <w:shd w:val="clear" w:color="auto" w:fill="FFFFFF"/>
        </w:rPr>
        <w:t>W niniejszym rozporządzeniu przypisuje się ENISA określone działania zgodnie</w:t>
      </w:r>
      <w:r w:rsidR="008B35E8" w:rsidRPr="002866E5">
        <w:rPr>
          <w:noProof/>
          <w:shd w:val="clear" w:color="auto" w:fill="FFFFFF"/>
        </w:rPr>
        <w:t xml:space="preserve"> z</w:t>
      </w:r>
      <w:r w:rsidR="008B35E8">
        <w:rPr>
          <w:noProof/>
          <w:shd w:val="clear" w:color="auto" w:fill="FFFFFF"/>
        </w:rPr>
        <w:t> </w:t>
      </w:r>
      <w:r w:rsidR="008B35E8" w:rsidRPr="002866E5">
        <w:rPr>
          <w:noProof/>
          <w:shd w:val="clear" w:color="auto" w:fill="FFFFFF"/>
        </w:rPr>
        <w:t>jej</w:t>
      </w:r>
      <w:r w:rsidRPr="002866E5">
        <w:rPr>
          <w:noProof/>
          <w:shd w:val="clear" w:color="auto" w:fill="FFFFFF"/>
        </w:rPr>
        <w:t xml:space="preserve"> obecnym mandatem,</w:t>
      </w:r>
      <w:r w:rsidR="008B35E8" w:rsidRPr="002866E5">
        <w:rPr>
          <w:noProof/>
          <w:shd w:val="clear" w:color="auto" w:fill="FFFFFF"/>
        </w:rPr>
        <w:t xml:space="preserve"> a</w:t>
      </w:r>
      <w:r w:rsidR="008B35E8">
        <w:rPr>
          <w:noProof/>
          <w:shd w:val="clear" w:color="auto" w:fill="FFFFFF"/>
        </w:rPr>
        <w:t> </w:t>
      </w:r>
      <w:r w:rsidR="008B35E8" w:rsidRPr="002866E5">
        <w:rPr>
          <w:noProof/>
          <w:shd w:val="clear" w:color="auto" w:fill="FFFFFF"/>
        </w:rPr>
        <w:t>w</w:t>
      </w:r>
      <w:r w:rsidR="008B35E8">
        <w:rPr>
          <w:noProof/>
          <w:shd w:val="clear" w:color="auto" w:fill="FFFFFF"/>
        </w:rPr>
        <w:t> </w:t>
      </w:r>
      <w:r w:rsidR="008B35E8" w:rsidRPr="002866E5">
        <w:rPr>
          <w:noProof/>
          <w:shd w:val="clear" w:color="auto" w:fill="FFFFFF"/>
        </w:rPr>
        <w:t>szc</w:t>
      </w:r>
      <w:r w:rsidRPr="002866E5">
        <w:rPr>
          <w:noProof/>
          <w:shd w:val="clear" w:color="auto" w:fill="FFFFFF"/>
        </w:rPr>
        <w:t>zególności</w:t>
      </w:r>
      <w:r w:rsidR="008B35E8" w:rsidRPr="002866E5">
        <w:rPr>
          <w:noProof/>
          <w:shd w:val="clear" w:color="auto" w:fill="FFFFFF"/>
        </w:rPr>
        <w:t xml:space="preserve"> z</w:t>
      </w:r>
      <w:r w:rsidR="008B35E8">
        <w:rPr>
          <w:noProof/>
          <w:shd w:val="clear" w:color="auto" w:fill="FFFFFF"/>
        </w:rPr>
        <w:t> </w:t>
      </w:r>
      <w:r w:rsidR="008B35E8" w:rsidRPr="008B35E8">
        <w:rPr>
          <w:noProof/>
          <w:shd w:val="clear" w:color="auto" w:fill="FFFFFF"/>
        </w:rPr>
        <w:t>art</w:t>
      </w:r>
      <w:r w:rsidRPr="008B35E8">
        <w:rPr>
          <w:noProof/>
          <w:shd w:val="clear" w:color="auto" w:fill="FFFFFF"/>
        </w:rPr>
        <w:t>.</w:t>
      </w:r>
      <w:r w:rsidR="008B35E8" w:rsidRPr="008B35E8">
        <w:rPr>
          <w:noProof/>
          <w:shd w:val="clear" w:color="auto" w:fill="FFFFFF"/>
        </w:rPr>
        <w:t> </w:t>
      </w:r>
      <w:r w:rsidRPr="008B35E8">
        <w:rPr>
          <w:noProof/>
          <w:shd w:val="clear" w:color="auto" w:fill="FFFFFF"/>
        </w:rPr>
        <w:t>3</w:t>
      </w:r>
      <w:r w:rsidRPr="002866E5">
        <w:rPr>
          <w:noProof/>
          <w:shd w:val="clear" w:color="auto" w:fill="FFFFFF"/>
        </w:rPr>
        <w:t xml:space="preserve"> </w:t>
      </w:r>
      <w:r w:rsidRPr="008B35E8">
        <w:rPr>
          <w:noProof/>
          <w:shd w:val="clear" w:color="auto" w:fill="FFFFFF"/>
        </w:rPr>
        <w:t>ust.</w:t>
      </w:r>
      <w:r w:rsidR="008B35E8" w:rsidRPr="008B35E8">
        <w:rPr>
          <w:noProof/>
          <w:shd w:val="clear" w:color="auto" w:fill="FFFFFF"/>
        </w:rPr>
        <w:t> </w:t>
      </w:r>
      <w:r w:rsidRPr="008B35E8">
        <w:rPr>
          <w:noProof/>
          <w:shd w:val="clear" w:color="auto" w:fill="FFFFFF"/>
        </w:rPr>
        <w:t>2</w:t>
      </w:r>
      <w:r w:rsidRPr="002866E5">
        <w:rPr>
          <w:noProof/>
          <w:shd w:val="clear" w:color="auto" w:fill="FFFFFF"/>
        </w:rPr>
        <w:t xml:space="preserve"> </w:t>
      </w:r>
      <w:r w:rsidRPr="002866E5">
        <w:rPr>
          <w:noProof/>
        </w:rPr>
        <w:t xml:space="preserve">rozporządzenia 2019/881 stanowiącym, że </w:t>
      </w:r>
      <w:r w:rsidRPr="002866E5">
        <w:rPr>
          <w:noProof/>
          <w:shd w:val="clear" w:color="auto" w:fill="FFFFFF"/>
        </w:rPr>
        <w:t>ENISA wykonuje zadania powierzone jej na mocy aktów prawnych Unii określających środki zbliżania przepisów ustawowych, wykonawczych</w:t>
      </w:r>
      <w:r w:rsidR="008B35E8" w:rsidRPr="002866E5">
        <w:rPr>
          <w:noProof/>
          <w:shd w:val="clear" w:color="auto" w:fill="FFFFFF"/>
        </w:rPr>
        <w:t xml:space="preserve"> i</w:t>
      </w:r>
      <w:r w:rsidR="008B35E8">
        <w:rPr>
          <w:noProof/>
          <w:shd w:val="clear" w:color="auto" w:fill="FFFFFF"/>
        </w:rPr>
        <w:t> </w:t>
      </w:r>
      <w:r w:rsidR="008B35E8" w:rsidRPr="002866E5">
        <w:rPr>
          <w:noProof/>
          <w:shd w:val="clear" w:color="auto" w:fill="FFFFFF"/>
        </w:rPr>
        <w:t>adm</w:t>
      </w:r>
      <w:r w:rsidRPr="002866E5">
        <w:rPr>
          <w:noProof/>
          <w:shd w:val="clear" w:color="auto" w:fill="FFFFFF"/>
        </w:rPr>
        <w:t>inistracyjnych państw członkowskich, które to przepisy dotyczą cyberbezpieczeństwa</w:t>
      </w:r>
      <w:r w:rsidR="008B35E8" w:rsidRPr="002866E5">
        <w:rPr>
          <w:noProof/>
          <w:shd w:val="clear" w:color="auto" w:fill="FFFFFF"/>
        </w:rPr>
        <w:t>. W</w:t>
      </w:r>
      <w:r w:rsidR="008B35E8">
        <w:rPr>
          <w:noProof/>
          <w:shd w:val="clear" w:color="auto" w:fill="FFFFFF"/>
        </w:rPr>
        <w:t> </w:t>
      </w:r>
      <w:r w:rsidR="008B35E8" w:rsidRPr="002866E5">
        <w:rPr>
          <w:noProof/>
          <w:shd w:val="clear" w:color="auto" w:fill="FFFFFF"/>
        </w:rPr>
        <w:t>szc</w:t>
      </w:r>
      <w:r w:rsidRPr="002866E5">
        <w:rPr>
          <w:noProof/>
          <w:shd w:val="clear" w:color="auto" w:fill="FFFFFF"/>
        </w:rPr>
        <w:t xml:space="preserve">zególności do zadań ENISA należy </w:t>
      </w:r>
      <w:r w:rsidRPr="002866E5">
        <w:rPr>
          <w:noProof/>
        </w:rPr>
        <w:t>otrzymywanie od producentów zgłoszeń aktywnie wykorzystywanych podatności produktów</w:t>
      </w:r>
      <w:r w:rsidR="008B35E8" w:rsidRPr="002866E5">
        <w:rPr>
          <w:noProof/>
        </w:rPr>
        <w:t xml:space="preserve"> z</w:t>
      </w:r>
      <w:r w:rsidR="008B35E8">
        <w:rPr>
          <w:noProof/>
        </w:rPr>
        <w:t> </w:t>
      </w:r>
      <w:r w:rsidR="008B35E8" w:rsidRPr="002866E5">
        <w:rPr>
          <w:noProof/>
        </w:rPr>
        <w:t>ele</w:t>
      </w:r>
      <w:r w:rsidRPr="002866E5">
        <w:rPr>
          <w:noProof/>
        </w:rPr>
        <w:t>mentami cyfrowymi, jak również zgłoszeń incydentów mających wpływ na bezpieczeństwo tych produktów. ENISA powinna także przekazywać te zgłoszenia właściwym CSIRT lub odpowiednio właściwym pojedynczym punktom kontaktowym państw członkowskich wyznaczonym zgodnie</w:t>
      </w:r>
      <w:r w:rsidR="008B35E8" w:rsidRPr="002866E5">
        <w:rPr>
          <w:noProof/>
        </w:rPr>
        <w:t xml:space="preserve"> z</w:t>
      </w:r>
      <w:r w:rsidR="008B35E8">
        <w:rPr>
          <w:noProof/>
        </w:rPr>
        <w:t> </w:t>
      </w:r>
      <w:r w:rsidR="008B35E8" w:rsidRPr="002866E5">
        <w:rPr>
          <w:noProof/>
        </w:rPr>
        <w:t>art</w:t>
      </w:r>
      <w:r w:rsidRPr="002866E5">
        <w:rPr>
          <w:noProof/>
        </w:rPr>
        <w:t>. [art. X] dyrektywy [dyrektywy XXX/XXXX (NIS 2)], jak również informować</w:t>
      </w:r>
      <w:r w:rsidR="008B35E8" w:rsidRPr="002866E5">
        <w:rPr>
          <w:noProof/>
        </w:rPr>
        <w:t xml:space="preserve"> o</w:t>
      </w:r>
      <w:r w:rsidR="008B35E8">
        <w:rPr>
          <w:noProof/>
        </w:rPr>
        <w:t> </w:t>
      </w:r>
      <w:r w:rsidR="008B35E8" w:rsidRPr="002866E5">
        <w:rPr>
          <w:noProof/>
        </w:rPr>
        <w:t>nic</w:t>
      </w:r>
      <w:r w:rsidRPr="002866E5">
        <w:rPr>
          <w:noProof/>
        </w:rPr>
        <w:t>h właściwe organy nadzoru rynku. Na podstawie gromadzonych informacji ENISA powinna co dwa lata przygotowywać sprawozdanie techniczne na temat pojawiających się tendencji</w:t>
      </w:r>
      <w:r w:rsidR="008B35E8" w:rsidRPr="002866E5">
        <w:rPr>
          <w:noProof/>
        </w:rPr>
        <w:t xml:space="preserve"> w</w:t>
      </w:r>
      <w:r w:rsidR="008B35E8">
        <w:rPr>
          <w:noProof/>
        </w:rPr>
        <w:t> </w:t>
      </w:r>
      <w:r w:rsidR="008B35E8" w:rsidRPr="002866E5">
        <w:rPr>
          <w:noProof/>
        </w:rPr>
        <w:t>zak</w:t>
      </w:r>
      <w:r w:rsidRPr="002866E5">
        <w:rPr>
          <w:noProof/>
        </w:rPr>
        <w:t>resie ryzyka</w:t>
      </w:r>
      <w:r w:rsidR="008B35E8" w:rsidRPr="002866E5">
        <w:rPr>
          <w:noProof/>
        </w:rPr>
        <w:t xml:space="preserve"> w</w:t>
      </w:r>
      <w:r w:rsidR="008B35E8">
        <w:rPr>
          <w:noProof/>
        </w:rPr>
        <w:t> </w:t>
      </w:r>
      <w:r w:rsidR="008B35E8" w:rsidRPr="002866E5">
        <w:rPr>
          <w:noProof/>
        </w:rPr>
        <w:t>cyb</w:t>
      </w:r>
      <w:r w:rsidRPr="002866E5">
        <w:rPr>
          <w:noProof/>
        </w:rPr>
        <w:t>erprzestrzeni dotyczącego produktów</w:t>
      </w:r>
      <w:r w:rsidR="008B35E8" w:rsidRPr="002866E5">
        <w:rPr>
          <w:noProof/>
        </w:rPr>
        <w:t xml:space="preserve"> z</w:t>
      </w:r>
      <w:r w:rsidR="008B35E8">
        <w:rPr>
          <w:noProof/>
        </w:rPr>
        <w:t> </w:t>
      </w:r>
      <w:r w:rsidR="008B35E8" w:rsidRPr="002866E5">
        <w:rPr>
          <w:noProof/>
        </w:rPr>
        <w:t>ele</w:t>
      </w:r>
      <w:r w:rsidRPr="002866E5">
        <w:rPr>
          <w:noProof/>
        </w:rPr>
        <w:t>mentami cyfrowymi oraz przedkładać je grupie współpracy NIS. Ponadto, uwzględniając wiedzę fachową ENISA, zgromadzone informacje</w:t>
      </w:r>
      <w:r w:rsidR="008B35E8" w:rsidRPr="002866E5">
        <w:rPr>
          <w:noProof/>
        </w:rPr>
        <w:t xml:space="preserve"> i</w:t>
      </w:r>
      <w:r w:rsidR="008B35E8">
        <w:rPr>
          <w:noProof/>
        </w:rPr>
        <w:t> </w:t>
      </w:r>
      <w:r w:rsidR="008B35E8" w:rsidRPr="002866E5">
        <w:rPr>
          <w:noProof/>
        </w:rPr>
        <w:t>ana</w:t>
      </w:r>
      <w:r w:rsidRPr="002866E5">
        <w:rPr>
          <w:noProof/>
        </w:rPr>
        <w:t>lizy zagrożeń, ENISA może wspierać proces wdrażania niniejszego rozporządzenia, proponując wspólne działania, które miałyby być prowadzone przez krajowe organy nadzoru rynku</w:t>
      </w:r>
      <w:r w:rsidR="008B35E8" w:rsidRPr="002866E5">
        <w:rPr>
          <w:noProof/>
        </w:rPr>
        <w:t xml:space="preserve"> w</w:t>
      </w:r>
      <w:r w:rsidR="008B35E8">
        <w:rPr>
          <w:noProof/>
        </w:rPr>
        <w:t> </w:t>
      </w:r>
      <w:r w:rsidR="008B35E8" w:rsidRPr="002866E5">
        <w:rPr>
          <w:noProof/>
        </w:rPr>
        <w:t>opa</w:t>
      </w:r>
      <w:r w:rsidRPr="002866E5">
        <w:rPr>
          <w:noProof/>
        </w:rPr>
        <w:t>rciu</w:t>
      </w:r>
      <w:r w:rsidR="008B35E8" w:rsidRPr="002866E5">
        <w:rPr>
          <w:noProof/>
        </w:rPr>
        <w:t xml:space="preserve"> o</w:t>
      </w:r>
      <w:r w:rsidR="008B35E8">
        <w:rPr>
          <w:noProof/>
        </w:rPr>
        <w:t> </w:t>
      </w:r>
      <w:r w:rsidR="008B35E8" w:rsidRPr="002866E5">
        <w:rPr>
          <w:noProof/>
        </w:rPr>
        <w:t>wsk</w:t>
      </w:r>
      <w:r w:rsidRPr="002866E5">
        <w:rPr>
          <w:noProof/>
        </w:rPr>
        <w:t>azania lub informacje dotyczące potencjalnej niezgodności</w:t>
      </w:r>
      <w:r w:rsidR="008B35E8" w:rsidRPr="002866E5">
        <w:rPr>
          <w:noProof/>
        </w:rPr>
        <w:t xml:space="preserve"> z</w:t>
      </w:r>
      <w:r w:rsidR="008B35E8">
        <w:rPr>
          <w:noProof/>
        </w:rPr>
        <w:t> </w:t>
      </w:r>
      <w:r w:rsidR="008B35E8" w:rsidRPr="002866E5">
        <w:rPr>
          <w:noProof/>
        </w:rPr>
        <w:t>nin</w:t>
      </w:r>
      <w:r w:rsidRPr="002866E5">
        <w:rPr>
          <w:noProof/>
        </w:rPr>
        <w:t>iejszym rozporządzeniem produktów</w:t>
      </w:r>
      <w:r w:rsidR="008B35E8" w:rsidRPr="002866E5">
        <w:rPr>
          <w:noProof/>
        </w:rPr>
        <w:t xml:space="preserve"> z</w:t>
      </w:r>
      <w:r w:rsidR="008B35E8">
        <w:rPr>
          <w:noProof/>
        </w:rPr>
        <w:t> </w:t>
      </w:r>
      <w:r w:rsidR="008B35E8" w:rsidRPr="002866E5">
        <w:rPr>
          <w:noProof/>
        </w:rPr>
        <w:t>ele</w:t>
      </w:r>
      <w:r w:rsidRPr="002866E5">
        <w:rPr>
          <w:noProof/>
        </w:rPr>
        <w:t>mentami cyfrowymi</w:t>
      </w:r>
      <w:r w:rsidR="008B35E8" w:rsidRPr="002866E5">
        <w:rPr>
          <w:noProof/>
        </w:rPr>
        <w:t xml:space="preserve"> w</w:t>
      </w:r>
      <w:r w:rsidR="008B35E8">
        <w:rPr>
          <w:noProof/>
        </w:rPr>
        <w:t> </w:t>
      </w:r>
      <w:r w:rsidR="008B35E8" w:rsidRPr="002866E5">
        <w:rPr>
          <w:noProof/>
        </w:rPr>
        <w:t>sze</w:t>
      </w:r>
      <w:r w:rsidRPr="002866E5">
        <w:rPr>
          <w:noProof/>
        </w:rPr>
        <w:t>regu państw członkowskich, lub określając kategorie produktów,</w:t>
      </w:r>
      <w:r w:rsidR="008B35E8" w:rsidRPr="002866E5">
        <w:rPr>
          <w:noProof/>
        </w:rPr>
        <w:t xml:space="preserve"> w</w:t>
      </w:r>
      <w:r w:rsidR="008B35E8">
        <w:rPr>
          <w:noProof/>
        </w:rPr>
        <w:t> </w:t>
      </w:r>
      <w:r w:rsidR="008B35E8" w:rsidRPr="002866E5">
        <w:rPr>
          <w:noProof/>
        </w:rPr>
        <w:t>odn</w:t>
      </w:r>
      <w:r w:rsidRPr="002866E5">
        <w:rPr>
          <w:noProof/>
        </w:rPr>
        <w:t>iesieniu do których można zorganizować równoczesne skoordynowane działania kontrolne</w:t>
      </w:r>
      <w:r w:rsidR="008B35E8" w:rsidRPr="002866E5">
        <w:rPr>
          <w:noProof/>
        </w:rPr>
        <w:t>. W</w:t>
      </w:r>
      <w:r w:rsidR="008B35E8">
        <w:rPr>
          <w:noProof/>
        </w:rPr>
        <w:t> </w:t>
      </w:r>
      <w:r w:rsidR="008B35E8" w:rsidRPr="002866E5">
        <w:rPr>
          <w:noProof/>
        </w:rPr>
        <w:t>wyj</w:t>
      </w:r>
      <w:r w:rsidRPr="002866E5">
        <w:rPr>
          <w:noProof/>
        </w:rPr>
        <w:t>ątkowych okolicznościach Komisja może zwrócić się do ENISA</w:t>
      </w:r>
      <w:r w:rsidR="008B35E8" w:rsidRPr="002866E5">
        <w:rPr>
          <w:noProof/>
        </w:rPr>
        <w:t xml:space="preserve"> o</w:t>
      </w:r>
      <w:r w:rsidR="008B35E8">
        <w:rPr>
          <w:noProof/>
        </w:rPr>
        <w:t> </w:t>
      </w:r>
      <w:r w:rsidR="008B35E8" w:rsidRPr="002866E5">
        <w:rPr>
          <w:noProof/>
        </w:rPr>
        <w:t>prz</w:t>
      </w:r>
      <w:r w:rsidRPr="002866E5">
        <w:rPr>
          <w:noProof/>
        </w:rPr>
        <w:t>eprowadzenie oceny określonych produktów</w:t>
      </w:r>
      <w:r w:rsidR="008B35E8" w:rsidRPr="002866E5">
        <w:rPr>
          <w:noProof/>
        </w:rPr>
        <w:t xml:space="preserve"> z</w:t>
      </w:r>
      <w:r w:rsidR="008B35E8">
        <w:rPr>
          <w:noProof/>
        </w:rPr>
        <w:t> </w:t>
      </w:r>
      <w:r w:rsidR="008B35E8" w:rsidRPr="002866E5">
        <w:rPr>
          <w:noProof/>
        </w:rPr>
        <w:t>ele</w:t>
      </w:r>
      <w:r w:rsidRPr="002866E5">
        <w:rPr>
          <w:noProof/>
        </w:rPr>
        <w:t>mentami cyfrowymi, które stwarzają istotne ryzyko</w:t>
      </w:r>
      <w:r w:rsidR="008B35E8" w:rsidRPr="002866E5">
        <w:rPr>
          <w:noProof/>
        </w:rPr>
        <w:t xml:space="preserve"> w</w:t>
      </w:r>
      <w:r w:rsidR="008B35E8">
        <w:rPr>
          <w:noProof/>
        </w:rPr>
        <w:t> </w:t>
      </w:r>
      <w:r w:rsidR="008B35E8" w:rsidRPr="002866E5">
        <w:rPr>
          <w:noProof/>
        </w:rPr>
        <w:t>cyb</w:t>
      </w:r>
      <w:r w:rsidRPr="002866E5">
        <w:rPr>
          <w:noProof/>
        </w:rPr>
        <w:t>erprzestrzeni</w:t>
      </w:r>
      <w:r w:rsidR="008B35E8" w:rsidRPr="002866E5">
        <w:rPr>
          <w:noProof/>
        </w:rPr>
        <w:t xml:space="preserve"> i</w:t>
      </w:r>
      <w:r w:rsidR="008B35E8">
        <w:rPr>
          <w:noProof/>
        </w:rPr>
        <w:t> </w:t>
      </w:r>
      <w:r w:rsidR="008B35E8" w:rsidRPr="002866E5">
        <w:rPr>
          <w:noProof/>
        </w:rPr>
        <w:t>w</w:t>
      </w:r>
      <w:r w:rsidR="008B35E8">
        <w:rPr>
          <w:noProof/>
        </w:rPr>
        <w:t> </w:t>
      </w:r>
      <w:r w:rsidR="008B35E8" w:rsidRPr="002866E5">
        <w:rPr>
          <w:noProof/>
        </w:rPr>
        <w:t>prz</w:t>
      </w:r>
      <w:r w:rsidRPr="002866E5">
        <w:rPr>
          <w:noProof/>
        </w:rPr>
        <w:t>ypadku których wymagana jest natychmiastowa interwencja</w:t>
      </w:r>
      <w:r w:rsidR="008B35E8" w:rsidRPr="002866E5">
        <w:rPr>
          <w:noProof/>
        </w:rPr>
        <w:t xml:space="preserve"> w</w:t>
      </w:r>
      <w:r w:rsidR="008B35E8">
        <w:rPr>
          <w:noProof/>
        </w:rPr>
        <w:t> </w:t>
      </w:r>
      <w:r w:rsidR="008B35E8" w:rsidRPr="002866E5">
        <w:rPr>
          <w:noProof/>
        </w:rPr>
        <w:t>cel</w:t>
      </w:r>
      <w:r w:rsidRPr="002866E5">
        <w:rPr>
          <w:noProof/>
        </w:rPr>
        <w:t xml:space="preserve">u utrzymania prawidłowego funkcjonowania rynku wewnętrznego. </w:t>
      </w:r>
    </w:p>
    <w:p w14:paraId="67ED8968" w14:textId="21F8791F" w:rsidR="001E2C3A" w:rsidRPr="002866E5" w:rsidRDefault="001E2C3A" w:rsidP="00881943">
      <w:pPr>
        <w:pBdr>
          <w:top w:val="single" w:sz="4" w:space="1" w:color="auto"/>
          <w:left w:val="single" w:sz="4" w:space="4" w:color="auto"/>
          <w:bottom w:val="single" w:sz="4" w:space="1" w:color="auto"/>
          <w:right w:val="single" w:sz="4" w:space="4" w:color="auto"/>
        </w:pBdr>
        <w:rPr>
          <w:noProof/>
        </w:rPr>
      </w:pPr>
      <w:r w:rsidRPr="002866E5">
        <w:rPr>
          <w:noProof/>
        </w:rPr>
        <w:t>Szacuje się, że wszystkie te zadania będą wymagały około 4,5 EPC</w:t>
      </w:r>
      <w:r w:rsidR="008B35E8" w:rsidRPr="002866E5">
        <w:rPr>
          <w:noProof/>
        </w:rPr>
        <w:t xml:space="preserve"> z</w:t>
      </w:r>
      <w:r w:rsidR="008B35E8">
        <w:rPr>
          <w:noProof/>
        </w:rPr>
        <w:t> </w:t>
      </w:r>
      <w:r w:rsidR="008B35E8" w:rsidRPr="002866E5">
        <w:rPr>
          <w:noProof/>
        </w:rPr>
        <w:t>ist</w:t>
      </w:r>
      <w:r w:rsidRPr="002866E5">
        <w:rPr>
          <w:noProof/>
        </w:rPr>
        <w:t>niejących zasobów ENISA, biorąc pod uwagę wiedzę fachową</w:t>
      </w:r>
      <w:r w:rsidR="008B35E8" w:rsidRPr="002866E5">
        <w:rPr>
          <w:noProof/>
        </w:rPr>
        <w:t xml:space="preserve"> i</w:t>
      </w:r>
      <w:r w:rsidR="008B35E8">
        <w:rPr>
          <w:noProof/>
        </w:rPr>
        <w:t> </w:t>
      </w:r>
      <w:r w:rsidR="008B35E8" w:rsidRPr="002866E5">
        <w:rPr>
          <w:noProof/>
        </w:rPr>
        <w:t>pra</w:t>
      </w:r>
      <w:r w:rsidRPr="002866E5">
        <w:rPr>
          <w:noProof/>
        </w:rPr>
        <w:t>ce przygotowawcze wykonywane obecnie przez ENISA, między innymi</w:t>
      </w:r>
      <w:r w:rsidR="008B35E8" w:rsidRPr="002866E5">
        <w:rPr>
          <w:noProof/>
        </w:rPr>
        <w:t xml:space="preserve"> w</w:t>
      </w:r>
      <w:r w:rsidR="008B35E8">
        <w:rPr>
          <w:noProof/>
        </w:rPr>
        <w:t> </w:t>
      </w:r>
      <w:r w:rsidR="008B35E8" w:rsidRPr="002866E5">
        <w:rPr>
          <w:noProof/>
        </w:rPr>
        <w:t>cel</w:t>
      </w:r>
      <w:r w:rsidRPr="002866E5">
        <w:rPr>
          <w:noProof/>
        </w:rPr>
        <w:t>u wsparcia zbliżającego się wdrożenia [dyrektywy XXX/XXXX (NIS 2)], na potrzeby którego uzupełniono zasoby ENISA.</w:t>
      </w:r>
    </w:p>
    <w:p w14:paraId="67ED8969" w14:textId="77777777" w:rsidR="0037165D" w:rsidRPr="002866E5" w:rsidRDefault="0037165D" w:rsidP="00881943">
      <w:pPr>
        <w:pBdr>
          <w:top w:val="single" w:sz="4" w:space="1" w:color="auto"/>
          <w:left w:val="single" w:sz="4" w:space="4" w:color="auto"/>
          <w:bottom w:val="single" w:sz="4" w:space="1" w:color="auto"/>
          <w:right w:val="single" w:sz="4" w:space="4" w:color="auto"/>
        </w:pBdr>
        <w:rPr>
          <w:noProof/>
        </w:rPr>
      </w:pPr>
    </w:p>
    <w:p w14:paraId="67ED896A" w14:textId="77777777" w:rsidR="0037165D" w:rsidRPr="002866E5" w:rsidRDefault="0037165D" w:rsidP="00881943">
      <w:pPr>
        <w:rPr>
          <w:noProof/>
        </w:rPr>
        <w:sectPr w:rsidR="0037165D" w:rsidRPr="002866E5" w:rsidSect="00C00460">
          <w:pgSz w:w="11907" w:h="16840" w:code="9"/>
          <w:pgMar w:top="1134" w:right="1418" w:bottom="1134" w:left="1418" w:header="709" w:footer="709" w:gutter="0"/>
          <w:cols w:space="708"/>
          <w:docGrid w:linePitch="360"/>
        </w:sectPr>
      </w:pPr>
    </w:p>
    <w:p w14:paraId="67ED896B" w14:textId="2FDA9214" w:rsidR="0037165D" w:rsidRPr="002866E5" w:rsidRDefault="00B4087C" w:rsidP="00B4087C">
      <w:pPr>
        <w:pStyle w:val="ManualHeading1"/>
        <w:rPr>
          <w:bCs/>
          <w:noProof/>
          <w:szCs w:val="24"/>
        </w:rPr>
      </w:pPr>
      <w:r w:rsidRPr="00B4087C">
        <w:t>2.</w:t>
      </w:r>
      <w:r w:rsidRPr="00B4087C">
        <w:tab/>
      </w:r>
      <w:r w:rsidR="0037165D" w:rsidRPr="002866E5">
        <w:rPr>
          <w:noProof/>
        </w:rPr>
        <w:t xml:space="preserve">ŚRODKI ZARZĄDZANIA </w:t>
      </w:r>
    </w:p>
    <w:p w14:paraId="67ED896C" w14:textId="7BDEDD3E" w:rsidR="0037165D" w:rsidRPr="002866E5" w:rsidRDefault="00B4087C" w:rsidP="00B4087C">
      <w:pPr>
        <w:pStyle w:val="ManualHeading2"/>
        <w:rPr>
          <w:noProof/>
        </w:rPr>
      </w:pPr>
      <w:r w:rsidRPr="00B4087C">
        <w:t>2.1.</w:t>
      </w:r>
      <w:r w:rsidRPr="00B4087C">
        <w:tab/>
      </w:r>
      <w:r w:rsidR="0037165D" w:rsidRPr="002866E5">
        <w:rPr>
          <w:noProof/>
        </w:rPr>
        <w:t>Zasady nadzoru</w:t>
      </w:r>
      <w:r w:rsidR="008B35E8" w:rsidRPr="002866E5">
        <w:rPr>
          <w:noProof/>
        </w:rPr>
        <w:t xml:space="preserve"> i</w:t>
      </w:r>
      <w:r w:rsidR="008B35E8">
        <w:rPr>
          <w:noProof/>
        </w:rPr>
        <w:t> </w:t>
      </w:r>
      <w:r w:rsidR="008B35E8" w:rsidRPr="002866E5">
        <w:rPr>
          <w:noProof/>
        </w:rPr>
        <w:t>spr</w:t>
      </w:r>
      <w:r w:rsidR="0037165D" w:rsidRPr="002866E5">
        <w:rPr>
          <w:noProof/>
        </w:rPr>
        <w:t xml:space="preserve">awozdawczości </w:t>
      </w:r>
    </w:p>
    <w:p w14:paraId="67ED896D" w14:textId="15443E87" w:rsidR="0037165D" w:rsidRPr="002866E5" w:rsidRDefault="0037165D" w:rsidP="00881943">
      <w:pPr>
        <w:pStyle w:val="Text1"/>
        <w:rPr>
          <w:i/>
          <w:noProof/>
          <w:sz w:val="20"/>
        </w:rPr>
      </w:pPr>
      <w:r w:rsidRPr="002866E5">
        <w:rPr>
          <w:i/>
          <w:noProof/>
          <w:sz w:val="20"/>
        </w:rPr>
        <w:t>Należy określić częstotliwość</w:t>
      </w:r>
      <w:r w:rsidR="008B35E8" w:rsidRPr="002866E5">
        <w:rPr>
          <w:i/>
          <w:noProof/>
          <w:sz w:val="20"/>
        </w:rPr>
        <w:t xml:space="preserve"> i</w:t>
      </w:r>
      <w:r w:rsidR="008B35E8">
        <w:rPr>
          <w:i/>
          <w:noProof/>
          <w:sz w:val="20"/>
        </w:rPr>
        <w:t> </w:t>
      </w:r>
      <w:r w:rsidR="008B35E8" w:rsidRPr="002866E5">
        <w:rPr>
          <w:i/>
          <w:noProof/>
          <w:sz w:val="20"/>
        </w:rPr>
        <w:t>war</w:t>
      </w:r>
      <w:r w:rsidRPr="002866E5">
        <w:rPr>
          <w:i/>
          <w:noProof/>
          <w:sz w:val="20"/>
        </w:rPr>
        <w:t>unki.</w:t>
      </w:r>
    </w:p>
    <w:p w14:paraId="67ED896E" w14:textId="091D1E52" w:rsidR="0037165D" w:rsidRPr="002866E5" w:rsidRDefault="007111F4" w:rsidP="00881943">
      <w:pPr>
        <w:pStyle w:val="Text1"/>
        <w:pBdr>
          <w:top w:val="single" w:sz="4" w:space="1" w:color="auto"/>
          <w:left w:val="single" w:sz="4" w:space="4" w:color="auto"/>
          <w:bottom w:val="single" w:sz="4" w:space="1" w:color="auto"/>
          <w:right w:val="single" w:sz="4" w:space="4" w:color="auto"/>
        </w:pBdr>
        <w:rPr>
          <w:noProof/>
        </w:rPr>
      </w:pPr>
      <w:r w:rsidRPr="002866E5">
        <w:rPr>
          <w:noProof/>
        </w:rPr>
        <w:t>Do 36 miesięcy od daty rozpoczęcia stosowania niniejszego rozporządzenia,</w:t>
      </w:r>
      <w:r w:rsidR="008B35E8" w:rsidRPr="002866E5">
        <w:rPr>
          <w:noProof/>
        </w:rPr>
        <w:t xml:space="preserve"> a</w:t>
      </w:r>
      <w:r w:rsidR="008B35E8">
        <w:rPr>
          <w:noProof/>
        </w:rPr>
        <w:t> </w:t>
      </w:r>
      <w:r w:rsidR="008B35E8" w:rsidRPr="002866E5">
        <w:rPr>
          <w:noProof/>
        </w:rPr>
        <w:t>nas</w:t>
      </w:r>
      <w:r w:rsidRPr="002866E5">
        <w:rPr>
          <w:noProof/>
        </w:rPr>
        <w:t>tępnie co cztery lata Komisja przedłoży Parlamentowi Europejskiemu</w:t>
      </w:r>
      <w:r w:rsidR="008B35E8" w:rsidRPr="002866E5">
        <w:rPr>
          <w:noProof/>
        </w:rPr>
        <w:t xml:space="preserve"> i</w:t>
      </w:r>
      <w:r w:rsidR="008B35E8">
        <w:rPr>
          <w:noProof/>
        </w:rPr>
        <w:t> </w:t>
      </w:r>
      <w:r w:rsidR="008B35E8" w:rsidRPr="002866E5">
        <w:rPr>
          <w:noProof/>
        </w:rPr>
        <w:t>Rad</w:t>
      </w:r>
      <w:r w:rsidRPr="002866E5">
        <w:rPr>
          <w:noProof/>
        </w:rPr>
        <w:t>zie sprawozdanie</w:t>
      </w:r>
      <w:r w:rsidR="008B35E8" w:rsidRPr="002866E5">
        <w:rPr>
          <w:noProof/>
        </w:rPr>
        <w:t xml:space="preserve"> z</w:t>
      </w:r>
      <w:r w:rsidR="008B35E8">
        <w:rPr>
          <w:noProof/>
        </w:rPr>
        <w:t> </w:t>
      </w:r>
      <w:r w:rsidR="008B35E8" w:rsidRPr="002866E5">
        <w:rPr>
          <w:noProof/>
        </w:rPr>
        <w:t>oce</w:t>
      </w:r>
      <w:r w:rsidRPr="002866E5">
        <w:rPr>
          <w:noProof/>
        </w:rPr>
        <w:t>ny</w:t>
      </w:r>
      <w:r w:rsidR="008B35E8" w:rsidRPr="002866E5">
        <w:rPr>
          <w:noProof/>
        </w:rPr>
        <w:t xml:space="preserve"> i</w:t>
      </w:r>
      <w:r w:rsidR="008B35E8">
        <w:rPr>
          <w:noProof/>
        </w:rPr>
        <w:t> </w:t>
      </w:r>
      <w:r w:rsidR="008B35E8" w:rsidRPr="002866E5">
        <w:rPr>
          <w:noProof/>
        </w:rPr>
        <w:t>prz</w:t>
      </w:r>
      <w:r w:rsidRPr="002866E5">
        <w:rPr>
          <w:noProof/>
        </w:rPr>
        <w:t>eglądu. Sprawozdania te są podawane do wiadomości publicznej.</w:t>
      </w:r>
    </w:p>
    <w:p w14:paraId="67ED896F" w14:textId="7C6CFACF" w:rsidR="0037165D" w:rsidRPr="002866E5" w:rsidRDefault="00B4087C" w:rsidP="00B4087C">
      <w:pPr>
        <w:pStyle w:val="ManualHeading2"/>
        <w:rPr>
          <w:bCs/>
          <w:noProof/>
          <w:szCs w:val="24"/>
        </w:rPr>
      </w:pPr>
      <w:r w:rsidRPr="00B4087C">
        <w:t>2.2.</w:t>
      </w:r>
      <w:r w:rsidRPr="00B4087C">
        <w:tab/>
      </w:r>
      <w:r w:rsidR="0037165D" w:rsidRPr="002866E5">
        <w:rPr>
          <w:noProof/>
        </w:rPr>
        <w:t>System zarządzania</w:t>
      </w:r>
      <w:r w:rsidR="008B35E8" w:rsidRPr="002866E5">
        <w:rPr>
          <w:noProof/>
        </w:rPr>
        <w:t xml:space="preserve"> i</w:t>
      </w:r>
      <w:r w:rsidR="008B35E8">
        <w:rPr>
          <w:noProof/>
        </w:rPr>
        <w:t> </w:t>
      </w:r>
      <w:r w:rsidR="008B35E8" w:rsidRPr="002866E5">
        <w:rPr>
          <w:noProof/>
        </w:rPr>
        <w:t>kon</w:t>
      </w:r>
      <w:r w:rsidR="0037165D" w:rsidRPr="002866E5">
        <w:rPr>
          <w:noProof/>
        </w:rPr>
        <w:t xml:space="preserve">troli </w:t>
      </w:r>
    </w:p>
    <w:p w14:paraId="67ED8970" w14:textId="12F281DF" w:rsidR="0037165D" w:rsidRPr="002866E5" w:rsidRDefault="00B4087C" w:rsidP="00B4087C">
      <w:pPr>
        <w:pStyle w:val="ManualHeading3"/>
        <w:rPr>
          <w:noProof/>
        </w:rPr>
      </w:pPr>
      <w:r w:rsidRPr="00B4087C">
        <w:t>2.2.1.</w:t>
      </w:r>
      <w:r w:rsidRPr="00B4087C">
        <w:tab/>
      </w:r>
      <w:r w:rsidR="0037165D" w:rsidRPr="002866E5">
        <w:rPr>
          <w:noProof/>
        </w:rPr>
        <w:t>Uzasadnienie dla systemu zarządzania, mechanizmów finansowania wykonania, warunków płatności</w:t>
      </w:r>
      <w:r w:rsidR="008B35E8" w:rsidRPr="002866E5">
        <w:rPr>
          <w:noProof/>
        </w:rPr>
        <w:t xml:space="preserve"> i</w:t>
      </w:r>
      <w:r w:rsidR="008B35E8">
        <w:rPr>
          <w:noProof/>
        </w:rPr>
        <w:t> </w:t>
      </w:r>
      <w:r w:rsidR="008B35E8" w:rsidRPr="002866E5">
        <w:rPr>
          <w:noProof/>
        </w:rPr>
        <w:t>pro</w:t>
      </w:r>
      <w:r w:rsidR="0037165D" w:rsidRPr="002866E5">
        <w:rPr>
          <w:noProof/>
        </w:rPr>
        <w:t>ponowanej strategii kontroli</w:t>
      </w:r>
    </w:p>
    <w:p w14:paraId="67ED8971" w14:textId="5AB263E5" w:rsidR="009F5778" w:rsidRPr="002866E5" w:rsidRDefault="00E853B6" w:rsidP="00B477E2">
      <w:pPr>
        <w:pStyle w:val="Text1"/>
        <w:pBdr>
          <w:top w:val="single" w:sz="4" w:space="1" w:color="auto"/>
          <w:left w:val="single" w:sz="4" w:space="4" w:color="auto"/>
          <w:bottom w:val="single" w:sz="4" w:space="1" w:color="auto"/>
          <w:right w:val="single" w:sz="4" w:space="4" w:color="auto"/>
        </w:pBdr>
        <w:rPr>
          <w:noProof/>
        </w:rPr>
      </w:pPr>
      <w:r w:rsidRPr="002866E5">
        <w:rPr>
          <w:noProof/>
        </w:rPr>
        <w:t>W niniejszym rozporządzeniu ustanowiono nową politykę dotyczącą zharmonizowanych wymogów cyberbezpieczeństwa</w:t>
      </w:r>
      <w:r w:rsidR="008B35E8" w:rsidRPr="002866E5">
        <w:rPr>
          <w:noProof/>
        </w:rPr>
        <w:t xml:space="preserve"> w</w:t>
      </w:r>
      <w:r w:rsidR="008B35E8">
        <w:rPr>
          <w:noProof/>
        </w:rPr>
        <w:t> </w:t>
      </w:r>
      <w:r w:rsidR="008B35E8" w:rsidRPr="002866E5">
        <w:rPr>
          <w:noProof/>
        </w:rPr>
        <w:t>odn</w:t>
      </w:r>
      <w:r w:rsidRPr="002866E5">
        <w:rPr>
          <w:noProof/>
        </w:rPr>
        <w:t>iesieniu do produktów</w:t>
      </w:r>
      <w:r w:rsidR="008B35E8" w:rsidRPr="002866E5">
        <w:rPr>
          <w:noProof/>
        </w:rPr>
        <w:t xml:space="preserve"> z</w:t>
      </w:r>
      <w:r w:rsidR="008B35E8">
        <w:rPr>
          <w:noProof/>
        </w:rPr>
        <w:t> </w:t>
      </w:r>
      <w:r w:rsidR="008B35E8" w:rsidRPr="002866E5">
        <w:rPr>
          <w:noProof/>
        </w:rPr>
        <w:t>ele</w:t>
      </w:r>
      <w:r w:rsidRPr="002866E5">
        <w:rPr>
          <w:noProof/>
        </w:rPr>
        <w:t>mentami cyfrowymi wprowadzanych do obrotu na rynku wewnętrznym</w:t>
      </w:r>
      <w:r w:rsidR="008B35E8" w:rsidRPr="002866E5">
        <w:rPr>
          <w:noProof/>
        </w:rPr>
        <w:t xml:space="preserve"> w</w:t>
      </w:r>
      <w:r w:rsidR="008B35E8">
        <w:rPr>
          <w:noProof/>
        </w:rPr>
        <w:t> </w:t>
      </w:r>
      <w:r w:rsidR="008B35E8" w:rsidRPr="002866E5">
        <w:rPr>
          <w:noProof/>
        </w:rPr>
        <w:t>cał</w:t>
      </w:r>
      <w:r w:rsidRPr="002866E5">
        <w:rPr>
          <w:noProof/>
        </w:rPr>
        <w:t>ym ich cyklu życia.</w:t>
      </w:r>
      <w:r w:rsidRPr="002866E5">
        <w:rPr>
          <w:noProof/>
        </w:rPr>
        <w:tab/>
        <w:t>Po przyjęciu aktu prawnego Komisja zwróci się do europejskich organów normalizacyjnych</w:t>
      </w:r>
      <w:r w:rsidR="008B35E8" w:rsidRPr="002866E5">
        <w:rPr>
          <w:noProof/>
        </w:rPr>
        <w:t xml:space="preserve"> o</w:t>
      </w:r>
      <w:r w:rsidR="008B35E8">
        <w:rPr>
          <w:noProof/>
        </w:rPr>
        <w:t> </w:t>
      </w:r>
      <w:r w:rsidR="008B35E8" w:rsidRPr="002866E5">
        <w:rPr>
          <w:noProof/>
        </w:rPr>
        <w:t>opr</w:t>
      </w:r>
      <w:r w:rsidRPr="002866E5">
        <w:rPr>
          <w:noProof/>
        </w:rPr>
        <w:t xml:space="preserve">acowanie norm. </w:t>
      </w:r>
    </w:p>
    <w:p w14:paraId="67ED8972" w14:textId="77777777" w:rsidR="003C0A9A" w:rsidRPr="002866E5" w:rsidRDefault="009F5778" w:rsidP="00E853B6">
      <w:pPr>
        <w:pStyle w:val="Text1"/>
        <w:pBdr>
          <w:top w:val="single" w:sz="4" w:space="1" w:color="auto"/>
          <w:left w:val="single" w:sz="4" w:space="4" w:color="auto"/>
          <w:bottom w:val="single" w:sz="4" w:space="1" w:color="auto"/>
          <w:right w:val="single" w:sz="4" w:space="4" w:color="auto"/>
        </w:pBdr>
        <w:rPr>
          <w:noProof/>
          <w:sz w:val="20"/>
        </w:rPr>
      </w:pPr>
      <w:r w:rsidRPr="002866E5">
        <w:rPr>
          <w:noProof/>
        </w:rPr>
        <w:t>Konieczne jest zapewnienie służbom Komisji odpowiednich zasobów, aby mogły sprostać tym nowym zadaniom. Szacuje się, że egzekwowanie nowego rozporządzenia będzie wymagało 7 EPC (w tym jednego SNE) do realizacji następujących zadań:</w:t>
      </w:r>
      <w:r w:rsidRPr="002866E5">
        <w:rPr>
          <w:noProof/>
          <w:sz w:val="20"/>
        </w:rPr>
        <w:t xml:space="preserve"> </w:t>
      </w:r>
    </w:p>
    <w:p w14:paraId="67ED8973" w14:textId="71662FFC" w:rsidR="00E853B6" w:rsidRPr="002866E5" w:rsidRDefault="003C0A9A" w:rsidP="00171C49">
      <w:pPr>
        <w:pStyle w:val="Tiret1"/>
        <w:numPr>
          <w:ilvl w:val="0"/>
          <w:numId w:val="61"/>
        </w:numPr>
        <w:rPr>
          <w:noProof/>
        </w:rPr>
      </w:pPr>
      <w:r w:rsidRPr="002866E5">
        <w:rPr>
          <w:noProof/>
        </w:rPr>
        <w:t>opracowanie zlecenia normalizacji lub wspólnych specyfikacji za pośrednictwem aktów wykonawczych</w:t>
      </w:r>
      <w:r w:rsidR="008B35E8" w:rsidRPr="002866E5">
        <w:rPr>
          <w:noProof/>
        </w:rPr>
        <w:t xml:space="preserve"> w</w:t>
      </w:r>
      <w:r w:rsidR="008B35E8">
        <w:rPr>
          <w:noProof/>
        </w:rPr>
        <w:t> </w:t>
      </w:r>
      <w:r w:rsidR="008B35E8" w:rsidRPr="002866E5">
        <w:rPr>
          <w:noProof/>
        </w:rPr>
        <w:t>prz</w:t>
      </w:r>
      <w:r w:rsidRPr="002866E5">
        <w:rPr>
          <w:noProof/>
        </w:rPr>
        <w:t>ypadku braku skutecznego procesu normalizacji;</w:t>
      </w:r>
    </w:p>
    <w:p w14:paraId="67ED8974" w14:textId="2B06BFF5" w:rsidR="003C0A9A" w:rsidRPr="002866E5" w:rsidRDefault="003C0A9A" w:rsidP="0027065F">
      <w:pPr>
        <w:pStyle w:val="Tiret1"/>
        <w:rPr>
          <w:noProof/>
        </w:rPr>
      </w:pPr>
      <w:r w:rsidRPr="002866E5">
        <w:rPr>
          <w:noProof/>
        </w:rPr>
        <w:t>opracowanie aktu delegowanego [w terminie 12 miesięcy od wejścia</w:t>
      </w:r>
      <w:r w:rsidR="008B35E8" w:rsidRPr="002866E5">
        <w:rPr>
          <w:noProof/>
        </w:rPr>
        <w:t xml:space="preserve"> w</w:t>
      </w:r>
      <w:r w:rsidR="008B35E8">
        <w:rPr>
          <w:noProof/>
        </w:rPr>
        <w:t> </w:t>
      </w:r>
      <w:r w:rsidR="008B35E8" w:rsidRPr="002866E5">
        <w:rPr>
          <w:noProof/>
        </w:rPr>
        <w:t>życ</w:t>
      </w:r>
      <w:r w:rsidRPr="002866E5">
        <w:rPr>
          <w:noProof/>
        </w:rPr>
        <w:t>ie niniejszego rozporządzenia] zawierającego definicje produktów krytycznych</w:t>
      </w:r>
      <w:r w:rsidR="008B35E8" w:rsidRPr="002866E5">
        <w:rPr>
          <w:noProof/>
        </w:rPr>
        <w:t xml:space="preserve"> z</w:t>
      </w:r>
      <w:r w:rsidR="008B35E8">
        <w:rPr>
          <w:noProof/>
        </w:rPr>
        <w:t> </w:t>
      </w:r>
      <w:r w:rsidR="008B35E8" w:rsidRPr="002866E5">
        <w:rPr>
          <w:noProof/>
        </w:rPr>
        <w:t>ele</w:t>
      </w:r>
      <w:r w:rsidRPr="002866E5">
        <w:rPr>
          <w:noProof/>
        </w:rPr>
        <w:t>mentami cyfrowymi;</w:t>
      </w:r>
    </w:p>
    <w:p w14:paraId="67ED8975" w14:textId="7B03450C" w:rsidR="003C0A9A" w:rsidRPr="002866E5" w:rsidRDefault="003C0A9A" w:rsidP="0027065F">
      <w:pPr>
        <w:pStyle w:val="Tiret1"/>
        <w:rPr>
          <w:noProof/>
        </w:rPr>
      </w:pPr>
      <w:r w:rsidRPr="002866E5">
        <w:rPr>
          <w:noProof/>
        </w:rPr>
        <w:t>ewentualne opracowanie aktów delegowanych</w:t>
      </w:r>
      <w:r w:rsidR="008B35E8" w:rsidRPr="002866E5">
        <w:rPr>
          <w:noProof/>
        </w:rPr>
        <w:t xml:space="preserve"> w</w:t>
      </w:r>
      <w:r w:rsidR="008B35E8">
        <w:rPr>
          <w:noProof/>
        </w:rPr>
        <w:t> </w:t>
      </w:r>
      <w:r w:rsidR="008B35E8" w:rsidRPr="002866E5">
        <w:rPr>
          <w:noProof/>
        </w:rPr>
        <w:t>cel</w:t>
      </w:r>
      <w:r w:rsidRPr="002866E5">
        <w:rPr>
          <w:noProof/>
        </w:rPr>
        <w:t>u aktualizacji wykazu produktów krytycznych klasy I i II; określenie, czy konieczne jest ograniczenie lub wyłączenie</w:t>
      </w:r>
      <w:r w:rsidR="008B35E8" w:rsidRPr="002866E5">
        <w:rPr>
          <w:noProof/>
        </w:rPr>
        <w:t xml:space="preserve"> w</w:t>
      </w:r>
      <w:r w:rsidR="008B35E8">
        <w:rPr>
          <w:noProof/>
        </w:rPr>
        <w:t> </w:t>
      </w:r>
      <w:r w:rsidR="008B35E8" w:rsidRPr="002866E5">
        <w:rPr>
          <w:noProof/>
        </w:rPr>
        <w:t>odn</w:t>
      </w:r>
      <w:r w:rsidRPr="002866E5">
        <w:rPr>
          <w:noProof/>
        </w:rPr>
        <w:t>iesieniu do produktów</w:t>
      </w:r>
      <w:r w:rsidR="008B35E8" w:rsidRPr="002866E5">
        <w:rPr>
          <w:noProof/>
        </w:rPr>
        <w:t xml:space="preserve"> z</w:t>
      </w:r>
      <w:r w:rsidR="008B35E8">
        <w:rPr>
          <w:noProof/>
        </w:rPr>
        <w:t> </w:t>
      </w:r>
      <w:r w:rsidR="008B35E8" w:rsidRPr="002866E5">
        <w:rPr>
          <w:noProof/>
        </w:rPr>
        <w:t>ele</w:t>
      </w:r>
      <w:r w:rsidRPr="002866E5">
        <w:rPr>
          <w:noProof/>
        </w:rPr>
        <w:t>mentami cyfrowymi objętych innymi przepisami unijnymi określającymi wymogi zapewniające taki sam poziom ochrony jak niniejsze rozporządzenie; wprowadzenie obowiązku certyfikacji niektórych produktów wysoce krytycznych</w:t>
      </w:r>
      <w:r w:rsidR="008B35E8" w:rsidRPr="002866E5">
        <w:rPr>
          <w:noProof/>
        </w:rPr>
        <w:t xml:space="preserve"> z</w:t>
      </w:r>
      <w:r w:rsidR="008B35E8">
        <w:rPr>
          <w:noProof/>
        </w:rPr>
        <w:t> </w:t>
      </w:r>
      <w:r w:rsidR="008B35E8" w:rsidRPr="002866E5">
        <w:rPr>
          <w:noProof/>
        </w:rPr>
        <w:t>ele</w:t>
      </w:r>
      <w:r w:rsidRPr="002866E5">
        <w:rPr>
          <w:noProof/>
        </w:rPr>
        <w:t>mentami cyfrowymi</w:t>
      </w:r>
      <w:r w:rsidR="008B35E8" w:rsidRPr="002866E5">
        <w:rPr>
          <w:noProof/>
        </w:rPr>
        <w:t xml:space="preserve"> w</w:t>
      </w:r>
      <w:r w:rsidR="008B35E8">
        <w:rPr>
          <w:noProof/>
        </w:rPr>
        <w:t> </w:t>
      </w:r>
      <w:r w:rsidR="008B35E8" w:rsidRPr="002866E5">
        <w:rPr>
          <w:noProof/>
        </w:rPr>
        <w:t>opa</w:t>
      </w:r>
      <w:r w:rsidRPr="002866E5">
        <w:rPr>
          <w:noProof/>
        </w:rPr>
        <w:t>rciu</w:t>
      </w:r>
      <w:r w:rsidR="008B35E8" w:rsidRPr="002866E5">
        <w:rPr>
          <w:noProof/>
        </w:rPr>
        <w:t xml:space="preserve"> o</w:t>
      </w:r>
      <w:r w:rsidR="008B35E8">
        <w:rPr>
          <w:noProof/>
        </w:rPr>
        <w:t> </w:t>
      </w:r>
      <w:r w:rsidR="008B35E8" w:rsidRPr="002866E5">
        <w:rPr>
          <w:noProof/>
        </w:rPr>
        <w:t>kry</w:t>
      </w:r>
      <w:r w:rsidRPr="002866E5">
        <w:rPr>
          <w:noProof/>
        </w:rPr>
        <w:t>teria określone</w:t>
      </w:r>
      <w:r w:rsidR="008B35E8" w:rsidRPr="002866E5">
        <w:rPr>
          <w:noProof/>
        </w:rPr>
        <w:t xml:space="preserve"> w</w:t>
      </w:r>
      <w:r w:rsidR="008B35E8">
        <w:rPr>
          <w:noProof/>
        </w:rPr>
        <w:t> </w:t>
      </w:r>
      <w:r w:rsidR="008B35E8" w:rsidRPr="002866E5">
        <w:rPr>
          <w:noProof/>
        </w:rPr>
        <w:t>nin</w:t>
      </w:r>
      <w:r w:rsidRPr="002866E5">
        <w:rPr>
          <w:noProof/>
        </w:rPr>
        <w:t>iejszym rozporządzeniu; określenie minimalnego zakresu deklaracji zgodności UE oraz uzupełnienie elementów, które należy uwzględnić</w:t>
      </w:r>
      <w:r w:rsidR="008B35E8" w:rsidRPr="002866E5">
        <w:rPr>
          <w:noProof/>
        </w:rPr>
        <w:t xml:space="preserve"> w</w:t>
      </w:r>
      <w:r w:rsidR="008B35E8">
        <w:rPr>
          <w:noProof/>
        </w:rPr>
        <w:t> </w:t>
      </w:r>
      <w:r w:rsidR="008B35E8" w:rsidRPr="002866E5">
        <w:rPr>
          <w:noProof/>
        </w:rPr>
        <w:t>dok</w:t>
      </w:r>
      <w:r w:rsidRPr="002866E5">
        <w:rPr>
          <w:noProof/>
        </w:rPr>
        <w:t>umentacji technicznej;</w:t>
      </w:r>
    </w:p>
    <w:p w14:paraId="67ED8976" w14:textId="153881F0" w:rsidR="003C0A9A" w:rsidRPr="002866E5" w:rsidRDefault="003C0A9A" w:rsidP="0027065F">
      <w:pPr>
        <w:pStyle w:val="Tiret1"/>
        <w:rPr>
          <w:noProof/>
        </w:rPr>
      </w:pPr>
      <w:r w:rsidRPr="002866E5">
        <w:rPr>
          <w:noProof/>
        </w:rPr>
        <w:t>ewentualne opracowanie aktów wykonawczych</w:t>
      </w:r>
      <w:r w:rsidR="008B35E8" w:rsidRPr="002866E5">
        <w:rPr>
          <w:noProof/>
        </w:rPr>
        <w:t xml:space="preserve"> w</w:t>
      </w:r>
      <w:r w:rsidR="008B35E8">
        <w:rPr>
          <w:noProof/>
        </w:rPr>
        <w:t> </w:t>
      </w:r>
      <w:r w:rsidR="008B35E8" w:rsidRPr="002866E5">
        <w:rPr>
          <w:noProof/>
        </w:rPr>
        <w:t>zak</w:t>
      </w:r>
      <w:r w:rsidRPr="002866E5">
        <w:rPr>
          <w:noProof/>
        </w:rPr>
        <w:t>resie formatu lub elementów dotyczących obowiązków</w:t>
      </w:r>
      <w:r w:rsidR="008B35E8" w:rsidRPr="002866E5">
        <w:rPr>
          <w:noProof/>
        </w:rPr>
        <w:t xml:space="preserve"> w</w:t>
      </w:r>
      <w:r w:rsidR="008B35E8">
        <w:rPr>
          <w:noProof/>
        </w:rPr>
        <w:t> </w:t>
      </w:r>
      <w:r w:rsidR="008B35E8" w:rsidRPr="002866E5">
        <w:rPr>
          <w:noProof/>
        </w:rPr>
        <w:t>zak</w:t>
      </w:r>
      <w:r w:rsidRPr="002866E5">
        <w:rPr>
          <w:noProof/>
        </w:rPr>
        <w:t>resie zgłaszania incydentów, zestawienia podstawowych materiałów do produkcji oprogramowania, wspólnych specyfikacji lub umieszczania oznakowania CE;</w:t>
      </w:r>
    </w:p>
    <w:p w14:paraId="67ED8977" w14:textId="29432452" w:rsidR="003C0A9A" w:rsidRPr="002866E5" w:rsidRDefault="003C0A9A" w:rsidP="0027065F">
      <w:pPr>
        <w:pStyle w:val="Tiret1"/>
        <w:rPr>
          <w:noProof/>
        </w:rPr>
      </w:pPr>
      <w:r w:rsidRPr="002866E5">
        <w:rPr>
          <w:noProof/>
        </w:rPr>
        <w:t>ewentualne przygotowanie niezwłocznej interwencji</w:t>
      </w:r>
      <w:r w:rsidR="008B35E8" w:rsidRPr="002866E5">
        <w:rPr>
          <w:noProof/>
        </w:rPr>
        <w:t xml:space="preserve"> w</w:t>
      </w:r>
      <w:r w:rsidR="008B35E8">
        <w:rPr>
          <w:noProof/>
        </w:rPr>
        <w:t> </w:t>
      </w:r>
      <w:r w:rsidR="008B35E8" w:rsidRPr="002866E5">
        <w:rPr>
          <w:noProof/>
        </w:rPr>
        <w:t>cel</w:t>
      </w:r>
      <w:r w:rsidRPr="002866E5">
        <w:rPr>
          <w:noProof/>
        </w:rPr>
        <w:t>u wprowadzenia</w:t>
      </w:r>
      <w:r w:rsidR="008B35E8" w:rsidRPr="002866E5">
        <w:rPr>
          <w:noProof/>
        </w:rPr>
        <w:t xml:space="preserve"> w</w:t>
      </w:r>
      <w:r w:rsidR="008B35E8">
        <w:rPr>
          <w:noProof/>
        </w:rPr>
        <w:t> </w:t>
      </w:r>
      <w:r w:rsidR="008B35E8" w:rsidRPr="002866E5">
        <w:rPr>
          <w:noProof/>
        </w:rPr>
        <w:t>wyj</w:t>
      </w:r>
      <w:r w:rsidRPr="002866E5">
        <w:rPr>
          <w:noProof/>
        </w:rPr>
        <w:t>ątkowych okolicznościach środków naprawczych lub ograniczających</w:t>
      </w:r>
      <w:r w:rsidR="008B35E8" w:rsidRPr="002866E5">
        <w:rPr>
          <w:noProof/>
        </w:rPr>
        <w:t xml:space="preserve"> w</w:t>
      </w:r>
      <w:r w:rsidR="008B35E8">
        <w:rPr>
          <w:noProof/>
        </w:rPr>
        <w:t> </w:t>
      </w:r>
      <w:r w:rsidR="008B35E8" w:rsidRPr="002866E5">
        <w:rPr>
          <w:noProof/>
        </w:rPr>
        <w:t>cel</w:t>
      </w:r>
      <w:r w:rsidRPr="002866E5">
        <w:rPr>
          <w:noProof/>
        </w:rPr>
        <w:t>u utrzymania prawidłowego funkcjonowania rynku wewnętrznego,</w:t>
      </w:r>
      <w:r w:rsidR="008B35E8" w:rsidRPr="002866E5">
        <w:rPr>
          <w:noProof/>
        </w:rPr>
        <w:t xml:space="preserve"> w</w:t>
      </w:r>
      <w:r w:rsidR="008B35E8">
        <w:rPr>
          <w:noProof/>
        </w:rPr>
        <w:t> </w:t>
      </w:r>
      <w:r w:rsidR="008B35E8" w:rsidRPr="002866E5">
        <w:rPr>
          <w:noProof/>
        </w:rPr>
        <w:t>tym</w:t>
      </w:r>
      <w:r w:rsidRPr="002866E5">
        <w:rPr>
          <w:noProof/>
        </w:rPr>
        <w:t xml:space="preserve"> opracowanie aktu wykonawczego;</w:t>
      </w:r>
    </w:p>
    <w:p w14:paraId="67ED8978" w14:textId="4CA80465" w:rsidR="003C0A9A" w:rsidRPr="002866E5" w:rsidRDefault="003C0A9A" w:rsidP="0027065F">
      <w:pPr>
        <w:pStyle w:val="Tiret1"/>
        <w:rPr>
          <w:noProof/>
        </w:rPr>
      </w:pPr>
      <w:r w:rsidRPr="002866E5">
        <w:rPr>
          <w:noProof/>
        </w:rPr>
        <w:t>organizacja</w:t>
      </w:r>
      <w:r w:rsidR="008B35E8" w:rsidRPr="002866E5">
        <w:rPr>
          <w:noProof/>
        </w:rPr>
        <w:t xml:space="preserve"> i</w:t>
      </w:r>
      <w:r w:rsidR="008B35E8">
        <w:rPr>
          <w:noProof/>
        </w:rPr>
        <w:t> </w:t>
      </w:r>
      <w:r w:rsidR="008B35E8" w:rsidRPr="002866E5">
        <w:rPr>
          <w:noProof/>
        </w:rPr>
        <w:t>koo</w:t>
      </w:r>
      <w:r w:rsidRPr="002866E5">
        <w:rPr>
          <w:noProof/>
        </w:rPr>
        <w:t>rdynacja notyfikacji jednostek notyfikowanych przez państwa członkowskie oraz koordynacja jednostek notyfikowanych;</w:t>
      </w:r>
    </w:p>
    <w:p w14:paraId="67ED8979" w14:textId="77777777" w:rsidR="0037165D" w:rsidRPr="002866E5" w:rsidRDefault="003C0A9A" w:rsidP="0027065F">
      <w:pPr>
        <w:pStyle w:val="Tiret1"/>
        <w:rPr>
          <w:noProof/>
        </w:rPr>
      </w:pPr>
      <w:r w:rsidRPr="002866E5">
        <w:rPr>
          <w:noProof/>
        </w:rPr>
        <w:t>wspieranie koordynacji organów nadzoru rynku państw członkowskich.</w:t>
      </w:r>
    </w:p>
    <w:p w14:paraId="67ED897A" w14:textId="3060F70D" w:rsidR="0037165D" w:rsidRPr="002866E5" w:rsidRDefault="00B4087C" w:rsidP="00B4087C">
      <w:pPr>
        <w:pStyle w:val="ManualHeading3"/>
        <w:rPr>
          <w:bCs/>
          <w:noProof/>
          <w:szCs w:val="24"/>
        </w:rPr>
      </w:pPr>
      <w:r w:rsidRPr="00B4087C">
        <w:t>2.2.2.</w:t>
      </w:r>
      <w:r w:rsidRPr="00B4087C">
        <w:tab/>
      </w:r>
      <w:r w:rsidR="0037165D" w:rsidRPr="002866E5">
        <w:rPr>
          <w:noProof/>
        </w:rPr>
        <w:t>Informacje dotyczące zidentyfikowanego ryzyka</w:t>
      </w:r>
      <w:r w:rsidR="008B35E8" w:rsidRPr="002866E5">
        <w:rPr>
          <w:noProof/>
        </w:rPr>
        <w:t xml:space="preserve"> i</w:t>
      </w:r>
      <w:r w:rsidR="008B35E8">
        <w:rPr>
          <w:noProof/>
        </w:rPr>
        <w:t> </w:t>
      </w:r>
      <w:r w:rsidR="008B35E8" w:rsidRPr="002866E5">
        <w:rPr>
          <w:noProof/>
        </w:rPr>
        <w:t>sys</w:t>
      </w:r>
      <w:r w:rsidR="0037165D" w:rsidRPr="002866E5">
        <w:rPr>
          <w:noProof/>
        </w:rPr>
        <w:t>temów kontroli wewnętrznej ustanowionych</w:t>
      </w:r>
      <w:r w:rsidR="008B35E8" w:rsidRPr="002866E5">
        <w:rPr>
          <w:noProof/>
        </w:rPr>
        <w:t xml:space="preserve"> w</w:t>
      </w:r>
      <w:r w:rsidR="008B35E8">
        <w:rPr>
          <w:noProof/>
        </w:rPr>
        <w:t> </w:t>
      </w:r>
      <w:r w:rsidR="008B35E8" w:rsidRPr="002866E5">
        <w:rPr>
          <w:noProof/>
        </w:rPr>
        <w:t>cel</w:t>
      </w:r>
      <w:r w:rsidR="0037165D" w:rsidRPr="002866E5">
        <w:rPr>
          <w:noProof/>
        </w:rPr>
        <w:t>u jego ograniczenia</w:t>
      </w:r>
    </w:p>
    <w:p w14:paraId="67ED897B" w14:textId="48242A3B" w:rsidR="0037165D" w:rsidRPr="002866E5" w:rsidRDefault="004C6922" w:rsidP="00881943">
      <w:pPr>
        <w:pStyle w:val="Text1"/>
        <w:pBdr>
          <w:top w:val="single" w:sz="4" w:space="1" w:color="auto"/>
          <w:left w:val="single" w:sz="4" w:space="4" w:color="auto"/>
          <w:bottom w:val="single" w:sz="4" w:space="1" w:color="auto"/>
          <w:right w:val="single" w:sz="4" w:space="4" w:color="auto"/>
        </w:pBdr>
        <w:rPr>
          <w:noProof/>
        </w:rPr>
      </w:pPr>
      <w:r w:rsidRPr="002866E5">
        <w:rPr>
          <w:noProof/>
        </w:rPr>
        <w:t>W celu zapewnienia wymiany informacji między jednostkami notyfikowanymi</w:t>
      </w:r>
      <w:r w:rsidR="008B35E8" w:rsidRPr="002866E5">
        <w:rPr>
          <w:noProof/>
        </w:rPr>
        <w:t xml:space="preserve"> i</w:t>
      </w:r>
      <w:r w:rsidR="008B35E8">
        <w:rPr>
          <w:noProof/>
        </w:rPr>
        <w:t> </w:t>
      </w:r>
      <w:r w:rsidR="008B35E8" w:rsidRPr="002866E5">
        <w:rPr>
          <w:noProof/>
        </w:rPr>
        <w:t>org</w:t>
      </w:r>
      <w:r w:rsidRPr="002866E5">
        <w:rPr>
          <w:noProof/>
        </w:rPr>
        <w:t>anami nadzoru rynku oraz ich dobrej współpracy Komisja odpowiada za ich koordynację</w:t>
      </w:r>
      <w:r w:rsidR="008B35E8" w:rsidRPr="002866E5">
        <w:rPr>
          <w:noProof/>
        </w:rPr>
        <w:t>. W</w:t>
      </w:r>
      <w:r w:rsidR="008B35E8">
        <w:rPr>
          <w:noProof/>
        </w:rPr>
        <w:t> </w:t>
      </w:r>
      <w:r w:rsidR="008B35E8" w:rsidRPr="002866E5">
        <w:rPr>
          <w:noProof/>
        </w:rPr>
        <w:t>cel</w:t>
      </w:r>
      <w:r w:rsidRPr="002866E5">
        <w:rPr>
          <w:noProof/>
        </w:rPr>
        <w:t>u zapewnienia fachowej wiedzy technicznej</w:t>
      </w:r>
      <w:r w:rsidR="008B35E8" w:rsidRPr="002866E5">
        <w:rPr>
          <w:noProof/>
        </w:rPr>
        <w:t xml:space="preserve"> i</w:t>
      </w:r>
      <w:r w:rsidR="008B35E8">
        <w:rPr>
          <w:noProof/>
        </w:rPr>
        <w:t> </w:t>
      </w:r>
      <w:r w:rsidR="008B35E8" w:rsidRPr="002866E5">
        <w:rPr>
          <w:noProof/>
        </w:rPr>
        <w:t>ryn</w:t>
      </w:r>
      <w:r w:rsidRPr="002866E5">
        <w:rPr>
          <w:noProof/>
        </w:rPr>
        <w:t>kowej utworzona zostanie grupa ekspertów.</w:t>
      </w:r>
    </w:p>
    <w:p w14:paraId="67ED897C" w14:textId="3D95A17C" w:rsidR="0037165D" w:rsidRPr="002866E5" w:rsidRDefault="00B4087C" w:rsidP="00B4087C">
      <w:pPr>
        <w:pStyle w:val="ManualHeading3"/>
        <w:rPr>
          <w:noProof/>
        </w:rPr>
      </w:pPr>
      <w:r w:rsidRPr="00B4087C">
        <w:t>2.2.3.</w:t>
      </w:r>
      <w:r w:rsidRPr="00B4087C">
        <w:tab/>
      </w:r>
      <w:r w:rsidR="0037165D" w:rsidRPr="002866E5">
        <w:rPr>
          <w:noProof/>
        </w:rPr>
        <w:t>Oszacowanie</w:t>
      </w:r>
      <w:r w:rsidR="008B35E8" w:rsidRPr="002866E5">
        <w:rPr>
          <w:noProof/>
        </w:rPr>
        <w:t xml:space="preserve"> i</w:t>
      </w:r>
      <w:r w:rsidR="008B35E8">
        <w:rPr>
          <w:noProof/>
        </w:rPr>
        <w:t> </w:t>
      </w:r>
      <w:r w:rsidR="008B35E8" w:rsidRPr="002866E5">
        <w:rPr>
          <w:noProof/>
        </w:rPr>
        <w:t>uza</w:t>
      </w:r>
      <w:r w:rsidR="0037165D" w:rsidRPr="002866E5">
        <w:rPr>
          <w:noProof/>
        </w:rPr>
        <w:t>sadnienie opłacalności kontroli (stosunek „kosztów kontroli do wartości zarządzanych funduszy powiązanych”) oraz ocena oczekiwanych poziomów ryzyka błędu (przy płatności</w:t>
      </w:r>
      <w:r w:rsidR="008B35E8" w:rsidRPr="002866E5">
        <w:rPr>
          <w:noProof/>
        </w:rPr>
        <w:t xml:space="preserve"> i</w:t>
      </w:r>
      <w:r w:rsidR="008B35E8">
        <w:rPr>
          <w:noProof/>
        </w:rPr>
        <w:t> </w:t>
      </w:r>
      <w:r w:rsidR="008B35E8" w:rsidRPr="002866E5">
        <w:rPr>
          <w:noProof/>
        </w:rPr>
        <w:t>w</w:t>
      </w:r>
      <w:r w:rsidR="008B35E8">
        <w:rPr>
          <w:noProof/>
        </w:rPr>
        <w:t> </w:t>
      </w:r>
      <w:r w:rsidR="008B35E8" w:rsidRPr="002866E5">
        <w:rPr>
          <w:noProof/>
        </w:rPr>
        <w:t>chw</w:t>
      </w:r>
      <w:r w:rsidR="0037165D" w:rsidRPr="002866E5">
        <w:rPr>
          <w:noProof/>
        </w:rPr>
        <w:t xml:space="preserve">ili zamknięcia) </w:t>
      </w:r>
    </w:p>
    <w:p w14:paraId="67ED897D" w14:textId="088A52C2" w:rsidR="0037165D" w:rsidRPr="002866E5" w:rsidRDefault="00B4087C" w:rsidP="00B4087C">
      <w:pPr>
        <w:pStyle w:val="ManualHeading2"/>
        <w:rPr>
          <w:bCs/>
          <w:noProof/>
          <w:szCs w:val="24"/>
        </w:rPr>
      </w:pPr>
      <w:r w:rsidRPr="00B4087C">
        <w:t>2.3.</w:t>
      </w:r>
      <w:r w:rsidRPr="00B4087C">
        <w:tab/>
      </w:r>
      <w:r w:rsidR="004C6922" w:rsidRPr="002866E5">
        <w:rPr>
          <w:noProof/>
        </w:rPr>
        <w:t>Jeżeli chodzi</w:t>
      </w:r>
      <w:r w:rsidR="008B35E8" w:rsidRPr="002866E5">
        <w:rPr>
          <w:noProof/>
        </w:rPr>
        <w:t xml:space="preserve"> o</w:t>
      </w:r>
      <w:r w:rsidR="008B35E8">
        <w:rPr>
          <w:noProof/>
        </w:rPr>
        <w:t> </w:t>
      </w:r>
      <w:r w:rsidR="008B35E8" w:rsidRPr="002866E5">
        <w:rPr>
          <w:noProof/>
        </w:rPr>
        <w:t>wyd</w:t>
      </w:r>
      <w:r w:rsidR="004C6922" w:rsidRPr="002866E5">
        <w:rPr>
          <w:noProof/>
        </w:rPr>
        <w:t>atki na posiedzenia, biorąc pod uwagę niską wartość pojedynczej transakcji (np. zwrot kosztów podróży dla delegata na posiedzenie), standardowe procedury kontroli wydają się wystarczające. Środki zapobiegania nadużyciom finansowym</w:t>
      </w:r>
      <w:r w:rsidR="008B35E8" w:rsidRPr="002866E5">
        <w:rPr>
          <w:noProof/>
        </w:rPr>
        <w:t xml:space="preserve"> i</w:t>
      </w:r>
      <w:r w:rsidR="008B35E8">
        <w:rPr>
          <w:noProof/>
        </w:rPr>
        <w:t> </w:t>
      </w:r>
      <w:r w:rsidR="008B35E8" w:rsidRPr="002866E5">
        <w:rPr>
          <w:noProof/>
        </w:rPr>
        <w:t>nie</w:t>
      </w:r>
      <w:r w:rsidR="004C6922" w:rsidRPr="002866E5">
        <w:rPr>
          <w:noProof/>
        </w:rPr>
        <w:t xml:space="preserve">prawidłowościom </w:t>
      </w:r>
    </w:p>
    <w:p w14:paraId="67ED897E" w14:textId="5E807191" w:rsidR="0037165D" w:rsidRPr="002866E5" w:rsidRDefault="0037165D" w:rsidP="00881943">
      <w:pPr>
        <w:pStyle w:val="Text1"/>
        <w:rPr>
          <w:i/>
          <w:noProof/>
          <w:sz w:val="20"/>
        </w:rPr>
      </w:pPr>
      <w:r w:rsidRPr="002866E5">
        <w:rPr>
          <w:i/>
          <w:noProof/>
          <w:sz w:val="20"/>
        </w:rPr>
        <w:t>Określić istniejące lub przewidywane środki zapobiegania</w:t>
      </w:r>
      <w:r w:rsidR="008B35E8" w:rsidRPr="002866E5">
        <w:rPr>
          <w:i/>
          <w:noProof/>
          <w:sz w:val="20"/>
        </w:rPr>
        <w:t xml:space="preserve"> i</w:t>
      </w:r>
      <w:r w:rsidR="008B35E8">
        <w:rPr>
          <w:i/>
          <w:noProof/>
          <w:sz w:val="20"/>
        </w:rPr>
        <w:t> </w:t>
      </w:r>
      <w:r w:rsidR="008B35E8" w:rsidRPr="002866E5">
        <w:rPr>
          <w:i/>
          <w:noProof/>
          <w:sz w:val="20"/>
        </w:rPr>
        <w:t>och</w:t>
      </w:r>
      <w:r w:rsidRPr="002866E5">
        <w:rPr>
          <w:i/>
          <w:noProof/>
          <w:sz w:val="20"/>
        </w:rPr>
        <w:t>rony, np. ze strategii zwalczania nadużyć finansowych.</w:t>
      </w:r>
    </w:p>
    <w:p w14:paraId="67ED897F" w14:textId="5ECB4F6C" w:rsidR="0037165D" w:rsidRPr="002866E5" w:rsidRDefault="004C6922" w:rsidP="00881943">
      <w:pPr>
        <w:pStyle w:val="Text1"/>
        <w:pBdr>
          <w:top w:val="single" w:sz="4" w:space="1" w:color="auto"/>
          <w:left w:val="single" w:sz="4" w:space="4" w:color="auto"/>
          <w:bottom w:val="single" w:sz="4" w:space="1" w:color="auto"/>
          <w:right w:val="single" w:sz="4" w:space="4" w:color="auto"/>
        </w:pBdr>
        <w:rPr>
          <w:noProof/>
        </w:rPr>
      </w:pPr>
      <w:r w:rsidRPr="002866E5">
        <w:rPr>
          <w:noProof/>
          <w:sz w:val="23"/>
        </w:rPr>
        <w:t>Dodatkowe potrzeby</w:t>
      </w:r>
      <w:r w:rsidR="008B35E8" w:rsidRPr="002866E5">
        <w:rPr>
          <w:noProof/>
          <w:sz w:val="23"/>
        </w:rPr>
        <w:t xml:space="preserve"> w</w:t>
      </w:r>
      <w:r w:rsidR="008B35E8">
        <w:rPr>
          <w:noProof/>
          <w:sz w:val="23"/>
        </w:rPr>
        <w:t> </w:t>
      </w:r>
      <w:r w:rsidR="008B35E8" w:rsidRPr="002866E5">
        <w:rPr>
          <w:noProof/>
          <w:sz w:val="23"/>
        </w:rPr>
        <w:t>zak</w:t>
      </w:r>
      <w:r w:rsidRPr="002866E5">
        <w:rPr>
          <w:noProof/>
          <w:sz w:val="23"/>
        </w:rPr>
        <w:t>resie środków niezbędnych do celów niniejszego rozporządzenia zostaną zaspokojone</w:t>
      </w:r>
      <w:r w:rsidR="008B35E8" w:rsidRPr="002866E5">
        <w:rPr>
          <w:noProof/>
          <w:sz w:val="23"/>
        </w:rPr>
        <w:t xml:space="preserve"> w</w:t>
      </w:r>
      <w:r w:rsidR="008B35E8">
        <w:rPr>
          <w:noProof/>
          <w:sz w:val="23"/>
        </w:rPr>
        <w:t> </w:t>
      </w:r>
      <w:r w:rsidR="008B35E8" w:rsidRPr="002866E5">
        <w:rPr>
          <w:noProof/>
          <w:sz w:val="23"/>
        </w:rPr>
        <w:t>ram</w:t>
      </w:r>
      <w:r w:rsidRPr="002866E5">
        <w:rPr>
          <w:noProof/>
          <w:sz w:val="23"/>
        </w:rPr>
        <w:t>ach istniejących środków zapobiegania nadużyciom finansowym mających zastosowanie do Komisji.</w:t>
      </w:r>
    </w:p>
    <w:p w14:paraId="67ED8980" w14:textId="77777777" w:rsidR="0037165D" w:rsidRPr="002866E5" w:rsidRDefault="0037165D" w:rsidP="00881943">
      <w:pPr>
        <w:pStyle w:val="Text1"/>
        <w:pBdr>
          <w:top w:val="single" w:sz="4" w:space="1" w:color="auto"/>
          <w:left w:val="single" w:sz="4" w:space="4" w:color="auto"/>
          <w:bottom w:val="single" w:sz="4" w:space="1" w:color="auto"/>
          <w:right w:val="single" w:sz="4" w:space="4" w:color="auto"/>
        </w:pBdr>
        <w:rPr>
          <w:noProof/>
        </w:rPr>
      </w:pPr>
    </w:p>
    <w:p w14:paraId="67ED8981" w14:textId="77777777" w:rsidR="0037165D" w:rsidRPr="002866E5" w:rsidRDefault="0037165D" w:rsidP="00881943">
      <w:pPr>
        <w:rPr>
          <w:noProof/>
        </w:rPr>
        <w:sectPr w:rsidR="0037165D" w:rsidRPr="002866E5" w:rsidSect="00C00460">
          <w:pgSz w:w="11907" w:h="16840" w:code="9"/>
          <w:pgMar w:top="1134" w:right="1418" w:bottom="1134" w:left="1418" w:header="709" w:footer="709" w:gutter="0"/>
          <w:cols w:space="708"/>
          <w:docGrid w:linePitch="360"/>
        </w:sectPr>
      </w:pPr>
    </w:p>
    <w:p w14:paraId="67ED8982" w14:textId="5B528A23" w:rsidR="0037165D" w:rsidRPr="002866E5" w:rsidRDefault="00B4087C" w:rsidP="00B4087C">
      <w:pPr>
        <w:pStyle w:val="ManualHeading1"/>
        <w:rPr>
          <w:bCs/>
          <w:noProof/>
          <w:szCs w:val="24"/>
        </w:rPr>
      </w:pPr>
      <w:r w:rsidRPr="00B4087C">
        <w:t>3.</w:t>
      </w:r>
      <w:r w:rsidRPr="00B4087C">
        <w:tab/>
      </w:r>
      <w:r w:rsidR="0037165D" w:rsidRPr="002866E5">
        <w:rPr>
          <w:noProof/>
        </w:rPr>
        <w:t xml:space="preserve">SZACUNKOWY WPŁYW FINANSOWY WNIOSKU/INICJATYWY </w:t>
      </w:r>
    </w:p>
    <w:p w14:paraId="67ED8983" w14:textId="1975E803" w:rsidR="0037165D" w:rsidRPr="002866E5" w:rsidRDefault="00B4087C" w:rsidP="00B4087C">
      <w:pPr>
        <w:pStyle w:val="ManualHeading2"/>
        <w:rPr>
          <w:noProof/>
        </w:rPr>
      </w:pPr>
      <w:r w:rsidRPr="00B4087C">
        <w:t>3.1.</w:t>
      </w:r>
      <w:r w:rsidRPr="00B4087C">
        <w:tab/>
      </w:r>
      <w:r w:rsidR="0037165D" w:rsidRPr="002866E5">
        <w:rPr>
          <w:noProof/>
        </w:rPr>
        <w:t>Działy wieloletnich ram finansowych</w:t>
      </w:r>
      <w:r w:rsidR="008B35E8" w:rsidRPr="002866E5">
        <w:rPr>
          <w:noProof/>
        </w:rPr>
        <w:t xml:space="preserve"> i</w:t>
      </w:r>
      <w:r w:rsidR="008B35E8">
        <w:rPr>
          <w:noProof/>
        </w:rPr>
        <w:t> </w:t>
      </w:r>
      <w:r w:rsidR="008B35E8" w:rsidRPr="002866E5">
        <w:rPr>
          <w:noProof/>
        </w:rPr>
        <w:t>lin</w:t>
      </w:r>
      <w:r w:rsidR="0037165D" w:rsidRPr="002866E5">
        <w:rPr>
          <w:noProof/>
        </w:rPr>
        <w:t xml:space="preserve">ie budżetowe po stronie wydatków, na które wniosek/inicjatywa ma wpływ </w:t>
      </w:r>
    </w:p>
    <w:p w14:paraId="67ED8984" w14:textId="77777777" w:rsidR="0037165D" w:rsidRPr="002866E5" w:rsidRDefault="0037165D" w:rsidP="00881943">
      <w:pPr>
        <w:pStyle w:val="ListBullet1"/>
        <w:rPr>
          <w:noProof/>
        </w:rPr>
      </w:pPr>
      <w:r w:rsidRPr="002866E5">
        <w:rPr>
          <w:noProof/>
        </w:rPr>
        <w:t xml:space="preserve">Istniejące linie budżetowe </w:t>
      </w:r>
    </w:p>
    <w:p w14:paraId="67ED8985" w14:textId="77777777" w:rsidR="0037165D" w:rsidRPr="002866E5" w:rsidRDefault="00CB1C9E" w:rsidP="00881943">
      <w:pPr>
        <w:pStyle w:val="Text1"/>
        <w:rPr>
          <w:i/>
          <w:noProof/>
        </w:rPr>
      </w:pPr>
      <w:r w:rsidRPr="002866E5">
        <w:rPr>
          <w:i/>
          <w:noProof/>
          <w:u w:val="single"/>
        </w:rPr>
        <w:t>Schemat</w:t>
      </w:r>
    </w:p>
    <w:p w14:paraId="67ED8986" w14:textId="1450DCC4" w:rsidR="0037165D" w:rsidRPr="002866E5" w:rsidRDefault="0037165D" w:rsidP="00881943">
      <w:pPr>
        <w:pStyle w:val="ListBullet1"/>
        <w:rPr>
          <w:noProof/>
        </w:rPr>
      </w:pPr>
      <w:r w:rsidRPr="002866E5">
        <w:rPr>
          <w:noProof/>
        </w:rPr>
        <w:t>Nowe linie budżetowe,</w:t>
      </w:r>
      <w:r w:rsidR="008B35E8" w:rsidRPr="002866E5">
        <w:rPr>
          <w:noProof/>
        </w:rPr>
        <w:t xml:space="preserve"> o</w:t>
      </w:r>
      <w:r w:rsidR="008B35E8">
        <w:rPr>
          <w:noProof/>
        </w:rPr>
        <w:t> </w:t>
      </w:r>
      <w:r w:rsidR="008B35E8" w:rsidRPr="002866E5">
        <w:rPr>
          <w:noProof/>
        </w:rPr>
        <w:t>któ</w:t>
      </w:r>
      <w:r w:rsidRPr="002866E5">
        <w:rPr>
          <w:noProof/>
        </w:rPr>
        <w:t xml:space="preserve">rych utworzenie się wnioskuje </w:t>
      </w:r>
    </w:p>
    <w:p w14:paraId="67ED8987" w14:textId="77777777" w:rsidR="0037165D" w:rsidRPr="002866E5" w:rsidRDefault="00F103C3" w:rsidP="00881943">
      <w:pPr>
        <w:pStyle w:val="Text1"/>
        <w:rPr>
          <w:i/>
          <w:noProof/>
          <w:sz w:val="20"/>
        </w:rPr>
      </w:pPr>
      <w:r w:rsidRPr="002866E5">
        <w:rPr>
          <w:i/>
          <w:noProof/>
          <w:u w:val="single"/>
        </w:rPr>
        <w:t>Nie dotyczy</w:t>
      </w:r>
    </w:p>
    <w:p w14:paraId="67ED8988" w14:textId="77777777" w:rsidR="0037165D" w:rsidRPr="002866E5" w:rsidRDefault="0037165D" w:rsidP="00881943">
      <w:pPr>
        <w:rPr>
          <w:noProof/>
        </w:rPr>
        <w:sectPr w:rsidR="0037165D" w:rsidRPr="002866E5" w:rsidSect="00C00460">
          <w:pgSz w:w="11907" w:h="16840" w:code="1"/>
          <w:pgMar w:top="1134" w:right="1418" w:bottom="1134" w:left="1418" w:header="709" w:footer="709" w:gutter="0"/>
          <w:cols w:space="708"/>
          <w:docGrid w:linePitch="360"/>
        </w:sectPr>
      </w:pPr>
    </w:p>
    <w:p w14:paraId="67ED8989" w14:textId="728CAA80" w:rsidR="0037165D" w:rsidRPr="002866E5" w:rsidRDefault="00B4087C" w:rsidP="00B4087C">
      <w:pPr>
        <w:pStyle w:val="ManualHeading2"/>
        <w:rPr>
          <w:bCs/>
          <w:noProof/>
          <w:szCs w:val="24"/>
        </w:rPr>
      </w:pPr>
      <w:r w:rsidRPr="00B4087C">
        <w:t>3.2.</w:t>
      </w:r>
      <w:r w:rsidRPr="00B4087C">
        <w:tab/>
      </w:r>
      <w:r w:rsidR="0037165D" w:rsidRPr="002866E5">
        <w:rPr>
          <w:noProof/>
        </w:rPr>
        <w:t xml:space="preserve">Szacunkowy wpływ finansowy wniosku na środki </w:t>
      </w:r>
    </w:p>
    <w:p w14:paraId="67ED898A" w14:textId="7E8FED39" w:rsidR="0037165D" w:rsidRPr="002866E5" w:rsidRDefault="00B4087C" w:rsidP="00B4087C">
      <w:pPr>
        <w:pStyle w:val="ManualHeading3"/>
        <w:rPr>
          <w:noProof/>
        </w:rPr>
      </w:pPr>
      <w:r w:rsidRPr="00B4087C">
        <w:t>3.2.1.</w:t>
      </w:r>
      <w:r w:rsidRPr="00B4087C">
        <w:tab/>
      </w:r>
      <w:r w:rsidR="00F04CC1" w:rsidRPr="00F04CC1">
        <w:rPr>
          <w:noProof/>
        </w:rPr>
        <w:t>Podsumowanie</w:t>
      </w:r>
      <w:r w:rsidR="0037165D" w:rsidRPr="002866E5">
        <w:rPr>
          <w:noProof/>
        </w:rPr>
        <w:t xml:space="preserve"> szacunkowego wpływu na środki operacyjne </w:t>
      </w:r>
    </w:p>
    <w:p w14:paraId="67ED898B" w14:textId="693079EA" w:rsidR="0037165D" w:rsidRPr="002866E5" w:rsidRDefault="00F103C3" w:rsidP="00881943">
      <w:pPr>
        <w:pStyle w:val="ListDash1"/>
        <w:rPr>
          <w:noProof/>
        </w:rPr>
      </w:pPr>
      <w:r w:rsidRPr="002866E5">
        <w:rPr>
          <w:noProof/>
        </w:rPr>
        <w:sym w:font="Wingdings 2" w:char="F052"/>
      </w:r>
      <w:r w:rsidRPr="002866E5">
        <w:rPr>
          <w:noProof/>
        </w:rPr>
        <w:tab/>
        <w:t>Wniosek/inicjatywa nie wiąże się</w:t>
      </w:r>
      <w:r w:rsidR="008B35E8" w:rsidRPr="002866E5">
        <w:rPr>
          <w:noProof/>
        </w:rPr>
        <w:t xml:space="preserve"> z</w:t>
      </w:r>
      <w:r w:rsidR="008B35E8">
        <w:rPr>
          <w:noProof/>
        </w:rPr>
        <w:t> </w:t>
      </w:r>
      <w:r w:rsidR="008B35E8" w:rsidRPr="002866E5">
        <w:rPr>
          <w:noProof/>
        </w:rPr>
        <w:t>kon</w:t>
      </w:r>
      <w:r w:rsidRPr="002866E5">
        <w:rPr>
          <w:noProof/>
        </w:rPr>
        <w:t xml:space="preserve">iecznością wykorzystania środków operacyjnych </w:t>
      </w:r>
    </w:p>
    <w:p w14:paraId="67ED898C" w14:textId="50341804" w:rsidR="0037165D" w:rsidRPr="002866E5" w:rsidRDefault="0037165D" w:rsidP="00881943">
      <w:pPr>
        <w:pStyle w:val="ListDash1"/>
        <w:rPr>
          <w:noProof/>
        </w:rPr>
      </w:pPr>
      <w:r w:rsidRPr="002866E5">
        <w:rPr>
          <w:noProof/>
        </w:rPr>
        <w:sym w:font="Wingdings" w:char="F0A8"/>
      </w:r>
      <w:r w:rsidRPr="002866E5">
        <w:rPr>
          <w:noProof/>
        </w:rPr>
        <w:tab/>
        <w:t>Wniosek/inicjatywa wiąże się</w:t>
      </w:r>
      <w:r w:rsidR="008B35E8" w:rsidRPr="002866E5">
        <w:rPr>
          <w:noProof/>
        </w:rPr>
        <w:t xml:space="preserve"> z</w:t>
      </w:r>
      <w:r w:rsidR="008B35E8">
        <w:rPr>
          <w:noProof/>
        </w:rPr>
        <w:t> </w:t>
      </w:r>
      <w:r w:rsidR="008B35E8" w:rsidRPr="002866E5">
        <w:rPr>
          <w:noProof/>
        </w:rPr>
        <w:t>kon</w:t>
      </w:r>
      <w:r w:rsidRPr="002866E5">
        <w:rPr>
          <w:noProof/>
        </w:rPr>
        <w:t>iecznością wykorzystania środków operacyjnych, jak określono poniżej:</w:t>
      </w:r>
    </w:p>
    <w:p w14:paraId="67ED898D" w14:textId="77777777" w:rsidR="0037165D" w:rsidRPr="002866E5" w:rsidRDefault="0037165D" w:rsidP="00881943">
      <w:pPr>
        <w:jc w:val="right"/>
        <w:rPr>
          <w:noProof/>
          <w:sz w:val="18"/>
          <w:szCs w:val="18"/>
        </w:rPr>
      </w:pPr>
      <w:r w:rsidRPr="002866E5">
        <w:rPr>
          <w:noProof/>
          <w:sz w:val="18"/>
        </w:rPr>
        <w:t>w mln EUR (do trzech miejsc po przecinku)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37165D" w:rsidRPr="002866E5" w14:paraId="67ED8991" w14:textId="77777777" w:rsidTr="00881943">
        <w:trPr>
          <w:jc w:val="center"/>
        </w:trPr>
        <w:tc>
          <w:tcPr>
            <w:tcW w:w="4744" w:type="dxa"/>
            <w:shd w:val="thinDiagStripe" w:color="C0C0C0" w:fill="auto"/>
            <w:vAlign w:val="center"/>
          </w:tcPr>
          <w:p w14:paraId="67ED898E" w14:textId="72A7CF77" w:rsidR="0037165D" w:rsidRPr="002866E5" w:rsidRDefault="0037165D" w:rsidP="002866E5">
            <w:pPr>
              <w:spacing w:before="60" w:after="60"/>
              <w:jc w:val="center"/>
              <w:rPr>
                <w:b/>
                <w:noProof/>
              </w:rPr>
            </w:pPr>
            <w:r w:rsidRPr="002866E5">
              <w:rPr>
                <w:b/>
                <w:noProof/>
                <w:sz w:val="22"/>
              </w:rPr>
              <w:t>Dział wieloletnich ram</w:t>
            </w:r>
            <w:r w:rsidRPr="002866E5">
              <w:rPr>
                <w:noProof/>
              </w:rPr>
              <w:br/>
            </w:r>
            <w:r w:rsidRPr="002866E5">
              <w:rPr>
                <w:b/>
                <w:noProof/>
                <w:sz w:val="22"/>
              </w:rPr>
              <w:t xml:space="preserve">finansowych </w:t>
            </w:r>
          </w:p>
        </w:tc>
        <w:tc>
          <w:tcPr>
            <w:tcW w:w="1080" w:type="dxa"/>
            <w:vAlign w:val="center"/>
          </w:tcPr>
          <w:p w14:paraId="67ED898F" w14:textId="77777777" w:rsidR="0037165D" w:rsidRPr="002866E5" w:rsidRDefault="0037165D" w:rsidP="00881943">
            <w:pPr>
              <w:spacing w:before="60" w:after="60"/>
              <w:jc w:val="center"/>
              <w:rPr>
                <w:noProof/>
              </w:rPr>
            </w:pPr>
            <w:r w:rsidRPr="002866E5">
              <w:rPr>
                <w:noProof/>
                <w:sz w:val="22"/>
              </w:rPr>
              <w:t>Numer</w:t>
            </w:r>
          </w:p>
        </w:tc>
        <w:tc>
          <w:tcPr>
            <w:tcW w:w="7817" w:type="dxa"/>
            <w:vAlign w:val="center"/>
          </w:tcPr>
          <w:p w14:paraId="67ED8990" w14:textId="77777777" w:rsidR="0037165D" w:rsidRPr="002866E5" w:rsidRDefault="0037165D" w:rsidP="00881943">
            <w:pPr>
              <w:spacing w:before="60" w:after="60"/>
              <w:rPr>
                <w:noProof/>
              </w:rPr>
            </w:pPr>
          </w:p>
        </w:tc>
      </w:tr>
    </w:tbl>
    <w:p w14:paraId="67ED8992" w14:textId="77777777" w:rsidR="0037165D" w:rsidRPr="002866E5" w:rsidRDefault="0037165D" w:rsidP="00881943">
      <w:pPr>
        <w:rPr>
          <w:noProof/>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rsidR="0037165D" w:rsidRPr="002866E5" w14:paraId="67ED899C" w14:textId="77777777" w:rsidTr="00881943">
        <w:tc>
          <w:tcPr>
            <w:tcW w:w="3960" w:type="dxa"/>
            <w:vAlign w:val="center"/>
          </w:tcPr>
          <w:p w14:paraId="67ED8993" w14:textId="77777777" w:rsidR="0037165D" w:rsidRPr="002866E5" w:rsidRDefault="0037165D" w:rsidP="00881943">
            <w:pPr>
              <w:jc w:val="center"/>
              <w:rPr>
                <w:noProof/>
              </w:rPr>
            </w:pPr>
            <w:r w:rsidRPr="002866E5">
              <w:rPr>
                <w:noProof/>
                <w:sz w:val="22"/>
              </w:rPr>
              <w:t>DG: &lt;…….&gt;</w:t>
            </w:r>
          </w:p>
        </w:tc>
        <w:tc>
          <w:tcPr>
            <w:tcW w:w="1560" w:type="dxa"/>
            <w:gridSpan w:val="2"/>
          </w:tcPr>
          <w:p w14:paraId="67ED8994" w14:textId="77777777" w:rsidR="0037165D" w:rsidRPr="002866E5" w:rsidRDefault="0037165D" w:rsidP="00881943">
            <w:pPr>
              <w:rPr>
                <w:noProof/>
                <w:sz w:val="20"/>
              </w:rPr>
            </w:pPr>
          </w:p>
        </w:tc>
        <w:tc>
          <w:tcPr>
            <w:tcW w:w="534" w:type="dxa"/>
          </w:tcPr>
          <w:p w14:paraId="67ED8995" w14:textId="77777777" w:rsidR="0037165D" w:rsidRPr="002866E5" w:rsidRDefault="0037165D" w:rsidP="00881943">
            <w:pPr>
              <w:jc w:val="center"/>
              <w:rPr>
                <w:noProof/>
                <w:sz w:val="20"/>
              </w:rPr>
            </w:pPr>
          </w:p>
        </w:tc>
        <w:tc>
          <w:tcPr>
            <w:tcW w:w="868" w:type="dxa"/>
            <w:vAlign w:val="center"/>
          </w:tcPr>
          <w:p w14:paraId="67ED8996" w14:textId="77777777" w:rsidR="0037165D" w:rsidRPr="002866E5" w:rsidRDefault="0037165D" w:rsidP="00881943">
            <w:pPr>
              <w:jc w:val="center"/>
              <w:rPr>
                <w:noProof/>
                <w:sz w:val="20"/>
              </w:rPr>
            </w:pPr>
            <w:r w:rsidRPr="002866E5">
              <w:rPr>
                <w:noProof/>
                <w:sz w:val="20"/>
              </w:rPr>
              <w:t>Rok</w:t>
            </w:r>
            <w:r w:rsidRPr="002866E5">
              <w:rPr>
                <w:noProof/>
              </w:rPr>
              <w:t xml:space="preserve"> </w:t>
            </w:r>
            <w:r w:rsidRPr="002866E5">
              <w:rPr>
                <w:noProof/>
              </w:rPr>
              <w:br/>
            </w:r>
            <w:r w:rsidRPr="002866E5">
              <w:rPr>
                <w:b/>
                <w:noProof/>
                <w:sz w:val="20"/>
              </w:rPr>
              <w:t>N</w:t>
            </w:r>
            <w:r w:rsidRPr="002866E5">
              <w:rPr>
                <w:rStyle w:val="FootnoteReference"/>
                <w:noProof/>
              </w:rPr>
              <w:footnoteReference w:id="42"/>
            </w:r>
          </w:p>
        </w:tc>
        <w:tc>
          <w:tcPr>
            <w:tcW w:w="868" w:type="dxa"/>
            <w:vAlign w:val="center"/>
          </w:tcPr>
          <w:p w14:paraId="67ED8997" w14:textId="77777777" w:rsidR="0037165D" w:rsidRPr="002866E5" w:rsidRDefault="0037165D" w:rsidP="00881943">
            <w:pPr>
              <w:jc w:val="center"/>
              <w:rPr>
                <w:noProof/>
                <w:sz w:val="20"/>
              </w:rPr>
            </w:pPr>
            <w:r w:rsidRPr="002866E5">
              <w:rPr>
                <w:noProof/>
                <w:sz w:val="20"/>
              </w:rPr>
              <w:t>Rok</w:t>
            </w:r>
            <w:r w:rsidRPr="002866E5">
              <w:rPr>
                <w:noProof/>
              </w:rPr>
              <w:t xml:space="preserve"> </w:t>
            </w:r>
            <w:r w:rsidRPr="002866E5">
              <w:rPr>
                <w:noProof/>
              </w:rPr>
              <w:br/>
            </w:r>
            <w:r w:rsidRPr="002866E5">
              <w:rPr>
                <w:b/>
                <w:noProof/>
                <w:sz w:val="20"/>
              </w:rPr>
              <w:t>N+1</w:t>
            </w:r>
          </w:p>
        </w:tc>
        <w:tc>
          <w:tcPr>
            <w:tcW w:w="868" w:type="dxa"/>
            <w:vAlign w:val="center"/>
          </w:tcPr>
          <w:p w14:paraId="67ED8998" w14:textId="77777777" w:rsidR="0037165D" w:rsidRPr="002866E5" w:rsidRDefault="0037165D" w:rsidP="00881943">
            <w:pPr>
              <w:jc w:val="center"/>
              <w:rPr>
                <w:noProof/>
                <w:sz w:val="20"/>
              </w:rPr>
            </w:pPr>
            <w:r w:rsidRPr="002866E5">
              <w:rPr>
                <w:noProof/>
                <w:sz w:val="20"/>
              </w:rPr>
              <w:t>Rok</w:t>
            </w:r>
            <w:r w:rsidRPr="002866E5">
              <w:rPr>
                <w:noProof/>
              </w:rPr>
              <w:t xml:space="preserve"> </w:t>
            </w:r>
            <w:r w:rsidRPr="002866E5">
              <w:rPr>
                <w:noProof/>
              </w:rPr>
              <w:br/>
            </w:r>
            <w:r w:rsidRPr="002866E5">
              <w:rPr>
                <w:b/>
                <w:noProof/>
                <w:sz w:val="20"/>
              </w:rPr>
              <w:t>N+2</w:t>
            </w:r>
          </w:p>
        </w:tc>
        <w:tc>
          <w:tcPr>
            <w:tcW w:w="868" w:type="dxa"/>
            <w:vAlign w:val="center"/>
          </w:tcPr>
          <w:p w14:paraId="67ED8999" w14:textId="77777777" w:rsidR="0037165D" w:rsidRPr="002866E5" w:rsidRDefault="0037165D" w:rsidP="00881943">
            <w:pPr>
              <w:jc w:val="center"/>
              <w:rPr>
                <w:noProof/>
                <w:sz w:val="20"/>
              </w:rPr>
            </w:pPr>
            <w:r w:rsidRPr="002866E5">
              <w:rPr>
                <w:noProof/>
                <w:sz w:val="20"/>
              </w:rPr>
              <w:t>Rok</w:t>
            </w:r>
            <w:r w:rsidRPr="002866E5">
              <w:rPr>
                <w:noProof/>
              </w:rPr>
              <w:t xml:space="preserve"> </w:t>
            </w:r>
            <w:r w:rsidRPr="002866E5">
              <w:rPr>
                <w:noProof/>
              </w:rPr>
              <w:br/>
            </w:r>
            <w:r w:rsidRPr="002866E5">
              <w:rPr>
                <w:b/>
                <w:noProof/>
                <w:sz w:val="20"/>
              </w:rPr>
              <w:t>N+3</w:t>
            </w:r>
          </w:p>
        </w:tc>
        <w:tc>
          <w:tcPr>
            <w:tcW w:w="2604" w:type="dxa"/>
            <w:gridSpan w:val="3"/>
            <w:vAlign w:val="center"/>
          </w:tcPr>
          <w:p w14:paraId="67ED899A" w14:textId="6CFACCA3" w:rsidR="0037165D" w:rsidRPr="002866E5" w:rsidRDefault="00F04CC1" w:rsidP="00881943">
            <w:pPr>
              <w:jc w:val="center"/>
              <w:rPr>
                <w:b/>
                <w:noProof/>
                <w:sz w:val="18"/>
              </w:rPr>
            </w:pPr>
            <w:r>
              <w:rPr>
                <w:noProof/>
                <w:sz w:val="18"/>
              </w:rPr>
              <w:t>W</w:t>
            </w:r>
            <w:r w:rsidR="0037165D" w:rsidRPr="002866E5">
              <w:rPr>
                <w:noProof/>
                <w:sz w:val="18"/>
              </w:rPr>
              <w:t xml:space="preserve">prowadzić taką liczbę kolumn dla poszczególnych lat, jaka jest niezbędna, by odzwierciedlić cały okres wpływu (zob. </w:t>
            </w:r>
            <w:r w:rsidR="0037165D" w:rsidRPr="008B35E8">
              <w:rPr>
                <w:noProof/>
                <w:sz w:val="18"/>
              </w:rPr>
              <w:t>pkt</w:t>
            </w:r>
            <w:r w:rsidR="008B35E8" w:rsidRPr="008B35E8">
              <w:rPr>
                <w:noProof/>
                <w:sz w:val="18"/>
              </w:rPr>
              <w:t> </w:t>
            </w:r>
            <w:r w:rsidR="0037165D" w:rsidRPr="008B35E8">
              <w:rPr>
                <w:noProof/>
                <w:sz w:val="18"/>
              </w:rPr>
              <w:t>1</w:t>
            </w:r>
            <w:r w:rsidR="0037165D" w:rsidRPr="002866E5">
              <w:rPr>
                <w:noProof/>
                <w:sz w:val="18"/>
              </w:rPr>
              <w:t>.6)</w:t>
            </w:r>
          </w:p>
        </w:tc>
        <w:tc>
          <w:tcPr>
            <w:tcW w:w="1777" w:type="dxa"/>
            <w:vAlign w:val="center"/>
          </w:tcPr>
          <w:p w14:paraId="67ED899B" w14:textId="77777777" w:rsidR="0037165D" w:rsidRPr="002866E5" w:rsidRDefault="0037165D" w:rsidP="00881943">
            <w:pPr>
              <w:jc w:val="center"/>
              <w:rPr>
                <w:b/>
                <w:noProof/>
                <w:sz w:val="20"/>
              </w:rPr>
            </w:pPr>
            <w:r w:rsidRPr="002866E5">
              <w:rPr>
                <w:b/>
                <w:noProof/>
                <w:sz w:val="20"/>
              </w:rPr>
              <w:t>OGÓŁEM</w:t>
            </w:r>
          </w:p>
        </w:tc>
      </w:tr>
      <w:tr w:rsidR="0037165D" w:rsidRPr="002866E5" w14:paraId="67ED89A6" w14:textId="77777777" w:rsidTr="00881943">
        <w:trPr>
          <w:trHeight w:val="213"/>
        </w:trPr>
        <w:tc>
          <w:tcPr>
            <w:tcW w:w="6054" w:type="dxa"/>
            <w:gridSpan w:val="4"/>
            <w:vAlign w:val="center"/>
          </w:tcPr>
          <w:p w14:paraId="67ED899D" w14:textId="77777777" w:rsidR="0037165D" w:rsidRPr="002866E5" w:rsidRDefault="0037165D" w:rsidP="00881943">
            <w:pPr>
              <w:spacing w:before="20" w:after="20"/>
              <w:rPr>
                <w:noProof/>
                <w:sz w:val="21"/>
              </w:rPr>
            </w:pPr>
            <w:r w:rsidRPr="002866E5">
              <w:rPr>
                <w:noProof/>
                <w:sz w:val="21"/>
              </w:rPr>
              <w:sym w:font="Wingdings" w:char="F09F"/>
            </w:r>
            <w:r w:rsidRPr="002866E5">
              <w:rPr>
                <w:noProof/>
                <w:sz w:val="21"/>
              </w:rPr>
              <w:t xml:space="preserve"> Środki operacyjne </w:t>
            </w:r>
          </w:p>
        </w:tc>
        <w:tc>
          <w:tcPr>
            <w:tcW w:w="868" w:type="dxa"/>
            <w:vAlign w:val="center"/>
          </w:tcPr>
          <w:p w14:paraId="67ED899E" w14:textId="77777777" w:rsidR="0037165D" w:rsidRPr="002866E5" w:rsidRDefault="0037165D" w:rsidP="00881943">
            <w:pPr>
              <w:rPr>
                <w:noProof/>
                <w:sz w:val="20"/>
              </w:rPr>
            </w:pPr>
          </w:p>
        </w:tc>
        <w:tc>
          <w:tcPr>
            <w:tcW w:w="868" w:type="dxa"/>
            <w:vAlign w:val="center"/>
          </w:tcPr>
          <w:p w14:paraId="67ED899F" w14:textId="77777777" w:rsidR="0037165D" w:rsidRPr="002866E5" w:rsidRDefault="0037165D" w:rsidP="00881943">
            <w:pPr>
              <w:rPr>
                <w:noProof/>
                <w:sz w:val="20"/>
              </w:rPr>
            </w:pPr>
          </w:p>
        </w:tc>
        <w:tc>
          <w:tcPr>
            <w:tcW w:w="868" w:type="dxa"/>
            <w:vAlign w:val="center"/>
          </w:tcPr>
          <w:p w14:paraId="67ED89A0" w14:textId="77777777" w:rsidR="0037165D" w:rsidRPr="002866E5" w:rsidRDefault="0037165D" w:rsidP="00881943">
            <w:pPr>
              <w:rPr>
                <w:noProof/>
                <w:sz w:val="20"/>
              </w:rPr>
            </w:pPr>
          </w:p>
        </w:tc>
        <w:tc>
          <w:tcPr>
            <w:tcW w:w="868" w:type="dxa"/>
            <w:vAlign w:val="center"/>
          </w:tcPr>
          <w:p w14:paraId="67ED89A1" w14:textId="77777777" w:rsidR="0037165D" w:rsidRPr="002866E5" w:rsidRDefault="0037165D" w:rsidP="00881943">
            <w:pPr>
              <w:rPr>
                <w:noProof/>
                <w:sz w:val="20"/>
              </w:rPr>
            </w:pPr>
          </w:p>
        </w:tc>
        <w:tc>
          <w:tcPr>
            <w:tcW w:w="868" w:type="dxa"/>
            <w:vAlign w:val="center"/>
          </w:tcPr>
          <w:p w14:paraId="67ED89A2" w14:textId="77777777" w:rsidR="0037165D" w:rsidRPr="002866E5" w:rsidRDefault="0037165D" w:rsidP="00881943">
            <w:pPr>
              <w:rPr>
                <w:noProof/>
                <w:sz w:val="20"/>
              </w:rPr>
            </w:pPr>
          </w:p>
        </w:tc>
        <w:tc>
          <w:tcPr>
            <w:tcW w:w="868" w:type="dxa"/>
            <w:vAlign w:val="center"/>
          </w:tcPr>
          <w:p w14:paraId="67ED89A3" w14:textId="77777777" w:rsidR="0037165D" w:rsidRPr="002866E5" w:rsidRDefault="0037165D" w:rsidP="00881943">
            <w:pPr>
              <w:rPr>
                <w:noProof/>
                <w:sz w:val="20"/>
              </w:rPr>
            </w:pPr>
          </w:p>
        </w:tc>
        <w:tc>
          <w:tcPr>
            <w:tcW w:w="868" w:type="dxa"/>
            <w:vAlign w:val="center"/>
          </w:tcPr>
          <w:p w14:paraId="67ED89A4" w14:textId="77777777" w:rsidR="0037165D" w:rsidRPr="002866E5" w:rsidRDefault="0037165D" w:rsidP="00881943">
            <w:pPr>
              <w:rPr>
                <w:b/>
                <w:noProof/>
                <w:sz w:val="20"/>
              </w:rPr>
            </w:pPr>
          </w:p>
        </w:tc>
        <w:tc>
          <w:tcPr>
            <w:tcW w:w="1777" w:type="dxa"/>
            <w:vAlign w:val="center"/>
          </w:tcPr>
          <w:p w14:paraId="67ED89A5" w14:textId="77777777" w:rsidR="0037165D" w:rsidRPr="002866E5" w:rsidRDefault="0037165D" w:rsidP="00881943">
            <w:pPr>
              <w:rPr>
                <w:b/>
                <w:noProof/>
                <w:sz w:val="20"/>
              </w:rPr>
            </w:pPr>
          </w:p>
        </w:tc>
      </w:tr>
      <w:tr w:rsidR="0037165D" w:rsidRPr="002866E5" w14:paraId="67ED89B2" w14:textId="77777777" w:rsidTr="00881943">
        <w:trPr>
          <w:trHeight w:val="277"/>
        </w:trPr>
        <w:tc>
          <w:tcPr>
            <w:tcW w:w="3960" w:type="dxa"/>
            <w:vMerge w:val="restart"/>
            <w:vAlign w:val="center"/>
          </w:tcPr>
          <w:p w14:paraId="67ED89A7" w14:textId="77777777" w:rsidR="0037165D" w:rsidRPr="002866E5" w:rsidRDefault="0037165D" w:rsidP="00881943">
            <w:pPr>
              <w:rPr>
                <w:noProof/>
              </w:rPr>
            </w:pPr>
            <w:r w:rsidRPr="002866E5">
              <w:rPr>
                <w:noProof/>
                <w:sz w:val="20"/>
              </w:rPr>
              <w:t>Linia budżetowa</w:t>
            </w:r>
            <w:r w:rsidRPr="002866E5">
              <w:rPr>
                <w:rStyle w:val="FootnoteReference"/>
                <w:noProof/>
              </w:rPr>
              <w:footnoteReference w:id="43"/>
            </w:r>
          </w:p>
        </w:tc>
        <w:tc>
          <w:tcPr>
            <w:tcW w:w="1440" w:type="dxa"/>
            <w:vAlign w:val="center"/>
          </w:tcPr>
          <w:p w14:paraId="67ED89A8" w14:textId="77777777" w:rsidR="0037165D" w:rsidRPr="002866E5" w:rsidRDefault="0037165D" w:rsidP="00881943">
            <w:pPr>
              <w:spacing w:before="20" w:after="20"/>
              <w:rPr>
                <w:noProof/>
                <w:sz w:val="18"/>
              </w:rPr>
            </w:pPr>
            <w:r w:rsidRPr="002866E5">
              <w:rPr>
                <w:noProof/>
                <w:sz w:val="18"/>
              </w:rPr>
              <w:t>Środki na zobowiązania</w:t>
            </w:r>
          </w:p>
        </w:tc>
        <w:tc>
          <w:tcPr>
            <w:tcW w:w="654" w:type="dxa"/>
            <w:gridSpan w:val="2"/>
            <w:vAlign w:val="center"/>
          </w:tcPr>
          <w:p w14:paraId="67ED89A9" w14:textId="77777777" w:rsidR="0037165D" w:rsidRPr="002866E5" w:rsidRDefault="0037165D" w:rsidP="00881943">
            <w:pPr>
              <w:spacing w:before="20" w:after="20"/>
              <w:jc w:val="center"/>
              <w:rPr>
                <w:noProof/>
                <w:sz w:val="14"/>
              </w:rPr>
            </w:pPr>
            <w:r w:rsidRPr="002866E5">
              <w:rPr>
                <w:noProof/>
                <w:sz w:val="14"/>
              </w:rPr>
              <w:t>(1a)</w:t>
            </w:r>
          </w:p>
        </w:tc>
        <w:tc>
          <w:tcPr>
            <w:tcW w:w="868" w:type="dxa"/>
            <w:vAlign w:val="center"/>
          </w:tcPr>
          <w:p w14:paraId="67ED89AA" w14:textId="77777777" w:rsidR="0037165D" w:rsidRPr="002866E5" w:rsidRDefault="0037165D" w:rsidP="00881943">
            <w:pPr>
              <w:spacing w:before="20" w:after="20"/>
              <w:jc w:val="right"/>
              <w:rPr>
                <w:noProof/>
                <w:sz w:val="20"/>
              </w:rPr>
            </w:pPr>
          </w:p>
        </w:tc>
        <w:tc>
          <w:tcPr>
            <w:tcW w:w="868" w:type="dxa"/>
            <w:vAlign w:val="center"/>
          </w:tcPr>
          <w:p w14:paraId="67ED89AB" w14:textId="77777777" w:rsidR="0037165D" w:rsidRPr="002866E5" w:rsidRDefault="0037165D" w:rsidP="00881943">
            <w:pPr>
              <w:spacing w:before="20" w:after="20"/>
              <w:jc w:val="right"/>
              <w:rPr>
                <w:noProof/>
                <w:sz w:val="20"/>
              </w:rPr>
            </w:pPr>
          </w:p>
        </w:tc>
        <w:tc>
          <w:tcPr>
            <w:tcW w:w="868" w:type="dxa"/>
            <w:vAlign w:val="center"/>
          </w:tcPr>
          <w:p w14:paraId="67ED89AC" w14:textId="77777777" w:rsidR="0037165D" w:rsidRPr="002866E5" w:rsidRDefault="0037165D" w:rsidP="00881943">
            <w:pPr>
              <w:spacing w:before="20" w:after="20"/>
              <w:jc w:val="right"/>
              <w:rPr>
                <w:noProof/>
                <w:sz w:val="20"/>
              </w:rPr>
            </w:pPr>
          </w:p>
        </w:tc>
        <w:tc>
          <w:tcPr>
            <w:tcW w:w="868" w:type="dxa"/>
            <w:vAlign w:val="center"/>
          </w:tcPr>
          <w:p w14:paraId="67ED89AD" w14:textId="77777777" w:rsidR="0037165D" w:rsidRPr="002866E5" w:rsidRDefault="0037165D" w:rsidP="00881943">
            <w:pPr>
              <w:spacing w:before="20" w:after="20"/>
              <w:jc w:val="right"/>
              <w:rPr>
                <w:noProof/>
                <w:sz w:val="20"/>
              </w:rPr>
            </w:pPr>
          </w:p>
        </w:tc>
        <w:tc>
          <w:tcPr>
            <w:tcW w:w="868" w:type="dxa"/>
            <w:vAlign w:val="center"/>
          </w:tcPr>
          <w:p w14:paraId="67ED89AE" w14:textId="77777777" w:rsidR="0037165D" w:rsidRPr="002866E5" w:rsidRDefault="0037165D" w:rsidP="00881943">
            <w:pPr>
              <w:spacing w:before="20" w:after="20"/>
              <w:jc w:val="right"/>
              <w:rPr>
                <w:noProof/>
                <w:sz w:val="20"/>
              </w:rPr>
            </w:pPr>
          </w:p>
        </w:tc>
        <w:tc>
          <w:tcPr>
            <w:tcW w:w="868" w:type="dxa"/>
            <w:vAlign w:val="center"/>
          </w:tcPr>
          <w:p w14:paraId="67ED89AF" w14:textId="77777777" w:rsidR="0037165D" w:rsidRPr="002866E5" w:rsidRDefault="0037165D" w:rsidP="00881943">
            <w:pPr>
              <w:spacing w:before="20" w:after="20"/>
              <w:jc w:val="right"/>
              <w:rPr>
                <w:noProof/>
                <w:sz w:val="20"/>
              </w:rPr>
            </w:pPr>
          </w:p>
        </w:tc>
        <w:tc>
          <w:tcPr>
            <w:tcW w:w="868" w:type="dxa"/>
            <w:vAlign w:val="center"/>
          </w:tcPr>
          <w:p w14:paraId="67ED89B0" w14:textId="77777777" w:rsidR="0037165D" w:rsidRPr="002866E5" w:rsidRDefault="0037165D" w:rsidP="00881943">
            <w:pPr>
              <w:spacing w:before="20" w:after="20"/>
              <w:jc w:val="right"/>
              <w:rPr>
                <w:b/>
                <w:noProof/>
                <w:sz w:val="20"/>
              </w:rPr>
            </w:pPr>
          </w:p>
        </w:tc>
        <w:tc>
          <w:tcPr>
            <w:tcW w:w="1777" w:type="dxa"/>
            <w:vAlign w:val="center"/>
          </w:tcPr>
          <w:p w14:paraId="67ED89B1" w14:textId="77777777" w:rsidR="0037165D" w:rsidRPr="002866E5" w:rsidRDefault="0037165D" w:rsidP="00881943">
            <w:pPr>
              <w:spacing w:before="20" w:after="20"/>
              <w:jc w:val="right"/>
              <w:rPr>
                <w:b/>
                <w:noProof/>
                <w:sz w:val="20"/>
              </w:rPr>
            </w:pPr>
          </w:p>
        </w:tc>
      </w:tr>
      <w:tr w:rsidR="0037165D" w:rsidRPr="002866E5" w14:paraId="67ED89BE" w14:textId="77777777" w:rsidTr="00881943">
        <w:tc>
          <w:tcPr>
            <w:tcW w:w="3960" w:type="dxa"/>
            <w:vMerge/>
          </w:tcPr>
          <w:p w14:paraId="67ED89B3" w14:textId="77777777" w:rsidR="0037165D" w:rsidRPr="002866E5" w:rsidRDefault="0037165D" w:rsidP="00881943">
            <w:pPr>
              <w:jc w:val="center"/>
              <w:rPr>
                <w:noProof/>
                <w:sz w:val="20"/>
              </w:rPr>
            </w:pPr>
          </w:p>
        </w:tc>
        <w:tc>
          <w:tcPr>
            <w:tcW w:w="1440" w:type="dxa"/>
            <w:vAlign w:val="center"/>
          </w:tcPr>
          <w:p w14:paraId="67ED89B4" w14:textId="77777777" w:rsidR="0037165D" w:rsidRPr="002866E5" w:rsidRDefault="0037165D" w:rsidP="00881943">
            <w:pPr>
              <w:spacing w:before="20" w:after="20"/>
              <w:rPr>
                <w:noProof/>
                <w:sz w:val="18"/>
              </w:rPr>
            </w:pPr>
            <w:r w:rsidRPr="002866E5">
              <w:rPr>
                <w:noProof/>
                <w:sz w:val="18"/>
              </w:rPr>
              <w:t>Środki na płatności</w:t>
            </w:r>
          </w:p>
        </w:tc>
        <w:tc>
          <w:tcPr>
            <w:tcW w:w="654" w:type="dxa"/>
            <w:gridSpan w:val="2"/>
            <w:vAlign w:val="center"/>
          </w:tcPr>
          <w:p w14:paraId="67ED89B5" w14:textId="77777777" w:rsidR="0037165D" w:rsidRPr="002866E5" w:rsidRDefault="0037165D" w:rsidP="00881943">
            <w:pPr>
              <w:spacing w:before="20" w:after="20"/>
              <w:jc w:val="center"/>
              <w:rPr>
                <w:noProof/>
                <w:sz w:val="14"/>
              </w:rPr>
            </w:pPr>
            <w:r w:rsidRPr="002866E5">
              <w:rPr>
                <w:noProof/>
                <w:sz w:val="14"/>
              </w:rPr>
              <w:t>(2a)</w:t>
            </w:r>
          </w:p>
        </w:tc>
        <w:tc>
          <w:tcPr>
            <w:tcW w:w="868" w:type="dxa"/>
            <w:vAlign w:val="center"/>
          </w:tcPr>
          <w:p w14:paraId="67ED89B6" w14:textId="77777777" w:rsidR="0037165D" w:rsidRPr="002866E5" w:rsidRDefault="0037165D" w:rsidP="00881943">
            <w:pPr>
              <w:spacing w:before="20" w:after="20"/>
              <w:jc w:val="right"/>
              <w:rPr>
                <w:noProof/>
                <w:sz w:val="20"/>
              </w:rPr>
            </w:pPr>
          </w:p>
        </w:tc>
        <w:tc>
          <w:tcPr>
            <w:tcW w:w="868" w:type="dxa"/>
            <w:vAlign w:val="center"/>
          </w:tcPr>
          <w:p w14:paraId="67ED89B7" w14:textId="77777777" w:rsidR="0037165D" w:rsidRPr="002866E5" w:rsidRDefault="0037165D" w:rsidP="00881943">
            <w:pPr>
              <w:spacing w:before="20" w:after="20"/>
              <w:jc w:val="right"/>
              <w:rPr>
                <w:noProof/>
                <w:sz w:val="20"/>
              </w:rPr>
            </w:pPr>
          </w:p>
        </w:tc>
        <w:tc>
          <w:tcPr>
            <w:tcW w:w="868" w:type="dxa"/>
            <w:vAlign w:val="center"/>
          </w:tcPr>
          <w:p w14:paraId="67ED89B8" w14:textId="77777777" w:rsidR="0037165D" w:rsidRPr="002866E5" w:rsidRDefault="0037165D" w:rsidP="00881943">
            <w:pPr>
              <w:spacing w:before="20" w:after="20"/>
              <w:jc w:val="right"/>
              <w:rPr>
                <w:noProof/>
                <w:sz w:val="20"/>
              </w:rPr>
            </w:pPr>
          </w:p>
        </w:tc>
        <w:tc>
          <w:tcPr>
            <w:tcW w:w="868" w:type="dxa"/>
            <w:vAlign w:val="center"/>
          </w:tcPr>
          <w:p w14:paraId="67ED89B9" w14:textId="77777777" w:rsidR="0037165D" w:rsidRPr="002866E5" w:rsidRDefault="0037165D" w:rsidP="00881943">
            <w:pPr>
              <w:spacing w:before="20" w:after="20"/>
              <w:jc w:val="right"/>
              <w:rPr>
                <w:noProof/>
                <w:sz w:val="20"/>
              </w:rPr>
            </w:pPr>
          </w:p>
        </w:tc>
        <w:tc>
          <w:tcPr>
            <w:tcW w:w="868" w:type="dxa"/>
            <w:vAlign w:val="center"/>
          </w:tcPr>
          <w:p w14:paraId="67ED89BA" w14:textId="77777777" w:rsidR="0037165D" w:rsidRPr="002866E5" w:rsidRDefault="0037165D" w:rsidP="00881943">
            <w:pPr>
              <w:spacing w:before="20" w:after="20"/>
              <w:jc w:val="right"/>
              <w:rPr>
                <w:noProof/>
                <w:sz w:val="20"/>
              </w:rPr>
            </w:pPr>
          </w:p>
        </w:tc>
        <w:tc>
          <w:tcPr>
            <w:tcW w:w="868" w:type="dxa"/>
            <w:vAlign w:val="center"/>
          </w:tcPr>
          <w:p w14:paraId="67ED89BB" w14:textId="77777777" w:rsidR="0037165D" w:rsidRPr="002866E5" w:rsidRDefault="0037165D" w:rsidP="00881943">
            <w:pPr>
              <w:spacing w:before="20" w:after="20"/>
              <w:jc w:val="right"/>
              <w:rPr>
                <w:noProof/>
                <w:sz w:val="20"/>
              </w:rPr>
            </w:pPr>
          </w:p>
        </w:tc>
        <w:tc>
          <w:tcPr>
            <w:tcW w:w="868" w:type="dxa"/>
            <w:vAlign w:val="center"/>
          </w:tcPr>
          <w:p w14:paraId="67ED89BC" w14:textId="77777777" w:rsidR="0037165D" w:rsidRPr="002866E5" w:rsidRDefault="0037165D" w:rsidP="00881943">
            <w:pPr>
              <w:spacing w:before="20" w:after="20"/>
              <w:jc w:val="right"/>
              <w:rPr>
                <w:b/>
                <w:noProof/>
                <w:sz w:val="20"/>
              </w:rPr>
            </w:pPr>
          </w:p>
        </w:tc>
        <w:tc>
          <w:tcPr>
            <w:tcW w:w="1777" w:type="dxa"/>
            <w:vAlign w:val="center"/>
          </w:tcPr>
          <w:p w14:paraId="67ED89BD" w14:textId="77777777" w:rsidR="0037165D" w:rsidRPr="002866E5" w:rsidRDefault="0037165D" w:rsidP="00881943">
            <w:pPr>
              <w:spacing w:before="20" w:after="20"/>
              <w:jc w:val="right"/>
              <w:rPr>
                <w:b/>
                <w:noProof/>
                <w:sz w:val="20"/>
              </w:rPr>
            </w:pPr>
          </w:p>
        </w:tc>
      </w:tr>
      <w:tr w:rsidR="0037165D" w:rsidRPr="002866E5" w14:paraId="67ED89CA" w14:textId="77777777" w:rsidTr="00881943">
        <w:tc>
          <w:tcPr>
            <w:tcW w:w="3960" w:type="dxa"/>
            <w:vMerge w:val="restart"/>
            <w:vAlign w:val="center"/>
          </w:tcPr>
          <w:p w14:paraId="67ED89BF" w14:textId="77777777" w:rsidR="0037165D" w:rsidRPr="002866E5" w:rsidRDefault="0037165D" w:rsidP="00881943">
            <w:pPr>
              <w:rPr>
                <w:noProof/>
              </w:rPr>
            </w:pPr>
            <w:r w:rsidRPr="002866E5">
              <w:rPr>
                <w:noProof/>
                <w:sz w:val="20"/>
              </w:rPr>
              <w:t>Linia budżetowa</w:t>
            </w:r>
          </w:p>
        </w:tc>
        <w:tc>
          <w:tcPr>
            <w:tcW w:w="1440" w:type="dxa"/>
            <w:vAlign w:val="center"/>
          </w:tcPr>
          <w:p w14:paraId="67ED89C0" w14:textId="77777777" w:rsidR="0037165D" w:rsidRPr="002866E5" w:rsidRDefault="0037165D" w:rsidP="00881943">
            <w:pPr>
              <w:spacing w:before="20" w:after="20"/>
              <w:rPr>
                <w:noProof/>
                <w:sz w:val="18"/>
              </w:rPr>
            </w:pPr>
            <w:r w:rsidRPr="002866E5">
              <w:rPr>
                <w:noProof/>
                <w:sz w:val="18"/>
              </w:rPr>
              <w:t>Środki na zobowiązania</w:t>
            </w:r>
          </w:p>
        </w:tc>
        <w:tc>
          <w:tcPr>
            <w:tcW w:w="654" w:type="dxa"/>
            <w:gridSpan w:val="2"/>
            <w:vAlign w:val="center"/>
          </w:tcPr>
          <w:p w14:paraId="67ED89C1" w14:textId="77777777" w:rsidR="0037165D" w:rsidRPr="002866E5" w:rsidRDefault="0037165D" w:rsidP="00881943">
            <w:pPr>
              <w:spacing w:before="20" w:after="20"/>
              <w:jc w:val="center"/>
              <w:rPr>
                <w:noProof/>
                <w:sz w:val="14"/>
              </w:rPr>
            </w:pPr>
            <w:r w:rsidRPr="002866E5">
              <w:rPr>
                <w:noProof/>
                <w:sz w:val="14"/>
              </w:rPr>
              <w:t>(1b)</w:t>
            </w:r>
          </w:p>
        </w:tc>
        <w:tc>
          <w:tcPr>
            <w:tcW w:w="868" w:type="dxa"/>
            <w:vAlign w:val="center"/>
          </w:tcPr>
          <w:p w14:paraId="67ED89C2" w14:textId="77777777" w:rsidR="0037165D" w:rsidRPr="002866E5" w:rsidRDefault="0037165D" w:rsidP="00881943">
            <w:pPr>
              <w:spacing w:before="20" w:after="20"/>
              <w:jc w:val="right"/>
              <w:rPr>
                <w:noProof/>
                <w:sz w:val="20"/>
              </w:rPr>
            </w:pPr>
          </w:p>
        </w:tc>
        <w:tc>
          <w:tcPr>
            <w:tcW w:w="868" w:type="dxa"/>
            <w:vAlign w:val="center"/>
          </w:tcPr>
          <w:p w14:paraId="67ED89C3" w14:textId="77777777" w:rsidR="0037165D" w:rsidRPr="002866E5" w:rsidRDefault="0037165D" w:rsidP="00881943">
            <w:pPr>
              <w:spacing w:before="20" w:after="20"/>
              <w:jc w:val="right"/>
              <w:rPr>
                <w:noProof/>
                <w:sz w:val="20"/>
              </w:rPr>
            </w:pPr>
          </w:p>
        </w:tc>
        <w:tc>
          <w:tcPr>
            <w:tcW w:w="868" w:type="dxa"/>
            <w:vAlign w:val="center"/>
          </w:tcPr>
          <w:p w14:paraId="67ED89C4" w14:textId="77777777" w:rsidR="0037165D" w:rsidRPr="002866E5" w:rsidRDefault="0037165D" w:rsidP="00881943">
            <w:pPr>
              <w:spacing w:before="20" w:after="20"/>
              <w:jc w:val="right"/>
              <w:rPr>
                <w:noProof/>
                <w:sz w:val="20"/>
              </w:rPr>
            </w:pPr>
          </w:p>
        </w:tc>
        <w:tc>
          <w:tcPr>
            <w:tcW w:w="868" w:type="dxa"/>
            <w:vAlign w:val="center"/>
          </w:tcPr>
          <w:p w14:paraId="67ED89C5" w14:textId="77777777" w:rsidR="0037165D" w:rsidRPr="002866E5" w:rsidRDefault="0037165D" w:rsidP="00881943">
            <w:pPr>
              <w:spacing w:before="20" w:after="20"/>
              <w:jc w:val="right"/>
              <w:rPr>
                <w:noProof/>
                <w:sz w:val="20"/>
              </w:rPr>
            </w:pPr>
          </w:p>
        </w:tc>
        <w:tc>
          <w:tcPr>
            <w:tcW w:w="868" w:type="dxa"/>
            <w:vAlign w:val="center"/>
          </w:tcPr>
          <w:p w14:paraId="67ED89C6" w14:textId="77777777" w:rsidR="0037165D" w:rsidRPr="002866E5" w:rsidRDefault="0037165D" w:rsidP="00881943">
            <w:pPr>
              <w:spacing w:before="20" w:after="20"/>
              <w:jc w:val="right"/>
              <w:rPr>
                <w:noProof/>
                <w:sz w:val="20"/>
              </w:rPr>
            </w:pPr>
          </w:p>
        </w:tc>
        <w:tc>
          <w:tcPr>
            <w:tcW w:w="868" w:type="dxa"/>
            <w:vAlign w:val="center"/>
          </w:tcPr>
          <w:p w14:paraId="67ED89C7" w14:textId="77777777" w:rsidR="0037165D" w:rsidRPr="002866E5" w:rsidRDefault="0037165D" w:rsidP="00881943">
            <w:pPr>
              <w:spacing w:before="20" w:after="20"/>
              <w:jc w:val="right"/>
              <w:rPr>
                <w:noProof/>
                <w:sz w:val="20"/>
              </w:rPr>
            </w:pPr>
          </w:p>
        </w:tc>
        <w:tc>
          <w:tcPr>
            <w:tcW w:w="868" w:type="dxa"/>
            <w:vAlign w:val="center"/>
          </w:tcPr>
          <w:p w14:paraId="67ED89C8" w14:textId="77777777" w:rsidR="0037165D" w:rsidRPr="002866E5" w:rsidRDefault="0037165D" w:rsidP="00881943">
            <w:pPr>
              <w:spacing w:before="20" w:after="20"/>
              <w:jc w:val="right"/>
              <w:rPr>
                <w:b/>
                <w:noProof/>
                <w:sz w:val="20"/>
              </w:rPr>
            </w:pPr>
          </w:p>
        </w:tc>
        <w:tc>
          <w:tcPr>
            <w:tcW w:w="1777" w:type="dxa"/>
            <w:vAlign w:val="center"/>
          </w:tcPr>
          <w:p w14:paraId="67ED89C9" w14:textId="77777777" w:rsidR="0037165D" w:rsidRPr="002866E5" w:rsidRDefault="0037165D" w:rsidP="00881943">
            <w:pPr>
              <w:spacing w:before="20" w:after="20"/>
              <w:jc w:val="right"/>
              <w:rPr>
                <w:b/>
                <w:noProof/>
                <w:sz w:val="20"/>
              </w:rPr>
            </w:pPr>
          </w:p>
        </w:tc>
      </w:tr>
      <w:tr w:rsidR="0037165D" w:rsidRPr="002866E5" w14:paraId="67ED89D6" w14:textId="77777777" w:rsidTr="00881943">
        <w:tc>
          <w:tcPr>
            <w:tcW w:w="3960" w:type="dxa"/>
            <w:vMerge/>
          </w:tcPr>
          <w:p w14:paraId="67ED89CB" w14:textId="77777777" w:rsidR="0037165D" w:rsidRPr="002866E5" w:rsidRDefault="0037165D" w:rsidP="00881943">
            <w:pPr>
              <w:jc w:val="center"/>
              <w:rPr>
                <w:noProof/>
                <w:sz w:val="20"/>
              </w:rPr>
            </w:pPr>
          </w:p>
        </w:tc>
        <w:tc>
          <w:tcPr>
            <w:tcW w:w="1440" w:type="dxa"/>
            <w:vAlign w:val="center"/>
          </w:tcPr>
          <w:p w14:paraId="67ED89CC" w14:textId="77777777" w:rsidR="0037165D" w:rsidRPr="002866E5" w:rsidRDefault="0037165D" w:rsidP="00881943">
            <w:pPr>
              <w:spacing w:before="20" w:after="20"/>
              <w:rPr>
                <w:noProof/>
                <w:sz w:val="18"/>
              </w:rPr>
            </w:pPr>
            <w:r w:rsidRPr="002866E5">
              <w:rPr>
                <w:noProof/>
                <w:sz w:val="18"/>
              </w:rPr>
              <w:t>Środki na płatności</w:t>
            </w:r>
          </w:p>
        </w:tc>
        <w:tc>
          <w:tcPr>
            <w:tcW w:w="654" w:type="dxa"/>
            <w:gridSpan w:val="2"/>
            <w:vAlign w:val="center"/>
          </w:tcPr>
          <w:p w14:paraId="67ED89CD" w14:textId="77777777" w:rsidR="0037165D" w:rsidRPr="002866E5" w:rsidRDefault="0037165D" w:rsidP="00881943">
            <w:pPr>
              <w:spacing w:before="20" w:after="20"/>
              <w:jc w:val="center"/>
              <w:rPr>
                <w:noProof/>
                <w:sz w:val="14"/>
              </w:rPr>
            </w:pPr>
            <w:r w:rsidRPr="002866E5">
              <w:rPr>
                <w:noProof/>
                <w:sz w:val="14"/>
              </w:rPr>
              <w:t>(2b)</w:t>
            </w:r>
          </w:p>
        </w:tc>
        <w:tc>
          <w:tcPr>
            <w:tcW w:w="868" w:type="dxa"/>
            <w:vAlign w:val="center"/>
          </w:tcPr>
          <w:p w14:paraId="67ED89CE" w14:textId="77777777" w:rsidR="0037165D" w:rsidRPr="002866E5" w:rsidRDefault="0037165D" w:rsidP="00881943">
            <w:pPr>
              <w:spacing w:before="20" w:after="20"/>
              <w:jc w:val="right"/>
              <w:rPr>
                <w:noProof/>
                <w:sz w:val="20"/>
              </w:rPr>
            </w:pPr>
          </w:p>
        </w:tc>
        <w:tc>
          <w:tcPr>
            <w:tcW w:w="868" w:type="dxa"/>
            <w:vAlign w:val="center"/>
          </w:tcPr>
          <w:p w14:paraId="67ED89CF" w14:textId="77777777" w:rsidR="0037165D" w:rsidRPr="002866E5" w:rsidRDefault="0037165D" w:rsidP="00881943">
            <w:pPr>
              <w:spacing w:before="20" w:after="20"/>
              <w:jc w:val="right"/>
              <w:rPr>
                <w:noProof/>
                <w:sz w:val="20"/>
              </w:rPr>
            </w:pPr>
          </w:p>
        </w:tc>
        <w:tc>
          <w:tcPr>
            <w:tcW w:w="868" w:type="dxa"/>
            <w:vAlign w:val="center"/>
          </w:tcPr>
          <w:p w14:paraId="67ED89D0" w14:textId="77777777" w:rsidR="0037165D" w:rsidRPr="002866E5" w:rsidRDefault="0037165D" w:rsidP="00881943">
            <w:pPr>
              <w:spacing w:before="20" w:after="20"/>
              <w:jc w:val="right"/>
              <w:rPr>
                <w:noProof/>
                <w:sz w:val="20"/>
              </w:rPr>
            </w:pPr>
          </w:p>
        </w:tc>
        <w:tc>
          <w:tcPr>
            <w:tcW w:w="868" w:type="dxa"/>
            <w:vAlign w:val="center"/>
          </w:tcPr>
          <w:p w14:paraId="67ED89D1" w14:textId="77777777" w:rsidR="0037165D" w:rsidRPr="002866E5" w:rsidRDefault="0037165D" w:rsidP="00881943">
            <w:pPr>
              <w:spacing w:before="20" w:after="20"/>
              <w:jc w:val="right"/>
              <w:rPr>
                <w:noProof/>
                <w:sz w:val="20"/>
              </w:rPr>
            </w:pPr>
          </w:p>
        </w:tc>
        <w:tc>
          <w:tcPr>
            <w:tcW w:w="868" w:type="dxa"/>
            <w:vAlign w:val="center"/>
          </w:tcPr>
          <w:p w14:paraId="67ED89D2" w14:textId="77777777" w:rsidR="0037165D" w:rsidRPr="002866E5" w:rsidRDefault="0037165D" w:rsidP="00881943">
            <w:pPr>
              <w:spacing w:before="20" w:after="20"/>
              <w:jc w:val="right"/>
              <w:rPr>
                <w:noProof/>
                <w:sz w:val="20"/>
              </w:rPr>
            </w:pPr>
          </w:p>
        </w:tc>
        <w:tc>
          <w:tcPr>
            <w:tcW w:w="868" w:type="dxa"/>
            <w:vAlign w:val="center"/>
          </w:tcPr>
          <w:p w14:paraId="67ED89D3" w14:textId="77777777" w:rsidR="0037165D" w:rsidRPr="002866E5" w:rsidRDefault="0037165D" w:rsidP="00881943">
            <w:pPr>
              <w:spacing w:before="20" w:after="20"/>
              <w:jc w:val="right"/>
              <w:rPr>
                <w:noProof/>
                <w:sz w:val="20"/>
              </w:rPr>
            </w:pPr>
          </w:p>
        </w:tc>
        <w:tc>
          <w:tcPr>
            <w:tcW w:w="868" w:type="dxa"/>
            <w:vAlign w:val="center"/>
          </w:tcPr>
          <w:p w14:paraId="67ED89D4" w14:textId="77777777" w:rsidR="0037165D" w:rsidRPr="002866E5" w:rsidRDefault="0037165D" w:rsidP="00881943">
            <w:pPr>
              <w:spacing w:before="20" w:after="20"/>
              <w:jc w:val="right"/>
              <w:rPr>
                <w:b/>
                <w:noProof/>
                <w:sz w:val="20"/>
              </w:rPr>
            </w:pPr>
          </w:p>
        </w:tc>
        <w:tc>
          <w:tcPr>
            <w:tcW w:w="1777" w:type="dxa"/>
            <w:vAlign w:val="center"/>
          </w:tcPr>
          <w:p w14:paraId="67ED89D5" w14:textId="77777777" w:rsidR="0037165D" w:rsidRPr="002866E5" w:rsidRDefault="0037165D" w:rsidP="00881943">
            <w:pPr>
              <w:spacing w:before="20" w:after="20"/>
              <w:jc w:val="right"/>
              <w:rPr>
                <w:b/>
                <w:noProof/>
                <w:sz w:val="20"/>
              </w:rPr>
            </w:pPr>
          </w:p>
        </w:tc>
      </w:tr>
      <w:tr w:rsidR="0037165D" w:rsidRPr="002866E5" w14:paraId="67ED89E1" w14:textId="77777777" w:rsidTr="00881943">
        <w:trPr>
          <w:trHeight w:val="231"/>
        </w:trPr>
        <w:tc>
          <w:tcPr>
            <w:tcW w:w="6054" w:type="dxa"/>
            <w:gridSpan w:val="4"/>
            <w:vAlign w:val="center"/>
          </w:tcPr>
          <w:p w14:paraId="67ED89D7" w14:textId="77777777" w:rsidR="0037165D" w:rsidRPr="002866E5" w:rsidRDefault="0037165D" w:rsidP="00881943">
            <w:pPr>
              <w:spacing w:before="20" w:after="20"/>
              <w:rPr>
                <w:noProof/>
              </w:rPr>
            </w:pPr>
            <w:r w:rsidRPr="002866E5">
              <w:rPr>
                <w:noProof/>
                <w:sz w:val="21"/>
              </w:rPr>
              <w:t>Środki administracyjne finansowane ze środków przydzielonych na określone programy</w:t>
            </w:r>
            <w:r w:rsidRPr="002866E5">
              <w:rPr>
                <w:rStyle w:val="FootnoteReference"/>
                <w:noProof/>
              </w:rPr>
              <w:footnoteReference w:id="44"/>
            </w:r>
            <w:r w:rsidRPr="002866E5">
              <w:rPr>
                <w:noProof/>
                <w:sz w:val="21"/>
              </w:rPr>
              <w:t xml:space="preserve"> </w:t>
            </w:r>
          </w:p>
          <w:p w14:paraId="67ED89D8" w14:textId="77777777" w:rsidR="0037165D" w:rsidRPr="002866E5" w:rsidRDefault="0037165D" w:rsidP="00881943">
            <w:pPr>
              <w:spacing w:before="0" w:after="0"/>
              <w:rPr>
                <w:noProof/>
              </w:rPr>
            </w:pPr>
          </w:p>
        </w:tc>
        <w:tc>
          <w:tcPr>
            <w:tcW w:w="868" w:type="dxa"/>
            <w:vAlign w:val="center"/>
          </w:tcPr>
          <w:p w14:paraId="67ED89D9" w14:textId="77777777" w:rsidR="0037165D" w:rsidRPr="002866E5" w:rsidRDefault="0037165D" w:rsidP="00881943">
            <w:pPr>
              <w:rPr>
                <w:b/>
                <w:noProof/>
                <w:sz w:val="20"/>
              </w:rPr>
            </w:pPr>
          </w:p>
        </w:tc>
        <w:tc>
          <w:tcPr>
            <w:tcW w:w="868" w:type="dxa"/>
            <w:vAlign w:val="center"/>
          </w:tcPr>
          <w:p w14:paraId="67ED89DA" w14:textId="77777777" w:rsidR="0037165D" w:rsidRPr="002866E5" w:rsidRDefault="0037165D" w:rsidP="00881943">
            <w:pPr>
              <w:rPr>
                <w:b/>
                <w:noProof/>
                <w:sz w:val="20"/>
              </w:rPr>
            </w:pPr>
          </w:p>
        </w:tc>
        <w:tc>
          <w:tcPr>
            <w:tcW w:w="868" w:type="dxa"/>
            <w:vAlign w:val="center"/>
          </w:tcPr>
          <w:p w14:paraId="67ED89DB" w14:textId="77777777" w:rsidR="0037165D" w:rsidRPr="002866E5" w:rsidRDefault="0037165D" w:rsidP="00881943">
            <w:pPr>
              <w:rPr>
                <w:b/>
                <w:noProof/>
                <w:sz w:val="20"/>
              </w:rPr>
            </w:pPr>
          </w:p>
        </w:tc>
        <w:tc>
          <w:tcPr>
            <w:tcW w:w="868" w:type="dxa"/>
            <w:vAlign w:val="center"/>
          </w:tcPr>
          <w:p w14:paraId="67ED89DC" w14:textId="77777777" w:rsidR="0037165D" w:rsidRPr="002866E5" w:rsidRDefault="0037165D" w:rsidP="00881943">
            <w:pPr>
              <w:rPr>
                <w:b/>
                <w:noProof/>
                <w:sz w:val="20"/>
              </w:rPr>
            </w:pPr>
          </w:p>
        </w:tc>
        <w:tc>
          <w:tcPr>
            <w:tcW w:w="868" w:type="dxa"/>
            <w:vAlign w:val="center"/>
          </w:tcPr>
          <w:p w14:paraId="67ED89DD" w14:textId="77777777" w:rsidR="0037165D" w:rsidRPr="002866E5" w:rsidRDefault="0037165D" w:rsidP="00881943">
            <w:pPr>
              <w:rPr>
                <w:b/>
                <w:noProof/>
                <w:sz w:val="20"/>
              </w:rPr>
            </w:pPr>
          </w:p>
        </w:tc>
        <w:tc>
          <w:tcPr>
            <w:tcW w:w="868" w:type="dxa"/>
            <w:vAlign w:val="center"/>
          </w:tcPr>
          <w:p w14:paraId="67ED89DE" w14:textId="77777777" w:rsidR="0037165D" w:rsidRPr="002866E5" w:rsidRDefault="0037165D" w:rsidP="00881943">
            <w:pPr>
              <w:rPr>
                <w:b/>
                <w:noProof/>
                <w:sz w:val="20"/>
              </w:rPr>
            </w:pPr>
          </w:p>
        </w:tc>
        <w:tc>
          <w:tcPr>
            <w:tcW w:w="868" w:type="dxa"/>
            <w:vAlign w:val="center"/>
          </w:tcPr>
          <w:p w14:paraId="67ED89DF" w14:textId="77777777" w:rsidR="0037165D" w:rsidRPr="002866E5" w:rsidRDefault="0037165D" w:rsidP="00881943">
            <w:pPr>
              <w:rPr>
                <w:b/>
                <w:noProof/>
                <w:sz w:val="20"/>
              </w:rPr>
            </w:pPr>
          </w:p>
        </w:tc>
        <w:tc>
          <w:tcPr>
            <w:tcW w:w="1777" w:type="dxa"/>
            <w:vAlign w:val="center"/>
          </w:tcPr>
          <w:p w14:paraId="67ED89E0" w14:textId="77777777" w:rsidR="0037165D" w:rsidRPr="002866E5" w:rsidRDefault="0037165D" w:rsidP="00881943">
            <w:pPr>
              <w:rPr>
                <w:b/>
                <w:noProof/>
                <w:sz w:val="20"/>
              </w:rPr>
            </w:pPr>
          </w:p>
        </w:tc>
      </w:tr>
      <w:tr w:rsidR="0037165D" w:rsidRPr="002866E5" w14:paraId="67ED89ED" w14:textId="77777777" w:rsidTr="00881943">
        <w:trPr>
          <w:trHeight w:val="319"/>
        </w:trPr>
        <w:tc>
          <w:tcPr>
            <w:tcW w:w="3960" w:type="dxa"/>
            <w:vAlign w:val="center"/>
          </w:tcPr>
          <w:p w14:paraId="67ED89E2" w14:textId="77777777" w:rsidR="0037165D" w:rsidRPr="002866E5" w:rsidRDefault="0037165D" w:rsidP="00881943">
            <w:pPr>
              <w:spacing w:before="60" w:after="60"/>
              <w:rPr>
                <w:noProof/>
              </w:rPr>
            </w:pPr>
            <w:r w:rsidRPr="002866E5">
              <w:rPr>
                <w:noProof/>
                <w:sz w:val="20"/>
              </w:rPr>
              <w:t>Linia budżetowa</w:t>
            </w:r>
          </w:p>
        </w:tc>
        <w:tc>
          <w:tcPr>
            <w:tcW w:w="1440" w:type="dxa"/>
            <w:vAlign w:val="center"/>
          </w:tcPr>
          <w:p w14:paraId="67ED89E3" w14:textId="77777777" w:rsidR="0037165D" w:rsidRPr="002866E5" w:rsidRDefault="0037165D" w:rsidP="00881943">
            <w:pPr>
              <w:spacing w:before="40" w:after="40"/>
              <w:jc w:val="right"/>
              <w:rPr>
                <w:noProof/>
                <w:sz w:val="18"/>
              </w:rPr>
            </w:pPr>
          </w:p>
        </w:tc>
        <w:tc>
          <w:tcPr>
            <w:tcW w:w="654" w:type="dxa"/>
            <w:gridSpan w:val="2"/>
            <w:vAlign w:val="center"/>
          </w:tcPr>
          <w:p w14:paraId="67ED89E4" w14:textId="77777777" w:rsidR="0037165D" w:rsidRPr="002866E5" w:rsidRDefault="0037165D" w:rsidP="00881943">
            <w:pPr>
              <w:spacing w:before="40" w:after="40"/>
              <w:jc w:val="center"/>
              <w:rPr>
                <w:noProof/>
                <w:sz w:val="14"/>
              </w:rPr>
            </w:pPr>
            <w:r w:rsidRPr="002866E5">
              <w:rPr>
                <w:noProof/>
                <w:sz w:val="14"/>
              </w:rPr>
              <w:t>(3)</w:t>
            </w:r>
          </w:p>
        </w:tc>
        <w:tc>
          <w:tcPr>
            <w:tcW w:w="868" w:type="dxa"/>
            <w:vAlign w:val="center"/>
          </w:tcPr>
          <w:p w14:paraId="67ED89E5" w14:textId="77777777" w:rsidR="0037165D" w:rsidRPr="002866E5" w:rsidRDefault="0037165D" w:rsidP="00881943">
            <w:pPr>
              <w:spacing w:before="40" w:after="40"/>
              <w:jc w:val="right"/>
              <w:rPr>
                <w:b/>
                <w:noProof/>
                <w:sz w:val="20"/>
              </w:rPr>
            </w:pPr>
          </w:p>
        </w:tc>
        <w:tc>
          <w:tcPr>
            <w:tcW w:w="868" w:type="dxa"/>
            <w:vAlign w:val="center"/>
          </w:tcPr>
          <w:p w14:paraId="67ED89E6" w14:textId="77777777" w:rsidR="0037165D" w:rsidRPr="002866E5" w:rsidRDefault="0037165D" w:rsidP="00881943">
            <w:pPr>
              <w:spacing w:before="40" w:after="40"/>
              <w:jc w:val="right"/>
              <w:rPr>
                <w:b/>
                <w:noProof/>
                <w:sz w:val="20"/>
              </w:rPr>
            </w:pPr>
          </w:p>
        </w:tc>
        <w:tc>
          <w:tcPr>
            <w:tcW w:w="868" w:type="dxa"/>
            <w:vAlign w:val="center"/>
          </w:tcPr>
          <w:p w14:paraId="67ED89E7" w14:textId="77777777" w:rsidR="0037165D" w:rsidRPr="002866E5" w:rsidRDefault="0037165D" w:rsidP="00881943">
            <w:pPr>
              <w:spacing w:before="40" w:after="40"/>
              <w:jc w:val="right"/>
              <w:rPr>
                <w:b/>
                <w:noProof/>
                <w:sz w:val="20"/>
              </w:rPr>
            </w:pPr>
          </w:p>
        </w:tc>
        <w:tc>
          <w:tcPr>
            <w:tcW w:w="868" w:type="dxa"/>
            <w:vAlign w:val="center"/>
          </w:tcPr>
          <w:p w14:paraId="67ED89E8" w14:textId="77777777" w:rsidR="0037165D" w:rsidRPr="002866E5" w:rsidRDefault="0037165D" w:rsidP="00881943">
            <w:pPr>
              <w:spacing w:before="40" w:after="40"/>
              <w:jc w:val="right"/>
              <w:rPr>
                <w:b/>
                <w:noProof/>
                <w:sz w:val="20"/>
              </w:rPr>
            </w:pPr>
          </w:p>
        </w:tc>
        <w:tc>
          <w:tcPr>
            <w:tcW w:w="868" w:type="dxa"/>
            <w:vAlign w:val="center"/>
          </w:tcPr>
          <w:p w14:paraId="67ED89E9" w14:textId="77777777" w:rsidR="0037165D" w:rsidRPr="002866E5" w:rsidRDefault="0037165D" w:rsidP="00881943">
            <w:pPr>
              <w:spacing w:before="40" w:after="40"/>
              <w:jc w:val="right"/>
              <w:rPr>
                <w:b/>
                <w:noProof/>
                <w:sz w:val="20"/>
              </w:rPr>
            </w:pPr>
          </w:p>
        </w:tc>
        <w:tc>
          <w:tcPr>
            <w:tcW w:w="868" w:type="dxa"/>
            <w:vAlign w:val="center"/>
          </w:tcPr>
          <w:p w14:paraId="67ED89EA" w14:textId="77777777" w:rsidR="0037165D" w:rsidRPr="002866E5" w:rsidRDefault="0037165D" w:rsidP="00881943">
            <w:pPr>
              <w:spacing w:before="40" w:after="40"/>
              <w:jc w:val="right"/>
              <w:rPr>
                <w:b/>
                <w:noProof/>
                <w:sz w:val="20"/>
              </w:rPr>
            </w:pPr>
          </w:p>
        </w:tc>
        <w:tc>
          <w:tcPr>
            <w:tcW w:w="868" w:type="dxa"/>
            <w:vAlign w:val="center"/>
          </w:tcPr>
          <w:p w14:paraId="67ED89EB" w14:textId="77777777" w:rsidR="0037165D" w:rsidRPr="002866E5" w:rsidRDefault="0037165D" w:rsidP="00881943">
            <w:pPr>
              <w:spacing w:before="40" w:after="40"/>
              <w:jc w:val="right"/>
              <w:rPr>
                <w:b/>
                <w:noProof/>
                <w:sz w:val="20"/>
              </w:rPr>
            </w:pPr>
          </w:p>
        </w:tc>
        <w:tc>
          <w:tcPr>
            <w:tcW w:w="1777" w:type="dxa"/>
            <w:vAlign w:val="center"/>
          </w:tcPr>
          <w:p w14:paraId="67ED89EC" w14:textId="77777777" w:rsidR="0037165D" w:rsidRPr="002866E5" w:rsidRDefault="0037165D" w:rsidP="00881943">
            <w:pPr>
              <w:spacing w:before="40" w:after="40"/>
              <w:jc w:val="right"/>
              <w:rPr>
                <w:b/>
                <w:noProof/>
                <w:sz w:val="20"/>
              </w:rPr>
            </w:pPr>
          </w:p>
        </w:tc>
      </w:tr>
      <w:tr w:rsidR="0037165D" w:rsidRPr="002866E5" w14:paraId="67ED89F9" w14:textId="77777777" w:rsidTr="00881943">
        <w:tc>
          <w:tcPr>
            <w:tcW w:w="3960" w:type="dxa"/>
            <w:vMerge w:val="restart"/>
            <w:vAlign w:val="center"/>
          </w:tcPr>
          <w:p w14:paraId="67ED89EE" w14:textId="77777777" w:rsidR="0037165D" w:rsidRPr="002866E5" w:rsidRDefault="0037165D" w:rsidP="00881943">
            <w:pPr>
              <w:jc w:val="center"/>
              <w:rPr>
                <w:b/>
                <w:noProof/>
              </w:rPr>
            </w:pPr>
            <w:r w:rsidRPr="002866E5">
              <w:rPr>
                <w:b/>
                <w:noProof/>
                <w:sz w:val="22"/>
              </w:rPr>
              <w:t>OGÓŁEM środki</w:t>
            </w:r>
            <w:r w:rsidRPr="002866E5">
              <w:rPr>
                <w:noProof/>
              </w:rPr>
              <w:t xml:space="preserve"> </w:t>
            </w:r>
            <w:r w:rsidRPr="002866E5">
              <w:rPr>
                <w:noProof/>
              </w:rPr>
              <w:br/>
            </w:r>
            <w:r w:rsidRPr="002866E5">
              <w:rPr>
                <w:b/>
                <w:noProof/>
                <w:sz w:val="22"/>
              </w:rPr>
              <w:t xml:space="preserve">dla DG </w:t>
            </w:r>
            <w:r w:rsidRPr="002866E5">
              <w:rPr>
                <w:noProof/>
                <w:sz w:val="22"/>
              </w:rPr>
              <w:t>&lt;…….&gt;</w:t>
            </w:r>
          </w:p>
        </w:tc>
        <w:tc>
          <w:tcPr>
            <w:tcW w:w="1440" w:type="dxa"/>
            <w:vAlign w:val="center"/>
          </w:tcPr>
          <w:p w14:paraId="67ED89EF" w14:textId="77777777" w:rsidR="0037165D" w:rsidRPr="002866E5" w:rsidRDefault="0037165D" w:rsidP="00881943">
            <w:pPr>
              <w:rPr>
                <w:noProof/>
                <w:sz w:val="18"/>
              </w:rPr>
            </w:pPr>
            <w:r w:rsidRPr="002866E5">
              <w:rPr>
                <w:noProof/>
                <w:sz w:val="18"/>
              </w:rPr>
              <w:t>Środki na zobowiązania</w:t>
            </w:r>
          </w:p>
        </w:tc>
        <w:tc>
          <w:tcPr>
            <w:tcW w:w="654" w:type="dxa"/>
            <w:gridSpan w:val="2"/>
            <w:vAlign w:val="center"/>
          </w:tcPr>
          <w:p w14:paraId="67ED89F0" w14:textId="77777777" w:rsidR="0037165D" w:rsidRPr="002866E5" w:rsidRDefault="0037165D" w:rsidP="00881943">
            <w:pPr>
              <w:jc w:val="center"/>
              <w:rPr>
                <w:noProof/>
                <w:sz w:val="14"/>
              </w:rPr>
            </w:pPr>
            <w:r w:rsidRPr="002866E5">
              <w:rPr>
                <w:noProof/>
                <w:sz w:val="14"/>
              </w:rPr>
              <w:t>=1a+1b+3</w:t>
            </w:r>
          </w:p>
        </w:tc>
        <w:tc>
          <w:tcPr>
            <w:tcW w:w="868" w:type="dxa"/>
            <w:vAlign w:val="center"/>
          </w:tcPr>
          <w:p w14:paraId="67ED89F1" w14:textId="77777777" w:rsidR="0037165D" w:rsidRPr="002866E5" w:rsidRDefault="0037165D" w:rsidP="00881943">
            <w:pPr>
              <w:spacing w:before="20" w:after="20"/>
              <w:jc w:val="right"/>
              <w:rPr>
                <w:noProof/>
                <w:sz w:val="20"/>
              </w:rPr>
            </w:pPr>
          </w:p>
        </w:tc>
        <w:tc>
          <w:tcPr>
            <w:tcW w:w="868" w:type="dxa"/>
            <w:vAlign w:val="center"/>
          </w:tcPr>
          <w:p w14:paraId="67ED89F2" w14:textId="77777777" w:rsidR="0037165D" w:rsidRPr="002866E5" w:rsidRDefault="0037165D" w:rsidP="00881943">
            <w:pPr>
              <w:spacing w:before="20" w:after="20"/>
              <w:jc w:val="right"/>
              <w:rPr>
                <w:noProof/>
                <w:sz w:val="20"/>
              </w:rPr>
            </w:pPr>
          </w:p>
        </w:tc>
        <w:tc>
          <w:tcPr>
            <w:tcW w:w="868" w:type="dxa"/>
            <w:vAlign w:val="center"/>
          </w:tcPr>
          <w:p w14:paraId="67ED89F3" w14:textId="77777777" w:rsidR="0037165D" w:rsidRPr="002866E5" w:rsidRDefault="0037165D" w:rsidP="00881943">
            <w:pPr>
              <w:spacing w:before="20" w:after="20"/>
              <w:jc w:val="right"/>
              <w:rPr>
                <w:noProof/>
                <w:sz w:val="20"/>
              </w:rPr>
            </w:pPr>
          </w:p>
        </w:tc>
        <w:tc>
          <w:tcPr>
            <w:tcW w:w="868" w:type="dxa"/>
            <w:vAlign w:val="center"/>
          </w:tcPr>
          <w:p w14:paraId="67ED89F4" w14:textId="77777777" w:rsidR="0037165D" w:rsidRPr="002866E5" w:rsidRDefault="0037165D" w:rsidP="00881943">
            <w:pPr>
              <w:spacing w:before="20" w:after="20"/>
              <w:jc w:val="right"/>
              <w:rPr>
                <w:noProof/>
                <w:sz w:val="20"/>
              </w:rPr>
            </w:pPr>
          </w:p>
        </w:tc>
        <w:tc>
          <w:tcPr>
            <w:tcW w:w="868" w:type="dxa"/>
            <w:vAlign w:val="center"/>
          </w:tcPr>
          <w:p w14:paraId="67ED89F5" w14:textId="77777777" w:rsidR="0037165D" w:rsidRPr="002866E5" w:rsidRDefault="0037165D" w:rsidP="00881943">
            <w:pPr>
              <w:spacing w:before="20" w:after="20"/>
              <w:jc w:val="right"/>
              <w:rPr>
                <w:noProof/>
                <w:sz w:val="20"/>
              </w:rPr>
            </w:pPr>
          </w:p>
        </w:tc>
        <w:tc>
          <w:tcPr>
            <w:tcW w:w="868" w:type="dxa"/>
            <w:vAlign w:val="center"/>
          </w:tcPr>
          <w:p w14:paraId="67ED89F6" w14:textId="77777777" w:rsidR="0037165D" w:rsidRPr="002866E5" w:rsidRDefault="0037165D" w:rsidP="00881943">
            <w:pPr>
              <w:spacing w:before="20" w:after="20"/>
              <w:jc w:val="right"/>
              <w:rPr>
                <w:noProof/>
                <w:sz w:val="20"/>
              </w:rPr>
            </w:pPr>
          </w:p>
        </w:tc>
        <w:tc>
          <w:tcPr>
            <w:tcW w:w="868" w:type="dxa"/>
            <w:vAlign w:val="center"/>
          </w:tcPr>
          <w:p w14:paraId="67ED89F7" w14:textId="77777777" w:rsidR="0037165D" w:rsidRPr="002866E5" w:rsidRDefault="0037165D" w:rsidP="00881943">
            <w:pPr>
              <w:spacing w:before="20" w:after="20"/>
              <w:jc w:val="right"/>
              <w:rPr>
                <w:b/>
                <w:noProof/>
                <w:sz w:val="20"/>
              </w:rPr>
            </w:pPr>
          </w:p>
        </w:tc>
        <w:tc>
          <w:tcPr>
            <w:tcW w:w="1777" w:type="dxa"/>
            <w:vAlign w:val="center"/>
          </w:tcPr>
          <w:p w14:paraId="67ED89F8" w14:textId="77777777" w:rsidR="0037165D" w:rsidRPr="002866E5" w:rsidRDefault="0037165D" w:rsidP="00881943">
            <w:pPr>
              <w:spacing w:before="20" w:after="20"/>
              <w:jc w:val="right"/>
              <w:rPr>
                <w:b/>
                <w:noProof/>
                <w:sz w:val="20"/>
              </w:rPr>
            </w:pPr>
          </w:p>
        </w:tc>
      </w:tr>
      <w:tr w:rsidR="0037165D" w:rsidRPr="002866E5" w14:paraId="67ED8A06" w14:textId="77777777" w:rsidTr="00881943">
        <w:tc>
          <w:tcPr>
            <w:tcW w:w="3960" w:type="dxa"/>
            <w:vMerge/>
          </w:tcPr>
          <w:p w14:paraId="67ED89FA" w14:textId="77777777" w:rsidR="0037165D" w:rsidRPr="002866E5" w:rsidRDefault="0037165D" w:rsidP="00881943">
            <w:pPr>
              <w:rPr>
                <w:noProof/>
                <w:sz w:val="20"/>
              </w:rPr>
            </w:pPr>
          </w:p>
        </w:tc>
        <w:tc>
          <w:tcPr>
            <w:tcW w:w="1440" w:type="dxa"/>
            <w:vAlign w:val="center"/>
          </w:tcPr>
          <w:p w14:paraId="67ED89FB" w14:textId="77777777" w:rsidR="0037165D" w:rsidRPr="002866E5" w:rsidRDefault="0037165D" w:rsidP="00881943">
            <w:pPr>
              <w:rPr>
                <w:noProof/>
                <w:sz w:val="18"/>
              </w:rPr>
            </w:pPr>
            <w:r w:rsidRPr="002866E5">
              <w:rPr>
                <w:noProof/>
                <w:sz w:val="18"/>
              </w:rPr>
              <w:t>Środki na płatności</w:t>
            </w:r>
          </w:p>
        </w:tc>
        <w:tc>
          <w:tcPr>
            <w:tcW w:w="654" w:type="dxa"/>
            <w:gridSpan w:val="2"/>
            <w:vAlign w:val="center"/>
          </w:tcPr>
          <w:p w14:paraId="67ED89FC" w14:textId="77777777" w:rsidR="0037165D" w:rsidRPr="002866E5" w:rsidRDefault="0037165D" w:rsidP="00881943">
            <w:pPr>
              <w:jc w:val="center"/>
              <w:rPr>
                <w:noProof/>
                <w:sz w:val="14"/>
              </w:rPr>
            </w:pPr>
            <w:r w:rsidRPr="002866E5">
              <w:rPr>
                <w:noProof/>
                <w:sz w:val="14"/>
              </w:rPr>
              <w:t>=2a+2b</w:t>
            </w:r>
          </w:p>
          <w:p w14:paraId="67ED89FD" w14:textId="77777777" w:rsidR="0037165D" w:rsidRPr="002866E5" w:rsidRDefault="0037165D" w:rsidP="00881943">
            <w:pPr>
              <w:jc w:val="center"/>
              <w:rPr>
                <w:noProof/>
                <w:sz w:val="14"/>
              </w:rPr>
            </w:pPr>
            <w:r w:rsidRPr="002866E5">
              <w:rPr>
                <w:noProof/>
                <w:sz w:val="14"/>
              </w:rPr>
              <w:t>+3</w:t>
            </w:r>
          </w:p>
        </w:tc>
        <w:tc>
          <w:tcPr>
            <w:tcW w:w="868" w:type="dxa"/>
            <w:vAlign w:val="center"/>
          </w:tcPr>
          <w:p w14:paraId="67ED89FE" w14:textId="77777777" w:rsidR="0037165D" w:rsidRPr="002866E5" w:rsidRDefault="0037165D" w:rsidP="00881943">
            <w:pPr>
              <w:spacing w:before="20" w:after="20"/>
              <w:jc w:val="right"/>
              <w:rPr>
                <w:noProof/>
                <w:sz w:val="20"/>
              </w:rPr>
            </w:pPr>
          </w:p>
        </w:tc>
        <w:tc>
          <w:tcPr>
            <w:tcW w:w="868" w:type="dxa"/>
            <w:vAlign w:val="center"/>
          </w:tcPr>
          <w:p w14:paraId="67ED89FF" w14:textId="77777777" w:rsidR="0037165D" w:rsidRPr="002866E5" w:rsidRDefault="0037165D" w:rsidP="00881943">
            <w:pPr>
              <w:spacing w:before="20" w:after="20"/>
              <w:jc w:val="right"/>
              <w:rPr>
                <w:noProof/>
                <w:sz w:val="20"/>
              </w:rPr>
            </w:pPr>
          </w:p>
        </w:tc>
        <w:tc>
          <w:tcPr>
            <w:tcW w:w="868" w:type="dxa"/>
            <w:vAlign w:val="center"/>
          </w:tcPr>
          <w:p w14:paraId="67ED8A00" w14:textId="77777777" w:rsidR="0037165D" w:rsidRPr="002866E5" w:rsidRDefault="0037165D" w:rsidP="00881943">
            <w:pPr>
              <w:spacing w:before="20" w:after="20"/>
              <w:jc w:val="right"/>
              <w:rPr>
                <w:noProof/>
                <w:sz w:val="20"/>
              </w:rPr>
            </w:pPr>
          </w:p>
        </w:tc>
        <w:tc>
          <w:tcPr>
            <w:tcW w:w="868" w:type="dxa"/>
            <w:vAlign w:val="center"/>
          </w:tcPr>
          <w:p w14:paraId="67ED8A01" w14:textId="77777777" w:rsidR="0037165D" w:rsidRPr="002866E5" w:rsidRDefault="0037165D" w:rsidP="00881943">
            <w:pPr>
              <w:spacing w:before="20" w:after="20"/>
              <w:jc w:val="right"/>
              <w:rPr>
                <w:noProof/>
                <w:sz w:val="20"/>
              </w:rPr>
            </w:pPr>
          </w:p>
        </w:tc>
        <w:tc>
          <w:tcPr>
            <w:tcW w:w="868" w:type="dxa"/>
            <w:vAlign w:val="center"/>
          </w:tcPr>
          <w:p w14:paraId="67ED8A02" w14:textId="77777777" w:rsidR="0037165D" w:rsidRPr="002866E5" w:rsidRDefault="0037165D" w:rsidP="00881943">
            <w:pPr>
              <w:spacing w:before="20" w:after="20"/>
              <w:jc w:val="right"/>
              <w:rPr>
                <w:noProof/>
                <w:sz w:val="20"/>
              </w:rPr>
            </w:pPr>
          </w:p>
        </w:tc>
        <w:tc>
          <w:tcPr>
            <w:tcW w:w="868" w:type="dxa"/>
            <w:vAlign w:val="center"/>
          </w:tcPr>
          <w:p w14:paraId="67ED8A03" w14:textId="77777777" w:rsidR="0037165D" w:rsidRPr="002866E5" w:rsidRDefault="0037165D" w:rsidP="00881943">
            <w:pPr>
              <w:spacing w:before="20" w:after="20"/>
              <w:jc w:val="right"/>
              <w:rPr>
                <w:noProof/>
                <w:sz w:val="20"/>
              </w:rPr>
            </w:pPr>
          </w:p>
        </w:tc>
        <w:tc>
          <w:tcPr>
            <w:tcW w:w="868" w:type="dxa"/>
            <w:vAlign w:val="center"/>
          </w:tcPr>
          <w:p w14:paraId="67ED8A04" w14:textId="77777777" w:rsidR="0037165D" w:rsidRPr="002866E5" w:rsidRDefault="0037165D" w:rsidP="00881943">
            <w:pPr>
              <w:spacing w:before="20" w:after="20"/>
              <w:jc w:val="right"/>
              <w:rPr>
                <w:b/>
                <w:noProof/>
                <w:sz w:val="20"/>
              </w:rPr>
            </w:pPr>
          </w:p>
        </w:tc>
        <w:tc>
          <w:tcPr>
            <w:tcW w:w="1777" w:type="dxa"/>
            <w:vAlign w:val="center"/>
          </w:tcPr>
          <w:p w14:paraId="67ED8A05" w14:textId="77777777" w:rsidR="0037165D" w:rsidRPr="002866E5" w:rsidRDefault="0037165D" w:rsidP="00881943">
            <w:pPr>
              <w:spacing w:before="20" w:after="20"/>
              <w:jc w:val="right"/>
              <w:rPr>
                <w:b/>
                <w:noProof/>
                <w:sz w:val="20"/>
              </w:rPr>
            </w:pPr>
          </w:p>
        </w:tc>
      </w:tr>
    </w:tbl>
    <w:p w14:paraId="67ED8A07" w14:textId="77777777" w:rsidR="0037165D" w:rsidRPr="002866E5" w:rsidRDefault="0037165D" w:rsidP="00881943">
      <w:pPr>
        <w:rPr>
          <w:noProof/>
        </w:rPr>
      </w:pPr>
      <w:r w:rsidRPr="002866E5">
        <w:rPr>
          <w:noProof/>
        </w:rPr>
        <w:t xml:space="preserve"> </w:t>
      </w:r>
      <w:r w:rsidRPr="002866E5">
        <w:rPr>
          <w:noProof/>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37165D" w:rsidRPr="002866E5" w14:paraId="67ED8A13" w14:textId="77777777" w:rsidTr="00881943">
        <w:trPr>
          <w:trHeight w:val="277"/>
        </w:trPr>
        <w:tc>
          <w:tcPr>
            <w:tcW w:w="3960" w:type="dxa"/>
            <w:vMerge w:val="restart"/>
            <w:vAlign w:val="center"/>
          </w:tcPr>
          <w:p w14:paraId="67ED8A08" w14:textId="77777777" w:rsidR="0037165D" w:rsidRPr="002866E5" w:rsidRDefault="0037165D" w:rsidP="00881943">
            <w:pPr>
              <w:spacing w:before="20" w:after="20"/>
              <w:rPr>
                <w:noProof/>
              </w:rPr>
            </w:pPr>
            <w:r w:rsidRPr="002866E5">
              <w:rPr>
                <w:noProof/>
              </w:rPr>
              <w:br w:type="page"/>
            </w:r>
            <w:r w:rsidRPr="002866E5">
              <w:rPr>
                <w:noProof/>
                <w:sz w:val="21"/>
              </w:rPr>
              <w:sym w:font="Wingdings" w:char="F09F"/>
            </w:r>
            <w:r w:rsidRPr="002866E5">
              <w:rPr>
                <w:noProof/>
                <w:sz w:val="21"/>
              </w:rPr>
              <w:t xml:space="preserve"> OGÓŁEM środki operacyjne </w:t>
            </w:r>
          </w:p>
        </w:tc>
        <w:tc>
          <w:tcPr>
            <w:tcW w:w="1440" w:type="dxa"/>
            <w:vAlign w:val="center"/>
          </w:tcPr>
          <w:p w14:paraId="67ED8A09" w14:textId="77777777" w:rsidR="0037165D" w:rsidRPr="002866E5" w:rsidRDefault="0037165D" w:rsidP="00881943">
            <w:pPr>
              <w:spacing w:beforeLines="20" w:before="48" w:afterLines="20" w:after="48"/>
              <w:rPr>
                <w:noProof/>
                <w:sz w:val="18"/>
              </w:rPr>
            </w:pPr>
            <w:r w:rsidRPr="002866E5">
              <w:rPr>
                <w:noProof/>
                <w:sz w:val="18"/>
              </w:rPr>
              <w:t>Środki na zobowiązania</w:t>
            </w:r>
          </w:p>
        </w:tc>
        <w:tc>
          <w:tcPr>
            <w:tcW w:w="654" w:type="dxa"/>
            <w:vAlign w:val="center"/>
          </w:tcPr>
          <w:p w14:paraId="67ED8A0A" w14:textId="77777777" w:rsidR="0037165D" w:rsidRPr="002866E5" w:rsidRDefault="0037165D" w:rsidP="00881943">
            <w:pPr>
              <w:spacing w:beforeLines="20" w:before="48" w:afterLines="20" w:after="48"/>
              <w:jc w:val="center"/>
              <w:rPr>
                <w:noProof/>
                <w:sz w:val="14"/>
              </w:rPr>
            </w:pPr>
            <w:r w:rsidRPr="002866E5">
              <w:rPr>
                <w:noProof/>
                <w:sz w:val="14"/>
              </w:rPr>
              <w:t>(4)</w:t>
            </w:r>
          </w:p>
        </w:tc>
        <w:tc>
          <w:tcPr>
            <w:tcW w:w="868" w:type="dxa"/>
            <w:vAlign w:val="center"/>
          </w:tcPr>
          <w:p w14:paraId="67ED8A0B" w14:textId="77777777" w:rsidR="0037165D" w:rsidRPr="002866E5" w:rsidRDefault="0037165D" w:rsidP="00881943">
            <w:pPr>
              <w:spacing w:before="20" w:after="20"/>
              <w:jc w:val="right"/>
              <w:rPr>
                <w:noProof/>
                <w:sz w:val="20"/>
              </w:rPr>
            </w:pPr>
          </w:p>
        </w:tc>
        <w:tc>
          <w:tcPr>
            <w:tcW w:w="868" w:type="dxa"/>
            <w:vAlign w:val="center"/>
          </w:tcPr>
          <w:p w14:paraId="67ED8A0C" w14:textId="77777777" w:rsidR="0037165D" w:rsidRPr="002866E5" w:rsidRDefault="0037165D" w:rsidP="00881943">
            <w:pPr>
              <w:spacing w:before="20" w:after="20"/>
              <w:jc w:val="right"/>
              <w:rPr>
                <w:noProof/>
                <w:sz w:val="20"/>
              </w:rPr>
            </w:pPr>
          </w:p>
        </w:tc>
        <w:tc>
          <w:tcPr>
            <w:tcW w:w="868" w:type="dxa"/>
            <w:vAlign w:val="center"/>
          </w:tcPr>
          <w:p w14:paraId="67ED8A0D" w14:textId="77777777" w:rsidR="0037165D" w:rsidRPr="002866E5" w:rsidRDefault="0037165D" w:rsidP="00881943">
            <w:pPr>
              <w:spacing w:before="20" w:after="20"/>
              <w:jc w:val="right"/>
              <w:rPr>
                <w:noProof/>
                <w:sz w:val="20"/>
              </w:rPr>
            </w:pPr>
          </w:p>
        </w:tc>
        <w:tc>
          <w:tcPr>
            <w:tcW w:w="868" w:type="dxa"/>
            <w:vAlign w:val="center"/>
          </w:tcPr>
          <w:p w14:paraId="67ED8A0E" w14:textId="77777777" w:rsidR="0037165D" w:rsidRPr="002866E5" w:rsidRDefault="0037165D" w:rsidP="00881943">
            <w:pPr>
              <w:spacing w:before="20" w:after="20"/>
              <w:jc w:val="right"/>
              <w:rPr>
                <w:noProof/>
                <w:sz w:val="20"/>
              </w:rPr>
            </w:pPr>
          </w:p>
        </w:tc>
        <w:tc>
          <w:tcPr>
            <w:tcW w:w="868" w:type="dxa"/>
            <w:vAlign w:val="center"/>
          </w:tcPr>
          <w:p w14:paraId="67ED8A0F" w14:textId="77777777" w:rsidR="0037165D" w:rsidRPr="002866E5" w:rsidRDefault="0037165D" w:rsidP="00881943">
            <w:pPr>
              <w:spacing w:before="20" w:after="20"/>
              <w:jc w:val="right"/>
              <w:rPr>
                <w:noProof/>
                <w:sz w:val="20"/>
              </w:rPr>
            </w:pPr>
          </w:p>
        </w:tc>
        <w:tc>
          <w:tcPr>
            <w:tcW w:w="868" w:type="dxa"/>
            <w:vAlign w:val="center"/>
          </w:tcPr>
          <w:p w14:paraId="67ED8A10" w14:textId="77777777" w:rsidR="0037165D" w:rsidRPr="002866E5" w:rsidRDefault="0037165D" w:rsidP="00881943">
            <w:pPr>
              <w:spacing w:before="20" w:after="20"/>
              <w:jc w:val="right"/>
              <w:rPr>
                <w:noProof/>
                <w:sz w:val="20"/>
              </w:rPr>
            </w:pPr>
          </w:p>
        </w:tc>
        <w:tc>
          <w:tcPr>
            <w:tcW w:w="868" w:type="dxa"/>
            <w:vAlign w:val="center"/>
          </w:tcPr>
          <w:p w14:paraId="67ED8A11" w14:textId="77777777" w:rsidR="0037165D" w:rsidRPr="002866E5" w:rsidRDefault="0037165D" w:rsidP="00881943">
            <w:pPr>
              <w:spacing w:before="20" w:after="20"/>
              <w:jc w:val="right"/>
              <w:rPr>
                <w:b/>
                <w:noProof/>
                <w:sz w:val="20"/>
              </w:rPr>
            </w:pPr>
          </w:p>
        </w:tc>
        <w:tc>
          <w:tcPr>
            <w:tcW w:w="1777" w:type="dxa"/>
            <w:vAlign w:val="center"/>
          </w:tcPr>
          <w:p w14:paraId="67ED8A12" w14:textId="77777777" w:rsidR="0037165D" w:rsidRPr="002866E5" w:rsidRDefault="0037165D" w:rsidP="00881943">
            <w:pPr>
              <w:spacing w:before="20" w:after="20"/>
              <w:jc w:val="right"/>
              <w:rPr>
                <w:b/>
                <w:noProof/>
                <w:sz w:val="20"/>
              </w:rPr>
            </w:pPr>
          </w:p>
        </w:tc>
      </w:tr>
      <w:tr w:rsidR="0037165D" w:rsidRPr="002866E5" w14:paraId="67ED8A1F" w14:textId="77777777" w:rsidTr="00881943">
        <w:tc>
          <w:tcPr>
            <w:tcW w:w="3960" w:type="dxa"/>
            <w:vMerge/>
          </w:tcPr>
          <w:p w14:paraId="67ED8A14" w14:textId="77777777" w:rsidR="0037165D" w:rsidRPr="002866E5" w:rsidRDefault="0037165D" w:rsidP="00881943">
            <w:pPr>
              <w:jc w:val="center"/>
              <w:rPr>
                <w:noProof/>
                <w:sz w:val="20"/>
              </w:rPr>
            </w:pPr>
          </w:p>
        </w:tc>
        <w:tc>
          <w:tcPr>
            <w:tcW w:w="1440" w:type="dxa"/>
            <w:vAlign w:val="center"/>
          </w:tcPr>
          <w:p w14:paraId="67ED8A15" w14:textId="77777777" w:rsidR="0037165D" w:rsidRPr="002866E5" w:rsidRDefault="0037165D" w:rsidP="00881943">
            <w:pPr>
              <w:spacing w:beforeLines="20" w:before="48" w:afterLines="20" w:after="48"/>
              <w:rPr>
                <w:noProof/>
                <w:sz w:val="18"/>
              </w:rPr>
            </w:pPr>
            <w:r w:rsidRPr="002866E5">
              <w:rPr>
                <w:noProof/>
                <w:sz w:val="18"/>
              </w:rPr>
              <w:t>Środki na płatności</w:t>
            </w:r>
          </w:p>
        </w:tc>
        <w:tc>
          <w:tcPr>
            <w:tcW w:w="654" w:type="dxa"/>
            <w:vAlign w:val="center"/>
          </w:tcPr>
          <w:p w14:paraId="67ED8A16" w14:textId="77777777" w:rsidR="0037165D" w:rsidRPr="002866E5" w:rsidRDefault="0037165D" w:rsidP="00881943">
            <w:pPr>
              <w:spacing w:beforeLines="20" w:before="48" w:afterLines="20" w:after="48"/>
              <w:jc w:val="center"/>
              <w:rPr>
                <w:noProof/>
                <w:sz w:val="14"/>
              </w:rPr>
            </w:pPr>
            <w:r w:rsidRPr="002866E5">
              <w:rPr>
                <w:noProof/>
                <w:sz w:val="14"/>
              </w:rPr>
              <w:t>(5)</w:t>
            </w:r>
          </w:p>
        </w:tc>
        <w:tc>
          <w:tcPr>
            <w:tcW w:w="868" w:type="dxa"/>
            <w:vAlign w:val="center"/>
          </w:tcPr>
          <w:p w14:paraId="67ED8A17" w14:textId="77777777" w:rsidR="0037165D" w:rsidRPr="002866E5" w:rsidRDefault="0037165D" w:rsidP="00881943">
            <w:pPr>
              <w:spacing w:before="20" w:after="20"/>
              <w:jc w:val="right"/>
              <w:rPr>
                <w:noProof/>
                <w:sz w:val="20"/>
              </w:rPr>
            </w:pPr>
          </w:p>
        </w:tc>
        <w:tc>
          <w:tcPr>
            <w:tcW w:w="868" w:type="dxa"/>
            <w:vAlign w:val="center"/>
          </w:tcPr>
          <w:p w14:paraId="67ED8A18" w14:textId="77777777" w:rsidR="0037165D" w:rsidRPr="002866E5" w:rsidRDefault="0037165D" w:rsidP="00881943">
            <w:pPr>
              <w:spacing w:before="20" w:after="20"/>
              <w:jc w:val="right"/>
              <w:rPr>
                <w:noProof/>
                <w:sz w:val="20"/>
              </w:rPr>
            </w:pPr>
          </w:p>
        </w:tc>
        <w:tc>
          <w:tcPr>
            <w:tcW w:w="868" w:type="dxa"/>
            <w:vAlign w:val="center"/>
          </w:tcPr>
          <w:p w14:paraId="67ED8A19" w14:textId="77777777" w:rsidR="0037165D" w:rsidRPr="002866E5" w:rsidRDefault="0037165D" w:rsidP="00881943">
            <w:pPr>
              <w:spacing w:before="20" w:after="20"/>
              <w:jc w:val="right"/>
              <w:rPr>
                <w:noProof/>
                <w:sz w:val="20"/>
              </w:rPr>
            </w:pPr>
          </w:p>
        </w:tc>
        <w:tc>
          <w:tcPr>
            <w:tcW w:w="868" w:type="dxa"/>
            <w:vAlign w:val="center"/>
          </w:tcPr>
          <w:p w14:paraId="67ED8A1A" w14:textId="77777777" w:rsidR="0037165D" w:rsidRPr="002866E5" w:rsidRDefault="0037165D" w:rsidP="00881943">
            <w:pPr>
              <w:spacing w:before="20" w:after="20"/>
              <w:jc w:val="right"/>
              <w:rPr>
                <w:noProof/>
                <w:sz w:val="20"/>
              </w:rPr>
            </w:pPr>
          </w:p>
        </w:tc>
        <w:tc>
          <w:tcPr>
            <w:tcW w:w="868" w:type="dxa"/>
            <w:vAlign w:val="center"/>
          </w:tcPr>
          <w:p w14:paraId="67ED8A1B" w14:textId="77777777" w:rsidR="0037165D" w:rsidRPr="002866E5" w:rsidRDefault="0037165D" w:rsidP="00881943">
            <w:pPr>
              <w:spacing w:before="20" w:after="20"/>
              <w:jc w:val="right"/>
              <w:rPr>
                <w:noProof/>
                <w:sz w:val="20"/>
              </w:rPr>
            </w:pPr>
          </w:p>
        </w:tc>
        <w:tc>
          <w:tcPr>
            <w:tcW w:w="868" w:type="dxa"/>
            <w:vAlign w:val="center"/>
          </w:tcPr>
          <w:p w14:paraId="67ED8A1C" w14:textId="77777777" w:rsidR="0037165D" w:rsidRPr="002866E5" w:rsidRDefault="0037165D" w:rsidP="00881943">
            <w:pPr>
              <w:spacing w:before="20" w:after="20"/>
              <w:jc w:val="right"/>
              <w:rPr>
                <w:noProof/>
                <w:sz w:val="20"/>
              </w:rPr>
            </w:pPr>
          </w:p>
        </w:tc>
        <w:tc>
          <w:tcPr>
            <w:tcW w:w="868" w:type="dxa"/>
            <w:vAlign w:val="center"/>
          </w:tcPr>
          <w:p w14:paraId="67ED8A1D" w14:textId="77777777" w:rsidR="0037165D" w:rsidRPr="002866E5" w:rsidRDefault="0037165D" w:rsidP="00881943">
            <w:pPr>
              <w:spacing w:before="20" w:after="20"/>
              <w:jc w:val="right"/>
              <w:rPr>
                <w:b/>
                <w:noProof/>
                <w:sz w:val="20"/>
              </w:rPr>
            </w:pPr>
          </w:p>
        </w:tc>
        <w:tc>
          <w:tcPr>
            <w:tcW w:w="1777" w:type="dxa"/>
            <w:vAlign w:val="center"/>
          </w:tcPr>
          <w:p w14:paraId="67ED8A1E" w14:textId="77777777" w:rsidR="0037165D" w:rsidRPr="002866E5" w:rsidRDefault="0037165D" w:rsidP="00881943">
            <w:pPr>
              <w:spacing w:before="20" w:after="20"/>
              <w:jc w:val="right"/>
              <w:rPr>
                <w:b/>
                <w:noProof/>
                <w:sz w:val="20"/>
              </w:rPr>
            </w:pPr>
          </w:p>
        </w:tc>
      </w:tr>
      <w:tr w:rsidR="0037165D" w:rsidRPr="002866E5" w14:paraId="67ED8A2A" w14:textId="77777777" w:rsidTr="00881943">
        <w:trPr>
          <w:trHeight w:val="533"/>
        </w:trPr>
        <w:tc>
          <w:tcPr>
            <w:tcW w:w="5400" w:type="dxa"/>
            <w:gridSpan w:val="2"/>
            <w:vAlign w:val="center"/>
          </w:tcPr>
          <w:p w14:paraId="67ED8A20" w14:textId="77777777" w:rsidR="0037165D" w:rsidRPr="002866E5" w:rsidRDefault="0037165D" w:rsidP="00881943">
            <w:pPr>
              <w:spacing w:beforeLines="20" w:before="48" w:afterLines="20" w:after="48"/>
              <w:rPr>
                <w:noProof/>
              </w:rPr>
            </w:pPr>
            <w:r w:rsidRPr="002866E5">
              <w:rPr>
                <w:noProof/>
                <w:sz w:val="21"/>
              </w:rPr>
              <w:sym w:font="Wingdings" w:char="F09F"/>
            </w:r>
            <w:r w:rsidRPr="002866E5">
              <w:rPr>
                <w:noProof/>
                <w:sz w:val="21"/>
              </w:rPr>
              <w:t xml:space="preserve"> OGÓŁEM środki administracyjne finansowane ze środków przydzielonych na określone programy </w:t>
            </w:r>
          </w:p>
        </w:tc>
        <w:tc>
          <w:tcPr>
            <w:tcW w:w="654" w:type="dxa"/>
            <w:vAlign w:val="center"/>
          </w:tcPr>
          <w:p w14:paraId="67ED8A21" w14:textId="77777777" w:rsidR="0037165D" w:rsidRPr="002866E5" w:rsidRDefault="0037165D" w:rsidP="00881943">
            <w:pPr>
              <w:spacing w:beforeLines="20" w:before="48" w:afterLines="20" w:after="48"/>
              <w:jc w:val="center"/>
              <w:rPr>
                <w:noProof/>
                <w:sz w:val="14"/>
              </w:rPr>
            </w:pPr>
            <w:r w:rsidRPr="002866E5">
              <w:rPr>
                <w:noProof/>
                <w:sz w:val="14"/>
              </w:rPr>
              <w:t>(6)</w:t>
            </w:r>
          </w:p>
        </w:tc>
        <w:tc>
          <w:tcPr>
            <w:tcW w:w="868" w:type="dxa"/>
            <w:vAlign w:val="center"/>
          </w:tcPr>
          <w:p w14:paraId="67ED8A22" w14:textId="77777777" w:rsidR="0037165D" w:rsidRPr="002866E5" w:rsidRDefault="0037165D" w:rsidP="00881943">
            <w:pPr>
              <w:spacing w:before="20" w:after="20"/>
              <w:jc w:val="right"/>
              <w:rPr>
                <w:b/>
                <w:noProof/>
                <w:sz w:val="20"/>
              </w:rPr>
            </w:pPr>
          </w:p>
        </w:tc>
        <w:tc>
          <w:tcPr>
            <w:tcW w:w="868" w:type="dxa"/>
            <w:vAlign w:val="center"/>
          </w:tcPr>
          <w:p w14:paraId="67ED8A23" w14:textId="77777777" w:rsidR="0037165D" w:rsidRPr="002866E5" w:rsidRDefault="0037165D" w:rsidP="00881943">
            <w:pPr>
              <w:spacing w:before="20" w:after="20"/>
              <w:jc w:val="right"/>
              <w:rPr>
                <w:b/>
                <w:noProof/>
                <w:sz w:val="20"/>
              </w:rPr>
            </w:pPr>
          </w:p>
        </w:tc>
        <w:tc>
          <w:tcPr>
            <w:tcW w:w="868" w:type="dxa"/>
            <w:vAlign w:val="center"/>
          </w:tcPr>
          <w:p w14:paraId="67ED8A24" w14:textId="77777777" w:rsidR="0037165D" w:rsidRPr="002866E5" w:rsidRDefault="0037165D" w:rsidP="00881943">
            <w:pPr>
              <w:spacing w:before="20" w:after="20"/>
              <w:jc w:val="right"/>
              <w:rPr>
                <w:b/>
                <w:noProof/>
                <w:sz w:val="20"/>
              </w:rPr>
            </w:pPr>
          </w:p>
        </w:tc>
        <w:tc>
          <w:tcPr>
            <w:tcW w:w="868" w:type="dxa"/>
            <w:vAlign w:val="center"/>
          </w:tcPr>
          <w:p w14:paraId="67ED8A25" w14:textId="77777777" w:rsidR="0037165D" w:rsidRPr="002866E5" w:rsidRDefault="0037165D" w:rsidP="00881943">
            <w:pPr>
              <w:spacing w:before="20" w:after="20"/>
              <w:jc w:val="right"/>
              <w:rPr>
                <w:b/>
                <w:noProof/>
                <w:sz w:val="20"/>
              </w:rPr>
            </w:pPr>
          </w:p>
        </w:tc>
        <w:tc>
          <w:tcPr>
            <w:tcW w:w="868" w:type="dxa"/>
            <w:vAlign w:val="center"/>
          </w:tcPr>
          <w:p w14:paraId="67ED8A26" w14:textId="77777777" w:rsidR="0037165D" w:rsidRPr="002866E5" w:rsidRDefault="0037165D" w:rsidP="00881943">
            <w:pPr>
              <w:spacing w:before="20" w:after="20"/>
              <w:jc w:val="right"/>
              <w:rPr>
                <w:b/>
                <w:noProof/>
                <w:sz w:val="20"/>
              </w:rPr>
            </w:pPr>
          </w:p>
        </w:tc>
        <w:tc>
          <w:tcPr>
            <w:tcW w:w="868" w:type="dxa"/>
            <w:vAlign w:val="center"/>
          </w:tcPr>
          <w:p w14:paraId="67ED8A27" w14:textId="77777777" w:rsidR="0037165D" w:rsidRPr="002866E5" w:rsidRDefault="0037165D" w:rsidP="00881943">
            <w:pPr>
              <w:spacing w:before="20" w:after="20"/>
              <w:jc w:val="right"/>
              <w:rPr>
                <w:b/>
                <w:noProof/>
                <w:sz w:val="20"/>
              </w:rPr>
            </w:pPr>
          </w:p>
        </w:tc>
        <w:tc>
          <w:tcPr>
            <w:tcW w:w="868" w:type="dxa"/>
            <w:vAlign w:val="center"/>
          </w:tcPr>
          <w:p w14:paraId="67ED8A28" w14:textId="77777777" w:rsidR="0037165D" w:rsidRPr="002866E5" w:rsidRDefault="0037165D" w:rsidP="00881943">
            <w:pPr>
              <w:spacing w:before="20" w:after="20"/>
              <w:jc w:val="right"/>
              <w:rPr>
                <w:b/>
                <w:noProof/>
                <w:sz w:val="20"/>
              </w:rPr>
            </w:pPr>
          </w:p>
        </w:tc>
        <w:tc>
          <w:tcPr>
            <w:tcW w:w="1777" w:type="dxa"/>
            <w:vAlign w:val="center"/>
          </w:tcPr>
          <w:p w14:paraId="67ED8A29" w14:textId="77777777" w:rsidR="0037165D" w:rsidRPr="002866E5" w:rsidRDefault="0037165D" w:rsidP="00881943">
            <w:pPr>
              <w:spacing w:before="20" w:after="20"/>
              <w:jc w:val="right"/>
              <w:rPr>
                <w:b/>
                <w:noProof/>
                <w:sz w:val="20"/>
              </w:rPr>
            </w:pPr>
          </w:p>
        </w:tc>
      </w:tr>
      <w:tr w:rsidR="0037165D" w:rsidRPr="002866E5" w14:paraId="67ED8A36" w14:textId="77777777" w:rsidTr="00881943">
        <w:tc>
          <w:tcPr>
            <w:tcW w:w="3960" w:type="dxa"/>
            <w:vMerge w:val="restart"/>
            <w:shd w:val="thinDiagStripe" w:color="C0C0C0" w:fill="auto"/>
            <w:vAlign w:val="center"/>
          </w:tcPr>
          <w:p w14:paraId="67ED8A2B" w14:textId="0DFE4739" w:rsidR="0037165D" w:rsidRPr="002866E5" w:rsidRDefault="0037165D" w:rsidP="002866E5">
            <w:pPr>
              <w:jc w:val="center"/>
              <w:rPr>
                <w:b/>
                <w:noProof/>
              </w:rPr>
            </w:pPr>
            <w:r w:rsidRPr="002866E5">
              <w:rPr>
                <w:b/>
                <w:noProof/>
                <w:sz w:val="22"/>
              </w:rPr>
              <w:t>OGÓŁEM środki</w:t>
            </w:r>
            <w:r w:rsidRPr="002866E5">
              <w:rPr>
                <w:noProof/>
              </w:rPr>
              <w:br/>
            </w:r>
            <w:r w:rsidRPr="002866E5">
              <w:rPr>
                <w:b/>
                <w:noProof/>
                <w:sz w:val="22"/>
              </w:rPr>
              <w:t>na DZIAŁ &lt;…&gt;</w:t>
            </w:r>
            <w:r w:rsidRPr="002866E5">
              <w:rPr>
                <w:noProof/>
              </w:rPr>
              <w:t xml:space="preserve"> </w:t>
            </w:r>
            <w:r w:rsidRPr="002866E5">
              <w:rPr>
                <w:noProof/>
              </w:rPr>
              <w:br/>
            </w:r>
            <w:r w:rsidRPr="002866E5">
              <w:rPr>
                <w:noProof/>
                <w:sz w:val="22"/>
              </w:rPr>
              <w:t>wieloletnich ram finansowych</w:t>
            </w:r>
          </w:p>
        </w:tc>
        <w:tc>
          <w:tcPr>
            <w:tcW w:w="1440" w:type="dxa"/>
            <w:vAlign w:val="center"/>
          </w:tcPr>
          <w:p w14:paraId="67ED8A2C" w14:textId="77777777" w:rsidR="0037165D" w:rsidRPr="002866E5" w:rsidRDefault="0037165D" w:rsidP="00881943">
            <w:pPr>
              <w:rPr>
                <w:noProof/>
                <w:sz w:val="18"/>
              </w:rPr>
            </w:pPr>
            <w:r w:rsidRPr="002866E5">
              <w:rPr>
                <w:noProof/>
                <w:sz w:val="18"/>
              </w:rPr>
              <w:t>Środki na zobowiązania</w:t>
            </w:r>
          </w:p>
        </w:tc>
        <w:tc>
          <w:tcPr>
            <w:tcW w:w="654" w:type="dxa"/>
            <w:vAlign w:val="center"/>
          </w:tcPr>
          <w:p w14:paraId="67ED8A2D" w14:textId="77777777" w:rsidR="0037165D" w:rsidRPr="002866E5" w:rsidRDefault="0037165D" w:rsidP="00881943">
            <w:pPr>
              <w:jc w:val="center"/>
              <w:rPr>
                <w:noProof/>
                <w:sz w:val="14"/>
              </w:rPr>
            </w:pPr>
            <w:r w:rsidRPr="002866E5">
              <w:rPr>
                <w:noProof/>
                <w:sz w:val="14"/>
              </w:rPr>
              <w:t>=4+6</w:t>
            </w:r>
          </w:p>
        </w:tc>
        <w:tc>
          <w:tcPr>
            <w:tcW w:w="868" w:type="dxa"/>
            <w:vAlign w:val="center"/>
          </w:tcPr>
          <w:p w14:paraId="67ED8A2E" w14:textId="77777777" w:rsidR="0037165D" w:rsidRPr="002866E5" w:rsidRDefault="0037165D" w:rsidP="00881943">
            <w:pPr>
              <w:spacing w:before="20" w:after="20"/>
              <w:jc w:val="right"/>
              <w:rPr>
                <w:noProof/>
                <w:sz w:val="20"/>
              </w:rPr>
            </w:pPr>
          </w:p>
        </w:tc>
        <w:tc>
          <w:tcPr>
            <w:tcW w:w="868" w:type="dxa"/>
            <w:vAlign w:val="center"/>
          </w:tcPr>
          <w:p w14:paraId="67ED8A2F" w14:textId="77777777" w:rsidR="0037165D" w:rsidRPr="002866E5" w:rsidRDefault="0037165D" w:rsidP="00881943">
            <w:pPr>
              <w:spacing w:before="20" w:after="20"/>
              <w:jc w:val="right"/>
              <w:rPr>
                <w:noProof/>
                <w:sz w:val="20"/>
              </w:rPr>
            </w:pPr>
          </w:p>
        </w:tc>
        <w:tc>
          <w:tcPr>
            <w:tcW w:w="868" w:type="dxa"/>
            <w:vAlign w:val="center"/>
          </w:tcPr>
          <w:p w14:paraId="67ED8A30" w14:textId="77777777" w:rsidR="0037165D" w:rsidRPr="002866E5" w:rsidRDefault="0037165D" w:rsidP="00881943">
            <w:pPr>
              <w:spacing w:before="20" w:after="20"/>
              <w:jc w:val="right"/>
              <w:rPr>
                <w:noProof/>
                <w:sz w:val="20"/>
              </w:rPr>
            </w:pPr>
          </w:p>
        </w:tc>
        <w:tc>
          <w:tcPr>
            <w:tcW w:w="868" w:type="dxa"/>
            <w:vAlign w:val="center"/>
          </w:tcPr>
          <w:p w14:paraId="67ED8A31" w14:textId="77777777" w:rsidR="0037165D" w:rsidRPr="002866E5" w:rsidRDefault="0037165D" w:rsidP="00881943">
            <w:pPr>
              <w:spacing w:before="20" w:after="20"/>
              <w:jc w:val="right"/>
              <w:rPr>
                <w:noProof/>
                <w:sz w:val="20"/>
              </w:rPr>
            </w:pPr>
          </w:p>
        </w:tc>
        <w:tc>
          <w:tcPr>
            <w:tcW w:w="868" w:type="dxa"/>
            <w:vAlign w:val="center"/>
          </w:tcPr>
          <w:p w14:paraId="67ED8A32" w14:textId="77777777" w:rsidR="0037165D" w:rsidRPr="002866E5" w:rsidRDefault="0037165D" w:rsidP="00881943">
            <w:pPr>
              <w:spacing w:before="20" w:after="20"/>
              <w:jc w:val="right"/>
              <w:rPr>
                <w:noProof/>
                <w:sz w:val="20"/>
              </w:rPr>
            </w:pPr>
          </w:p>
        </w:tc>
        <w:tc>
          <w:tcPr>
            <w:tcW w:w="868" w:type="dxa"/>
            <w:vAlign w:val="center"/>
          </w:tcPr>
          <w:p w14:paraId="67ED8A33" w14:textId="77777777" w:rsidR="0037165D" w:rsidRPr="002866E5" w:rsidRDefault="0037165D" w:rsidP="00881943">
            <w:pPr>
              <w:spacing w:before="20" w:after="20"/>
              <w:jc w:val="right"/>
              <w:rPr>
                <w:noProof/>
                <w:sz w:val="20"/>
              </w:rPr>
            </w:pPr>
          </w:p>
        </w:tc>
        <w:tc>
          <w:tcPr>
            <w:tcW w:w="868" w:type="dxa"/>
            <w:vAlign w:val="center"/>
          </w:tcPr>
          <w:p w14:paraId="67ED8A34" w14:textId="77777777" w:rsidR="0037165D" w:rsidRPr="002866E5" w:rsidRDefault="0037165D" w:rsidP="00881943">
            <w:pPr>
              <w:spacing w:before="20" w:after="20"/>
              <w:jc w:val="right"/>
              <w:rPr>
                <w:b/>
                <w:noProof/>
                <w:sz w:val="20"/>
              </w:rPr>
            </w:pPr>
          </w:p>
        </w:tc>
        <w:tc>
          <w:tcPr>
            <w:tcW w:w="1777" w:type="dxa"/>
            <w:vAlign w:val="center"/>
          </w:tcPr>
          <w:p w14:paraId="67ED8A35" w14:textId="77777777" w:rsidR="0037165D" w:rsidRPr="002866E5" w:rsidRDefault="0037165D" w:rsidP="00881943">
            <w:pPr>
              <w:spacing w:before="20" w:after="20"/>
              <w:jc w:val="right"/>
              <w:rPr>
                <w:b/>
                <w:noProof/>
                <w:sz w:val="20"/>
              </w:rPr>
            </w:pPr>
          </w:p>
        </w:tc>
      </w:tr>
      <w:tr w:rsidR="0037165D" w:rsidRPr="002866E5" w14:paraId="67ED8A42" w14:textId="77777777" w:rsidTr="00881943">
        <w:tc>
          <w:tcPr>
            <w:tcW w:w="3960" w:type="dxa"/>
            <w:vMerge/>
            <w:shd w:val="thinDiagStripe" w:color="C0C0C0" w:fill="auto"/>
          </w:tcPr>
          <w:p w14:paraId="67ED8A37" w14:textId="77777777" w:rsidR="0037165D" w:rsidRPr="002866E5" w:rsidRDefault="0037165D" w:rsidP="00881943">
            <w:pPr>
              <w:rPr>
                <w:noProof/>
                <w:sz w:val="20"/>
              </w:rPr>
            </w:pPr>
          </w:p>
        </w:tc>
        <w:tc>
          <w:tcPr>
            <w:tcW w:w="1440" w:type="dxa"/>
            <w:vAlign w:val="center"/>
          </w:tcPr>
          <w:p w14:paraId="67ED8A38" w14:textId="77777777" w:rsidR="0037165D" w:rsidRPr="002866E5" w:rsidRDefault="0037165D" w:rsidP="00881943">
            <w:pPr>
              <w:rPr>
                <w:noProof/>
                <w:sz w:val="18"/>
              </w:rPr>
            </w:pPr>
            <w:r w:rsidRPr="002866E5">
              <w:rPr>
                <w:noProof/>
                <w:sz w:val="18"/>
              </w:rPr>
              <w:t>Środki na płatności</w:t>
            </w:r>
          </w:p>
        </w:tc>
        <w:tc>
          <w:tcPr>
            <w:tcW w:w="654" w:type="dxa"/>
            <w:vAlign w:val="center"/>
          </w:tcPr>
          <w:p w14:paraId="67ED8A39" w14:textId="77777777" w:rsidR="0037165D" w:rsidRPr="002866E5" w:rsidRDefault="0037165D" w:rsidP="00881943">
            <w:pPr>
              <w:jc w:val="center"/>
              <w:rPr>
                <w:noProof/>
                <w:sz w:val="14"/>
              </w:rPr>
            </w:pPr>
            <w:r w:rsidRPr="002866E5">
              <w:rPr>
                <w:noProof/>
                <w:sz w:val="14"/>
              </w:rPr>
              <w:t>=5+6</w:t>
            </w:r>
          </w:p>
        </w:tc>
        <w:tc>
          <w:tcPr>
            <w:tcW w:w="868" w:type="dxa"/>
            <w:vAlign w:val="center"/>
          </w:tcPr>
          <w:p w14:paraId="67ED8A3A" w14:textId="77777777" w:rsidR="0037165D" w:rsidRPr="002866E5" w:rsidRDefault="0037165D" w:rsidP="00881943">
            <w:pPr>
              <w:spacing w:before="20" w:after="20"/>
              <w:jc w:val="right"/>
              <w:rPr>
                <w:noProof/>
                <w:sz w:val="20"/>
              </w:rPr>
            </w:pPr>
          </w:p>
        </w:tc>
        <w:tc>
          <w:tcPr>
            <w:tcW w:w="868" w:type="dxa"/>
            <w:vAlign w:val="center"/>
          </w:tcPr>
          <w:p w14:paraId="67ED8A3B" w14:textId="77777777" w:rsidR="0037165D" w:rsidRPr="002866E5" w:rsidRDefault="0037165D" w:rsidP="00881943">
            <w:pPr>
              <w:spacing w:before="20" w:after="20"/>
              <w:jc w:val="right"/>
              <w:rPr>
                <w:noProof/>
                <w:sz w:val="20"/>
              </w:rPr>
            </w:pPr>
          </w:p>
        </w:tc>
        <w:tc>
          <w:tcPr>
            <w:tcW w:w="868" w:type="dxa"/>
            <w:vAlign w:val="center"/>
          </w:tcPr>
          <w:p w14:paraId="67ED8A3C" w14:textId="77777777" w:rsidR="0037165D" w:rsidRPr="002866E5" w:rsidRDefault="0037165D" w:rsidP="00881943">
            <w:pPr>
              <w:spacing w:before="20" w:after="20"/>
              <w:jc w:val="right"/>
              <w:rPr>
                <w:noProof/>
                <w:sz w:val="20"/>
              </w:rPr>
            </w:pPr>
          </w:p>
        </w:tc>
        <w:tc>
          <w:tcPr>
            <w:tcW w:w="868" w:type="dxa"/>
            <w:vAlign w:val="center"/>
          </w:tcPr>
          <w:p w14:paraId="67ED8A3D" w14:textId="77777777" w:rsidR="0037165D" w:rsidRPr="002866E5" w:rsidRDefault="0037165D" w:rsidP="00881943">
            <w:pPr>
              <w:spacing w:before="20" w:after="20"/>
              <w:jc w:val="right"/>
              <w:rPr>
                <w:noProof/>
                <w:sz w:val="20"/>
              </w:rPr>
            </w:pPr>
          </w:p>
        </w:tc>
        <w:tc>
          <w:tcPr>
            <w:tcW w:w="868" w:type="dxa"/>
            <w:vAlign w:val="center"/>
          </w:tcPr>
          <w:p w14:paraId="67ED8A3E" w14:textId="77777777" w:rsidR="0037165D" w:rsidRPr="002866E5" w:rsidRDefault="0037165D" w:rsidP="00881943">
            <w:pPr>
              <w:spacing w:before="20" w:after="20"/>
              <w:jc w:val="right"/>
              <w:rPr>
                <w:noProof/>
                <w:sz w:val="20"/>
              </w:rPr>
            </w:pPr>
          </w:p>
        </w:tc>
        <w:tc>
          <w:tcPr>
            <w:tcW w:w="868" w:type="dxa"/>
            <w:vAlign w:val="center"/>
          </w:tcPr>
          <w:p w14:paraId="67ED8A3F" w14:textId="77777777" w:rsidR="0037165D" w:rsidRPr="002866E5" w:rsidRDefault="0037165D" w:rsidP="00881943">
            <w:pPr>
              <w:spacing w:before="20" w:after="20"/>
              <w:jc w:val="right"/>
              <w:rPr>
                <w:noProof/>
                <w:sz w:val="20"/>
              </w:rPr>
            </w:pPr>
          </w:p>
        </w:tc>
        <w:tc>
          <w:tcPr>
            <w:tcW w:w="868" w:type="dxa"/>
            <w:vAlign w:val="center"/>
          </w:tcPr>
          <w:p w14:paraId="67ED8A40" w14:textId="77777777" w:rsidR="0037165D" w:rsidRPr="002866E5" w:rsidRDefault="0037165D" w:rsidP="00881943">
            <w:pPr>
              <w:spacing w:before="20" w:after="20"/>
              <w:jc w:val="right"/>
              <w:rPr>
                <w:b/>
                <w:noProof/>
                <w:sz w:val="20"/>
              </w:rPr>
            </w:pPr>
          </w:p>
        </w:tc>
        <w:tc>
          <w:tcPr>
            <w:tcW w:w="1777" w:type="dxa"/>
            <w:vAlign w:val="center"/>
          </w:tcPr>
          <w:p w14:paraId="67ED8A41" w14:textId="77777777" w:rsidR="0037165D" w:rsidRPr="002866E5" w:rsidRDefault="0037165D" w:rsidP="00881943">
            <w:pPr>
              <w:spacing w:before="20" w:after="20"/>
              <w:jc w:val="right"/>
              <w:rPr>
                <w:b/>
                <w:noProof/>
                <w:sz w:val="20"/>
              </w:rPr>
            </w:pPr>
          </w:p>
        </w:tc>
      </w:tr>
    </w:tbl>
    <w:p w14:paraId="67ED8A43" w14:textId="77777777" w:rsidR="0037165D" w:rsidRPr="002866E5" w:rsidRDefault="0037165D" w:rsidP="00881943">
      <w:pPr>
        <w:spacing w:after="40"/>
        <w:rPr>
          <w:b/>
          <w:noProof/>
          <w:sz w:val="22"/>
          <w:u w:val="single"/>
        </w:rPr>
      </w:pPr>
      <w:r w:rsidRPr="002866E5">
        <w:rPr>
          <w:b/>
          <w:noProof/>
          <w:sz w:val="22"/>
          <w:u w:val="single"/>
        </w:rPr>
        <w:t>Jeżeli wpływ wniosku/inicjatywy nie ogranicza się do jednego działu operacyjnego, należy powtórzyć powyższą część:</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rsidR="0037165D" w:rsidRPr="002866E5" w14:paraId="67ED8A4F" w14:textId="77777777" w:rsidTr="00881943">
        <w:trPr>
          <w:trHeight w:val="277"/>
        </w:trPr>
        <w:tc>
          <w:tcPr>
            <w:tcW w:w="3960" w:type="dxa"/>
            <w:vMerge w:val="restart"/>
            <w:tcBorders>
              <w:top w:val="single" w:sz="4" w:space="0" w:color="auto"/>
              <w:left w:val="single" w:sz="4" w:space="0" w:color="auto"/>
              <w:bottom w:val="single" w:sz="4" w:space="0" w:color="FF0000"/>
            </w:tcBorders>
            <w:vAlign w:val="center"/>
          </w:tcPr>
          <w:p w14:paraId="67ED8A44" w14:textId="77777777" w:rsidR="0037165D" w:rsidRPr="002866E5" w:rsidRDefault="0037165D" w:rsidP="00881943">
            <w:pPr>
              <w:spacing w:before="20" w:after="20"/>
              <w:rPr>
                <w:noProof/>
              </w:rPr>
            </w:pPr>
            <w:r w:rsidRPr="002866E5">
              <w:rPr>
                <w:noProof/>
                <w:sz w:val="21"/>
              </w:rPr>
              <w:sym w:font="Wingdings" w:char="F09F"/>
            </w:r>
            <w:r w:rsidRPr="002866E5">
              <w:rPr>
                <w:noProof/>
                <w:sz w:val="21"/>
              </w:rPr>
              <w:t xml:space="preserve"> OGÓŁEM środki operacyjne (wszystkie działy operacyjne)</w:t>
            </w:r>
          </w:p>
        </w:tc>
        <w:tc>
          <w:tcPr>
            <w:tcW w:w="1440" w:type="dxa"/>
            <w:tcBorders>
              <w:top w:val="single" w:sz="4" w:space="0" w:color="auto"/>
            </w:tcBorders>
            <w:vAlign w:val="center"/>
          </w:tcPr>
          <w:p w14:paraId="67ED8A45" w14:textId="77777777" w:rsidR="0037165D" w:rsidRPr="002866E5" w:rsidRDefault="0037165D" w:rsidP="00881943">
            <w:pPr>
              <w:spacing w:beforeLines="20" w:before="48" w:afterLines="20" w:after="48"/>
              <w:rPr>
                <w:noProof/>
                <w:sz w:val="18"/>
              </w:rPr>
            </w:pPr>
            <w:r w:rsidRPr="002866E5">
              <w:rPr>
                <w:noProof/>
                <w:sz w:val="18"/>
              </w:rPr>
              <w:t>Środki na zobowiązania</w:t>
            </w:r>
          </w:p>
        </w:tc>
        <w:tc>
          <w:tcPr>
            <w:tcW w:w="654" w:type="dxa"/>
            <w:tcBorders>
              <w:top w:val="single" w:sz="4" w:space="0" w:color="auto"/>
            </w:tcBorders>
            <w:vAlign w:val="center"/>
          </w:tcPr>
          <w:p w14:paraId="67ED8A46" w14:textId="77777777" w:rsidR="0037165D" w:rsidRPr="002866E5" w:rsidRDefault="0037165D" w:rsidP="00881943">
            <w:pPr>
              <w:spacing w:beforeLines="20" w:before="48" w:afterLines="20" w:after="48"/>
              <w:jc w:val="center"/>
              <w:rPr>
                <w:noProof/>
                <w:sz w:val="14"/>
              </w:rPr>
            </w:pPr>
            <w:r w:rsidRPr="002866E5">
              <w:rPr>
                <w:noProof/>
                <w:sz w:val="14"/>
              </w:rPr>
              <w:t>(4)</w:t>
            </w:r>
          </w:p>
        </w:tc>
        <w:tc>
          <w:tcPr>
            <w:tcW w:w="868" w:type="dxa"/>
            <w:tcBorders>
              <w:top w:val="single" w:sz="4" w:space="0" w:color="auto"/>
            </w:tcBorders>
            <w:vAlign w:val="center"/>
          </w:tcPr>
          <w:p w14:paraId="67ED8A47" w14:textId="77777777" w:rsidR="0037165D" w:rsidRPr="002866E5" w:rsidRDefault="0037165D" w:rsidP="00881943">
            <w:pPr>
              <w:spacing w:before="20" w:after="20"/>
              <w:jc w:val="right"/>
              <w:rPr>
                <w:noProof/>
                <w:sz w:val="20"/>
              </w:rPr>
            </w:pPr>
          </w:p>
        </w:tc>
        <w:tc>
          <w:tcPr>
            <w:tcW w:w="868" w:type="dxa"/>
            <w:tcBorders>
              <w:top w:val="single" w:sz="4" w:space="0" w:color="auto"/>
            </w:tcBorders>
            <w:vAlign w:val="center"/>
          </w:tcPr>
          <w:p w14:paraId="67ED8A48" w14:textId="77777777" w:rsidR="0037165D" w:rsidRPr="002866E5" w:rsidRDefault="0037165D" w:rsidP="00881943">
            <w:pPr>
              <w:spacing w:before="20" w:after="20"/>
              <w:jc w:val="right"/>
              <w:rPr>
                <w:noProof/>
                <w:sz w:val="20"/>
              </w:rPr>
            </w:pPr>
          </w:p>
        </w:tc>
        <w:tc>
          <w:tcPr>
            <w:tcW w:w="868" w:type="dxa"/>
            <w:tcBorders>
              <w:top w:val="single" w:sz="4" w:space="0" w:color="auto"/>
            </w:tcBorders>
            <w:vAlign w:val="center"/>
          </w:tcPr>
          <w:p w14:paraId="67ED8A49" w14:textId="77777777" w:rsidR="0037165D" w:rsidRPr="002866E5" w:rsidRDefault="0037165D" w:rsidP="00881943">
            <w:pPr>
              <w:spacing w:before="20" w:after="20"/>
              <w:jc w:val="right"/>
              <w:rPr>
                <w:noProof/>
                <w:sz w:val="20"/>
              </w:rPr>
            </w:pPr>
          </w:p>
        </w:tc>
        <w:tc>
          <w:tcPr>
            <w:tcW w:w="868" w:type="dxa"/>
            <w:tcBorders>
              <w:top w:val="single" w:sz="4" w:space="0" w:color="auto"/>
            </w:tcBorders>
            <w:vAlign w:val="center"/>
          </w:tcPr>
          <w:p w14:paraId="67ED8A4A" w14:textId="77777777" w:rsidR="0037165D" w:rsidRPr="002866E5" w:rsidRDefault="0037165D" w:rsidP="00881943">
            <w:pPr>
              <w:spacing w:before="20" w:after="20"/>
              <w:jc w:val="right"/>
              <w:rPr>
                <w:noProof/>
                <w:sz w:val="20"/>
              </w:rPr>
            </w:pPr>
          </w:p>
        </w:tc>
        <w:tc>
          <w:tcPr>
            <w:tcW w:w="868" w:type="dxa"/>
            <w:tcBorders>
              <w:top w:val="single" w:sz="4" w:space="0" w:color="auto"/>
            </w:tcBorders>
            <w:vAlign w:val="center"/>
          </w:tcPr>
          <w:p w14:paraId="67ED8A4B" w14:textId="77777777" w:rsidR="0037165D" w:rsidRPr="002866E5" w:rsidRDefault="0037165D" w:rsidP="00881943">
            <w:pPr>
              <w:spacing w:before="20" w:after="20"/>
              <w:jc w:val="right"/>
              <w:rPr>
                <w:noProof/>
                <w:sz w:val="20"/>
              </w:rPr>
            </w:pPr>
          </w:p>
        </w:tc>
        <w:tc>
          <w:tcPr>
            <w:tcW w:w="868" w:type="dxa"/>
            <w:tcBorders>
              <w:top w:val="single" w:sz="4" w:space="0" w:color="auto"/>
            </w:tcBorders>
            <w:vAlign w:val="center"/>
          </w:tcPr>
          <w:p w14:paraId="67ED8A4C" w14:textId="77777777" w:rsidR="0037165D" w:rsidRPr="002866E5" w:rsidRDefault="0037165D" w:rsidP="00881943">
            <w:pPr>
              <w:spacing w:before="20" w:after="20"/>
              <w:jc w:val="right"/>
              <w:rPr>
                <w:noProof/>
                <w:sz w:val="20"/>
              </w:rPr>
            </w:pPr>
          </w:p>
        </w:tc>
        <w:tc>
          <w:tcPr>
            <w:tcW w:w="868" w:type="dxa"/>
            <w:tcBorders>
              <w:top w:val="single" w:sz="4" w:space="0" w:color="auto"/>
            </w:tcBorders>
            <w:vAlign w:val="center"/>
          </w:tcPr>
          <w:p w14:paraId="67ED8A4D" w14:textId="77777777" w:rsidR="0037165D" w:rsidRPr="002866E5" w:rsidRDefault="0037165D" w:rsidP="00881943">
            <w:pPr>
              <w:spacing w:before="20" w:after="20"/>
              <w:jc w:val="right"/>
              <w:rPr>
                <w:b/>
                <w:noProof/>
                <w:sz w:val="20"/>
              </w:rPr>
            </w:pPr>
          </w:p>
        </w:tc>
        <w:tc>
          <w:tcPr>
            <w:tcW w:w="1777" w:type="dxa"/>
            <w:tcBorders>
              <w:top w:val="single" w:sz="4" w:space="0" w:color="auto"/>
              <w:right w:val="single" w:sz="4" w:space="0" w:color="auto"/>
            </w:tcBorders>
            <w:vAlign w:val="center"/>
          </w:tcPr>
          <w:p w14:paraId="67ED8A4E" w14:textId="77777777" w:rsidR="0037165D" w:rsidRPr="002866E5" w:rsidRDefault="0037165D" w:rsidP="00881943">
            <w:pPr>
              <w:spacing w:before="20" w:after="20"/>
              <w:jc w:val="right"/>
              <w:rPr>
                <w:b/>
                <w:noProof/>
                <w:sz w:val="20"/>
              </w:rPr>
            </w:pPr>
          </w:p>
        </w:tc>
      </w:tr>
      <w:tr w:rsidR="0037165D" w:rsidRPr="002866E5" w14:paraId="67ED8A5B" w14:textId="77777777" w:rsidTr="00881943">
        <w:tc>
          <w:tcPr>
            <w:tcW w:w="3960" w:type="dxa"/>
            <w:vMerge/>
            <w:tcBorders>
              <w:top w:val="single" w:sz="4" w:space="0" w:color="FF0000"/>
              <w:left w:val="single" w:sz="4" w:space="0" w:color="auto"/>
              <w:bottom w:val="single" w:sz="4" w:space="0" w:color="FF0000"/>
            </w:tcBorders>
          </w:tcPr>
          <w:p w14:paraId="67ED8A50" w14:textId="77777777" w:rsidR="0037165D" w:rsidRPr="002866E5" w:rsidRDefault="0037165D" w:rsidP="00881943">
            <w:pPr>
              <w:jc w:val="center"/>
              <w:rPr>
                <w:noProof/>
                <w:sz w:val="20"/>
              </w:rPr>
            </w:pPr>
          </w:p>
        </w:tc>
        <w:tc>
          <w:tcPr>
            <w:tcW w:w="1440" w:type="dxa"/>
            <w:vAlign w:val="center"/>
          </w:tcPr>
          <w:p w14:paraId="67ED8A51" w14:textId="77777777" w:rsidR="0037165D" w:rsidRPr="002866E5" w:rsidRDefault="0037165D" w:rsidP="00881943">
            <w:pPr>
              <w:spacing w:beforeLines="20" w:before="48" w:afterLines="20" w:after="48"/>
              <w:rPr>
                <w:noProof/>
                <w:sz w:val="18"/>
              </w:rPr>
            </w:pPr>
            <w:r w:rsidRPr="002866E5">
              <w:rPr>
                <w:noProof/>
                <w:sz w:val="18"/>
              </w:rPr>
              <w:t>Środki na płatności</w:t>
            </w:r>
          </w:p>
        </w:tc>
        <w:tc>
          <w:tcPr>
            <w:tcW w:w="654" w:type="dxa"/>
            <w:vAlign w:val="center"/>
          </w:tcPr>
          <w:p w14:paraId="67ED8A52" w14:textId="77777777" w:rsidR="0037165D" w:rsidRPr="002866E5" w:rsidRDefault="0037165D" w:rsidP="00881943">
            <w:pPr>
              <w:spacing w:beforeLines="20" w:before="48" w:afterLines="20" w:after="48"/>
              <w:jc w:val="center"/>
              <w:rPr>
                <w:noProof/>
                <w:sz w:val="14"/>
              </w:rPr>
            </w:pPr>
            <w:r w:rsidRPr="002866E5">
              <w:rPr>
                <w:noProof/>
                <w:sz w:val="14"/>
              </w:rPr>
              <w:t>(5)</w:t>
            </w:r>
          </w:p>
        </w:tc>
        <w:tc>
          <w:tcPr>
            <w:tcW w:w="868" w:type="dxa"/>
            <w:vAlign w:val="center"/>
          </w:tcPr>
          <w:p w14:paraId="67ED8A53" w14:textId="77777777" w:rsidR="0037165D" w:rsidRPr="002866E5" w:rsidRDefault="0037165D" w:rsidP="00881943">
            <w:pPr>
              <w:spacing w:before="20" w:after="20"/>
              <w:jc w:val="right"/>
              <w:rPr>
                <w:noProof/>
                <w:sz w:val="20"/>
              </w:rPr>
            </w:pPr>
          </w:p>
        </w:tc>
        <w:tc>
          <w:tcPr>
            <w:tcW w:w="868" w:type="dxa"/>
            <w:vAlign w:val="center"/>
          </w:tcPr>
          <w:p w14:paraId="67ED8A54" w14:textId="77777777" w:rsidR="0037165D" w:rsidRPr="002866E5" w:rsidRDefault="0037165D" w:rsidP="00881943">
            <w:pPr>
              <w:spacing w:before="20" w:after="20"/>
              <w:jc w:val="right"/>
              <w:rPr>
                <w:noProof/>
                <w:sz w:val="20"/>
              </w:rPr>
            </w:pPr>
          </w:p>
        </w:tc>
        <w:tc>
          <w:tcPr>
            <w:tcW w:w="868" w:type="dxa"/>
            <w:vAlign w:val="center"/>
          </w:tcPr>
          <w:p w14:paraId="67ED8A55" w14:textId="77777777" w:rsidR="0037165D" w:rsidRPr="002866E5" w:rsidRDefault="0037165D" w:rsidP="00881943">
            <w:pPr>
              <w:spacing w:before="20" w:after="20"/>
              <w:jc w:val="right"/>
              <w:rPr>
                <w:noProof/>
                <w:sz w:val="20"/>
              </w:rPr>
            </w:pPr>
          </w:p>
        </w:tc>
        <w:tc>
          <w:tcPr>
            <w:tcW w:w="868" w:type="dxa"/>
            <w:vAlign w:val="center"/>
          </w:tcPr>
          <w:p w14:paraId="67ED8A56" w14:textId="77777777" w:rsidR="0037165D" w:rsidRPr="002866E5" w:rsidRDefault="0037165D" w:rsidP="00881943">
            <w:pPr>
              <w:spacing w:before="20" w:after="20"/>
              <w:jc w:val="right"/>
              <w:rPr>
                <w:noProof/>
                <w:sz w:val="20"/>
              </w:rPr>
            </w:pPr>
          </w:p>
        </w:tc>
        <w:tc>
          <w:tcPr>
            <w:tcW w:w="868" w:type="dxa"/>
            <w:vAlign w:val="center"/>
          </w:tcPr>
          <w:p w14:paraId="67ED8A57" w14:textId="77777777" w:rsidR="0037165D" w:rsidRPr="002866E5" w:rsidRDefault="0037165D" w:rsidP="00881943">
            <w:pPr>
              <w:spacing w:before="20" w:after="20"/>
              <w:jc w:val="right"/>
              <w:rPr>
                <w:noProof/>
                <w:sz w:val="20"/>
              </w:rPr>
            </w:pPr>
          </w:p>
        </w:tc>
        <w:tc>
          <w:tcPr>
            <w:tcW w:w="868" w:type="dxa"/>
            <w:vAlign w:val="center"/>
          </w:tcPr>
          <w:p w14:paraId="67ED8A58" w14:textId="77777777" w:rsidR="0037165D" w:rsidRPr="002866E5" w:rsidRDefault="0037165D" w:rsidP="00881943">
            <w:pPr>
              <w:spacing w:before="20" w:after="20"/>
              <w:jc w:val="right"/>
              <w:rPr>
                <w:noProof/>
                <w:sz w:val="20"/>
              </w:rPr>
            </w:pPr>
          </w:p>
        </w:tc>
        <w:tc>
          <w:tcPr>
            <w:tcW w:w="868" w:type="dxa"/>
            <w:vAlign w:val="center"/>
          </w:tcPr>
          <w:p w14:paraId="67ED8A59" w14:textId="77777777" w:rsidR="0037165D" w:rsidRPr="002866E5" w:rsidRDefault="0037165D" w:rsidP="00881943">
            <w:pPr>
              <w:spacing w:before="20" w:after="20"/>
              <w:jc w:val="right"/>
              <w:rPr>
                <w:b/>
                <w:noProof/>
                <w:sz w:val="20"/>
              </w:rPr>
            </w:pPr>
          </w:p>
        </w:tc>
        <w:tc>
          <w:tcPr>
            <w:tcW w:w="1777" w:type="dxa"/>
            <w:tcBorders>
              <w:right w:val="single" w:sz="4" w:space="0" w:color="auto"/>
            </w:tcBorders>
            <w:vAlign w:val="center"/>
          </w:tcPr>
          <w:p w14:paraId="67ED8A5A" w14:textId="77777777" w:rsidR="0037165D" w:rsidRPr="002866E5" w:rsidRDefault="0037165D" w:rsidP="00881943">
            <w:pPr>
              <w:spacing w:before="20" w:after="20"/>
              <w:jc w:val="right"/>
              <w:rPr>
                <w:b/>
                <w:noProof/>
                <w:sz w:val="20"/>
              </w:rPr>
            </w:pPr>
          </w:p>
        </w:tc>
      </w:tr>
      <w:tr w:rsidR="0037165D" w:rsidRPr="002866E5" w14:paraId="67ED8A67" w14:textId="77777777" w:rsidTr="00881943">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14:paraId="67ED8A5C" w14:textId="77777777" w:rsidR="0037165D" w:rsidRPr="002866E5" w:rsidRDefault="0037165D" w:rsidP="00881943">
            <w:pPr>
              <w:spacing w:beforeLines="20" w:before="48" w:afterLines="20" w:after="48"/>
              <w:rPr>
                <w:noProof/>
              </w:rPr>
            </w:pPr>
            <w:r w:rsidRPr="002866E5">
              <w:rPr>
                <w:noProof/>
                <w:sz w:val="21"/>
              </w:rPr>
              <w:t xml:space="preserve"> OGÓŁEM środki administracyjne finansowane ze środków przydzielonych na określone programy (wszystkie działy operacyjne)</w:t>
            </w:r>
          </w:p>
        </w:tc>
        <w:tc>
          <w:tcPr>
            <w:tcW w:w="654" w:type="dxa"/>
            <w:vAlign w:val="center"/>
          </w:tcPr>
          <w:p w14:paraId="67ED8A5D" w14:textId="77777777" w:rsidR="0037165D" w:rsidRPr="002866E5" w:rsidRDefault="0037165D" w:rsidP="00881943">
            <w:pPr>
              <w:rPr>
                <w:noProof/>
              </w:rPr>
            </w:pPr>
          </w:p>
          <w:p w14:paraId="67ED8A5E" w14:textId="77777777" w:rsidR="0037165D" w:rsidRPr="002866E5" w:rsidRDefault="0037165D" w:rsidP="00881943">
            <w:pPr>
              <w:spacing w:beforeLines="20" w:before="48" w:afterLines="20" w:after="48"/>
              <w:jc w:val="center"/>
              <w:rPr>
                <w:noProof/>
                <w:sz w:val="14"/>
              </w:rPr>
            </w:pPr>
            <w:r w:rsidRPr="002866E5">
              <w:rPr>
                <w:noProof/>
                <w:sz w:val="14"/>
              </w:rPr>
              <w:t>(6)</w:t>
            </w:r>
          </w:p>
        </w:tc>
        <w:tc>
          <w:tcPr>
            <w:tcW w:w="868" w:type="dxa"/>
            <w:vAlign w:val="center"/>
          </w:tcPr>
          <w:p w14:paraId="67ED8A5F" w14:textId="77777777" w:rsidR="0037165D" w:rsidRPr="002866E5" w:rsidRDefault="0037165D" w:rsidP="00881943">
            <w:pPr>
              <w:spacing w:before="20" w:after="20"/>
              <w:jc w:val="right"/>
              <w:rPr>
                <w:b/>
                <w:noProof/>
                <w:sz w:val="20"/>
              </w:rPr>
            </w:pPr>
          </w:p>
        </w:tc>
        <w:tc>
          <w:tcPr>
            <w:tcW w:w="868" w:type="dxa"/>
            <w:vAlign w:val="center"/>
          </w:tcPr>
          <w:p w14:paraId="67ED8A60" w14:textId="77777777" w:rsidR="0037165D" w:rsidRPr="002866E5" w:rsidRDefault="0037165D" w:rsidP="00881943">
            <w:pPr>
              <w:spacing w:before="20" w:after="20"/>
              <w:jc w:val="right"/>
              <w:rPr>
                <w:b/>
                <w:noProof/>
                <w:sz w:val="20"/>
              </w:rPr>
            </w:pPr>
          </w:p>
        </w:tc>
        <w:tc>
          <w:tcPr>
            <w:tcW w:w="868" w:type="dxa"/>
            <w:vAlign w:val="center"/>
          </w:tcPr>
          <w:p w14:paraId="67ED8A61" w14:textId="77777777" w:rsidR="0037165D" w:rsidRPr="002866E5" w:rsidRDefault="0037165D" w:rsidP="00881943">
            <w:pPr>
              <w:spacing w:before="20" w:after="20"/>
              <w:jc w:val="right"/>
              <w:rPr>
                <w:b/>
                <w:noProof/>
                <w:sz w:val="20"/>
              </w:rPr>
            </w:pPr>
          </w:p>
        </w:tc>
        <w:tc>
          <w:tcPr>
            <w:tcW w:w="868" w:type="dxa"/>
            <w:vAlign w:val="center"/>
          </w:tcPr>
          <w:p w14:paraId="67ED8A62" w14:textId="77777777" w:rsidR="0037165D" w:rsidRPr="002866E5" w:rsidRDefault="0037165D" w:rsidP="00881943">
            <w:pPr>
              <w:spacing w:before="20" w:after="20"/>
              <w:jc w:val="right"/>
              <w:rPr>
                <w:b/>
                <w:noProof/>
                <w:sz w:val="20"/>
              </w:rPr>
            </w:pPr>
          </w:p>
        </w:tc>
        <w:tc>
          <w:tcPr>
            <w:tcW w:w="868" w:type="dxa"/>
            <w:vAlign w:val="center"/>
          </w:tcPr>
          <w:p w14:paraId="67ED8A63" w14:textId="77777777" w:rsidR="0037165D" w:rsidRPr="002866E5" w:rsidRDefault="0037165D" w:rsidP="00881943">
            <w:pPr>
              <w:spacing w:before="20" w:after="20"/>
              <w:jc w:val="right"/>
              <w:rPr>
                <w:b/>
                <w:noProof/>
                <w:sz w:val="20"/>
              </w:rPr>
            </w:pPr>
          </w:p>
        </w:tc>
        <w:tc>
          <w:tcPr>
            <w:tcW w:w="868" w:type="dxa"/>
            <w:vAlign w:val="center"/>
          </w:tcPr>
          <w:p w14:paraId="67ED8A64" w14:textId="77777777" w:rsidR="0037165D" w:rsidRPr="002866E5" w:rsidRDefault="0037165D" w:rsidP="00881943">
            <w:pPr>
              <w:spacing w:before="20" w:after="20"/>
              <w:jc w:val="right"/>
              <w:rPr>
                <w:b/>
                <w:noProof/>
                <w:sz w:val="20"/>
              </w:rPr>
            </w:pPr>
          </w:p>
        </w:tc>
        <w:tc>
          <w:tcPr>
            <w:tcW w:w="868" w:type="dxa"/>
            <w:vAlign w:val="center"/>
          </w:tcPr>
          <w:p w14:paraId="67ED8A65" w14:textId="77777777" w:rsidR="0037165D" w:rsidRPr="002866E5" w:rsidRDefault="0037165D" w:rsidP="00881943">
            <w:pPr>
              <w:spacing w:before="20" w:after="20"/>
              <w:jc w:val="right"/>
              <w:rPr>
                <w:b/>
                <w:noProof/>
                <w:sz w:val="20"/>
              </w:rPr>
            </w:pPr>
          </w:p>
        </w:tc>
        <w:tc>
          <w:tcPr>
            <w:tcW w:w="1777" w:type="dxa"/>
            <w:vAlign w:val="center"/>
          </w:tcPr>
          <w:p w14:paraId="67ED8A66" w14:textId="77777777" w:rsidR="0037165D" w:rsidRPr="002866E5" w:rsidRDefault="0037165D" w:rsidP="00881943">
            <w:pPr>
              <w:spacing w:before="20" w:after="20"/>
              <w:jc w:val="right"/>
              <w:rPr>
                <w:b/>
                <w:noProof/>
                <w:sz w:val="20"/>
              </w:rPr>
            </w:pPr>
          </w:p>
        </w:tc>
      </w:tr>
      <w:tr w:rsidR="0037165D" w:rsidRPr="002866E5" w14:paraId="67ED8A73" w14:textId="77777777" w:rsidTr="00881943">
        <w:tc>
          <w:tcPr>
            <w:tcW w:w="3960" w:type="dxa"/>
            <w:vMerge w:val="restart"/>
            <w:tcBorders>
              <w:top w:val="single" w:sz="4" w:space="0" w:color="FF0000"/>
              <w:left w:val="single" w:sz="4" w:space="0" w:color="auto"/>
              <w:bottom w:val="single" w:sz="4" w:space="0" w:color="FF0000"/>
            </w:tcBorders>
            <w:shd w:val="thinDiagStripe" w:color="C0C0C0" w:fill="auto"/>
            <w:vAlign w:val="center"/>
          </w:tcPr>
          <w:p w14:paraId="67ED8A68" w14:textId="26FBEFF3" w:rsidR="0037165D" w:rsidRPr="002866E5" w:rsidRDefault="0037165D" w:rsidP="002866E5">
            <w:pPr>
              <w:jc w:val="center"/>
              <w:rPr>
                <w:b/>
                <w:noProof/>
              </w:rPr>
            </w:pPr>
            <w:r w:rsidRPr="002866E5">
              <w:rPr>
                <w:b/>
                <w:noProof/>
                <w:sz w:val="22"/>
              </w:rPr>
              <w:t>OGÓŁEM środki</w:t>
            </w:r>
            <w:r w:rsidRPr="002866E5">
              <w:rPr>
                <w:noProof/>
              </w:rPr>
              <w:br/>
            </w:r>
            <w:r w:rsidRPr="002866E5">
              <w:rPr>
                <w:b/>
                <w:noProof/>
                <w:sz w:val="22"/>
              </w:rPr>
              <w:t xml:space="preserve">na DZIAŁY </w:t>
            </w:r>
            <w:r w:rsidRPr="008B35E8">
              <w:rPr>
                <w:b/>
                <w:noProof/>
                <w:sz w:val="22"/>
              </w:rPr>
              <w:t>od</w:t>
            </w:r>
            <w:r w:rsidR="008B35E8" w:rsidRPr="008B35E8">
              <w:rPr>
                <w:b/>
                <w:noProof/>
                <w:sz w:val="22"/>
              </w:rPr>
              <w:t> </w:t>
            </w:r>
            <w:r w:rsidRPr="008B35E8">
              <w:rPr>
                <w:b/>
                <w:noProof/>
                <w:sz w:val="22"/>
              </w:rPr>
              <w:t>1</w:t>
            </w:r>
            <w:r w:rsidRPr="002866E5">
              <w:rPr>
                <w:b/>
                <w:noProof/>
                <w:sz w:val="22"/>
              </w:rPr>
              <w:t xml:space="preserve"> </w:t>
            </w:r>
            <w:r w:rsidRPr="008B35E8">
              <w:rPr>
                <w:b/>
                <w:noProof/>
                <w:sz w:val="22"/>
              </w:rPr>
              <w:t>do</w:t>
            </w:r>
            <w:r w:rsidR="008B35E8" w:rsidRPr="008B35E8">
              <w:rPr>
                <w:b/>
                <w:noProof/>
                <w:sz w:val="22"/>
              </w:rPr>
              <w:t> </w:t>
            </w:r>
            <w:r w:rsidRPr="008B35E8">
              <w:rPr>
                <w:b/>
                <w:noProof/>
                <w:sz w:val="22"/>
              </w:rPr>
              <w:t>6</w:t>
            </w:r>
            <w:r w:rsidRPr="002866E5">
              <w:rPr>
                <w:noProof/>
              </w:rPr>
              <w:t xml:space="preserve"> </w:t>
            </w:r>
            <w:r w:rsidRPr="002866E5">
              <w:rPr>
                <w:noProof/>
              </w:rPr>
              <w:br/>
            </w:r>
            <w:r w:rsidRPr="002866E5">
              <w:rPr>
                <w:noProof/>
                <w:sz w:val="22"/>
              </w:rPr>
              <w:t>wieloletnich ram finansowych</w:t>
            </w:r>
            <w:r w:rsidRPr="002866E5">
              <w:rPr>
                <w:noProof/>
              </w:rPr>
              <w:t xml:space="preserve"> </w:t>
            </w:r>
            <w:r w:rsidRPr="002866E5">
              <w:rPr>
                <w:noProof/>
              </w:rPr>
              <w:br/>
            </w:r>
            <w:r w:rsidRPr="002866E5">
              <w:rPr>
                <w:noProof/>
                <w:sz w:val="20"/>
              </w:rPr>
              <w:t>(kwota referencyjna)</w:t>
            </w:r>
          </w:p>
        </w:tc>
        <w:tc>
          <w:tcPr>
            <w:tcW w:w="1440" w:type="dxa"/>
            <w:vAlign w:val="center"/>
          </w:tcPr>
          <w:p w14:paraId="67ED8A69" w14:textId="77777777" w:rsidR="0037165D" w:rsidRPr="002866E5" w:rsidRDefault="0037165D" w:rsidP="00881943">
            <w:pPr>
              <w:rPr>
                <w:noProof/>
                <w:sz w:val="18"/>
              </w:rPr>
            </w:pPr>
            <w:r w:rsidRPr="002866E5">
              <w:rPr>
                <w:noProof/>
                <w:sz w:val="18"/>
              </w:rPr>
              <w:t>Środki na zobowiązania</w:t>
            </w:r>
          </w:p>
        </w:tc>
        <w:tc>
          <w:tcPr>
            <w:tcW w:w="654" w:type="dxa"/>
            <w:vAlign w:val="center"/>
          </w:tcPr>
          <w:p w14:paraId="67ED8A6A" w14:textId="77777777" w:rsidR="0037165D" w:rsidRPr="002866E5" w:rsidRDefault="0037165D" w:rsidP="00881943">
            <w:pPr>
              <w:jc w:val="center"/>
              <w:rPr>
                <w:noProof/>
                <w:sz w:val="14"/>
              </w:rPr>
            </w:pPr>
            <w:r w:rsidRPr="002866E5">
              <w:rPr>
                <w:noProof/>
                <w:sz w:val="14"/>
              </w:rPr>
              <w:t>=4+6</w:t>
            </w:r>
          </w:p>
        </w:tc>
        <w:tc>
          <w:tcPr>
            <w:tcW w:w="868" w:type="dxa"/>
            <w:vAlign w:val="center"/>
          </w:tcPr>
          <w:p w14:paraId="67ED8A6B" w14:textId="77777777" w:rsidR="0037165D" w:rsidRPr="002866E5" w:rsidRDefault="0037165D" w:rsidP="00881943">
            <w:pPr>
              <w:spacing w:before="20" w:after="20"/>
              <w:jc w:val="right"/>
              <w:rPr>
                <w:noProof/>
                <w:sz w:val="20"/>
              </w:rPr>
            </w:pPr>
          </w:p>
        </w:tc>
        <w:tc>
          <w:tcPr>
            <w:tcW w:w="868" w:type="dxa"/>
            <w:vAlign w:val="center"/>
          </w:tcPr>
          <w:p w14:paraId="67ED8A6C" w14:textId="77777777" w:rsidR="0037165D" w:rsidRPr="002866E5" w:rsidRDefault="0037165D" w:rsidP="00881943">
            <w:pPr>
              <w:spacing w:before="20" w:after="20"/>
              <w:jc w:val="right"/>
              <w:rPr>
                <w:noProof/>
                <w:sz w:val="20"/>
              </w:rPr>
            </w:pPr>
          </w:p>
        </w:tc>
        <w:tc>
          <w:tcPr>
            <w:tcW w:w="868" w:type="dxa"/>
            <w:vAlign w:val="center"/>
          </w:tcPr>
          <w:p w14:paraId="67ED8A6D" w14:textId="77777777" w:rsidR="0037165D" w:rsidRPr="002866E5" w:rsidRDefault="0037165D" w:rsidP="00881943">
            <w:pPr>
              <w:spacing w:before="20" w:after="20"/>
              <w:jc w:val="right"/>
              <w:rPr>
                <w:noProof/>
                <w:sz w:val="20"/>
              </w:rPr>
            </w:pPr>
          </w:p>
        </w:tc>
        <w:tc>
          <w:tcPr>
            <w:tcW w:w="868" w:type="dxa"/>
            <w:vAlign w:val="center"/>
          </w:tcPr>
          <w:p w14:paraId="67ED8A6E" w14:textId="77777777" w:rsidR="0037165D" w:rsidRPr="002866E5" w:rsidRDefault="0037165D" w:rsidP="00881943">
            <w:pPr>
              <w:spacing w:before="20" w:after="20"/>
              <w:jc w:val="right"/>
              <w:rPr>
                <w:noProof/>
                <w:sz w:val="20"/>
              </w:rPr>
            </w:pPr>
          </w:p>
        </w:tc>
        <w:tc>
          <w:tcPr>
            <w:tcW w:w="868" w:type="dxa"/>
            <w:vAlign w:val="center"/>
          </w:tcPr>
          <w:p w14:paraId="67ED8A6F" w14:textId="77777777" w:rsidR="0037165D" w:rsidRPr="002866E5" w:rsidRDefault="0037165D" w:rsidP="00881943">
            <w:pPr>
              <w:spacing w:before="20" w:after="20"/>
              <w:jc w:val="right"/>
              <w:rPr>
                <w:noProof/>
                <w:sz w:val="20"/>
              </w:rPr>
            </w:pPr>
          </w:p>
        </w:tc>
        <w:tc>
          <w:tcPr>
            <w:tcW w:w="868" w:type="dxa"/>
            <w:vAlign w:val="center"/>
          </w:tcPr>
          <w:p w14:paraId="67ED8A70" w14:textId="77777777" w:rsidR="0037165D" w:rsidRPr="002866E5" w:rsidRDefault="0037165D" w:rsidP="00881943">
            <w:pPr>
              <w:spacing w:before="20" w:after="20"/>
              <w:jc w:val="right"/>
              <w:rPr>
                <w:noProof/>
                <w:sz w:val="20"/>
              </w:rPr>
            </w:pPr>
          </w:p>
        </w:tc>
        <w:tc>
          <w:tcPr>
            <w:tcW w:w="868" w:type="dxa"/>
            <w:vAlign w:val="center"/>
          </w:tcPr>
          <w:p w14:paraId="67ED8A71" w14:textId="77777777" w:rsidR="0037165D" w:rsidRPr="002866E5" w:rsidRDefault="0037165D" w:rsidP="00881943">
            <w:pPr>
              <w:spacing w:before="20" w:after="20"/>
              <w:jc w:val="right"/>
              <w:rPr>
                <w:b/>
                <w:noProof/>
                <w:sz w:val="20"/>
              </w:rPr>
            </w:pPr>
          </w:p>
        </w:tc>
        <w:tc>
          <w:tcPr>
            <w:tcW w:w="1777" w:type="dxa"/>
            <w:tcBorders>
              <w:right w:val="single" w:sz="4" w:space="0" w:color="auto"/>
            </w:tcBorders>
            <w:vAlign w:val="center"/>
          </w:tcPr>
          <w:p w14:paraId="67ED8A72" w14:textId="77777777" w:rsidR="0037165D" w:rsidRPr="002866E5" w:rsidRDefault="0037165D" w:rsidP="00881943">
            <w:pPr>
              <w:spacing w:before="20" w:after="20"/>
              <w:jc w:val="right"/>
              <w:rPr>
                <w:b/>
                <w:noProof/>
                <w:sz w:val="20"/>
              </w:rPr>
            </w:pPr>
          </w:p>
        </w:tc>
      </w:tr>
      <w:tr w:rsidR="0037165D" w:rsidRPr="002866E5" w14:paraId="67ED8A7F" w14:textId="77777777" w:rsidTr="00881943">
        <w:tc>
          <w:tcPr>
            <w:tcW w:w="3960" w:type="dxa"/>
            <w:vMerge/>
            <w:tcBorders>
              <w:top w:val="single" w:sz="4" w:space="0" w:color="FF0000"/>
              <w:left w:val="single" w:sz="4" w:space="0" w:color="auto"/>
              <w:bottom w:val="single" w:sz="4" w:space="0" w:color="auto"/>
            </w:tcBorders>
            <w:shd w:val="thinDiagStripe" w:color="C0C0C0" w:fill="auto"/>
          </w:tcPr>
          <w:p w14:paraId="67ED8A74" w14:textId="77777777" w:rsidR="0037165D" w:rsidRPr="002866E5" w:rsidRDefault="0037165D" w:rsidP="00881943">
            <w:pPr>
              <w:rPr>
                <w:noProof/>
                <w:sz w:val="20"/>
              </w:rPr>
            </w:pPr>
          </w:p>
        </w:tc>
        <w:tc>
          <w:tcPr>
            <w:tcW w:w="1440" w:type="dxa"/>
            <w:tcBorders>
              <w:bottom w:val="single" w:sz="4" w:space="0" w:color="auto"/>
            </w:tcBorders>
            <w:vAlign w:val="center"/>
          </w:tcPr>
          <w:p w14:paraId="67ED8A75" w14:textId="77777777" w:rsidR="0037165D" w:rsidRPr="002866E5" w:rsidRDefault="0037165D" w:rsidP="00881943">
            <w:pPr>
              <w:rPr>
                <w:noProof/>
                <w:sz w:val="18"/>
              </w:rPr>
            </w:pPr>
            <w:r w:rsidRPr="002866E5">
              <w:rPr>
                <w:noProof/>
                <w:sz w:val="18"/>
              </w:rPr>
              <w:t>Środki na płatności</w:t>
            </w:r>
          </w:p>
        </w:tc>
        <w:tc>
          <w:tcPr>
            <w:tcW w:w="654" w:type="dxa"/>
            <w:tcBorders>
              <w:bottom w:val="single" w:sz="4" w:space="0" w:color="auto"/>
            </w:tcBorders>
            <w:vAlign w:val="center"/>
          </w:tcPr>
          <w:p w14:paraId="67ED8A76" w14:textId="77777777" w:rsidR="0037165D" w:rsidRPr="002866E5" w:rsidRDefault="0037165D" w:rsidP="00881943">
            <w:pPr>
              <w:jc w:val="center"/>
              <w:rPr>
                <w:noProof/>
                <w:sz w:val="14"/>
              </w:rPr>
            </w:pPr>
            <w:r w:rsidRPr="002866E5">
              <w:rPr>
                <w:noProof/>
                <w:sz w:val="14"/>
              </w:rPr>
              <w:t>=5+6</w:t>
            </w:r>
          </w:p>
        </w:tc>
        <w:tc>
          <w:tcPr>
            <w:tcW w:w="868" w:type="dxa"/>
            <w:tcBorders>
              <w:bottom w:val="single" w:sz="4" w:space="0" w:color="auto"/>
            </w:tcBorders>
            <w:vAlign w:val="center"/>
          </w:tcPr>
          <w:p w14:paraId="67ED8A77" w14:textId="77777777" w:rsidR="0037165D" w:rsidRPr="002866E5" w:rsidRDefault="0037165D" w:rsidP="00881943">
            <w:pPr>
              <w:spacing w:before="20" w:after="20"/>
              <w:jc w:val="right"/>
              <w:rPr>
                <w:noProof/>
                <w:sz w:val="20"/>
              </w:rPr>
            </w:pPr>
          </w:p>
        </w:tc>
        <w:tc>
          <w:tcPr>
            <w:tcW w:w="868" w:type="dxa"/>
            <w:tcBorders>
              <w:bottom w:val="single" w:sz="4" w:space="0" w:color="auto"/>
            </w:tcBorders>
            <w:vAlign w:val="center"/>
          </w:tcPr>
          <w:p w14:paraId="67ED8A78" w14:textId="77777777" w:rsidR="0037165D" w:rsidRPr="002866E5" w:rsidRDefault="0037165D" w:rsidP="00881943">
            <w:pPr>
              <w:spacing w:before="20" w:after="20"/>
              <w:jc w:val="right"/>
              <w:rPr>
                <w:noProof/>
                <w:sz w:val="20"/>
              </w:rPr>
            </w:pPr>
          </w:p>
        </w:tc>
        <w:tc>
          <w:tcPr>
            <w:tcW w:w="868" w:type="dxa"/>
            <w:tcBorders>
              <w:bottom w:val="single" w:sz="4" w:space="0" w:color="auto"/>
            </w:tcBorders>
            <w:vAlign w:val="center"/>
          </w:tcPr>
          <w:p w14:paraId="67ED8A79" w14:textId="77777777" w:rsidR="0037165D" w:rsidRPr="002866E5" w:rsidRDefault="0037165D" w:rsidP="00881943">
            <w:pPr>
              <w:spacing w:before="20" w:after="20"/>
              <w:jc w:val="right"/>
              <w:rPr>
                <w:noProof/>
                <w:sz w:val="20"/>
              </w:rPr>
            </w:pPr>
          </w:p>
        </w:tc>
        <w:tc>
          <w:tcPr>
            <w:tcW w:w="868" w:type="dxa"/>
            <w:tcBorders>
              <w:bottom w:val="single" w:sz="4" w:space="0" w:color="auto"/>
            </w:tcBorders>
            <w:vAlign w:val="center"/>
          </w:tcPr>
          <w:p w14:paraId="67ED8A7A" w14:textId="77777777" w:rsidR="0037165D" w:rsidRPr="002866E5" w:rsidRDefault="0037165D" w:rsidP="00881943">
            <w:pPr>
              <w:spacing w:before="20" w:after="20"/>
              <w:jc w:val="right"/>
              <w:rPr>
                <w:noProof/>
                <w:sz w:val="20"/>
              </w:rPr>
            </w:pPr>
          </w:p>
        </w:tc>
        <w:tc>
          <w:tcPr>
            <w:tcW w:w="868" w:type="dxa"/>
            <w:tcBorders>
              <w:bottom w:val="single" w:sz="4" w:space="0" w:color="auto"/>
            </w:tcBorders>
            <w:vAlign w:val="center"/>
          </w:tcPr>
          <w:p w14:paraId="67ED8A7B" w14:textId="77777777" w:rsidR="0037165D" w:rsidRPr="002866E5" w:rsidRDefault="0037165D" w:rsidP="00881943">
            <w:pPr>
              <w:spacing w:before="20" w:after="20"/>
              <w:jc w:val="right"/>
              <w:rPr>
                <w:noProof/>
                <w:sz w:val="20"/>
              </w:rPr>
            </w:pPr>
          </w:p>
        </w:tc>
        <w:tc>
          <w:tcPr>
            <w:tcW w:w="868" w:type="dxa"/>
            <w:tcBorders>
              <w:bottom w:val="single" w:sz="4" w:space="0" w:color="auto"/>
            </w:tcBorders>
            <w:vAlign w:val="center"/>
          </w:tcPr>
          <w:p w14:paraId="67ED8A7C" w14:textId="77777777" w:rsidR="0037165D" w:rsidRPr="002866E5" w:rsidRDefault="0037165D" w:rsidP="00881943">
            <w:pPr>
              <w:spacing w:before="20" w:after="20"/>
              <w:jc w:val="right"/>
              <w:rPr>
                <w:noProof/>
                <w:sz w:val="20"/>
              </w:rPr>
            </w:pPr>
          </w:p>
        </w:tc>
        <w:tc>
          <w:tcPr>
            <w:tcW w:w="868" w:type="dxa"/>
            <w:tcBorders>
              <w:bottom w:val="single" w:sz="4" w:space="0" w:color="auto"/>
            </w:tcBorders>
            <w:vAlign w:val="center"/>
          </w:tcPr>
          <w:p w14:paraId="67ED8A7D" w14:textId="77777777" w:rsidR="0037165D" w:rsidRPr="002866E5" w:rsidRDefault="0037165D" w:rsidP="00881943">
            <w:pPr>
              <w:spacing w:before="20" w:after="20"/>
              <w:jc w:val="right"/>
              <w:rPr>
                <w:b/>
                <w:noProof/>
                <w:sz w:val="20"/>
              </w:rPr>
            </w:pPr>
          </w:p>
        </w:tc>
        <w:tc>
          <w:tcPr>
            <w:tcW w:w="1777" w:type="dxa"/>
            <w:tcBorders>
              <w:bottom w:val="single" w:sz="4" w:space="0" w:color="auto"/>
              <w:right w:val="single" w:sz="4" w:space="0" w:color="auto"/>
            </w:tcBorders>
            <w:vAlign w:val="center"/>
          </w:tcPr>
          <w:p w14:paraId="67ED8A7E" w14:textId="77777777" w:rsidR="0037165D" w:rsidRPr="002866E5" w:rsidRDefault="0037165D" w:rsidP="00881943">
            <w:pPr>
              <w:spacing w:before="20" w:after="20"/>
              <w:jc w:val="right"/>
              <w:rPr>
                <w:b/>
                <w:noProof/>
                <w:sz w:val="20"/>
              </w:rPr>
            </w:pPr>
          </w:p>
        </w:tc>
      </w:tr>
    </w:tbl>
    <w:p w14:paraId="67ED8A81" w14:textId="06D7049D" w:rsidR="0037165D" w:rsidRPr="002866E5" w:rsidRDefault="0037165D" w:rsidP="00881943">
      <w:pPr>
        <w:spacing w:before="0" w:after="0"/>
        <w:jc w:val="left"/>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rsidR="0037165D" w:rsidRPr="002866E5" w14:paraId="67ED8A85" w14:textId="77777777" w:rsidTr="00881943">
        <w:trPr>
          <w:jc w:val="center"/>
        </w:trPr>
        <w:tc>
          <w:tcPr>
            <w:tcW w:w="4744" w:type="dxa"/>
            <w:shd w:val="thinDiagStripe" w:color="C0C0C0" w:fill="auto"/>
            <w:vAlign w:val="center"/>
          </w:tcPr>
          <w:p w14:paraId="67ED8A82" w14:textId="7B68B266" w:rsidR="0037165D" w:rsidRPr="002866E5" w:rsidRDefault="0037165D" w:rsidP="002866E5">
            <w:pPr>
              <w:spacing w:before="60" w:after="60"/>
              <w:jc w:val="center"/>
              <w:rPr>
                <w:b/>
                <w:noProof/>
              </w:rPr>
            </w:pPr>
            <w:r w:rsidRPr="002866E5">
              <w:rPr>
                <w:noProof/>
              </w:rPr>
              <w:br w:type="page"/>
            </w:r>
            <w:r w:rsidRPr="002866E5">
              <w:rPr>
                <w:b/>
                <w:noProof/>
                <w:sz w:val="22"/>
              </w:rPr>
              <w:t>Dział wieloletnich ram</w:t>
            </w:r>
            <w:r w:rsidRPr="002866E5">
              <w:rPr>
                <w:noProof/>
              </w:rPr>
              <w:t xml:space="preserve"> </w:t>
            </w:r>
            <w:r w:rsidRPr="002866E5">
              <w:rPr>
                <w:noProof/>
              </w:rPr>
              <w:br/>
            </w:r>
            <w:r w:rsidRPr="002866E5">
              <w:rPr>
                <w:b/>
                <w:noProof/>
                <w:sz w:val="22"/>
              </w:rPr>
              <w:t xml:space="preserve">finansowych </w:t>
            </w:r>
          </w:p>
        </w:tc>
        <w:tc>
          <w:tcPr>
            <w:tcW w:w="1080" w:type="dxa"/>
            <w:shd w:val="thinDiagStripe" w:color="C0C0C0" w:fill="auto"/>
            <w:vAlign w:val="center"/>
          </w:tcPr>
          <w:p w14:paraId="67ED8A83" w14:textId="77777777" w:rsidR="0037165D" w:rsidRPr="002866E5" w:rsidRDefault="0037165D" w:rsidP="00881943">
            <w:pPr>
              <w:spacing w:before="60" w:after="60"/>
              <w:jc w:val="center"/>
              <w:rPr>
                <w:noProof/>
              </w:rPr>
            </w:pPr>
            <w:r w:rsidRPr="002866E5">
              <w:rPr>
                <w:b/>
                <w:noProof/>
                <w:sz w:val="22"/>
              </w:rPr>
              <w:t>7</w:t>
            </w:r>
          </w:p>
        </w:tc>
        <w:tc>
          <w:tcPr>
            <w:tcW w:w="7817" w:type="dxa"/>
            <w:vAlign w:val="center"/>
          </w:tcPr>
          <w:p w14:paraId="67ED8A84" w14:textId="77777777" w:rsidR="0037165D" w:rsidRPr="002866E5" w:rsidRDefault="0037165D" w:rsidP="00881943">
            <w:pPr>
              <w:spacing w:before="60" w:after="60"/>
              <w:rPr>
                <w:noProof/>
              </w:rPr>
            </w:pPr>
            <w:r w:rsidRPr="002866E5">
              <w:rPr>
                <w:noProof/>
                <w:sz w:val="22"/>
              </w:rPr>
              <w:t>„Wydatki administracyjne”</w:t>
            </w:r>
          </w:p>
        </w:tc>
      </w:tr>
    </w:tbl>
    <w:p w14:paraId="67ED8A86" w14:textId="19EA44A8" w:rsidR="0037165D" w:rsidRPr="002866E5" w:rsidRDefault="0037165D" w:rsidP="00881943">
      <w:pPr>
        <w:jc w:val="left"/>
        <w:rPr>
          <w:noProof/>
          <w:sz w:val="20"/>
        </w:rPr>
      </w:pPr>
      <w:r w:rsidRPr="002866E5">
        <w:rPr>
          <w:noProof/>
        </w:rPr>
        <w:t>Niniejszą część uzupełnia się przy użyciu „danych budżetowych</w:t>
      </w:r>
      <w:r w:rsidR="008B35E8" w:rsidRPr="002866E5">
        <w:rPr>
          <w:noProof/>
        </w:rPr>
        <w:t xml:space="preserve"> o</w:t>
      </w:r>
      <w:r w:rsidR="008B35E8">
        <w:rPr>
          <w:noProof/>
        </w:rPr>
        <w:t> </w:t>
      </w:r>
      <w:r w:rsidR="008B35E8" w:rsidRPr="002866E5">
        <w:rPr>
          <w:noProof/>
        </w:rPr>
        <w:t>cha</w:t>
      </w:r>
      <w:r w:rsidRPr="002866E5">
        <w:rPr>
          <w:noProof/>
        </w:rPr>
        <w:t xml:space="preserve">rakterze administracyjnym”, które należy najpierw wprowadzić do </w:t>
      </w:r>
      <w:hyperlink r:id="rId17" w:history="1">
        <w:r w:rsidRPr="002866E5">
          <w:rPr>
            <w:rStyle w:val="Hyperlink"/>
            <w:noProof/>
          </w:rPr>
          <w:t>załącznika do oceny skutków finansowych regulacji</w:t>
        </w:r>
      </w:hyperlink>
      <w:r w:rsidRPr="002866E5">
        <w:rPr>
          <w:noProof/>
        </w:rPr>
        <w:t xml:space="preserve"> (załącznika V do przepisów wewnętrznych), przesyłanego do DECIDE</w:t>
      </w:r>
      <w:r w:rsidR="008B35E8" w:rsidRPr="002866E5">
        <w:rPr>
          <w:noProof/>
        </w:rPr>
        <w:t xml:space="preserve"> w</w:t>
      </w:r>
      <w:r w:rsidR="008B35E8">
        <w:rPr>
          <w:noProof/>
        </w:rPr>
        <w:t> </w:t>
      </w:r>
      <w:r w:rsidR="008B35E8" w:rsidRPr="002866E5">
        <w:rPr>
          <w:noProof/>
        </w:rPr>
        <w:t>cel</w:t>
      </w:r>
      <w:r w:rsidRPr="002866E5">
        <w:rPr>
          <w:noProof/>
        </w:rPr>
        <w:t>u konsultacji pomiędzy służbami.</w:t>
      </w:r>
    </w:p>
    <w:p w14:paraId="67ED8A87" w14:textId="77777777" w:rsidR="0037165D" w:rsidRPr="002866E5" w:rsidRDefault="0037165D" w:rsidP="00881943">
      <w:pPr>
        <w:jc w:val="right"/>
        <w:rPr>
          <w:noProof/>
          <w:sz w:val="20"/>
        </w:rPr>
      </w:pPr>
      <w:r w:rsidRPr="002866E5">
        <w:rPr>
          <w:noProof/>
          <w:sz w:val="20"/>
        </w:rPr>
        <w:t>w mln EUR (do trzech miejsc po przecinku)</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4381"/>
      </w:tblGrid>
      <w:tr w:rsidR="0037165D" w:rsidRPr="002866E5" w14:paraId="67ED8A90" w14:textId="77777777" w:rsidTr="00881943">
        <w:tc>
          <w:tcPr>
            <w:tcW w:w="3960" w:type="dxa"/>
            <w:tcBorders>
              <w:top w:val="nil"/>
              <w:left w:val="nil"/>
              <w:right w:val="nil"/>
            </w:tcBorders>
            <w:vAlign w:val="center"/>
          </w:tcPr>
          <w:p w14:paraId="67ED8A88" w14:textId="77777777" w:rsidR="0037165D" w:rsidRPr="002866E5" w:rsidRDefault="0037165D" w:rsidP="00881943">
            <w:pPr>
              <w:jc w:val="center"/>
              <w:rPr>
                <w:noProof/>
              </w:rPr>
            </w:pPr>
          </w:p>
        </w:tc>
        <w:tc>
          <w:tcPr>
            <w:tcW w:w="1560" w:type="dxa"/>
            <w:tcBorders>
              <w:top w:val="nil"/>
              <w:left w:val="nil"/>
              <w:right w:val="nil"/>
            </w:tcBorders>
          </w:tcPr>
          <w:p w14:paraId="67ED8A89" w14:textId="77777777" w:rsidR="0037165D" w:rsidRPr="002866E5" w:rsidRDefault="0037165D" w:rsidP="00881943">
            <w:pPr>
              <w:rPr>
                <w:noProof/>
                <w:sz w:val="20"/>
              </w:rPr>
            </w:pPr>
          </w:p>
        </w:tc>
        <w:tc>
          <w:tcPr>
            <w:tcW w:w="534" w:type="dxa"/>
            <w:tcBorders>
              <w:top w:val="nil"/>
              <w:left w:val="nil"/>
            </w:tcBorders>
          </w:tcPr>
          <w:p w14:paraId="67ED8A8A" w14:textId="77777777" w:rsidR="0037165D" w:rsidRPr="002866E5" w:rsidRDefault="0037165D" w:rsidP="00881943">
            <w:pPr>
              <w:jc w:val="center"/>
              <w:rPr>
                <w:noProof/>
                <w:sz w:val="20"/>
              </w:rPr>
            </w:pPr>
          </w:p>
        </w:tc>
        <w:tc>
          <w:tcPr>
            <w:tcW w:w="868" w:type="dxa"/>
            <w:vAlign w:val="center"/>
          </w:tcPr>
          <w:p w14:paraId="67ED8A8B" w14:textId="77777777" w:rsidR="0037165D" w:rsidRPr="002866E5" w:rsidRDefault="00F103C3" w:rsidP="00881943">
            <w:pPr>
              <w:jc w:val="center"/>
              <w:rPr>
                <w:noProof/>
                <w:sz w:val="20"/>
              </w:rPr>
            </w:pPr>
            <w:r w:rsidRPr="002866E5">
              <w:rPr>
                <w:noProof/>
                <w:sz w:val="16"/>
              </w:rPr>
              <w:t>Rok</w:t>
            </w:r>
            <w:r w:rsidRPr="002866E5">
              <w:rPr>
                <w:noProof/>
              </w:rPr>
              <w:t xml:space="preserve"> </w:t>
            </w:r>
            <w:r w:rsidRPr="002866E5">
              <w:rPr>
                <w:noProof/>
              </w:rPr>
              <w:br/>
            </w:r>
            <w:r w:rsidRPr="002866E5">
              <w:rPr>
                <w:b/>
                <w:noProof/>
                <w:sz w:val="16"/>
              </w:rPr>
              <w:t>2024</w:t>
            </w:r>
          </w:p>
        </w:tc>
        <w:tc>
          <w:tcPr>
            <w:tcW w:w="868" w:type="dxa"/>
            <w:vAlign w:val="center"/>
          </w:tcPr>
          <w:p w14:paraId="67ED8A8C" w14:textId="77777777" w:rsidR="0037165D" w:rsidRPr="002866E5" w:rsidRDefault="00F103C3" w:rsidP="00881943">
            <w:pPr>
              <w:jc w:val="center"/>
              <w:rPr>
                <w:noProof/>
                <w:sz w:val="20"/>
              </w:rPr>
            </w:pPr>
            <w:r w:rsidRPr="002866E5">
              <w:rPr>
                <w:noProof/>
                <w:sz w:val="16"/>
              </w:rPr>
              <w:t>Rok</w:t>
            </w:r>
            <w:r w:rsidRPr="002866E5">
              <w:rPr>
                <w:noProof/>
              </w:rPr>
              <w:t xml:space="preserve"> </w:t>
            </w:r>
            <w:r w:rsidRPr="002866E5">
              <w:rPr>
                <w:noProof/>
              </w:rPr>
              <w:br/>
            </w:r>
            <w:r w:rsidRPr="002866E5">
              <w:rPr>
                <w:b/>
                <w:noProof/>
                <w:sz w:val="16"/>
              </w:rPr>
              <w:t>2025</w:t>
            </w:r>
          </w:p>
        </w:tc>
        <w:tc>
          <w:tcPr>
            <w:tcW w:w="868" w:type="dxa"/>
            <w:vAlign w:val="center"/>
          </w:tcPr>
          <w:p w14:paraId="67ED8A8D" w14:textId="77777777" w:rsidR="0037165D" w:rsidRPr="002866E5" w:rsidRDefault="00F103C3" w:rsidP="00881943">
            <w:pPr>
              <w:jc w:val="center"/>
              <w:rPr>
                <w:noProof/>
                <w:sz w:val="20"/>
              </w:rPr>
            </w:pPr>
            <w:r w:rsidRPr="002866E5">
              <w:rPr>
                <w:noProof/>
                <w:sz w:val="16"/>
              </w:rPr>
              <w:t>Rok</w:t>
            </w:r>
            <w:r w:rsidRPr="002866E5">
              <w:rPr>
                <w:noProof/>
              </w:rPr>
              <w:t xml:space="preserve"> </w:t>
            </w:r>
            <w:r w:rsidRPr="002866E5">
              <w:rPr>
                <w:noProof/>
              </w:rPr>
              <w:br/>
            </w:r>
            <w:r w:rsidRPr="002866E5">
              <w:rPr>
                <w:b/>
                <w:noProof/>
                <w:sz w:val="16"/>
              </w:rPr>
              <w:t>2026</w:t>
            </w:r>
          </w:p>
        </w:tc>
        <w:tc>
          <w:tcPr>
            <w:tcW w:w="868" w:type="dxa"/>
            <w:vAlign w:val="center"/>
          </w:tcPr>
          <w:p w14:paraId="67ED8A8E" w14:textId="77777777" w:rsidR="0037165D" w:rsidRPr="002866E5" w:rsidRDefault="00F103C3" w:rsidP="00881943">
            <w:pPr>
              <w:jc w:val="center"/>
              <w:rPr>
                <w:noProof/>
                <w:sz w:val="20"/>
              </w:rPr>
            </w:pPr>
            <w:r w:rsidRPr="002866E5">
              <w:rPr>
                <w:noProof/>
                <w:sz w:val="16"/>
              </w:rPr>
              <w:t>Rok</w:t>
            </w:r>
            <w:r w:rsidRPr="002866E5">
              <w:rPr>
                <w:noProof/>
              </w:rPr>
              <w:t xml:space="preserve"> </w:t>
            </w:r>
            <w:r w:rsidRPr="002866E5">
              <w:rPr>
                <w:noProof/>
              </w:rPr>
              <w:br/>
            </w:r>
            <w:r w:rsidRPr="002866E5">
              <w:rPr>
                <w:b/>
                <w:noProof/>
                <w:sz w:val="16"/>
              </w:rPr>
              <w:t>2027</w:t>
            </w:r>
          </w:p>
        </w:tc>
        <w:tc>
          <w:tcPr>
            <w:tcW w:w="1777" w:type="dxa"/>
            <w:vAlign w:val="center"/>
          </w:tcPr>
          <w:p w14:paraId="67ED8A8F" w14:textId="77777777" w:rsidR="0037165D" w:rsidRPr="002866E5" w:rsidRDefault="0037165D" w:rsidP="00881943">
            <w:pPr>
              <w:jc w:val="center"/>
              <w:rPr>
                <w:b/>
                <w:noProof/>
                <w:sz w:val="20"/>
              </w:rPr>
            </w:pPr>
            <w:r w:rsidRPr="002866E5">
              <w:rPr>
                <w:b/>
                <w:noProof/>
                <w:sz w:val="20"/>
              </w:rPr>
              <w:t>OGÓŁEM</w:t>
            </w:r>
          </w:p>
        </w:tc>
      </w:tr>
      <w:tr w:rsidR="0037165D" w:rsidRPr="002866E5" w14:paraId="67ED8A92" w14:textId="77777777" w:rsidTr="00881943">
        <w:trPr>
          <w:gridAfter w:val="7"/>
          <w:wAfter w:w="9947" w:type="dxa"/>
        </w:trPr>
        <w:tc>
          <w:tcPr>
            <w:tcW w:w="3960" w:type="dxa"/>
            <w:vAlign w:val="center"/>
          </w:tcPr>
          <w:p w14:paraId="67ED8A91" w14:textId="77777777" w:rsidR="0037165D" w:rsidRPr="002866E5" w:rsidRDefault="0037165D" w:rsidP="00881943">
            <w:pPr>
              <w:spacing w:before="60" w:after="60"/>
              <w:jc w:val="center"/>
              <w:rPr>
                <w:noProof/>
              </w:rPr>
            </w:pPr>
            <w:r w:rsidRPr="002866E5">
              <w:rPr>
                <w:noProof/>
                <w:sz w:val="22"/>
              </w:rPr>
              <w:t>DG: CNECT</w:t>
            </w:r>
          </w:p>
        </w:tc>
      </w:tr>
      <w:tr w:rsidR="0037165D" w:rsidRPr="002866E5" w14:paraId="67ED8A99" w14:textId="77777777" w:rsidTr="00881943">
        <w:trPr>
          <w:trHeight w:val="313"/>
        </w:trPr>
        <w:tc>
          <w:tcPr>
            <w:tcW w:w="6054" w:type="dxa"/>
            <w:gridSpan w:val="3"/>
            <w:vAlign w:val="center"/>
          </w:tcPr>
          <w:p w14:paraId="67ED8A93" w14:textId="77777777" w:rsidR="0037165D" w:rsidRPr="002866E5" w:rsidRDefault="0037165D" w:rsidP="00881943">
            <w:pPr>
              <w:spacing w:before="20" w:after="20"/>
              <w:rPr>
                <w:noProof/>
              </w:rPr>
            </w:pPr>
            <w:r w:rsidRPr="002866E5">
              <w:rPr>
                <w:noProof/>
                <w:sz w:val="22"/>
              </w:rPr>
              <w:sym w:font="Wingdings" w:char="F09F"/>
            </w:r>
            <w:r w:rsidRPr="002866E5">
              <w:rPr>
                <w:noProof/>
                <w:sz w:val="22"/>
              </w:rPr>
              <w:t xml:space="preserve"> Zasoby ludzkie </w:t>
            </w:r>
          </w:p>
        </w:tc>
        <w:tc>
          <w:tcPr>
            <w:tcW w:w="868" w:type="dxa"/>
            <w:vAlign w:val="center"/>
          </w:tcPr>
          <w:p w14:paraId="67ED8A94" w14:textId="77777777" w:rsidR="0037165D" w:rsidRPr="002866E5" w:rsidRDefault="00702CAE" w:rsidP="00881943">
            <w:pPr>
              <w:spacing w:before="20" w:after="20"/>
              <w:jc w:val="right"/>
              <w:rPr>
                <w:noProof/>
                <w:sz w:val="20"/>
              </w:rPr>
            </w:pPr>
            <w:r w:rsidRPr="002866E5">
              <w:rPr>
                <w:noProof/>
                <w:sz w:val="20"/>
              </w:rPr>
              <w:t>1,030</w:t>
            </w:r>
          </w:p>
        </w:tc>
        <w:tc>
          <w:tcPr>
            <w:tcW w:w="868" w:type="dxa"/>
            <w:vAlign w:val="center"/>
          </w:tcPr>
          <w:p w14:paraId="67ED8A95" w14:textId="77777777" w:rsidR="0037165D" w:rsidRPr="002866E5" w:rsidRDefault="00702CAE" w:rsidP="00881943">
            <w:pPr>
              <w:spacing w:before="20" w:after="20"/>
              <w:jc w:val="right"/>
              <w:rPr>
                <w:noProof/>
                <w:sz w:val="20"/>
              </w:rPr>
            </w:pPr>
            <w:r w:rsidRPr="002866E5">
              <w:rPr>
                <w:noProof/>
                <w:sz w:val="20"/>
              </w:rPr>
              <w:t>1,030</w:t>
            </w:r>
          </w:p>
        </w:tc>
        <w:tc>
          <w:tcPr>
            <w:tcW w:w="868" w:type="dxa"/>
            <w:vAlign w:val="center"/>
          </w:tcPr>
          <w:p w14:paraId="67ED8A96" w14:textId="77777777" w:rsidR="0037165D" w:rsidRPr="002866E5" w:rsidRDefault="00702CAE" w:rsidP="00881943">
            <w:pPr>
              <w:spacing w:before="20" w:after="20"/>
              <w:jc w:val="right"/>
              <w:rPr>
                <w:noProof/>
                <w:sz w:val="20"/>
              </w:rPr>
            </w:pPr>
            <w:r w:rsidRPr="002866E5">
              <w:rPr>
                <w:noProof/>
                <w:sz w:val="20"/>
              </w:rPr>
              <w:t>1,030</w:t>
            </w:r>
          </w:p>
        </w:tc>
        <w:tc>
          <w:tcPr>
            <w:tcW w:w="868" w:type="dxa"/>
            <w:vAlign w:val="center"/>
          </w:tcPr>
          <w:p w14:paraId="67ED8A97" w14:textId="77777777" w:rsidR="0037165D" w:rsidRPr="002866E5" w:rsidRDefault="00702CAE" w:rsidP="00881943">
            <w:pPr>
              <w:spacing w:before="20" w:after="20"/>
              <w:jc w:val="right"/>
              <w:rPr>
                <w:noProof/>
                <w:sz w:val="20"/>
              </w:rPr>
            </w:pPr>
            <w:r w:rsidRPr="002866E5">
              <w:rPr>
                <w:noProof/>
                <w:sz w:val="20"/>
              </w:rPr>
              <w:t>1,030</w:t>
            </w:r>
          </w:p>
        </w:tc>
        <w:tc>
          <w:tcPr>
            <w:tcW w:w="1777" w:type="dxa"/>
            <w:vAlign w:val="center"/>
          </w:tcPr>
          <w:p w14:paraId="67ED8A98" w14:textId="77777777" w:rsidR="0037165D" w:rsidRPr="002866E5" w:rsidRDefault="00AE5631" w:rsidP="00881943">
            <w:pPr>
              <w:spacing w:before="20" w:after="20"/>
              <w:jc w:val="right"/>
              <w:rPr>
                <w:b/>
                <w:noProof/>
                <w:sz w:val="20"/>
              </w:rPr>
            </w:pPr>
            <w:r w:rsidRPr="002866E5">
              <w:rPr>
                <w:b/>
                <w:noProof/>
                <w:sz w:val="20"/>
              </w:rPr>
              <w:t>4,120</w:t>
            </w:r>
          </w:p>
        </w:tc>
      </w:tr>
      <w:tr w:rsidR="0037165D" w:rsidRPr="002866E5" w14:paraId="67ED8AA0" w14:textId="77777777" w:rsidTr="00881943">
        <w:trPr>
          <w:trHeight w:val="351"/>
        </w:trPr>
        <w:tc>
          <w:tcPr>
            <w:tcW w:w="6054" w:type="dxa"/>
            <w:gridSpan w:val="3"/>
            <w:vAlign w:val="center"/>
          </w:tcPr>
          <w:p w14:paraId="67ED8A9A" w14:textId="77777777" w:rsidR="0037165D" w:rsidRPr="002866E5" w:rsidRDefault="0037165D" w:rsidP="00881943">
            <w:pPr>
              <w:spacing w:before="20" w:after="20"/>
              <w:rPr>
                <w:noProof/>
              </w:rPr>
            </w:pPr>
            <w:r w:rsidRPr="002866E5">
              <w:rPr>
                <w:noProof/>
                <w:sz w:val="22"/>
              </w:rPr>
              <w:sym w:font="Wingdings" w:char="F09F"/>
            </w:r>
            <w:r w:rsidRPr="002866E5">
              <w:rPr>
                <w:noProof/>
                <w:sz w:val="22"/>
              </w:rPr>
              <w:t xml:space="preserve"> Pozostałe wydatki administracyjne </w:t>
            </w:r>
          </w:p>
        </w:tc>
        <w:tc>
          <w:tcPr>
            <w:tcW w:w="868" w:type="dxa"/>
            <w:vAlign w:val="center"/>
          </w:tcPr>
          <w:p w14:paraId="67ED8A9B" w14:textId="77777777" w:rsidR="0037165D" w:rsidRPr="002866E5" w:rsidRDefault="00CB1C9E" w:rsidP="00881943">
            <w:pPr>
              <w:spacing w:before="20" w:after="20"/>
              <w:jc w:val="right"/>
              <w:rPr>
                <w:b/>
                <w:noProof/>
                <w:sz w:val="20"/>
              </w:rPr>
            </w:pPr>
            <w:r w:rsidRPr="002866E5">
              <w:rPr>
                <w:b/>
                <w:noProof/>
                <w:sz w:val="16"/>
              </w:rPr>
              <w:t>0,222</w:t>
            </w:r>
          </w:p>
        </w:tc>
        <w:tc>
          <w:tcPr>
            <w:tcW w:w="868" w:type="dxa"/>
            <w:vAlign w:val="center"/>
          </w:tcPr>
          <w:p w14:paraId="67ED8A9C" w14:textId="77777777" w:rsidR="0037165D" w:rsidRPr="002866E5" w:rsidRDefault="00CB1C9E" w:rsidP="00881943">
            <w:pPr>
              <w:spacing w:before="20" w:after="20"/>
              <w:jc w:val="right"/>
              <w:rPr>
                <w:b/>
                <w:noProof/>
                <w:sz w:val="20"/>
              </w:rPr>
            </w:pPr>
            <w:r w:rsidRPr="002866E5">
              <w:rPr>
                <w:b/>
                <w:noProof/>
                <w:sz w:val="16"/>
              </w:rPr>
              <w:t>0,222</w:t>
            </w:r>
          </w:p>
        </w:tc>
        <w:tc>
          <w:tcPr>
            <w:tcW w:w="868" w:type="dxa"/>
            <w:vAlign w:val="center"/>
          </w:tcPr>
          <w:p w14:paraId="67ED8A9D" w14:textId="77777777" w:rsidR="0037165D" w:rsidRPr="002866E5" w:rsidRDefault="00CB1C9E" w:rsidP="00881943">
            <w:pPr>
              <w:spacing w:before="20" w:after="20"/>
              <w:jc w:val="right"/>
              <w:rPr>
                <w:b/>
                <w:noProof/>
                <w:sz w:val="20"/>
              </w:rPr>
            </w:pPr>
            <w:r w:rsidRPr="002866E5">
              <w:rPr>
                <w:b/>
                <w:noProof/>
                <w:sz w:val="16"/>
              </w:rPr>
              <w:t>0,222</w:t>
            </w:r>
          </w:p>
        </w:tc>
        <w:tc>
          <w:tcPr>
            <w:tcW w:w="868" w:type="dxa"/>
            <w:vAlign w:val="center"/>
          </w:tcPr>
          <w:p w14:paraId="67ED8A9E" w14:textId="77777777" w:rsidR="0037165D" w:rsidRPr="002866E5" w:rsidRDefault="00CB1C9E" w:rsidP="00881943">
            <w:pPr>
              <w:spacing w:before="20" w:after="20"/>
              <w:jc w:val="right"/>
              <w:rPr>
                <w:b/>
                <w:noProof/>
                <w:sz w:val="20"/>
              </w:rPr>
            </w:pPr>
            <w:r w:rsidRPr="002866E5">
              <w:rPr>
                <w:b/>
                <w:noProof/>
                <w:sz w:val="16"/>
              </w:rPr>
              <w:t>0,222</w:t>
            </w:r>
          </w:p>
        </w:tc>
        <w:tc>
          <w:tcPr>
            <w:tcW w:w="1777" w:type="dxa"/>
            <w:vAlign w:val="center"/>
          </w:tcPr>
          <w:p w14:paraId="67ED8A9F" w14:textId="77777777" w:rsidR="0037165D" w:rsidRPr="002866E5" w:rsidRDefault="00AE5631" w:rsidP="00881943">
            <w:pPr>
              <w:spacing w:before="20" w:after="20"/>
              <w:jc w:val="right"/>
              <w:rPr>
                <w:b/>
                <w:noProof/>
                <w:sz w:val="20"/>
              </w:rPr>
            </w:pPr>
            <w:r w:rsidRPr="002866E5">
              <w:rPr>
                <w:b/>
                <w:noProof/>
                <w:sz w:val="20"/>
              </w:rPr>
              <w:t>0,888</w:t>
            </w:r>
          </w:p>
        </w:tc>
      </w:tr>
      <w:tr w:rsidR="0037165D" w:rsidRPr="002866E5" w14:paraId="67ED8AA8" w14:textId="77777777" w:rsidTr="00881943">
        <w:tc>
          <w:tcPr>
            <w:tcW w:w="3960" w:type="dxa"/>
            <w:vAlign w:val="center"/>
          </w:tcPr>
          <w:p w14:paraId="67ED8AA1" w14:textId="77777777" w:rsidR="0037165D" w:rsidRPr="002866E5" w:rsidRDefault="0037165D" w:rsidP="00881943">
            <w:pPr>
              <w:jc w:val="center"/>
              <w:rPr>
                <w:b/>
                <w:noProof/>
              </w:rPr>
            </w:pPr>
            <w:r w:rsidRPr="002866E5">
              <w:rPr>
                <w:b/>
                <w:noProof/>
                <w:sz w:val="22"/>
              </w:rPr>
              <w:t xml:space="preserve">OGÓŁEM DG </w:t>
            </w:r>
            <w:r w:rsidRPr="002866E5">
              <w:rPr>
                <w:noProof/>
                <w:sz w:val="22"/>
              </w:rPr>
              <w:t>CNECT</w:t>
            </w:r>
          </w:p>
        </w:tc>
        <w:tc>
          <w:tcPr>
            <w:tcW w:w="2094" w:type="dxa"/>
            <w:gridSpan w:val="2"/>
            <w:vAlign w:val="center"/>
          </w:tcPr>
          <w:p w14:paraId="67ED8AA2" w14:textId="77777777" w:rsidR="0037165D" w:rsidRPr="002866E5" w:rsidRDefault="0037165D" w:rsidP="00881943">
            <w:pPr>
              <w:rPr>
                <w:noProof/>
                <w:sz w:val="14"/>
              </w:rPr>
            </w:pPr>
            <w:r w:rsidRPr="002866E5">
              <w:rPr>
                <w:noProof/>
                <w:sz w:val="18"/>
              </w:rPr>
              <w:t xml:space="preserve">Środki </w:t>
            </w:r>
          </w:p>
        </w:tc>
        <w:tc>
          <w:tcPr>
            <w:tcW w:w="868" w:type="dxa"/>
            <w:vAlign w:val="center"/>
          </w:tcPr>
          <w:p w14:paraId="67ED8AA3" w14:textId="77777777" w:rsidR="0037165D" w:rsidRPr="002866E5" w:rsidRDefault="00CB1C9E" w:rsidP="00881943">
            <w:pPr>
              <w:spacing w:before="60" w:after="60"/>
              <w:jc w:val="right"/>
              <w:rPr>
                <w:noProof/>
                <w:sz w:val="20"/>
              </w:rPr>
            </w:pPr>
            <w:r w:rsidRPr="002866E5">
              <w:rPr>
                <w:b/>
                <w:noProof/>
                <w:sz w:val="16"/>
              </w:rPr>
              <w:t>1,252</w:t>
            </w:r>
          </w:p>
        </w:tc>
        <w:tc>
          <w:tcPr>
            <w:tcW w:w="868" w:type="dxa"/>
            <w:vAlign w:val="center"/>
          </w:tcPr>
          <w:p w14:paraId="67ED8AA4" w14:textId="77777777" w:rsidR="0037165D" w:rsidRPr="002866E5" w:rsidRDefault="00CB1C9E" w:rsidP="00881943">
            <w:pPr>
              <w:spacing w:before="20" w:after="20"/>
              <w:jc w:val="right"/>
              <w:rPr>
                <w:noProof/>
                <w:sz w:val="20"/>
              </w:rPr>
            </w:pPr>
            <w:r w:rsidRPr="002866E5">
              <w:rPr>
                <w:b/>
                <w:noProof/>
                <w:sz w:val="16"/>
              </w:rPr>
              <w:t>1,252</w:t>
            </w:r>
          </w:p>
        </w:tc>
        <w:tc>
          <w:tcPr>
            <w:tcW w:w="868" w:type="dxa"/>
            <w:vAlign w:val="center"/>
          </w:tcPr>
          <w:p w14:paraId="67ED8AA5" w14:textId="77777777" w:rsidR="0037165D" w:rsidRPr="002866E5" w:rsidRDefault="00CB1C9E" w:rsidP="00881943">
            <w:pPr>
              <w:spacing w:before="20" w:after="20"/>
              <w:jc w:val="right"/>
              <w:rPr>
                <w:noProof/>
                <w:sz w:val="20"/>
              </w:rPr>
            </w:pPr>
            <w:r w:rsidRPr="002866E5">
              <w:rPr>
                <w:b/>
                <w:noProof/>
                <w:sz w:val="16"/>
              </w:rPr>
              <w:t>1,252</w:t>
            </w:r>
          </w:p>
        </w:tc>
        <w:tc>
          <w:tcPr>
            <w:tcW w:w="868" w:type="dxa"/>
            <w:vAlign w:val="center"/>
          </w:tcPr>
          <w:p w14:paraId="67ED8AA6" w14:textId="77777777" w:rsidR="0037165D" w:rsidRPr="002866E5" w:rsidRDefault="00CB1C9E" w:rsidP="00881943">
            <w:pPr>
              <w:spacing w:before="20" w:after="20"/>
              <w:jc w:val="right"/>
              <w:rPr>
                <w:noProof/>
                <w:sz w:val="20"/>
              </w:rPr>
            </w:pPr>
            <w:r w:rsidRPr="002866E5">
              <w:rPr>
                <w:b/>
                <w:noProof/>
                <w:sz w:val="16"/>
              </w:rPr>
              <w:t>1,252</w:t>
            </w:r>
          </w:p>
        </w:tc>
        <w:tc>
          <w:tcPr>
            <w:tcW w:w="1777" w:type="dxa"/>
            <w:vAlign w:val="center"/>
          </w:tcPr>
          <w:p w14:paraId="67ED8AA7" w14:textId="77777777" w:rsidR="0037165D" w:rsidRPr="002866E5" w:rsidRDefault="00AE5631" w:rsidP="00881943">
            <w:pPr>
              <w:spacing w:before="20" w:after="20"/>
              <w:jc w:val="right"/>
              <w:rPr>
                <w:b/>
                <w:noProof/>
                <w:sz w:val="20"/>
              </w:rPr>
            </w:pPr>
            <w:r w:rsidRPr="002866E5">
              <w:rPr>
                <w:b/>
                <w:noProof/>
                <w:sz w:val="20"/>
              </w:rPr>
              <w:t>5,008</w:t>
            </w:r>
          </w:p>
        </w:tc>
      </w:tr>
    </w:tbl>
    <w:p w14:paraId="67ED8AA9" w14:textId="77777777" w:rsidR="0037165D" w:rsidRPr="002866E5" w:rsidRDefault="0037165D" w:rsidP="00881943">
      <w:pPr>
        <w:rPr>
          <w:noProof/>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1777"/>
      </w:tblGrid>
      <w:tr w:rsidR="0037165D" w:rsidRPr="002866E5" w14:paraId="67ED8AB1" w14:textId="77777777" w:rsidTr="00D56A43">
        <w:tc>
          <w:tcPr>
            <w:tcW w:w="3960" w:type="dxa"/>
            <w:shd w:val="thinDiagStripe" w:color="C0C0C0" w:fill="auto"/>
            <w:vAlign w:val="center"/>
          </w:tcPr>
          <w:p w14:paraId="67ED8AAA" w14:textId="77777777" w:rsidR="0037165D" w:rsidRPr="002866E5" w:rsidRDefault="0037165D" w:rsidP="00881943">
            <w:pPr>
              <w:jc w:val="center"/>
              <w:rPr>
                <w:b/>
                <w:noProof/>
              </w:rPr>
            </w:pPr>
            <w:r w:rsidRPr="002866E5">
              <w:rPr>
                <w:b/>
                <w:noProof/>
                <w:sz w:val="22"/>
              </w:rPr>
              <w:t>OGÓŁEM środki</w:t>
            </w:r>
            <w:r w:rsidRPr="002866E5">
              <w:rPr>
                <w:noProof/>
              </w:rPr>
              <w:t xml:space="preserve"> </w:t>
            </w:r>
            <w:r w:rsidRPr="002866E5">
              <w:rPr>
                <w:noProof/>
              </w:rPr>
              <w:br/>
            </w:r>
            <w:r w:rsidRPr="002866E5">
              <w:rPr>
                <w:b/>
                <w:noProof/>
                <w:sz w:val="22"/>
              </w:rPr>
              <w:t>na DZIAŁ 7</w:t>
            </w:r>
            <w:r w:rsidRPr="002866E5">
              <w:rPr>
                <w:noProof/>
              </w:rPr>
              <w:t xml:space="preserve"> </w:t>
            </w:r>
            <w:r w:rsidRPr="002866E5">
              <w:rPr>
                <w:noProof/>
              </w:rPr>
              <w:br/>
            </w:r>
            <w:r w:rsidRPr="002866E5">
              <w:rPr>
                <w:noProof/>
                <w:sz w:val="22"/>
              </w:rPr>
              <w:t>wieloletnich ram finansowych</w:t>
            </w:r>
            <w:r w:rsidRPr="002866E5">
              <w:rPr>
                <w:b/>
                <w:noProof/>
                <w:sz w:val="22"/>
              </w:rPr>
              <w:t xml:space="preserve"> </w:t>
            </w:r>
          </w:p>
        </w:tc>
        <w:tc>
          <w:tcPr>
            <w:tcW w:w="2094" w:type="dxa"/>
            <w:vAlign w:val="center"/>
          </w:tcPr>
          <w:p w14:paraId="67ED8AAB" w14:textId="77777777" w:rsidR="0037165D" w:rsidRPr="002866E5" w:rsidRDefault="0037165D" w:rsidP="00881943">
            <w:pPr>
              <w:spacing w:before="40" w:after="40"/>
              <w:rPr>
                <w:noProof/>
              </w:rPr>
            </w:pPr>
            <w:r w:rsidRPr="002866E5">
              <w:rPr>
                <w:noProof/>
                <w:sz w:val="18"/>
              </w:rPr>
              <w:t>(Środki na zobowiązania ogółem = środki na płatności ogółem)</w:t>
            </w:r>
          </w:p>
        </w:tc>
        <w:tc>
          <w:tcPr>
            <w:tcW w:w="868" w:type="dxa"/>
            <w:vAlign w:val="center"/>
          </w:tcPr>
          <w:p w14:paraId="67ED8AAC" w14:textId="77777777" w:rsidR="0037165D" w:rsidRPr="002866E5" w:rsidRDefault="00CB1C9E" w:rsidP="00881943">
            <w:pPr>
              <w:spacing w:before="20" w:after="20"/>
              <w:jc w:val="right"/>
              <w:rPr>
                <w:noProof/>
                <w:sz w:val="20"/>
              </w:rPr>
            </w:pPr>
            <w:r w:rsidRPr="002866E5">
              <w:rPr>
                <w:b/>
                <w:noProof/>
                <w:sz w:val="16"/>
              </w:rPr>
              <w:t>1,252</w:t>
            </w:r>
          </w:p>
        </w:tc>
        <w:tc>
          <w:tcPr>
            <w:tcW w:w="868" w:type="dxa"/>
          </w:tcPr>
          <w:p w14:paraId="67ED8AAD" w14:textId="77777777" w:rsidR="0037165D" w:rsidRPr="002866E5" w:rsidRDefault="00CB1C9E" w:rsidP="00881943">
            <w:pPr>
              <w:spacing w:before="20" w:after="20"/>
              <w:jc w:val="right"/>
              <w:rPr>
                <w:noProof/>
                <w:sz w:val="20"/>
              </w:rPr>
            </w:pPr>
            <w:r w:rsidRPr="002866E5">
              <w:rPr>
                <w:b/>
                <w:noProof/>
                <w:sz w:val="16"/>
              </w:rPr>
              <w:t>1,252</w:t>
            </w:r>
          </w:p>
        </w:tc>
        <w:tc>
          <w:tcPr>
            <w:tcW w:w="868" w:type="dxa"/>
          </w:tcPr>
          <w:p w14:paraId="67ED8AAE" w14:textId="77777777" w:rsidR="0037165D" w:rsidRPr="002866E5" w:rsidRDefault="00CB1C9E" w:rsidP="00881943">
            <w:pPr>
              <w:spacing w:before="20" w:after="20"/>
              <w:jc w:val="right"/>
              <w:rPr>
                <w:noProof/>
                <w:sz w:val="20"/>
              </w:rPr>
            </w:pPr>
            <w:r w:rsidRPr="002866E5">
              <w:rPr>
                <w:b/>
                <w:noProof/>
                <w:sz w:val="16"/>
              </w:rPr>
              <w:t>1,252</w:t>
            </w:r>
          </w:p>
        </w:tc>
        <w:tc>
          <w:tcPr>
            <w:tcW w:w="868" w:type="dxa"/>
          </w:tcPr>
          <w:p w14:paraId="67ED8AAF" w14:textId="77777777" w:rsidR="0037165D" w:rsidRPr="002866E5" w:rsidRDefault="00CB1C9E" w:rsidP="00881943">
            <w:pPr>
              <w:spacing w:before="20" w:after="20"/>
              <w:jc w:val="right"/>
              <w:rPr>
                <w:noProof/>
                <w:sz w:val="20"/>
              </w:rPr>
            </w:pPr>
            <w:r w:rsidRPr="002866E5">
              <w:rPr>
                <w:b/>
                <w:noProof/>
                <w:sz w:val="16"/>
              </w:rPr>
              <w:t>1,252</w:t>
            </w:r>
          </w:p>
        </w:tc>
        <w:tc>
          <w:tcPr>
            <w:tcW w:w="1777" w:type="dxa"/>
            <w:vAlign w:val="center"/>
          </w:tcPr>
          <w:p w14:paraId="67ED8AB0" w14:textId="77777777" w:rsidR="0037165D" w:rsidRPr="002866E5" w:rsidRDefault="00AE5631" w:rsidP="00881943">
            <w:pPr>
              <w:spacing w:before="20" w:after="20"/>
              <w:jc w:val="right"/>
              <w:rPr>
                <w:b/>
                <w:noProof/>
                <w:sz w:val="20"/>
              </w:rPr>
            </w:pPr>
            <w:r w:rsidRPr="002866E5">
              <w:rPr>
                <w:b/>
                <w:noProof/>
                <w:sz w:val="20"/>
              </w:rPr>
              <w:t>5,008</w:t>
            </w:r>
          </w:p>
        </w:tc>
      </w:tr>
    </w:tbl>
    <w:p w14:paraId="67ED8AB2" w14:textId="77777777" w:rsidR="0037165D" w:rsidRPr="002866E5" w:rsidRDefault="0037165D" w:rsidP="00881943">
      <w:pPr>
        <w:jc w:val="right"/>
        <w:rPr>
          <w:noProof/>
          <w:sz w:val="20"/>
        </w:rPr>
      </w:pPr>
      <w:r w:rsidRPr="002866E5">
        <w:rPr>
          <w:noProof/>
          <w:sz w:val="20"/>
        </w:rPr>
        <w:t>w mln EUR (do trzech miejsc po przecinku)</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1777"/>
      </w:tblGrid>
      <w:tr w:rsidR="0037165D" w:rsidRPr="002866E5" w14:paraId="67ED8ABB" w14:textId="77777777" w:rsidTr="00881943">
        <w:tc>
          <w:tcPr>
            <w:tcW w:w="3960" w:type="dxa"/>
            <w:tcBorders>
              <w:top w:val="nil"/>
              <w:left w:val="nil"/>
              <w:right w:val="nil"/>
            </w:tcBorders>
            <w:vAlign w:val="center"/>
          </w:tcPr>
          <w:p w14:paraId="67ED8AB3" w14:textId="77777777" w:rsidR="0037165D" w:rsidRPr="002866E5" w:rsidRDefault="0037165D" w:rsidP="00881943">
            <w:pPr>
              <w:jc w:val="center"/>
              <w:rPr>
                <w:noProof/>
              </w:rPr>
            </w:pPr>
          </w:p>
        </w:tc>
        <w:tc>
          <w:tcPr>
            <w:tcW w:w="1560" w:type="dxa"/>
            <w:tcBorders>
              <w:top w:val="nil"/>
              <w:left w:val="nil"/>
              <w:right w:val="nil"/>
            </w:tcBorders>
          </w:tcPr>
          <w:p w14:paraId="67ED8AB4" w14:textId="77777777" w:rsidR="0037165D" w:rsidRPr="002866E5" w:rsidRDefault="0037165D" w:rsidP="00881943">
            <w:pPr>
              <w:rPr>
                <w:noProof/>
                <w:sz w:val="20"/>
              </w:rPr>
            </w:pPr>
          </w:p>
        </w:tc>
        <w:tc>
          <w:tcPr>
            <w:tcW w:w="534" w:type="dxa"/>
            <w:tcBorders>
              <w:top w:val="nil"/>
              <w:left w:val="nil"/>
            </w:tcBorders>
          </w:tcPr>
          <w:p w14:paraId="67ED8AB5" w14:textId="77777777" w:rsidR="0037165D" w:rsidRPr="002866E5" w:rsidRDefault="0037165D" w:rsidP="00881943">
            <w:pPr>
              <w:jc w:val="center"/>
              <w:rPr>
                <w:noProof/>
                <w:sz w:val="20"/>
              </w:rPr>
            </w:pPr>
          </w:p>
        </w:tc>
        <w:tc>
          <w:tcPr>
            <w:tcW w:w="868" w:type="dxa"/>
            <w:vAlign w:val="center"/>
          </w:tcPr>
          <w:p w14:paraId="67ED8AB6" w14:textId="77777777" w:rsidR="0037165D" w:rsidRPr="002866E5" w:rsidRDefault="00F103C3" w:rsidP="00881943">
            <w:pPr>
              <w:jc w:val="center"/>
              <w:rPr>
                <w:noProof/>
                <w:sz w:val="20"/>
              </w:rPr>
            </w:pPr>
            <w:r w:rsidRPr="002866E5">
              <w:rPr>
                <w:noProof/>
                <w:sz w:val="16"/>
              </w:rPr>
              <w:t>Rok</w:t>
            </w:r>
            <w:r w:rsidRPr="002866E5">
              <w:rPr>
                <w:noProof/>
              </w:rPr>
              <w:t xml:space="preserve"> </w:t>
            </w:r>
            <w:r w:rsidRPr="002866E5">
              <w:rPr>
                <w:noProof/>
              </w:rPr>
              <w:br/>
            </w:r>
            <w:r w:rsidRPr="002866E5">
              <w:rPr>
                <w:b/>
                <w:noProof/>
                <w:sz w:val="16"/>
              </w:rPr>
              <w:t>2024</w:t>
            </w:r>
          </w:p>
        </w:tc>
        <w:tc>
          <w:tcPr>
            <w:tcW w:w="868" w:type="dxa"/>
            <w:vAlign w:val="center"/>
          </w:tcPr>
          <w:p w14:paraId="67ED8AB7" w14:textId="77777777" w:rsidR="0037165D" w:rsidRPr="002866E5" w:rsidRDefault="00F103C3" w:rsidP="00881943">
            <w:pPr>
              <w:jc w:val="center"/>
              <w:rPr>
                <w:noProof/>
                <w:sz w:val="20"/>
              </w:rPr>
            </w:pPr>
            <w:r w:rsidRPr="002866E5">
              <w:rPr>
                <w:noProof/>
                <w:sz w:val="16"/>
              </w:rPr>
              <w:t>Rok</w:t>
            </w:r>
            <w:r w:rsidRPr="002866E5">
              <w:rPr>
                <w:noProof/>
              </w:rPr>
              <w:t xml:space="preserve"> </w:t>
            </w:r>
            <w:r w:rsidRPr="002866E5">
              <w:rPr>
                <w:noProof/>
              </w:rPr>
              <w:br/>
            </w:r>
            <w:r w:rsidRPr="002866E5">
              <w:rPr>
                <w:b/>
                <w:noProof/>
                <w:sz w:val="16"/>
              </w:rPr>
              <w:t>2025</w:t>
            </w:r>
          </w:p>
        </w:tc>
        <w:tc>
          <w:tcPr>
            <w:tcW w:w="868" w:type="dxa"/>
            <w:vAlign w:val="center"/>
          </w:tcPr>
          <w:p w14:paraId="67ED8AB8" w14:textId="77777777" w:rsidR="0037165D" w:rsidRPr="002866E5" w:rsidRDefault="00F103C3" w:rsidP="00881943">
            <w:pPr>
              <w:jc w:val="center"/>
              <w:rPr>
                <w:noProof/>
                <w:sz w:val="20"/>
              </w:rPr>
            </w:pPr>
            <w:r w:rsidRPr="002866E5">
              <w:rPr>
                <w:noProof/>
                <w:sz w:val="16"/>
              </w:rPr>
              <w:t>Rok</w:t>
            </w:r>
            <w:r w:rsidRPr="002866E5">
              <w:rPr>
                <w:noProof/>
              </w:rPr>
              <w:t xml:space="preserve"> </w:t>
            </w:r>
            <w:r w:rsidRPr="002866E5">
              <w:rPr>
                <w:noProof/>
              </w:rPr>
              <w:br/>
            </w:r>
            <w:r w:rsidRPr="002866E5">
              <w:rPr>
                <w:b/>
                <w:noProof/>
                <w:sz w:val="16"/>
              </w:rPr>
              <w:t>2026</w:t>
            </w:r>
          </w:p>
        </w:tc>
        <w:tc>
          <w:tcPr>
            <w:tcW w:w="868" w:type="dxa"/>
            <w:vAlign w:val="center"/>
          </w:tcPr>
          <w:p w14:paraId="67ED8AB9" w14:textId="77777777" w:rsidR="0037165D" w:rsidRPr="002866E5" w:rsidRDefault="00F103C3" w:rsidP="00881943">
            <w:pPr>
              <w:jc w:val="center"/>
              <w:rPr>
                <w:noProof/>
                <w:sz w:val="20"/>
              </w:rPr>
            </w:pPr>
            <w:r w:rsidRPr="002866E5">
              <w:rPr>
                <w:noProof/>
                <w:sz w:val="16"/>
              </w:rPr>
              <w:t>Rok</w:t>
            </w:r>
            <w:r w:rsidRPr="002866E5">
              <w:rPr>
                <w:noProof/>
              </w:rPr>
              <w:t xml:space="preserve"> </w:t>
            </w:r>
            <w:r w:rsidRPr="002866E5">
              <w:rPr>
                <w:noProof/>
              </w:rPr>
              <w:br/>
            </w:r>
            <w:r w:rsidRPr="002866E5">
              <w:rPr>
                <w:b/>
                <w:noProof/>
                <w:sz w:val="16"/>
              </w:rPr>
              <w:t>2027</w:t>
            </w:r>
          </w:p>
        </w:tc>
        <w:tc>
          <w:tcPr>
            <w:tcW w:w="1777" w:type="dxa"/>
            <w:vAlign w:val="center"/>
          </w:tcPr>
          <w:p w14:paraId="67ED8ABA" w14:textId="77777777" w:rsidR="0037165D" w:rsidRPr="002866E5" w:rsidRDefault="0037165D" w:rsidP="00881943">
            <w:pPr>
              <w:jc w:val="center"/>
              <w:rPr>
                <w:b/>
                <w:noProof/>
                <w:sz w:val="20"/>
              </w:rPr>
            </w:pPr>
            <w:r w:rsidRPr="002866E5">
              <w:rPr>
                <w:b/>
                <w:noProof/>
                <w:sz w:val="20"/>
              </w:rPr>
              <w:t>OGÓŁEM</w:t>
            </w:r>
          </w:p>
        </w:tc>
      </w:tr>
      <w:tr w:rsidR="0037165D" w:rsidRPr="002866E5" w14:paraId="67ED8AC3" w14:textId="77777777" w:rsidTr="00D56A43">
        <w:tc>
          <w:tcPr>
            <w:tcW w:w="3960" w:type="dxa"/>
            <w:vMerge w:val="restart"/>
            <w:shd w:val="clear" w:color="auto" w:fill="C0C0C0"/>
            <w:vAlign w:val="center"/>
          </w:tcPr>
          <w:p w14:paraId="67ED8ABC" w14:textId="1B7E225C" w:rsidR="0037165D" w:rsidRPr="002866E5" w:rsidRDefault="0037165D" w:rsidP="002866E5">
            <w:pPr>
              <w:jc w:val="center"/>
              <w:rPr>
                <w:b/>
                <w:noProof/>
              </w:rPr>
            </w:pPr>
            <w:r w:rsidRPr="002866E5">
              <w:rPr>
                <w:b/>
                <w:noProof/>
                <w:sz w:val="22"/>
              </w:rPr>
              <w:t>OGÓŁEM środki</w:t>
            </w:r>
            <w:r w:rsidRPr="002866E5">
              <w:rPr>
                <w:noProof/>
              </w:rPr>
              <w:t xml:space="preserve"> </w:t>
            </w:r>
            <w:r w:rsidRPr="002866E5">
              <w:rPr>
                <w:noProof/>
              </w:rPr>
              <w:br/>
            </w:r>
            <w:r w:rsidRPr="002866E5">
              <w:rPr>
                <w:b/>
                <w:noProof/>
                <w:sz w:val="22"/>
              </w:rPr>
              <w:t xml:space="preserve">na DZIAŁY </w:t>
            </w:r>
            <w:r w:rsidRPr="008B35E8">
              <w:rPr>
                <w:b/>
                <w:noProof/>
                <w:sz w:val="22"/>
              </w:rPr>
              <w:t>od</w:t>
            </w:r>
            <w:r w:rsidR="008B35E8" w:rsidRPr="008B35E8">
              <w:rPr>
                <w:b/>
                <w:noProof/>
                <w:sz w:val="22"/>
              </w:rPr>
              <w:t> </w:t>
            </w:r>
            <w:r w:rsidRPr="008B35E8">
              <w:rPr>
                <w:b/>
                <w:noProof/>
                <w:sz w:val="22"/>
              </w:rPr>
              <w:t>1</w:t>
            </w:r>
            <w:r w:rsidRPr="002866E5">
              <w:rPr>
                <w:b/>
                <w:noProof/>
                <w:sz w:val="22"/>
              </w:rPr>
              <w:t xml:space="preserve"> </w:t>
            </w:r>
            <w:r w:rsidRPr="008B35E8">
              <w:rPr>
                <w:b/>
                <w:noProof/>
                <w:sz w:val="22"/>
              </w:rPr>
              <w:t>do</w:t>
            </w:r>
            <w:r w:rsidR="008B35E8" w:rsidRPr="008B35E8">
              <w:rPr>
                <w:b/>
                <w:noProof/>
                <w:sz w:val="22"/>
              </w:rPr>
              <w:t> </w:t>
            </w:r>
            <w:r w:rsidRPr="008B35E8">
              <w:rPr>
                <w:b/>
                <w:noProof/>
                <w:sz w:val="22"/>
              </w:rPr>
              <w:t>7</w:t>
            </w:r>
            <w:r w:rsidRPr="002866E5">
              <w:rPr>
                <w:noProof/>
              </w:rPr>
              <w:t xml:space="preserve"> </w:t>
            </w:r>
            <w:r w:rsidRPr="002866E5">
              <w:rPr>
                <w:noProof/>
              </w:rPr>
              <w:br/>
            </w:r>
            <w:r w:rsidRPr="002866E5">
              <w:rPr>
                <w:noProof/>
                <w:sz w:val="22"/>
              </w:rPr>
              <w:t>wieloletnich ram finansowych</w:t>
            </w:r>
            <w:r w:rsidRPr="002866E5">
              <w:rPr>
                <w:b/>
                <w:noProof/>
                <w:sz w:val="22"/>
              </w:rPr>
              <w:t xml:space="preserve"> </w:t>
            </w:r>
          </w:p>
        </w:tc>
        <w:tc>
          <w:tcPr>
            <w:tcW w:w="2094" w:type="dxa"/>
            <w:gridSpan w:val="2"/>
            <w:vAlign w:val="center"/>
          </w:tcPr>
          <w:p w14:paraId="67ED8ABD" w14:textId="77777777" w:rsidR="0037165D" w:rsidRPr="002866E5" w:rsidRDefault="0037165D" w:rsidP="00881943">
            <w:pPr>
              <w:rPr>
                <w:noProof/>
                <w:sz w:val="14"/>
              </w:rPr>
            </w:pPr>
            <w:r w:rsidRPr="002866E5">
              <w:rPr>
                <w:noProof/>
                <w:sz w:val="18"/>
              </w:rPr>
              <w:t>Środki na zobowiązania</w:t>
            </w:r>
          </w:p>
        </w:tc>
        <w:tc>
          <w:tcPr>
            <w:tcW w:w="868" w:type="dxa"/>
          </w:tcPr>
          <w:p w14:paraId="67ED8ABE" w14:textId="77777777" w:rsidR="0037165D" w:rsidRPr="002866E5" w:rsidRDefault="00CB1C9E" w:rsidP="00881943">
            <w:pPr>
              <w:spacing w:before="60" w:after="60"/>
              <w:jc w:val="right"/>
              <w:rPr>
                <w:noProof/>
                <w:sz w:val="20"/>
              </w:rPr>
            </w:pPr>
            <w:r w:rsidRPr="002866E5">
              <w:rPr>
                <w:b/>
                <w:noProof/>
                <w:sz w:val="16"/>
              </w:rPr>
              <w:t>1,252</w:t>
            </w:r>
          </w:p>
        </w:tc>
        <w:tc>
          <w:tcPr>
            <w:tcW w:w="868" w:type="dxa"/>
          </w:tcPr>
          <w:p w14:paraId="67ED8ABF" w14:textId="77777777" w:rsidR="0037165D" w:rsidRPr="002866E5" w:rsidRDefault="00CB1C9E" w:rsidP="00881943">
            <w:pPr>
              <w:spacing w:before="60" w:after="60"/>
              <w:jc w:val="right"/>
              <w:rPr>
                <w:noProof/>
                <w:sz w:val="20"/>
              </w:rPr>
            </w:pPr>
            <w:r w:rsidRPr="002866E5">
              <w:rPr>
                <w:b/>
                <w:noProof/>
                <w:sz w:val="16"/>
              </w:rPr>
              <w:t>1,252</w:t>
            </w:r>
          </w:p>
        </w:tc>
        <w:tc>
          <w:tcPr>
            <w:tcW w:w="868" w:type="dxa"/>
          </w:tcPr>
          <w:p w14:paraId="67ED8AC0" w14:textId="77777777" w:rsidR="0037165D" w:rsidRPr="002866E5" w:rsidRDefault="00CB1C9E" w:rsidP="00881943">
            <w:pPr>
              <w:spacing w:before="60" w:after="60"/>
              <w:jc w:val="right"/>
              <w:rPr>
                <w:noProof/>
                <w:sz w:val="20"/>
              </w:rPr>
            </w:pPr>
            <w:r w:rsidRPr="002866E5">
              <w:rPr>
                <w:b/>
                <w:noProof/>
                <w:sz w:val="16"/>
              </w:rPr>
              <w:t>1,252</w:t>
            </w:r>
          </w:p>
        </w:tc>
        <w:tc>
          <w:tcPr>
            <w:tcW w:w="868" w:type="dxa"/>
          </w:tcPr>
          <w:p w14:paraId="67ED8AC1" w14:textId="77777777" w:rsidR="0037165D" w:rsidRPr="002866E5" w:rsidRDefault="00CB1C9E" w:rsidP="00881943">
            <w:pPr>
              <w:spacing w:before="60" w:after="60"/>
              <w:jc w:val="right"/>
              <w:rPr>
                <w:noProof/>
                <w:sz w:val="20"/>
              </w:rPr>
            </w:pPr>
            <w:r w:rsidRPr="002866E5">
              <w:rPr>
                <w:b/>
                <w:noProof/>
                <w:sz w:val="16"/>
              </w:rPr>
              <w:t>1,252</w:t>
            </w:r>
          </w:p>
        </w:tc>
        <w:tc>
          <w:tcPr>
            <w:tcW w:w="1777" w:type="dxa"/>
            <w:vAlign w:val="center"/>
          </w:tcPr>
          <w:p w14:paraId="67ED8AC2" w14:textId="77777777" w:rsidR="0037165D" w:rsidRPr="002866E5" w:rsidRDefault="00AE5631" w:rsidP="00881943">
            <w:pPr>
              <w:spacing w:before="60" w:after="60"/>
              <w:jc w:val="right"/>
              <w:rPr>
                <w:b/>
                <w:noProof/>
                <w:sz w:val="20"/>
              </w:rPr>
            </w:pPr>
            <w:r w:rsidRPr="002866E5">
              <w:rPr>
                <w:b/>
                <w:noProof/>
                <w:sz w:val="20"/>
              </w:rPr>
              <w:t>5,008</w:t>
            </w:r>
          </w:p>
        </w:tc>
      </w:tr>
      <w:tr w:rsidR="0037165D" w:rsidRPr="002866E5" w14:paraId="67ED8ACB" w14:textId="77777777" w:rsidTr="00D56A43">
        <w:tc>
          <w:tcPr>
            <w:tcW w:w="3960" w:type="dxa"/>
            <w:vMerge/>
            <w:shd w:val="clear" w:color="auto" w:fill="C0C0C0"/>
          </w:tcPr>
          <w:p w14:paraId="67ED8AC4" w14:textId="77777777" w:rsidR="0037165D" w:rsidRPr="002866E5" w:rsidRDefault="0037165D" w:rsidP="00881943">
            <w:pPr>
              <w:rPr>
                <w:noProof/>
                <w:sz w:val="20"/>
              </w:rPr>
            </w:pPr>
          </w:p>
        </w:tc>
        <w:tc>
          <w:tcPr>
            <w:tcW w:w="2094" w:type="dxa"/>
            <w:gridSpan w:val="2"/>
            <w:vAlign w:val="center"/>
          </w:tcPr>
          <w:p w14:paraId="67ED8AC5" w14:textId="77777777" w:rsidR="0037165D" w:rsidRPr="002866E5" w:rsidRDefault="0037165D" w:rsidP="00881943">
            <w:pPr>
              <w:rPr>
                <w:noProof/>
                <w:sz w:val="14"/>
              </w:rPr>
            </w:pPr>
            <w:r w:rsidRPr="002866E5">
              <w:rPr>
                <w:noProof/>
                <w:sz w:val="18"/>
              </w:rPr>
              <w:t>Środki na płatności</w:t>
            </w:r>
          </w:p>
        </w:tc>
        <w:tc>
          <w:tcPr>
            <w:tcW w:w="868" w:type="dxa"/>
          </w:tcPr>
          <w:p w14:paraId="67ED8AC6" w14:textId="77777777" w:rsidR="0037165D" w:rsidRPr="002866E5" w:rsidRDefault="00CB1C9E" w:rsidP="00881943">
            <w:pPr>
              <w:spacing w:before="60" w:after="60"/>
              <w:jc w:val="right"/>
              <w:rPr>
                <w:noProof/>
                <w:sz w:val="20"/>
              </w:rPr>
            </w:pPr>
            <w:r w:rsidRPr="002866E5">
              <w:rPr>
                <w:b/>
                <w:noProof/>
                <w:sz w:val="16"/>
              </w:rPr>
              <w:t>1,252</w:t>
            </w:r>
          </w:p>
        </w:tc>
        <w:tc>
          <w:tcPr>
            <w:tcW w:w="868" w:type="dxa"/>
          </w:tcPr>
          <w:p w14:paraId="67ED8AC7" w14:textId="77777777" w:rsidR="0037165D" w:rsidRPr="002866E5" w:rsidRDefault="00CB1C9E" w:rsidP="00881943">
            <w:pPr>
              <w:spacing w:before="60" w:after="60"/>
              <w:jc w:val="right"/>
              <w:rPr>
                <w:noProof/>
                <w:sz w:val="20"/>
              </w:rPr>
            </w:pPr>
            <w:r w:rsidRPr="002866E5">
              <w:rPr>
                <w:b/>
                <w:noProof/>
                <w:sz w:val="16"/>
              </w:rPr>
              <w:t>1,252</w:t>
            </w:r>
          </w:p>
        </w:tc>
        <w:tc>
          <w:tcPr>
            <w:tcW w:w="868" w:type="dxa"/>
          </w:tcPr>
          <w:p w14:paraId="67ED8AC8" w14:textId="77777777" w:rsidR="0037165D" w:rsidRPr="002866E5" w:rsidRDefault="00CB1C9E" w:rsidP="00881943">
            <w:pPr>
              <w:spacing w:before="60" w:after="60"/>
              <w:jc w:val="right"/>
              <w:rPr>
                <w:noProof/>
                <w:sz w:val="20"/>
              </w:rPr>
            </w:pPr>
            <w:r w:rsidRPr="002866E5">
              <w:rPr>
                <w:b/>
                <w:noProof/>
                <w:sz w:val="16"/>
              </w:rPr>
              <w:t>1,252</w:t>
            </w:r>
          </w:p>
        </w:tc>
        <w:tc>
          <w:tcPr>
            <w:tcW w:w="868" w:type="dxa"/>
          </w:tcPr>
          <w:p w14:paraId="67ED8AC9" w14:textId="77777777" w:rsidR="0037165D" w:rsidRPr="002866E5" w:rsidRDefault="00CB1C9E" w:rsidP="00881943">
            <w:pPr>
              <w:spacing w:before="60" w:after="60"/>
              <w:jc w:val="right"/>
              <w:rPr>
                <w:noProof/>
                <w:sz w:val="20"/>
              </w:rPr>
            </w:pPr>
            <w:r w:rsidRPr="002866E5">
              <w:rPr>
                <w:b/>
                <w:noProof/>
                <w:sz w:val="16"/>
              </w:rPr>
              <w:t>1,252</w:t>
            </w:r>
          </w:p>
        </w:tc>
        <w:tc>
          <w:tcPr>
            <w:tcW w:w="1777" w:type="dxa"/>
            <w:vAlign w:val="center"/>
          </w:tcPr>
          <w:p w14:paraId="67ED8ACA" w14:textId="77777777" w:rsidR="0037165D" w:rsidRPr="002866E5" w:rsidRDefault="00AE5631" w:rsidP="00881943">
            <w:pPr>
              <w:spacing w:before="60" w:after="60"/>
              <w:jc w:val="right"/>
              <w:rPr>
                <w:b/>
                <w:noProof/>
                <w:sz w:val="20"/>
              </w:rPr>
            </w:pPr>
            <w:r w:rsidRPr="002866E5">
              <w:rPr>
                <w:b/>
                <w:noProof/>
                <w:sz w:val="20"/>
              </w:rPr>
              <w:t>5,008</w:t>
            </w:r>
          </w:p>
        </w:tc>
      </w:tr>
    </w:tbl>
    <w:p w14:paraId="67ED8ACC" w14:textId="77777777" w:rsidR="0037165D" w:rsidRPr="002866E5" w:rsidRDefault="0037165D" w:rsidP="00881943">
      <w:pPr>
        <w:rPr>
          <w:noProof/>
        </w:rPr>
      </w:pPr>
    </w:p>
    <w:p w14:paraId="67ED8ACD" w14:textId="734D7BB6" w:rsidR="0037165D" w:rsidRPr="002866E5" w:rsidRDefault="00B4087C" w:rsidP="00B4087C">
      <w:pPr>
        <w:pStyle w:val="ManualHeading3"/>
        <w:rPr>
          <w:bCs/>
          <w:noProof/>
          <w:szCs w:val="24"/>
        </w:rPr>
      </w:pPr>
      <w:r w:rsidRPr="00B4087C">
        <w:t>3.2.2.</w:t>
      </w:r>
      <w:r w:rsidRPr="00B4087C">
        <w:tab/>
      </w:r>
      <w:r w:rsidR="0037165D" w:rsidRPr="002866E5">
        <w:rPr>
          <w:noProof/>
        </w:rPr>
        <w:t xml:space="preserve">Przewidywany produkt finansowany ze środków operacyjnych </w:t>
      </w:r>
    </w:p>
    <w:p w14:paraId="67ED8ACE" w14:textId="4E5DF9BF" w:rsidR="0037165D" w:rsidRPr="002866E5" w:rsidRDefault="0037165D" w:rsidP="00881943">
      <w:pPr>
        <w:jc w:val="right"/>
        <w:rPr>
          <w:noProof/>
          <w:sz w:val="20"/>
        </w:rPr>
      </w:pPr>
      <w:r w:rsidRPr="002866E5">
        <w:rPr>
          <w:noProof/>
          <w:sz w:val="20"/>
        </w:rPr>
        <w:t>Środki na zobowiązania</w:t>
      </w:r>
      <w:r w:rsidR="008B35E8" w:rsidRPr="002866E5">
        <w:rPr>
          <w:noProof/>
          <w:sz w:val="20"/>
        </w:rPr>
        <w:t xml:space="preserve"> w</w:t>
      </w:r>
      <w:r w:rsidR="008B35E8">
        <w:rPr>
          <w:noProof/>
          <w:sz w:val="20"/>
        </w:rPr>
        <w:t> </w:t>
      </w:r>
      <w:r w:rsidR="008B35E8" w:rsidRPr="002866E5">
        <w:rPr>
          <w:noProof/>
          <w:sz w:val="20"/>
        </w:rPr>
        <w:t>mln</w:t>
      </w:r>
      <w:r w:rsidRPr="002866E5">
        <w:rPr>
          <w:noProof/>
          <w:sz w:val="20"/>
        </w:rPr>
        <w:t xml:space="preserve"> EUR (do trzech miejsc po przecinku)</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37165D" w:rsidRPr="002866E5" w14:paraId="67ED8ADA" w14:textId="77777777" w:rsidTr="00881943">
        <w:trPr>
          <w:jc w:val="center"/>
        </w:trPr>
        <w:tc>
          <w:tcPr>
            <w:tcW w:w="1423" w:type="dxa"/>
            <w:vMerge w:val="restart"/>
            <w:vAlign w:val="center"/>
          </w:tcPr>
          <w:p w14:paraId="67ED8ACF" w14:textId="4F5801AE" w:rsidR="0037165D" w:rsidRPr="002866E5" w:rsidRDefault="0037165D" w:rsidP="00881943">
            <w:pPr>
              <w:ind w:right="-29"/>
              <w:jc w:val="center"/>
              <w:rPr>
                <w:b/>
                <w:noProof/>
                <w:sz w:val="18"/>
                <w:szCs w:val="18"/>
              </w:rPr>
            </w:pPr>
            <w:r w:rsidRPr="002866E5">
              <w:rPr>
                <w:b/>
                <w:noProof/>
                <w:sz w:val="18"/>
              </w:rPr>
              <w:t>Określić cele</w:t>
            </w:r>
            <w:r w:rsidR="008B35E8" w:rsidRPr="002866E5">
              <w:rPr>
                <w:b/>
                <w:noProof/>
                <w:sz w:val="18"/>
              </w:rPr>
              <w:t xml:space="preserve"> i</w:t>
            </w:r>
            <w:r w:rsidR="008B35E8">
              <w:rPr>
                <w:b/>
                <w:noProof/>
                <w:sz w:val="18"/>
              </w:rPr>
              <w:t> </w:t>
            </w:r>
            <w:r w:rsidR="008B35E8" w:rsidRPr="002866E5">
              <w:rPr>
                <w:b/>
                <w:noProof/>
                <w:sz w:val="18"/>
              </w:rPr>
              <w:t>pro</w:t>
            </w:r>
            <w:r w:rsidRPr="002866E5">
              <w:rPr>
                <w:b/>
                <w:noProof/>
                <w:sz w:val="18"/>
              </w:rPr>
              <w:t xml:space="preserve">dukty </w:t>
            </w:r>
          </w:p>
          <w:p w14:paraId="67ED8AD0" w14:textId="77777777" w:rsidR="0037165D" w:rsidRPr="002866E5" w:rsidRDefault="0037165D" w:rsidP="00881943">
            <w:pPr>
              <w:ind w:right="-29"/>
              <w:jc w:val="center"/>
              <w:rPr>
                <w:b/>
                <w:noProof/>
                <w:sz w:val="18"/>
                <w:szCs w:val="18"/>
              </w:rPr>
            </w:pPr>
          </w:p>
          <w:p w14:paraId="67ED8AD1" w14:textId="77777777" w:rsidR="0037165D" w:rsidRPr="002866E5" w:rsidRDefault="0037165D" w:rsidP="00881943">
            <w:pPr>
              <w:ind w:right="-29"/>
              <w:jc w:val="center"/>
              <w:rPr>
                <w:noProof/>
                <w:sz w:val="18"/>
                <w:szCs w:val="18"/>
              </w:rPr>
            </w:pPr>
            <w:r w:rsidRPr="002866E5">
              <w:rPr>
                <w:noProof/>
                <w:sz w:val="18"/>
              </w:rPr>
              <w:sym w:font="Wingdings" w:char="F0F2"/>
            </w:r>
          </w:p>
        </w:tc>
        <w:tc>
          <w:tcPr>
            <w:tcW w:w="720" w:type="dxa"/>
            <w:vAlign w:val="center"/>
          </w:tcPr>
          <w:p w14:paraId="67ED8AD2" w14:textId="77777777" w:rsidR="0037165D" w:rsidRPr="002866E5" w:rsidRDefault="0037165D" w:rsidP="00881943">
            <w:pPr>
              <w:ind w:right="-29"/>
              <w:jc w:val="center"/>
              <w:rPr>
                <w:noProof/>
                <w:sz w:val="18"/>
                <w:szCs w:val="18"/>
              </w:rPr>
            </w:pPr>
          </w:p>
        </w:tc>
        <w:tc>
          <w:tcPr>
            <w:tcW w:w="701" w:type="dxa"/>
            <w:vAlign w:val="center"/>
          </w:tcPr>
          <w:p w14:paraId="67ED8AD3" w14:textId="77777777" w:rsidR="0037165D" w:rsidRPr="002866E5" w:rsidRDefault="0037165D" w:rsidP="00881943">
            <w:pPr>
              <w:ind w:right="-29"/>
              <w:jc w:val="center"/>
              <w:rPr>
                <w:noProof/>
                <w:sz w:val="18"/>
                <w:szCs w:val="18"/>
              </w:rPr>
            </w:pPr>
          </w:p>
        </w:tc>
        <w:tc>
          <w:tcPr>
            <w:tcW w:w="1224" w:type="dxa"/>
            <w:gridSpan w:val="2"/>
            <w:tcBorders>
              <w:left w:val="nil"/>
            </w:tcBorders>
            <w:vAlign w:val="center"/>
          </w:tcPr>
          <w:p w14:paraId="67ED8AD4" w14:textId="77777777" w:rsidR="0037165D" w:rsidRPr="002866E5" w:rsidRDefault="0037165D" w:rsidP="00881943">
            <w:pPr>
              <w:ind w:right="-29"/>
              <w:jc w:val="center"/>
              <w:rPr>
                <w:noProof/>
                <w:sz w:val="18"/>
                <w:szCs w:val="18"/>
              </w:rPr>
            </w:pPr>
            <w:r w:rsidRPr="002866E5">
              <w:rPr>
                <w:noProof/>
                <w:sz w:val="18"/>
              </w:rPr>
              <w:t>Rok</w:t>
            </w:r>
            <w:r w:rsidRPr="002866E5">
              <w:rPr>
                <w:noProof/>
              </w:rPr>
              <w:t xml:space="preserve"> </w:t>
            </w:r>
            <w:r w:rsidRPr="002866E5">
              <w:rPr>
                <w:noProof/>
              </w:rPr>
              <w:br/>
            </w:r>
            <w:r w:rsidRPr="002866E5">
              <w:rPr>
                <w:b/>
                <w:noProof/>
                <w:sz w:val="18"/>
              </w:rPr>
              <w:t>N</w:t>
            </w:r>
          </w:p>
        </w:tc>
        <w:tc>
          <w:tcPr>
            <w:tcW w:w="1260" w:type="dxa"/>
            <w:gridSpan w:val="2"/>
            <w:vAlign w:val="center"/>
          </w:tcPr>
          <w:p w14:paraId="67ED8AD5" w14:textId="77777777" w:rsidR="0037165D" w:rsidRPr="002866E5" w:rsidRDefault="0037165D" w:rsidP="00881943">
            <w:pPr>
              <w:ind w:right="-29"/>
              <w:jc w:val="center"/>
              <w:rPr>
                <w:noProof/>
                <w:sz w:val="18"/>
                <w:szCs w:val="18"/>
              </w:rPr>
            </w:pPr>
            <w:r w:rsidRPr="002866E5">
              <w:rPr>
                <w:noProof/>
                <w:sz w:val="18"/>
              </w:rPr>
              <w:t>Rok</w:t>
            </w:r>
            <w:r w:rsidRPr="002866E5">
              <w:rPr>
                <w:noProof/>
              </w:rPr>
              <w:t xml:space="preserve"> </w:t>
            </w:r>
            <w:r w:rsidRPr="002866E5">
              <w:rPr>
                <w:noProof/>
              </w:rPr>
              <w:br/>
            </w:r>
            <w:r w:rsidRPr="002866E5">
              <w:rPr>
                <w:b/>
                <w:noProof/>
                <w:sz w:val="18"/>
              </w:rPr>
              <w:t>N+1</w:t>
            </w:r>
          </w:p>
        </w:tc>
        <w:tc>
          <w:tcPr>
            <w:tcW w:w="1440" w:type="dxa"/>
            <w:gridSpan w:val="2"/>
            <w:vAlign w:val="center"/>
          </w:tcPr>
          <w:p w14:paraId="67ED8AD6" w14:textId="77777777" w:rsidR="0037165D" w:rsidRPr="002866E5" w:rsidRDefault="0037165D" w:rsidP="00881943">
            <w:pPr>
              <w:ind w:right="-29"/>
              <w:jc w:val="center"/>
              <w:rPr>
                <w:noProof/>
                <w:sz w:val="18"/>
                <w:szCs w:val="18"/>
              </w:rPr>
            </w:pPr>
            <w:r w:rsidRPr="002866E5">
              <w:rPr>
                <w:noProof/>
                <w:sz w:val="18"/>
              </w:rPr>
              <w:t>Rok</w:t>
            </w:r>
            <w:r w:rsidRPr="002866E5">
              <w:rPr>
                <w:noProof/>
              </w:rPr>
              <w:t xml:space="preserve"> </w:t>
            </w:r>
            <w:r w:rsidRPr="002866E5">
              <w:rPr>
                <w:noProof/>
              </w:rPr>
              <w:br/>
            </w:r>
            <w:r w:rsidRPr="002866E5">
              <w:rPr>
                <w:b/>
                <w:noProof/>
                <w:sz w:val="18"/>
              </w:rPr>
              <w:t>N+2</w:t>
            </w:r>
          </w:p>
        </w:tc>
        <w:tc>
          <w:tcPr>
            <w:tcW w:w="1620" w:type="dxa"/>
            <w:gridSpan w:val="3"/>
            <w:vAlign w:val="center"/>
          </w:tcPr>
          <w:p w14:paraId="67ED8AD7" w14:textId="77777777" w:rsidR="0037165D" w:rsidRPr="002866E5" w:rsidRDefault="0037165D" w:rsidP="00881943">
            <w:pPr>
              <w:ind w:right="-29"/>
              <w:jc w:val="center"/>
              <w:rPr>
                <w:noProof/>
                <w:sz w:val="18"/>
                <w:szCs w:val="18"/>
              </w:rPr>
            </w:pPr>
            <w:r w:rsidRPr="002866E5">
              <w:rPr>
                <w:noProof/>
                <w:sz w:val="18"/>
              </w:rPr>
              <w:t>Rok</w:t>
            </w:r>
            <w:r w:rsidRPr="002866E5">
              <w:rPr>
                <w:noProof/>
              </w:rPr>
              <w:t xml:space="preserve"> </w:t>
            </w:r>
            <w:r w:rsidRPr="002866E5">
              <w:rPr>
                <w:noProof/>
              </w:rPr>
              <w:br/>
            </w:r>
            <w:r w:rsidRPr="002866E5">
              <w:rPr>
                <w:b/>
                <w:noProof/>
                <w:sz w:val="18"/>
              </w:rPr>
              <w:t>N+3</w:t>
            </w:r>
          </w:p>
        </w:tc>
        <w:tc>
          <w:tcPr>
            <w:tcW w:w="3600" w:type="dxa"/>
            <w:gridSpan w:val="6"/>
            <w:vAlign w:val="center"/>
          </w:tcPr>
          <w:p w14:paraId="67ED8AD8" w14:textId="7655FBD8" w:rsidR="0037165D" w:rsidRPr="002866E5" w:rsidRDefault="0037165D" w:rsidP="00881943">
            <w:pPr>
              <w:jc w:val="center"/>
              <w:rPr>
                <w:noProof/>
                <w:sz w:val="18"/>
                <w:szCs w:val="18"/>
              </w:rPr>
            </w:pPr>
            <w:r w:rsidRPr="002866E5">
              <w:rPr>
                <w:noProof/>
                <w:sz w:val="18"/>
              </w:rPr>
              <w:t xml:space="preserve">Wprowadzić taką liczbę kolumn dla poszczególnych lat, jaka jest niezbędna, by odzwierciedlić cały okres wpływu (zob. </w:t>
            </w:r>
            <w:r w:rsidRPr="008B35E8">
              <w:rPr>
                <w:noProof/>
                <w:sz w:val="18"/>
              </w:rPr>
              <w:t>pkt</w:t>
            </w:r>
            <w:r w:rsidR="008B35E8" w:rsidRPr="008B35E8">
              <w:rPr>
                <w:noProof/>
                <w:sz w:val="18"/>
              </w:rPr>
              <w:t> </w:t>
            </w:r>
            <w:r w:rsidRPr="008B35E8">
              <w:rPr>
                <w:noProof/>
                <w:sz w:val="18"/>
              </w:rPr>
              <w:t>1</w:t>
            </w:r>
            <w:r w:rsidRPr="002866E5">
              <w:rPr>
                <w:noProof/>
                <w:sz w:val="18"/>
              </w:rPr>
              <w:t>.6)</w:t>
            </w:r>
          </w:p>
        </w:tc>
        <w:tc>
          <w:tcPr>
            <w:tcW w:w="1620" w:type="dxa"/>
            <w:gridSpan w:val="2"/>
            <w:tcBorders>
              <w:left w:val="nil"/>
              <w:bottom w:val="nil"/>
            </w:tcBorders>
            <w:vAlign w:val="center"/>
          </w:tcPr>
          <w:p w14:paraId="67ED8AD9" w14:textId="77777777" w:rsidR="0037165D" w:rsidRPr="002866E5" w:rsidRDefault="0037165D" w:rsidP="00881943">
            <w:pPr>
              <w:ind w:right="-29"/>
              <w:jc w:val="center"/>
              <w:rPr>
                <w:noProof/>
                <w:sz w:val="18"/>
                <w:szCs w:val="18"/>
              </w:rPr>
            </w:pPr>
            <w:r w:rsidRPr="002866E5">
              <w:rPr>
                <w:b/>
                <w:noProof/>
                <w:sz w:val="18"/>
              </w:rPr>
              <w:t>OGÓŁEM</w:t>
            </w:r>
          </w:p>
        </w:tc>
      </w:tr>
      <w:tr w:rsidR="0037165D" w:rsidRPr="002866E5" w14:paraId="67ED8ADD" w14:textId="77777777" w:rsidTr="00881943">
        <w:trPr>
          <w:jc w:val="center"/>
        </w:trPr>
        <w:tc>
          <w:tcPr>
            <w:tcW w:w="1423" w:type="dxa"/>
            <w:vMerge/>
            <w:vAlign w:val="center"/>
          </w:tcPr>
          <w:p w14:paraId="67ED8ADB" w14:textId="77777777" w:rsidR="0037165D" w:rsidRPr="002866E5" w:rsidRDefault="0037165D" w:rsidP="00881943">
            <w:pPr>
              <w:ind w:right="-29"/>
              <w:jc w:val="center"/>
              <w:rPr>
                <w:noProof/>
                <w:sz w:val="18"/>
                <w:szCs w:val="18"/>
              </w:rPr>
            </w:pPr>
          </w:p>
        </w:tc>
        <w:tc>
          <w:tcPr>
            <w:tcW w:w="12185" w:type="dxa"/>
            <w:gridSpan w:val="19"/>
            <w:vAlign w:val="center"/>
          </w:tcPr>
          <w:p w14:paraId="67ED8ADC" w14:textId="77777777" w:rsidR="0037165D" w:rsidRPr="002866E5" w:rsidRDefault="0037165D" w:rsidP="00881943">
            <w:pPr>
              <w:spacing w:before="60" w:after="60"/>
              <w:ind w:right="-29"/>
              <w:jc w:val="center"/>
              <w:rPr>
                <w:noProof/>
                <w:sz w:val="18"/>
                <w:szCs w:val="18"/>
              </w:rPr>
            </w:pPr>
            <w:r w:rsidRPr="002866E5">
              <w:rPr>
                <w:b/>
                <w:noProof/>
                <w:sz w:val="18"/>
              </w:rPr>
              <w:t>PRODUKTY</w:t>
            </w:r>
          </w:p>
        </w:tc>
      </w:tr>
      <w:tr w:rsidR="0037165D" w:rsidRPr="002866E5" w14:paraId="67ED8AF2" w14:textId="77777777" w:rsidTr="00881943">
        <w:trPr>
          <w:cantSplit/>
          <w:trHeight w:val="1134"/>
          <w:jc w:val="center"/>
        </w:trPr>
        <w:tc>
          <w:tcPr>
            <w:tcW w:w="1423" w:type="dxa"/>
            <w:vMerge/>
            <w:vAlign w:val="center"/>
          </w:tcPr>
          <w:p w14:paraId="67ED8ADE" w14:textId="77777777" w:rsidR="0037165D" w:rsidRPr="002866E5" w:rsidRDefault="0037165D" w:rsidP="00881943">
            <w:pPr>
              <w:rPr>
                <w:noProof/>
                <w:sz w:val="18"/>
                <w:szCs w:val="18"/>
              </w:rPr>
            </w:pPr>
          </w:p>
        </w:tc>
        <w:tc>
          <w:tcPr>
            <w:tcW w:w="720" w:type="dxa"/>
            <w:vAlign w:val="center"/>
          </w:tcPr>
          <w:p w14:paraId="67ED8ADF" w14:textId="77777777" w:rsidR="0037165D" w:rsidRPr="002866E5" w:rsidRDefault="0037165D" w:rsidP="00881943">
            <w:pPr>
              <w:jc w:val="center"/>
              <w:rPr>
                <w:noProof/>
                <w:sz w:val="18"/>
                <w:szCs w:val="18"/>
              </w:rPr>
            </w:pPr>
            <w:r w:rsidRPr="002866E5">
              <w:rPr>
                <w:noProof/>
                <w:sz w:val="18"/>
              </w:rPr>
              <w:t>Rodzaj</w:t>
            </w:r>
            <w:r w:rsidRPr="002866E5">
              <w:rPr>
                <w:rStyle w:val="FootnoteReference"/>
                <w:noProof/>
              </w:rPr>
              <w:footnoteReference w:id="45"/>
            </w:r>
          </w:p>
          <w:p w14:paraId="67ED8AE0" w14:textId="77777777" w:rsidR="0037165D" w:rsidRPr="002866E5" w:rsidRDefault="0037165D" w:rsidP="00881943">
            <w:pPr>
              <w:spacing w:before="0" w:after="0"/>
              <w:jc w:val="center"/>
              <w:rPr>
                <w:noProof/>
                <w:sz w:val="18"/>
                <w:szCs w:val="18"/>
              </w:rPr>
            </w:pPr>
          </w:p>
        </w:tc>
        <w:tc>
          <w:tcPr>
            <w:tcW w:w="701" w:type="dxa"/>
            <w:vAlign w:val="center"/>
          </w:tcPr>
          <w:p w14:paraId="67ED8AE1" w14:textId="77777777" w:rsidR="0037165D" w:rsidRPr="002866E5" w:rsidRDefault="0037165D" w:rsidP="00881943">
            <w:pPr>
              <w:jc w:val="center"/>
              <w:rPr>
                <w:noProof/>
                <w:sz w:val="18"/>
                <w:szCs w:val="18"/>
              </w:rPr>
            </w:pPr>
            <w:r w:rsidRPr="002866E5">
              <w:rPr>
                <w:noProof/>
                <w:sz w:val="18"/>
              </w:rPr>
              <w:t>Średni koszt</w:t>
            </w:r>
          </w:p>
        </w:tc>
        <w:tc>
          <w:tcPr>
            <w:tcW w:w="504" w:type="dxa"/>
            <w:tcBorders>
              <w:left w:val="nil"/>
              <w:right w:val="dashSmallGap" w:sz="4" w:space="0" w:color="auto"/>
            </w:tcBorders>
            <w:shd w:val="pct10" w:color="auto" w:fill="auto"/>
            <w:textDirection w:val="btLr"/>
            <w:vAlign w:val="center"/>
          </w:tcPr>
          <w:p w14:paraId="67ED8AE2" w14:textId="77777777" w:rsidR="0037165D" w:rsidRPr="002866E5" w:rsidRDefault="0037165D" w:rsidP="00881943">
            <w:pPr>
              <w:ind w:left="113" w:right="113"/>
              <w:jc w:val="center"/>
              <w:rPr>
                <w:noProof/>
                <w:sz w:val="18"/>
                <w:szCs w:val="18"/>
              </w:rPr>
            </w:pPr>
            <w:r w:rsidRPr="002866E5">
              <w:rPr>
                <w:noProof/>
                <w:sz w:val="18"/>
              </w:rPr>
              <w:t>Liczba</w:t>
            </w:r>
          </w:p>
        </w:tc>
        <w:tc>
          <w:tcPr>
            <w:tcW w:w="720" w:type="dxa"/>
            <w:tcBorders>
              <w:left w:val="dashSmallGap" w:sz="4" w:space="0" w:color="auto"/>
            </w:tcBorders>
            <w:shd w:val="pct10" w:color="auto" w:fill="auto"/>
            <w:vAlign w:val="center"/>
          </w:tcPr>
          <w:p w14:paraId="67ED8AE3" w14:textId="77777777" w:rsidR="0037165D" w:rsidRPr="002866E5" w:rsidRDefault="0037165D" w:rsidP="00881943">
            <w:pPr>
              <w:jc w:val="center"/>
              <w:rPr>
                <w:noProof/>
                <w:sz w:val="18"/>
                <w:szCs w:val="18"/>
              </w:rPr>
            </w:pPr>
            <w:r w:rsidRPr="002866E5">
              <w:rPr>
                <w:noProof/>
                <w:sz w:val="18"/>
              </w:rPr>
              <w:t>Koszt</w:t>
            </w:r>
          </w:p>
        </w:tc>
        <w:tc>
          <w:tcPr>
            <w:tcW w:w="540" w:type="dxa"/>
            <w:tcBorders>
              <w:right w:val="dashSmallGap" w:sz="4" w:space="0" w:color="auto"/>
            </w:tcBorders>
            <w:shd w:val="pct10" w:color="auto" w:fill="auto"/>
            <w:textDirection w:val="btLr"/>
            <w:vAlign w:val="center"/>
          </w:tcPr>
          <w:p w14:paraId="67ED8AE4" w14:textId="77777777" w:rsidR="0037165D" w:rsidRPr="002866E5" w:rsidRDefault="0037165D" w:rsidP="00881943">
            <w:pPr>
              <w:ind w:left="113" w:right="113"/>
              <w:jc w:val="center"/>
              <w:rPr>
                <w:noProof/>
                <w:sz w:val="18"/>
                <w:szCs w:val="18"/>
              </w:rPr>
            </w:pPr>
            <w:r w:rsidRPr="002866E5">
              <w:rPr>
                <w:noProof/>
                <w:sz w:val="18"/>
              </w:rPr>
              <w:t>Liczba</w:t>
            </w:r>
          </w:p>
        </w:tc>
        <w:tc>
          <w:tcPr>
            <w:tcW w:w="720" w:type="dxa"/>
            <w:tcBorders>
              <w:left w:val="dashSmallGap" w:sz="4" w:space="0" w:color="auto"/>
            </w:tcBorders>
            <w:shd w:val="pct10" w:color="auto" w:fill="auto"/>
            <w:vAlign w:val="center"/>
          </w:tcPr>
          <w:p w14:paraId="67ED8AE5" w14:textId="77777777" w:rsidR="0037165D" w:rsidRPr="002866E5" w:rsidRDefault="0037165D" w:rsidP="00881943">
            <w:pPr>
              <w:jc w:val="center"/>
              <w:rPr>
                <w:noProof/>
                <w:sz w:val="18"/>
                <w:szCs w:val="18"/>
              </w:rPr>
            </w:pPr>
            <w:r w:rsidRPr="002866E5">
              <w:rPr>
                <w:noProof/>
                <w:sz w:val="18"/>
              </w:rPr>
              <w:t>Koszt</w:t>
            </w:r>
          </w:p>
        </w:tc>
        <w:tc>
          <w:tcPr>
            <w:tcW w:w="720" w:type="dxa"/>
            <w:tcBorders>
              <w:right w:val="dashSmallGap" w:sz="4" w:space="0" w:color="auto"/>
            </w:tcBorders>
            <w:shd w:val="pct10" w:color="auto" w:fill="auto"/>
            <w:textDirection w:val="btLr"/>
            <w:vAlign w:val="center"/>
          </w:tcPr>
          <w:p w14:paraId="67ED8AE6" w14:textId="77777777" w:rsidR="0037165D" w:rsidRPr="002866E5" w:rsidRDefault="0037165D" w:rsidP="00881943">
            <w:pPr>
              <w:ind w:left="113" w:right="113"/>
              <w:jc w:val="center"/>
              <w:rPr>
                <w:noProof/>
                <w:sz w:val="18"/>
                <w:szCs w:val="18"/>
              </w:rPr>
            </w:pPr>
            <w:r w:rsidRPr="002866E5">
              <w:rPr>
                <w:noProof/>
                <w:sz w:val="18"/>
              </w:rPr>
              <w:t>Liczba</w:t>
            </w:r>
          </w:p>
        </w:tc>
        <w:tc>
          <w:tcPr>
            <w:tcW w:w="720" w:type="dxa"/>
            <w:tcBorders>
              <w:left w:val="dashSmallGap" w:sz="4" w:space="0" w:color="auto"/>
            </w:tcBorders>
            <w:shd w:val="pct10" w:color="auto" w:fill="auto"/>
            <w:vAlign w:val="center"/>
          </w:tcPr>
          <w:p w14:paraId="67ED8AE7" w14:textId="77777777" w:rsidR="0037165D" w:rsidRPr="002866E5" w:rsidRDefault="0037165D" w:rsidP="00881943">
            <w:pPr>
              <w:jc w:val="center"/>
              <w:rPr>
                <w:noProof/>
                <w:sz w:val="18"/>
                <w:szCs w:val="18"/>
              </w:rPr>
            </w:pPr>
            <w:r w:rsidRPr="002866E5">
              <w:rPr>
                <w:noProof/>
                <w:sz w:val="18"/>
              </w:rPr>
              <w:t>Koszt</w:t>
            </w:r>
          </w:p>
        </w:tc>
        <w:tc>
          <w:tcPr>
            <w:tcW w:w="900" w:type="dxa"/>
            <w:tcBorders>
              <w:right w:val="dashSmallGap" w:sz="4" w:space="0" w:color="auto"/>
            </w:tcBorders>
            <w:shd w:val="pct10" w:color="auto" w:fill="auto"/>
            <w:textDirection w:val="btLr"/>
            <w:vAlign w:val="center"/>
          </w:tcPr>
          <w:p w14:paraId="67ED8AE8" w14:textId="77777777" w:rsidR="0037165D" w:rsidRPr="002866E5" w:rsidRDefault="0037165D" w:rsidP="00881943">
            <w:pPr>
              <w:ind w:left="113" w:right="113"/>
              <w:jc w:val="center"/>
              <w:rPr>
                <w:noProof/>
                <w:sz w:val="18"/>
                <w:szCs w:val="18"/>
              </w:rPr>
            </w:pPr>
            <w:r w:rsidRPr="002866E5">
              <w:rPr>
                <w:noProof/>
                <w:sz w:val="18"/>
              </w:rPr>
              <w:t>Liczba</w:t>
            </w:r>
          </w:p>
        </w:tc>
        <w:tc>
          <w:tcPr>
            <w:tcW w:w="720" w:type="dxa"/>
            <w:gridSpan w:val="2"/>
            <w:tcBorders>
              <w:left w:val="dashSmallGap" w:sz="4" w:space="0" w:color="auto"/>
            </w:tcBorders>
            <w:shd w:val="pct10" w:color="auto" w:fill="auto"/>
            <w:vAlign w:val="center"/>
          </w:tcPr>
          <w:p w14:paraId="67ED8AE9" w14:textId="77777777" w:rsidR="0037165D" w:rsidRPr="002866E5" w:rsidRDefault="0037165D" w:rsidP="00881943">
            <w:pPr>
              <w:jc w:val="center"/>
              <w:rPr>
                <w:noProof/>
                <w:sz w:val="18"/>
                <w:szCs w:val="18"/>
              </w:rPr>
            </w:pPr>
            <w:r w:rsidRPr="002866E5">
              <w:rPr>
                <w:noProof/>
                <w:sz w:val="18"/>
              </w:rPr>
              <w:t>Koszt</w:t>
            </w:r>
          </w:p>
        </w:tc>
        <w:tc>
          <w:tcPr>
            <w:tcW w:w="540" w:type="dxa"/>
            <w:tcBorders>
              <w:right w:val="dashSmallGap" w:sz="4" w:space="0" w:color="auto"/>
            </w:tcBorders>
            <w:shd w:val="pct10" w:color="auto" w:fill="auto"/>
            <w:textDirection w:val="btLr"/>
            <w:vAlign w:val="center"/>
          </w:tcPr>
          <w:p w14:paraId="67ED8AEA" w14:textId="77777777" w:rsidR="0037165D" w:rsidRPr="002866E5" w:rsidRDefault="0037165D" w:rsidP="00881943">
            <w:pPr>
              <w:ind w:left="113" w:right="113"/>
              <w:jc w:val="center"/>
              <w:rPr>
                <w:noProof/>
                <w:sz w:val="18"/>
                <w:szCs w:val="18"/>
              </w:rPr>
            </w:pPr>
            <w:r w:rsidRPr="002866E5">
              <w:rPr>
                <w:noProof/>
                <w:sz w:val="18"/>
              </w:rPr>
              <w:t>Liczba</w:t>
            </w:r>
          </w:p>
        </w:tc>
        <w:tc>
          <w:tcPr>
            <w:tcW w:w="648" w:type="dxa"/>
            <w:tcBorders>
              <w:left w:val="dashSmallGap" w:sz="4" w:space="0" w:color="auto"/>
            </w:tcBorders>
            <w:shd w:val="pct10" w:color="auto" w:fill="auto"/>
            <w:vAlign w:val="center"/>
          </w:tcPr>
          <w:p w14:paraId="67ED8AEB" w14:textId="77777777" w:rsidR="0037165D" w:rsidRPr="002866E5" w:rsidRDefault="0037165D" w:rsidP="00881943">
            <w:pPr>
              <w:jc w:val="center"/>
              <w:rPr>
                <w:noProof/>
                <w:sz w:val="18"/>
                <w:szCs w:val="18"/>
              </w:rPr>
            </w:pPr>
            <w:r w:rsidRPr="002866E5">
              <w:rPr>
                <w:noProof/>
                <w:sz w:val="18"/>
              </w:rPr>
              <w:t>Koszt</w:t>
            </w:r>
          </w:p>
        </w:tc>
        <w:tc>
          <w:tcPr>
            <w:tcW w:w="432" w:type="dxa"/>
            <w:tcBorders>
              <w:right w:val="dashSmallGap" w:sz="4" w:space="0" w:color="auto"/>
            </w:tcBorders>
            <w:shd w:val="pct10" w:color="auto" w:fill="auto"/>
            <w:textDirection w:val="btLr"/>
            <w:vAlign w:val="center"/>
          </w:tcPr>
          <w:p w14:paraId="67ED8AEC" w14:textId="77777777" w:rsidR="0037165D" w:rsidRPr="002866E5" w:rsidRDefault="0037165D" w:rsidP="00881943">
            <w:pPr>
              <w:ind w:left="113" w:right="113"/>
              <w:jc w:val="center"/>
              <w:rPr>
                <w:noProof/>
                <w:sz w:val="18"/>
                <w:szCs w:val="18"/>
              </w:rPr>
            </w:pPr>
            <w:r w:rsidRPr="002866E5">
              <w:rPr>
                <w:noProof/>
                <w:sz w:val="18"/>
              </w:rPr>
              <w:t>Liczba</w:t>
            </w:r>
          </w:p>
        </w:tc>
        <w:tc>
          <w:tcPr>
            <w:tcW w:w="720" w:type="dxa"/>
            <w:tcBorders>
              <w:left w:val="dashSmallGap" w:sz="4" w:space="0" w:color="auto"/>
            </w:tcBorders>
            <w:shd w:val="pct10" w:color="auto" w:fill="auto"/>
            <w:vAlign w:val="center"/>
          </w:tcPr>
          <w:p w14:paraId="67ED8AED" w14:textId="77777777" w:rsidR="0037165D" w:rsidRPr="002866E5" w:rsidRDefault="0037165D" w:rsidP="00881943">
            <w:pPr>
              <w:jc w:val="center"/>
              <w:rPr>
                <w:noProof/>
                <w:sz w:val="18"/>
                <w:szCs w:val="18"/>
              </w:rPr>
            </w:pPr>
            <w:r w:rsidRPr="002866E5">
              <w:rPr>
                <w:noProof/>
                <w:sz w:val="18"/>
              </w:rPr>
              <w:t>Koszt</w:t>
            </w:r>
          </w:p>
        </w:tc>
        <w:tc>
          <w:tcPr>
            <w:tcW w:w="540" w:type="dxa"/>
            <w:tcBorders>
              <w:right w:val="dashSmallGap" w:sz="4" w:space="0" w:color="auto"/>
            </w:tcBorders>
            <w:shd w:val="pct10" w:color="auto" w:fill="auto"/>
            <w:textDirection w:val="btLr"/>
            <w:vAlign w:val="center"/>
          </w:tcPr>
          <w:p w14:paraId="67ED8AEE" w14:textId="77777777" w:rsidR="0037165D" w:rsidRPr="002866E5" w:rsidRDefault="0037165D" w:rsidP="00881943">
            <w:pPr>
              <w:ind w:left="113" w:right="113"/>
              <w:jc w:val="center"/>
              <w:rPr>
                <w:noProof/>
                <w:sz w:val="18"/>
                <w:szCs w:val="18"/>
              </w:rPr>
            </w:pPr>
            <w:r w:rsidRPr="002866E5">
              <w:rPr>
                <w:noProof/>
                <w:sz w:val="18"/>
              </w:rPr>
              <w:t>Liczba</w:t>
            </w:r>
          </w:p>
        </w:tc>
        <w:tc>
          <w:tcPr>
            <w:tcW w:w="720" w:type="dxa"/>
            <w:tcBorders>
              <w:left w:val="dashSmallGap" w:sz="4" w:space="0" w:color="auto"/>
            </w:tcBorders>
            <w:shd w:val="pct10" w:color="auto" w:fill="auto"/>
            <w:vAlign w:val="center"/>
          </w:tcPr>
          <w:p w14:paraId="67ED8AEF" w14:textId="77777777" w:rsidR="0037165D" w:rsidRPr="002866E5" w:rsidRDefault="0037165D" w:rsidP="00881943">
            <w:pPr>
              <w:jc w:val="center"/>
              <w:rPr>
                <w:noProof/>
                <w:sz w:val="18"/>
                <w:szCs w:val="18"/>
              </w:rPr>
            </w:pPr>
            <w:r w:rsidRPr="002866E5">
              <w:rPr>
                <w:noProof/>
                <w:sz w:val="18"/>
              </w:rPr>
              <w:t>Koszt</w:t>
            </w:r>
          </w:p>
        </w:tc>
        <w:tc>
          <w:tcPr>
            <w:tcW w:w="720" w:type="dxa"/>
            <w:tcBorders>
              <w:right w:val="dashSmallGap" w:sz="4" w:space="0" w:color="auto"/>
            </w:tcBorders>
            <w:shd w:val="pct10" w:color="auto" w:fill="auto"/>
            <w:vAlign w:val="center"/>
          </w:tcPr>
          <w:p w14:paraId="67ED8AF0" w14:textId="77777777" w:rsidR="0037165D" w:rsidRPr="002866E5" w:rsidRDefault="0037165D" w:rsidP="00881943">
            <w:pPr>
              <w:jc w:val="center"/>
              <w:rPr>
                <w:noProof/>
                <w:sz w:val="18"/>
                <w:szCs w:val="18"/>
              </w:rPr>
            </w:pPr>
            <w:r w:rsidRPr="002866E5">
              <w:rPr>
                <w:noProof/>
                <w:sz w:val="18"/>
              </w:rPr>
              <w:t>Liczba ogółem</w:t>
            </w:r>
          </w:p>
        </w:tc>
        <w:tc>
          <w:tcPr>
            <w:tcW w:w="900" w:type="dxa"/>
            <w:tcBorders>
              <w:left w:val="dashSmallGap" w:sz="4" w:space="0" w:color="auto"/>
            </w:tcBorders>
            <w:shd w:val="pct10" w:color="auto" w:fill="auto"/>
            <w:vAlign w:val="center"/>
          </w:tcPr>
          <w:p w14:paraId="67ED8AF1" w14:textId="77777777" w:rsidR="0037165D" w:rsidRPr="002866E5" w:rsidRDefault="0037165D" w:rsidP="00881943">
            <w:pPr>
              <w:jc w:val="center"/>
              <w:rPr>
                <w:noProof/>
                <w:sz w:val="18"/>
                <w:szCs w:val="18"/>
              </w:rPr>
            </w:pPr>
            <w:r w:rsidRPr="002866E5">
              <w:rPr>
                <w:noProof/>
                <w:sz w:val="18"/>
              </w:rPr>
              <w:t>Koszt całkowity</w:t>
            </w:r>
          </w:p>
        </w:tc>
      </w:tr>
      <w:tr w:rsidR="0037165D" w:rsidRPr="002866E5" w14:paraId="67ED8B04" w14:textId="77777777" w:rsidTr="00881943">
        <w:trPr>
          <w:jc w:val="center"/>
        </w:trPr>
        <w:tc>
          <w:tcPr>
            <w:tcW w:w="2844" w:type="dxa"/>
            <w:gridSpan w:val="3"/>
            <w:vAlign w:val="center"/>
          </w:tcPr>
          <w:p w14:paraId="67ED8AF3" w14:textId="5CBAB002" w:rsidR="0037165D" w:rsidRPr="002866E5" w:rsidRDefault="0037165D" w:rsidP="00881943">
            <w:pPr>
              <w:spacing w:before="60" w:after="60"/>
              <w:ind w:right="-29"/>
              <w:jc w:val="center"/>
              <w:rPr>
                <w:noProof/>
                <w:sz w:val="18"/>
                <w:szCs w:val="18"/>
              </w:rPr>
            </w:pPr>
            <w:r w:rsidRPr="002866E5">
              <w:rPr>
                <w:noProof/>
                <w:sz w:val="18"/>
              </w:rPr>
              <w:t xml:space="preserve">CEL SZCZEGÓŁOWY </w:t>
            </w:r>
            <w:r w:rsidRPr="008B35E8">
              <w:rPr>
                <w:noProof/>
                <w:sz w:val="18"/>
              </w:rPr>
              <w:t>nr</w:t>
            </w:r>
            <w:r w:rsidR="008B35E8" w:rsidRPr="008B35E8">
              <w:rPr>
                <w:noProof/>
                <w:sz w:val="18"/>
              </w:rPr>
              <w:t> </w:t>
            </w:r>
            <w:r w:rsidRPr="008B35E8">
              <w:rPr>
                <w:noProof/>
                <w:sz w:val="18"/>
              </w:rPr>
              <w:t>1</w:t>
            </w:r>
            <w:r w:rsidRPr="002866E5">
              <w:rPr>
                <w:rStyle w:val="FootnoteReference"/>
                <w:noProof/>
              </w:rPr>
              <w:footnoteReference w:id="46"/>
            </w:r>
          </w:p>
        </w:tc>
        <w:tc>
          <w:tcPr>
            <w:tcW w:w="504" w:type="dxa"/>
            <w:tcBorders>
              <w:top w:val="nil"/>
              <w:left w:val="nil"/>
              <w:bottom w:val="nil"/>
              <w:right w:val="nil"/>
            </w:tcBorders>
          </w:tcPr>
          <w:p w14:paraId="67ED8AF4" w14:textId="77777777" w:rsidR="0037165D" w:rsidRPr="002866E5" w:rsidRDefault="0037165D" w:rsidP="00881943">
            <w:pPr>
              <w:spacing w:before="60" w:after="60"/>
              <w:ind w:right="-29"/>
              <w:jc w:val="center"/>
              <w:rPr>
                <w:noProof/>
                <w:sz w:val="18"/>
                <w:szCs w:val="18"/>
              </w:rPr>
            </w:pPr>
          </w:p>
        </w:tc>
        <w:tc>
          <w:tcPr>
            <w:tcW w:w="720" w:type="dxa"/>
            <w:tcBorders>
              <w:top w:val="nil"/>
              <w:left w:val="nil"/>
              <w:bottom w:val="nil"/>
              <w:right w:val="nil"/>
            </w:tcBorders>
          </w:tcPr>
          <w:p w14:paraId="67ED8AF5" w14:textId="77777777" w:rsidR="0037165D" w:rsidRPr="002866E5" w:rsidRDefault="0037165D" w:rsidP="00881943">
            <w:pPr>
              <w:spacing w:before="60" w:after="60"/>
              <w:ind w:right="-29"/>
              <w:jc w:val="center"/>
              <w:rPr>
                <w:noProof/>
                <w:sz w:val="18"/>
                <w:szCs w:val="18"/>
              </w:rPr>
            </w:pPr>
          </w:p>
        </w:tc>
        <w:tc>
          <w:tcPr>
            <w:tcW w:w="540" w:type="dxa"/>
            <w:tcBorders>
              <w:top w:val="nil"/>
              <w:left w:val="nil"/>
              <w:bottom w:val="nil"/>
              <w:right w:val="nil"/>
            </w:tcBorders>
          </w:tcPr>
          <w:p w14:paraId="67ED8AF6" w14:textId="77777777" w:rsidR="0037165D" w:rsidRPr="002866E5" w:rsidRDefault="0037165D" w:rsidP="00881943">
            <w:pPr>
              <w:spacing w:before="60" w:after="60"/>
              <w:ind w:right="-29"/>
              <w:jc w:val="center"/>
              <w:rPr>
                <w:noProof/>
                <w:sz w:val="18"/>
                <w:szCs w:val="18"/>
              </w:rPr>
            </w:pPr>
          </w:p>
        </w:tc>
        <w:tc>
          <w:tcPr>
            <w:tcW w:w="720" w:type="dxa"/>
            <w:tcBorders>
              <w:top w:val="nil"/>
              <w:left w:val="nil"/>
              <w:bottom w:val="nil"/>
              <w:right w:val="nil"/>
            </w:tcBorders>
          </w:tcPr>
          <w:p w14:paraId="67ED8AF7" w14:textId="77777777" w:rsidR="0037165D" w:rsidRPr="002866E5" w:rsidRDefault="0037165D" w:rsidP="00881943">
            <w:pPr>
              <w:spacing w:before="60" w:after="60"/>
              <w:ind w:right="-29"/>
              <w:jc w:val="center"/>
              <w:rPr>
                <w:noProof/>
                <w:sz w:val="18"/>
                <w:szCs w:val="18"/>
              </w:rPr>
            </w:pPr>
          </w:p>
        </w:tc>
        <w:tc>
          <w:tcPr>
            <w:tcW w:w="720" w:type="dxa"/>
            <w:tcBorders>
              <w:top w:val="nil"/>
              <w:left w:val="nil"/>
              <w:bottom w:val="nil"/>
              <w:right w:val="nil"/>
            </w:tcBorders>
          </w:tcPr>
          <w:p w14:paraId="67ED8AF8" w14:textId="77777777" w:rsidR="0037165D" w:rsidRPr="002866E5" w:rsidRDefault="0037165D" w:rsidP="00881943">
            <w:pPr>
              <w:spacing w:before="60" w:after="60"/>
              <w:ind w:right="-29"/>
              <w:jc w:val="center"/>
              <w:rPr>
                <w:noProof/>
                <w:sz w:val="18"/>
                <w:szCs w:val="18"/>
              </w:rPr>
            </w:pPr>
          </w:p>
        </w:tc>
        <w:tc>
          <w:tcPr>
            <w:tcW w:w="720" w:type="dxa"/>
            <w:tcBorders>
              <w:top w:val="nil"/>
              <w:left w:val="nil"/>
              <w:bottom w:val="nil"/>
              <w:right w:val="nil"/>
            </w:tcBorders>
          </w:tcPr>
          <w:p w14:paraId="67ED8AF9" w14:textId="77777777" w:rsidR="0037165D" w:rsidRPr="002866E5" w:rsidRDefault="0037165D" w:rsidP="00881943">
            <w:pPr>
              <w:spacing w:before="60" w:after="60"/>
              <w:ind w:right="-29"/>
              <w:jc w:val="center"/>
              <w:rPr>
                <w:noProof/>
                <w:sz w:val="18"/>
                <w:szCs w:val="18"/>
              </w:rPr>
            </w:pPr>
          </w:p>
        </w:tc>
        <w:tc>
          <w:tcPr>
            <w:tcW w:w="900" w:type="dxa"/>
            <w:tcBorders>
              <w:top w:val="nil"/>
              <w:left w:val="nil"/>
              <w:bottom w:val="nil"/>
              <w:right w:val="nil"/>
            </w:tcBorders>
          </w:tcPr>
          <w:p w14:paraId="67ED8AFA" w14:textId="77777777" w:rsidR="0037165D" w:rsidRPr="002866E5" w:rsidRDefault="0037165D" w:rsidP="00881943">
            <w:pPr>
              <w:spacing w:before="60" w:after="60"/>
              <w:ind w:right="-29"/>
              <w:jc w:val="center"/>
              <w:rPr>
                <w:noProof/>
                <w:sz w:val="18"/>
                <w:szCs w:val="18"/>
              </w:rPr>
            </w:pPr>
          </w:p>
        </w:tc>
        <w:tc>
          <w:tcPr>
            <w:tcW w:w="720" w:type="dxa"/>
            <w:gridSpan w:val="2"/>
            <w:tcBorders>
              <w:top w:val="nil"/>
              <w:left w:val="nil"/>
              <w:bottom w:val="nil"/>
              <w:right w:val="nil"/>
            </w:tcBorders>
          </w:tcPr>
          <w:p w14:paraId="67ED8AFB" w14:textId="77777777" w:rsidR="0037165D" w:rsidRPr="002866E5" w:rsidRDefault="0037165D" w:rsidP="00881943">
            <w:pPr>
              <w:spacing w:before="60" w:after="60"/>
              <w:ind w:right="-29"/>
              <w:jc w:val="center"/>
              <w:rPr>
                <w:noProof/>
                <w:sz w:val="18"/>
                <w:szCs w:val="18"/>
              </w:rPr>
            </w:pPr>
          </w:p>
        </w:tc>
        <w:tc>
          <w:tcPr>
            <w:tcW w:w="540" w:type="dxa"/>
            <w:tcBorders>
              <w:top w:val="nil"/>
              <w:left w:val="nil"/>
              <w:bottom w:val="nil"/>
              <w:right w:val="nil"/>
            </w:tcBorders>
          </w:tcPr>
          <w:p w14:paraId="67ED8AFC" w14:textId="77777777" w:rsidR="0037165D" w:rsidRPr="002866E5" w:rsidRDefault="0037165D" w:rsidP="00881943">
            <w:pPr>
              <w:spacing w:before="60" w:after="60"/>
              <w:ind w:right="-29"/>
              <w:jc w:val="center"/>
              <w:rPr>
                <w:noProof/>
                <w:sz w:val="18"/>
                <w:szCs w:val="18"/>
              </w:rPr>
            </w:pPr>
          </w:p>
        </w:tc>
        <w:tc>
          <w:tcPr>
            <w:tcW w:w="648" w:type="dxa"/>
            <w:tcBorders>
              <w:top w:val="nil"/>
              <w:left w:val="nil"/>
              <w:bottom w:val="nil"/>
              <w:right w:val="nil"/>
            </w:tcBorders>
          </w:tcPr>
          <w:p w14:paraId="67ED8AFD" w14:textId="77777777" w:rsidR="0037165D" w:rsidRPr="002866E5" w:rsidRDefault="0037165D" w:rsidP="00881943">
            <w:pPr>
              <w:spacing w:before="60" w:after="60"/>
              <w:ind w:right="-29"/>
              <w:jc w:val="center"/>
              <w:rPr>
                <w:noProof/>
                <w:sz w:val="18"/>
                <w:szCs w:val="18"/>
              </w:rPr>
            </w:pPr>
          </w:p>
        </w:tc>
        <w:tc>
          <w:tcPr>
            <w:tcW w:w="432" w:type="dxa"/>
            <w:tcBorders>
              <w:top w:val="nil"/>
              <w:left w:val="nil"/>
              <w:bottom w:val="nil"/>
              <w:right w:val="nil"/>
            </w:tcBorders>
          </w:tcPr>
          <w:p w14:paraId="67ED8AFE" w14:textId="77777777" w:rsidR="0037165D" w:rsidRPr="002866E5" w:rsidRDefault="0037165D" w:rsidP="00881943">
            <w:pPr>
              <w:spacing w:before="60" w:after="60"/>
              <w:ind w:right="-29"/>
              <w:jc w:val="center"/>
              <w:rPr>
                <w:noProof/>
                <w:sz w:val="18"/>
                <w:szCs w:val="18"/>
              </w:rPr>
            </w:pPr>
          </w:p>
        </w:tc>
        <w:tc>
          <w:tcPr>
            <w:tcW w:w="720" w:type="dxa"/>
            <w:tcBorders>
              <w:top w:val="nil"/>
              <w:left w:val="nil"/>
              <w:bottom w:val="nil"/>
              <w:right w:val="nil"/>
            </w:tcBorders>
          </w:tcPr>
          <w:p w14:paraId="67ED8AFF" w14:textId="77777777" w:rsidR="0037165D" w:rsidRPr="002866E5" w:rsidRDefault="0037165D" w:rsidP="00881943">
            <w:pPr>
              <w:spacing w:before="60" w:after="60"/>
              <w:ind w:right="-29"/>
              <w:jc w:val="center"/>
              <w:rPr>
                <w:noProof/>
                <w:sz w:val="18"/>
                <w:szCs w:val="18"/>
              </w:rPr>
            </w:pPr>
          </w:p>
        </w:tc>
        <w:tc>
          <w:tcPr>
            <w:tcW w:w="540" w:type="dxa"/>
            <w:tcBorders>
              <w:top w:val="nil"/>
              <w:left w:val="nil"/>
              <w:bottom w:val="nil"/>
              <w:right w:val="nil"/>
            </w:tcBorders>
          </w:tcPr>
          <w:p w14:paraId="67ED8B00" w14:textId="77777777" w:rsidR="0037165D" w:rsidRPr="002866E5" w:rsidRDefault="0037165D" w:rsidP="00881943">
            <w:pPr>
              <w:spacing w:before="60" w:after="60"/>
              <w:ind w:right="-29"/>
              <w:jc w:val="center"/>
              <w:rPr>
                <w:noProof/>
                <w:sz w:val="18"/>
                <w:szCs w:val="18"/>
              </w:rPr>
            </w:pPr>
          </w:p>
        </w:tc>
        <w:tc>
          <w:tcPr>
            <w:tcW w:w="720" w:type="dxa"/>
            <w:tcBorders>
              <w:top w:val="nil"/>
              <w:left w:val="nil"/>
              <w:bottom w:val="nil"/>
              <w:right w:val="nil"/>
            </w:tcBorders>
          </w:tcPr>
          <w:p w14:paraId="67ED8B01" w14:textId="77777777" w:rsidR="0037165D" w:rsidRPr="002866E5" w:rsidRDefault="0037165D" w:rsidP="00881943">
            <w:pPr>
              <w:spacing w:before="60" w:after="60"/>
              <w:ind w:right="-29"/>
              <w:jc w:val="center"/>
              <w:rPr>
                <w:noProof/>
                <w:sz w:val="18"/>
                <w:szCs w:val="18"/>
              </w:rPr>
            </w:pPr>
          </w:p>
        </w:tc>
        <w:tc>
          <w:tcPr>
            <w:tcW w:w="720" w:type="dxa"/>
            <w:tcBorders>
              <w:top w:val="nil"/>
              <w:left w:val="nil"/>
              <w:bottom w:val="nil"/>
              <w:right w:val="nil"/>
            </w:tcBorders>
          </w:tcPr>
          <w:p w14:paraId="67ED8B02" w14:textId="77777777" w:rsidR="0037165D" w:rsidRPr="002866E5" w:rsidRDefault="0037165D" w:rsidP="00881943">
            <w:pPr>
              <w:spacing w:before="60" w:after="60"/>
              <w:ind w:right="-29"/>
              <w:jc w:val="center"/>
              <w:rPr>
                <w:noProof/>
                <w:sz w:val="18"/>
                <w:szCs w:val="18"/>
              </w:rPr>
            </w:pPr>
          </w:p>
        </w:tc>
        <w:tc>
          <w:tcPr>
            <w:tcW w:w="900" w:type="dxa"/>
            <w:tcBorders>
              <w:top w:val="nil"/>
              <w:left w:val="nil"/>
              <w:bottom w:val="nil"/>
              <w:right w:val="nil"/>
            </w:tcBorders>
          </w:tcPr>
          <w:p w14:paraId="67ED8B03" w14:textId="77777777" w:rsidR="0037165D" w:rsidRPr="002866E5" w:rsidRDefault="0037165D" w:rsidP="00881943">
            <w:pPr>
              <w:spacing w:before="60" w:after="60"/>
              <w:ind w:right="-29"/>
              <w:jc w:val="center"/>
              <w:rPr>
                <w:noProof/>
                <w:sz w:val="18"/>
                <w:szCs w:val="18"/>
              </w:rPr>
            </w:pPr>
          </w:p>
        </w:tc>
      </w:tr>
      <w:tr w:rsidR="0037165D" w:rsidRPr="002866E5" w14:paraId="67ED8B18" w14:textId="77777777" w:rsidTr="00881943">
        <w:trPr>
          <w:trHeight w:hRule="exact" w:val="369"/>
          <w:jc w:val="center"/>
        </w:trPr>
        <w:tc>
          <w:tcPr>
            <w:tcW w:w="1423" w:type="dxa"/>
          </w:tcPr>
          <w:p w14:paraId="67ED8B05" w14:textId="77777777" w:rsidR="0037165D" w:rsidRPr="002866E5" w:rsidRDefault="0037165D" w:rsidP="00881943">
            <w:pPr>
              <w:ind w:right="-29"/>
              <w:jc w:val="center"/>
              <w:rPr>
                <w:noProof/>
                <w:sz w:val="18"/>
                <w:szCs w:val="18"/>
              </w:rPr>
            </w:pPr>
            <w:r w:rsidRPr="002866E5">
              <w:rPr>
                <w:noProof/>
                <w:sz w:val="18"/>
              </w:rPr>
              <w:t>– Produkt</w:t>
            </w:r>
          </w:p>
        </w:tc>
        <w:tc>
          <w:tcPr>
            <w:tcW w:w="720" w:type="dxa"/>
          </w:tcPr>
          <w:p w14:paraId="67ED8B06" w14:textId="77777777" w:rsidR="0037165D" w:rsidRPr="002866E5" w:rsidRDefault="0037165D" w:rsidP="00881943">
            <w:pPr>
              <w:ind w:right="-29"/>
              <w:jc w:val="center"/>
              <w:rPr>
                <w:noProof/>
                <w:sz w:val="18"/>
                <w:szCs w:val="18"/>
              </w:rPr>
            </w:pPr>
          </w:p>
        </w:tc>
        <w:tc>
          <w:tcPr>
            <w:tcW w:w="701" w:type="dxa"/>
          </w:tcPr>
          <w:p w14:paraId="67ED8B07" w14:textId="77777777" w:rsidR="0037165D" w:rsidRPr="002866E5" w:rsidRDefault="0037165D" w:rsidP="00881943">
            <w:pPr>
              <w:ind w:right="-29"/>
              <w:jc w:val="center"/>
              <w:rPr>
                <w:noProof/>
                <w:sz w:val="18"/>
                <w:szCs w:val="18"/>
              </w:rPr>
            </w:pPr>
          </w:p>
        </w:tc>
        <w:tc>
          <w:tcPr>
            <w:tcW w:w="504" w:type="dxa"/>
            <w:tcBorders>
              <w:right w:val="dashSmallGap" w:sz="4" w:space="0" w:color="auto"/>
            </w:tcBorders>
          </w:tcPr>
          <w:p w14:paraId="67ED8B08" w14:textId="77777777" w:rsidR="0037165D" w:rsidRPr="002866E5" w:rsidRDefault="0037165D" w:rsidP="00881943">
            <w:pPr>
              <w:ind w:right="-29"/>
              <w:jc w:val="center"/>
              <w:rPr>
                <w:noProof/>
                <w:sz w:val="18"/>
                <w:szCs w:val="18"/>
              </w:rPr>
            </w:pPr>
          </w:p>
        </w:tc>
        <w:tc>
          <w:tcPr>
            <w:tcW w:w="720" w:type="dxa"/>
            <w:tcBorders>
              <w:left w:val="dashSmallGap" w:sz="4" w:space="0" w:color="auto"/>
            </w:tcBorders>
          </w:tcPr>
          <w:p w14:paraId="67ED8B09" w14:textId="77777777" w:rsidR="0037165D" w:rsidRPr="002866E5" w:rsidRDefault="0037165D" w:rsidP="00881943">
            <w:pPr>
              <w:ind w:right="-29"/>
              <w:jc w:val="center"/>
              <w:rPr>
                <w:noProof/>
                <w:sz w:val="18"/>
                <w:szCs w:val="18"/>
              </w:rPr>
            </w:pPr>
          </w:p>
        </w:tc>
        <w:tc>
          <w:tcPr>
            <w:tcW w:w="540" w:type="dxa"/>
            <w:tcBorders>
              <w:right w:val="dashSmallGap" w:sz="4" w:space="0" w:color="auto"/>
            </w:tcBorders>
          </w:tcPr>
          <w:p w14:paraId="67ED8B0A" w14:textId="77777777" w:rsidR="0037165D" w:rsidRPr="002866E5" w:rsidRDefault="0037165D" w:rsidP="00881943">
            <w:pPr>
              <w:ind w:right="-29"/>
              <w:jc w:val="center"/>
              <w:rPr>
                <w:noProof/>
                <w:sz w:val="18"/>
                <w:szCs w:val="18"/>
              </w:rPr>
            </w:pPr>
          </w:p>
        </w:tc>
        <w:tc>
          <w:tcPr>
            <w:tcW w:w="720" w:type="dxa"/>
            <w:tcBorders>
              <w:left w:val="dashSmallGap" w:sz="4" w:space="0" w:color="auto"/>
            </w:tcBorders>
          </w:tcPr>
          <w:p w14:paraId="67ED8B0B" w14:textId="77777777" w:rsidR="0037165D" w:rsidRPr="002866E5" w:rsidRDefault="0037165D" w:rsidP="00881943">
            <w:pPr>
              <w:ind w:right="-29"/>
              <w:jc w:val="center"/>
              <w:rPr>
                <w:noProof/>
                <w:sz w:val="18"/>
                <w:szCs w:val="18"/>
              </w:rPr>
            </w:pPr>
          </w:p>
        </w:tc>
        <w:tc>
          <w:tcPr>
            <w:tcW w:w="720" w:type="dxa"/>
            <w:tcBorders>
              <w:right w:val="dashSmallGap" w:sz="4" w:space="0" w:color="auto"/>
            </w:tcBorders>
          </w:tcPr>
          <w:p w14:paraId="67ED8B0C" w14:textId="77777777" w:rsidR="0037165D" w:rsidRPr="002866E5" w:rsidRDefault="0037165D" w:rsidP="00881943">
            <w:pPr>
              <w:ind w:right="-29"/>
              <w:jc w:val="center"/>
              <w:rPr>
                <w:noProof/>
                <w:sz w:val="18"/>
                <w:szCs w:val="18"/>
              </w:rPr>
            </w:pPr>
          </w:p>
        </w:tc>
        <w:tc>
          <w:tcPr>
            <w:tcW w:w="720" w:type="dxa"/>
            <w:tcBorders>
              <w:left w:val="dashSmallGap" w:sz="4" w:space="0" w:color="auto"/>
            </w:tcBorders>
          </w:tcPr>
          <w:p w14:paraId="67ED8B0D" w14:textId="77777777" w:rsidR="0037165D" w:rsidRPr="002866E5" w:rsidRDefault="0037165D" w:rsidP="00881943">
            <w:pPr>
              <w:ind w:right="-29"/>
              <w:jc w:val="center"/>
              <w:rPr>
                <w:noProof/>
                <w:sz w:val="18"/>
                <w:szCs w:val="18"/>
              </w:rPr>
            </w:pPr>
          </w:p>
        </w:tc>
        <w:tc>
          <w:tcPr>
            <w:tcW w:w="900" w:type="dxa"/>
            <w:tcBorders>
              <w:right w:val="dashSmallGap" w:sz="4" w:space="0" w:color="auto"/>
            </w:tcBorders>
          </w:tcPr>
          <w:p w14:paraId="67ED8B0E" w14:textId="77777777" w:rsidR="0037165D" w:rsidRPr="002866E5" w:rsidRDefault="0037165D" w:rsidP="00881943">
            <w:pPr>
              <w:ind w:right="-29"/>
              <w:jc w:val="center"/>
              <w:rPr>
                <w:noProof/>
                <w:sz w:val="18"/>
                <w:szCs w:val="18"/>
              </w:rPr>
            </w:pPr>
          </w:p>
        </w:tc>
        <w:tc>
          <w:tcPr>
            <w:tcW w:w="720" w:type="dxa"/>
            <w:gridSpan w:val="2"/>
            <w:tcBorders>
              <w:left w:val="dashSmallGap" w:sz="4" w:space="0" w:color="auto"/>
            </w:tcBorders>
          </w:tcPr>
          <w:p w14:paraId="67ED8B0F" w14:textId="77777777" w:rsidR="0037165D" w:rsidRPr="002866E5" w:rsidRDefault="0037165D" w:rsidP="00881943">
            <w:pPr>
              <w:ind w:right="-29"/>
              <w:jc w:val="center"/>
              <w:rPr>
                <w:noProof/>
                <w:sz w:val="18"/>
                <w:szCs w:val="18"/>
              </w:rPr>
            </w:pPr>
          </w:p>
        </w:tc>
        <w:tc>
          <w:tcPr>
            <w:tcW w:w="540" w:type="dxa"/>
            <w:tcBorders>
              <w:right w:val="dashSmallGap" w:sz="4" w:space="0" w:color="auto"/>
            </w:tcBorders>
          </w:tcPr>
          <w:p w14:paraId="67ED8B10" w14:textId="77777777" w:rsidR="0037165D" w:rsidRPr="002866E5" w:rsidRDefault="0037165D" w:rsidP="00881943">
            <w:pPr>
              <w:ind w:right="-29"/>
              <w:jc w:val="center"/>
              <w:rPr>
                <w:noProof/>
                <w:sz w:val="18"/>
                <w:szCs w:val="18"/>
              </w:rPr>
            </w:pPr>
          </w:p>
        </w:tc>
        <w:tc>
          <w:tcPr>
            <w:tcW w:w="648" w:type="dxa"/>
            <w:tcBorders>
              <w:left w:val="dashSmallGap" w:sz="4" w:space="0" w:color="auto"/>
            </w:tcBorders>
          </w:tcPr>
          <w:p w14:paraId="67ED8B11" w14:textId="77777777" w:rsidR="0037165D" w:rsidRPr="002866E5" w:rsidRDefault="0037165D" w:rsidP="00881943">
            <w:pPr>
              <w:ind w:right="-29"/>
              <w:jc w:val="center"/>
              <w:rPr>
                <w:noProof/>
                <w:sz w:val="18"/>
                <w:szCs w:val="18"/>
              </w:rPr>
            </w:pPr>
          </w:p>
        </w:tc>
        <w:tc>
          <w:tcPr>
            <w:tcW w:w="432" w:type="dxa"/>
            <w:tcBorders>
              <w:right w:val="dashSmallGap" w:sz="4" w:space="0" w:color="auto"/>
            </w:tcBorders>
          </w:tcPr>
          <w:p w14:paraId="67ED8B12" w14:textId="77777777" w:rsidR="0037165D" w:rsidRPr="002866E5" w:rsidRDefault="0037165D" w:rsidP="00881943">
            <w:pPr>
              <w:ind w:right="-29"/>
              <w:jc w:val="center"/>
              <w:rPr>
                <w:noProof/>
                <w:sz w:val="18"/>
                <w:szCs w:val="18"/>
              </w:rPr>
            </w:pPr>
          </w:p>
        </w:tc>
        <w:tc>
          <w:tcPr>
            <w:tcW w:w="720" w:type="dxa"/>
            <w:tcBorders>
              <w:left w:val="dashSmallGap" w:sz="4" w:space="0" w:color="auto"/>
            </w:tcBorders>
          </w:tcPr>
          <w:p w14:paraId="67ED8B13" w14:textId="77777777" w:rsidR="0037165D" w:rsidRPr="002866E5" w:rsidRDefault="0037165D" w:rsidP="00881943">
            <w:pPr>
              <w:ind w:right="-29"/>
              <w:jc w:val="center"/>
              <w:rPr>
                <w:noProof/>
                <w:sz w:val="18"/>
                <w:szCs w:val="18"/>
              </w:rPr>
            </w:pPr>
          </w:p>
        </w:tc>
        <w:tc>
          <w:tcPr>
            <w:tcW w:w="540" w:type="dxa"/>
            <w:tcBorders>
              <w:right w:val="dashSmallGap" w:sz="4" w:space="0" w:color="auto"/>
            </w:tcBorders>
          </w:tcPr>
          <w:p w14:paraId="67ED8B14" w14:textId="77777777" w:rsidR="0037165D" w:rsidRPr="002866E5" w:rsidRDefault="0037165D" w:rsidP="00881943">
            <w:pPr>
              <w:ind w:right="-29"/>
              <w:jc w:val="center"/>
              <w:rPr>
                <w:noProof/>
                <w:sz w:val="18"/>
                <w:szCs w:val="18"/>
              </w:rPr>
            </w:pPr>
          </w:p>
        </w:tc>
        <w:tc>
          <w:tcPr>
            <w:tcW w:w="720" w:type="dxa"/>
            <w:tcBorders>
              <w:left w:val="dashSmallGap" w:sz="4" w:space="0" w:color="auto"/>
            </w:tcBorders>
          </w:tcPr>
          <w:p w14:paraId="67ED8B15" w14:textId="77777777" w:rsidR="0037165D" w:rsidRPr="002866E5" w:rsidRDefault="0037165D" w:rsidP="00881943">
            <w:pPr>
              <w:ind w:right="-29"/>
              <w:jc w:val="center"/>
              <w:rPr>
                <w:noProof/>
                <w:sz w:val="18"/>
                <w:szCs w:val="18"/>
              </w:rPr>
            </w:pPr>
          </w:p>
        </w:tc>
        <w:tc>
          <w:tcPr>
            <w:tcW w:w="720" w:type="dxa"/>
          </w:tcPr>
          <w:p w14:paraId="67ED8B16" w14:textId="77777777" w:rsidR="0037165D" w:rsidRPr="002866E5" w:rsidRDefault="0037165D" w:rsidP="00881943">
            <w:pPr>
              <w:ind w:right="-29"/>
              <w:jc w:val="center"/>
              <w:rPr>
                <w:noProof/>
                <w:sz w:val="18"/>
                <w:szCs w:val="18"/>
              </w:rPr>
            </w:pPr>
          </w:p>
        </w:tc>
        <w:tc>
          <w:tcPr>
            <w:tcW w:w="900" w:type="dxa"/>
          </w:tcPr>
          <w:p w14:paraId="67ED8B17" w14:textId="77777777" w:rsidR="0037165D" w:rsidRPr="002866E5" w:rsidRDefault="0037165D" w:rsidP="00881943">
            <w:pPr>
              <w:ind w:right="-29"/>
              <w:jc w:val="center"/>
              <w:rPr>
                <w:noProof/>
                <w:sz w:val="18"/>
                <w:szCs w:val="18"/>
              </w:rPr>
            </w:pPr>
          </w:p>
        </w:tc>
      </w:tr>
      <w:tr w:rsidR="0037165D" w:rsidRPr="002866E5" w14:paraId="67ED8B2C" w14:textId="77777777" w:rsidTr="00881943">
        <w:trPr>
          <w:trHeight w:hRule="exact" w:val="369"/>
          <w:jc w:val="center"/>
        </w:trPr>
        <w:tc>
          <w:tcPr>
            <w:tcW w:w="1423" w:type="dxa"/>
          </w:tcPr>
          <w:p w14:paraId="67ED8B19" w14:textId="77777777" w:rsidR="0037165D" w:rsidRPr="002866E5" w:rsidRDefault="0037165D" w:rsidP="00881943">
            <w:pPr>
              <w:ind w:right="-29"/>
              <w:jc w:val="center"/>
              <w:rPr>
                <w:noProof/>
                <w:sz w:val="18"/>
                <w:szCs w:val="18"/>
              </w:rPr>
            </w:pPr>
            <w:r w:rsidRPr="002866E5">
              <w:rPr>
                <w:noProof/>
                <w:sz w:val="18"/>
              </w:rPr>
              <w:t>– Produkt</w:t>
            </w:r>
          </w:p>
        </w:tc>
        <w:tc>
          <w:tcPr>
            <w:tcW w:w="720" w:type="dxa"/>
          </w:tcPr>
          <w:p w14:paraId="67ED8B1A" w14:textId="77777777" w:rsidR="0037165D" w:rsidRPr="002866E5" w:rsidRDefault="0037165D" w:rsidP="00881943">
            <w:pPr>
              <w:ind w:right="-29"/>
              <w:jc w:val="center"/>
              <w:rPr>
                <w:noProof/>
                <w:sz w:val="18"/>
                <w:szCs w:val="18"/>
              </w:rPr>
            </w:pPr>
          </w:p>
        </w:tc>
        <w:tc>
          <w:tcPr>
            <w:tcW w:w="701" w:type="dxa"/>
          </w:tcPr>
          <w:p w14:paraId="67ED8B1B" w14:textId="77777777" w:rsidR="0037165D" w:rsidRPr="002866E5" w:rsidRDefault="0037165D" w:rsidP="00881943">
            <w:pPr>
              <w:ind w:right="-29"/>
              <w:jc w:val="center"/>
              <w:rPr>
                <w:noProof/>
                <w:sz w:val="18"/>
                <w:szCs w:val="18"/>
              </w:rPr>
            </w:pPr>
          </w:p>
        </w:tc>
        <w:tc>
          <w:tcPr>
            <w:tcW w:w="504" w:type="dxa"/>
            <w:tcBorders>
              <w:right w:val="dashSmallGap" w:sz="4" w:space="0" w:color="auto"/>
            </w:tcBorders>
          </w:tcPr>
          <w:p w14:paraId="67ED8B1C" w14:textId="77777777" w:rsidR="0037165D" w:rsidRPr="002866E5" w:rsidRDefault="0037165D" w:rsidP="00881943">
            <w:pPr>
              <w:ind w:right="-29"/>
              <w:jc w:val="center"/>
              <w:rPr>
                <w:noProof/>
                <w:sz w:val="18"/>
                <w:szCs w:val="18"/>
              </w:rPr>
            </w:pPr>
          </w:p>
        </w:tc>
        <w:tc>
          <w:tcPr>
            <w:tcW w:w="720" w:type="dxa"/>
            <w:tcBorders>
              <w:left w:val="dashSmallGap" w:sz="4" w:space="0" w:color="auto"/>
            </w:tcBorders>
          </w:tcPr>
          <w:p w14:paraId="67ED8B1D" w14:textId="77777777" w:rsidR="0037165D" w:rsidRPr="002866E5" w:rsidRDefault="0037165D" w:rsidP="00881943">
            <w:pPr>
              <w:ind w:right="-29"/>
              <w:jc w:val="center"/>
              <w:rPr>
                <w:noProof/>
                <w:sz w:val="18"/>
                <w:szCs w:val="18"/>
              </w:rPr>
            </w:pPr>
          </w:p>
        </w:tc>
        <w:tc>
          <w:tcPr>
            <w:tcW w:w="540" w:type="dxa"/>
            <w:tcBorders>
              <w:right w:val="dashSmallGap" w:sz="4" w:space="0" w:color="auto"/>
            </w:tcBorders>
          </w:tcPr>
          <w:p w14:paraId="67ED8B1E" w14:textId="77777777" w:rsidR="0037165D" w:rsidRPr="002866E5" w:rsidRDefault="0037165D" w:rsidP="00881943">
            <w:pPr>
              <w:ind w:right="-29"/>
              <w:jc w:val="center"/>
              <w:rPr>
                <w:noProof/>
                <w:sz w:val="18"/>
                <w:szCs w:val="18"/>
              </w:rPr>
            </w:pPr>
          </w:p>
        </w:tc>
        <w:tc>
          <w:tcPr>
            <w:tcW w:w="720" w:type="dxa"/>
            <w:tcBorders>
              <w:left w:val="dashSmallGap" w:sz="4" w:space="0" w:color="auto"/>
            </w:tcBorders>
          </w:tcPr>
          <w:p w14:paraId="67ED8B1F" w14:textId="77777777" w:rsidR="0037165D" w:rsidRPr="002866E5" w:rsidRDefault="0037165D" w:rsidP="00881943">
            <w:pPr>
              <w:ind w:right="-29"/>
              <w:jc w:val="center"/>
              <w:rPr>
                <w:noProof/>
                <w:sz w:val="18"/>
                <w:szCs w:val="18"/>
              </w:rPr>
            </w:pPr>
          </w:p>
        </w:tc>
        <w:tc>
          <w:tcPr>
            <w:tcW w:w="720" w:type="dxa"/>
            <w:tcBorders>
              <w:right w:val="dashSmallGap" w:sz="4" w:space="0" w:color="auto"/>
            </w:tcBorders>
          </w:tcPr>
          <w:p w14:paraId="67ED8B20" w14:textId="77777777" w:rsidR="0037165D" w:rsidRPr="002866E5" w:rsidRDefault="0037165D" w:rsidP="00881943">
            <w:pPr>
              <w:ind w:right="-29"/>
              <w:jc w:val="center"/>
              <w:rPr>
                <w:noProof/>
                <w:sz w:val="18"/>
                <w:szCs w:val="18"/>
              </w:rPr>
            </w:pPr>
          </w:p>
        </w:tc>
        <w:tc>
          <w:tcPr>
            <w:tcW w:w="720" w:type="dxa"/>
            <w:tcBorders>
              <w:left w:val="dashSmallGap" w:sz="4" w:space="0" w:color="auto"/>
            </w:tcBorders>
          </w:tcPr>
          <w:p w14:paraId="67ED8B21" w14:textId="77777777" w:rsidR="0037165D" w:rsidRPr="002866E5" w:rsidRDefault="0037165D" w:rsidP="00881943">
            <w:pPr>
              <w:ind w:right="-29"/>
              <w:jc w:val="center"/>
              <w:rPr>
                <w:noProof/>
                <w:sz w:val="18"/>
                <w:szCs w:val="18"/>
              </w:rPr>
            </w:pPr>
          </w:p>
        </w:tc>
        <w:tc>
          <w:tcPr>
            <w:tcW w:w="900" w:type="dxa"/>
            <w:tcBorders>
              <w:right w:val="dashSmallGap" w:sz="4" w:space="0" w:color="auto"/>
            </w:tcBorders>
          </w:tcPr>
          <w:p w14:paraId="67ED8B22" w14:textId="77777777" w:rsidR="0037165D" w:rsidRPr="002866E5" w:rsidRDefault="0037165D" w:rsidP="00881943">
            <w:pPr>
              <w:ind w:right="-29"/>
              <w:jc w:val="center"/>
              <w:rPr>
                <w:noProof/>
                <w:sz w:val="18"/>
                <w:szCs w:val="18"/>
              </w:rPr>
            </w:pPr>
          </w:p>
        </w:tc>
        <w:tc>
          <w:tcPr>
            <w:tcW w:w="720" w:type="dxa"/>
            <w:gridSpan w:val="2"/>
            <w:tcBorders>
              <w:left w:val="dashSmallGap" w:sz="4" w:space="0" w:color="auto"/>
            </w:tcBorders>
          </w:tcPr>
          <w:p w14:paraId="67ED8B23" w14:textId="77777777" w:rsidR="0037165D" w:rsidRPr="002866E5" w:rsidRDefault="0037165D" w:rsidP="00881943">
            <w:pPr>
              <w:ind w:right="-29"/>
              <w:jc w:val="center"/>
              <w:rPr>
                <w:noProof/>
                <w:sz w:val="18"/>
                <w:szCs w:val="18"/>
              </w:rPr>
            </w:pPr>
          </w:p>
        </w:tc>
        <w:tc>
          <w:tcPr>
            <w:tcW w:w="540" w:type="dxa"/>
            <w:tcBorders>
              <w:right w:val="dashSmallGap" w:sz="4" w:space="0" w:color="auto"/>
            </w:tcBorders>
          </w:tcPr>
          <w:p w14:paraId="67ED8B24" w14:textId="77777777" w:rsidR="0037165D" w:rsidRPr="002866E5" w:rsidRDefault="0037165D" w:rsidP="00881943">
            <w:pPr>
              <w:ind w:right="-29"/>
              <w:jc w:val="center"/>
              <w:rPr>
                <w:noProof/>
                <w:sz w:val="18"/>
                <w:szCs w:val="18"/>
              </w:rPr>
            </w:pPr>
          </w:p>
        </w:tc>
        <w:tc>
          <w:tcPr>
            <w:tcW w:w="648" w:type="dxa"/>
            <w:tcBorders>
              <w:left w:val="dashSmallGap" w:sz="4" w:space="0" w:color="auto"/>
            </w:tcBorders>
          </w:tcPr>
          <w:p w14:paraId="67ED8B25" w14:textId="77777777" w:rsidR="0037165D" w:rsidRPr="002866E5" w:rsidRDefault="0037165D" w:rsidP="00881943">
            <w:pPr>
              <w:ind w:right="-29"/>
              <w:jc w:val="center"/>
              <w:rPr>
                <w:noProof/>
                <w:sz w:val="18"/>
                <w:szCs w:val="18"/>
              </w:rPr>
            </w:pPr>
          </w:p>
        </w:tc>
        <w:tc>
          <w:tcPr>
            <w:tcW w:w="432" w:type="dxa"/>
            <w:tcBorders>
              <w:right w:val="dashSmallGap" w:sz="4" w:space="0" w:color="auto"/>
            </w:tcBorders>
          </w:tcPr>
          <w:p w14:paraId="67ED8B26" w14:textId="77777777" w:rsidR="0037165D" w:rsidRPr="002866E5" w:rsidRDefault="0037165D" w:rsidP="00881943">
            <w:pPr>
              <w:ind w:right="-29"/>
              <w:jc w:val="center"/>
              <w:rPr>
                <w:noProof/>
                <w:sz w:val="18"/>
                <w:szCs w:val="18"/>
              </w:rPr>
            </w:pPr>
          </w:p>
        </w:tc>
        <w:tc>
          <w:tcPr>
            <w:tcW w:w="720" w:type="dxa"/>
            <w:tcBorders>
              <w:left w:val="dashSmallGap" w:sz="4" w:space="0" w:color="auto"/>
            </w:tcBorders>
          </w:tcPr>
          <w:p w14:paraId="67ED8B27" w14:textId="77777777" w:rsidR="0037165D" w:rsidRPr="002866E5" w:rsidRDefault="0037165D" w:rsidP="00881943">
            <w:pPr>
              <w:ind w:right="-29"/>
              <w:jc w:val="center"/>
              <w:rPr>
                <w:noProof/>
                <w:sz w:val="18"/>
                <w:szCs w:val="18"/>
              </w:rPr>
            </w:pPr>
          </w:p>
        </w:tc>
        <w:tc>
          <w:tcPr>
            <w:tcW w:w="540" w:type="dxa"/>
            <w:tcBorders>
              <w:right w:val="dashSmallGap" w:sz="4" w:space="0" w:color="auto"/>
            </w:tcBorders>
          </w:tcPr>
          <w:p w14:paraId="67ED8B28" w14:textId="77777777" w:rsidR="0037165D" w:rsidRPr="002866E5" w:rsidRDefault="0037165D" w:rsidP="00881943">
            <w:pPr>
              <w:ind w:right="-29"/>
              <w:jc w:val="center"/>
              <w:rPr>
                <w:noProof/>
                <w:sz w:val="18"/>
                <w:szCs w:val="18"/>
              </w:rPr>
            </w:pPr>
          </w:p>
        </w:tc>
        <w:tc>
          <w:tcPr>
            <w:tcW w:w="720" w:type="dxa"/>
            <w:tcBorders>
              <w:left w:val="dashSmallGap" w:sz="4" w:space="0" w:color="auto"/>
            </w:tcBorders>
          </w:tcPr>
          <w:p w14:paraId="67ED8B29" w14:textId="77777777" w:rsidR="0037165D" w:rsidRPr="002866E5" w:rsidRDefault="0037165D" w:rsidP="00881943">
            <w:pPr>
              <w:ind w:right="-29"/>
              <w:jc w:val="center"/>
              <w:rPr>
                <w:noProof/>
                <w:sz w:val="18"/>
                <w:szCs w:val="18"/>
              </w:rPr>
            </w:pPr>
          </w:p>
        </w:tc>
        <w:tc>
          <w:tcPr>
            <w:tcW w:w="720" w:type="dxa"/>
          </w:tcPr>
          <w:p w14:paraId="67ED8B2A" w14:textId="77777777" w:rsidR="0037165D" w:rsidRPr="002866E5" w:rsidRDefault="0037165D" w:rsidP="00881943">
            <w:pPr>
              <w:ind w:right="-29"/>
              <w:jc w:val="center"/>
              <w:rPr>
                <w:noProof/>
                <w:sz w:val="18"/>
                <w:szCs w:val="18"/>
              </w:rPr>
            </w:pPr>
          </w:p>
        </w:tc>
        <w:tc>
          <w:tcPr>
            <w:tcW w:w="900" w:type="dxa"/>
          </w:tcPr>
          <w:p w14:paraId="67ED8B2B" w14:textId="77777777" w:rsidR="0037165D" w:rsidRPr="002866E5" w:rsidRDefault="0037165D" w:rsidP="00881943">
            <w:pPr>
              <w:ind w:right="-29"/>
              <w:jc w:val="center"/>
              <w:rPr>
                <w:noProof/>
                <w:sz w:val="18"/>
                <w:szCs w:val="18"/>
              </w:rPr>
            </w:pPr>
          </w:p>
        </w:tc>
      </w:tr>
      <w:tr w:rsidR="0037165D" w:rsidRPr="002866E5" w14:paraId="67ED8B40" w14:textId="77777777" w:rsidTr="00881943">
        <w:trPr>
          <w:trHeight w:hRule="exact" w:val="369"/>
          <w:jc w:val="center"/>
        </w:trPr>
        <w:tc>
          <w:tcPr>
            <w:tcW w:w="1423" w:type="dxa"/>
          </w:tcPr>
          <w:p w14:paraId="67ED8B2D" w14:textId="77777777" w:rsidR="0037165D" w:rsidRPr="002866E5" w:rsidRDefault="0037165D" w:rsidP="00881943">
            <w:pPr>
              <w:ind w:right="-29"/>
              <w:jc w:val="center"/>
              <w:rPr>
                <w:noProof/>
                <w:sz w:val="18"/>
                <w:szCs w:val="18"/>
              </w:rPr>
            </w:pPr>
            <w:r w:rsidRPr="002866E5">
              <w:rPr>
                <w:noProof/>
                <w:sz w:val="18"/>
              </w:rPr>
              <w:t>– Produkt</w:t>
            </w:r>
          </w:p>
        </w:tc>
        <w:tc>
          <w:tcPr>
            <w:tcW w:w="720" w:type="dxa"/>
          </w:tcPr>
          <w:p w14:paraId="67ED8B2E" w14:textId="77777777" w:rsidR="0037165D" w:rsidRPr="002866E5" w:rsidRDefault="0037165D" w:rsidP="00881943">
            <w:pPr>
              <w:ind w:right="-29"/>
              <w:jc w:val="center"/>
              <w:rPr>
                <w:noProof/>
                <w:sz w:val="18"/>
                <w:szCs w:val="18"/>
              </w:rPr>
            </w:pPr>
          </w:p>
        </w:tc>
        <w:tc>
          <w:tcPr>
            <w:tcW w:w="701" w:type="dxa"/>
          </w:tcPr>
          <w:p w14:paraId="67ED8B2F" w14:textId="77777777" w:rsidR="0037165D" w:rsidRPr="002866E5" w:rsidRDefault="0037165D" w:rsidP="00881943">
            <w:pPr>
              <w:ind w:right="-29"/>
              <w:jc w:val="center"/>
              <w:rPr>
                <w:noProof/>
                <w:sz w:val="18"/>
                <w:szCs w:val="18"/>
              </w:rPr>
            </w:pPr>
          </w:p>
        </w:tc>
        <w:tc>
          <w:tcPr>
            <w:tcW w:w="504" w:type="dxa"/>
          </w:tcPr>
          <w:p w14:paraId="67ED8B30" w14:textId="77777777" w:rsidR="0037165D" w:rsidRPr="002866E5" w:rsidRDefault="0037165D" w:rsidP="00881943">
            <w:pPr>
              <w:ind w:right="-29"/>
              <w:jc w:val="center"/>
              <w:rPr>
                <w:noProof/>
                <w:sz w:val="18"/>
                <w:szCs w:val="18"/>
              </w:rPr>
            </w:pPr>
          </w:p>
        </w:tc>
        <w:tc>
          <w:tcPr>
            <w:tcW w:w="720" w:type="dxa"/>
          </w:tcPr>
          <w:p w14:paraId="67ED8B31" w14:textId="77777777" w:rsidR="0037165D" w:rsidRPr="002866E5" w:rsidRDefault="0037165D" w:rsidP="00881943">
            <w:pPr>
              <w:ind w:right="-29"/>
              <w:jc w:val="center"/>
              <w:rPr>
                <w:noProof/>
                <w:sz w:val="18"/>
                <w:szCs w:val="18"/>
              </w:rPr>
            </w:pPr>
          </w:p>
        </w:tc>
        <w:tc>
          <w:tcPr>
            <w:tcW w:w="540" w:type="dxa"/>
          </w:tcPr>
          <w:p w14:paraId="67ED8B32" w14:textId="77777777" w:rsidR="0037165D" w:rsidRPr="002866E5" w:rsidRDefault="0037165D" w:rsidP="00881943">
            <w:pPr>
              <w:ind w:right="-29"/>
              <w:jc w:val="center"/>
              <w:rPr>
                <w:noProof/>
                <w:sz w:val="18"/>
                <w:szCs w:val="18"/>
              </w:rPr>
            </w:pPr>
          </w:p>
        </w:tc>
        <w:tc>
          <w:tcPr>
            <w:tcW w:w="720" w:type="dxa"/>
          </w:tcPr>
          <w:p w14:paraId="67ED8B33" w14:textId="77777777" w:rsidR="0037165D" w:rsidRPr="002866E5" w:rsidRDefault="0037165D" w:rsidP="00881943">
            <w:pPr>
              <w:ind w:right="-29"/>
              <w:jc w:val="center"/>
              <w:rPr>
                <w:noProof/>
                <w:sz w:val="18"/>
                <w:szCs w:val="18"/>
              </w:rPr>
            </w:pPr>
          </w:p>
        </w:tc>
        <w:tc>
          <w:tcPr>
            <w:tcW w:w="720" w:type="dxa"/>
          </w:tcPr>
          <w:p w14:paraId="67ED8B34" w14:textId="77777777" w:rsidR="0037165D" w:rsidRPr="002866E5" w:rsidRDefault="0037165D" w:rsidP="00881943">
            <w:pPr>
              <w:ind w:right="-29"/>
              <w:jc w:val="center"/>
              <w:rPr>
                <w:noProof/>
                <w:sz w:val="18"/>
                <w:szCs w:val="18"/>
              </w:rPr>
            </w:pPr>
          </w:p>
        </w:tc>
        <w:tc>
          <w:tcPr>
            <w:tcW w:w="720" w:type="dxa"/>
          </w:tcPr>
          <w:p w14:paraId="67ED8B35" w14:textId="77777777" w:rsidR="0037165D" w:rsidRPr="002866E5" w:rsidRDefault="0037165D" w:rsidP="00881943">
            <w:pPr>
              <w:ind w:right="-29"/>
              <w:jc w:val="center"/>
              <w:rPr>
                <w:noProof/>
                <w:sz w:val="18"/>
                <w:szCs w:val="18"/>
              </w:rPr>
            </w:pPr>
          </w:p>
        </w:tc>
        <w:tc>
          <w:tcPr>
            <w:tcW w:w="900" w:type="dxa"/>
          </w:tcPr>
          <w:p w14:paraId="67ED8B36" w14:textId="77777777" w:rsidR="0037165D" w:rsidRPr="002866E5" w:rsidRDefault="0037165D" w:rsidP="00881943">
            <w:pPr>
              <w:ind w:right="-29"/>
              <w:jc w:val="center"/>
              <w:rPr>
                <w:noProof/>
                <w:sz w:val="18"/>
                <w:szCs w:val="18"/>
              </w:rPr>
            </w:pPr>
          </w:p>
        </w:tc>
        <w:tc>
          <w:tcPr>
            <w:tcW w:w="720" w:type="dxa"/>
            <w:gridSpan w:val="2"/>
          </w:tcPr>
          <w:p w14:paraId="67ED8B37" w14:textId="77777777" w:rsidR="0037165D" w:rsidRPr="002866E5" w:rsidRDefault="0037165D" w:rsidP="00881943">
            <w:pPr>
              <w:ind w:right="-29"/>
              <w:jc w:val="center"/>
              <w:rPr>
                <w:noProof/>
                <w:sz w:val="18"/>
                <w:szCs w:val="18"/>
              </w:rPr>
            </w:pPr>
          </w:p>
        </w:tc>
        <w:tc>
          <w:tcPr>
            <w:tcW w:w="540" w:type="dxa"/>
          </w:tcPr>
          <w:p w14:paraId="67ED8B38" w14:textId="77777777" w:rsidR="0037165D" w:rsidRPr="002866E5" w:rsidRDefault="0037165D" w:rsidP="00881943">
            <w:pPr>
              <w:ind w:right="-29"/>
              <w:jc w:val="center"/>
              <w:rPr>
                <w:noProof/>
                <w:sz w:val="18"/>
                <w:szCs w:val="18"/>
              </w:rPr>
            </w:pPr>
          </w:p>
        </w:tc>
        <w:tc>
          <w:tcPr>
            <w:tcW w:w="648" w:type="dxa"/>
          </w:tcPr>
          <w:p w14:paraId="67ED8B39" w14:textId="77777777" w:rsidR="0037165D" w:rsidRPr="002866E5" w:rsidRDefault="0037165D" w:rsidP="00881943">
            <w:pPr>
              <w:ind w:right="-29"/>
              <w:jc w:val="center"/>
              <w:rPr>
                <w:noProof/>
                <w:sz w:val="18"/>
                <w:szCs w:val="18"/>
              </w:rPr>
            </w:pPr>
          </w:p>
        </w:tc>
        <w:tc>
          <w:tcPr>
            <w:tcW w:w="432" w:type="dxa"/>
          </w:tcPr>
          <w:p w14:paraId="67ED8B3A" w14:textId="77777777" w:rsidR="0037165D" w:rsidRPr="002866E5" w:rsidRDefault="0037165D" w:rsidP="00881943">
            <w:pPr>
              <w:ind w:right="-29"/>
              <w:jc w:val="center"/>
              <w:rPr>
                <w:noProof/>
                <w:sz w:val="18"/>
                <w:szCs w:val="18"/>
              </w:rPr>
            </w:pPr>
          </w:p>
        </w:tc>
        <w:tc>
          <w:tcPr>
            <w:tcW w:w="720" w:type="dxa"/>
          </w:tcPr>
          <w:p w14:paraId="67ED8B3B" w14:textId="77777777" w:rsidR="0037165D" w:rsidRPr="002866E5" w:rsidRDefault="0037165D" w:rsidP="00881943">
            <w:pPr>
              <w:ind w:right="-29"/>
              <w:jc w:val="center"/>
              <w:rPr>
                <w:noProof/>
                <w:sz w:val="18"/>
                <w:szCs w:val="18"/>
              </w:rPr>
            </w:pPr>
          </w:p>
        </w:tc>
        <w:tc>
          <w:tcPr>
            <w:tcW w:w="540" w:type="dxa"/>
          </w:tcPr>
          <w:p w14:paraId="67ED8B3C" w14:textId="77777777" w:rsidR="0037165D" w:rsidRPr="002866E5" w:rsidRDefault="0037165D" w:rsidP="00881943">
            <w:pPr>
              <w:ind w:right="-29"/>
              <w:jc w:val="center"/>
              <w:rPr>
                <w:noProof/>
                <w:sz w:val="18"/>
                <w:szCs w:val="18"/>
              </w:rPr>
            </w:pPr>
          </w:p>
        </w:tc>
        <w:tc>
          <w:tcPr>
            <w:tcW w:w="720" w:type="dxa"/>
          </w:tcPr>
          <w:p w14:paraId="67ED8B3D" w14:textId="77777777" w:rsidR="0037165D" w:rsidRPr="002866E5" w:rsidRDefault="0037165D" w:rsidP="00881943">
            <w:pPr>
              <w:ind w:right="-29"/>
              <w:jc w:val="center"/>
              <w:rPr>
                <w:noProof/>
                <w:sz w:val="18"/>
                <w:szCs w:val="18"/>
              </w:rPr>
            </w:pPr>
          </w:p>
        </w:tc>
        <w:tc>
          <w:tcPr>
            <w:tcW w:w="720" w:type="dxa"/>
          </w:tcPr>
          <w:p w14:paraId="67ED8B3E" w14:textId="77777777" w:rsidR="0037165D" w:rsidRPr="002866E5" w:rsidRDefault="0037165D" w:rsidP="00881943">
            <w:pPr>
              <w:ind w:right="-29"/>
              <w:jc w:val="center"/>
              <w:rPr>
                <w:noProof/>
                <w:sz w:val="18"/>
                <w:szCs w:val="18"/>
              </w:rPr>
            </w:pPr>
          </w:p>
        </w:tc>
        <w:tc>
          <w:tcPr>
            <w:tcW w:w="900" w:type="dxa"/>
          </w:tcPr>
          <w:p w14:paraId="67ED8B3F" w14:textId="77777777" w:rsidR="0037165D" w:rsidRPr="002866E5" w:rsidRDefault="0037165D" w:rsidP="00881943">
            <w:pPr>
              <w:ind w:right="-29"/>
              <w:jc w:val="center"/>
              <w:rPr>
                <w:noProof/>
                <w:sz w:val="18"/>
                <w:szCs w:val="18"/>
              </w:rPr>
            </w:pPr>
          </w:p>
        </w:tc>
      </w:tr>
      <w:tr w:rsidR="0037165D" w:rsidRPr="002866E5" w14:paraId="67ED8B52" w14:textId="77777777" w:rsidTr="00881943">
        <w:trPr>
          <w:trHeight w:val="77"/>
          <w:jc w:val="center"/>
        </w:trPr>
        <w:tc>
          <w:tcPr>
            <w:tcW w:w="2844" w:type="dxa"/>
            <w:gridSpan w:val="3"/>
            <w:tcBorders>
              <w:bottom w:val="single" w:sz="12" w:space="0" w:color="auto"/>
            </w:tcBorders>
            <w:vAlign w:val="center"/>
          </w:tcPr>
          <w:p w14:paraId="67ED8B41" w14:textId="594D3997" w:rsidR="0037165D" w:rsidRPr="002866E5" w:rsidRDefault="0037165D" w:rsidP="00881943">
            <w:pPr>
              <w:ind w:right="-29"/>
              <w:jc w:val="center"/>
              <w:rPr>
                <w:noProof/>
                <w:sz w:val="18"/>
                <w:szCs w:val="18"/>
              </w:rPr>
            </w:pPr>
            <w:r w:rsidRPr="002866E5">
              <w:rPr>
                <w:noProof/>
                <w:sz w:val="18"/>
              </w:rPr>
              <w:t xml:space="preserve">Cel szczegółowy </w:t>
            </w:r>
            <w:r w:rsidRPr="008B35E8">
              <w:rPr>
                <w:noProof/>
                <w:sz w:val="18"/>
              </w:rPr>
              <w:t>nr</w:t>
            </w:r>
            <w:r w:rsidR="008B35E8" w:rsidRPr="008B35E8">
              <w:rPr>
                <w:noProof/>
                <w:sz w:val="18"/>
              </w:rPr>
              <w:t> </w:t>
            </w:r>
            <w:r w:rsidRPr="008B35E8">
              <w:rPr>
                <w:noProof/>
                <w:sz w:val="18"/>
              </w:rPr>
              <w:t>1</w:t>
            </w:r>
            <w:r w:rsidRPr="002866E5">
              <w:rPr>
                <w:noProof/>
                <w:sz w:val="18"/>
              </w:rPr>
              <w:t xml:space="preserve"> – suma cząstkowa</w:t>
            </w:r>
          </w:p>
        </w:tc>
        <w:tc>
          <w:tcPr>
            <w:tcW w:w="504" w:type="dxa"/>
            <w:tcBorders>
              <w:bottom w:val="single" w:sz="12" w:space="0" w:color="auto"/>
            </w:tcBorders>
          </w:tcPr>
          <w:p w14:paraId="67ED8B42" w14:textId="77777777" w:rsidR="0037165D" w:rsidRPr="002866E5" w:rsidRDefault="0037165D" w:rsidP="00881943">
            <w:pPr>
              <w:ind w:right="-29"/>
              <w:jc w:val="center"/>
              <w:rPr>
                <w:noProof/>
                <w:sz w:val="18"/>
                <w:szCs w:val="18"/>
              </w:rPr>
            </w:pPr>
          </w:p>
        </w:tc>
        <w:tc>
          <w:tcPr>
            <w:tcW w:w="720" w:type="dxa"/>
            <w:tcBorders>
              <w:bottom w:val="single" w:sz="12" w:space="0" w:color="auto"/>
            </w:tcBorders>
          </w:tcPr>
          <w:p w14:paraId="67ED8B43" w14:textId="77777777" w:rsidR="0037165D" w:rsidRPr="002866E5" w:rsidRDefault="0037165D" w:rsidP="00881943">
            <w:pPr>
              <w:ind w:right="-29"/>
              <w:jc w:val="center"/>
              <w:rPr>
                <w:noProof/>
                <w:sz w:val="18"/>
                <w:szCs w:val="18"/>
              </w:rPr>
            </w:pPr>
          </w:p>
        </w:tc>
        <w:tc>
          <w:tcPr>
            <w:tcW w:w="540" w:type="dxa"/>
            <w:tcBorders>
              <w:bottom w:val="single" w:sz="12" w:space="0" w:color="auto"/>
            </w:tcBorders>
          </w:tcPr>
          <w:p w14:paraId="67ED8B44" w14:textId="77777777" w:rsidR="0037165D" w:rsidRPr="002866E5" w:rsidRDefault="0037165D" w:rsidP="00881943">
            <w:pPr>
              <w:ind w:right="-29"/>
              <w:jc w:val="center"/>
              <w:rPr>
                <w:noProof/>
                <w:sz w:val="18"/>
                <w:szCs w:val="18"/>
              </w:rPr>
            </w:pPr>
          </w:p>
        </w:tc>
        <w:tc>
          <w:tcPr>
            <w:tcW w:w="720" w:type="dxa"/>
            <w:tcBorders>
              <w:bottom w:val="single" w:sz="12" w:space="0" w:color="auto"/>
            </w:tcBorders>
          </w:tcPr>
          <w:p w14:paraId="67ED8B45" w14:textId="77777777" w:rsidR="0037165D" w:rsidRPr="002866E5" w:rsidRDefault="0037165D" w:rsidP="00881943">
            <w:pPr>
              <w:ind w:right="-29"/>
              <w:jc w:val="center"/>
              <w:rPr>
                <w:noProof/>
                <w:sz w:val="18"/>
                <w:szCs w:val="18"/>
              </w:rPr>
            </w:pPr>
          </w:p>
        </w:tc>
        <w:tc>
          <w:tcPr>
            <w:tcW w:w="720" w:type="dxa"/>
            <w:tcBorders>
              <w:bottom w:val="single" w:sz="12" w:space="0" w:color="auto"/>
            </w:tcBorders>
          </w:tcPr>
          <w:p w14:paraId="67ED8B46" w14:textId="77777777" w:rsidR="0037165D" w:rsidRPr="002866E5" w:rsidRDefault="0037165D" w:rsidP="00881943">
            <w:pPr>
              <w:ind w:right="-29"/>
              <w:jc w:val="center"/>
              <w:rPr>
                <w:noProof/>
                <w:sz w:val="18"/>
                <w:szCs w:val="18"/>
              </w:rPr>
            </w:pPr>
          </w:p>
        </w:tc>
        <w:tc>
          <w:tcPr>
            <w:tcW w:w="720" w:type="dxa"/>
            <w:tcBorders>
              <w:bottom w:val="single" w:sz="12" w:space="0" w:color="auto"/>
            </w:tcBorders>
          </w:tcPr>
          <w:p w14:paraId="67ED8B47" w14:textId="77777777" w:rsidR="0037165D" w:rsidRPr="002866E5" w:rsidRDefault="0037165D" w:rsidP="00881943">
            <w:pPr>
              <w:ind w:right="-29"/>
              <w:jc w:val="center"/>
              <w:rPr>
                <w:noProof/>
                <w:sz w:val="18"/>
                <w:szCs w:val="18"/>
              </w:rPr>
            </w:pPr>
          </w:p>
        </w:tc>
        <w:tc>
          <w:tcPr>
            <w:tcW w:w="900" w:type="dxa"/>
            <w:tcBorders>
              <w:bottom w:val="single" w:sz="12" w:space="0" w:color="auto"/>
            </w:tcBorders>
          </w:tcPr>
          <w:p w14:paraId="67ED8B48" w14:textId="77777777" w:rsidR="0037165D" w:rsidRPr="002866E5" w:rsidRDefault="0037165D" w:rsidP="00881943">
            <w:pPr>
              <w:ind w:right="-29"/>
              <w:jc w:val="center"/>
              <w:rPr>
                <w:noProof/>
                <w:sz w:val="18"/>
                <w:szCs w:val="18"/>
              </w:rPr>
            </w:pPr>
          </w:p>
        </w:tc>
        <w:tc>
          <w:tcPr>
            <w:tcW w:w="720" w:type="dxa"/>
            <w:gridSpan w:val="2"/>
            <w:tcBorders>
              <w:bottom w:val="single" w:sz="12" w:space="0" w:color="auto"/>
            </w:tcBorders>
          </w:tcPr>
          <w:p w14:paraId="67ED8B49" w14:textId="77777777" w:rsidR="0037165D" w:rsidRPr="002866E5" w:rsidRDefault="0037165D" w:rsidP="00881943">
            <w:pPr>
              <w:ind w:right="-29"/>
              <w:jc w:val="center"/>
              <w:rPr>
                <w:noProof/>
                <w:sz w:val="18"/>
                <w:szCs w:val="18"/>
              </w:rPr>
            </w:pPr>
          </w:p>
        </w:tc>
        <w:tc>
          <w:tcPr>
            <w:tcW w:w="540" w:type="dxa"/>
            <w:tcBorders>
              <w:bottom w:val="single" w:sz="12" w:space="0" w:color="auto"/>
            </w:tcBorders>
          </w:tcPr>
          <w:p w14:paraId="67ED8B4A" w14:textId="77777777" w:rsidR="0037165D" w:rsidRPr="002866E5" w:rsidRDefault="0037165D" w:rsidP="00881943">
            <w:pPr>
              <w:ind w:right="-29"/>
              <w:jc w:val="center"/>
              <w:rPr>
                <w:noProof/>
                <w:sz w:val="18"/>
                <w:szCs w:val="18"/>
              </w:rPr>
            </w:pPr>
          </w:p>
        </w:tc>
        <w:tc>
          <w:tcPr>
            <w:tcW w:w="648" w:type="dxa"/>
            <w:tcBorders>
              <w:bottom w:val="single" w:sz="12" w:space="0" w:color="auto"/>
            </w:tcBorders>
          </w:tcPr>
          <w:p w14:paraId="67ED8B4B" w14:textId="77777777" w:rsidR="0037165D" w:rsidRPr="002866E5" w:rsidRDefault="0037165D" w:rsidP="00881943">
            <w:pPr>
              <w:ind w:right="-29"/>
              <w:jc w:val="center"/>
              <w:rPr>
                <w:noProof/>
                <w:sz w:val="18"/>
                <w:szCs w:val="18"/>
              </w:rPr>
            </w:pPr>
          </w:p>
        </w:tc>
        <w:tc>
          <w:tcPr>
            <w:tcW w:w="432" w:type="dxa"/>
            <w:tcBorders>
              <w:bottom w:val="single" w:sz="12" w:space="0" w:color="auto"/>
            </w:tcBorders>
          </w:tcPr>
          <w:p w14:paraId="67ED8B4C" w14:textId="77777777" w:rsidR="0037165D" w:rsidRPr="002866E5" w:rsidRDefault="0037165D" w:rsidP="00881943">
            <w:pPr>
              <w:ind w:right="-29"/>
              <w:jc w:val="center"/>
              <w:rPr>
                <w:noProof/>
                <w:sz w:val="18"/>
                <w:szCs w:val="18"/>
              </w:rPr>
            </w:pPr>
          </w:p>
        </w:tc>
        <w:tc>
          <w:tcPr>
            <w:tcW w:w="720" w:type="dxa"/>
            <w:tcBorders>
              <w:bottom w:val="single" w:sz="12" w:space="0" w:color="auto"/>
            </w:tcBorders>
          </w:tcPr>
          <w:p w14:paraId="67ED8B4D" w14:textId="77777777" w:rsidR="0037165D" w:rsidRPr="002866E5" w:rsidRDefault="0037165D" w:rsidP="00881943">
            <w:pPr>
              <w:ind w:right="-29"/>
              <w:jc w:val="center"/>
              <w:rPr>
                <w:noProof/>
                <w:sz w:val="18"/>
                <w:szCs w:val="18"/>
              </w:rPr>
            </w:pPr>
          </w:p>
        </w:tc>
        <w:tc>
          <w:tcPr>
            <w:tcW w:w="540" w:type="dxa"/>
            <w:tcBorders>
              <w:bottom w:val="single" w:sz="12" w:space="0" w:color="auto"/>
            </w:tcBorders>
          </w:tcPr>
          <w:p w14:paraId="67ED8B4E" w14:textId="77777777" w:rsidR="0037165D" w:rsidRPr="002866E5" w:rsidRDefault="0037165D" w:rsidP="00881943">
            <w:pPr>
              <w:ind w:right="-29"/>
              <w:jc w:val="center"/>
              <w:rPr>
                <w:noProof/>
                <w:sz w:val="18"/>
                <w:szCs w:val="18"/>
              </w:rPr>
            </w:pPr>
          </w:p>
        </w:tc>
        <w:tc>
          <w:tcPr>
            <w:tcW w:w="720" w:type="dxa"/>
            <w:tcBorders>
              <w:bottom w:val="single" w:sz="12" w:space="0" w:color="auto"/>
            </w:tcBorders>
          </w:tcPr>
          <w:p w14:paraId="67ED8B4F" w14:textId="77777777" w:rsidR="0037165D" w:rsidRPr="002866E5" w:rsidRDefault="0037165D" w:rsidP="00881943">
            <w:pPr>
              <w:ind w:right="-29"/>
              <w:jc w:val="center"/>
              <w:rPr>
                <w:noProof/>
                <w:sz w:val="18"/>
                <w:szCs w:val="18"/>
              </w:rPr>
            </w:pPr>
          </w:p>
        </w:tc>
        <w:tc>
          <w:tcPr>
            <w:tcW w:w="720" w:type="dxa"/>
            <w:tcBorders>
              <w:bottom w:val="single" w:sz="12" w:space="0" w:color="auto"/>
            </w:tcBorders>
          </w:tcPr>
          <w:p w14:paraId="67ED8B50" w14:textId="77777777" w:rsidR="0037165D" w:rsidRPr="002866E5" w:rsidRDefault="0037165D" w:rsidP="00881943">
            <w:pPr>
              <w:ind w:right="-29"/>
              <w:jc w:val="center"/>
              <w:rPr>
                <w:noProof/>
                <w:sz w:val="18"/>
                <w:szCs w:val="18"/>
              </w:rPr>
            </w:pPr>
          </w:p>
        </w:tc>
        <w:tc>
          <w:tcPr>
            <w:tcW w:w="900" w:type="dxa"/>
            <w:tcBorders>
              <w:bottom w:val="single" w:sz="12" w:space="0" w:color="auto"/>
            </w:tcBorders>
          </w:tcPr>
          <w:p w14:paraId="67ED8B51" w14:textId="77777777" w:rsidR="0037165D" w:rsidRPr="002866E5" w:rsidRDefault="0037165D" w:rsidP="00881943">
            <w:pPr>
              <w:ind w:right="-29"/>
              <w:jc w:val="center"/>
              <w:rPr>
                <w:noProof/>
                <w:sz w:val="18"/>
                <w:szCs w:val="18"/>
              </w:rPr>
            </w:pPr>
          </w:p>
        </w:tc>
      </w:tr>
      <w:tr w:rsidR="0037165D" w:rsidRPr="002866E5" w14:paraId="67ED8B64" w14:textId="77777777" w:rsidTr="00881943">
        <w:trPr>
          <w:jc w:val="center"/>
        </w:trPr>
        <w:tc>
          <w:tcPr>
            <w:tcW w:w="2844" w:type="dxa"/>
            <w:gridSpan w:val="3"/>
            <w:vAlign w:val="center"/>
          </w:tcPr>
          <w:p w14:paraId="67ED8B53" w14:textId="65AF1C56" w:rsidR="0037165D" w:rsidRPr="002866E5" w:rsidRDefault="0037165D" w:rsidP="00881943">
            <w:pPr>
              <w:spacing w:before="60" w:after="60"/>
              <w:ind w:right="-29"/>
              <w:jc w:val="center"/>
              <w:rPr>
                <w:noProof/>
                <w:sz w:val="18"/>
                <w:szCs w:val="18"/>
              </w:rPr>
            </w:pPr>
            <w:r w:rsidRPr="002866E5">
              <w:rPr>
                <w:noProof/>
                <w:sz w:val="18"/>
              </w:rPr>
              <w:t xml:space="preserve">CEL SZCZEGÓŁOWY </w:t>
            </w:r>
            <w:r w:rsidRPr="008B35E8">
              <w:rPr>
                <w:noProof/>
                <w:sz w:val="18"/>
              </w:rPr>
              <w:t>nr</w:t>
            </w:r>
            <w:r w:rsidR="008B35E8" w:rsidRPr="008B35E8">
              <w:rPr>
                <w:noProof/>
                <w:sz w:val="18"/>
              </w:rPr>
              <w:t> </w:t>
            </w:r>
            <w:r w:rsidRPr="008B35E8">
              <w:rPr>
                <w:noProof/>
                <w:sz w:val="18"/>
              </w:rPr>
              <w:t>2</w:t>
            </w:r>
            <w:r w:rsidRPr="002866E5">
              <w:rPr>
                <w:noProof/>
                <w:sz w:val="18"/>
              </w:rPr>
              <w:t xml:space="preserve"> ...</w:t>
            </w:r>
          </w:p>
        </w:tc>
        <w:tc>
          <w:tcPr>
            <w:tcW w:w="504" w:type="dxa"/>
            <w:tcBorders>
              <w:top w:val="nil"/>
              <w:left w:val="nil"/>
              <w:bottom w:val="nil"/>
              <w:right w:val="nil"/>
            </w:tcBorders>
          </w:tcPr>
          <w:p w14:paraId="67ED8B54" w14:textId="77777777" w:rsidR="0037165D" w:rsidRPr="002866E5" w:rsidRDefault="0037165D" w:rsidP="00881943">
            <w:pPr>
              <w:spacing w:before="60" w:after="60"/>
              <w:ind w:right="-29"/>
              <w:jc w:val="center"/>
              <w:rPr>
                <w:noProof/>
                <w:sz w:val="18"/>
                <w:szCs w:val="18"/>
              </w:rPr>
            </w:pPr>
          </w:p>
        </w:tc>
        <w:tc>
          <w:tcPr>
            <w:tcW w:w="720" w:type="dxa"/>
            <w:tcBorders>
              <w:top w:val="nil"/>
              <w:left w:val="nil"/>
              <w:bottom w:val="nil"/>
              <w:right w:val="nil"/>
            </w:tcBorders>
          </w:tcPr>
          <w:p w14:paraId="67ED8B55" w14:textId="77777777" w:rsidR="0037165D" w:rsidRPr="002866E5" w:rsidRDefault="0037165D" w:rsidP="00881943">
            <w:pPr>
              <w:spacing w:before="60" w:after="60"/>
              <w:ind w:right="-29"/>
              <w:jc w:val="center"/>
              <w:rPr>
                <w:noProof/>
                <w:sz w:val="18"/>
                <w:szCs w:val="18"/>
              </w:rPr>
            </w:pPr>
          </w:p>
        </w:tc>
        <w:tc>
          <w:tcPr>
            <w:tcW w:w="540" w:type="dxa"/>
            <w:tcBorders>
              <w:top w:val="nil"/>
              <w:left w:val="nil"/>
              <w:bottom w:val="nil"/>
              <w:right w:val="nil"/>
            </w:tcBorders>
          </w:tcPr>
          <w:p w14:paraId="67ED8B56" w14:textId="77777777" w:rsidR="0037165D" w:rsidRPr="002866E5" w:rsidRDefault="0037165D" w:rsidP="00881943">
            <w:pPr>
              <w:spacing w:before="60" w:after="60"/>
              <w:ind w:right="-29"/>
              <w:jc w:val="center"/>
              <w:rPr>
                <w:noProof/>
                <w:sz w:val="18"/>
                <w:szCs w:val="18"/>
              </w:rPr>
            </w:pPr>
          </w:p>
        </w:tc>
        <w:tc>
          <w:tcPr>
            <w:tcW w:w="720" w:type="dxa"/>
            <w:tcBorders>
              <w:top w:val="nil"/>
              <w:left w:val="nil"/>
              <w:bottom w:val="nil"/>
              <w:right w:val="nil"/>
            </w:tcBorders>
          </w:tcPr>
          <w:p w14:paraId="67ED8B57" w14:textId="77777777" w:rsidR="0037165D" w:rsidRPr="002866E5" w:rsidRDefault="0037165D" w:rsidP="00881943">
            <w:pPr>
              <w:spacing w:before="60" w:after="60"/>
              <w:ind w:right="-29"/>
              <w:jc w:val="center"/>
              <w:rPr>
                <w:noProof/>
                <w:sz w:val="18"/>
                <w:szCs w:val="18"/>
              </w:rPr>
            </w:pPr>
          </w:p>
        </w:tc>
        <w:tc>
          <w:tcPr>
            <w:tcW w:w="720" w:type="dxa"/>
            <w:tcBorders>
              <w:top w:val="nil"/>
              <w:left w:val="nil"/>
              <w:bottom w:val="nil"/>
              <w:right w:val="nil"/>
            </w:tcBorders>
          </w:tcPr>
          <w:p w14:paraId="67ED8B58" w14:textId="77777777" w:rsidR="0037165D" w:rsidRPr="002866E5" w:rsidRDefault="0037165D" w:rsidP="00881943">
            <w:pPr>
              <w:spacing w:before="60" w:after="60"/>
              <w:ind w:right="-29"/>
              <w:jc w:val="center"/>
              <w:rPr>
                <w:noProof/>
                <w:sz w:val="18"/>
                <w:szCs w:val="18"/>
              </w:rPr>
            </w:pPr>
          </w:p>
        </w:tc>
        <w:tc>
          <w:tcPr>
            <w:tcW w:w="720" w:type="dxa"/>
            <w:tcBorders>
              <w:top w:val="nil"/>
              <w:left w:val="nil"/>
              <w:bottom w:val="nil"/>
              <w:right w:val="nil"/>
            </w:tcBorders>
          </w:tcPr>
          <w:p w14:paraId="67ED8B59" w14:textId="77777777" w:rsidR="0037165D" w:rsidRPr="002866E5" w:rsidRDefault="0037165D" w:rsidP="00881943">
            <w:pPr>
              <w:spacing w:before="60" w:after="60"/>
              <w:ind w:right="-29"/>
              <w:jc w:val="center"/>
              <w:rPr>
                <w:noProof/>
                <w:sz w:val="18"/>
                <w:szCs w:val="18"/>
              </w:rPr>
            </w:pPr>
          </w:p>
        </w:tc>
        <w:tc>
          <w:tcPr>
            <w:tcW w:w="900" w:type="dxa"/>
            <w:tcBorders>
              <w:top w:val="nil"/>
              <w:left w:val="nil"/>
              <w:bottom w:val="nil"/>
              <w:right w:val="nil"/>
            </w:tcBorders>
          </w:tcPr>
          <w:p w14:paraId="67ED8B5A" w14:textId="77777777" w:rsidR="0037165D" w:rsidRPr="002866E5" w:rsidRDefault="0037165D" w:rsidP="00881943">
            <w:pPr>
              <w:spacing w:before="60" w:after="60"/>
              <w:ind w:right="-29"/>
              <w:jc w:val="center"/>
              <w:rPr>
                <w:noProof/>
                <w:sz w:val="18"/>
                <w:szCs w:val="18"/>
              </w:rPr>
            </w:pPr>
          </w:p>
        </w:tc>
        <w:tc>
          <w:tcPr>
            <w:tcW w:w="720" w:type="dxa"/>
            <w:gridSpan w:val="2"/>
            <w:tcBorders>
              <w:top w:val="nil"/>
              <w:left w:val="nil"/>
              <w:bottom w:val="nil"/>
              <w:right w:val="nil"/>
            </w:tcBorders>
          </w:tcPr>
          <w:p w14:paraId="67ED8B5B" w14:textId="77777777" w:rsidR="0037165D" w:rsidRPr="002866E5" w:rsidRDefault="0037165D" w:rsidP="00881943">
            <w:pPr>
              <w:spacing w:before="60" w:after="60"/>
              <w:ind w:right="-29"/>
              <w:jc w:val="center"/>
              <w:rPr>
                <w:noProof/>
                <w:sz w:val="18"/>
                <w:szCs w:val="18"/>
              </w:rPr>
            </w:pPr>
          </w:p>
        </w:tc>
        <w:tc>
          <w:tcPr>
            <w:tcW w:w="540" w:type="dxa"/>
            <w:tcBorders>
              <w:top w:val="nil"/>
              <w:left w:val="nil"/>
              <w:bottom w:val="nil"/>
              <w:right w:val="nil"/>
            </w:tcBorders>
          </w:tcPr>
          <w:p w14:paraId="67ED8B5C" w14:textId="77777777" w:rsidR="0037165D" w:rsidRPr="002866E5" w:rsidRDefault="0037165D" w:rsidP="00881943">
            <w:pPr>
              <w:spacing w:before="60" w:after="60"/>
              <w:ind w:right="-29"/>
              <w:jc w:val="center"/>
              <w:rPr>
                <w:noProof/>
                <w:sz w:val="18"/>
                <w:szCs w:val="18"/>
              </w:rPr>
            </w:pPr>
          </w:p>
        </w:tc>
        <w:tc>
          <w:tcPr>
            <w:tcW w:w="648" w:type="dxa"/>
            <w:tcBorders>
              <w:top w:val="nil"/>
              <w:left w:val="nil"/>
              <w:bottom w:val="nil"/>
              <w:right w:val="nil"/>
            </w:tcBorders>
          </w:tcPr>
          <w:p w14:paraId="67ED8B5D" w14:textId="77777777" w:rsidR="0037165D" w:rsidRPr="002866E5" w:rsidRDefault="0037165D" w:rsidP="00881943">
            <w:pPr>
              <w:spacing w:before="60" w:after="60"/>
              <w:ind w:right="-29"/>
              <w:jc w:val="center"/>
              <w:rPr>
                <w:noProof/>
                <w:sz w:val="18"/>
                <w:szCs w:val="18"/>
              </w:rPr>
            </w:pPr>
          </w:p>
        </w:tc>
        <w:tc>
          <w:tcPr>
            <w:tcW w:w="432" w:type="dxa"/>
            <w:tcBorders>
              <w:top w:val="nil"/>
              <w:left w:val="nil"/>
              <w:bottom w:val="nil"/>
              <w:right w:val="nil"/>
            </w:tcBorders>
          </w:tcPr>
          <w:p w14:paraId="67ED8B5E" w14:textId="77777777" w:rsidR="0037165D" w:rsidRPr="002866E5" w:rsidRDefault="0037165D" w:rsidP="00881943">
            <w:pPr>
              <w:spacing w:before="60" w:after="60"/>
              <w:ind w:right="-29"/>
              <w:jc w:val="center"/>
              <w:rPr>
                <w:noProof/>
                <w:sz w:val="18"/>
                <w:szCs w:val="18"/>
              </w:rPr>
            </w:pPr>
          </w:p>
        </w:tc>
        <w:tc>
          <w:tcPr>
            <w:tcW w:w="720" w:type="dxa"/>
            <w:tcBorders>
              <w:top w:val="nil"/>
              <w:left w:val="nil"/>
              <w:bottom w:val="nil"/>
              <w:right w:val="nil"/>
            </w:tcBorders>
          </w:tcPr>
          <w:p w14:paraId="67ED8B5F" w14:textId="77777777" w:rsidR="0037165D" w:rsidRPr="002866E5" w:rsidRDefault="0037165D" w:rsidP="00881943">
            <w:pPr>
              <w:spacing w:before="60" w:after="60"/>
              <w:ind w:right="-29"/>
              <w:jc w:val="center"/>
              <w:rPr>
                <w:noProof/>
                <w:sz w:val="18"/>
                <w:szCs w:val="18"/>
              </w:rPr>
            </w:pPr>
          </w:p>
        </w:tc>
        <w:tc>
          <w:tcPr>
            <w:tcW w:w="540" w:type="dxa"/>
            <w:tcBorders>
              <w:top w:val="nil"/>
              <w:left w:val="nil"/>
              <w:bottom w:val="nil"/>
              <w:right w:val="nil"/>
            </w:tcBorders>
          </w:tcPr>
          <w:p w14:paraId="67ED8B60" w14:textId="77777777" w:rsidR="0037165D" w:rsidRPr="002866E5" w:rsidRDefault="0037165D" w:rsidP="00881943">
            <w:pPr>
              <w:spacing w:before="60" w:after="60"/>
              <w:ind w:right="-29"/>
              <w:jc w:val="center"/>
              <w:rPr>
                <w:noProof/>
                <w:sz w:val="18"/>
                <w:szCs w:val="18"/>
              </w:rPr>
            </w:pPr>
          </w:p>
        </w:tc>
        <w:tc>
          <w:tcPr>
            <w:tcW w:w="720" w:type="dxa"/>
            <w:tcBorders>
              <w:top w:val="nil"/>
              <w:left w:val="nil"/>
              <w:bottom w:val="nil"/>
              <w:right w:val="nil"/>
            </w:tcBorders>
          </w:tcPr>
          <w:p w14:paraId="67ED8B61" w14:textId="77777777" w:rsidR="0037165D" w:rsidRPr="002866E5" w:rsidRDefault="0037165D" w:rsidP="00881943">
            <w:pPr>
              <w:spacing w:before="60" w:after="60"/>
              <w:ind w:right="-29"/>
              <w:jc w:val="center"/>
              <w:rPr>
                <w:noProof/>
                <w:sz w:val="18"/>
                <w:szCs w:val="18"/>
              </w:rPr>
            </w:pPr>
          </w:p>
        </w:tc>
        <w:tc>
          <w:tcPr>
            <w:tcW w:w="720" w:type="dxa"/>
            <w:tcBorders>
              <w:top w:val="nil"/>
              <w:left w:val="nil"/>
              <w:bottom w:val="nil"/>
              <w:right w:val="nil"/>
            </w:tcBorders>
          </w:tcPr>
          <w:p w14:paraId="67ED8B62" w14:textId="77777777" w:rsidR="0037165D" w:rsidRPr="002866E5" w:rsidRDefault="0037165D" w:rsidP="00881943">
            <w:pPr>
              <w:spacing w:before="60" w:after="60"/>
              <w:ind w:right="-29"/>
              <w:jc w:val="center"/>
              <w:rPr>
                <w:noProof/>
                <w:sz w:val="18"/>
                <w:szCs w:val="18"/>
              </w:rPr>
            </w:pPr>
          </w:p>
        </w:tc>
        <w:tc>
          <w:tcPr>
            <w:tcW w:w="900" w:type="dxa"/>
            <w:tcBorders>
              <w:top w:val="nil"/>
              <w:left w:val="nil"/>
              <w:bottom w:val="nil"/>
              <w:right w:val="nil"/>
            </w:tcBorders>
          </w:tcPr>
          <w:p w14:paraId="67ED8B63" w14:textId="77777777" w:rsidR="0037165D" w:rsidRPr="002866E5" w:rsidRDefault="0037165D" w:rsidP="00881943">
            <w:pPr>
              <w:spacing w:before="60" w:after="60"/>
              <w:ind w:right="-29"/>
              <w:jc w:val="center"/>
              <w:rPr>
                <w:noProof/>
                <w:sz w:val="18"/>
                <w:szCs w:val="18"/>
              </w:rPr>
            </w:pPr>
          </w:p>
        </w:tc>
      </w:tr>
      <w:tr w:rsidR="0037165D" w:rsidRPr="002866E5" w14:paraId="67ED8B78" w14:textId="77777777" w:rsidTr="00881943">
        <w:trPr>
          <w:trHeight w:hRule="exact" w:val="369"/>
          <w:jc w:val="center"/>
        </w:trPr>
        <w:tc>
          <w:tcPr>
            <w:tcW w:w="1423" w:type="dxa"/>
          </w:tcPr>
          <w:p w14:paraId="67ED8B65" w14:textId="77777777" w:rsidR="0037165D" w:rsidRPr="002866E5" w:rsidRDefault="0037165D" w:rsidP="00881943">
            <w:pPr>
              <w:ind w:right="-29"/>
              <w:jc w:val="center"/>
              <w:rPr>
                <w:noProof/>
                <w:sz w:val="18"/>
                <w:szCs w:val="18"/>
              </w:rPr>
            </w:pPr>
            <w:r w:rsidRPr="002866E5">
              <w:rPr>
                <w:noProof/>
                <w:sz w:val="18"/>
              </w:rPr>
              <w:t>– Produkt</w:t>
            </w:r>
          </w:p>
        </w:tc>
        <w:tc>
          <w:tcPr>
            <w:tcW w:w="720" w:type="dxa"/>
          </w:tcPr>
          <w:p w14:paraId="67ED8B66" w14:textId="77777777" w:rsidR="0037165D" w:rsidRPr="002866E5" w:rsidRDefault="0037165D" w:rsidP="00881943">
            <w:pPr>
              <w:ind w:right="-29"/>
              <w:jc w:val="center"/>
              <w:rPr>
                <w:noProof/>
                <w:sz w:val="18"/>
                <w:szCs w:val="18"/>
              </w:rPr>
            </w:pPr>
          </w:p>
        </w:tc>
        <w:tc>
          <w:tcPr>
            <w:tcW w:w="701" w:type="dxa"/>
          </w:tcPr>
          <w:p w14:paraId="67ED8B67" w14:textId="77777777" w:rsidR="0037165D" w:rsidRPr="002866E5" w:rsidRDefault="0037165D" w:rsidP="00881943">
            <w:pPr>
              <w:ind w:right="-29"/>
              <w:jc w:val="center"/>
              <w:rPr>
                <w:noProof/>
                <w:sz w:val="18"/>
                <w:szCs w:val="18"/>
              </w:rPr>
            </w:pPr>
          </w:p>
        </w:tc>
        <w:tc>
          <w:tcPr>
            <w:tcW w:w="504" w:type="dxa"/>
          </w:tcPr>
          <w:p w14:paraId="67ED8B68" w14:textId="77777777" w:rsidR="0037165D" w:rsidRPr="002866E5" w:rsidRDefault="0037165D" w:rsidP="00881943">
            <w:pPr>
              <w:ind w:right="-29"/>
              <w:jc w:val="center"/>
              <w:rPr>
                <w:noProof/>
                <w:sz w:val="18"/>
                <w:szCs w:val="18"/>
              </w:rPr>
            </w:pPr>
          </w:p>
        </w:tc>
        <w:tc>
          <w:tcPr>
            <w:tcW w:w="720" w:type="dxa"/>
          </w:tcPr>
          <w:p w14:paraId="67ED8B69" w14:textId="77777777" w:rsidR="0037165D" w:rsidRPr="002866E5" w:rsidRDefault="0037165D" w:rsidP="00881943">
            <w:pPr>
              <w:ind w:right="-29"/>
              <w:jc w:val="center"/>
              <w:rPr>
                <w:noProof/>
                <w:sz w:val="18"/>
                <w:szCs w:val="18"/>
              </w:rPr>
            </w:pPr>
          </w:p>
        </w:tc>
        <w:tc>
          <w:tcPr>
            <w:tcW w:w="540" w:type="dxa"/>
          </w:tcPr>
          <w:p w14:paraId="67ED8B6A" w14:textId="77777777" w:rsidR="0037165D" w:rsidRPr="002866E5" w:rsidRDefault="0037165D" w:rsidP="00881943">
            <w:pPr>
              <w:ind w:right="-29"/>
              <w:jc w:val="center"/>
              <w:rPr>
                <w:noProof/>
                <w:sz w:val="18"/>
                <w:szCs w:val="18"/>
              </w:rPr>
            </w:pPr>
          </w:p>
        </w:tc>
        <w:tc>
          <w:tcPr>
            <w:tcW w:w="720" w:type="dxa"/>
          </w:tcPr>
          <w:p w14:paraId="67ED8B6B" w14:textId="77777777" w:rsidR="0037165D" w:rsidRPr="002866E5" w:rsidRDefault="0037165D" w:rsidP="00881943">
            <w:pPr>
              <w:ind w:right="-29"/>
              <w:jc w:val="center"/>
              <w:rPr>
                <w:noProof/>
                <w:sz w:val="18"/>
                <w:szCs w:val="18"/>
              </w:rPr>
            </w:pPr>
          </w:p>
        </w:tc>
        <w:tc>
          <w:tcPr>
            <w:tcW w:w="720" w:type="dxa"/>
          </w:tcPr>
          <w:p w14:paraId="67ED8B6C" w14:textId="77777777" w:rsidR="0037165D" w:rsidRPr="002866E5" w:rsidRDefault="0037165D" w:rsidP="00881943">
            <w:pPr>
              <w:ind w:right="-29"/>
              <w:jc w:val="center"/>
              <w:rPr>
                <w:noProof/>
                <w:sz w:val="18"/>
                <w:szCs w:val="18"/>
              </w:rPr>
            </w:pPr>
          </w:p>
        </w:tc>
        <w:tc>
          <w:tcPr>
            <w:tcW w:w="720" w:type="dxa"/>
          </w:tcPr>
          <w:p w14:paraId="67ED8B6D" w14:textId="77777777" w:rsidR="0037165D" w:rsidRPr="002866E5" w:rsidRDefault="0037165D" w:rsidP="00881943">
            <w:pPr>
              <w:ind w:right="-29"/>
              <w:jc w:val="center"/>
              <w:rPr>
                <w:noProof/>
                <w:sz w:val="18"/>
                <w:szCs w:val="18"/>
              </w:rPr>
            </w:pPr>
          </w:p>
        </w:tc>
        <w:tc>
          <w:tcPr>
            <w:tcW w:w="900" w:type="dxa"/>
          </w:tcPr>
          <w:p w14:paraId="67ED8B6E" w14:textId="77777777" w:rsidR="0037165D" w:rsidRPr="002866E5" w:rsidRDefault="0037165D" w:rsidP="00881943">
            <w:pPr>
              <w:ind w:right="-29"/>
              <w:jc w:val="center"/>
              <w:rPr>
                <w:noProof/>
                <w:sz w:val="18"/>
                <w:szCs w:val="18"/>
              </w:rPr>
            </w:pPr>
          </w:p>
        </w:tc>
        <w:tc>
          <w:tcPr>
            <w:tcW w:w="720" w:type="dxa"/>
            <w:gridSpan w:val="2"/>
          </w:tcPr>
          <w:p w14:paraId="67ED8B6F" w14:textId="77777777" w:rsidR="0037165D" w:rsidRPr="002866E5" w:rsidRDefault="0037165D" w:rsidP="00881943">
            <w:pPr>
              <w:ind w:right="-29"/>
              <w:jc w:val="center"/>
              <w:rPr>
                <w:noProof/>
                <w:sz w:val="18"/>
                <w:szCs w:val="18"/>
              </w:rPr>
            </w:pPr>
          </w:p>
        </w:tc>
        <w:tc>
          <w:tcPr>
            <w:tcW w:w="540" w:type="dxa"/>
          </w:tcPr>
          <w:p w14:paraId="67ED8B70" w14:textId="77777777" w:rsidR="0037165D" w:rsidRPr="002866E5" w:rsidRDefault="0037165D" w:rsidP="00881943">
            <w:pPr>
              <w:ind w:right="-29"/>
              <w:jc w:val="center"/>
              <w:rPr>
                <w:noProof/>
                <w:sz w:val="18"/>
                <w:szCs w:val="18"/>
              </w:rPr>
            </w:pPr>
          </w:p>
        </w:tc>
        <w:tc>
          <w:tcPr>
            <w:tcW w:w="648" w:type="dxa"/>
          </w:tcPr>
          <w:p w14:paraId="67ED8B71" w14:textId="77777777" w:rsidR="0037165D" w:rsidRPr="002866E5" w:rsidRDefault="0037165D" w:rsidP="00881943">
            <w:pPr>
              <w:ind w:right="-29"/>
              <w:jc w:val="center"/>
              <w:rPr>
                <w:noProof/>
                <w:sz w:val="18"/>
                <w:szCs w:val="18"/>
              </w:rPr>
            </w:pPr>
          </w:p>
        </w:tc>
        <w:tc>
          <w:tcPr>
            <w:tcW w:w="432" w:type="dxa"/>
          </w:tcPr>
          <w:p w14:paraId="67ED8B72" w14:textId="77777777" w:rsidR="0037165D" w:rsidRPr="002866E5" w:rsidRDefault="0037165D" w:rsidP="00881943">
            <w:pPr>
              <w:ind w:right="-29"/>
              <w:jc w:val="center"/>
              <w:rPr>
                <w:noProof/>
                <w:sz w:val="18"/>
                <w:szCs w:val="18"/>
              </w:rPr>
            </w:pPr>
          </w:p>
        </w:tc>
        <w:tc>
          <w:tcPr>
            <w:tcW w:w="720" w:type="dxa"/>
          </w:tcPr>
          <w:p w14:paraId="67ED8B73" w14:textId="77777777" w:rsidR="0037165D" w:rsidRPr="002866E5" w:rsidRDefault="0037165D" w:rsidP="00881943">
            <w:pPr>
              <w:ind w:right="-29"/>
              <w:jc w:val="center"/>
              <w:rPr>
                <w:noProof/>
                <w:sz w:val="18"/>
                <w:szCs w:val="18"/>
              </w:rPr>
            </w:pPr>
          </w:p>
        </w:tc>
        <w:tc>
          <w:tcPr>
            <w:tcW w:w="540" w:type="dxa"/>
          </w:tcPr>
          <w:p w14:paraId="67ED8B74" w14:textId="77777777" w:rsidR="0037165D" w:rsidRPr="002866E5" w:rsidRDefault="0037165D" w:rsidP="00881943">
            <w:pPr>
              <w:ind w:right="-29"/>
              <w:jc w:val="center"/>
              <w:rPr>
                <w:noProof/>
                <w:sz w:val="18"/>
                <w:szCs w:val="18"/>
              </w:rPr>
            </w:pPr>
          </w:p>
        </w:tc>
        <w:tc>
          <w:tcPr>
            <w:tcW w:w="720" w:type="dxa"/>
          </w:tcPr>
          <w:p w14:paraId="67ED8B75" w14:textId="77777777" w:rsidR="0037165D" w:rsidRPr="002866E5" w:rsidRDefault="0037165D" w:rsidP="00881943">
            <w:pPr>
              <w:ind w:right="-29"/>
              <w:jc w:val="center"/>
              <w:rPr>
                <w:noProof/>
                <w:sz w:val="18"/>
                <w:szCs w:val="18"/>
              </w:rPr>
            </w:pPr>
          </w:p>
        </w:tc>
        <w:tc>
          <w:tcPr>
            <w:tcW w:w="720" w:type="dxa"/>
          </w:tcPr>
          <w:p w14:paraId="67ED8B76" w14:textId="77777777" w:rsidR="0037165D" w:rsidRPr="002866E5" w:rsidRDefault="0037165D" w:rsidP="00881943">
            <w:pPr>
              <w:ind w:right="-29"/>
              <w:jc w:val="center"/>
              <w:rPr>
                <w:noProof/>
                <w:sz w:val="18"/>
                <w:szCs w:val="18"/>
              </w:rPr>
            </w:pPr>
          </w:p>
        </w:tc>
        <w:tc>
          <w:tcPr>
            <w:tcW w:w="900" w:type="dxa"/>
          </w:tcPr>
          <w:p w14:paraId="67ED8B77" w14:textId="77777777" w:rsidR="0037165D" w:rsidRPr="002866E5" w:rsidRDefault="0037165D" w:rsidP="00881943">
            <w:pPr>
              <w:ind w:right="-29"/>
              <w:jc w:val="center"/>
              <w:rPr>
                <w:noProof/>
                <w:sz w:val="18"/>
                <w:szCs w:val="18"/>
              </w:rPr>
            </w:pPr>
          </w:p>
        </w:tc>
      </w:tr>
      <w:tr w:rsidR="0037165D" w:rsidRPr="002866E5" w14:paraId="67ED8B8A" w14:textId="77777777" w:rsidTr="00881943">
        <w:trPr>
          <w:jc w:val="center"/>
        </w:trPr>
        <w:tc>
          <w:tcPr>
            <w:tcW w:w="2844" w:type="dxa"/>
            <w:gridSpan w:val="3"/>
            <w:tcBorders>
              <w:bottom w:val="single" w:sz="12" w:space="0" w:color="auto"/>
            </w:tcBorders>
            <w:vAlign w:val="center"/>
          </w:tcPr>
          <w:p w14:paraId="67ED8B79" w14:textId="4C523D3F" w:rsidR="0037165D" w:rsidRPr="002866E5" w:rsidRDefault="0037165D" w:rsidP="00881943">
            <w:pPr>
              <w:jc w:val="center"/>
              <w:rPr>
                <w:noProof/>
                <w:sz w:val="18"/>
                <w:szCs w:val="18"/>
              </w:rPr>
            </w:pPr>
            <w:r w:rsidRPr="002866E5">
              <w:rPr>
                <w:noProof/>
                <w:sz w:val="18"/>
              </w:rPr>
              <w:t xml:space="preserve">Cel szczegółowy </w:t>
            </w:r>
            <w:r w:rsidRPr="008B35E8">
              <w:rPr>
                <w:noProof/>
                <w:sz w:val="18"/>
              </w:rPr>
              <w:t>nr</w:t>
            </w:r>
            <w:r w:rsidR="008B35E8" w:rsidRPr="008B35E8">
              <w:rPr>
                <w:noProof/>
                <w:sz w:val="18"/>
              </w:rPr>
              <w:t> </w:t>
            </w:r>
            <w:r w:rsidRPr="008B35E8">
              <w:rPr>
                <w:noProof/>
                <w:sz w:val="18"/>
              </w:rPr>
              <w:t>2</w:t>
            </w:r>
            <w:r w:rsidRPr="002866E5">
              <w:rPr>
                <w:noProof/>
                <w:sz w:val="18"/>
              </w:rPr>
              <w:t xml:space="preserve"> – suma cząstkowa</w:t>
            </w:r>
          </w:p>
        </w:tc>
        <w:tc>
          <w:tcPr>
            <w:tcW w:w="504" w:type="dxa"/>
            <w:tcBorders>
              <w:bottom w:val="single" w:sz="12" w:space="0" w:color="auto"/>
            </w:tcBorders>
          </w:tcPr>
          <w:p w14:paraId="67ED8B7A" w14:textId="77777777" w:rsidR="0037165D" w:rsidRPr="002866E5" w:rsidRDefault="0037165D" w:rsidP="00881943">
            <w:pPr>
              <w:ind w:right="-29"/>
              <w:jc w:val="center"/>
              <w:rPr>
                <w:noProof/>
                <w:sz w:val="18"/>
                <w:szCs w:val="18"/>
              </w:rPr>
            </w:pPr>
          </w:p>
        </w:tc>
        <w:tc>
          <w:tcPr>
            <w:tcW w:w="720" w:type="dxa"/>
            <w:tcBorders>
              <w:bottom w:val="single" w:sz="12" w:space="0" w:color="auto"/>
            </w:tcBorders>
          </w:tcPr>
          <w:p w14:paraId="67ED8B7B" w14:textId="77777777" w:rsidR="0037165D" w:rsidRPr="002866E5" w:rsidRDefault="0037165D" w:rsidP="00881943">
            <w:pPr>
              <w:ind w:right="-29"/>
              <w:jc w:val="center"/>
              <w:rPr>
                <w:noProof/>
                <w:sz w:val="18"/>
                <w:szCs w:val="18"/>
              </w:rPr>
            </w:pPr>
          </w:p>
        </w:tc>
        <w:tc>
          <w:tcPr>
            <w:tcW w:w="540" w:type="dxa"/>
            <w:tcBorders>
              <w:bottom w:val="single" w:sz="12" w:space="0" w:color="auto"/>
            </w:tcBorders>
          </w:tcPr>
          <w:p w14:paraId="67ED8B7C" w14:textId="77777777" w:rsidR="0037165D" w:rsidRPr="002866E5" w:rsidRDefault="0037165D" w:rsidP="00881943">
            <w:pPr>
              <w:ind w:right="-29"/>
              <w:jc w:val="center"/>
              <w:rPr>
                <w:noProof/>
                <w:sz w:val="18"/>
                <w:szCs w:val="18"/>
              </w:rPr>
            </w:pPr>
          </w:p>
        </w:tc>
        <w:tc>
          <w:tcPr>
            <w:tcW w:w="720" w:type="dxa"/>
            <w:tcBorders>
              <w:bottom w:val="single" w:sz="12" w:space="0" w:color="auto"/>
            </w:tcBorders>
          </w:tcPr>
          <w:p w14:paraId="67ED8B7D" w14:textId="77777777" w:rsidR="0037165D" w:rsidRPr="002866E5" w:rsidRDefault="0037165D" w:rsidP="00881943">
            <w:pPr>
              <w:ind w:right="-29"/>
              <w:jc w:val="center"/>
              <w:rPr>
                <w:noProof/>
                <w:sz w:val="18"/>
                <w:szCs w:val="18"/>
              </w:rPr>
            </w:pPr>
          </w:p>
        </w:tc>
        <w:tc>
          <w:tcPr>
            <w:tcW w:w="720" w:type="dxa"/>
            <w:tcBorders>
              <w:bottom w:val="single" w:sz="12" w:space="0" w:color="auto"/>
            </w:tcBorders>
          </w:tcPr>
          <w:p w14:paraId="67ED8B7E" w14:textId="77777777" w:rsidR="0037165D" w:rsidRPr="002866E5" w:rsidRDefault="0037165D" w:rsidP="00881943">
            <w:pPr>
              <w:ind w:right="-29"/>
              <w:jc w:val="center"/>
              <w:rPr>
                <w:noProof/>
                <w:sz w:val="18"/>
                <w:szCs w:val="18"/>
              </w:rPr>
            </w:pPr>
          </w:p>
        </w:tc>
        <w:tc>
          <w:tcPr>
            <w:tcW w:w="720" w:type="dxa"/>
            <w:tcBorders>
              <w:bottom w:val="single" w:sz="12" w:space="0" w:color="auto"/>
            </w:tcBorders>
          </w:tcPr>
          <w:p w14:paraId="67ED8B7F" w14:textId="77777777" w:rsidR="0037165D" w:rsidRPr="002866E5" w:rsidRDefault="0037165D" w:rsidP="00881943">
            <w:pPr>
              <w:ind w:right="-29"/>
              <w:jc w:val="center"/>
              <w:rPr>
                <w:noProof/>
                <w:sz w:val="18"/>
                <w:szCs w:val="18"/>
              </w:rPr>
            </w:pPr>
          </w:p>
        </w:tc>
        <w:tc>
          <w:tcPr>
            <w:tcW w:w="951" w:type="dxa"/>
            <w:gridSpan w:val="2"/>
            <w:tcBorders>
              <w:bottom w:val="single" w:sz="12" w:space="0" w:color="auto"/>
            </w:tcBorders>
          </w:tcPr>
          <w:p w14:paraId="67ED8B80" w14:textId="77777777" w:rsidR="0037165D" w:rsidRPr="002866E5" w:rsidRDefault="0037165D" w:rsidP="00881943">
            <w:pPr>
              <w:ind w:right="-29"/>
              <w:jc w:val="center"/>
              <w:rPr>
                <w:noProof/>
                <w:sz w:val="18"/>
                <w:szCs w:val="18"/>
              </w:rPr>
            </w:pPr>
          </w:p>
        </w:tc>
        <w:tc>
          <w:tcPr>
            <w:tcW w:w="669" w:type="dxa"/>
            <w:tcBorders>
              <w:bottom w:val="single" w:sz="12" w:space="0" w:color="auto"/>
            </w:tcBorders>
          </w:tcPr>
          <w:p w14:paraId="67ED8B81" w14:textId="77777777" w:rsidR="0037165D" w:rsidRPr="002866E5" w:rsidRDefault="0037165D" w:rsidP="00881943">
            <w:pPr>
              <w:ind w:right="-29"/>
              <w:jc w:val="center"/>
              <w:rPr>
                <w:noProof/>
                <w:sz w:val="18"/>
                <w:szCs w:val="18"/>
              </w:rPr>
            </w:pPr>
          </w:p>
        </w:tc>
        <w:tc>
          <w:tcPr>
            <w:tcW w:w="540" w:type="dxa"/>
            <w:tcBorders>
              <w:bottom w:val="single" w:sz="12" w:space="0" w:color="auto"/>
            </w:tcBorders>
          </w:tcPr>
          <w:p w14:paraId="67ED8B82" w14:textId="77777777" w:rsidR="0037165D" w:rsidRPr="002866E5" w:rsidRDefault="0037165D" w:rsidP="00881943">
            <w:pPr>
              <w:ind w:right="-29"/>
              <w:jc w:val="center"/>
              <w:rPr>
                <w:noProof/>
                <w:sz w:val="18"/>
                <w:szCs w:val="18"/>
              </w:rPr>
            </w:pPr>
          </w:p>
        </w:tc>
        <w:tc>
          <w:tcPr>
            <w:tcW w:w="648" w:type="dxa"/>
            <w:tcBorders>
              <w:bottom w:val="single" w:sz="12" w:space="0" w:color="auto"/>
            </w:tcBorders>
          </w:tcPr>
          <w:p w14:paraId="67ED8B83" w14:textId="77777777" w:rsidR="0037165D" w:rsidRPr="002866E5" w:rsidRDefault="0037165D" w:rsidP="00881943">
            <w:pPr>
              <w:ind w:right="-29"/>
              <w:jc w:val="center"/>
              <w:rPr>
                <w:noProof/>
                <w:sz w:val="18"/>
                <w:szCs w:val="18"/>
              </w:rPr>
            </w:pPr>
          </w:p>
        </w:tc>
        <w:tc>
          <w:tcPr>
            <w:tcW w:w="432" w:type="dxa"/>
            <w:tcBorders>
              <w:bottom w:val="single" w:sz="12" w:space="0" w:color="auto"/>
            </w:tcBorders>
          </w:tcPr>
          <w:p w14:paraId="67ED8B84" w14:textId="77777777" w:rsidR="0037165D" w:rsidRPr="002866E5" w:rsidRDefault="0037165D" w:rsidP="00881943">
            <w:pPr>
              <w:ind w:right="-29"/>
              <w:jc w:val="center"/>
              <w:rPr>
                <w:noProof/>
                <w:sz w:val="18"/>
                <w:szCs w:val="18"/>
              </w:rPr>
            </w:pPr>
          </w:p>
        </w:tc>
        <w:tc>
          <w:tcPr>
            <w:tcW w:w="720" w:type="dxa"/>
            <w:tcBorders>
              <w:bottom w:val="single" w:sz="12" w:space="0" w:color="auto"/>
            </w:tcBorders>
          </w:tcPr>
          <w:p w14:paraId="67ED8B85" w14:textId="77777777" w:rsidR="0037165D" w:rsidRPr="002866E5" w:rsidRDefault="0037165D" w:rsidP="00881943">
            <w:pPr>
              <w:ind w:right="-29"/>
              <w:jc w:val="center"/>
              <w:rPr>
                <w:noProof/>
                <w:sz w:val="18"/>
                <w:szCs w:val="18"/>
              </w:rPr>
            </w:pPr>
          </w:p>
        </w:tc>
        <w:tc>
          <w:tcPr>
            <w:tcW w:w="540" w:type="dxa"/>
            <w:tcBorders>
              <w:bottom w:val="single" w:sz="12" w:space="0" w:color="auto"/>
            </w:tcBorders>
          </w:tcPr>
          <w:p w14:paraId="67ED8B86" w14:textId="77777777" w:rsidR="0037165D" w:rsidRPr="002866E5" w:rsidRDefault="0037165D" w:rsidP="00881943">
            <w:pPr>
              <w:ind w:right="-29"/>
              <w:jc w:val="center"/>
              <w:rPr>
                <w:noProof/>
                <w:sz w:val="18"/>
                <w:szCs w:val="18"/>
              </w:rPr>
            </w:pPr>
          </w:p>
        </w:tc>
        <w:tc>
          <w:tcPr>
            <w:tcW w:w="720" w:type="dxa"/>
            <w:tcBorders>
              <w:bottom w:val="single" w:sz="12" w:space="0" w:color="auto"/>
            </w:tcBorders>
          </w:tcPr>
          <w:p w14:paraId="67ED8B87" w14:textId="77777777" w:rsidR="0037165D" w:rsidRPr="002866E5" w:rsidRDefault="0037165D" w:rsidP="00881943">
            <w:pPr>
              <w:ind w:right="-29"/>
              <w:jc w:val="center"/>
              <w:rPr>
                <w:noProof/>
                <w:sz w:val="18"/>
                <w:szCs w:val="18"/>
              </w:rPr>
            </w:pPr>
          </w:p>
        </w:tc>
        <w:tc>
          <w:tcPr>
            <w:tcW w:w="720" w:type="dxa"/>
            <w:tcBorders>
              <w:bottom w:val="single" w:sz="12" w:space="0" w:color="auto"/>
            </w:tcBorders>
          </w:tcPr>
          <w:p w14:paraId="67ED8B88" w14:textId="77777777" w:rsidR="0037165D" w:rsidRPr="002866E5" w:rsidRDefault="0037165D" w:rsidP="00881943">
            <w:pPr>
              <w:ind w:right="-29"/>
              <w:jc w:val="center"/>
              <w:rPr>
                <w:noProof/>
                <w:sz w:val="18"/>
                <w:szCs w:val="18"/>
              </w:rPr>
            </w:pPr>
          </w:p>
        </w:tc>
        <w:tc>
          <w:tcPr>
            <w:tcW w:w="900" w:type="dxa"/>
            <w:tcBorders>
              <w:bottom w:val="single" w:sz="12" w:space="0" w:color="auto"/>
            </w:tcBorders>
          </w:tcPr>
          <w:p w14:paraId="67ED8B89" w14:textId="77777777" w:rsidR="0037165D" w:rsidRPr="002866E5" w:rsidRDefault="0037165D" w:rsidP="00881943">
            <w:pPr>
              <w:ind w:right="-29"/>
              <w:jc w:val="center"/>
              <w:rPr>
                <w:noProof/>
                <w:sz w:val="18"/>
                <w:szCs w:val="18"/>
              </w:rPr>
            </w:pPr>
          </w:p>
        </w:tc>
      </w:tr>
      <w:tr w:rsidR="0037165D" w:rsidRPr="002866E5" w14:paraId="67ED8B9C" w14:textId="77777777" w:rsidTr="00881943">
        <w:trPr>
          <w:jc w:val="center"/>
        </w:trPr>
        <w:tc>
          <w:tcPr>
            <w:tcW w:w="2844" w:type="dxa"/>
            <w:gridSpan w:val="3"/>
            <w:tcBorders>
              <w:top w:val="single" w:sz="12" w:space="0" w:color="auto"/>
              <w:left w:val="single" w:sz="12" w:space="0" w:color="auto"/>
              <w:bottom w:val="single" w:sz="12" w:space="0" w:color="auto"/>
            </w:tcBorders>
            <w:vAlign w:val="center"/>
          </w:tcPr>
          <w:p w14:paraId="67ED8B8B" w14:textId="77777777" w:rsidR="0037165D" w:rsidRPr="002866E5" w:rsidRDefault="0037165D" w:rsidP="00881943">
            <w:pPr>
              <w:ind w:right="-29"/>
              <w:jc w:val="center"/>
              <w:rPr>
                <w:noProof/>
                <w:sz w:val="18"/>
                <w:szCs w:val="18"/>
              </w:rPr>
            </w:pPr>
            <w:r w:rsidRPr="002866E5">
              <w:rPr>
                <w:b/>
                <w:noProof/>
                <w:sz w:val="18"/>
              </w:rPr>
              <w:t>OGÓŁEM</w:t>
            </w:r>
          </w:p>
        </w:tc>
        <w:tc>
          <w:tcPr>
            <w:tcW w:w="504" w:type="dxa"/>
            <w:tcBorders>
              <w:top w:val="single" w:sz="12" w:space="0" w:color="auto"/>
              <w:bottom w:val="single" w:sz="12" w:space="0" w:color="auto"/>
            </w:tcBorders>
          </w:tcPr>
          <w:p w14:paraId="67ED8B8C" w14:textId="77777777" w:rsidR="0037165D" w:rsidRPr="002866E5" w:rsidRDefault="0037165D" w:rsidP="00881943">
            <w:pPr>
              <w:spacing w:before="180" w:after="180"/>
              <w:ind w:right="-29"/>
              <w:jc w:val="center"/>
              <w:rPr>
                <w:noProof/>
                <w:sz w:val="18"/>
                <w:szCs w:val="18"/>
              </w:rPr>
            </w:pPr>
          </w:p>
        </w:tc>
        <w:tc>
          <w:tcPr>
            <w:tcW w:w="720" w:type="dxa"/>
            <w:tcBorders>
              <w:top w:val="single" w:sz="12" w:space="0" w:color="auto"/>
              <w:bottom w:val="single" w:sz="12" w:space="0" w:color="auto"/>
            </w:tcBorders>
          </w:tcPr>
          <w:p w14:paraId="67ED8B8D" w14:textId="77777777" w:rsidR="0037165D" w:rsidRPr="002866E5" w:rsidRDefault="0037165D" w:rsidP="00881943">
            <w:pPr>
              <w:spacing w:before="180" w:after="180"/>
              <w:ind w:right="-29"/>
              <w:jc w:val="center"/>
              <w:rPr>
                <w:noProof/>
                <w:sz w:val="18"/>
                <w:szCs w:val="18"/>
              </w:rPr>
            </w:pPr>
          </w:p>
        </w:tc>
        <w:tc>
          <w:tcPr>
            <w:tcW w:w="540" w:type="dxa"/>
            <w:tcBorders>
              <w:top w:val="single" w:sz="12" w:space="0" w:color="auto"/>
              <w:bottom w:val="single" w:sz="12" w:space="0" w:color="auto"/>
            </w:tcBorders>
          </w:tcPr>
          <w:p w14:paraId="67ED8B8E" w14:textId="77777777" w:rsidR="0037165D" w:rsidRPr="002866E5" w:rsidRDefault="0037165D" w:rsidP="00881943">
            <w:pPr>
              <w:spacing w:before="180" w:after="180"/>
              <w:ind w:right="-29"/>
              <w:jc w:val="center"/>
              <w:rPr>
                <w:noProof/>
                <w:sz w:val="18"/>
                <w:szCs w:val="18"/>
              </w:rPr>
            </w:pPr>
          </w:p>
        </w:tc>
        <w:tc>
          <w:tcPr>
            <w:tcW w:w="720" w:type="dxa"/>
            <w:tcBorders>
              <w:top w:val="single" w:sz="12" w:space="0" w:color="auto"/>
              <w:bottom w:val="single" w:sz="12" w:space="0" w:color="auto"/>
            </w:tcBorders>
          </w:tcPr>
          <w:p w14:paraId="67ED8B8F" w14:textId="77777777" w:rsidR="0037165D" w:rsidRPr="002866E5" w:rsidRDefault="0037165D" w:rsidP="00881943">
            <w:pPr>
              <w:spacing w:before="180" w:after="180"/>
              <w:ind w:right="-29"/>
              <w:jc w:val="center"/>
              <w:rPr>
                <w:noProof/>
                <w:sz w:val="18"/>
                <w:szCs w:val="18"/>
              </w:rPr>
            </w:pPr>
          </w:p>
        </w:tc>
        <w:tc>
          <w:tcPr>
            <w:tcW w:w="720" w:type="dxa"/>
            <w:tcBorders>
              <w:top w:val="single" w:sz="12" w:space="0" w:color="auto"/>
              <w:bottom w:val="single" w:sz="12" w:space="0" w:color="auto"/>
            </w:tcBorders>
          </w:tcPr>
          <w:p w14:paraId="67ED8B90" w14:textId="77777777" w:rsidR="0037165D" w:rsidRPr="002866E5" w:rsidRDefault="0037165D" w:rsidP="00881943">
            <w:pPr>
              <w:spacing w:before="180" w:after="180"/>
              <w:ind w:right="-29"/>
              <w:jc w:val="center"/>
              <w:rPr>
                <w:noProof/>
                <w:sz w:val="18"/>
                <w:szCs w:val="18"/>
              </w:rPr>
            </w:pPr>
          </w:p>
        </w:tc>
        <w:tc>
          <w:tcPr>
            <w:tcW w:w="720" w:type="dxa"/>
            <w:tcBorders>
              <w:top w:val="single" w:sz="12" w:space="0" w:color="auto"/>
              <w:bottom w:val="single" w:sz="12" w:space="0" w:color="auto"/>
            </w:tcBorders>
          </w:tcPr>
          <w:p w14:paraId="67ED8B91" w14:textId="77777777" w:rsidR="0037165D" w:rsidRPr="002866E5" w:rsidRDefault="0037165D" w:rsidP="00881943">
            <w:pPr>
              <w:spacing w:before="180" w:after="180"/>
              <w:ind w:right="-29"/>
              <w:jc w:val="center"/>
              <w:rPr>
                <w:noProof/>
                <w:sz w:val="18"/>
                <w:szCs w:val="18"/>
              </w:rPr>
            </w:pPr>
          </w:p>
        </w:tc>
        <w:tc>
          <w:tcPr>
            <w:tcW w:w="900" w:type="dxa"/>
            <w:tcBorders>
              <w:top w:val="single" w:sz="12" w:space="0" w:color="auto"/>
              <w:bottom w:val="single" w:sz="12" w:space="0" w:color="auto"/>
            </w:tcBorders>
          </w:tcPr>
          <w:p w14:paraId="67ED8B92" w14:textId="77777777" w:rsidR="0037165D" w:rsidRPr="002866E5" w:rsidRDefault="0037165D" w:rsidP="00881943">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67ED8B93" w14:textId="77777777" w:rsidR="0037165D" w:rsidRPr="002866E5" w:rsidRDefault="0037165D" w:rsidP="00881943">
            <w:pPr>
              <w:spacing w:before="180" w:after="180"/>
              <w:ind w:right="-29"/>
              <w:jc w:val="center"/>
              <w:rPr>
                <w:noProof/>
                <w:sz w:val="18"/>
                <w:szCs w:val="18"/>
              </w:rPr>
            </w:pPr>
          </w:p>
        </w:tc>
        <w:tc>
          <w:tcPr>
            <w:tcW w:w="540" w:type="dxa"/>
            <w:tcBorders>
              <w:top w:val="single" w:sz="12" w:space="0" w:color="auto"/>
              <w:bottom w:val="single" w:sz="12" w:space="0" w:color="auto"/>
            </w:tcBorders>
          </w:tcPr>
          <w:p w14:paraId="67ED8B94" w14:textId="77777777" w:rsidR="0037165D" w:rsidRPr="002866E5" w:rsidRDefault="0037165D" w:rsidP="00881943">
            <w:pPr>
              <w:spacing w:before="180" w:after="180"/>
              <w:ind w:right="-29"/>
              <w:jc w:val="center"/>
              <w:rPr>
                <w:noProof/>
                <w:sz w:val="18"/>
                <w:szCs w:val="18"/>
              </w:rPr>
            </w:pPr>
          </w:p>
        </w:tc>
        <w:tc>
          <w:tcPr>
            <w:tcW w:w="648" w:type="dxa"/>
            <w:tcBorders>
              <w:top w:val="single" w:sz="12" w:space="0" w:color="auto"/>
              <w:bottom w:val="single" w:sz="12" w:space="0" w:color="auto"/>
            </w:tcBorders>
          </w:tcPr>
          <w:p w14:paraId="67ED8B95" w14:textId="77777777" w:rsidR="0037165D" w:rsidRPr="002866E5" w:rsidRDefault="0037165D" w:rsidP="00881943">
            <w:pPr>
              <w:spacing w:before="180" w:after="180"/>
              <w:ind w:right="-29"/>
              <w:jc w:val="center"/>
              <w:rPr>
                <w:noProof/>
                <w:sz w:val="18"/>
                <w:szCs w:val="18"/>
              </w:rPr>
            </w:pPr>
          </w:p>
        </w:tc>
        <w:tc>
          <w:tcPr>
            <w:tcW w:w="432" w:type="dxa"/>
            <w:tcBorders>
              <w:top w:val="single" w:sz="12" w:space="0" w:color="auto"/>
              <w:bottom w:val="single" w:sz="12" w:space="0" w:color="auto"/>
            </w:tcBorders>
          </w:tcPr>
          <w:p w14:paraId="67ED8B96" w14:textId="77777777" w:rsidR="0037165D" w:rsidRPr="002866E5" w:rsidRDefault="0037165D" w:rsidP="00881943">
            <w:pPr>
              <w:spacing w:before="180" w:after="180"/>
              <w:ind w:right="-29"/>
              <w:jc w:val="center"/>
              <w:rPr>
                <w:noProof/>
                <w:sz w:val="18"/>
                <w:szCs w:val="18"/>
              </w:rPr>
            </w:pPr>
          </w:p>
        </w:tc>
        <w:tc>
          <w:tcPr>
            <w:tcW w:w="720" w:type="dxa"/>
            <w:tcBorders>
              <w:top w:val="single" w:sz="12" w:space="0" w:color="auto"/>
              <w:bottom w:val="single" w:sz="12" w:space="0" w:color="auto"/>
            </w:tcBorders>
          </w:tcPr>
          <w:p w14:paraId="67ED8B97" w14:textId="77777777" w:rsidR="0037165D" w:rsidRPr="002866E5" w:rsidRDefault="0037165D" w:rsidP="00881943">
            <w:pPr>
              <w:spacing w:before="180" w:after="180"/>
              <w:ind w:right="-29"/>
              <w:jc w:val="center"/>
              <w:rPr>
                <w:noProof/>
                <w:sz w:val="18"/>
                <w:szCs w:val="18"/>
              </w:rPr>
            </w:pPr>
          </w:p>
        </w:tc>
        <w:tc>
          <w:tcPr>
            <w:tcW w:w="540" w:type="dxa"/>
            <w:tcBorders>
              <w:top w:val="single" w:sz="12" w:space="0" w:color="auto"/>
              <w:bottom w:val="single" w:sz="12" w:space="0" w:color="auto"/>
            </w:tcBorders>
          </w:tcPr>
          <w:p w14:paraId="67ED8B98" w14:textId="77777777" w:rsidR="0037165D" w:rsidRPr="002866E5" w:rsidRDefault="0037165D" w:rsidP="00881943">
            <w:pPr>
              <w:spacing w:before="180" w:after="180"/>
              <w:ind w:right="-29"/>
              <w:jc w:val="center"/>
              <w:rPr>
                <w:noProof/>
                <w:sz w:val="18"/>
                <w:szCs w:val="18"/>
              </w:rPr>
            </w:pPr>
          </w:p>
        </w:tc>
        <w:tc>
          <w:tcPr>
            <w:tcW w:w="720" w:type="dxa"/>
            <w:tcBorders>
              <w:top w:val="single" w:sz="12" w:space="0" w:color="auto"/>
              <w:bottom w:val="single" w:sz="12" w:space="0" w:color="auto"/>
            </w:tcBorders>
          </w:tcPr>
          <w:p w14:paraId="67ED8B99" w14:textId="77777777" w:rsidR="0037165D" w:rsidRPr="002866E5" w:rsidRDefault="0037165D" w:rsidP="00881943">
            <w:pPr>
              <w:spacing w:before="180" w:after="180"/>
              <w:ind w:right="-29"/>
              <w:jc w:val="center"/>
              <w:rPr>
                <w:noProof/>
                <w:sz w:val="18"/>
                <w:szCs w:val="18"/>
              </w:rPr>
            </w:pPr>
          </w:p>
        </w:tc>
        <w:tc>
          <w:tcPr>
            <w:tcW w:w="720" w:type="dxa"/>
            <w:tcBorders>
              <w:top w:val="single" w:sz="12" w:space="0" w:color="auto"/>
              <w:bottom w:val="single" w:sz="12" w:space="0" w:color="auto"/>
            </w:tcBorders>
          </w:tcPr>
          <w:p w14:paraId="67ED8B9A" w14:textId="77777777" w:rsidR="0037165D" w:rsidRPr="002866E5" w:rsidRDefault="0037165D" w:rsidP="00881943">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67ED8B9B" w14:textId="77777777" w:rsidR="0037165D" w:rsidRPr="002866E5" w:rsidRDefault="0037165D" w:rsidP="00881943">
            <w:pPr>
              <w:spacing w:before="180" w:after="180"/>
              <w:ind w:right="-29"/>
              <w:jc w:val="center"/>
              <w:rPr>
                <w:noProof/>
                <w:sz w:val="18"/>
                <w:szCs w:val="18"/>
              </w:rPr>
            </w:pPr>
          </w:p>
        </w:tc>
      </w:tr>
    </w:tbl>
    <w:p w14:paraId="67ED8B9D" w14:textId="77777777" w:rsidR="0037165D" w:rsidRPr="002866E5" w:rsidRDefault="0037165D" w:rsidP="00881943">
      <w:pPr>
        <w:rPr>
          <w:noProof/>
        </w:rPr>
        <w:sectPr w:rsidR="0037165D" w:rsidRPr="002866E5" w:rsidSect="00C00460">
          <w:headerReference w:type="default" r:id="rId18"/>
          <w:footerReference w:type="default" r:id="rId19"/>
          <w:headerReference w:type="first" r:id="rId20"/>
          <w:footerReference w:type="first" r:id="rId21"/>
          <w:pgSz w:w="16840" w:h="11907" w:orient="landscape" w:code="9"/>
          <w:pgMar w:top="1134" w:right="1418" w:bottom="567" w:left="1418" w:header="709" w:footer="709" w:gutter="0"/>
          <w:cols w:space="708"/>
          <w:docGrid w:linePitch="360"/>
        </w:sectPr>
      </w:pPr>
    </w:p>
    <w:p w14:paraId="67ED8B9E" w14:textId="4AA33C4F" w:rsidR="0037165D" w:rsidRPr="002866E5" w:rsidRDefault="00B4087C" w:rsidP="00B4087C">
      <w:pPr>
        <w:pStyle w:val="ManualHeading3"/>
        <w:rPr>
          <w:bCs/>
          <w:noProof/>
          <w:szCs w:val="24"/>
        </w:rPr>
      </w:pPr>
      <w:r w:rsidRPr="00B4087C">
        <w:t>3.2.3.</w:t>
      </w:r>
      <w:r w:rsidRPr="00B4087C">
        <w:tab/>
      </w:r>
      <w:r w:rsidR="0037165D" w:rsidRPr="002866E5">
        <w:rPr>
          <w:noProof/>
        </w:rPr>
        <w:t xml:space="preserve">Podsumowanie szacunkowego wpływu na środki administracyjne </w:t>
      </w:r>
    </w:p>
    <w:p w14:paraId="67ED8B9F" w14:textId="135E07C3" w:rsidR="0037165D" w:rsidRPr="002866E5" w:rsidRDefault="0037165D" w:rsidP="00881943">
      <w:pPr>
        <w:pStyle w:val="ListDash1"/>
        <w:rPr>
          <w:noProof/>
        </w:rPr>
      </w:pPr>
      <w:r w:rsidRPr="002866E5">
        <w:rPr>
          <w:noProof/>
        </w:rPr>
        <w:sym w:font="Wingdings" w:char="F0A8"/>
      </w:r>
      <w:r w:rsidRPr="002866E5">
        <w:rPr>
          <w:noProof/>
        </w:rPr>
        <w:tab/>
        <w:t>Wniosek/inicjatywa nie wiąże się</w:t>
      </w:r>
      <w:r w:rsidR="008B35E8" w:rsidRPr="002866E5">
        <w:rPr>
          <w:noProof/>
        </w:rPr>
        <w:t xml:space="preserve"> z</w:t>
      </w:r>
      <w:r w:rsidR="008B35E8">
        <w:rPr>
          <w:noProof/>
        </w:rPr>
        <w:t> </w:t>
      </w:r>
      <w:r w:rsidR="008B35E8" w:rsidRPr="002866E5">
        <w:rPr>
          <w:noProof/>
        </w:rPr>
        <w:t>kon</w:t>
      </w:r>
      <w:r w:rsidRPr="002866E5">
        <w:rPr>
          <w:noProof/>
        </w:rPr>
        <w:t xml:space="preserve">iecznością wykorzystania środków administracyjnych </w:t>
      </w:r>
    </w:p>
    <w:p w14:paraId="67ED8BA0" w14:textId="04AC662E" w:rsidR="0037165D" w:rsidRPr="002866E5" w:rsidRDefault="00F103C3" w:rsidP="00881943">
      <w:pPr>
        <w:pStyle w:val="ListDash1"/>
        <w:rPr>
          <w:noProof/>
        </w:rPr>
      </w:pPr>
      <w:r w:rsidRPr="002866E5">
        <w:rPr>
          <w:noProof/>
        </w:rPr>
        <w:sym w:font="Wingdings 2" w:char="F052"/>
      </w:r>
      <w:r w:rsidRPr="002866E5">
        <w:rPr>
          <w:noProof/>
        </w:rPr>
        <w:tab/>
        <w:t>Wniosek/inicjatywa wiąże się</w:t>
      </w:r>
      <w:r w:rsidR="008B35E8" w:rsidRPr="002866E5">
        <w:rPr>
          <w:noProof/>
        </w:rPr>
        <w:t xml:space="preserve"> z</w:t>
      </w:r>
      <w:r w:rsidR="008B35E8">
        <w:rPr>
          <w:noProof/>
        </w:rPr>
        <w:t> </w:t>
      </w:r>
      <w:r w:rsidR="008B35E8" w:rsidRPr="002866E5">
        <w:rPr>
          <w:noProof/>
        </w:rPr>
        <w:t>kon</w:t>
      </w:r>
      <w:r w:rsidRPr="002866E5">
        <w:rPr>
          <w:noProof/>
        </w:rPr>
        <w:t>iecznością wykorzystania środków administracyjnych, jak określono poniżej:</w:t>
      </w:r>
    </w:p>
    <w:p w14:paraId="67ED8BA1" w14:textId="77777777" w:rsidR="0037165D" w:rsidRPr="002866E5" w:rsidRDefault="0037165D" w:rsidP="00881943">
      <w:pPr>
        <w:jc w:val="right"/>
        <w:rPr>
          <w:noProof/>
          <w:sz w:val="20"/>
        </w:rPr>
      </w:pPr>
      <w:r w:rsidRPr="002866E5">
        <w:rPr>
          <w:noProof/>
          <w:sz w:val="20"/>
        </w:rPr>
        <w:t>w mln EUR (do trzech miejsc po przecinku)</w:t>
      </w:r>
    </w:p>
    <w:tbl>
      <w:tblPr>
        <w:tblW w:w="738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37165D" w:rsidRPr="002866E5" w14:paraId="67ED8BA8" w14:textId="77777777" w:rsidTr="0031667A">
        <w:trPr>
          <w:trHeight w:val="585"/>
        </w:trPr>
        <w:tc>
          <w:tcPr>
            <w:tcW w:w="1980" w:type="dxa"/>
          </w:tcPr>
          <w:p w14:paraId="67ED8BA2" w14:textId="77777777" w:rsidR="0037165D" w:rsidRPr="002866E5" w:rsidRDefault="0037165D" w:rsidP="00881943">
            <w:pPr>
              <w:spacing w:before="60" w:after="60" w:line="200" w:lineRule="exact"/>
              <w:rPr>
                <w:noProof/>
                <w:sz w:val="16"/>
                <w:szCs w:val="16"/>
              </w:rPr>
            </w:pPr>
          </w:p>
        </w:tc>
        <w:tc>
          <w:tcPr>
            <w:tcW w:w="1080" w:type="dxa"/>
            <w:vAlign w:val="center"/>
          </w:tcPr>
          <w:p w14:paraId="67ED8BA3" w14:textId="77777777" w:rsidR="0037165D" w:rsidRPr="002866E5" w:rsidRDefault="00F103C3" w:rsidP="00881943">
            <w:pPr>
              <w:spacing w:before="60" w:after="60" w:line="200" w:lineRule="exact"/>
              <w:jc w:val="center"/>
              <w:rPr>
                <w:noProof/>
                <w:sz w:val="16"/>
                <w:szCs w:val="16"/>
              </w:rPr>
            </w:pPr>
            <w:r w:rsidRPr="002866E5">
              <w:rPr>
                <w:noProof/>
                <w:sz w:val="16"/>
              </w:rPr>
              <w:t>Rok</w:t>
            </w:r>
            <w:r w:rsidRPr="002866E5">
              <w:rPr>
                <w:noProof/>
              </w:rPr>
              <w:t xml:space="preserve"> </w:t>
            </w:r>
            <w:r w:rsidRPr="002866E5">
              <w:rPr>
                <w:noProof/>
              </w:rPr>
              <w:br/>
            </w:r>
            <w:r w:rsidRPr="002866E5">
              <w:rPr>
                <w:b/>
                <w:noProof/>
                <w:sz w:val="16"/>
              </w:rPr>
              <w:t>2024</w:t>
            </w:r>
          </w:p>
        </w:tc>
        <w:tc>
          <w:tcPr>
            <w:tcW w:w="1080" w:type="dxa"/>
            <w:vAlign w:val="center"/>
          </w:tcPr>
          <w:p w14:paraId="67ED8BA4" w14:textId="77777777" w:rsidR="0037165D" w:rsidRPr="002866E5" w:rsidRDefault="00F103C3" w:rsidP="00881943">
            <w:pPr>
              <w:spacing w:before="60" w:after="60" w:line="200" w:lineRule="exact"/>
              <w:jc w:val="center"/>
              <w:rPr>
                <w:noProof/>
                <w:sz w:val="16"/>
                <w:szCs w:val="16"/>
              </w:rPr>
            </w:pPr>
            <w:r w:rsidRPr="002866E5">
              <w:rPr>
                <w:noProof/>
                <w:sz w:val="16"/>
              </w:rPr>
              <w:t>Rok</w:t>
            </w:r>
            <w:r w:rsidRPr="002866E5">
              <w:rPr>
                <w:noProof/>
              </w:rPr>
              <w:t xml:space="preserve"> </w:t>
            </w:r>
            <w:r w:rsidRPr="002866E5">
              <w:rPr>
                <w:noProof/>
              </w:rPr>
              <w:br/>
            </w:r>
            <w:r w:rsidRPr="002866E5">
              <w:rPr>
                <w:b/>
                <w:noProof/>
                <w:sz w:val="16"/>
              </w:rPr>
              <w:t>2025</w:t>
            </w:r>
          </w:p>
        </w:tc>
        <w:tc>
          <w:tcPr>
            <w:tcW w:w="1080" w:type="dxa"/>
            <w:vAlign w:val="center"/>
          </w:tcPr>
          <w:p w14:paraId="67ED8BA5" w14:textId="77777777" w:rsidR="0037165D" w:rsidRPr="002866E5" w:rsidRDefault="00F103C3" w:rsidP="00881943">
            <w:pPr>
              <w:spacing w:before="60" w:after="60" w:line="200" w:lineRule="exact"/>
              <w:jc w:val="center"/>
              <w:rPr>
                <w:noProof/>
                <w:sz w:val="16"/>
                <w:szCs w:val="16"/>
              </w:rPr>
            </w:pPr>
            <w:r w:rsidRPr="002866E5">
              <w:rPr>
                <w:noProof/>
                <w:sz w:val="16"/>
              </w:rPr>
              <w:t>Rok</w:t>
            </w:r>
            <w:r w:rsidRPr="002866E5">
              <w:rPr>
                <w:noProof/>
              </w:rPr>
              <w:t xml:space="preserve"> </w:t>
            </w:r>
            <w:r w:rsidRPr="002866E5">
              <w:rPr>
                <w:noProof/>
              </w:rPr>
              <w:br/>
            </w:r>
            <w:r w:rsidRPr="002866E5">
              <w:rPr>
                <w:b/>
                <w:noProof/>
                <w:sz w:val="16"/>
              </w:rPr>
              <w:t>2026</w:t>
            </w:r>
          </w:p>
        </w:tc>
        <w:tc>
          <w:tcPr>
            <w:tcW w:w="1080" w:type="dxa"/>
            <w:vAlign w:val="center"/>
          </w:tcPr>
          <w:p w14:paraId="67ED8BA6" w14:textId="77777777" w:rsidR="0037165D" w:rsidRPr="002866E5" w:rsidRDefault="00F103C3" w:rsidP="00881943">
            <w:pPr>
              <w:spacing w:before="60" w:after="60" w:line="200" w:lineRule="exact"/>
              <w:jc w:val="center"/>
              <w:rPr>
                <w:noProof/>
                <w:sz w:val="16"/>
                <w:szCs w:val="16"/>
              </w:rPr>
            </w:pPr>
            <w:r w:rsidRPr="002866E5">
              <w:rPr>
                <w:noProof/>
                <w:sz w:val="16"/>
              </w:rPr>
              <w:t>Rok</w:t>
            </w:r>
            <w:r w:rsidRPr="002866E5">
              <w:rPr>
                <w:noProof/>
              </w:rPr>
              <w:t xml:space="preserve"> </w:t>
            </w:r>
            <w:r w:rsidRPr="002866E5">
              <w:rPr>
                <w:noProof/>
              </w:rPr>
              <w:br/>
            </w:r>
            <w:r w:rsidRPr="002866E5">
              <w:rPr>
                <w:b/>
                <w:noProof/>
                <w:sz w:val="16"/>
              </w:rPr>
              <w:t>2027</w:t>
            </w:r>
          </w:p>
        </w:tc>
        <w:tc>
          <w:tcPr>
            <w:tcW w:w="1080" w:type="dxa"/>
            <w:vAlign w:val="center"/>
          </w:tcPr>
          <w:p w14:paraId="67ED8BA7" w14:textId="77777777" w:rsidR="0037165D" w:rsidRPr="002866E5" w:rsidRDefault="0037165D" w:rsidP="00881943">
            <w:pPr>
              <w:spacing w:before="60" w:after="60" w:line="200" w:lineRule="exact"/>
              <w:jc w:val="center"/>
              <w:rPr>
                <w:b/>
                <w:noProof/>
                <w:sz w:val="16"/>
                <w:szCs w:val="16"/>
              </w:rPr>
            </w:pPr>
          </w:p>
        </w:tc>
      </w:tr>
    </w:tbl>
    <w:p w14:paraId="67ED8BA9" w14:textId="77777777" w:rsidR="0037165D" w:rsidRPr="002866E5" w:rsidRDefault="0037165D" w:rsidP="00881943">
      <w:pPr>
        <w:spacing w:line="200" w:lineRule="exact"/>
        <w:rPr>
          <w:noProof/>
          <w:sz w:val="16"/>
          <w:szCs w:val="16"/>
        </w:rPr>
      </w:pPr>
    </w:p>
    <w:tbl>
      <w:tblPr>
        <w:tblW w:w="738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37165D" w:rsidRPr="002866E5" w14:paraId="67ED8BB0" w14:textId="77777777" w:rsidTr="0031667A">
        <w:trPr>
          <w:trHeight w:val="585"/>
        </w:trPr>
        <w:tc>
          <w:tcPr>
            <w:tcW w:w="1980" w:type="dxa"/>
            <w:shd w:val="clear" w:color="auto" w:fill="CCCCCC"/>
            <w:vAlign w:val="center"/>
          </w:tcPr>
          <w:p w14:paraId="67ED8BAA" w14:textId="77777777" w:rsidR="0037165D" w:rsidRPr="002866E5" w:rsidRDefault="0037165D" w:rsidP="00881943">
            <w:pPr>
              <w:spacing w:before="60" w:after="60" w:line="200" w:lineRule="exact"/>
              <w:jc w:val="center"/>
              <w:rPr>
                <w:b/>
                <w:noProof/>
                <w:sz w:val="16"/>
                <w:szCs w:val="16"/>
              </w:rPr>
            </w:pPr>
            <w:r w:rsidRPr="002866E5">
              <w:rPr>
                <w:b/>
                <w:noProof/>
                <w:sz w:val="16"/>
              </w:rPr>
              <w:t>DZIAŁ 7</w:t>
            </w:r>
            <w:r w:rsidRPr="002866E5">
              <w:rPr>
                <w:noProof/>
              </w:rPr>
              <w:t xml:space="preserve"> </w:t>
            </w:r>
            <w:r w:rsidRPr="002866E5">
              <w:rPr>
                <w:noProof/>
              </w:rPr>
              <w:br/>
            </w:r>
            <w:r w:rsidRPr="002866E5">
              <w:rPr>
                <w:b/>
                <w:noProof/>
                <w:sz w:val="16"/>
              </w:rPr>
              <w:t>wieloletnich ram finansowych</w:t>
            </w:r>
          </w:p>
        </w:tc>
        <w:tc>
          <w:tcPr>
            <w:tcW w:w="1080" w:type="dxa"/>
            <w:vAlign w:val="center"/>
          </w:tcPr>
          <w:p w14:paraId="67ED8BAB" w14:textId="77777777" w:rsidR="0037165D" w:rsidRPr="002866E5" w:rsidRDefault="0037165D" w:rsidP="00881943">
            <w:pPr>
              <w:spacing w:before="60" w:after="60" w:line="200" w:lineRule="exact"/>
              <w:jc w:val="right"/>
              <w:rPr>
                <w:noProof/>
                <w:sz w:val="16"/>
                <w:szCs w:val="16"/>
              </w:rPr>
            </w:pPr>
          </w:p>
        </w:tc>
        <w:tc>
          <w:tcPr>
            <w:tcW w:w="1080" w:type="dxa"/>
            <w:vAlign w:val="center"/>
          </w:tcPr>
          <w:p w14:paraId="67ED8BAC" w14:textId="77777777" w:rsidR="0037165D" w:rsidRPr="002866E5" w:rsidRDefault="0037165D" w:rsidP="00881943">
            <w:pPr>
              <w:spacing w:before="60" w:after="60" w:line="200" w:lineRule="exact"/>
              <w:jc w:val="right"/>
              <w:rPr>
                <w:noProof/>
                <w:sz w:val="16"/>
                <w:szCs w:val="16"/>
              </w:rPr>
            </w:pPr>
          </w:p>
        </w:tc>
        <w:tc>
          <w:tcPr>
            <w:tcW w:w="1080" w:type="dxa"/>
            <w:vAlign w:val="center"/>
          </w:tcPr>
          <w:p w14:paraId="67ED8BAD" w14:textId="77777777" w:rsidR="0037165D" w:rsidRPr="002866E5" w:rsidRDefault="0037165D" w:rsidP="00881943">
            <w:pPr>
              <w:spacing w:before="60" w:after="60" w:line="200" w:lineRule="exact"/>
              <w:jc w:val="right"/>
              <w:rPr>
                <w:noProof/>
                <w:sz w:val="16"/>
                <w:szCs w:val="16"/>
              </w:rPr>
            </w:pPr>
          </w:p>
        </w:tc>
        <w:tc>
          <w:tcPr>
            <w:tcW w:w="1080" w:type="dxa"/>
            <w:vAlign w:val="center"/>
          </w:tcPr>
          <w:p w14:paraId="67ED8BAE" w14:textId="77777777" w:rsidR="0037165D" w:rsidRPr="002866E5" w:rsidRDefault="0037165D" w:rsidP="00881943">
            <w:pPr>
              <w:spacing w:before="60" w:after="60" w:line="200" w:lineRule="exact"/>
              <w:jc w:val="right"/>
              <w:rPr>
                <w:noProof/>
                <w:sz w:val="16"/>
                <w:szCs w:val="16"/>
              </w:rPr>
            </w:pPr>
          </w:p>
        </w:tc>
        <w:tc>
          <w:tcPr>
            <w:tcW w:w="1080" w:type="dxa"/>
            <w:vAlign w:val="center"/>
          </w:tcPr>
          <w:p w14:paraId="67ED8BAF" w14:textId="77777777" w:rsidR="0037165D" w:rsidRPr="002866E5" w:rsidRDefault="0037165D" w:rsidP="00881943">
            <w:pPr>
              <w:spacing w:before="60" w:after="60" w:line="200" w:lineRule="exact"/>
              <w:jc w:val="right"/>
              <w:rPr>
                <w:b/>
                <w:noProof/>
                <w:sz w:val="16"/>
                <w:szCs w:val="16"/>
              </w:rPr>
            </w:pPr>
          </w:p>
        </w:tc>
      </w:tr>
      <w:tr w:rsidR="0037165D" w:rsidRPr="002866E5" w14:paraId="67ED8BB7" w14:textId="77777777" w:rsidTr="0031667A">
        <w:trPr>
          <w:trHeight w:val="585"/>
        </w:trPr>
        <w:tc>
          <w:tcPr>
            <w:tcW w:w="1980" w:type="dxa"/>
            <w:vAlign w:val="center"/>
          </w:tcPr>
          <w:p w14:paraId="67ED8BB1" w14:textId="77777777" w:rsidR="0037165D" w:rsidRPr="002866E5" w:rsidRDefault="0037165D" w:rsidP="00881943">
            <w:pPr>
              <w:spacing w:before="60" w:after="60" w:line="200" w:lineRule="exact"/>
              <w:ind w:left="72"/>
              <w:jc w:val="left"/>
              <w:rPr>
                <w:noProof/>
                <w:sz w:val="16"/>
                <w:szCs w:val="16"/>
              </w:rPr>
            </w:pPr>
            <w:r w:rsidRPr="002866E5">
              <w:rPr>
                <w:noProof/>
                <w:sz w:val="16"/>
              </w:rPr>
              <w:t xml:space="preserve">Zasoby ludzkie </w:t>
            </w:r>
          </w:p>
        </w:tc>
        <w:tc>
          <w:tcPr>
            <w:tcW w:w="1080" w:type="dxa"/>
            <w:vAlign w:val="center"/>
          </w:tcPr>
          <w:p w14:paraId="67ED8BB2" w14:textId="77777777" w:rsidR="0037165D" w:rsidRPr="002866E5" w:rsidRDefault="00AE5631" w:rsidP="00881943">
            <w:pPr>
              <w:spacing w:before="60" w:after="60" w:line="200" w:lineRule="exact"/>
              <w:jc w:val="right"/>
              <w:rPr>
                <w:noProof/>
                <w:sz w:val="16"/>
                <w:szCs w:val="16"/>
              </w:rPr>
            </w:pPr>
            <w:r w:rsidRPr="002866E5">
              <w:rPr>
                <w:noProof/>
                <w:sz w:val="16"/>
              </w:rPr>
              <w:t>1,030</w:t>
            </w:r>
          </w:p>
        </w:tc>
        <w:tc>
          <w:tcPr>
            <w:tcW w:w="1080" w:type="dxa"/>
            <w:vAlign w:val="center"/>
          </w:tcPr>
          <w:p w14:paraId="67ED8BB3" w14:textId="77777777" w:rsidR="0037165D" w:rsidRPr="002866E5" w:rsidRDefault="00AE5631" w:rsidP="00881943">
            <w:pPr>
              <w:spacing w:before="60" w:after="60" w:line="200" w:lineRule="exact"/>
              <w:jc w:val="right"/>
              <w:rPr>
                <w:noProof/>
                <w:sz w:val="16"/>
                <w:szCs w:val="16"/>
              </w:rPr>
            </w:pPr>
            <w:r w:rsidRPr="002866E5">
              <w:rPr>
                <w:noProof/>
                <w:sz w:val="16"/>
              </w:rPr>
              <w:t>1,030</w:t>
            </w:r>
          </w:p>
        </w:tc>
        <w:tc>
          <w:tcPr>
            <w:tcW w:w="1080" w:type="dxa"/>
            <w:vAlign w:val="center"/>
          </w:tcPr>
          <w:p w14:paraId="67ED8BB4" w14:textId="77777777" w:rsidR="0037165D" w:rsidRPr="002866E5" w:rsidRDefault="00AE5631" w:rsidP="00881943">
            <w:pPr>
              <w:spacing w:before="60" w:after="60" w:line="200" w:lineRule="exact"/>
              <w:jc w:val="right"/>
              <w:rPr>
                <w:noProof/>
                <w:sz w:val="16"/>
                <w:szCs w:val="16"/>
              </w:rPr>
            </w:pPr>
            <w:r w:rsidRPr="002866E5">
              <w:rPr>
                <w:noProof/>
                <w:sz w:val="16"/>
              </w:rPr>
              <w:t>1,030</w:t>
            </w:r>
          </w:p>
        </w:tc>
        <w:tc>
          <w:tcPr>
            <w:tcW w:w="1080" w:type="dxa"/>
            <w:vAlign w:val="center"/>
          </w:tcPr>
          <w:p w14:paraId="67ED8BB5" w14:textId="77777777" w:rsidR="0037165D" w:rsidRPr="002866E5" w:rsidRDefault="00AE5631" w:rsidP="00881943">
            <w:pPr>
              <w:spacing w:before="60" w:after="60" w:line="200" w:lineRule="exact"/>
              <w:jc w:val="right"/>
              <w:rPr>
                <w:noProof/>
                <w:sz w:val="16"/>
                <w:szCs w:val="16"/>
              </w:rPr>
            </w:pPr>
            <w:r w:rsidRPr="002866E5">
              <w:rPr>
                <w:noProof/>
                <w:sz w:val="16"/>
              </w:rPr>
              <w:t>1,030</w:t>
            </w:r>
          </w:p>
        </w:tc>
        <w:tc>
          <w:tcPr>
            <w:tcW w:w="1080" w:type="dxa"/>
            <w:vAlign w:val="center"/>
          </w:tcPr>
          <w:p w14:paraId="67ED8BB6" w14:textId="77777777" w:rsidR="0037165D" w:rsidRPr="002866E5" w:rsidRDefault="00AE5631" w:rsidP="00881943">
            <w:pPr>
              <w:spacing w:before="60" w:after="60" w:line="200" w:lineRule="exact"/>
              <w:jc w:val="right"/>
              <w:rPr>
                <w:b/>
                <w:noProof/>
                <w:sz w:val="16"/>
                <w:szCs w:val="16"/>
              </w:rPr>
            </w:pPr>
            <w:r w:rsidRPr="002866E5">
              <w:rPr>
                <w:b/>
                <w:noProof/>
                <w:sz w:val="16"/>
              </w:rPr>
              <w:t>4,120</w:t>
            </w:r>
          </w:p>
        </w:tc>
      </w:tr>
      <w:tr w:rsidR="0037165D" w:rsidRPr="002866E5" w14:paraId="67ED8BBE" w14:textId="77777777" w:rsidTr="0031667A">
        <w:trPr>
          <w:trHeight w:val="585"/>
        </w:trPr>
        <w:tc>
          <w:tcPr>
            <w:tcW w:w="1980" w:type="dxa"/>
            <w:vAlign w:val="center"/>
          </w:tcPr>
          <w:p w14:paraId="67ED8BB8" w14:textId="77777777" w:rsidR="0037165D" w:rsidRPr="002866E5" w:rsidRDefault="0037165D" w:rsidP="00881943">
            <w:pPr>
              <w:spacing w:before="60" w:after="60" w:line="200" w:lineRule="exact"/>
              <w:ind w:left="72"/>
              <w:jc w:val="left"/>
              <w:rPr>
                <w:noProof/>
                <w:sz w:val="16"/>
                <w:szCs w:val="16"/>
              </w:rPr>
            </w:pPr>
            <w:r w:rsidRPr="002866E5">
              <w:rPr>
                <w:noProof/>
                <w:sz w:val="16"/>
              </w:rPr>
              <w:t xml:space="preserve">Pozostałe wydatki administracyjne </w:t>
            </w:r>
          </w:p>
        </w:tc>
        <w:tc>
          <w:tcPr>
            <w:tcW w:w="1080" w:type="dxa"/>
            <w:vAlign w:val="center"/>
          </w:tcPr>
          <w:p w14:paraId="67ED8BB9" w14:textId="77777777" w:rsidR="0037165D" w:rsidRPr="002866E5" w:rsidRDefault="00AD2273" w:rsidP="00881943">
            <w:pPr>
              <w:spacing w:before="60" w:after="60" w:line="200" w:lineRule="exact"/>
              <w:jc w:val="right"/>
              <w:rPr>
                <w:noProof/>
                <w:sz w:val="16"/>
                <w:szCs w:val="16"/>
              </w:rPr>
            </w:pPr>
            <w:r w:rsidRPr="002866E5">
              <w:rPr>
                <w:noProof/>
                <w:sz w:val="16"/>
              </w:rPr>
              <w:t>0,222</w:t>
            </w:r>
          </w:p>
        </w:tc>
        <w:tc>
          <w:tcPr>
            <w:tcW w:w="1080" w:type="dxa"/>
            <w:vAlign w:val="center"/>
          </w:tcPr>
          <w:p w14:paraId="67ED8BBA" w14:textId="77777777" w:rsidR="0037165D" w:rsidRPr="002866E5" w:rsidRDefault="00AD2273" w:rsidP="00F404FA">
            <w:pPr>
              <w:spacing w:before="60" w:after="60" w:line="200" w:lineRule="exact"/>
              <w:jc w:val="right"/>
              <w:rPr>
                <w:noProof/>
                <w:sz w:val="16"/>
                <w:szCs w:val="16"/>
              </w:rPr>
            </w:pPr>
            <w:r w:rsidRPr="002866E5">
              <w:rPr>
                <w:noProof/>
                <w:sz w:val="16"/>
              </w:rPr>
              <w:t>0,222</w:t>
            </w:r>
          </w:p>
        </w:tc>
        <w:tc>
          <w:tcPr>
            <w:tcW w:w="1080" w:type="dxa"/>
          </w:tcPr>
          <w:p w14:paraId="67ED8BBB" w14:textId="77777777" w:rsidR="0037165D" w:rsidRPr="002866E5" w:rsidRDefault="00AD2273" w:rsidP="00F404FA">
            <w:pPr>
              <w:spacing w:before="60" w:after="60" w:line="200" w:lineRule="exact"/>
              <w:jc w:val="right"/>
              <w:rPr>
                <w:noProof/>
                <w:sz w:val="16"/>
                <w:szCs w:val="16"/>
              </w:rPr>
            </w:pPr>
            <w:r w:rsidRPr="002866E5">
              <w:rPr>
                <w:noProof/>
                <w:sz w:val="16"/>
              </w:rPr>
              <w:t>0,222</w:t>
            </w:r>
          </w:p>
        </w:tc>
        <w:tc>
          <w:tcPr>
            <w:tcW w:w="1080" w:type="dxa"/>
          </w:tcPr>
          <w:p w14:paraId="67ED8BBC" w14:textId="77777777" w:rsidR="0037165D" w:rsidRPr="002866E5" w:rsidRDefault="00AD2273" w:rsidP="00881943">
            <w:pPr>
              <w:spacing w:before="60" w:after="60" w:line="200" w:lineRule="exact"/>
              <w:jc w:val="right"/>
              <w:rPr>
                <w:noProof/>
                <w:sz w:val="16"/>
                <w:szCs w:val="16"/>
              </w:rPr>
            </w:pPr>
            <w:r w:rsidRPr="002866E5">
              <w:rPr>
                <w:noProof/>
                <w:sz w:val="16"/>
              </w:rPr>
              <w:t>0,222</w:t>
            </w:r>
          </w:p>
        </w:tc>
        <w:tc>
          <w:tcPr>
            <w:tcW w:w="1080" w:type="dxa"/>
            <w:vAlign w:val="center"/>
          </w:tcPr>
          <w:p w14:paraId="67ED8BBD" w14:textId="77777777" w:rsidR="0037165D" w:rsidRPr="002866E5" w:rsidRDefault="00AE5631" w:rsidP="00881943">
            <w:pPr>
              <w:spacing w:before="60" w:after="60" w:line="200" w:lineRule="exact"/>
              <w:jc w:val="right"/>
              <w:rPr>
                <w:b/>
                <w:noProof/>
                <w:sz w:val="16"/>
                <w:szCs w:val="16"/>
              </w:rPr>
            </w:pPr>
            <w:r w:rsidRPr="002866E5">
              <w:rPr>
                <w:b/>
                <w:noProof/>
                <w:sz w:val="16"/>
              </w:rPr>
              <w:t>0,888</w:t>
            </w:r>
          </w:p>
        </w:tc>
      </w:tr>
      <w:tr w:rsidR="0037165D" w:rsidRPr="002866E5" w14:paraId="67ED8BC5" w14:textId="77777777" w:rsidTr="0031667A">
        <w:trPr>
          <w:trHeight w:val="55"/>
        </w:trPr>
        <w:tc>
          <w:tcPr>
            <w:tcW w:w="1980" w:type="dxa"/>
            <w:shd w:val="clear" w:color="auto" w:fill="CCCCCC"/>
            <w:vAlign w:val="center"/>
          </w:tcPr>
          <w:p w14:paraId="67ED8BBF" w14:textId="77777777" w:rsidR="0037165D" w:rsidRPr="002866E5" w:rsidRDefault="0037165D" w:rsidP="00881943">
            <w:pPr>
              <w:spacing w:before="60" w:after="60" w:line="200" w:lineRule="exact"/>
              <w:jc w:val="center"/>
              <w:rPr>
                <w:b/>
                <w:noProof/>
                <w:sz w:val="16"/>
                <w:szCs w:val="16"/>
              </w:rPr>
            </w:pPr>
            <w:r w:rsidRPr="002866E5">
              <w:rPr>
                <w:b/>
                <w:noProof/>
                <w:sz w:val="16"/>
              </w:rPr>
              <w:t>Suma cząstkowa DZIAŁU 7</w:t>
            </w:r>
            <w:r w:rsidRPr="002866E5">
              <w:rPr>
                <w:noProof/>
              </w:rPr>
              <w:t xml:space="preserve"> </w:t>
            </w:r>
            <w:r w:rsidRPr="002866E5">
              <w:rPr>
                <w:noProof/>
              </w:rPr>
              <w:br/>
            </w:r>
            <w:r w:rsidRPr="002866E5">
              <w:rPr>
                <w:b/>
                <w:noProof/>
                <w:sz w:val="16"/>
              </w:rPr>
              <w:t xml:space="preserve">wieloletnich ram finansowych </w:t>
            </w:r>
          </w:p>
        </w:tc>
        <w:tc>
          <w:tcPr>
            <w:tcW w:w="1080" w:type="dxa"/>
            <w:vAlign w:val="center"/>
          </w:tcPr>
          <w:p w14:paraId="67ED8BC0" w14:textId="77777777" w:rsidR="0037165D" w:rsidRPr="002866E5" w:rsidRDefault="00AD2273" w:rsidP="00881943">
            <w:pPr>
              <w:spacing w:before="60" w:after="60" w:line="200" w:lineRule="exact"/>
              <w:jc w:val="right"/>
              <w:rPr>
                <w:noProof/>
                <w:sz w:val="16"/>
                <w:szCs w:val="16"/>
              </w:rPr>
            </w:pPr>
            <w:r w:rsidRPr="002866E5">
              <w:rPr>
                <w:noProof/>
                <w:sz w:val="16"/>
              </w:rPr>
              <w:t>1,252</w:t>
            </w:r>
          </w:p>
        </w:tc>
        <w:tc>
          <w:tcPr>
            <w:tcW w:w="1080" w:type="dxa"/>
          </w:tcPr>
          <w:p w14:paraId="67ED8BC1" w14:textId="77777777" w:rsidR="0037165D" w:rsidRPr="002866E5" w:rsidRDefault="00AD2273" w:rsidP="00881943">
            <w:pPr>
              <w:spacing w:before="60" w:after="60" w:line="200" w:lineRule="exact"/>
              <w:jc w:val="right"/>
              <w:rPr>
                <w:noProof/>
                <w:sz w:val="16"/>
                <w:szCs w:val="16"/>
              </w:rPr>
            </w:pPr>
            <w:r w:rsidRPr="002866E5">
              <w:rPr>
                <w:noProof/>
                <w:sz w:val="16"/>
              </w:rPr>
              <w:t>1,252</w:t>
            </w:r>
          </w:p>
        </w:tc>
        <w:tc>
          <w:tcPr>
            <w:tcW w:w="1080" w:type="dxa"/>
          </w:tcPr>
          <w:p w14:paraId="67ED8BC2" w14:textId="77777777" w:rsidR="0037165D" w:rsidRPr="002866E5" w:rsidRDefault="00AD2273" w:rsidP="00881943">
            <w:pPr>
              <w:spacing w:before="60" w:after="60" w:line="200" w:lineRule="exact"/>
              <w:jc w:val="right"/>
              <w:rPr>
                <w:noProof/>
                <w:sz w:val="16"/>
                <w:szCs w:val="16"/>
              </w:rPr>
            </w:pPr>
            <w:r w:rsidRPr="002866E5">
              <w:rPr>
                <w:noProof/>
                <w:sz w:val="16"/>
              </w:rPr>
              <w:t>1,252</w:t>
            </w:r>
          </w:p>
        </w:tc>
        <w:tc>
          <w:tcPr>
            <w:tcW w:w="1080" w:type="dxa"/>
          </w:tcPr>
          <w:p w14:paraId="67ED8BC3" w14:textId="77777777" w:rsidR="0037165D" w:rsidRPr="002866E5" w:rsidRDefault="00AD2273" w:rsidP="00881943">
            <w:pPr>
              <w:spacing w:before="60" w:after="60" w:line="200" w:lineRule="exact"/>
              <w:jc w:val="right"/>
              <w:rPr>
                <w:noProof/>
                <w:sz w:val="16"/>
                <w:szCs w:val="16"/>
              </w:rPr>
            </w:pPr>
            <w:r w:rsidRPr="002866E5">
              <w:rPr>
                <w:noProof/>
                <w:sz w:val="16"/>
              </w:rPr>
              <w:t>1,252</w:t>
            </w:r>
          </w:p>
        </w:tc>
        <w:tc>
          <w:tcPr>
            <w:tcW w:w="1080" w:type="dxa"/>
            <w:vAlign w:val="center"/>
          </w:tcPr>
          <w:p w14:paraId="67ED8BC4" w14:textId="77777777" w:rsidR="0037165D" w:rsidRPr="002866E5" w:rsidRDefault="003866CC" w:rsidP="00881943">
            <w:pPr>
              <w:spacing w:before="60" w:after="60" w:line="200" w:lineRule="exact"/>
              <w:jc w:val="right"/>
              <w:rPr>
                <w:b/>
                <w:noProof/>
                <w:sz w:val="16"/>
                <w:szCs w:val="16"/>
              </w:rPr>
            </w:pPr>
            <w:r w:rsidRPr="002866E5">
              <w:rPr>
                <w:b/>
                <w:noProof/>
                <w:sz w:val="16"/>
              </w:rPr>
              <w:t>5,008</w:t>
            </w:r>
          </w:p>
        </w:tc>
      </w:tr>
    </w:tbl>
    <w:p w14:paraId="67ED8BC6" w14:textId="77777777" w:rsidR="0037165D" w:rsidRPr="002866E5" w:rsidRDefault="0037165D" w:rsidP="00881943">
      <w:pPr>
        <w:spacing w:line="200" w:lineRule="exact"/>
        <w:rPr>
          <w:noProof/>
          <w:sz w:val="16"/>
          <w:szCs w:val="16"/>
        </w:rPr>
      </w:pPr>
    </w:p>
    <w:tbl>
      <w:tblPr>
        <w:tblW w:w="738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tblGrid>
      <w:tr w:rsidR="0037165D" w:rsidRPr="002866E5" w14:paraId="67ED8BCE" w14:textId="77777777" w:rsidTr="0031667A">
        <w:trPr>
          <w:trHeight w:val="585"/>
        </w:trPr>
        <w:tc>
          <w:tcPr>
            <w:tcW w:w="1980" w:type="dxa"/>
            <w:shd w:val="clear" w:color="auto" w:fill="CCCCCC"/>
            <w:vAlign w:val="center"/>
          </w:tcPr>
          <w:p w14:paraId="67ED8BC7" w14:textId="04CF4600" w:rsidR="0037165D" w:rsidRPr="002866E5" w:rsidRDefault="0037165D" w:rsidP="00881943">
            <w:pPr>
              <w:spacing w:before="60" w:after="60" w:line="200" w:lineRule="exact"/>
              <w:jc w:val="center"/>
              <w:rPr>
                <w:noProof/>
                <w:sz w:val="16"/>
                <w:szCs w:val="16"/>
              </w:rPr>
            </w:pPr>
            <w:r w:rsidRPr="002866E5">
              <w:rPr>
                <w:b/>
                <w:noProof/>
                <w:sz w:val="16"/>
              </w:rPr>
              <w:t>Poza DZIAŁEM 7</w:t>
            </w:r>
            <w:r w:rsidRPr="002866E5">
              <w:rPr>
                <w:rStyle w:val="FootnoteReference"/>
                <w:noProof/>
              </w:rPr>
              <w:footnoteReference w:id="47"/>
            </w:r>
            <w:r w:rsidRPr="002866E5">
              <w:rPr>
                <w:noProof/>
              </w:rPr>
              <w:t xml:space="preserve"> </w:t>
            </w:r>
            <w:r w:rsidRPr="002866E5">
              <w:rPr>
                <w:noProof/>
              </w:rPr>
              <w:br/>
            </w:r>
            <w:r w:rsidRPr="002866E5">
              <w:rPr>
                <w:b/>
                <w:noProof/>
                <w:sz w:val="16"/>
              </w:rPr>
              <w:t xml:space="preserve">wieloletnich ram finansowych </w:t>
            </w:r>
          </w:p>
          <w:p w14:paraId="67ED8BC8" w14:textId="77777777" w:rsidR="0037165D" w:rsidRPr="002866E5" w:rsidRDefault="0037165D" w:rsidP="00881943">
            <w:pPr>
              <w:spacing w:before="0" w:after="0" w:line="200" w:lineRule="exact"/>
              <w:jc w:val="center"/>
              <w:rPr>
                <w:b/>
                <w:noProof/>
                <w:sz w:val="16"/>
                <w:szCs w:val="16"/>
              </w:rPr>
            </w:pPr>
          </w:p>
        </w:tc>
        <w:tc>
          <w:tcPr>
            <w:tcW w:w="1080" w:type="dxa"/>
            <w:vAlign w:val="center"/>
          </w:tcPr>
          <w:p w14:paraId="67ED8BC9" w14:textId="77777777" w:rsidR="0037165D" w:rsidRPr="002866E5" w:rsidRDefault="0037165D" w:rsidP="00881943">
            <w:pPr>
              <w:spacing w:before="60" w:after="60" w:line="200" w:lineRule="exact"/>
              <w:jc w:val="right"/>
              <w:rPr>
                <w:noProof/>
                <w:sz w:val="16"/>
                <w:szCs w:val="16"/>
              </w:rPr>
            </w:pPr>
          </w:p>
        </w:tc>
        <w:tc>
          <w:tcPr>
            <w:tcW w:w="1080" w:type="dxa"/>
            <w:vAlign w:val="center"/>
          </w:tcPr>
          <w:p w14:paraId="67ED8BCA" w14:textId="77777777" w:rsidR="0037165D" w:rsidRPr="002866E5" w:rsidRDefault="0037165D" w:rsidP="00881943">
            <w:pPr>
              <w:spacing w:before="60" w:after="60" w:line="200" w:lineRule="exact"/>
              <w:jc w:val="right"/>
              <w:rPr>
                <w:noProof/>
                <w:sz w:val="16"/>
                <w:szCs w:val="16"/>
              </w:rPr>
            </w:pPr>
          </w:p>
        </w:tc>
        <w:tc>
          <w:tcPr>
            <w:tcW w:w="1080" w:type="dxa"/>
            <w:vAlign w:val="center"/>
          </w:tcPr>
          <w:p w14:paraId="67ED8BCB" w14:textId="77777777" w:rsidR="0037165D" w:rsidRPr="002866E5" w:rsidRDefault="0037165D" w:rsidP="00881943">
            <w:pPr>
              <w:spacing w:before="60" w:after="60" w:line="200" w:lineRule="exact"/>
              <w:jc w:val="right"/>
              <w:rPr>
                <w:noProof/>
                <w:sz w:val="16"/>
                <w:szCs w:val="16"/>
              </w:rPr>
            </w:pPr>
          </w:p>
        </w:tc>
        <w:tc>
          <w:tcPr>
            <w:tcW w:w="1080" w:type="dxa"/>
            <w:vAlign w:val="center"/>
          </w:tcPr>
          <w:p w14:paraId="67ED8BCC" w14:textId="77777777" w:rsidR="0037165D" w:rsidRPr="002866E5" w:rsidRDefault="0037165D" w:rsidP="00881943">
            <w:pPr>
              <w:spacing w:before="60" w:after="60" w:line="200" w:lineRule="exact"/>
              <w:jc w:val="right"/>
              <w:rPr>
                <w:noProof/>
                <w:sz w:val="16"/>
                <w:szCs w:val="16"/>
              </w:rPr>
            </w:pPr>
          </w:p>
        </w:tc>
        <w:tc>
          <w:tcPr>
            <w:tcW w:w="1080" w:type="dxa"/>
            <w:vAlign w:val="center"/>
          </w:tcPr>
          <w:p w14:paraId="67ED8BCD" w14:textId="77777777" w:rsidR="0037165D" w:rsidRPr="002866E5" w:rsidRDefault="0037165D" w:rsidP="00881943">
            <w:pPr>
              <w:spacing w:before="60" w:after="60" w:line="200" w:lineRule="exact"/>
              <w:jc w:val="right"/>
              <w:rPr>
                <w:b/>
                <w:noProof/>
                <w:sz w:val="16"/>
                <w:szCs w:val="16"/>
              </w:rPr>
            </w:pPr>
          </w:p>
        </w:tc>
      </w:tr>
      <w:tr w:rsidR="0037165D" w:rsidRPr="002866E5" w14:paraId="67ED8BD5" w14:textId="77777777" w:rsidTr="0031667A">
        <w:trPr>
          <w:trHeight w:val="585"/>
        </w:trPr>
        <w:tc>
          <w:tcPr>
            <w:tcW w:w="1980" w:type="dxa"/>
            <w:vAlign w:val="center"/>
          </w:tcPr>
          <w:p w14:paraId="67ED8BCF" w14:textId="77777777" w:rsidR="0037165D" w:rsidRPr="002866E5" w:rsidRDefault="0037165D" w:rsidP="00881943">
            <w:pPr>
              <w:spacing w:before="60" w:after="60" w:line="200" w:lineRule="exact"/>
              <w:ind w:left="72"/>
              <w:jc w:val="left"/>
              <w:rPr>
                <w:noProof/>
                <w:sz w:val="16"/>
                <w:szCs w:val="16"/>
              </w:rPr>
            </w:pPr>
            <w:r w:rsidRPr="002866E5">
              <w:rPr>
                <w:noProof/>
                <w:sz w:val="16"/>
              </w:rPr>
              <w:t xml:space="preserve">Zasoby ludzkie </w:t>
            </w:r>
          </w:p>
        </w:tc>
        <w:tc>
          <w:tcPr>
            <w:tcW w:w="1080" w:type="dxa"/>
            <w:vAlign w:val="center"/>
          </w:tcPr>
          <w:p w14:paraId="67ED8BD0" w14:textId="77777777" w:rsidR="0037165D" w:rsidRPr="002866E5" w:rsidRDefault="0037165D" w:rsidP="00881943">
            <w:pPr>
              <w:spacing w:before="60" w:after="60" w:line="200" w:lineRule="exact"/>
              <w:jc w:val="right"/>
              <w:rPr>
                <w:noProof/>
                <w:sz w:val="16"/>
                <w:szCs w:val="16"/>
              </w:rPr>
            </w:pPr>
          </w:p>
        </w:tc>
        <w:tc>
          <w:tcPr>
            <w:tcW w:w="1080" w:type="dxa"/>
            <w:vAlign w:val="center"/>
          </w:tcPr>
          <w:p w14:paraId="67ED8BD1" w14:textId="77777777" w:rsidR="0037165D" w:rsidRPr="002866E5" w:rsidRDefault="0037165D" w:rsidP="00881943">
            <w:pPr>
              <w:spacing w:before="60" w:after="60" w:line="200" w:lineRule="exact"/>
              <w:jc w:val="right"/>
              <w:rPr>
                <w:noProof/>
                <w:sz w:val="16"/>
                <w:szCs w:val="16"/>
              </w:rPr>
            </w:pPr>
          </w:p>
        </w:tc>
        <w:tc>
          <w:tcPr>
            <w:tcW w:w="1080" w:type="dxa"/>
            <w:vAlign w:val="center"/>
          </w:tcPr>
          <w:p w14:paraId="67ED8BD2" w14:textId="77777777" w:rsidR="0037165D" w:rsidRPr="002866E5" w:rsidRDefault="0037165D" w:rsidP="00881943">
            <w:pPr>
              <w:spacing w:before="60" w:after="60" w:line="200" w:lineRule="exact"/>
              <w:jc w:val="right"/>
              <w:rPr>
                <w:noProof/>
                <w:sz w:val="16"/>
                <w:szCs w:val="16"/>
              </w:rPr>
            </w:pPr>
          </w:p>
        </w:tc>
        <w:tc>
          <w:tcPr>
            <w:tcW w:w="1080" w:type="dxa"/>
            <w:vAlign w:val="center"/>
          </w:tcPr>
          <w:p w14:paraId="67ED8BD3" w14:textId="77777777" w:rsidR="0037165D" w:rsidRPr="002866E5" w:rsidRDefault="0037165D" w:rsidP="00881943">
            <w:pPr>
              <w:spacing w:before="60" w:after="60" w:line="200" w:lineRule="exact"/>
              <w:jc w:val="right"/>
              <w:rPr>
                <w:noProof/>
                <w:sz w:val="16"/>
                <w:szCs w:val="16"/>
              </w:rPr>
            </w:pPr>
          </w:p>
        </w:tc>
        <w:tc>
          <w:tcPr>
            <w:tcW w:w="1080" w:type="dxa"/>
            <w:vAlign w:val="center"/>
          </w:tcPr>
          <w:p w14:paraId="67ED8BD4" w14:textId="77777777" w:rsidR="0037165D" w:rsidRPr="002866E5" w:rsidRDefault="0037165D" w:rsidP="00881943">
            <w:pPr>
              <w:spacing w:before="60" w:after="60" w:line="200" w:lineRule="exact"/>
              <w:jc w:val="right"/>
              <w:rPr>
                <w:b/>
                <w:noProof/>
                <w:sz w:val="16"/>
                <w:szCs w:val="16"/>
              </w:rPr>
            </w:pPr>
          </w:p>
        </w:tc>
      </w:tr>
      <w:tr w:rsidR="0037165D" w:rsidRPr="002866E5" w14:paraId="67ED8BDC" w14:textId="77777777" w:rsidTr="0031667A">
        <w:trPr>
          <w:trHeight w:val="585"/>
        </w:trPr>
        <w:tc>
          <w:tcPr>
            <w:tcW w:w="1980" w:type="dxa"/>
            <w:vAlign w:val="center"/>
          </w:tcPr>
          <w:p w14:paraId="67ED8BD6" w14:textId="00E5F5FD" w:rsidR="0037165D" w:rsidRPr="002866E5" w:rsidRDefault="0037165D" w:rsidP="002866E5">
            <w:pPr>
              <w:spacing w:before="60" w:after="60" w:line="200" w:lineRule="exact"/>
              <w:ind w:left="72"/>
              <w:jc w:val="left"/>
              <w:rPr>
                <w:noProof/>
                <w:sz w:val="16"/>
                <w:szCs w:val="16"/>
              </w:rPr>
            </w:pPr>
            <w:r w:rsidRPr="002866E5">
              <w:rPr>
                <w:noProof/>
                <w:sz w:val="16"/>
              </w:rPr>
              <w:t>Pozostałe wydatki</w:t>
            </w:r>
            <w:r w:rsidRPr="002866E5">
              <w:rPr>
                <w:noProof/>
              </w:rPr>
              <w:t xml:space="preserve"> </w:t>
            </w:r>
            <w:r w:rsidRPr="002866E5">
              <w:rPr>
                <w:noProof/>
              </w:rPr>
              <w:br/>
            </w:r>
            <w:r w:rsidRPr="002866E5">
              <w:rPr>
                <w:noProof/>
                <w:sz w:val="16"/>
              </w:rPr>
              <w:t>o charakterze administracyjnym</w:t>
            </w:r>
          </w:p>
        </w:tc>
        <w:tc>
          <w:tcPr>
            <w:tcW w:w="1080" w:type="dxa"/>
            <w:vAlign w:val="center"/>
          </w:tcPr>
          <w:p w14:paraId="67ED8BD7" w14:textId="77777777" w:rsidR="0037165D" w:rsidRPr="002866E5" w:rsidRDefault="0037165D" w:rsidP="00881943">
            <w:pPr>
              <w:spacing w:before="60" w:after="60" w:line="200" w:lineRule="exact"/>
              <w:jc w:val="right"/>
              <w:rPr>
                <w:noProof/>
                <w:sz w:val="16"/>
                <w:szCs w:val="16"/>
              </w:rPr>
            </w:pPr>
          </w:p>
        </w:tc>
        <w:tc>
          <w:tcPr>
            <w:tcW w:w="1080" w:type="dxa"/>
            <w:vAlign w:val="center"/>
          </w:tcPr>
          <w:p w14:paraId="67ED8BD8" w14:textId="77777777" w:rsidR="0037165D" w:rsidRPr="002866E5" w:rsidRDefault="0037165D" w:rsidP="00881943">
            <w:pPr>
              <w:spacing w:before="60" w:after="60" w:line="200" w:lineRule="exact"/>
              <w:jc w:val="right"/>
              <w:rPr>
                <w:noProof/>
                <w:sz w:val="16"/>
                <w:szCs w:val="16"/>
              </w:rPr>
            </w:pPr>
          </w:p>
        </w:tc>
        <w:tc>
          <w:tcPr>
            <w:tcW w:w="1080" w:type="dxa"/>
            <w:vAlign w:val="center"/>
          </w:tcPr>
          <w:p w14:paraId="67ED8BD9" w14:textId="77777777" w:rsidR="0037165D" w:rsidRPr="002866E5" w:rsidRDefault="0037165D" w:rsidP="00881943">
            <w:pPr>
              <w:spacing w:before="60" w:after="60" w:line="200" w:lineRule="exact"/>
              <w:jc w:val="right"/>
              <w:rPr>
                <w:noProof/>
                <w:sz w:val="16"/>
                <w:szCs w:val="16"/>
              </w:rPr>
            </w:pPr>
          </w:p>
        </w:tc>
        <w:tc>
          <w:tcPr>
            <w:tcW w:w="1080" w:type="dxa"/>
            <w:vAlign w:val="center"/>
          </w:tcPr>
          <w:p w14:paraId="67ED8BDA" w14:textId="77777777" w:rsidR="0037165D" w:rsidRPr="002866E5" w:rsidRDefault="0037165D" w:rsidP="00881943">
            <w:pPr>
              <w:spacing w:before="60" w:after="60" w:line="200" w:lineRule="exact"/>
              <w:jc w:val="right"/>
              <w:rPr>
                <w:noProof/>
                <w:sz w:val="16"/>
                <w:szCs w:val="16"/>
              </w:rPr>
            </w:pPr>
          </w:p>
        </w:tc>
        <w:tc>
          <w:tcPr>
            <w:tcW w:w="1080" w:type="dxa"/>
            <w:vAlign w:val="center"/>
          </w:tcPr>
          <w:p w14:paraId="67ED8BDB" w14:textId="77777777" w:rsidR="0037165D" w:rsidRPr="002866E5" w:rsidRDefault="0037165D" w:rsidP="00881943">
            <w:pPr>
              <w:spacing w:before="60" w:after="60" w:line="200" w:lineRule="exact"/>
              <w:jc w:val="right"/>
              <w:rPr>
                <w:b/>
                <w:noProof/>
                <w:sz w:val="16"/>
                <w:szCs w:val="16"/>
              </w:rPr>
            </w:pPr>
          </w:p>
        </w:tc>
      </w:tr>
      <w:tr w:rsidR="0037165D" w:rsidRPr="002866E5" w14:paraId="67ED8BE3" w14:textId="77777777" w:rsidTr="0031667A">
        <w:trPr>
          <w:trHeight w:val="585"/>
        </w:trPr>
        <w:tc>
          <w:tcPr>
            <w:tcW w:w="1980" w:type="dxa"/>
            <w:shd w:val="clear" w:color="auto" w:fill="CCCCCC"/>
            <w:vAlign w:val="center"/>
          </w:tcPr>
          <w:p w14:paraId="67ED8BDD" w14:textId="75FE1D3D" w:rsidR="0037165D" w:rsidRPr="002866E5" w:rsidRDefault="0037165D" w:rsidP="002866E5">
            <w:pPr>
              <w:spacing w:before="60" w:after="60" w:line="200" w:lineRule="exact"/>
              <w:jc w:val="center"/>
              <w:rPr>
                <w:b/>
                <w:noProof/>
                <w:sz w:val="16"/>
                <w:szCs w:val="16"/>
              </w:rPr>
            </w:pPr>
            <w:r w:rsidRPr="002866E5">
              <w:rPr>
                <w:b/>
                <w:noProof/>
                <w:sz w:val="16"/>
              </w:rPr>
              <w:t>Suma cząstkowa</w:t>
            </w:r>
            <w:r w:rsidRPr="002866E5">
              <w:rPr>
                <w:noProof/>
              </w:rPr>
              <w:t xml:space="preserve"> </w:t>
            </w:r>
            <w:r w:rsidRPr="002866E5">
              <w:rPr>
                <w:noProof/>
              </w:rPr>
              <w:br/>
            </w:r>
            <w:r w:rsidRPr="002866E5">
              <w:rPr>
                <w:b/>
                <w:noProof/>
                <w:sz w:val="16"/>
              </w:rPr>
              <w:t>poza DZIAŁEM 7</w:t>
            </w:r>
            <w:r w:rsidRPr="002866E5">
              <w:rPr>
                <w:noProof/>
              </w:rPr>
              <w:t xml:space="preserve"> </w:t>
            </w:r>
            <w:r w:rsidRPr="002866E5">
              <w:rPr>
                <w:noProof/>
              </w:rPr>
              <w:br/>
            </w:r>
            <w:r w:rsidRPr="002866E5">
              <w:rPr>
                <w:b/>
                <w:noProof/>
                <w:sz w:val="16"/>
              </w:rPr>
              <w:t xml:space="preserve">wieloletnich ram finansowych </w:t>
            </w:r>
          </w:p>
        </w:tc>
        <w:tc>
          <w:tcPr>
            <w:tcW w:w="1080" w:type="dxa"/>
            <w:vAlign w:val="center"/>
          </w:tcPr>
          <w:p w14:paraId="67ED8BDE" w14:textId="77777777" w:rsidR="0037165D" w:rsidRPr="002866E5" w:rsidRDefault="0037165D" w:rsidP="00881943">
            <w:pPr>
              <w:spacing w:before="60" w:after="60" w:line="200" w:lineRule="exact"/>
              <w:jc w:val="right"/>
              <w:rPr>
                <w:noProof/>
                <w:sz w:val="16"/>
                <w:szCs w:val="16"/>
              </w:rPr>
            </w:pPr>
          </w:p>
        </w:tc>
        <w:tc>
          <w:tcPr>
            <w:tcW w:w="1080" w:type="dxa"/>
            <w:vAlign w:val="center"/>
          </w:tcPr>
          <w:p w14:paraId="67ED8BDF" w14:textId="77777777" w:rsidR="0037165D" w:rsidRPr="002866E5" w:rsidRDefault="0037165D" w:rsidP="00881943">
            <w:pPr>
              <w:spacing w:before="60" w:after="60" w:line="200" w:lineRule="exact"/>
              <w:jc w:val="right"/>
              <w:rPr>
                <w:noProof/>
                <w:sz w:val="16"/>
                <w:szCs w:val="16"/>
              </w:rPr>
            </w:pPr>
          </w:p>
        </w:tc>
        <w:tc>
          <w:tcPr>
            <w:tcW w:w="1080" w:type="dxa"/>
            <w:vAlign w:val="center"/>
          </w:tcPr>
          <w:p w14:paraId="67ED8BE0" w14:textId="77777777" w:rsidR="0037165D" w:rsidRPr="002866E5" w:rsidRDefault="0037165D" w:rsidP="00881943">
            <w:pPr>
              <w:spacing w:before="60" w:after="60" w:line="200" w:lineRule="exact"/>
              <w:jc w:val="right"/>
              <w:rPr>
                <w:noProof/>
                <w:sz w:val="16"/>
                <w:szCs w:val="16"/>
              </w:rPr>
            </w:pPr>
          </w:p>
        </w:tc>
        <w:tc>
          <w:tcPr>
            <w:tcW w:w="1080" w:type="dxa"/>
            <w:vAlign w:val="center"/>
          </w:tcPr>
          <w:p w14:paraId="67ED8BE1" w14:textId="77777777" w:rsidR="0037165D" w:rsidRPr="002866E5" w:rsidRDefault="0037165D" w:rsidP="00881943">
            <w:pPr>
              <w:spacing w:before="60" w:after="60" w:line="200" w:lineRule="exact"/>
              <w:jc w:val="right"/>
              <w:rPr>
                <w:noProof/>
                <w:sz w:val="16"/>
                <w:szCs w:val="16"/>
              </w:rPr>
            </w:pPr>
          </w:p>
        </w:tc>
        <w:tc>
          <w:tcPr>
            <w:tcW w:w="1080" w:type="dxa"/>
            <w:vAlign w:val="center"/>
          </w:tcPr>
          <w:p w14:paraId="67ED8BE2" w14:textId="77777777" w:rsidR="0037165D" w:rsidRPr="002866E5" w:rsidRDefault="0037165D" w:rsidP="00881943">
            <w:pPr>
              <w:spacing w:before="60" w:after="60" w:line="200" w:lineRule="exact"/>
              <w:jc w:val="right"/>
              <w:rPr>
                <w:b/>
                <w:noProof/>
                <w:sz w:val="16"/>
                <w:szCs w:val="16"/>
              </w:rPr>
            </w:pPr>
          </w:p>
        </w:tc>
      </w:tr>
    </w:tbl>
    <w:p w14:paraId="67ED8BE4" w14:textId="77777777" w:rsidR="0037165D" w:rsidRPr="002866E5" w:rsidRDefault="0037165D" w:rsidP="00881943">
      <w:pPr>
        <w:spacing w:line="200" w:lineRule="exact"/>
        <w:rPr>
          <w:noProof/>
          <w:sz w:val="16"/>
          <w:szCs w:val="16"/>
        </w:rPr>
      </w:pPr>
    </w:p>
    <w:tbl>
      <w:tblPr>
        <w:tblW w:w="7380" w:type="dxa"/>
        <w:tblInd w:w="-612" w:type="dxa"/>
        <w:tblLayout w:type="fixed"/>
        <w:tblLook w:val="01E0" w:firstRow="1" w:lastRow="1" w:firstColumn="1" w:lastColumn="1" w:noHBand="0" w:noVBand="0"/>
      </w:tblPr>
      <w:tblGrid>
        <w:gridCol w:w="1980"/>
        <w:gridCol w:w="1080"/>
        <w:gridCol w:w="1080"/>
        <w:gridCol w:w="1080"/>
        <w:gridCol w:w="1080"/>
        <w:gridCol w:w="1080"/>
      </w:tblGrid>
      <w:tr w:rsidR="0037165D" w:rsidRPr="002866E5" w14:paraId="67ED8BEB" w14:textId="77777777" w:rsidTr="0031667A">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14:paraId="67ED8BE5" w14:textId="77777777" w:rsidR="0037165D" w:rsidRPr="002866E5" w:rsidRDefault="0037165D" w:rsidP="00881943">
            <w:pPr>
              <w:spacing w:before="60" w:after="60" w:line="200" w:lineRule="exact"/>
              <w:jc w:val="center"/>
              <w:rPr>
                <w:noProof/>
                <w:sz w:val="16"/>
                <w:szCs w:val="16"/>
              </w:rPr>
            </w:pPr>
            <w:r w:rsidRPr="002866E5">
              <w:rPr>
                <w:b/>
                <w:noProof/>
                <w:sz w:val="16"/>
              </w:rPr>
              <w:t>OGÓŁEM</w:t>
            </w:r>
          </w:p>
        </w:tc>
        <w:tc>
          <w:tcPr>
            <w:tcW w:w="1080" w:type="dxa"/>
            <w:tcBorders>
              <w:top w:val="single" w:sz="12" w:space="0" w:color="auto"/>
              <w:left w:val="single" w:sz="2" w:space="0" w:color="auto"/>
              <w:bottom w:val="single" w:sz="12" w:space="0" w:color="auto"/>
              <w:right w:val="single" w:sz="2" w:space="0" w:color="auto"/>
            </w:tcBorders>
          </w:tcPr>
          <w:p w14:paraId="67ED8BE6" w14:textId="77777777" w:rsidR="0037165D" w:rsidRPr="002866E5" w:rsidRDefault="00AD2273" w:rsidP="00881943">
            <w:pPr>
              <w:spacing w:before="60" w:after="60" w:line="200" w:lineRule="exact"/>
              <w:jc w:val="right"/>
              <w:rPr>
                <w:b/>
                <w:noProof/>
                <w:sz w:val="16"/>
                <w:szCs w:val="16"/>
              </w:rPr>
            </w:pPr>
            <w:r w:rsidRPr="002866E5">
              <w:rPr>
                <w:noProof/>
                <w:sz w:val="16"/>
              </w:rPr>
              <w:t>1,252</w:t>
            </w:r>
          </w:p>
        </w:tc>
        <w:tc>
          <w:tcPr>
            <w:tcW w:w="1080" w:type="dxa"/>
            <w:tcBorders>
              <w:top w:val="single" w:sz="12" w:space="0" w:color="auto"/>
              <w:left w:val="single" w:sz="2" w:space="0" w:color="auto"/>
              <w:bottom w:val="single" w:sz="12" w:space="0" w:color="auto"/>
              <w:right w:val="single" w:sz="2" w:space="0" w:color="auto"/>
            </w:tcBorders>
          </w:tcPr>
          <w:p w14:paraId="67ED8BE7" w14:textId="77777777" w:rsidR="0037165D" w:rsidRPr="002866E5" w:rsidRDefault="003866CC" w:rsidP="00881943">
            <w:pPr>
              <w:spacing w:before="60" w:after="60" w:line="200" w:lineRule="exact"/>
              <w:jc w:val="right"/>
              <w:rPr>
                <w:b/>
                <w:noProof/>
                <w:sz w:val="16"/>
                <w:szCs w:val="16"/>
              </w:rPr>
            </w:pPr>
            <w:r w:rsidRPr="002866E5">
              <w:rPr>
                <w:noProof/>
                <w:sz w:val="16"/>
              </w:rPr>
              <w:t>1,252</w:t>
            </w:r>
          </w:p>
        </w:tc>
        <w:tc>
          <w:tcPr>
            <w:tcW w:w="1080" w:type="dxa"/>
            <w:tcBorders>
              <w:top w:val="single" w:sz="12" w:space="0" w:color="auto"/>
              <w:left w:val="single" w:sz="2" w:space="0" w:color="auto"/>
              <w:bottom w:val="single" w:sz="12" w:space="0" w:color="auto"/>
              <w:right w:val="single" w:sz="2" w:space="0" w:color="auto"/>
            </w:tcBorders>
          </w:tcPr>
          <w:p w14:paraId="67ED8BE8" w14:textId="77777777" w:rsidR="0037165D" w:rsidRPr="002866E5" w:rsidRDefault="003866CC" w:rsidP="00881943">
            <w:pPr>
              <w:spacing w:before="60" w:after="60" w:line="200" w:lineRule="exact"/>
              <w:jc w:val="right"/>
              <w:rPr>
                <w:b/>
                <w:noProof/>
                <w:sz w:val="16"/>
                <w:szCs w:val="16"/>
              </w:rPr>
            </w:pPr>
            <w:r w:rsidRPr="002866E5">
              <w:rPr>
                <w:noProof/>
                <w:sz w:val="16"/>
              </w:rPr>
              <w:t>1,252</w:t>
            </w:r>
          </w:p>
        </w:tc>
        <w:tc>
          <w:tcPr>
            <w:tcW w:w="1080" w:type="dxa"/>
            <w:tcBorders>
              <w:top w:val="single" w:sz="12" w:space="0" w:color="auto"/>
              <w:left w:val="single" w:sz="2" w:space="0" w:color="auto"/>
              <w:bottom w:val="single" w:sz="12" w:space="0" w:color="auto"/>
              <w:right w:val="single" w:sz="2" w:space="0" w:color="auto"/>
            </w:tcBorders>
          </w:tcPr>
          <w:p w14:paraId="67ED8BE9" w14:textId="77777777" w:rsidR="0037165D" w:rsidRPr="002866E5" w:rsidRDefault="003866CC" w:rsidP="00881943">
            <w:pPr>
              <w:spacing w:before="60" w:after="60" w:line="200" w:lineRule="exact"/>
              <w:jc w:val="right"/>
              <w:rPr>
                <w:b/>
                <w:noProof/>
                <w:sz w:val="16"/>
                <w:szCs w:val="16"/>
              </w:rPr>
            </w:pPr>
            <w:r w:rsidRPr="002866E5">
              <w:rPr>
                <w:noProof/>
                <w:sz w:val="16"/>
              </w:rPr>
              <w:t>1,252</w:t>
            </w:r>
          </w:p>
        </w:tc>
        <w:tc>
          <w:tcPr>
            <w:tcW w:w="1080" w:type="dxa"/>
            <w:tcBorders>
              <w:top w:val="single" w:sz="12" w:space="0" w:color="auto"/>
              <w:left w:val="single" w:sz="2" w:space="0" w:color="auto"/>
              <w:bottom w:val="single" w:sz="12" w:space="0" w:color="auto"/>
              <w:right w:val="single" w:sz="12" w:space="0" w:color="auto"/>
            </w:tcBorders>
            <w:vAlign w:val="center"/>
          </w:tcPr>
          <w:p w14:paraId="67ED8BEA" w14:textId="77777777" w:rsidR="0037165D" w:rsidRPr="002866E5" w:rsidRDefault="003866CC" w:rsidP="00881943">
            <w:pPr>
              <w:spacing w:before="60" w:after="60" w:line="200" w:lineRule="exact"/>
              <w:jc w:val="right"/>
              <w:rPr>
                <w:b/>
                <w:noProof/>
                <w:sz w:val="16"/>
                <w:szCs w:val="16"/>
              </w:rPr>
            </w:pPr>
            <w:r w:rsidRPr="002866E5">
              <w:rPr>
                <w:b/>
                <w:noProof/>
                <w:sz w:val="16"/>
              </w:rPr>
              <w:t>5,008</w:t>
            </w:r>
          </w:p>
        </w:tc>
      </w:tr>
    </w:tbl>
    <w:p w14:paraId="67ED8BEC" w14:textId="31F99D92" w:rsidR="0037165D" w:rsidRPr="002866E5" w:rsidRDefault="0037165D" w:rsidP="00881943">
      <w:pPr>
        <w:rPr>
          <w:noProof/>
          <w:sz w:val="18"/>
        </w:rPr>
      </w:pPr>
      <w:r w:rsidRPr="002866E5">
        <w:rPr>
          <w:noProof/>
          <w:sz w:val="18"/>
        </w:rPr>
        <w:t>Potrzeby</w:t>
      </w:r>
      <w:r w:rsidR="008B35E8" w:rsidRPr="002866E5">
        <w:rPr>
          <w:noProof/>
          <w:sz w:val="18"/>
        </w:rPr>
        <w:t xml:space="preserve"> w</w:t>
      </w:r>
      <w:r w:rsidR="008B35E8">
        <w:rPr>
          <w:noProof/>
          <w:sz w:val="18"/>
        </w:rPr>
        <w:t> </w:t>
      </w:r>
      <w:r w:rsidR="008B35E8" w:rsidRPr="002866E5">
        <w:rPr>
          <w:noProof/>
          <w:sz w:val="18"/>
        </w:rPr>
        <w:t>zak</w:t>
      </w:r>
      <w:r w:rsidRPr="002866E5">
        <w:rPr>
          <w:noProof/>
          <w:sz w:val="18"/>
        </w:rPr>
        <w:t>resie środków na zasoby ludzkie</w:t>
      </w:r>
      <w:r w:rsidR="008B35E8" w:rsidRPr="002866E5">
        <w:rPr>
          <w:noProof/>
          <w:sz w:val="18"/>
        </w:rPr>
        <w:t xml:space="preserve"> i</w:t>
      </w:r>
      <w:r w:rsidR="008B35E8">
        <w:rPr>
          <w:noProof/>
          <w:sz w:val="18"/>
        </w:rPr>
        <w:t> </w:t>
      </w:r>
      <w:r w:rsidR="008B35E8" w:rsidRPr="002866E5">
        <w:rPr>
          <w:noProof/>
          <w:sz w:val="18"/>
        </w:rPr>
        <w:t>inn</w:t>
      </w:r>
      <w:r w:rsidRPr="002866E5">
        <w:rPr>
          <w:noProof/>
          <w:sz w:val="18"/>
        </w:rPr>
        <w:t>e wydatki</w:t>
      </w:r>
      <w:r w:rsidR="008B35E8" w:rsidRPr="002866E5">
        <w:rPr>
          <w:noProof/>
          <w:sz w:val="18"/>
        </w:rPr>
        <w:t xml:space="preserve"> o</w:t>
      </w:r>
      <w:r w:rsidR="008B35E8">
        <w:rPr>
          <w:noProof/>
          <w:sz w:val="18"/>
        </w:rPr>
        <w:t> </w:t>
      </w:r>
      <w:r w:rsidR="008B35E8" w:rsidRPr="002866E5">
        <w:rPr>
          <w:noProof/>
          <w:sz w:val="18"/>
        </w:rPr>
        <w:t>cha</w:t>
      </w:r>
      <w:r w:rsidRPr="002866E5">
        <w:rPr>
          <w:noProof/>
          <w:sz w:val="18"/>
        </w:rPr>
        <w:t>rakterze administracyjnym zostaną pokryte</w:t>
      </w:r>
      <w:r w:rsidR="008B35E8" w:rsidRPr="002866E5">
        <w:rPr>
          <w:noProof/>
          <w:sz w:val="18"/>
        </w:rPr>
        <w:t xml:space="preserve"> z</w:t>
      </w:r>
      <w:r w:rsidR="008B35E8">
        <w:rPr>
          <w:noProof/>
          <w:sz w:val="18"/>
        </w:rPr>
        <w:t> </w:t>
      </w:r>
      <w:r w:rsidR="008B35E8" w:rsidRPr="002866E5">
        <w:rPr>
          <w:noProof/>
          <w:sz w:val="18"/>
        </w:rPr>
        <w:t>zas</w:t>
      </w:r>
      <w:r w:rsidRPr="002866E5">
        <w:rPr>
          <w:noProof/>
          <w:sz w:val="18"/>
        </w:rPr>
        <w:t>obów dyrekcji generalnej już przydzielonych na zarządzanie tym działaniem lub przesuniętych</w:t>
      </w:r>
      <w:r w:rsidR="008B35E8" w:rsidRPr="002866E5">
        <w:rPr>
          <w:noProof/>
          <w:sz w:val="18"/>
        </w:rPr>
        <w:t xml:space="preserve"> w</w:t>
      </w:r>
      <w:r w:rsidR="008B35E8">
        <w:rPr>
          <w:noProof/>
          <w:sz w:val="18"/>
        </w:rPr>
        <w:t> </w:t>
      </w:r>
      <w:r w:rsidR="008B35E8" w:rsidRPr="002866E5">
        <w:rPr>
          <w:noProof/>
          <w:sz w:val="18"/>
        </w:rPr>
        <w:t>ram</w:t>
      </w:r>
      <w:r w:rsidRPr="002866E5">
        <w:rPr>
          <w:noProof/>
          <w:sz w:val="18"/>
        </w:rPr>
        <w:t>ach dyrekcji generalnej, uzupełnionych</w:t>
      </w:r>
      <w:r w:rsidR="008B35E8" w:rsidRPr="002866E5">
        <w:rPr>
          <w:noProof/>
          <w:sz w:val="18"/>
        </w:rPr>
        <w:t xml:space="preserve"> w</w:t>
      </w:r>
      <w:r w:rsidR="008B35E8">
        <w:rPr>
          <w:noProof/>
          <w:sz w:val="18"/>
        </w:rPr>
        <w:t> </w:t>
      </w:r>
      <w:r w:rsidR="008B35E8" w:rsidRPr="002866E5">
        <w:rPr>
          <w:noProof/>
          <w:sz w:val="18"/>
        </w:rPr>
        <w:t>raz</w:t>
      </w:r>
      <w:r w:rsidRPr="002866E5">
        <w:rPr>
          <w:noProof/>
          <w:sz w:val="18"/>
        </w:rPr>
        <w:t>ie potrzeby wszelkimi dodatkowymi zasobami, które mogą zostać przydzielone zarządzającej dyrekcji generalnej</w:t>
      </w:r>
      <w:r w:rsidR="008B35E8" w:rsidRPr="002866E5">
        <w:rPr>
          <w:noProof/>
          <w:sz w:val="18"/>
        </w:rPr>
        <w:t xml:space="preserve"> w</w:t>
      </w:r>
      <w:r w:rsidR="008B35E8">
        <w:rPr>
          <w:noProof/>
          <w:sz w:val="18"/>
        </w:rPr>
        <w:t> </w:t>
      </w:r>
      <w:r w:rsidR="008B35E8" w:rsidRPr="002866E5">
        <w:rPr>
          <w:noProof/>
          <w:sz w:val="18"/>
        </w:rPr>
        <w:t>ram</w:t>
      </w:r>
      <w:r w:rsidRPr="002866E5">
        <w:rPr>
          <w:noProof/>
          <w:sz w:val="18"/>
        </w:rPr>
        <w:t>ach procedury rocznego przydziału środków oraz</w:t>
      </w:r>
      <w:r w:rsidR="008B35E8" w:rsidRPr="002866E5">
        <w:rPr>
          <w:noProof/>
          <w:sz w:val="18"/>
        </w:rPr>
        <w:t xml:space="preserve"> w</w:t>
      </w:r>
      <w:r w:rsidR="008B35E8">
        <w:rPr>
          <w:noProof/>
          <w:sz w:val="18"/>
        </w:rPr>
        <w:t> </w:t>
      </w:r>
      <w:r w:rsidR="008B35E8" w:rsidRPr="002866E5">
        <w:rPr>
          <w:noProof/>
          <w:sz w:val="18"/>
        </w:rPr>
        <w:t>świ</w:t>
      </w:r>
      <w:r w:rsidRPr="002866E5">
        <w:rPr>
          <w:noProof/>
          <w:sz w:val="18"/>
        </w:rPr>
        <w:t>etle istniejących ograniczeń budżetowych.</w:t>
      </w:r>
    </w:p>
    <w:p w14:paraId="67ED8BED" w14:textId="77777777" w:rsidR="0037165D" w:rsidRPr="002866E5" w:rsidRDefault="0037165D" w:rsidP="00E5339B">
      <w:pPr>
        <w:rPr>
          <w:noProof/>
        </w:rPr>
      </w:pPr>
    </w:p>
    <w:p w14:paraId="67ED8BEE" w14:textId="77777777" w:rsidR="00F06987" w:rsidRPr="002866E5" w:rsidRDefault="00F06987" w:rsidP="00E5339B">
      <w:pPr>
        <w:rPr>
          <w:noProof/>
        </w:rPr>
        <w:sectPr w:rsidR="00F06987" w:rsidRPr="002866E5" w:rsidSect="00C00460">
          <w:headerReference w:type="default" r:id="rId22"/>
          <w:footerReference w:type="default" r:id="rId23"/>
          <w:headerReference w:type="first" r:id="rId24"/>
          <w:footerReference w:type="first" r:id="rId25"/>
          <w:pgSz w:w="11907" w:h="16840"/>
          <w:pgMar w:top="1134" w:right="1418" w:bottom="1134" w:left="1418" w:header="709" w:footer="709" w:gutter="0"/>
          <w:cols w:space="708"/>
          <w:docGrid w:linePitch="360"/>
        </w:sectPr>
      </w:pPr>
    </w:p>
    <w:p w14:paraId="67ED8BEF" w14:textId="47741054" w:rsidR="0037165D" w:rsidRPr="002866E5" w:rsidRDefault="00B4087C" w:rsidP="00B4087C">
      <w:pPr>
        <w:pStyle w:val="ManualHeading4"/>
        <w:rPr>
          <w:bCs/>
          <w:noProof/>
          <w:szCs w:val="24"/>
        </w:rPr>
      </w:pPr>
      <w:r w:rsidRPr="00B4087C">
        <w:t>3.2.3.1.</w:t>
      </w:r>
      <w:r w:rsidRPr="00B4087C">
        <w:tab/>
      </w:r>
      <w:r w:rsidR="0037165D" w:rsidRPr="002866E5">
        <w:rPr>
          <w:noProof/>
        </w:rPr>
        <w:t xml:space="preserve">Szacowane zapotrzebowanie na zasoby ludzkie </w:t>
      </w:r>
    </w:p>
    <w:p w14:paraId="67ED8BF0" w14:textId="78CB13D0" w:rsidR="0037165D" w:rsidRPr="002866E5" w:rsidRDefault="0037165D" w:rsidP="00881943">
      <w:pPr>
        <w:pStyle w:val="ListDash1"/>
        <w:rPr>
          <w:noProof/>
        </w:rPr>
      </w:pPr>
      <w:r w:rsidRPr="002866E5">
        <w:rPr>
          <w:noProof/>
        </w:rPr>
        <w:sym w:font="Wingdings" w:char="F0A8"/>
      </w:r>
      <w:r w:rsidRPr="002866E5">
        <w:rPr>
          <w:noProof/>
        </w:rPr>
        <w:tab/>
        <w:t>Wniosek/inicjatywa nie wiąże się</w:t>
      </w:r>
      <w:r w:rsidR="008B35E8" w:rsidRPr="002866E5">
        <w:rPr>
          <w:noProof/>
        </w:rPr>
        <w:t xml:space="preserve"> z</w:t>
      </w:r>
      <w:r w:rsidR="008B35E8">
        <w:rPr>
          <w:noProof/>
        </w:rPr>
        <w:t> </w:t>
      </w:r>
      <w:r w:rsidR="008B35E8" w:rsidRPr="002866E5">
        <w:rPr>
          <w:noProof/>
        </w:rPr>
        <w:t>kon</w:t>
      </w:r>
      <w:r w:rsidRPr="002866E5">
        <w:rPr>
          <w:noProof/>
        </w:rPr>
        <w:t xml:space="preserve">iecznością wykorzystania zasobów ludzkich. </w:t>
      </w:r>
    </w:p>
    <w:p w14:paraId="67ED8BF1" w14:textId="38D6DC78" w:rsidR="0037165D" w:rsidRPr="002866E5" w:rsidRDefault="00F103C3" w:rsidP="00881943">
      <w:pPr>
        <w:pStyle w:val="ListDash1"/>
        <w:rPr>
          <w:noProof/>
        </w:rPr>
      </w:pPr>
      <w:r w:rsidRPr="002866E5">
        <w:rPr>
          <w:noProof/>
        </w:rPr>
        <w:sym w:font="Wingdings" w:char="F0FE"/>
      </w:r>
      <w:r w:rsidRPr="002866E5">
        <w:rPr>
          <w:noProof/>
        </w:rPr>
        <w:tab/>
        <w:t>Wniosek/inicjatywa wiąże się</w:t>
      </w:r>
      <w:r w:rsidR="008B35E8" w:rsidRPr="002866E5">
        <w:rPr>
          <w:noProof/>
        </w:rPr>
        <w:t xml:space="preserve"> z</w:t>
      </w:r>
      <w:r w:rsidR="008B35E8">
        <w:rPr>
          <w:noProof/>
        </w:rPr>
        <w:t> </w:t>
      </w:r>
      <w:r w:rsidR="008B35E8" w:rsidRPr="002866E5">
        <w:rPr>
          <w:noProof/>
        </w:rPr>
        <w:t>kon</w:t>
      </w:r>
      <w:r w:rsidRPr="002866E5">
        <w:rPr>
          <w:noProof/>
        </w:rPr>
        <w:t>iecznością wykorzystania zasobów ludzkich, jak określono poniżej:</w:t>
      </w:r>
    </w:p>
    <w:p w14:paraId="67ED8BF2" w14:textId="65BE7CB3" w:rsidR="0037165D" w:rsidRPr="002866E5" w:rsidRDefault="0037165D" w:rsidP="00881943">
      <w:pPr>
        <w:spacing w:after="60"/>
        <w:jc w:val="right"/>
        <w:rPr>
          <w:i/>
          <w:noProof/>
          <w:sz w:val="20"/>
        </w:rPr>
      </w:pPr>
      <w:r w:rsidRPr="002866E5">
        <w:rPr>
          <w:i/>
          <w:noProof/>
          <w:sz w:val="20"/>
        </w:rPr>
        <w:t>Wartości szacunkowe należy wyrazić</w:t>
      </w:r>
      <w:r w:rsidR="008B35E8" w:rsidRPr="002866E5">
        <w:rPr>
          <w:i/>
          <w:noProof/>
          <w:sz w:val="20"/>
        </w:rPr>
        <w:t xml:space="preserve"> w</w:t>
      </w:r>
      <w:r w:rsidR="008B35E8">
        <w:rPr>
          <w:i/>
          <w:noProof/>
          <w:sz w:val="20"/>
        </w:rPr>
        <w:t> </w:t>
      </w:r>
      <w:r w:rsidR="008B35E8" w:rsidRPr="002866E5">
        <w:rPr>
          <w:i/>
          <w:noProof/>
          <w:sz w:val="20"/>
        </w:rPr>
        <w:t>ekw</w:t>
      </w:r>
      <w:r w:rsidRPr="002866E5">
        <w:rPr>
          <w:i/>
          <w:noProof/>
          <w:sz w:val="20"/>
        </w:rPr>
        <w:t>iwalentach pełnego czasu pracy</w:t>
      </w:r>
    </w:p>
    <w:tbl>
      <w:tblPr>
        <w:tblW w:w="9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
        <w:gridCol w:w="2376"/>
        <w:gridCol w:w="2378"/>
        <w:gridCol w:w="731"/>
        <w:gridCol w:w="731"/>
        <w:gridCol w:w="731"/>
        <w:gridCol w:w="731"/>
        <w:gridCol w:w="2193"/>
      </w:tblGrid>
      <w:tr w:rsidR="0037165D" w:rsidRPr="002866E5" w14:paraId="67ED8BF8" w14:textId="77777777" w:rsidTr="00881943">
        <w:trPr>
          <w:gridBefore w:val="1"/>
          <w:gridAfter w:val="1"/>
          <w:wBefore w:w="15" w:type="dxa"/>
          <w:wAfter w:w="2193" w:type="dxa"/>
          <w:trHeight w:val="289"/>
          <w:jc w:val="center"/>
        </w:trPr>
        <w:tc>
          <w:tcPr>
            <w:tcW w:w="4754" w:type="dxa"/>
            <w:gridSpan w:val="2"/>
            <w:shd w:val="clear" w:color="auto" w:fill="auto"/>
          </w:tcPr>
          <w:p w14:paraId="67ED8BF3" w14:textId="77777777" w:rsidR="0037165D" w:rsidRPr="002866E5" w:rsidRDefault="0037165D" w:rsidP="00881943">
            <w:pPr>
              <w:pStyle w:val="Text1"/>
              <w:spacing w:before="40" w:after="40"/>
              <w:ind w:left="0"/>
              <w:jc w:val="center"/>
              <w:rPr>
                <w:i/>
                <w:noProof/>
                <w:sz w:val="16"/>
                <w:szCs w:val="16"/>
              </w:rPr>
            </w:pPr>
          </w:p>
        </w:tc>
        <w:tc>
          <w:tcPr>
            <w:tcW w:w="731" w:type="dxa"/>
            <w:shd w:val="clear" w:color="auto" w:fill="auto"/>
            <w:vAlign w:val="center"/>
          </w:tcPr>
          <w:p w14:paraId="67ED8BF4" w14:textId="77777777" w:rsidR="0037165D" w:rsidRPr="002866E5" w:rsidRDefault="00F103C3" w:rsidP="00881943">
            <w:pPr>
              <w:spacing w:before="20" w:after="20"/>
              <w:jc w:val="center"/>
              <w:rPr>
                <w:noProof/>
                <w:sz w:val="16"/>
                <w:szCs w:val="16"/>
              </w:rPr>
            </w:pPr>
            <w:r w:rsidRPr="002866E5">
              <w:rPr>
                <w:noProof/>
                <w:sz w:val="16"/>
              </w:rPr>
              <w:t>Rok</w:t>
            </w:r>
            <w:r w:rsidRPr="002866E5">
              <w:rPr>
                <w:noProof/>
              </w:rPr>
              <w:t xml:space="preserve"> </w:t>
            </w:r>
            <w:r w:rsidRPr="002866E5">
              <w:rPr>
                <w:noProof/>
              </w:rPr>
              <w:br/>
            </w:r>
            <w:r w:rsidRPr="002866E5">
              <w:rPr>
                <w:b/>
                <w:noProof/>
                <w:sz w:val="16"/>
              </w:rPr>
              <w:t>2024</w:t>
            </w:r>
          </w:p>
        </w:tc>
        <w:tc>
          <w:tcPr>
            <w:tcW w:w="731" w:type="dxa"/>
            <w:shd w:val="clear" w:color="auto" w:fill="auto"/>
            <w:vAlign w:val="center"/>
          </w:tcPr>
          <w:p w14:paraId="67ED8BF5" w14:textId="77777777" w:rsidR="0037165D" w:rsidRPr="002866E5" w:rsidRDefault="00F103C3" w:rsidP="00881943">
            <w:pPr>
              <w:spacing w:before="20" w:after="20"/>
              <w:jc w:val="center"/>
              <w:rPr>
                <w:noProof/>
                <w:sz w:val="16"/>
                <w:szCs w:val="16"/>
              </w:rPr>
            </w:pPr>
            <w:r w:rsidRPr="002866E5">
              <w:rPr>
                <w:noProof/>
                <w:sz w:val="16"/>
              </w:rPr>
              <w:t>Rok</w:t>
            </w:r>
            <w:r w:rsidRPr="002866E5">
              <w:rPr>
                <w:noProof/>
              </w:rPr>
              <w:t xml:space="preserve"> </w:t>
            </w:r>
            <w:r w:rsidRPr="002866E5">
              <w:rPr>
                <w:noProof/>
              </w:rPr>
              <w:br/>
            </w:r>
            <w:r w:rsidRPr="002866E5">
              <w:rPr>
                <w:b/>
                <w:noProof/>
                <w:sz w:val="16"/>
              </w:rPr>
              <w:t>2025</w:t>
            </w:r>
          </w:p>
        </w:tc>
        <w:tc>
          <w:tcPr>
            <w:tcW w:w="731" w:type="dxa"/>
            <w:shd w:val="clear" w:color="auto" w:fill="auto"/>
            <w:vAlign w:val="center"/>
          </w:tcPr>
          <w:p w14:paraId="67ED8BF6" w14:textId="77777777" w:rsidR="0037165D" w:rsidRPr="002866E5" w:rsidRDefault="00F103C3" w:rsidP="00881943">
            <w:pPr>
              <w:spacing w:before="20" w:after="20"/>
              <w:jc w:val="center"/>
              <w:rPr>
                <w:noProof/>
                <w:sz w:val="16"/>
                <w:szCs w:val="16"/>
              </w:rPr>
            </w:pPr>
            <w:r w:rsidRPr="002866E5">
              <w:rPr>
                <w:noProof/>
                <w:sz w:val="16"/>
              </w:rPr>
              <w:t>Rok</w:t>
            </w:r>
            <w:r w:rsidRPr="002866E5">
              <w:rPr>
                <w:noProof/>
              </w:rPr>
              <w:t xml:space="preserve"> </w:t>
            </w:r>
            <w:r w:rsidRPr="002866E5">
              <w:rPr>
                <w:noProof/>
              </w:rPr>
              <w:br/>
            </w:r>
            <w:r w:rsidRPr="002866E5">
              <w:rPr>
                <w:b/>
                <w:noProof/>
                <w:sz w:val="16"/>
              </w:rPr>
              <w:t>2026</w:t>
            </w:r>
          </w:p>
        </w:tc>
        <w:tc>
          <w:tcPr>
            <w:tcW w:w="731" w:type="dxa"/>
            <w:shd w:val="clear" w:color="auto" w:fill="auto"/>
            <w:vAlign w:val="center"/>
          </w:tcPr>
          <w:p w14:paraId="67ED8BF7" w14:textId="77777777" w:rsidR="0037165D" w:rsidRPr="002866E5" w:rsidRDefault="00F103C3" w:rsidP="00881943">
            <w:pPr>
              <w:spacing w:before="20" w:after="20"/>
              <w:jc w:val="center"/>
              <w:rPr>
                <w:noProof/>
                <w:sz w:val="16"/>
                <w:szCs w:val="16"/>
              </w:rPr>
            </w:pPr>
            <w:r w:rsidRPr="002866E5">
              <w:rPr>
                <w:noProof/>
                <w:sz w:val="16"/>
              </w:rPr>
              <w:t>Rok</w:t>
            </w:r>
            <w:r w:rsidRPr="002866E5">
              <w:rPr>
                <w:noProof/>
              </w:rPr>
              <w:t xml:space="preserve"> </w:t>
            </w:r>
            <w:r w:rsidRPr="002866E5">
              <w:rPr>
                <w:noProof/>
              </w:rPr>
              <w:br/>
            </w:r>
            <w:r w:rsidRPr="002866E5">
              <w:rPr>
                <w:b/>
                <w:noProof/>
                <w:sz w:val="16"/>
              </w:rPr>
              <w:t>2027</w:t>
            </w:r>
          </w:p>
        </w:tc>
      </w:tr>
      <w:tr w:rsidR="0037165D" w:rsidRPr="002866E5" w14:paraId="67ED8BFE" w14:textId="77777777" w:rsidTr="00881943">
        <w:trPr>
          <w:gridBefore w:val="1"/>
          <w:gridAfter w:val="1"/>
          <w:wBefore w:w="15" w:type="dxa"/>
          <w:wAfter w:w="2193" w:type="dxa"/>
          <w:trHeight w:val="289"/>
          <w:jc w:val="center"/>
        </w:trPr>
        <w:tc>
          <w:tcPr>
            <w:tcW w:w="4754" w:type="dxa"/>
            <w:gridSpan w:val="2"/>
            <w:shd w:val="clear" w:color="auto" w:fill="auto"/>
            <w:vAlign w:val="center"/>
          </w:tcPr>
          <w:p w14:paraId="67ED8BF9" w14:textId="1D2370E4" w:rsidR="0037165D" w:rsidRPr="002866E5" w:rsidRDefault="0037165D" w:rsidP="00881943">
            <w:pPr>
              <w:pStyle w:val="Text1"/>
              <w:spacing w:beforeLines="20" w:before="48" w:afterLines="20" w:after="48"/>
              <w:ind w:left="134"/>
              <w:jc w:val="left"/>
              <w:rPr>
                <w:b/>
                <w:noProof/>
                <w:sz w:val="16"/>
                <w:szCs w:val="16"/>
              </w:rPr>
            </w:pPr>
            <w:r w:rsidRPr="002866E5">
              <w:rPr>
                <w:noProof/>
                <w:sz w:val="16"/>
              </w:rPr>
              <w:t>20 01 02 01</w:t>
            </w:r>
            <w:r w:rsidRPr="002866E5">
              <w:rPr>
                <w:rFonts w:ascii="Arial Narrow" w:hAnsi="Arial Narrow"/>
                <w:noProof/>
                <w:color w:val="000000"/>
                <w:sz w:val="20"/>
              </w:rPr>
              <w:t xml:space="preserve"> </w:t>
            </w:r>
            <w:r w:rsidRPr="002866E5">
              <w:rPr>
                <w:noProof/>
                <w:sz w:val="16"/>
              </w:rPr>
              <w:t>(w centrali</w:t>
            </w:r>
            <w:r w:rsidR="008B35E8" w:rsidRPr="002866E5">
              <w:rPr>
                <w:noProof/>
                <w:sz w:val="16"/>
              </w:rPr>
              <w:t xml:space="preserve"> i</w:t>
            </w:r>
            <w:r w:rsidR="008B35E8">
              <w:rPr>
                <w:noProof/>
                <w:sz w:val="16"/>
              </w:rPr>
              <w:t> </w:t>
            </w:r>
            <w:r w:rsidR="008B35E8" w:rsidRPr="002866E5">
              <w:rPr>
                <w:noProof/>
                <w:sz w:val="16"/>
              </w:rPr>
              <w:t>w</w:t>
            </w:r>
            <w:r w:rsidR="008B35E8">
              <w:rPr>
                <w:noProof/>
                <w:sz w:val="16"/>
              </w:rPr>
              <w:t> </w:t>
            </w:r>
            <w:r w:rsidR="008B35E8" w:rsidRPr="002866E5">
              <w:rPr>
                <w:noProof/>
                <w:sz w:val="16"/>
              </w:rPr>
              <w:t>biu</w:t>
            </w:r>
            <w:r w:rsidRPr="002866E5">
              <w:rPr>
                <w:noProof/>
                <w:sz w:val="16"/>
              </w:rPr>
              <w:t>rach przedstawicielstw Komisji)</w:t>
            </w:r>
          </w:p>
        </w:tc>
        <w:tc>
          <w:tcPr>
            <w:tcW w:w="731" w:type="dxa"/>
            <w:shd w:val="clear" w:color="auto" w:fill="auto"/>
            <w:vAlign w:val="center"/>
          </w:tcPr>
          <w:p w14:paraId="67ED8BFA" w14:textId="77777777" w:rsidR="0037165D" w:rsidRPr="002866E5" w:rsidRDefault="003866CC" w:rsidP="00881943">
            <w:pPr>
              <w:spacing w:beforeLines="20" w:before="48" w:afterLines="20" w:after="48"/>
              <w:jc w:val="center"/>
              <w:rPr>
                <w:noProof/>
                <w:sz w:val="16"/>
                <w:szCs w:val="16"/>
              </w:rPr>
            </w:pPr>
            <w:r w:rsidRPr="002866E5">
              <w:rPr>
                <w:noProof/>
                <w:sz w:val="16"/>
              </w:rPr>
              <w:t>6</w:t>
            </w:r>
          </w:p>
        </w:tc>
        <w:tc>
          <w:tcPr>
            <w:tcW w:w="731" w:type="dxa"/>
            <w:shd w:val="clear" w:color="auto" w:fill="auto"/>
            <w:vAlign w:val="center"/>
          </w:tcPr>
          <w:p w14:paraId="67ED8BFB" w14:textId="77777777" w:rsidR="0037165D" w:rsidRPr="002866E5" w:rsidRDefault="003866CC" w:rsidP="00881943">
            <w:pPr>
              <w:spacing w:beforeLines="20" w:before="48" w:afterLines="20" w:after="48"/>
              <w:jc w:val="center"/>
              <w:rPr>
                <w:noProof/>
                <w:sz w:val="16"/>
                <w:szCs w:val="16"/>
              </w:rPr>
            </w:pPr>
            <w:r w:rsidRPr="002866E5">
              <w:rPr>
                <w:noProof/>
                <w:sz w:val="16"/>
              </w:rPr>
              <w:t>6</w:t>
            </w:r>
          </w:p>
        </w:tc>
        <w:tc>
          <w:tcPr>
            <w:tcW w:w="731" w:type="dxa"/>
            <w:shd w:val="clear" w:color="auto" w:fill="auto"/>
            <w:vAlign w:val="center"/>
          </w:tcPr>
          <w:p w14:paraId="67ED8BFC" w14:textId="77777777" w:rsidR="0037165D" w:rsidRPr="002866E5" w:rsidRDefault="003866CC" w:rsidP="00881943">
            <w:pPr>
              <w:spacing w:beforeLines="20" w:before="48" w:afterLines="20" w:after="48"/>
              <w:jc w:val="center"/>
              <w:rPr>
                <w:noProof/>
                <w:sz w:val="16"/>
                <w:szCs w:val="16"/>
              </w:rPr>
            </w:pPr>
            <w:r w:rsidRPr="002866E5">
              <w:rPr>
                <w:noProof/>
                <w:sz w:val="16"/>
              </w:rPr>
              <w:t>6</w:t>
            </w:r>
          </w:p>
        </w:tc>
        <w:tc>
          <w:tcPr>
            <w:tcW w:w="731" w:type="dxa"/>
            <w:shd w:val="clear" w:color="auto" w:fill="auto"/>
            <w:vAlign w:val="center"/>
          </w:tcPr>
          <w:p w14:paraId="67ED8BFD" w14:textId="77777777" w:rsidR="0037165D" w:rsidRPr="002866E5" w:rsidRDefault="003866CC" w:rsidP="00881943">
            <w:pPr>
              <w:spacing w:beforeLines="20" w:before="48" w:afterLines="20" w:after="48"/>
              <w:jc w:val="center"/>
              <w:rPr>
                <w:noProof/>
                <w:sz w:val="16"/>
                <w:szCs w:val="16"/>
              </w:rPr>
            </w:pPr>
            <w:r w:rsidRPr="002866E5">
              <w:rPr>
                <w:noProof/>
                <w:sz w:val="16"/>
              </w:rPr>
              <w:t>6</w:t>
            </w:r>
          </w:p>
        </w:tc>
      </w:tr>
      <w:tr w:rsidR="0037165D" w:rsidRPr="002866E5" w14:paraId="67ED8C04" w14:textId="77777777" w:rsidTr="00881943">
        <w:trPr>
          <w:gridBefore w:val="1"/>
          <w:gridAfter w:val="1"/>
          <w:wBefore w:w="15" w:type="dxa"/>
          <w:wAfter w:w="2193" w:type="dxa"/>
          <w:trHeight w:val="289"/>
          <w:jc w:val="center"/>
        </w:trPr>
        <w:tc>
          <w:tcPr>
            <w:tcW w:w="4754" w:type="dxa"/>
            <w:gridSpan w:val="2"/>
            <w:shd w:val="clear" w:color="auto" w:fill="auto"/>
            <w:vAlign w:val="center"/>
          </w:tcPr>
          <w:p w14:paraId="67ED8BFF" w14:textId="77777777" w:rsidR="0037165D" w:rsidRPr="002866E5" w:rsidRDefault="0037165D" w:rsidP="00881943">
            <w:pPr>
              <w:pStyle w:val="Text1"/>
              <w:spacing w:beforeLines="20" w:before="48" w:afterLines="20" w:after="48"/>
              <w:ind w:left="134"/>
              <w:jc w:val="left"/>
              <w:rPr>
                <w:noProof/>
                <w:sz w:val="16"/>
              </w:rPr>
            </w:pPr>
            <w:r w:rsidRPr="002866E5">
              <w:rPr>
                <w:noProof/>
                <w:sz w:val="16"/>
              </w:rPr>
              <w:t>20 01 02 03 (w delegaturach)</w:t>
            </w:r>
          </w:p>
        </w:tc>
        <w:tc>
          <w:tcPr>
            <w:tcW w:w="731" w:type="dxa"/>
            <w:shd w:val="clear" w:color="auto" w:fill="auto"/>
            <w:vAlign w:val="center"/>
          </w:tcPr>
          <w:p w14:paraId="67ED8C00"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01"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02"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03" w14:textId="77777777" w:rsidR="0037165D" w:rsidRPr="002866E5" w:rsidRDefault="0037165D" w:rsidP="00881943">
            <w:pPr>
              <w:spacing w:beforeLines="20" w:before="48" w:afterLines="20" w:after="48"/>
              <w:jc w:val="center"/>
              <w:rPr>
                <w:noProof/>
                <w:sz w:val="16"/>
                <w:szCs w:val="16"/>
              </w:rPr>
            </w:pPr>
          </w:p>
        </w:tc>
      </w:tr>
      <w:tr w:rsidR="0037165D" w:rsidRPr="002866E5" w14:paraId="67ED8C0A" w14:textId="77777777" w:rsidTr="00881943">
        <w:trPr>
          <w:gridBefore w:val="1"/>
          <w:gridAfter w:val="1"/>
          <w:wBefore w:w="15" w:type="dxa"/>
          <w:wAfter w:w="2193" w:type="dxa"/>
          <w:trHeight w:val="289"/>
          <w:jc w:val="center"/>
        </w:trPr>
        <w:tc>
          <w:tcPr>
            <w:tcW w:w="4754" w:type="dxa"/>
            <w:gridSpan w:val="2"/>
            <w:shd w:val="clear" w:color="auto" w:fill="auto"/>
            <w:vAlign w:val="center"/>
          </w:tcPr>
          <w:p w14:paraId="67ED8C05" w14:textId="2039B45C" w:rsidR="0037165D" w:rsidRPr="002866E5" w:rsidRDefault="0037165D" w:rsidP="002866E5">
            <w:pPr>
              <w:pStyle w:val="Text1"/>
              <w:spacing w:beforeLines="20" w:before="48" w:afterLines="20" w:after="48"/>
              <w:ind w:left="134"/>
              <w:jc w:val="left"/>
              <w:rPr>
                <w:noProof/>
                <w:sz w:val="16"/>
                <w:szCs w:val="16"/>
              </w:rPr>
            </w:pPr>
            <w:r w:rsidRPr="002866E5">
              <w:rPr>
                <w:noProof/>
                <w:sz w:val="16"/>
              </w:rPr>
              <w:t>01 01 01 01 (pośrednie badania naukowe)</w:t>
            </w:r>
          </w:p>
        </w:tc>
        <w:tc>
          <w:tcPr>
            <w:tcW w:w="731" w:type="dxa"/>
            <w:shd w:val="clear" w:color="auto" w:fill="auto"/>
            <w:vAlign w:val="center"/>
          </w:tcPr>
          <w:p w14:paraId="67ED8C06"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07"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08"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09" w14:textId="77777777" w:rsidR="0037165D" w:rsidRPr="002866E5" w:rsidRDefault="0037165D" w:rsidP="00881943">
            <w:pPr>
              <w:spacing w:beforeLines="20" w:before="48" w:afterLines="20" w:after="48"/>
              <w:jc w:val="center"/>
              <w:rPr>
                <w:noProof/>
                <w:sz w:val="16"/>
                <w:szCs w:val="16"/>
              </w:rPr>
            </w:pPr>
          </w:p>
        </w:tc>
      </w:tr>
      <w:tr w:rsidR="0037165D" w:rsidRPr="002866E5" w14:paraId="67ED8C10" w14:textId="77777777" w:rsidTr="00881943">
        <w:trPr>
          <w:gridBefore w:val="1"/>
          <w:gridAfter w:val="1"/>
          <w:wBefore w:w="15" w:type="dxa"/>
          <w:wAfter w:w="2193" w:type="dxa"/>
          <w:trHeight w:val="289"/>
          <w:jc w:val="center"/>
        </w:trPr>
        <w:tc>
          <w:tcPr>
            <w:tcW w:w="4754" w:type="dxa"/>
            <w:gridSpan w:val="2"/>
            <w:shd w:val="clear" w:color="auto" w:fill="auto"/>
            <w:vAlign w:val="center"/>
          </w:tcPr>
          <w:p w14:paraId="67ED8C0B" w14:textId="77777777" w:rsidR="0037165D" w:rsidRPr="002866E5" w:rsidRDefault="0037165D" w:rsidP="00881943">
            <w:pPr>
              <w:pStyle w:val="Text1"/>
              <w:spacing w:beforeLines="20" w:before="48" w:afterLines="20" w:after="48"/>
              <w:ind w:left="134"/>
              <w:jc w:val="left"/>
              <w:rPr>
                <w:noProof/>
                <w:sz w:val="16"/>
                <w:szCs w:val="16"/>
              </w:rPr>
            </w:pPr>
            <w:r w:rsidRPr="002866E5">
              <w:rPr>
                <w:noProof/>
                <w:sz w:val="16"/>
              </w:rPr>
              <w:t xml:space="preserve"> 01 01 01 11 (bezpośrednie badania naukowe)</w:t>
            </w:r>
          </w:p>
        </w:tc>
        <w:tc>
          <w:tcPr>
            <w:tcW w:w="731" w:type="dxa"/>
            <w:shd w:val="clear" w:color="auto" w:fill="auto"/>
            <w:vAlign w:val="center"/>
          </w:tcPr>
          <w:p w14:paraId="67ED8C0C"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0D"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0E"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0F" w14:textId="77777777" w:rsidR="0037165D" w:rsidRPr="002866E5" w:rsidRDefault="0037165D" w:rsidP="00881943">
            <w:pPr>
              <w:spacing w:beforeLines="20" w:before="48" w:afterLines="20" w:after="48"/>
              <w:jc w:val="center"/>
              <w:rPr>
                <w:noProof/>
                <w:sz w:val="16"/>
                <w:szCs w:val="16"/>
              </w:rPr>
            </w:pPr>
          </w:p>
        </w:tc>
      </w:tr>
      <w:tr w:rsidR="0037165D" w:rsidRPr="002866E5" w14:paraId="67ED8C16" w14:textId="77777777" w:rsidTr="00881943">
        <w:trPr>
          <w:gridBefore w:val="1"/>
          <w:gridAfter w:val="1"/>
          <w:wBefore w:w="15" w:type="dxa"/>
          <w:wAfter w:w="2193" w:type="dxa"/>
          <w:trHeight w:val="289"/>
          <w:jc w:val="center"/>
        </w:trPr>
        <w:tc>
          <w:tcPr>
            <w:tcW w:w="4754" w:type="dxa"/>
            <w:gridSpan w:val="2"/>
            <w:shd w:val="clear" w:color="auto" w:fill="auto"/>
            <w:vAlign w:val="center"/>
          </w:tcPr>
          <w:p w14:paraId="67ED8C11" w14:textId="77777777" w:rsidR="0037165D" w:rsidRPr="002866E5" w:rsidRDefault="0037165D" w:rsidP="00881943">
            <w:pPr>
              <w:pStyle w:val="Text1"/>
              <w:spacing w:beforeLines="20" w:before="48" w:afterLines="20" w:after="48"/>
              <w:ind w:left="134"/>
              <w:jc w:val="left"/>
              <w:rPr>
                <w:noProof/>
                <w:sz w:val="16"/>
              </w:rPr>
            </w:pPr>
            <w:r w:rsidRPr="002866E5">
              <w:rPr>
                <w:noProof/>
                <w:sz w:val="16"/>
              </w:rPr>
              <w:t>Inne linie budżetowe (określić)</w:t>
            </w:r>
          </w:p>
        </w:tc>
        <w:tc>
          <w:tcPr>
            <w:tcW w:w="731" w:type="dxa"/>
            <w:shd w:val="clear" w:color="auto" w:fill="auto"/>
            <w:vAlign w:val="center"/>
          </w:tcPr>
          <w:p w14:paraId="67ED8C12"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13"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14"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15" w14:textId="77777777" w:rsidR="0037165D" w:rsidRPr="002866E5" w:rsidRDefault="0037165D" w:rsidP="00881943">
            <w:pPr>
              <w:spacing w:beforeLines="20" w:before="48" w:afterLines="20" w:after="48"/>
              <w:jc w:val="center"/>
              <w:rPr>
                <w:noProof/>
                <w:sz w:val="16"/>
                <w:szCs w:val="16"/>
              </w:rPr>
            </w:pPr>
          </w:p>
        </w:tc>
      </w:tr>
      <w:tr w:rsidR="0037165D" w:rsidRPr="002866E5" w14:paraId="67ED8C19" w14:textId="77777777" w:rsidTr="00881943">
        <w:trPr>
          <w:trHeight w:val="248"/>
          <w:jc w:val="center"/>
        </w:trPr>
        <w:tc>
          <w:tcPr>
            <w:tcW w:w="9886" w:type="dxa"/>
            <w:gridSpan w:val="8"/>
            <w:shd w:val="clear" w:color="auto" w:fill="auto"/>
            <w:vAlign w:val="center"/>
          </w:tcPr>
          <w:p w14:paraId="67ED8C17" w14:textId="77777777" w:rsidR="0037165D" w:rsidRPr="002866E5" w:rsidRDefault="0037165D" w:rsidP="00881943">
            <w:pPr>
              <w:pStyle w:val="Text1"/>
              <w:spacing w:before="60" w:after="60"/>
              <w:ind w:left="0"/>
              <w:jc w:val="left"/>
              <w:rPr>
                <w:b/>
                <w:noProof/>
                <w:sz w:val="16"/>
                <w:szCs w:val="16"/>
              </w:rPr>
            </w:pPr>
            <w:r w:rsidRPr="002866E5">
              <w:rPr>
                <w:b/>
                <w:noProof/>
                <w:sz w:val="16"/>
              </w:rPr>
              <w:sym w:font="Wingdings" w:char="F09F"/>
            </w:r>
            <w:r w:rsidRPr="002866E5">
              <w:rPr>
                <w:b/>
                <w:noProof/>
                <w:sz w:val="16"/>
              </w:rPr>
              <w:t>Personel zewnętrzny (w ekwiwalentach pełnego czasu pracy: EPC)</w:t>
            </w:r>
            <w:r w:rsidRPr="002866E5">
              <w:rPr>
                <w:rStyle w:val="FootnoteReference"/>
                <w:noProof/>
              </w:rPr>
              <w:footnoteReference w:id="48"/>
            </w:r>
          </w:p>
          <w:p w14:paraId="67ED8C18" w14:textId="77777777" w:rsidR="0037165D" w:rsidRPr="002866E5" w:rsidRDefault="0037165D" w:rsidP="00881943">
            <w:pPr>
              <w:pStyle w:val="Text1"/>
              <w:spacing w:before="0" w:after="0"/>
              <w:ind w:left="0"/>
              <w:jc w:val="left"/>
              <w:rPr>
                <w:noProof/>
                <w:sz w:val="16"/>
                <w:szCs w:val="16"/>
              </w:rPr>
            </w:pPr>
          </w:p>
        </w:tc>
      </w:tr>
      <w:tr w:rsidR="0037165D" w:rsidRPr="002866E5" w14:paraId="67ED8C1F" w14:textId="77777777" w:rsidTr="00881943">
        <w:trPr>
          <w:gridBefore w:val="1"/>
          <w:gridAfter w:val="1"/>
          <w:wBefore w:w="15" w:type="dxa"/>
          <w:wAfter w:w="2193" w:type="dxa"/>
          <w:trHeight w:val="289"/>
          <w:jc w:val="center"/>
        </w:trPr>
        <w:tc>
          <w:tcPr>
            <w:tcW w:w="4754" w:type="dxa"/>
            <w:gridSpan w:val="2"/>
            <w:shd w:val="clear" w:color="auto" w:fill="auto"/>
            <w:vAlign w:val="center"/>
          </w:tcPr>
          <w:p w14:paraId="67ED8C1A" w14:textId="149B29E9" w:rsidR="0037165D" w:rsidRPr="002866E5" w:rsidRDefault="0037165D" w:rsidP="00881943">
            <w:pPr>
              <w:pStyle w:val="Text1"/>
              <w:spacing w:beforeLines="20" w:before="48" w:afterLines="20" w:after="48"/>
              <w:ind w:left="136"/>
              <w:jc w:val="left"/>
              <w:rPr>
                <w:b/>
                <w:noProof/>
                <w:sz w:val="16"/>
                <w:szCs w:val="16"/>
              </w:rPr>
            </w:pPr>
            <w:r w:rsidRPr="002866E5">
              <w:rPr>
                <w:noProof/>
                <w:sz w:val="16"/>
              </w:rPr>
              <w:t>20 02 01</w:t>
            </w:r>
            <w:r w:rsidRPr="002866E5">
              <w:rPr>
                <w:rFonts w:ascii="Arial Narrow" w:hAnsi="Arial Narrow"/>
                <w:noProof/>
                <w:color w:val="000000"/>
                <w:sz w:val="20"/>
              </w:rPr>
              <w:t xml:space="preserve"> </w:t>
            </w:r>
            <w:r w:rsidRPr="002866E5">
              <w:rPr>
                <w:noProof/>
                <w:sz w:val="16"/>
              </w:rPr>
              <w:t>(CA, SNE, INT</w:t>
            </w:r>
            <w:r w:rsidR="008B35E8" w:rsidRPr="002866E5">
              <w:rPr>
                <w:noProof/>
                <w:sz w:val="16"/>
              </w:rPr>
              <w:t xml:space="preserve"> z</w:t>
            </w:r>
            <w:r w:rsidR="008B35E8">
              <w:rPr>
                <w:noProof/>
                <w:sz w:val="16"/>
              </w:rPr>
              <w:t> </w:t>
            </w:r>
            <w:r w:rsidR="008B35E8" w:rsidRPr="002866E5">
              <w:rPr>
                <w:noProof/>
                <w:sz w:val="16"/>
              </w:rPr>
              <w:t>glo</w:t>
            </w:r>
            <w:r w:rsidRPr="002866E5">
              <w:rPr>
                <w:noProof/>
                <w:sz w:val="16"/>
              </w:rPr>
              <w:t>balnej koperty finansowej)</w:t>
            </w:r>
          </w:p>
        </w:tc>
        <w:tc>
          <w:tcPr>
            <w:tcW w:w="731" w:type="dxa"/>
            <w:shd w:val="clear" w:color="auto" w:fill="auto"/>
            <w:vAlign w:val="center"/>
          </w:tcPr>
          <w:p w14:paraId="67ED8C1B" w14:textId="77777777" w:rsidR="0037165D" w:rsidRPr="002866E5" w:rsidRDefault="00AD2273" w:rsidP="00881943">
            <w:pPr>
              <w:spacing w:beforeLines="20" w:before="48" w:afterLines="20" w:after="48"/>
              <w:jc w:val="center"/>
              <w:rPr>
                <w:noProof/>
                <w:sz w:val="16"/>
                <w:szCs w:val="16"/>
              </w:rPr>
            </w:pPr>
            <w:r w:rsidRPr="002866E5">
              <w:rPr>
                <w:noProof/>
                <w:sz w:val="16"/>
              </w:rPr>
              <w:t>1</w:t>
            </w:r>
          </w:p>
        </w:tc>
        <w:tc>
          <w:tcPr>
            <w:tcW w:w="731" w:type="dxa"/>
            <w:shd w:val="clear" w:color="auto" w:fill="auto"/>
            <w:vAlign w:val="center"/>
          </w:tcPr>
          <w:p w14:paraId="67ED8C1C" w14:textId="77777777" w:rsidR="0037165D" w:rsidRPr="002866E5" w:rsidRDefault="00AD2273" w:rsidP="00881943">
            <w:pPr>
              <w:spacing w:beforeLines="20" w:before="48" w:afterLines="20" w:after="48"/>
              <w:jc w:val="center"/>
              <w:rPr>
                <w:noProof/>
                <w:sz w:val="16"/>
                <w:szCs w:val="16"/>
              </w:rPr>
            </w:pPr>
            <w:r w:rsidRPr="002866E5">
              <w:rPr>
                <w:noProof/>
                <w:sz w:val="16"/>
              </w:rPr>
              <w:t>1</w:t>
            </w:r>
          </w:p>
        </w:tc>
        <w:tc>
          <w:tcPr>
            <w:tcW w:w="731" w:type="dxa"/>
            <w:shd w:val="clear" w:color="auto" w:fill="auto"/>
            <w:vAlign w:val="center"/>
          </w:tcPr>
          <w:p w14:paraId="67ED8C1D" w14:textId="77777777" w:rsidR="0037165D" w:rsidRPr="002866E5" w:rsidRDefault="00AD2273" w:rsidP="00881943">
            <w:pPr>
              <w:spacing w:beforeLines="20" w:before="48" w:afterLines="20" w:after="48"/>
              <w:jc w:val="center"/>
              <w:rPr>
                <w:noProof/>
                <w:sz w:val="16"/>
                <w:szCs w:val="16"/>
              </w:rPr>
            </w:pPr>
            <w:r w:rsidRPr="002866E5">
              <w:rPr>
                <w:noProof/>
                <w:sz w:val="16"/>
              </w:rPr>
              <w:t>1</w:t>
            </w:r>
          </w:p>
        </w:tc>
        <w:tc>
          <w:tcPr>
            <w:tcW w:w="731" w:type="dxa"/>
            <w:shd w:val="clear" w:color="auto" w:fill="auto"/>
            <w:vAlign w:val="center"/>
          </w:tcPr>
          <w:p w14:paraId="67ED8C1E" w14:textId="77777777" w:rsidR="0037165D" w:rsidRPr="002866E5" w:rsidRDefault="00AD2273" w:rsidP="00881943">
            <w:pPr>
              <w:spacing w:beforeLines="20" w:before="48" w:afterLines="20" w:after="48"/>
              <w:jc w:val="center"/>
              <w:rPr>
                <w:noProof/>
                <w:sz w:val="16"/>
                <w:szCs w:val="16"/>
              </w:rPr>
            </w:pPr>
            <w:r w:rsidRPr="002866E5">
              <w:rPr>
                <w:noProof/>
                <w:sz w:val="16"/>
              </w:rPr>
              <w:t>1</w:t>
            </w:r>
          </w:p>
        </w:tc>
      </w:tr>
      <w:tr w:rsidR="0037165D" w:rsidRPr="002866E5" w14:paraId="67ED8C25" w14:textId="77777777" w:rsidTr="00881943">
        <w:trPr>
          <w:gridBefore w:val="1"/>
          <w:gridAfter w:val="1"/>
          <w:wBefore w:w="15" w:type="dxa"/>
          <w:wAfter w:w="2193" w:type="dxa"/>
          <w:trHeight w:val="289"/>
          <w:jc w:val="center"/>
        </w:trPr>
        <w:tc>
          <w:tcPr>
            <w:tcW w:w="4754" w:type="dxa"/>
            <w:gridSpan w:val="2"/>
            <w:shd w:val="clear" w:color="auto" w:fill="auto"/>
            <w:vAlign w:val="center"/>
          </w:tcPr>
          <w:p w14:paraId="67ED8C20" w14:textId="6C525047" w:rsidR="0037165D" w:rsidRPr="002866E5" w:rsidRDefault="0037165D" w:rsidP="00881943">
            <w:pPr>
              <w:pStyle w:val="Text1"/>
              <w:spacing w:beforeLines="20" w:before="48" w:afterLines="20" w:after="48"/>
              <w:ind w:left="136"/>
              <w:jc w:val="left"/>
              <w:rPr>
                <w:noProof/>
                <w:sz w:val="16"/>
              </w:rPr>
            </w:pPr>
            <w:r w:rsidRPr="002866E5">
              <w:rPr>
                <w:noProof/>
                <w:sz w:val="16"/>
              </w:rPr>
              <w:t>20 02 03 (CA, LA, SNE, INT i JPD</w:t>
            </w:r>
            <w:r w:rsidR="008B35E8" w:rsidRPr="002866E5">
              <w:rPr>
                <w:noProof/>
                <w:sz w:val="16"/>
              </w:rPr>
              <w:t xml:space="preserve"> w</w:t>
            </w:r>
            <w:r w:rsidR="008B35E8">
              <w:rPr>
                <w:noProof/>
                <w:sz w:val="16"/>
              </w:rPr>
              <w:t> </w:t>
            </w:r>
            <w:r w:rsidR="008B35E8" w:rsidRPr="002866E5">
              <w:rPr>
                <w:noProof/>
                <w:sz w:val="16"/>
              </w:rPr>
              <w:t>del</w:t>
            </w:r>
            <w:r w:rsidRPr="002866E5">
              <w:rPr>
                <w:noProof/>
                <w:sz w:val="16"/>
              </w:rPr>
              <w:t>egaturach)</w:t>
            </w:r>
          </w:p>
        </w:tc>
        <w:tc>
          <w:tcPr>
            <w:tcW w:w="731" w:type="dxa"/>
            <w:shd w:val="clear" w:color="auto" w:fill="auto"/>
            <w:vAlign w:val="center"/>
          </w:tcPr>
          <w:p w14:paraId="67ED8C21"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22"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23"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24" w14:textId="77777777" w:rsidR="0037165D" w:rsidRPr="002866E5" w:rsidRDefault="0037165D" w:rsidP="00881943">
            <w:pPr>
              <w:spacing w:beforeLines="20" w:before="48" w:afterLines="20" w:after="48"/>
              <w:jc w:val="center"/>
              <w:rPr>
                <w:noProof/>
                <w:sz w:val="16"/>
                <w:szCs w:val="16"/>
              </w:rPr>
            </w:pPr>
          </w:p>
        </w:tc>
      </w:tr>
      <w:tr w:rsidR="0037165D" w:rsidRPr="002866E5" w14:paraId="67ED8C2E" w14:textId="77777777" w:rsidTr="00881943">
        <w:trPr>
          <w:gridBefore w:val="1"/>
          <w:gridAfter w:val="1"/>
          <w:wBefore w:w="15" w:type="dxa"/>
          <w:wAfter w:w="2193" w:type="dxa"/>
          <w:trHeight w:val="289"/>
          <w:jc w:val="center"/>
        </w:trPr>
        <w:tc>
          <w:tcPr>
            <w:tcW w:w="2376" w:type="dxa"/>
            <w:vMerge w:val="restart"/>
            <w:shd w:val="clear" w:color="auto" w:fill="auto"/>
            <w:vAlign w:val="center"/>
          </w:tcPr>
          <w:p w14:paraId="67ED8C26" w14:textId="1C406CD5" w:rsidR="0037165D" w:rsidRPr="002866E5" w:rsidRDefault="0037165D" w:rsidP="00881943">
            <w:pPr>
              <w:pStyle w:val="Text1"/>
              <w:spacing w:beforeLines="20" w:before="48" w:afterLines="20" w:after="48"/>
              <w:ind w:left="136"/>
              <w:jc w:val="left"/>
              <w:rPr>
                <w:b/>
                <w:noProof/>
                <w:sz w:val="16"/>
                <w:szCs w:val="16"/>
              </w:rPr>
            </w:pPr>
            <w:r w:rsidRPr="002866E5">
              <w:rPr>
                <w:b/>
                <w:noProof/>
                <w:sz w:val="16"/>
              </w:rPr>
              <w:t>XX</w:t>
            </w:r>
            <w:r w:rsidRPr="002866E5">
              <w:rPr>
                <w:noProof/>
                <w:sz w:val="16"/>
              </w:rPr>
              <w:t xml:space="preserve"> 01 xx </w:t>
            </w:r>
            <w:r w:rsidRPr="002866E5">
              <w:rPr>
                <w:b/>
                <w:noProof/>
                <w:sz w:val="16"/>
              </w:rPr>
              <w:t xml:space="preserve">yy zz </w:t>
            </w:r>
            <w:r w:rsidRPr="002866E5">
              <w:rPr>
                <w:rStyle w:val="FootnoteReference"/>
                <w:noProof/>
              </w:rPr>
              <w:footnoteReference w:id="49"/>
            </w:r>
          </w:p>
          <w:p w14:paraId="67ED8C27" w14:textId="77777777" w:rsidR="0037165D" w:rsidRPr="002866E5" w:rsidRDefault="0037165D" w:rsidP="00881943">
            <w:pPr>
              <w:pStyle w:val="Text1"/>
              <w:spacing w:beforeLines="20" w:before="48" w:afterLines="20" w:after="48"/>
              <w:ind w:left="136"/>
              <w:jc w:val="left"/>
              <w:rPr>
                <w:b/>
                <w:noProof/>
                <w:sz w:val="16"/>
                <w:szCs w:val="16"/>
              </w:rPr>
            </w:pPr>
          </w:p>
        </w:tc>
        <w:tc>
          <w:tcPr>
            <w:tcW w:w="2378" w:type="dxa"/>
            <w:shd w:val="clear" w:color="auto" w:fill="auto"/>
            <w:vAlign w:val="center"/>
          </w:tcPr>
          <w:p w14:paraId="67ED8C28" w14:textId="1BFCC533" w:rsidR="0037165D" w:rsidRPr="002866E5" w:rsidRDefault="0037165D" w:rsidP="00881943">
            <w:pPr>
              <w:pStyle w:val="Text1"/>
              <w:spacing w:beforeLines="20" w:before="48" w:afterLines="20" w:after="48"/>
              <w:ind w:left="136"/>
              <w:jc w:val="left"/>
              <w:rPr>
                <w:b/>
                <w:noProof/>
                <w:sz w:val="16"/>
                <w:szCs w:val="16"/>
              </w:rPr>
            </w:pPr>
            <w:r w:rsidRPr="002866E5">
              <w:rPr>
                <w:noProof/>
                <w:sz w:val="16"/>
              </w:rPr>
              <w:t>–</w:t>
            </w:r>
            <w:r w:rsidR="008B35E8" w:rsidRPr="002866E5">
              <w:rPr>
                <w:noProof/>
                <w:sz w:val="16"/>
              </w:rPr>
              <w:t xml:space="preserve"> w</w:t>
            </w:r>
            <w:r w:rsidR="008B35E8">
              <w:rPr>
                <w:noProof/>
                <w:sz w:val="16"/>
              </w:rPr>
              <w:t> </w:t>
            </w:r>
            <w:r w:rsidR="008B35E8" w:rsidRPr="002866E5">
              <w:rPr>
                <w:noProof/>
                <w:sz w:val="16"/>
              </w:rPr>
              <w:t>cen</w:t>
            </w:r>
            <w:r w:rsidRPr="002866E5">
              <w:rPr>
                <w:noProof/>
                <w:sz w:val="16"/>
              </w:rPr>
              <w:t>trali</w:t>
            </w:r>
          </w:p>
          <w:p w14:paraId="67ED8C29" w14:textId="77777777" w:rsidR="0037165D" w:rsidRPr="002866E5" w:rsidRDefault="0037165D" w:rsidP="00881943">
            <w:pPr>
              <w:pStyle w:val="Text1"/>
              <w:spacing w:beforeLines="20" w:before="48" w:afterLines="20" w:after="48"/>
              <w:ind w:left="136"/>
              <w:jc w:val="left"/>
              <w:rPr>
                <w:b/>
                <w:noProof/>
                <w:sz w:val="16"/>
                <w:szCs w:val="16"/>
              </w:rPr>
            </w:pPr>
          </w:p>
        </w:tc>
        <w:tc>
          <w:tcPr>
            <w:tcW w:w="731" w:type="dxa"/>
            <w:shd w:val="clear" w:color="auto" w:fill="auto"/>
            <w:vAlign w:val="center"/>
          </w:tcPr>
          <w:p w14:paraId="67ED8C2A" w14:textId="77777777" w:rsidR="0037165D" w:rsidRPr="002866E5" w:rsidRDefault="0037165D" w:rsidP="00881943">
            <w:pPr>
              <w:pStyle w:val="Text1"/>
              <w:spacing w:beforeLines="20" w:before="48" w:afterLines="20" w:after="48"/>
              <w:ind w:left="0"/>
              <w:rPr>
                <w:noProof/>
                <w:sz w:val="16"/>
                <w:szCs w:val="16"/>
              </w:rPr>
            </w:pPr>
          </w:p>
        </w:tc>
        <w:tc>
          <w:tcPr>
            <w:tcW w:w="731" w:type="dxa"/>
            <w:shd w:val="clear" w:color="auto" w:fill="auto"/>
            <w:vAlign w:val="center"/>
          </w:tcPr>
          <w:p w14:paraId="67ED8C2B"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2C"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2D" w14:textId="77777777" w:rsidR="0037165D" w:rsidRPr="002866E5" w:rsidRDefault="0037165D" w:rsidP="00881943">
            <w:pPr>
              <w:spacing w:beforeLines="20" w:before="48" w:afterLines="20" w:after="48"/>
              <w:jc w:val="center"/>
              <w:rPr>
                <w:noProof/>
                <w:sz w:val="16"/>
                <w:szCs w:val="16"/>
              </w:rPr>
            </w:pPr>
          </w:p>
        </w:tc>
      </w:tr>
      <w:tr w:rsidR="0037165D" w:rsidRPr="002866E5" w14:paraId="67ED8C35" w14:textId="77777777" w:rsidTr="00881943">
        <w:trPr>
          <w:gridBefore w:val="1"/>
          <w:gridAfter w:val="1"/>
          <w:wBefore w:w="15" w:type="dxa"/>
          <w:wAfter w:w="2193" w:type="dxa"/>
          <w:trHeight w:val="289"/>
          <w:jc w:val="center"/>
        </w:trPr>
        <w:tc>
          <w:tcPr>
            <w:tcW w:w="2376" w:type="dxa"/>
            <w:vMerge/>
            <w:shd w:val="clear" w:color="auto" w:fill="auto"/>
            <w:vAlign w:val="center"/>
          </w:tcPr>
          <w:p w14:paraId="67ED8C2F" w14:textId="77777777" w:rsidR="0037165D" w:rsidRPr="002866E5" w:rsidRDefault="0037165D" w:rsidP="00881943">
            <w:pPr>
              <w:pStyle w:val="Text1"/>
              <w:spacing w:beforeLines="20" w:before="48" w:afterLines="20" w:after="48"/>
              <w:ind w:left="136"/>
              <w:jc w:val="left"/>
              <w:rPr>
                <w:b/>
                <w:noProof/>
                <w:sz w:val="16"/>
                <w:szCs w:val="16"/>
              </w:rPr>
            </w:pPr>
          </w:p>
        </w:tc>
        <w:tc>
          <w:tcPr>
            <w:tcW w:w="2378" w:type="dxa"/>
            <w:shd w:val="clear" w:color="auto" w:fill="auto"/>
            <w:vAlign w:val="center"/>
          </w:tcPr>
          <w:p w14:paraId="67ED8C30" w14:textId="682B4C5D" w:rsidR="0037165D" w:rsidRPr="002866E5" w:rsidRDefault="0037165D" w:rsidP="00881943">
            <w:pPr>
              <w:pStyle w:val="Text1"/>
              <w:spacing w:beforeLines="20" w:before="48" w:afterLines="20" w:after="48"/>
              <w:ind w:left="136"/>
              <w:jc w:val="left"/>
              <w:rPr>
                <w:b/>
                <w:noProof/>
                <w:sz w:val="16"/>
                <w:szCs w:val="16"/>
              </w:rPr>
            </w:pPr>
            <w:r w:rsidRPr="002866E5">
              <w:rPr>
                <w:noProof/>
                <w:sz w:val="16"/>
              </w:rPr>
              <w:t>–</w:t>
            </w:r>
            <w:r w:rsidR="008B35E8" w:rsidRPr="002866E5">
              <w:rPr>
                <w:noProof/>
                <w:sz w:val="16"/>
              </w:rPr>
              <w:t xml:space="preserve"> w</w:t>
            </w:r>
            <w:r w:rsidR="008B35E8">
              <w:rPr>
                <w:noProof/>
                <w:sz w:val="16"/>
              </w:rPr>
              <w:t> </w:t>
            </w:r>
            <w:r w:rsidR="008B35E8" w:rsidRPr="002866E5">
              <w:rPr>
                <w:noProof/>
                <w:sz w:val="16"/>
              </w:rPr>
              <w:t>del</w:t>
            </w:r>
            <w:r w:rsidRPr="002866E5">
              <w:rPr>
                <w:noProof/>
                <w:sz w:val="16"/>
              </w:rPr>
              <w:t xml:space="preserve">egaturach </w:t>
            </w:r>
          </w:p>
        </w:tc>
        <w:tc>
          <w:tcPr>
            <w:tcW w:w="731" w:type="dxa"/>
            <w:shd w:val="clear" w:color="auto" w:fill="auto"/>
            <w:vAlign w:val="center"/>
          </w:tcPr>
          <w:p w14:paraId="67ED8C31" w14:textId="77777777" w:rsidR="0037165D" w:rsidRPr="002866E5" w:rsidRDefault="0037165D" w:rsidP="00881943">
            <w:pPr>
              <w:pStyle w:val="Text1"/>
              <w:spacing w:beforeLines="20" w:before="48" w:afterLines="20" w:after="48"/>
              <w:ind w:left="0"/>
              <w:rPr>
                <w:noProof/>
                <w:sz w:val="16"/>
                <w:szCs w:val="16"/>
              </w:rPr>
            </w:pPr>
          </w:p>
        </w:tc>
        <w:tc>
          <w:tcPr>
            <w:tcW w:w="731" w:type="dxa"/>
            <w:shd w:val="clear" w:color="auto" w:fill="auto"/>
            <w:vAlign w:val="center"/>
          </w:tcPr>
          <w:p w14:paraId="67ED8C32"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33"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34" w14:textId="77777777" w:rsidR="0037165D" w:rsidRPr="002866E5" w:rsidRDefault="0037165D" w:rsidP="00881943">
            <w:pPr>
              <w:spacing w:beforeLines="20" w:before="48" w:afterLines="20" w:after="48"/>
              <w:jc w:val="center"/>
              <w:rPr>
                <w:noProof/>
                <w:sz w:val="16"/>
                <w:szCs w:val="16"/>
              </w:rPr>
            </w:pPr>
          </w:p>
        </w:tc>
      </w:tr>
      <w:tr w:rsidR="0037165D" w:rsidRPr="002866E5" w14:paraId="67ED8C3B" w14:textId="77777777" w:rsidTr="00881943">
        <w:trPr>
          <w:gridBefore w:val="1"/>
          <w:gridAfter w:val="1"/>
          <w:wBefore w:w="15" w:type="dxa"/>
          <w:wAfter w:w="2193" w:type="dxa"/>
          <w:trHeight w:val="289"/>
          <w:jc w:val="center"/>
        </w:trPr>
        <w:tc>
          <w:tcPr>
            <w:tcW w:w="4754" w:type="dxa"/>
            <w:gridSpan w:val="2"/>
            <w:shd w:val="clear" w:color="auto" w:fill="auto"/>
            <w:vAlign w:val="center"/>
          </w:tcPr>
          <w:p w14:paraId="67ED8C36" w14:textId="77777777" w:rsidR="0037165D" w:rsidRPr="002866E5" w:rsidRDefault="0037165D" w:rsidP="00881943">
            <w:pPr>
              <w:pStyle w:val="Text1"/>
              <w:spacing w:beforeLines="20" w:before="48" w:afterLines="20" w:after="48"/>
              <w:ind w:left="136"/>
              <w:jc w:val="left"/>
              <w:rPr>
                <w:noProof/>
                <w:sz w:val="16"/>
                <w:szCs w:val="16"/>
              </w:rPr>
            </w:pPr>
            <w:r w:rsidRPr="002866E5">
              <w:rPr>
                <w:noProof/>
                <w:sz w:val="16"/>
              </w:rPr>
              <w:t>01 01 01 02</w:t>
            </w:r>
            <w:r w:rsidRPr="002866E5">
              <w:rPr>
                <w:rFonts w:ascii="Arial Narrow" w:hAnsi="Arial Narrow"/>
                <w:noProof/>
                <w:color w:val="000000"/>
                <w:sz w:val="20"/>
              </w:rPr>
              <w:t xml:space="preserve"> </w:t>
            </w:r>
            <w:r w:rsidRPr="002866E5">
              <w:rPr>
                <w:noProof/>
                <w:sz w:val="16"/>
              </w:rPr>
              <w:t>(CA, SNE, INT – pośrednie badania naukowe)</w:t>
            </w:r>
          </w:p>
        </w:tc>
        <w:tc>
          <w:tcPr>
            <w:tcW w:w="731" w:type="dxa"/>
            <w:shd w:val="clear" w:color="auto" w:fill="auto"/>
            <w:vAlign w:val="center"/>
          </w:tcPr>
          <w:p w14:paraId="67ED8C37"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38"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39"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3A" w14:textId="77777777" w:rsidR="0037165D" w:rsidRPr="002866E5" w:rsidRDefault="0037165D" w:rsidP="00881943">
            <w:pPr>
              <w:spacing w:beforeLines="20" w:before="48" w:afterLines="20" w:after="48"/>
              <w:jc w:val="center"/>
              <w:rPr>
                <w:noProof/>
                <w:sz w:val="16"/>
                <w:szCs w:val="16"/>
              </w:rPr>
            </w:pPr>
          </w:p>
        </w:tc>
      </w:tr>
      <w:tr w:rsidR="0037165D" w:rsidRPr="002866E5" w14:paraId="67ED8C41" w14:textId="77777777" w:rsidTr="00881943">
        <w:trPr>
          <w:gridBefore w:val="1"/>
          <w:gridAfter w:val="1"/>
          <w:wBefore w:w="15" w:type="dxa"/>
          <w:wAfter w:w="2193" w:type="dxa"/>
          <w:trHeight w:val="289"/>
          <w:jc w:val="center"/>
        </w:trPr>
        <w:tc>
          <w:tcPr>
            <w:tcW w:w="4754" w:type="dxa"/>
            <w:gridSpan w:val="2"/>
            <w:shd w:val="clear" w:color="auto" w:fill="auto"/>
            <w:vAlign w:val="center"/>
          </w:tcPr>
          <w:p w14:paraId="67ED8C3C" w14:textId="77777777" w:rsidR="0037165D" w:rsidRPr="002866E5" w:rsidRDefault="0037165D" w:rsidP="00881943">
            <w:pPr>
              <w:pStyle w:val="Text1"/>
              <w:spacing w:beforeLines="20" w:before="48" w:afterLines="20" w:after="48"/>
              <w:ind w:left="136"/>
              <w:jc w:val="left"/>
              <w:rPr>
                <w:noProof/>
                <w:color w:val="FF0000"/>
                <w:sz w:val="16"/>
                <w:szCs w:val="16"/>
              </w:rPr>
            </w:pPr>
            <w:r w:rsidRPr="002866E5">
              <w:rPr>
                <w:noProof/>
                <w:sz w:val="16"/>
              </w:rPr>
              <w:t xml:space="preserve"> 01 01 01 12 (CA, INT, SNE – bezpośrednie badania naukowe)</w:t>
            </w:r>
          </w:p>
        </w:tc>
        <w:tc>
          <w:tcPr>
            <w:tcW w:w="731" w:type="dxa"/>
            <w:shd w:val="clear" w:color="auto" w:fill="auto"/>
            <w:vAlign w:val="center"/>
          </w:tcPr>
          <w:p w14:paraId="67ED8C3D"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3E"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3F"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40" w14:textId="77777777" w:rsidR="0037165D" w:rsidRPr="002866E5" w:rsidRDefault="0037165D" w:rsidP="00881943">
            <w:pPr>
              <w:spacing w:beforeLines="20" w:before="48" w:afterLines="20" w:after="48"/>
              <w:jc w:val="center"/>
              <w:rPr>
                <w:noProof/>
                <w:sz w:val="16"/>
                <w:szCs w:val="16"/>
              </w:rPr>
            </w:pPr>
          </w:p>
        </w:tc>
      </w:tr>
      <w:tr w:rsidR="0037165D" w:rsidRPr="002866E5" w14:paraId="67ED8C47" w14:textId="77777777" w:rsidTr="00881943">
        <w:trPr>
          <w:gridBefore w:val="1"/>
          <w:gridAfter w:val="1"/>
          <w:wBefore w:w="15" w:type="dxa"/>
          <w:wAfter w:w="2193" w:type="dxa"/>
          <w:trHeight w:val="289"/>
          <w:jc w:val="center"/>
        </w:trPr>
        <w:tc>
          <w:tcPr>
            <w:tcW w:w="4754" w:type="dxa"/>
            <w:gridSpan w:val="2"/>
            <w:shd w:val="clear" w:color="auto" w:fill="auto"/>
            <w:vAlign w:val="center"/>
          </w:tcPr>
          <w:p w14:paraId="67ED8C42" w14:textId="77777777" w:rsidR="0037165D" w:rsidRPr="002866E5" w:rsidRDefault="0037165D" w:rsidP="00881943">
            <w:pPr>
              <w:pStyle w:val="Text1"/>
              <w:spacing w:beforeLines="20" w:before="48" w:afterLines="20" w:after="48"/>
              <w:ind w:left="136"/>
              <w:jc w:val="left"/>
              <w:rPr>
                <w:noProof/>
                <w:sz w:val="16"/>
              </w:rPr>
            </w:pPr>
            <w:r w:rsidRPr="002866E5">
              <w:rPr>
                <w:noProof/>
                <w:sz w:val="16"/>
              </w:rPr>
              <w:t>Inne linie budżetowe (określić)</w:t>
            </w:r>
          </w:p>
        </w:tc>
        <w:tc>
          <w:tcPr>
            <w:tcW w:w="731" w:type="dxa"/>
            <w:shd w:val="clear" w:color="auto" w:fill="auto"/>
            <w:vAlign w:val="center"/>
          </w:tcPr>
          <w:p w14:paraId="67ED8C43"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44"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45" w14:textId="77777777" w:rsidR="0037165D" w:rsidRPr="002866E5" w:rsidRDefault="0037165D" w:rsidP="00881943">
            <w:pPr>
              <w:spacing w:beforeLines="20" w:before="48" w:afterLines="20" w:after="48"/>
              <w:jc w:val="center"/>
              <w:rPr>
                <w:noProof/>
                <w:sz w:val="16"/>
                <w:szCs w:val="16"/>
              </w:rPr>
            </w:pPr>
          </w:p>
        </w:tc>
        <w:tc>
          <w:tcPr>
            <w:tcW w:w="731" w:type="dxa"/>
            <w:shd w:val="clear" w:color="auto" w:fill="auto"/>
            <w:vAlign w:val="center"/>
          </w:tcPr>
          <w:p w14:paraId="67ED8C46" w14:textId="77777777" w:rsidR="0037165D" w:rsidRPr="002866E5" w:rsidRDefault="0037165D" w:rsidP="00881943">
            <w:pPr>
              <w:spacing w:beforeLines="20" w:before="48" w:afterLines="20" w:after="48"/>
              <w:jc w:val="center"/>
              <w:rPr>
                <w:noProof/>
                <w:sz w:val="16"/>
                <w:szCs w:val="16"/>
              </w:rPr>
            </w:pPr>
          </w:p>
        </w:tc>
      </w:tr>
      <w:tr w:rsidR="0037165D" w:rsidRPr="002866E5" w14:paraId="67ED8C4D" w14:textId="77777777" w:rsidTr="00881943">
        <w:trPr>
          <w:gridBefore w:val="1"/>
          <w:gridAfter w:val="1"/>
          <w:wBefore w:w="15" w:type="dxa"/>
          <w:wAfter w:w="2193" w:type="dxa"/>
          <w:trHeight w:val="289"/>
          <w:jc w:val="center"/>
        </w:trPr>
        <w:tc>
          <w:tcPr>
            <w:tcW w:w="4754" w:type="dxa"/>
            <w:gridSpan w:val="2"/>
            <w:tcBorders>
              <w:top w:val="double" w:sz="4" w:space="0" w:color="auto"/>
            </w:tcBorders>
            <w:shd w:val="clear" w:color="auto" w:fill="auto"/>
            <w:vAlign w:val="center"/>
          </w:tcPr>
          <w:p w14:paraId="67ED8C48" w14:textId="77777777" w:rsidR="0037165D" w:rsidRPr="002866E5" w:rsidRDefault="0037165D" w:rsidP="00881943">
            <w:pPr>
              <w:pStyle w:val="Text1"/>
              <w:spacing w:beforeLines="20" w:before="48" w:afterLines="20" w:after="48"/>
              <w:ind w:left="136"/>
              <w:jc w:val="left"/>
              <w:rPr>
                <w:noProof/>
                <w:sz w:val="16"/>
                <w:szCs w:val="16"/>
              </w:rPr>
            </w:pPr>
            <w:r w:rsidRPr="002866E5">
              <w:rPr>
                <w:b/>
                <w:noProof/>
                <w:sz w:val="16"/>
              </w:rPr>
              <w:t>OGÓŁEM</w:t>
            </w:r>
          </w:p>
        </w:tc>
        <w:tc>
          <w:tcPr>
            <w:tcW w:w="731" w:type="dxa"/>
            <w:tcBorders>
              <w:top w:val="double" w:sz="4" w:space="0" w:color="auto"/>
            </w:tcBorders>
            <w:shd w:val="clear" w:color="auto" w:fill="auto"/>
            <w:vAlign w:val="center"/>
          </w:tcPr>
          <w:p w14:paraId="67ED8C49" w14:textId="77777777" w:rsidR="0037165D" w:rsidRPr="002866E5" w:rsidRDefault="003866CC" w:rsidP="00881943">
            <w:pPr>
              <w:spacing w:beforeLines="20" w:before="48" w:afterLines="20" w:after="48"/>
              <w:jc w:val="center"/>
              <w:rPr>
                <w:b/>
                <w:noProof/>
                <w:sz w:val="16"/>
                <w:szCs w:val="16"/>
              </w:rPr>
            </w:pPr>
            <w:r w:rsidRPr="002866E5">
              <w:rPr>
                <w:b/>
                <w:noProof/>
                <w:sz w:val="16"/>
              </w:rPr>
              <w:t>7</w:t>
            </w:r>
          </w:p>
        </w:tc>
        <w:tc>
          <w:tcPr>
            <w:tcW w:w="731" w:type="dxa"/>
            <w:tcBorders>
              <w:top w:val="double" w:sz="4" w:space="0" w:color="auto"/>
            </w:tcBorders>
            <w:shd w:val="clear" w:color="auto" w:fill="auto"/>
            <w:vAlign w:val="center"/>
          </w:tcPr>
          <w:p w14:paraId="67ED8C4A" w14:textId="77777777" w:rsidR="0037165D" w:rsidRPr="002866E5" w:rsidRDefault="003866CC" w:rsidP="00881943">
            <w:pPr>
              <w:spacing w:beforeLines="20" w:before="48" w:afterLines="20" w:after="48"/>
              <w:jc w:val="center"/>
              <w:rPr>
                <w:b/>
                <w:noProof/>
                <w:sz w:val="16"/>
                <w:szCs w:val="16"/>
              </w:rPr>
            </w:pPr>
            <w:r w:rsidRPr="002866E5">
              <w:rPr>
                <w:b/>
                <w:noProof/>
                <w:sz w:val="16"/>
              </w:rPr>
              <w:t>7</w:t>
            </w:r>
          </w:p>
        </w:tc>
        <w:tc>
          <w:tcPr>
            <w:tcW w:w="731" w:type="dxa"/>
            <w:tcBorders>
              <w:top w:val="double" w:sz="4" w:space="0" w:color="auto"/>
            </w:tcBorders>
            <w:shd w:val="clear" w:color="auto" w:fill="auto"/>
            <w:vAlign w:val="center"/>
          </w:tcPr>
          <w:p w14:paraId="67ED8C4B" w14:textId="77777777" w:rsidR="0037165D" w:rsidRPr="002866E5" w:rsidRDefault="003866CC" w:rsidP="00881943">
            <w:pPr>
              <w:spacing w:beforeLines="20" w:before="48" w:afterLines="20" w:after="48"/>
              <w:jc w:val="center"/>
              <w:rPr>
                <w:b/>
                <w:noProof/>
                <w:sz w:val="16"/>
                <w:szCs w:val="16"/>
              </w:rPr>
            </w:pPr>
            <w:r w:rsidRPr="002866E5">
              <w:rPr>
                <w:b/>
                <w:noProof/>
                <w:sz w:val="16"/>
              </w:rPr>
              <w:t>7</w:t>
            </w:r>
          </w:p>
        </w:tc>
        <w:tc>
          <w:tcPr>
            <w:tcW w:w="731" w:type="dxa"/>
            <w:tcBorders>
              <w:top w:val="double" w:sz="4" w:space="0" w:color="auto"/>
            </w:tcBorders>
            <w:shd w:val="clear" w:color="auto" w:fill="auto"/>
            <w:vAlign w:val="center"/>
          </w:tcPr>
          <w:p w14:paraId="67ED8C4C" w14:textId="77777777" w:rsidR="0037165D" w:rsidRPr="002866E5" w:rsidRDefault="003866CC" w:rsidP="00881943">
            <w:pPr>
              <w:spacing w:beforeLines="20" w:before="48" w:afterLines="20" w:after="48"/>
              <w:jc w:val="center"/>
              <w:rPr>
                <w:b/>
                <w:noProof/>
                <w:sz w:val="16"/>
                <w:szCs w:val="16"/>
              </w:rPr>
            </w:pPr>
            <w:r w:rsidRPr="002866E5">
              <w:rPr>
                <w:b/>
                <w:noProof/>
                <w:sz w:val="16"/>
              </w:rPr>
              <w:t>7</w:t>
            </w:r>
          </w:p>
        </w:tc>
      </w:tr>
    </w:tbl>
    <w:p w14:paraId="67ED8C4E" w14:textId="4FE1D280" w:rsidR="0037165D" w:rsidRPr="002866E5" w:rsidRDefault="0037165D" w:rsidP="00881943">
      <w:pPr>
        <w:pStyle w:val="Text1"/>
        <w:spacing w:before="60" w:after="60"/>
        <w:ind w:left="851"/>
        <w:rPr>
          <w:noProof/>
          <w:sz w:val="18"/>
          <w:szCs w:val="18"/>
        </w:rPr>
      </w:pPr>
      <w:r w:rsidRPr="002866E5">
        <w:rPr>
          <w:b/>
          <w:noProof/>
          <w:sz w:val="18"/>
        </w:rPr>
        <w:t>XX</w:t>
      </w:r>
      <w:r w:rsidRPr="002866E5">
        <w:rPr>
          <w:noProof/>
          <w:sz w:val="18"/>
        </w:rPr>
        <w:t xml:space="preserve"> oznacza odpowiedni obszar polityki lub odpowiedni tytuł</w:t>
      </w:r>
      <w:r w:rsidR="008B35E8" w:rsidRPr="002866E5">
        <w:rPr>
          <w:noProof/>
          <w:sz w:val="18"/>
        </w:rPr>
        <w:t xml:space="preserve"> w</w:t>
      </w:r>
      <w:r w:rsidR="008B35E8">
        <w:rPr>
          <w:noProof/>
          <w:sz w:val="18"/>
        </w:rPr>
        <w:t> </w:t>
      </w:r>
      <w:r w:rsidR="008B35E8" w:rsidRPr="002866E5">
        <w:rPr>
          <w:noProof/>
          <w:sz w:val="18"/>
        </w:rPr>
        <w:t>bud</w:t>
      </w:r>
      <w:r w:rsidRPr="002866E5">
        <w:rPr>
          <w:noProof/>
          <w:sz w:val="18"/>
        </w:rPr>
        <w:t>żecie.</w:t>
      </w:r>
    </w:p>
    <w:p w14:paraId="67ED8C4F" w14:textId="2A5B746B" w:rsidR="0037165D" w:rsidRPr="002866E5" w:rsidRDefault="0037165D" w:rsidP="00881943">
      <w:pPr>
        <w:pStyle w:val="Text1"/>
        <w:rPr>
          <w:noProof/>
          <w:sz w:val="18"/>
          <w:szCs w:val="18"/>
        </w:rPr>
      </w:pPr>
      <w:r w:rsidRPr="002866E5">
        <w:rPr>
          <w:noProof/>
          <w:sz w:val="18"/>
        </w:rPr>
        <w:t>Potrzeby</w:t>
      </w:r>
      <w:r w:rsidR="008B35E8" w:rsidRPr="002866E5">
        <w:rPr>
          <w:noProof/>
          <w:sz w:val="18"/>
        </w:rPr>
        <w:t xml:space="preserve"> w</w:t>
      </w:r>
      <w:r w:rsidR="008B35E8">
        <w:rPr>
          <w:noProof/>
          <w:sz w:val="18"/>
        </w:rPr>
        <w:t> </w:t>
      </w:r>
      <w:r w:rsidR="008B35E8" w:rsidRPr="002866E5">
        <w:rPr>
          <w:noProof/>
          <w:sz w:val="18"/>
        </w:rPr>
        <w:t>zak</w:t>
      </w:r>
      <w:r w:rsidRPr="002866E5">
        <w:rPr>
          <w:noProof/>
          <w:sz w:val="18"/>
        </w:rPr>
        <w:t>resie zasobów ludzkich zostaną pokryte</w:t>
      </w:r>
      <w:r w:rsidR="008B35E8" w:rsidRPr="002866E5">
        <w:rPr>
          <w:noProof/>
          <w:sz w:val="18"/>
        </w:rPr>
        <w:t xml:space="preserve"> z</w:t>
      </w:r>
      <w:r w:rsidR="008B35E8">
        <w:rPr>
          <w:noProof/>
          <w:sz w:val="18"/>
        </w:rPr>
        <w:t> </w:t>
      </w:r>
      <w:r w:rsidR="008B35E8" w:rsidRPr="002866E5">
        <w:rPr>
          <w:noProof/>
          <w:sz w:val="18"/>
        </w:rPr>
        <w:t>zas</w:t>
      </w:r>
      <w:r w:rsidRPr="002866E5">
        <w:rPr>
          <w:noProof/>
          <w:sz w:val="18"/>
        </w:rPr>
        <w:t>obów DG już przydzielonych na zarządzanie tym działaniem lub przesuniętych</w:t>
      </w:r>
      <w:r w:rsidR="008B35E8" w:rsidRPr="002866E5">
        <w:rPr>
          <w:noProof/>
          <w:sz w:val="18"/>
        </w:rPr>
        <w:t xml:space="preserve"> w</w:t>
      </w:r>
      <w:r w:rsidR="008B35E8">
        <w:rPr>
          <w:noProof/>
          <w:sz w:val="18"/>
        </w:rPr>
        <w:t> </w:t>
      </w:r>
      <w:r w:rsidR="008B35E8" w:rsidRPr="002866E5">
        <w:rPr>
          <w:noProof/>
          <w:sz w:val="18"/>
        </w:rPr>
        <w:t>ram</w:t>
      </w:r>
      <w:r w:rsidRPr="002866E5">
        <w:rPr>
          <w:noProof/>
          <w:sz w:val="18"/>
        </w:rPr>
        <w:t>ach dyrekcji generalnej, uzupełnionych</w:t>
      </w:r>
      <w:r w:rsidR="008B35E8" w:rsidRPr="002866E5">
        <w:rPr>
          <w:noProof/>
          <w:sz w:val="18"/>
        </w:rPr>
        <w:t xml:space="preserve"> w</w:t>
      </w:r>
      <w:r w:rsidR="008B35E8">
        <w:rPr>
          <w:noProof/>
          <w:sz w:val="18"/>
        </w:rPr>
        <w:t> </w:t>
      </w:r>
      <w:r w:rsidR="008B35E8" w:rsidRPr="002866E5">
        <w:rPr>
          <w:noProof/>
          <w:sz w:val="18"/>
        </w:rPr>
        <w:t>raz</w:t>
      </w:r>
      <w:r w:rsidRPr="002866E5">
        <w:rPr>
          <w:noProof/>
          <w:sz w:val="18"/>
        </w:rPr>
        <w:t>ie potrzeby wszelkimi dodatkowymi zasobami, które mogą zostać przydzielone zarządzającej dyrekcji generalnej</w:t>
      </w:r>
      <w:r w:rsidR="008B35E8" w:rsidRPr="002866E5">
        <w:rPr>
          <w:noProof/>
          <w:sz w:val="18"/>
        </w:rPr>
        <w:t xml:space="preserve"> w</w:t>
      </w:r>
      <w:r w:rsidR="008B35E8">
        <w:rPr>
          <w:noProof/>
          <w:sz w:val="18"/>
        </w:rPr>
        <w:t> </w:t>
      </w:r>
      <w:r w:rsidR="008B35E8" w:rsidRPr="002866E5">
        <w:rPr>
          <w:noProof/>
          <w:sz w:val="18"/>
        </w:rPr>
        <w:t>ram</w:t>
      </w:r>
      <w:r w:rsidRPr="002866E5">
        <w:rPr>
          <w:noProof/>
          <w:sz w:val="18"/>
        </w:rPr>
        <w:t>ach procedury rocznego przydziału środków oraz</w:t>
      </w:r>
      <w:r w:rsidR="008B35E8" w:rsidRPr="002866E5">
        <w:rPr>
          <w:noProof/>
          <w:sz w:val="18"/>
        </w:rPr>
        <w:t xml:space="preserve"> w</w:t>
      </w:r>
      <w:r w:rsidR="008B35E8">
        <w:rPr>
          <w:noProof/>
          <w:sz w:val="18"/>
        </w:rPr>
        <w:t> </w:t>
      </w:r>
      <w:r w:rsidR="008B35E8" w:rsidRPr="002866E5">
        <w:rPr>
          <w:noProof/>
          <w:sz w:val="18"/>
        </w:rPr>
        <w:t>świ</w:t>
      </w:r>
      <w:r w:rsidRPr="002866E5">
        <w:rPr>
          <w:noProof/>
          <w:sz w:val="18"/>
        </w:rPr>
        <w:t>etle istniejących ograniczeń budżetowych.</w:t>
      </w:r>
    </w:p>
    <w:p w14:paraId="67ED8C50" w14:textId="77777777" w:rsidR="0037165D" w:rsidRPr="002866E5" w:rsidRDefault="0037165D" w:rsidP="00881943">
      <w:pPr>
        <w:rPr>
          <w:noProof/>
          <w:sz w:val="20"/>
        </w:rPr>
      </w:pPr>
      <w:r w:rsidRPr="002866E5">
        <w:rPr>
          <w:noProof/>
          <w:sz w:val="20"/>
        </w:rPr>
        <w:t>Opis zadań do wykonania:</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37165D" w:rsidRPr="002866E5" w14:paraId="67ED8C5B" w14:textId="77777777" w:rsidTr="00881943">
        <w:tc>
          <w:tcPr>
            <w:tcW w:w="3240" w:type="dxa"/>
          </w:tcPr>
          <w:p w14:paraId="67ED8C51" w14:textId="75084BAF" w:rsidR="0037165D" w:rsidRPr="002866E5" w:rsidRDefault="0037165D" w:rsidP="00881943">
            <w:pPr>
              <w:rPr>
                <w:noProof/>
                <w:sz w:val="20"/>
              </w:rPr>
            </w:pPr>
            <w:r w:rsidRPr="002866E5">
              <w:rPr>
                <w:noProof/>
                <w:sz w:val="20"/>
              </w:rPr>
              <w:t>Urzędnicy</w:t>
            </w:r>
            <w:r w:rsidR="008B35E8" w:rsidRPr="002866E5">
              <w:rPr>
                <w:noProof/>
                <w:sz w:val="20"/>
              </w:rPr>
              <w:t xml:space="preserve"> i</w:t>
            </w:r>
            <w:r w:rsidR="008B35E8">
              <w:rPr>
                <w:noProof/>
                <w:sz w:val="20"/>
              </w:rPr>
              <w:t> </w:t>
            </w:r>
            <w:r w:rsidR="008B35E8" w:rsidRPr="002866E5">
              <w:rPr>
                <w:noProof/>
                <w:sz w:val="20"/>
              </w:rPr>
              <w:t>pra</w:t>
            </w:r>
            <w:r w:rsidRPr="002866E5">
              <w:rPr>
                <w:noProof/>
                <w:sz w:val="20"/>
              </w:rPr>
              <w:t>cownicy zatrudnieni na czas określony</w:t>
            </w:r>
          </w:p>
          <w:p w14:paraId="67ED8C52" w14:textId="77777777" w:rsidR="0037165D" w:rsidRPr="002866E5" w:rsidRDefault="003866CC" w:rsidP="00881943">
            <w:pPr>
              <w:rPr>
                <w:noProof/>
                <w:sz w:val="20"/>
              </w:rPr>
            </w:pPr>
            <w:r w:rsidRPr="002866E5">
              <w:rPr>
                <w:noProof/>
                <w:sz w:val="20"/>
              </w:rPr>
              <w:t xml:space="preserve">6 EPC x </w:t>
            </w:r>
            <w:hyperlink r:id="rId26" w:history="1">
              <w:r w:rsidRPr="002866E5">
                <w:rPr>
                  <w:rStyle w:val="Hyperlink"/>
                  <w:noProof/>
                  <w:sz w:val="20"/>
                </w:rPr>
                <w:t>157 000 EUR/rok</w:t>
              </w:r>
            </w:hyperlink>
            <w:r w:rsidRPr="002866E5">
              <w:rPr>
                <w:noProof/>
                <w:sz w:val="20"/>
              </w:rPr>
              <w:t xml:space="preserve"> = 942 000 EUR</w:t>
            </w:r>
          </w:p>
        </w:tc>
        <w:tc>
          <w:tcPr>
            <w:tcW w:w="7200" w:type="dxa"/>
          </w:tcPr>
          <w:p w14:paraId="67ED8C53" w14:textId="2E964296" w:rsidR="00F103C3" w:rsidRPr="002866E5" w:rsidRDefault="00F103C3" w:rsidP="00F103C3">
            <w:pPr>
              <w:rPr>
                <w:noProof/>
                <w:sz w:val="20"/>
              </w:rPr>
            </w:pPr>
            <w:r w:rsidRPr="002866E5">
              <w:rPr>
                <w:noProof/>
                <w:sz w:val="20"/>
              </w:rPr>
              <w:t>Zgodnie</w:t>
            </w:r>
            <w:r w:rsidR="008B35E8" w:rsidRPr="002866E5">
              <w:rPr>
                <w:noProof/>
                <w:sz w:val="20"/>
              </w:rPr>
              <w:t xml:space="preserve"> z</w:t>
            </w:r>
            <w:r w:rsidR="008B35E8">
              <w:rPr>
                <w:noProof/>
                <w:sz w:val="20"/>
              </w:rPr>
              <w:t> </w:t>
            </w:r>
            <w:r w:rsidR="008B35E8" w:rsidRPr="002866E5">
              <w:rPr>
                <w:noProof/>
                <w:sz w:val="20"/>
              </w:rPr>
              <w:t>opi</w:t>
            </w:r>
            <w:r w:rsidRPr="002866E5">
              <w:rPr>
                <w:noProof/>
                <w:sz w:val="20"/>
              </w:rPr>
              <w:t>sem</w:t>
            </w:r>
            <w:r w:rsidR="008B35E8" w:rsidRPr="002866E5">
              <w:rPr>
                <w:noProof/>
                <w:sz w:val="20"/>
              </w:rPr>
              <w:t xml:space="preserve"> w</w:t>
            </w:r>
            <w:r w:rsidR="008B35E8">
              <w:rPr>
                <w:noProof/>
                <w:sz w:val="20"/>
              </w:rPr>
              <w:t> </w:t>
            </w:r>
            <w:r w:rsidR="008B35E8" w:rsidRPr="008B35E8">
              <w:rPr>
                <w:noProof/>
                <w:sz w:val="20"/>
              </w:rPr>
              <w:t>pkt </w:t>
            </w:r>
            <w:r w:rsidRPr="008B35E8">
              <w:rPr>
                <w:noProof/>
                <w:sz w:val="20"/>
              </w:rPr>
              <w:t>2</w:t>
            </w:r>
            <w:r w:rsidRPr="002866E5">
              <w:rPr>
                <w:noProof/>
                <w:sz w:val="20"/>
              </w:rPr>
              <w:t>.2.1:</w:t>
            </w:r>
          </w:p>
          <w:p w14:paraId="67ED8C54" w14:textId="4A15678A" w:rsidR="00E76CD0" w:rsidRPr="002866E5" w:rsidRDefault="00E76CD0" w:rsidP="00171C49">
            <w:pPr>
              <w:pStyle w:val="Tiret0"/>
              <w:numPr>
                <w:ilvl w:val="0"/>
                <w:numId w:val="62"/>
              </w:numPr>
              <w:rPr>
                <w:noProof/>
                <w:sz w:val="20"/>
              </w:rPr>
            </w:pPr>
            <w:r w:rsidRPr="002866E5">
              <w:rPr>
                <w:noProof/>
                <w:sz w:val="20"/>
              </w:rPr>
              <w:t>opracowanie zlecenia normalizacji lub wspólnych specyfikacji za pośrednictwem aktów wykonawczych</w:t>
            </w:r>
            <w:r w:rsidR="008B35E8" w:rsidRPr="002866E5">
              <w:rPr>
                <w:noProof/>
                <w:sz w:val="20"/>
              </w:rPr>
              <w:t xml:space="preserve"> w</w:t>
            </w:r>
            <w:r w:rsidR="008B35E8">
              <w:rPr>
                <w:noProof/>
                <w:sz w:val="20"/>
              </w:rPr>
              <w:t> </w:t>
            </w:r>
            <w:r w:rsidR="008B35E8" w:rsidRPr="002866E5">
              <w:rPr>
                <w:noProof/>
                <w:sz w:val="20"/>
              </w:rPr>
              <w:t>prz</w:t>
            </w:r>
            <w:r w:rsidRPr="002866E5">
              <w:rPr>
                <w:noProof/>
                <w:sz w:val="20"/>
              </w:rPr>
              <w:t>ypadku braku skutecznego procesu normalizacji;</w:t>
            </w:r>
          </w:p>
          <w:p w14:paraId="67ED8C55" w14:textId="09CBBD88" w:rsidR="00187B03" w:rsidRPr="002866E5" w:rsidRDefault="00187B03" w:rsidP="00E76CD0">
            <w:pPr>
              <w:pStyle w:val="Tiret0"/>
              <w:rPr>
                <w:noProof/>
                <w:sz w:val="20"/>
              </w:rPr>
            </w:pPr>
            <w:r w:rsidRPr="002866E5">
              <w:rPr>
                <w:noProof/>
                <w:sz w:val="20"/>
              </w:rPr>
              <w:t>opracowanie aktu delegowanego [w terminie 12 miesięcy od wejścia</w:t>
            </w:r>
            <w:r w:rsidR="008B35E8" w:rsidRPr="002866E5">
              <w:rPr>
                <w:noProof/>
                <w:sz w:val="20"/>
              </w:rPr>
              <w:t xml:space="preserve"> w</w:t>
            </w:r>
            <w:r w:rsidR="008B35E8">
              <w:rPr>
                <w:noProof/>
                <w:sz w:val="20"/>
              </w:rPr>
              <w:t> </w:t>
            </w:r>
            <w:r w:rsidR="008B35E8" w:rsidRPr="002866E5">
              <w:rPr>
                <w:noProof/>
                <w:sz w:val="20"/>
              </w:rPr>
              <w:t>życ</w:t>
            </w:r>
            <w:r w:rsidRPr="002866E5">
              <w:rPr>
                <w:noProof/>
                <w:sz w:val="20"/>
              </w:rPr>
              <w:t>ie niniejszego rozporządzenia] zawierającego definicje produktów krytycznych</w:t>
            </w:r>
            <w:r w:rsidR="008B35E8" w:rsidRPr="002866E5">
              <w:rPr>
                <w:noProof/>
                <w:sz w:val="20"/>
              </w:rPr>
              <w:t xml:space="preserve"> z</w:t>
            </w:r>
            <w:r w:rsidR="008B35E8">
              <w:rPr>
                <w:noProof/>
                <w:sz w:val="20"/>
              </w:rPr>
              <w:t> </w:t>
            </w:r>
            <w:r w:rsidR="008B35E8" w:rsidRPr="002866E5">
              <w:rPr>
                <w:noProof/>
                <w:sz w:val="20"/>
              </w:rPr>
              <w:t>ele</w:t>
            </w:r>
            <w:r w:rsidRPr="002866E5">
              <w:rPr>
                <w:noProof/>
                <w:sz w:val="20"/>
              </w:rPr>
              <w:t>mentami cyfrowymi;</w:t>
            </w:r>
          </w:p>
          <w:p w14:paraId="67ED8C56" w14:textId="412E85B7" w:rsidR="00187B03" w:rsidRPr="002866E5" w:rsidRDefault="00187B03" w:rsidP="00E76CD0">
            <w:pPr>
              <w:pStyle w:val="Tiret0"/>
              <w:rPr>
                <w:noProof/>
                <w:sz w:val="20"/>
              </w:rPr>
            </w:pPr>
            <w:r w:rsidRPr="002866E5">
              <w:rPr>
                <w:noProof/>
                <w:sz w:val="20"/>
              </w:rPr>
              <w:t>ewentualne opracowanie aktów delegowanych</w:t>
            </w:r>
            <w:r w:rsidR="008B35E8" w:rsidRPr="002866E5">
              <w:rPr>
                <w:noProof/>
                <w:sz w:val="20"/>
              </w:rPr>
              <w:t xml:space="preserve"> w</w:t>
            </w:r>
            <w:r w:rsidR="008B35E8">
              <w:rPr>
                <w:noProof/>
                <w:sz w:val="20"/>
              </w:rPr>
              <w:t> </w:t>
            </w:r>
            <w:r w:rsidR="008B35E8" w:rsidRPr="002866E5">
              <w:rPr>
                <w:noProof/>
                <w:sz w:val="20"/>
              </w:rPr>
              <w:t>cel</w:t>
            </w:r>
            <w:r w:rsidRPr="002866E5">
              <w:rPr>
                <w:noProof/>
                <w:sz w:val="20"/>
              </w:rPr>
              <w:t>u aktualizacji wykazu produktów krytycznych klasy I i II; określenie, czy konieczne jest ograniczenie lub wyłączenie</w:t>
            </w:r>
            <w:r w:rsidR="008B35E8" w:rsidRPr="002866E5">
              <w:rPr>
                <w:noProof/>
                <w:sz w:val="20"/>
              </w:rPr>
              <w:t xml:space="preserve"> w</w:t>
            </w:r>
            <w:r w:rsidR="008B35E8">
              <w:rPr>
                <w:noProof/>
                <w:sz w:val="20"/>
              </w:rPr>
              <w:t> </w:t>
            </w:r>
            <w:r w:rsidR="008B35E8" w:rsidRPr="002866E5">
              <w:rPr>
                <w:noProof/>
                <w:sz w:val="20"/>
              </w:rPr>
              <w:t>odn</w:t>
            </w:r>
            <w:r w:rsidRPr="002866E5">
              <w:rPr>
                <w:noProof/>
                <w:sz w:val="20"/>
              </w:rPr>
              <w:t>iesieniu do produktów</w:t>
            </w:r>
            <w:r w:rsidR="008B35E8" w:rsidRPr="002866E5">
              <w:rPr>
                <w:noProof/>
                <w:sz w:val="20"/>
              </w:rPr>
              <w:t xml:space="preserve"> z</w:t>
            </w:r>
            <w:r w:rsidR="008B35E8">
              <w:rPr>
                <w:noProof/>
                <w:sz w:val="20"/>
              </w:rPr>
              <w:t> </w:t>
            </w:r>
            <w:r w:rsidR="008B35E8" w:rsidRPr="002866E5">
              <w:rPr>
                <w:noProof/>
                <w:sz w:val="20"/>
              </w:rPr>
              <w:t>ele</w:t>
            </w:r>
            <w:r w:rsidRPr="002866E5">
              <w:rPr>
                <w:noProof/>
                <w:sz w:val="20"/>
              </w:rPr>
              <w:t>mentami cyfrowymi objętych innymi przepisami unijnymi określającymi wymogi zapewniające taki sam poziom ochrony jak niniejsze rozporządzenie; wprowadzanie obowiązku certyfikacji niektórych produktów wysoce krytycznych</w:t>
            </w:r>
            <w:r w:rsidR="008B35E8" w:rsidRPr="002866E5">
              <w:rPr>
                <w:noProof/>
                <w:sz w:val="20"/>
              </w:rPr>
              <w:t xml:space="preserve"> z</w:t>
            </w:r>
            <w:r w:rsidR="008B35E8">
              <w:rPr>
                <w:noProof/>
                <w:sz w:val="20"/>
              </w:rPr>
              <w:t> </w:t>
            </w:r>
            <w:r w:rsidR="008B35E8" w:rsidRPr="002866E5">
              <w:rPr>
                <w:noProof/>
                <w:sz w:val="20"/>
              </w:rPr>
              <w:t>ele</w:t>
            </w:r>
            <w:r w:rsidRPr="002866E5">
              <w:rPr>
                <w:noProof/>
                <w:sz w:val="20"/>
              </w:rPr>
              <w:t>mentami cyfrowymi</w:t>
            </w:r>
            <w:r w:rsidR="008B35E8" w:rsidRPr="002866E5">
              <w:rPr>
                <w:noProof/>
                <w:sz w:val="20"/>
              </w:rPr>
              <w:t xml:space="preserve"> w</w:t>
            </w:r>
            <w:r w:rsidR="008B35E8">
              <w:rPr>
                <w:noProof/>
                <w:sz w:val="20"/>
              </w:rPr>
              <w:t> </w:t>
            </w:r>
            <w:r w:rsidR="008B35E8" w:rsidRPr="002866E5">
              <w:rPr>
                <w:noProof/>
                <w:sz w:val="20"/>
              </w:rPr>
              <w:t>opa</w:t>
            </w:r>
            <w:r w:rsidRPr="002866E5">
              <w:rPr>
                <w:noProof/>
                <w:sz w:val="20"/>
              </w:rPr>
              <w:t>rciu</w:t>
            </w:r>
            <w:r w:rsidR="008B35E8" w:rsidRPr="002866E5">
              <w:rPr>
                <w:noProof/>
                <w:sz w:val="20"/>
              </w:rPr>
              <w:t xml:space="preserve"> o</w:t>
            </w:r>
            <w:r w:rsidR="008B35E8">
              <w:rPr>
                <w:noProof/>
                <w:sz w:val="20"/>
              </w:rPr>
              <w:t> </w:t>
            </w:r>
            <w:r w:rsidR="008B35E8" w:rsidRPr="002866E5">
              <w:rPr>
                <w:noProof/>
                <w:sz w:val="20"/>
              </w:rPr>
              <w:t>kry</w:t>
            </w:r>
            <w:r w:rsidRPr="002866E5">
              <w:rPr>
                <w:noProof/>
                <w:sz w:val="20"/>
              </w:rPr>
              <w:t>teria określone</w:t>
            </w:r>
            <w:r w:rsidR="008B35E8" w:rsidRPr="002866E5">
              <w:rPr>
                <w:noProof/>
                <w:sz w:val="20"/>
              </w:rPr>
              <w:t xml:space="preserve"> w</w:t>
            </w:r>
            <w:r w:rsidR="008B35E8">
              <w:rPr>
                <w:noProof/>
                <w:sz w:val="20"/>
              </w:rPr>
              <w:t> </w:t>
            </w:r>
            <w:r w:rsidR="008B35E8" w:rsidRPr="002866E5">
              <w:rPr>
                <w:noProof/>
                <w:sz w:val="20"/>
              </w:rPr>
              <w:t>nin</w:t>
            </w:r>
            <w:r w:rsidRPr="002866E5">
              <w:rPr>
                <w:noProof/>
                <w:sz w:val="20"/>
              </w:rPr>
              <w:t>iejszym rozporządzeniu; określenie minimalnego zakresu deklaracji zgodności UE oraz uzupełnienie elementów, które należy uwzględnić</w:t>
            </w:r>
            <w:r w:rsidR="008B35E8" w:rsidRPr="002866E5">
              <w:rPr>
                <w:noProof/>
                <w:sz w:val="20"/>
              </w:rPr>
              <w:t xml:space="preserve"> w</w:t>
            </w:r>
            <w:r w:rsidR="008B35E8">
              <w:rPr>
                <w:noProof/>
                <w:sz w:val="20"/>
              </w:rPr>
              <w:t> </w:t>
            </w:r>
            <w:r w:rsidR="008B35E8" w:rsidRPr="002866E5">
              <w:rPr>
                <w:noProof/>
                <w:sz w:val="20"/>
              </w:rPr>
              <w:t>dok</w:t>
            </w:r>
            <w:r w:rsidRPr="002866E5">
              <w:rPr>
                <w:noProof/>
                <w:sz w:val="20"/>
              </w:rPr>
              <w:t>umentacji technicznej</w:t>
            </w:r>
            <w:r w:rsidRPr="002866E5">
              <w:rPr>
                <w:noProof/>
              </w:rPr>
              <w:t>;</w:t>
            </w:r>
          </w:p>
          <w:p w14:paraId="67ED8C57" w14:textId="7BCC1A30" w:rsidR="00E76CD0" w:rsidRPr="002866E5" w:rsidRDefault="00E76CD0" w:rsidP="00E76CD0">
            <w:pPr>
              <w:pStyle w:val="Tiret0"/>
              <w:rPr>
                <w:noProof/>
                <w:sz w:val="20"/>
              </w:rPr>
            </w:pPr>
            <w:r w:rsidRPr="002866E5">
              <w:rPr>
                <w:noProof/>
                <w:sz w:val="20"/>
              </w:rPr>
              <w:t>ewentualne opracowanie aktów wykonawczych</w:t>
            </w:r>
            <w:r w:rsidR="008B35E8" w:rsidRPr="002866E5">
              <w:rPr>
                <w:noProof/>
                <w:sz w:val="20"/>
              </w:rPr>
              <w:t xml:space="preserve"> w</w:t>
            </w:r>
            <w:r w:rsidR="008B35E8">
              <w:rPr>
                <w:noProof/>
                <w:sz w:val="20"/>
              </w:rPr>
              <w:t> </w:t>
            </w:r>
            <w:r w:rsidR="008B35E8" w:rsidRPr="002866E5">
              <w:rPr>
                <w:noProof/>
                <w:sz w:val="20"/>
              </w:rPr>
              <w:t>zak</w:t>
            </w:r>
            <w:r w:rsidRPr="002866E5">
              <w:rPr>
                <w:noProof/>
                <w:sz w:val="20"/>
              </w:rPr>
              <w:t>resie formatu lub elementów dotyczących obowiązków</w:t>
            </w:r>
            <w:r w:rsidR="008B35E8" w:rsidRPr="002866E5">
              <w:rPr>
                <w:noProof/>
                <w:sz w:val="20"/>
              </w:rPr>
              <w:t xml:space="preserve"> w</w:t>
            </w:r>
            <w:r w:rsidR="008B35E8">
              <w:rPr>
                <w:noProof/>
                <w:sz w:val="20"/>
              </w:rPr>
              <w:t> </w:t>
            </w:r>
            <w:r w:rsidR="008B35E8" w:rsidRPr="002866E5">
              <w:rPr>
                <w:noProof/>
                <w:sz w:val="20"/>
              </w:rPr>
              <w:t>zak</w:t>
            </w:r>
            <w:r w:rsidRPr="002866E5">
              <w:rPr>
                <w:noProof/>
                <w:sz w:val="20"/>
              </w:rPr>
              <w:t>resie zgłaszania incydentów, zestawienia podstawowych materiałów do produkcji oprogramowania, wspólnych specyfikacji lub umieszczania oznakowania CE;</w:t>
            </w:r>
          </w:p>
          <w:p w14:paraId="67ED8C58" w14:textId="4B4A07B2" w:rsidR="00E76CD0" w:rsidRPr="002866E5" w:rsidRDefault="00E76CD0" w:rsidP="00E76CD0">
            <w:pPr>
              <w:pStyle w:val="Tiret0"/>
              <w:rPr>
                <w:noProof/>
                <w:sz w:val="20"/>
              </w:rPr>
            </w:pPr>
            <w:r w:rsidRPr="002866E5">
              <w:rPr>
                <w:noProof/>
                <w:sz w:val="20"/>
              </w:rPr>
              <w:t>ewentualne przygotowanie niezwłocznej interwencji</w:t>
            </w:r>
            <w:r w:rsidR="008B35E8" w:rsidRPr="002866E5">
              <w:rPr>
                <w:noProof/>
                <w:sz w:val="20"/>
              </w:rPr>
              <w:t xml:space="preserve"> w</w:t>
            </w:r>
            <w:r w:rsidR="008B35E8">
              <w:rPr>
                <w:noProof/>
                <w:sz w:val="20"/>
              </w:rPr>
              <w:t> </w:t>
            </w:r>
            <w:r w:rsidR="008B35E8" w:rsidRPr="002866E5">
              <w:rPr>
                <w:noProof/>
                <w:sz w:val="20"/>
              </w:rPr>
              <w:t>cel</w:t>
            </w:r>
            <w:r w:rsidRPr="002866E5">
              <w:rPr>
                <w:noProof/>
                <w:sz w:val="20"/>
              </w:rPr>
              <w:t>u wprowadzenia</w:t>
            </w:r>
            <w:r w:rsidR="008B35E8" w:rsidRPr="002866E5">
              <w:rPr>
                <w:noProof/>
                <w:sz w:val="20"/>
              </w:rPr>
              <w:t xml:space="preserve"> w</w:t>
            </w:r>
            <w:r w:rsidR="008B35E8">
              <w:rPr>
                <w:noProof/>
                <w:sz w:val="20"/>
              </w:rPr>
              <w:t> </w:t>
            </w:r>
            <w:r w:rsidR="008B35E8" w:rsidRPr="002866E5">
              <w:rPr>
                <w:noProof/>
                <w:sz w:val="20"/>
              </w:rPr>
              <w:t>wyj</w:t>
            </w:r>
            <w:r w:rsidRPr="002866E5">
              <w:rPr>
                <w:noProof/>
                <w:sz w:val="20"/>
              </w:rPr>
              <w:t>ątkowych okolicznościach środków naprawczych lub ograniczających</w:t>
            </w:r>
            <w:r w:rsidR="008B35E8" w:rsidRPr="002866E5">
              <w:rPr>
                <w:noProof/>
                <w:sz w:val="20"/>
              </w:rPr>
              <w:t xml:space="preserve"> w</w:t>
            </w:r>
            <w:r w:rsidR="008B35E8">
              <w:rPr>
                <w:noProof/>
                <w:sz w:val="20"/>
              </w:rPr>
              <w:t> </w:t>
            </w:r>
            <w:r w:rsidR="008B35E8" w:rsidRPr="002866E5">
              <w:rPr>
                <w:noProof/>
                <w:sz w:val="20"/>
              </w:rPr>
              <w:t>cel</w:t>
            </w:r>
            <w:r w:rsidRPr="002866E5">
              <w:rPr>
                <w:noProof/>
                <w:sz w:val="20"/>
              </w:rPr>
              <w:t>u utrzymania prawidłowego funkcjonowania rynku wewnętrznego,</w:t>
            </w:r>
            <w:r w:rsidR="008B35E8" w:rsidRPr="002866E5">
              <w:rPr>
                <w:noProof/>
                <w:sz w:val="20"/>
              </w:rPr>
              <w:t xml:space="preserve"> w</w:t>
            </w:r>
            <w:r w:rsidR="008B35E8">
              <w:rPr>
                <w:noProof/>
                <w:sz w:val="20"/>
              </w:rPr>
              <w:t> </w:t>
            </w:r>
            <w:r w:rsidR="008B35E8" w:rsidRPr="002866E5">
              <w:rPr>
                <w:noProof/>
                <w:sz w:val="20"/>
              </w:rPr>
              <w:t>tym</w:t>
            </w:r>
            <w:r w:rsidRPr="002866E5">
              <w:rPr>
                <w:noProof/>
                <w:sz w:val="20"/>
              </w:rPr>
              <w:t xml:space="preserve"> opracowanie aktu wykonawczego;</w:t>
            </w:r>
          </w:p>
          <w:p w14:paraId="67ED8C59" w14:textId="65F99731" w:rsidR="00E76CD0" w:rsidRPr="002866E5" w:rsidRDefault="00E76CD0" w:rsidP="00E76CD0">
            <w:pPr>
              <w:pStyle w:val="Tiret0"/>
              <w:rPr>
                <w:noProof/>
                <w:sz w:val="20"/>
              </w:rPr>
            </w:pPr>
            <w:r w:rsidRPr="002866E5">
              <w:rPr>
                <w:noProof/>
                <w:sz w:val="20"/>
              </w:rPr>
              <w:t>organizacja</w:t>
            </w:r>
            <w:r w:rsidR="008B35E8" w:rsidRPr="002866E5">
              <w:rPr>
                <w:noProof/>
                <w:sz w:val="20"/>
              </w:rPr>
              <w:t xml:space="preserve"> i</w:t>
            </w:r>
            <w:r w:rsidR="008B35E8">
              <w:rPr>
                <w:noProof/>
                <w:sz w:val="20"/>
              </w:rPr>
              <w:t> </w:t>
            </w:r>
            <w:r w:rsidR="008B35E8" w:rsidRPr="002866E5">
              <w:rPr>
                <w:noProof/>
                <w:sz w:val="20"/>
              </w:rPr>
              <w:t>koo</w:t>
            </w:r>
            <w:r w:rsidRPr="002866E5">
              <w:rPr>
                <w:noProof/>
                <w:sz w:val="20"/>
              </w:rPr>
              <w:t>rdynacja notyfikacji jednostek notyfikowanych przez państwa członkowskie oraz koordynacja jednostek notyfikowanych;</w:t>
            </w:r>
          </w:p>
          <w:p w14:paraId="67ED8C5A" w14:textId="77777777" w:rsidR="00F404FA" w:rsidRPr="002866E5" w:rsidRDefault="003C0A9A" w:rsidP="00384D4D">
            <w:pPr>
              <w:pStyle w:val="Tiret0"/>
              <w:rPr>
                <w:noProof/>
              </w:rPr>
            </w:pPr>
            <w:r w:rsidRPr="002866E5">
              <w:rPr>
                <w:noProof/>
                <w:sz w:val="20"/>
              </w:rPr>
              <w:t>wspieranie koordynacji organów nadzoru rynku państw członkowskich.</w:t>
            </w:r>
          </w:p>
        </w:tc>
      </w:tr>
      <w:tr w:rsidR="0037165D" w:rsidRPr="002866E5" w14:paraId="67ED8C66" w14:textId="77777777" w:rsidTr="00881943">
        <w:tc>
          <w:tcPr>
            <w:tcW w:w="3240" w:type="dxa"/>
          </w:tcPr>
          <w:p w14:paraId="67ED8C5C" w14:textId="77777777" w:rsidR="0037165D" w:rsidRPr="002866E5" w:rsidRDefault="0037165D" w:rsidP="00881943">
            <w:pPr>
              <w:spacing w:before="60" w:after="60"/>
              <w:rPr>
                <w:noProof/>
                <w:sz w:val="20"/>
              </w:rPr>
            </w:pPr>
            <w:r w:rsidRPr="002866E5">
              <w:rPr>
                <w:noProof/>
                <w:sz w:val="20"/>
              </w:rPr>
              <w:t>Personel zewnętrzny</w:t>
            </w:r>
          </w:p>
          <w:p w14:paraId="67ED8C5D" w14:textId="77777777" w:rsidR="0037165D" w:rsidRPr="002866E5" w:rsidRDefault="00D45515" w:rsidP="00881943">
            <w:pPr>
              <w:spacing w:before="60" w:after="60"/>
              <w:rPr>
                <w:noProof/>
                <w:sz w:val="20"/>
              </w:rPr>
            </w:pPr>
            <w:r w:rsidRPr="002866E5">
              <w:rPr>
                <w:noProof/>
                <w:sz w:val="20"/>
              </w:rPr>
              <w:t xml:space="preserve">1 SNE x </w:t>
            </w:r>
            <w:hyperlink r:id="rId27" w:history="1">
              <w:r w:rsidRPr="002866E5">
                <w:rPr>
                  <w:rStyle w:val="Hyperlink"/>
                  <w:noProof/>
                  <w:sz w:val="20"/>
                </w:rPr>
                <w:t>88 000 EUR/rok</w:t>
              </w:r>
            </w:hyperlink>
            <w:r w:rsidRPr="002866E5">
              <w:rPr>
                <w:noProof/>
                <w:sz w:val="20"/>
              </w:rPr>
              <w:t xml:space="preserve"> </w:t>
            </w:r>
          </w:p>
        </w:tc>
        <w:tc>
          <w:tcPr>
            <w:tcW w:w="7200" w:type="dxa"/>
          </w:tcPr>
          <w:p w14:paraId="67ED8C5E" w14:textId="5153B141" w:rsidR="00F103C3" w:rsidRPr="002866E5" w:rsidRDefault="00F103C3" w:rsidP="00F103C3">
            <w:pPr>
              <w:rPr>
                <w:noProof/>
                <w:sz w:val="20"/>
              </w:rPr>
            </w:pPr>
            <w:r w:rsidRPr="002866E5">
              <w:rPr>
                <w:noProof/>
                <w:sz w:val="20"/>
              </w:rPr>
              <w:t>Zgodnie</w:t>
            </w:r>
            <w:r w:rsidR="008B35E8" w:rsidRPr="002866E5">
              <w:rPr>
                <w:noProof/>
                <w:sz w:val="20"/>
              </w:rPr>
              <w:t xml:space="preserve"> z</w:t>
            </w:r>
            <w:r w:rsidR="008B35E8">
              <w:rPr>
                <w:noProof/>
                <w:sz w:val="20"/>
              </w:rPr>
              <w:t> </w:t>
            </w:r>
            <w:r w:rsidR="008B35E8" w:rsidRPr="002866E5">
              <w:rPr>
                <w:noProof/>
                <w:sz w:val="20"/>
              </w:rPr>
              <w:t>opi</w:t>
            </w:r>
            <w:r w:rsidRPr="002866E5">
              <w:rPr>
                <w:noProof/>
                <w:sz w:val="20"/>
              </w:rPr>
              <w:t>sem</w:t>
            </w:r>
            <w:r w:rsidR="008B35E8" w:rsidRPr="002866E5">
              <w:rPr>
                <w:noProof/>
                <w:sz w:val="20"/>
              </w:rPr>
              <w:t xml:space="preserve"> w</w:t>
            </w:r>
            <w:r w:rsidR="008B35E8">
              <w:rPr>
                <w:noProof/>
                <w:sz w:val="20"/>
              </w:rPr>
              <w:t> </w:t>
            </w:r>
            <w:r w:rsidR="008B35E8" w:rsidRPr="008B35E8">
              <w:rPr>
                <w:noProof/>
                <w:sz w:val="20"/>
              </w:rPr>
              <w:t>pkt </w:t>
            </w:r>
            <w:r w:rsidRPr="008B35E8">
              <w:rPr>
                <w:noProof/>
                <w:sz w:val="20"/>
              </w:rPr>
              <w:t>2</w:t>
            </w:r>
            <w:r w:rsidRPr="002866E5">
              <w:rPr>
                <w:noProof/>
                <w:sz w:val="20"/>
              </w:rPr>
              <w:t>.2.1:</w:t>
            </w:r>
          </w:p>
          <w:p w14:paraId="67ED8C5F" w14:textId="6AAE8AC9" w:rsidR="003C0A9A" w:rsidRPr="002866E5" w:rsidRDefault="003C0A9A" w:rsidP="003C0A9A">
            <w:pPr>
              <w:pStyle w:val="Tiret0"/>
              <w:rPr>
                <w:noProof/>
                <w:sz w:val="20"/>
              </w:rPr>
            </w:pPr>
            <w:r w:rsidRPr="002866E5">
              <w:rPr>
                <w:noProof/>
                <w:sz w:val="20"/>
              </w:rPr>
              <w:t>opracowanie zlecenia normalizacji lub wspólnych specyfikacji za pośrednictwem aktów wykonawczych</w:t>
            </w:r>
            <w:r w:rsidR="008B35E8" w:rsidRPr="002866E5">
              <w:rPr>
                <w:noProof/>
                <w:sz w:val="20"/>
              </w:rPr>
              <w:t xml:space="preserve"> w</w:t>
            </w:r>
            <w:r w:rsidR="008B35E8">
              <w:rPr>
                <w:noProof/>
                <w:sz w:val="20"/>
              </w:rPr>
              <w:t> </w:t>
            </w:r>
            <w:r w:rsidR="008B35E8" w:rsidRPr="002866E5">
              <w:rPr>
                <w:noProof/>
                <w:sz w:val="20"/>
              </w:rPr>
              <w:t>prz</w:t>
            </w:r>
            <w:r w:rsidRPr="002866E5">
              <w:rPr>
                <w:noProof/>
                <w:sz w:val="20"/>
              </w:rPr>
              <w:t>ypadku braku skutecznego procesu normalizacji;</w:t>
            </w:r>
          </w:p>
          <w:p w14:paraId="67ED8C60" w14:textId="74689E98" w:rsidR="003C0A9A" w:rsidRPr="002866E5" w:rsidRDefault="003C0A9A" w:rsidP="003C0A9A">
            <w:pPr>
              <w:pStyle w:val="Tiret0"/>
              <w:rPr>
                <w:noProof/>
                <w:sz w:val="20"/>
              </w:rPr>
            </w:pPr>
            <w:r w:rsidRPr="002866E5">
              <w:rPr>
                <w:noProof/>
                <w:sz w:val="20"/>
              </w:rPr>
              <w:t>opracowanie aktu delegowanego [w terminie 12 miesięcy od wejścia</w:t>
            </w:r>
            <w:r w:rsidR="008B35E8" w:rsidRPr="002866E5">
              <w:rPr>
                <w:noProof/>
                <w:sz w:val="20"/>
              </w:rPr>
              <w:t xml:space="preserve"> w</w:t>
            </w:r>
            <w:r w:rsidR="008B35E8">
              <w:rPr>
                <w:noProof/>
                <w:sz w:val="20"/>
              </w:rPr>
              <w:t> </w:t>
            </w:r>
            <w:r w:rsidR="008B35E8" w:rsidRPr="002866E5">
              <w:rPr>
                <w:noProof/>
                <w:sz w:val="20"/>
              </w:rPr>
              <w:t>życ</w:t>
            </w:r>
            <w:r w:rsidRPr="002866E5">
              <w:rPr>
                <w:noProof/>
                <w:sz w:val="20"/>
              </w:rPr>
              <w:t>ie niniejszego rozporządzenia] zawierającego definicje produktów krytycznych</w:t>
            </w:r>
            <w:r w:rsidR="008B35E8" w:rsidRPr="002866E5">
              <w:rPr>
                <w:noProof/>
                <w:sz w:val="20"/>
              </w:rPr>
              <w:t xml:space="preserve"> z</w:t>
            </w:r>
            <w:r w:rsidR="008B35E8">
              <w:rPr>
                <w:noProof/>
                <w:sz w:val="20"/>
              </w:rPr>
              <w:t> </w:t>
            </w:r>
            <w:r w:rsidR="008B35E8" w:rsidRPr="002866E5">
              <w:rPr>
                <w:noProof/>
                <w:sz w:val="20"/>
              </w:rPr>
              <w:t>ele</w:t>
            </w:r>
            <w:r w:rsidRPr="002866E5">
              <w:rPr>
                <w:noProof/>
                <w:sz w:val="20"/>
              </w:rPr>
              <w:t>mentami cyfrowymi;</w:t>
            </w:r>
          </w:p>
          <w:p w14:paraId="67ED8C61" w14:textId="5A231CC7" w:rsidR="003C0A9A" w:rsidRPr="002866E5" w:rsidRDefault="003C0A9A" w:rsidP="003C0A9A">
            <w:pPr>
              <w:pStyle w:val="Tiret0"/>
              <w:rPr>
                <w:noProof/>
                <w:sz w:val="20"/>
              </w:rPr>
            </w:pPr>
            <w:r w:rsidRPr="002866E5">
              <w:rPr>
                <w:noProof/>
                <w:sz w:val="20"/>
              </w:rPr>
              <w:t>ewentualne opracowanie aktów delegowanych</w:t>
            </w:r>
            <w:r w:rsidR="008B35E8" w:rsidRPr="002866E5">
              <w:rPr>
                <w:noProof/>
                <w:sz w:val="20"/>
              </w:rPr>
              <w:t xml:space="preserve"> w</w:t>
            </w:r>
            <w:r w:rsidR="008B35E8">
              <w:rPr>
                <w:noProof/>
                <w:sz w:val="20"/>
              </w:rPr>
              <w:t> </w:t>
            </w:r>
            <w:r w:rsidR="008B35E8" w:rsidRPr="002866E5">
              <w:rPr>
                <w:noProof/>
                <w:sz w:val="20"/>
              </w:rPr>
              <w:t>cel</w:t>
            </w:r>
            <w:r w:rsidRPr="002866E5">
              <w:rPr>
                <w:noProof/>
                <w:sz w:val="20"/>
              </w:rPr>
              <w:t>u aktualizacji wykazu produktów krytycznych klasy I i II; określenie, czy konieczne jest ograniczenie lub wyłączenie</w:t>
            </w:r>
            <w:r w:rsidR="008B35E8" w:rsidRPr="002866E5">
              <w:rPr>
                <w:noProof/>
                <w:sz w:val="20"/>
              </w:rPr>
              <w:t xml:space="preserve"> w</w:t>
            </w:r>
            <w:r w:rsidR="008B35E8">
              <w:rPr>
                <w:noProof/>
                <w:sz w:val="20"/>
              </w:rPr>
              <w:t> </w:t>
            </w:r>
            <w:r w:rsidR="008B35E8" w:rsidRPr="002866E5">
              <w:rPr>
                <w:noProof/>
                <w:sz w:val="20"/>
              </w:rPr>
              <w:t>odn</w:t>
            </w:r>
            <w:r w:rsidRPr="002866E5">
              <w:rPr>
                <w:noProof/>
                <w:sz w:val="20"/>
              </w:rPr>
              <w:t>iesieniu do produktów</w:t>
            </w:r>
            <w:r w:rsidR="008B35E8" w:rsidRPr="002866E5">
              <w:rPr>
                <w:noProof/>
                <w:sz w:val="20"/>
              </w:rPr>
              <w:t xml:space="preserve"> z</w:t>
            </w:r>
            <w:r w:rsidR="008B35E8">
              <w:rPr>
                <w:noProof/>
                <w:sz w:val="20"/>
              </w:rPr>
              <w:t> </w:t>
            </w:r>
            <w:r w:rsidR="008B35E8" w:rsidRPr="002866E5">
              <w:rPr>
                <w:noProof/>
                <w:sz w:val="20"/>
              </w:rPr>
              <w:t>ele</w:t>
            </w:r>
            <w:r w:rsidRPr="002866E5">
              <w:rPr>
                <w:noProof/>
                <w:sz w:val="20"/>
              </w:rPr>
              <w:t>mentami cyfrowymi objętych innymi przepisami unijnymi określającymi wymogi zapewniające taki sam poziom ochrony jak niniejsze rozporządzenie; wprowadzanie obowiązku certyfikacji niektórych produktów wysoce krytycznych</w:t>
            </w:r>
            <w:r w:rsidR="008B35E8" w:rsidRPr="002866E5">
              <w:rPr>
                <w:noProof/>
                <w:sz w:val="20"/>
              </w:rPr>
              <w:t xml:space="preserve"> z</w:t>
            </w:r>
            <w:r w:rsidR="008B35E8">
              <w:rPr>
                <w:noProof/>
                <w:sz w:val="20"/>
              </w:rPr>
              <w:t> </w:t>
            </w:r>
            <w:r w:rsidR="008B35E8" w:rsidRPr="002866E5">
              <w:rPr>
                <w:noProof/>
                <w:sz w:val="20"/>
              </w:rPr>
              <w:t>ele</w:t>
            </w:r>
            <w:r w:rsidRPr="002866E5">
              <w:rPr>
                <w:noProof/>
                <w:sz w:val="20"/>
              </w:rPr>
              <w:t>mentami cyfrowymi</w:t>
            </w:r>
            <w:r w:rsidR="008B35E8" w:rsidRPr="002866E5">
              <w:rPr>
                <w:noProof/>
                <w:sz w:val="20"/>
              </w:rPr>
              <w:t xml:space="preserve"> w</w:t>
            </w:r>
            <w:r w:rsidR="008B35E8">
              <w:rPr>
                <w:noProof/>
                <w:sz w:val="20"/>
              </w:rPr>
              <w:t> </w:t>
            </w:r>
            <w:r w:rsidR="008B35E8" w:rsidRPr="002866E5">
              <w:rPr>
                <w:noProof/>
                <w:sz w:val="20"/>
              </w:rPr>
              <w:t>opa</w:t>
            </w:r>
            <w:r w:rsidRPr="002866E5">
              <w:rPr>
                <w:noProof/>
                <w:sz w:val="20"/>
              </w:rPr>
              <w:t>rciu</w:t>
            </w:r>
            <w:r w:rsidR="008B35E8" w:rsidRPr="002866E5">
              <w:rPr>
                <w:noProof/>
                <w:sz w:val="20"/>
              </w:rPr>
              <w:t xml:space="preserve"> o</w:t>
            </w:r>
            <w:r w:rsidR="008B35E8">
              <w:rPr>
                <w:noProof/>
                <w:sz w:val="20"/>
              </w:rPr>
              <w:t> </w:t>
            </w:r>
            <w:r w:rsidR="008B35E8" w:rsidRPr="002866E5">
              <w:rPr>
                <w:noProof/>
                <w:sz w:val="20"/>
              </w:rPr>
              <w:t>kry</w:t>
            </w:r>
            <w:r w:rsidRPr="002866E5">
              <w:rPr>
                <w:noProof/>
                <w:sz w:val="20"/>
              </w:rPr>
              <w:t>teria określone</w:t>
            </w:r>
            <w:r w:rsidR="008B35E8" w:rsidRPr="002866E5">
              <w:rPr>
                <w:noProof/>
                <w:sz w:val="20"/>
              </w:rPr>
              <w:t xml:space="preserve"> w</w:t>
            </w:r>
            <w:r w:rsidR="008B35E8">
              <w:rPr>
                <w:noProof/>
                <w:sz w:val="20"/>
              </w:rPr>
              <w:t> </w:t>
            </w:r>
            <w:r w:rsidR="008B35E8" w:rsidRPr="002866E5">
              <w:rPr>
                <w:noProof/>
                <w:sz w:val="20"/>
              </w:rPr>
              <w:t>nin</w:t>
            </w:r>
            <w:r w:rsidRPr="002866E5">
              <w:rPr>
                <w:noProof/>
                <w:sz w:val="20"/>
              </w:rPr>
              <w:t>iejszym rozporządzeniu; określenie minimalnego zakresu deklaracji zgodności UE oraz uzupełnienie elementów, które należy uwzględnić</w:t>
            </w:r>
            <w:r w:rsidR="008B35E8" w:rsidRPr="002866E5">
              <w:rPr>
                <w:noProof/>
                <w:sz w:val="20"/>
              </w:rPr>
              <w:t xml:space="preserve"> w</w:t>
            </w:r>
            <w:r w:rsidR="008B35E8">
              <w:rPr>
                <w:noProof/>
                <w:sz w:val="20"/>
              </w:rPr>
              <w:t> </w:t>
            </w:r>
            <w:r w:rsidR="008B35E8" w:rsidRPr="002866E5">
              <w:rPr>
                <w:noProof/>
                <w:sz w:val="20"/>
              </w:rPr>
              <w:t>dok</w:t>
            </w:r>
            <w:r w:rsidRPr="002866E5">
              <w:rPr>
                <w:noProof/>
                <w:sz w:val="20"/>
              </w:rPr>
              <w:t>umentacji technicznej</w:t>
            </w:r>
            <w:r w:rsidRPr="002866E5">
              <w:rPr>
                <w:noProof/>
              </w:rPr>
              <w:t>;</w:t>
            </w:r>
          </w:p>
          <w:p w14:paraId="67ED8C62" w14:textId="6B707C4D" w:rsidR="003C0A9A" w:rsidRPr="002866E5" w:rsidRDefault="003C0A9A" w:rsidP="003C0A9A">
            <w:pPr>
              <w:pStyle w:val="Tiret0"/>
              <w:rPr>
                <w:noProof/>
                <w:sz w:val="20"/>
              </w:rPr>
            </w:pPr>
            <w:r w:rsidRPr="002866E5">
              <w:rPr>
                <w:noProof/>
                <w:sz w:val="20"/>
              </w:rPr>
              <w:t>ewentualne opracowanie aktów wykonawczych</w:t>
            </w:r>
            <w:r w:rsidR="008B35E8" w:rsidRPr="002866E5">
              <w:rPr>
                <w:noProof/>
                <w:sz w:val="20"/>
              </w:rPr>
              <w:t xml:space="preserve"> w</w:t>
            </w:r>
            <w:r w:rsidR="008B35E8">
              <w:rPr>
                <w:noProof/>
                <w:sz w:val="20"/>
              </w:rPr>
              <w:t> </w:t>
            </w:r>
            <w:r w:rsidR="008B35E8" w:rsidRPr="002866E5">
              <w:rPr>
                <w:noProof/>
                <w:sz w:val="20"/>
              </w:rPr>
              <w:t>zak</w:t>
            </w:r>
            <w:r w:rsidRPr="002866E5">
              <w:rPr>
                <w:noProof/>
                <w:sz w:val="20"/>
              </w:rPr>
              <w:t>resie formatu lub elementów dotyczących obowiązków</w:t>
            </w:r>
            <w:r w:rsidR="008B35E8" w:rsidRPr="002866E5">
              <w:rPr>
                <w:noProof/>
                <w:sz w:val="20"/>
              </w:rPr>
              <w:t xml:space="preserve"> w</w:t>
            </w:r>
            <w:r w:rsidR="008B35E8">
              <w:rPr>
                <w:noProof/>
                <w:sz w:val="20"/>
              </w:rPr>
              <w:t> </w:t>
            </w:r>
            <w:r w:rsidR="008B35E8" w:rsidRPr="002866E5">
              <w:rPr>
                <w:noProof/>
                <w:sz w:val="20"/>
              </w:rPr>
              <w:t>zak</w:t>
            </w:r>
            <w:r w:rsidRPr="002866E5">
              <w:rPr>
                <w:noProof/>
                <w:sz w:val="20"/>
              </w:rPr>
              <w:t>resie zgłaszania incydentów, zestawienia podstawowych materiałów do produkcji oprogramowania, wspólnych specyfikacji lub umieszczania oznakowania CE;</w:t>
            </w:r>
          </w:p>
          <w:p w14:paraId="67ED8C63" w14:textId="4D5EF3D1" w:rsidR="003C0A9A" w:rsidRPr="002866E5" w:rsidRDefault="003C0A9A" w:rsidP="003C0A9A">
            <w:pPr>
              <w:pStyle w:val="Tiret0"/>
              <w:rPr>
                <w:noProof/>
                <w:sz w:val="20"/>
              </w:rPr>
            </w:pPr>
            <w:r w:rsidRPr="002866E5">
              <w:rPr>
                <w:noProof/>
                <w:sz w:val="20"/>
              </w:rPr>
              <w:t>ewentualne przygotowanie niezwłocznej interwencji</w:t>
            </w:r>
            <w:r w:rsidR="008B35E8" w:rsidRPr="002866E5">
              <w:rPr>
                <w:noProof/>
                <w:sz w:val="20"/>
              </w:rPr>
              <w:t xml:space="preserve"> w</w:t>
            </w:r>
            <w:r w:rsidR="008B35E8">
              <w:rPr>
                <w:noProof/>
                <w:sz w:val="20"/>
              </w:rPr>
              <w:t> </w:t>
            </w:r>
            <w:r w:rsidR="008B35E8" w:rsidRPr="002866E5">
              <w:rPr>
                <w:noProof/>
                <w:sz w:val="20"/>
              </w:rPr>
              <w:t>cel</w:t>
            </w:r>
            <w:r w:rsidRPr="002866E5">
              <w:rPr>
                <w:noProof/>
                <w:sz w:val="20"/>
              </w:rPr>
              <w:t>u wprowadzenia</w:t>
            </w:r>
            <w:r w:rsidR="008B35E8" w:rsidRPr="002866E5">
              <w:rPr>
                <w:noProof/>
                <w:sz w:val="20"/>
              </w:rPr>
              <w:t xml:space="preserve"> w</w:t>
            </w:r>
            <w:r w:rsidR="008B35E8">
              <w:rPr>
                <w:noProof/>
                <w:sz w:val="20"/>
              </w:rPr>
              <w:t> </w:t>
            </w:r>
            <w:r w:rsidR="008B35E8" w:rsidRPr="002866E5">
              <w:rPr>
                <w:noProof/>
                <w:sz w:val="20"/>
              </w:rPr>
              <w:t>wyj</w:t>
            </w:r>
            <w:r w:rsidRPr="002866E5">
              <w:rPr>
                <w:noProof/>
                <w:sz w:val="20"/>
              </w:rPr>
              <w:t>ątkowych okolicznościach środków naprawczych lub ograniczających</w:t>
            </w:r>
            <w:r w:rsidR="008B35E8" w:rsidRPr="002866E5">
              <w:rPr>
                <w:noProof/>
                <w:sz w:val="20"/>
              </w:rPr>
              <w:t xml:space="preserve"> w</w:t>
            </w:r>
            <w:r w:rsidR="008B35E8">
              <w:rPr>
                <w:noProof/>
                <w:sz w:val="20"/>
              </w:rPr>
              <w:t> </w:t>
            </w:r>
            <w:r w:rsidR="008B35E8" w:rsidRPr="002866E5">
              <w:rPr>
                <w:noProof/>
                <w:sz w:val="20"/>
              </w:rPr>
              <w:t>cel</w:t>
            </w:r>
            <w:r w:rsidRPr="002866E5">
              <w:rPr>
                <w:noProof/>
                <w:sz w:val="20"/>
              </w:rPr>
              <w:t>u utrzymania prawidłowego funkcjonowania rynku wewnętrznego,</w:t>
            </w:r>
            <w:r w:rsidR="008B35E8" w:rsidRPr="002866E5">
              <w:rPr>
                <w:noProof/>
                <w:sz w:val="20"/>
              </w:rPr>
              <w:t xml:space="preserve"> w</w:t>
            </w:r>
            <w:r w:rsidR="008B35E8">
              <w:rPr>
                <w:noProof/>
                <w:sz w:val="20"/>
              </w:rPr>
              <w:t> </w:t>
            </w:r>
            <w:r w:rsidR="008B35E8" w:rsidRPr="002866E5">
              <w:rPr>
                <w:noProof/>
                <w:sz w:val="20"/>
              </w:rPr>
              <w:t>tym</w:t>
            </w:r>
            <w:r w:rsidRPr="002866E5">
              <w:rPr>
                <w:noProof/>
                <w:sz w:val="20"/>
              </w:rPr>
              <w:t xml:space="preserve"> opracowanie aktu wykonawczego;</w:t>
            </w:r>
          </w:p>
          <w:p w14:paraId="67ED8C64" w14:textId="77645E9E" w:rsidR="003C0A9A" w:rsidRPr="002866E5" w:rsidRDefault="003C0A9A" w:rsidP="003C0A9A">
            <w:pPr>
              <w:pStyle w:val="Tiret0"/>
              <w:rPr>
                <w:noProof/>
                <w:sz w:val="20"/>
              </w:rPr>
            </w:pPr>
            <w:r w:rsidRPr="002866E5">
              <w:rPr>
                <w:noProof/>
                <w:sz w:val="20"/>
              </w:rPr>
              <w:t>organizacja</w:t>
            </w:r>
            <w:r w:rsidR="008B35E8" w:rsidRPr="002866E5">
              <w:rPr>
                <w:noProof/>
                <w:sz w:val="20"/>
              </w:rPr>
              <w:t xml:space="preserve"> i</w:t>
            </w:r>
            <w:r w:rsidR="008B35E8">
              <w:rPr>
                <w:noProof/>
                <w:sz w:val="20"/>
              </w:rPr>
              <w:t> </w:t>
            </w:r>
            <w:r w:rsidR="008B35E8" w:rsidRPr="002866E5">
              <w:rPr>
                <w:noProof/>
                <w:sz w:val="20"/>
              </w:rPr>
              <w:t>koo</w:t>
            </w:r>
            <w:r w:rsidRPr="002866E5">
              <w:rPr>
                <w:noProof/>
                <w:sz w:val="20"/>
              </w:rPr>
              <w:t>rdynacja notyfikacji jednostek notyfikowanych przez państwa członkowskie oraz koordynacja jednostek notyfikowanych;</w:t>
            </w:r>
          </w:p>
          <w:p w14:paraId="67ED8C65" w14:textId="77777777" w:rsidR="00F404FA" w:rsidRPr="002866E5" w:rsidRDefault="003C0A9A" w:rsidP="00384D4D">
            <w:pPr>
              <w:pStyle w:val="Tiret0"/>
              <w:rPr>
                <w:noProof/>
                <w:sz w:val="20"/>
              </w:rPr>
            </w:pPr>
            <w:r w:rsidRPr="002866E5">
              <w:rPr>
                <w:noProof/>
                <w:sz w:val="20"/>
              </w:rPr>
              <w:t>wspieranie koordynacji organów nadzoru rynku państw członkowskich.</w:t>
            </w:r>
          </w:p>
        </w:tc>
      </w:tr>
    </w:tbl>
    <w:p w14:paraId="67ED8C67" w14:textId="77777777" w:rsidR="0037165D" w:rsidRPr="002866E5" w:rsidRDefault="0037165D" w:rsidP="00881943">
      <w:pPr>
        <w:rPr>
          <w:noProof/>
        </w:rPr>
        <w:sectPr w:rsidR="0037165D" w:rsidRPr="002866E5" w:rsidSect="00C00460">
          <w:pgSz w:w="11907" w:h="16840"/>
          <w:pgMar w:top="1134" w:right="1418" w:bottom="1134" w:left="1418" w:header="709" w:footer="709" w:gutter="0"/>
          <w:cols w:space="708"/>
          <w:docGrid w:linePitch="360"/>
        </w:sectPr>
      </w:pPr>
    </w:p>
    <w:p w14:paraId="67ED8C68" w14:textId="6E86E109" w:rsidR="0037165D" w:rsidRPr="002866E5" w:rsidRDefault="00B4087C" w:rsidP="00B4087C">
      <w:pPr>
        <w:pStyle w:val="ManualHeading3"/>
        <w:rPr>
          <w:noProof/>
        </w:rPr>
      </w:pPr>
      <w:r w:rsidRPr="00B4087C">
        <w:t>3.2.4.</w:t>
      </w:r>
      <w:r w:rsidRPr="00B4087C">
        <w:tab/>
      </w:r>
      <w:r w:rsidR="0037165D" w:rsidRPr="002866E5">
        <w:rPr>
          <w:noProof/>
        </w:rPr>
        <w:t>Zgodność</w:t>
      </w:r>
      <w:r w:rsidR="008B35E8" w:rsidRPr="002866E5">
        <w:rPr>
          <w:noProof/>
        </w:rPr>
        <w:t xml:space="preserve"> z</w:t>
      </w:r>
      <w:r w:rsidR="008B35E8">
        <w:rPr>
          <w:noProof/>
        </w:rPr>
        <w:t> </w:t>
      </w:r>
      <w:r w:rsidR="008B35E8" w:rsidRPr="002866E5">
        <w:rPr>
          <w:noProof/>
        </w:rPr>
        <w:t>obo</w:t>
      </w:r>
      <w:r w:rsidR="0037165D" w:rsidRPr="002866E5">
        <w:rPr>
          <w:noProof/>
        </w:rPr>
        <w:t xml:space="preserve">wiązującymi wieloletnimi ramami finansowymi </w:t>
      </w:r>
    </w:p>
    <w:p w14:paraId="67ED8C69" w14:textId="77777777" w:rsidR="0037165D" w:rsidRPr="002866E5" w:rsidRDefault="0037165D" w:rsidP="00881943">
      <w:pPr>
        <w:pStyle w:val="Text1"/>
        <w:rPr>
          <w:noProof/>
        </w:rPr>
      </w:pPr>
      <w:r w:rsidRPr="002866E5">
        <w:rPr>
          <w:noProof/>
        </w:rPr>
        <w:t>Wniosek/inicjatywa:</w:t>
      </w:r>
    </w:p>
    <w:p w14:paraId="67ED8C6A" w14:textId="73981F6B" w:rsidR="0037165D" w:rsidRPr="002866E5" w:rsidRDefault="003866CC" w:rsidP="00881943">
      <w:pPr>
        <w:pStyle w:val="ListDash1"/>
        <w:rPr>
          <w:noProof/>
        </w:rPr>
      </w:pPr>
      <w:r w:rsidRPr="002866E5">
        <w:rPr>
          <w:noProof/>
        </w:rPr>
        <w:t>x</w:t>
      </w:r>
      <w:r w:rsidRPr="002866E5">
        <w:rPr>
          <w:noProof/>
        </w:rPr>
        <w:tab/>
        <w:t>może zostać</w:t>
      </w:r>
      <w:r w:rsidR="008B35E8" w:rsidRPr="002866E5">
        <w:rPr>
          <w:noProof/>
        </w:rPr>
        <w:t xml:space="preserve"> w</w:t>
      </w:r>
      <w:r w:rsidR="008B35E8">
        <w:rPr>
          <w:noProof/>
        </w:rPr>
        <w:t> </w:t>
      </w:r>
      <w:r w:rsidR="008B35E8" w:rsidRPr="002866E5">
        <w:rPr>
          <w:noProof/>
        </w:rPr>
        <w:t>peł</w:t>
      </w:r>
      <w:r w:rsidRPr="002866E5">
        <w:rPr>
          <w:noProof/>
        </w:rPr>
        <w:t>ni sfinansowany(-a) przez przegrupowanie środków</w:t>
      </w:r>
      <w:r w:rsidR="008B35E8" w:rsidRPr="002866E5">
        <w:rPr>
          <w:noProof/>
        </w:rPr>
        <w:t xml:space="preserve"> w</w:t>
      </w:r>
      <w:r w:rsidR="008B35E8">
        <w:rPr>
          <w:noProof/>
        </w:rPr>
        <w:t> </w:t>
      </w:r>
      <w:r w:rsidR="008B35E8" w:rsidRPr="002866E5">
        <w:rPr>
          <w:noProof/>
        </w:rPr>
        <w:t>ram</w:t>
      </w:r>
      <w:r w:rsidRPr="002866E5">
        <w:rPr>
          <w:noProof/>
        </w:rPr>
        <w:t>ach odpowiedniego działu wieloletnich ram finansowych (WRF).</w:t>
      </w:r>
    </w:p>
    <w:p w14:paraId="67ED8C6B" w14:textId="77777777" w:rsidR="0037165D" w:rsidRPr="002866E5" w:rsidRDefault="00F404FA" w:rsidP="00881943">
      <w:pPr>
        <w:pStyle w:val="Text1"/>
        <w:pBdr>
          <w:top w:val="single" w:sz="4" w:space="1" w:color="auto"/>
          <w:left w:val="single" w:sz="4" w:space="4" w:color="auto"/>
          <w:bottom w:val="single" w:sz="4" w:space="1" w:color="auto"/>
          <w:right w:val="single" w:sz="4" w:space="4" w:color="auto"/>
        </w:pBdr>
        <w:rPr>
          <w:noProof/>
          <w:sz w:val="20"/>
        </w:rPr>
      </w:pPr>
      <w:r w:rsidRPr="002866E5">
        <w:rPr>
          <w:noProof/>
          <w:sz w:val="20"/>
        </w:rPr>
        <w:t>Przeprogramowanie nie jest wymagane.</w:t>
      </w:r>
    </w:p>
    <w:p w14:paraId="67ED8C6C" w14:textId="5D4227CA" w:rsidR="0037165D" w:rsidRPr="002866E5" w:rsidRDefault="0037165D" w:rsidP="00881943">
      <w:pPr>
        <w:pStyle w:val="ListDash1"/>
        <w:rPr>
          <w:noProof/>
        </w:rPr>
      </w:pPr>
      <w:r w:rsidRPr="002866E5">
        <w:rPr>
          <w:noProof/>
        </w:rPr>
        <w:sym w:font="Wingdings" w:char="F0A8"/>
      </w:r>
      <w:r w:rsidRPr="002866E5">
        <w:rPr>
          <w:noProof/>
        </w:rPr>
        <w:tab/>
        <w:t>wymaga zastosowania nieprzydzielonego marginesu środków</w:t>
      </w:r>
      <w:r w:rsidR="008B35E8" w:rsidRPr="002866E5">
        <w:rPr>
          <w:noProof/>
        </w:rPr>
        <w:t xml:space="preserve"> w</w:t>
      </w:r>
      <w:r w:rsidR="008B35E8">
        <w:rPr>
          <w:noProof/>
        </w:rPr>
        <w:t> </w:t>
      </w:r>
      <w:r w:rsidR="008B35E8" w:rsidRPr="002866E5">
        <w:rPr>
          <w:noProof/>
        </w:rPr>
        <w:t>ram</w:t>
      </w:r>
      <w:r w:rsidRPr="002866E5">
        <w:rPr>
          <w:noProof/>
        </w:rPr>
        <w:t>ach odpowiedniego działu WRF lub zastosowania specjalnych instrumentów zdefiniowanych</w:t>
      </w:r>
      <w:r w:rsidR="008B35E8" w:rsidRPr="002866E5">
        <w:rPr>
          <w:noProof/>
        </w:rPr>
        <w:t xml:space="preserve"> w</w:t>
      </w:r>
      <w:r w:rsidR="008B35E8">
        <w:rPr>
          <w:noProof/>
        </w:rPr>
        <w:t> </w:t>
      </w:r>
      <w:r w:rsidR="008B35E8" w:rsidRPr="002866E5">
        <w:rPr>
          <w:noProof/>
        </w:rPr>
        <w:t>roz</w:t>
      </w:r>
      <w:r w:rsidRPr="002866E5">
        <w:rPr>
          <w:noProof/>
        </w:rPr>
        <w:t>porządzeniu</w:t>
      </w:r>
      <w:r w:rsidR="008B35E8" w:rsidRPr="002866E5">
        <w:rPr>
          <w:noProof/>
        </w:rPr>
        <w:t xml:space="preserve"> w</w:t>
      </w:r>
      <w:r w:rsidR="008B35E8">
        <w:rPr>
          <w:noProof/>
        </w:rPr>
        <w:t> </w:t>
      </w:r>
      <w:r w:rsidR="008B35E8" w:rsidRPr="002866E5">
        <w:rPr>
          <w:noProof/>
        </w:rPr>
        <w:t>spr</w:t>
      </w:r>
      <w:r w:rsidRPr="002866E5">
        <w:rPr>
          <w:noProof/>
        </w:rPr>
        <w:t>awie WRF.</w:t>
      </w:r>
    </w:p>
    <w:p w14:paraId="67ED8C6D" w14:textId="77777777" w:rsidR="0037165D" w:rsidRPr="002866E5" w:rsidRDefault="00F404FA" w:rsidP="00881943">
      <w:pPr>
        <w:pStyle w:val="Text1"/>
        <w:pBdr>
          <w:top w:val="single" w:sz="4" w:space="1" w:color="auto"/>
          <w:left w:val="single" w:sz="4" w:space="4" w:color="auto"/>
          <w:bottom w:val="single" w:sz="4" w:space="1" w:color="auto"/>
          <w:right w:val="single" w:sz="4" w:space="4" w:color="auto"/>
        </w:pBdr>
        <w:rPr>
          <w:noProof/>
          <w:sz w:val="20"/>
        </w:rPr>
      </w:pPr>
      <w:r w:rsidRPr="002866E5">
        <w:rPr>
          <w:noProof/>
          <w:sz w:val="20"/>
        </w:rPr>
        <w:t>–</w:t>
      </w:r>
    </w:p>
    <w:p w14:paraId="67ED8C6E" w14:textId="77777777" w:rsidR="0037165D" w:rsidRPr="002866E5" w:rsidRDefault="0037165D" w:rsidP="00881943">
      <w:pPr>
        <w:pStyle w:val="ListDash1"/>
        <w:rPr>
          <w:noProof/>
        </w:rPr>
      </w:pPr>
      <w:r w:rsidRPr="002866E5">
        <w:rPr>
          <w:noProof/>
        </w:rPr>
        <w:sym w:font="Wingdings" w:char="F0A8"/>
      </w:r>
      <w:r w:rsidRPr="002866E5">
        <w:rPr>
          <w:noProof/>
        </w:rPr>
        <w:tab/>
        <w:t>wymaga rewizji WRF.</w:t>
      </w:r>
    </w:p>
    <w:p w14:paraId="67ED8C6F" w14:textId="77777777" w:rsidR="0037165D" w:rsidRPr="002866E5" w:rsidRDefault="00F404FA" w:rsidP="00881943">
      <w:pPr>
        <w:pStyle w:val="Text1"/>
        <w:pBdr>
          <w:top w:val="single" w:sz="4" w:space="1" w:color="auto"/>
          <w:left w:val="single" w:sz="4" w:space="4" w:color="auto"/>
          <w:bottom w:val="single" w:sz="4" w:space="1" w:color="auto"/>
          <w:right w:val="single" w:sz="4" w:space="4" w:color="auto"/>
        </w:pBdr>
        <w:rPr>
          <w:noProof/>
          <w:sz w:val="20"/>
        </w:rPr>
      </w:pPr>
      <w:r w:rsidRPr="002866E5">
        <w:rPr>
          <w:noProof/>
          <w:sz w:val="20"/>
        </w:rPr>
        <w:t>–</w:t>
      </w:r>
    </w:p>
    <w:p w14:paraId="67ED8C70" w14:textId="4E3F5403" w:rsidR="0037165D" w:rsidRPr="002866E5" w:rsidRDefault="00B4087C" w:rsidP="00B4087C">
      <w:pPr>
        <w:pStyle w:val="ManualHeading3"/>
        <w:rPr>
          <w:bCs/>
          <w:noProof/>
          <w:szCs w:val="24"/>
        </w:rPr>
      </w:pPr>
      <w:r w:rsidRPr="00B4087C">
        <w:t>3.2.5.</w:t>
      </w:r>
      <w:r w:rsidRPr="00B4087C">
        <w:tab/>
      </w:r>
      <w:r w:rsidR="0037165D" w:rsidRPr="002866E5">
        <w:rPr>
          <w:noProof/>
        </w:rPr>
        <w:t>Udział osób trzecich</w:t>
      </w:r>
      <w:r w:rsidR="008B35E8" w:rsidRPr="002866E5">
        <w:rPr>
          <w:noProof/>
        </w:rPr>
        <w:t xml:space="preserve"> w</w:t>
      </w:r>
      <w:r w:rsidR="008B35E8">
        <w:rPr>
          <w:noProof/>
        </w:rPr>
        <w:t> </w:t>
      </w:r>
      <w:r w:rsidR="008B35E8" w:rsidRPr="002866E5">
        <w:rPr>
          <w:noProof/>
        </w:rPr>
        <w:t>fin</w:t>
      </w:r>
      <w:r w:rsidR="0037165D" w:rsidRPr="002866E5">
        <w:rPr>
          <w:noProof/>
        </w:rPr>
        <w:t xml:space="preserve">ansowaniu </w:t>
      </w:r>
    </w:p>
    <w:p w14:paraId="67ED8C71" w14:textId="77777777" w:rsidR="0037165D" w:rsidRPr="002866E5" w:rsidRDefault="0037165D" w:rsidP="00881943">
      <w:pPr>
        <w:pStyle w:val="Text1"/>
        <w:rPr>
          <w:noProof/>
        </w:rPr>
      </w:pPr>
      <w:r w:rsidRPr="002866E5">
        <w:rPr>
          <w:noProof/>
        </w:rPr>
        <w:t>Wniosek/inicjatywa:</w:t>
      </w:r>
    </w:p>
    <w:p w14:paraId="67ED8C72" w14:textId="77777777" w:rsidR="0037165D" w:rsidRPr="002866E5" w:rsidRDefault="00F404FA" w:rsidP="00881943">
      <w:pPr>
        <w:pStyle w:val="ListDash1"/>
        <w:rPr>
          <w:noProof/>
        </w:rPr>
      </w:pPr>
      <w:r w:rsidRPr="002866E5">
        <w:rPr>
          <w:noProof/>
        </w:rPr>
        <w:t>x</w:t>
      </w:r>
      <w:r w:rsidRPr="002866E5">
        <w:rPr>
          <w:noProof/>
        </w:rPr>
        <w:tab/>
        <w:t>nie przewiduje współfinansowania ze strony osób trzecich</w:t>
      </w:r>
    </w:p>
    <w:p w14:paraId="67ED8C73" w14:textId="1DBFA803" w:rsidR="0037165D" w:rsidRPr="002866E5" w:rsidRDefault="0037165D" w:rsidP="00881943">
      <w:pPr>
        <w:pStyle w:val="ListDash1"/>
        <w:rPr>
          <w:noProof/>
        </w:rPr>
      </w:pPr>
      <w:r w:rsidRPr="002866E5">
        <w:rPr>
          <w:noProof/>
        </w:rPr>
        <w:sym w:font="Wingdings" w:char="F0A8"/>
      </w:r>
      <w:r w:rsidRPr="002866E5">
        <w:rPr>
          <w:noProof/>
        </w:rPr>
        <w:tab/>
        <w:t>przewiduje współfinansowanie ze strony osób trzecich szacowane zgodnie</w:t>
      </w:r>
      <w:r w:rsidR="008B35E8" w:rsidRPr="002866E5">
        <w:rPr>
          <w:noProof/>
        </w:rPr>
        <w:t xml:space="preserve"> z</w:t>
      </w:r>
      <w:r w:rsidR="008B35E8">
        <w:rPr>
          <w:noProof/>
        </w:rPr>
        <w:t> </w:t>
      </w:r>
      <w:r w:rsidR="008B35E8" w:rsidRPr="002866E5">
        <w:rPr>
          <w:noProof/>
        </w:rPr>
        <w:t>pon</w:t>
      </w:r>
      <w:r w:rsidRPr="002866E5">
        <w:rPr>
          <w:noProof/>
        </w:rPr>
        <w:t>iższymi szacunkami:</w:t>
      </w:r>
    </w:p>
    <w:p w14:paraId="67ED8C74" w14:textId="13A0BAD1" w:rsidR="0037165D" w:rsidRPr="002866E5" w:rsidRDefault="0037165D" w:rsidP="00881943">
      <w:pPr>
        <w:jc w:val="right"/>
        <w:rPr>
          <w:noProof/>
          <w:sz w:val="20"/>
        </w:rPr>
      </w:pPr>
      <w:r w:rsidRPr="002866E5">
        <w:rPr>
          <w:noProof/>
          <w:sz w:val="20"/>
        </w:rPr>
        <w:t>Środki</w:t>
      </w:r>
      <w:r w:rsidR="008B35E8" w:rsidRPr="002866E5">
        <w:rPr>
          <w:noProof/>
          <w:sz w:val="20"/>
        </w:rPr>
        <w:t xml:space="preserve"> w</w:t>
      </w:r>
      <w:r w:rsidR="008B35E8">
        <w:rPr>
          <w:noProof/>
          <w:sz w:val="20"/>
        </w:rPr>
        <w:t> </w:t>
      </w:r>
      <w:r w:rsidR="008B35E8" w:rsidRPr="002866E5">
        <w:rPr>
          <w:noProof/>
          <w:sz w:val="20"/>
        </w:rPr>
        <w:t>mln</w:t>
      </w:r>
      <w:r w:rsidRPr="002866E5">
        <w:rPr>
          <w:noProof/>
          <w:sz w:val="20"/>
        </w:rPr>
        <w:t xml:space="preserve"> EUR (do trzech miejsc po przecinku)</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rsidR="0037165D" w:rsidRPr="002866E5" w14:paraId="67ED8C7C" w14:textId="77777777" w:rsidTr="00881943">
        <w:trPr>
          <w:cantSplit/>
        </w:trPr>
        <w:tc>
          <w:tcPr>
            <w:tcW w:w="2340" w:type="dxa"/>
          </w:tcPr>
          <w:p w14:paraId="67ED8C75" w14:textId="77777777" w:rsidR="0037165D" w:rsidRPr="002866E5" w:rsidRDefault="0037165D" w:rsidP="00881943">
            <w:pPr>
              <w:spacing w:before="60" w:after="60"/>
              <w:rPr>
                <w:noProof/>
                <w:sz w:val="20"/>
              </w:rPr>
            </w:pPr>
          </w:p>
        </w:tc>
        <w:tc>
          <w:tcPr>
            <w:tcW w:w="964" w:type="dxa"/>
            <w:vAlign w:val="center"/>
          </w:tcPr>
          <w:p w14:paraId="67ED8C76" w14:textId="77777777" w:rsidR="0037165D" w:rsidRPr="002866E5" w:rsidRDefault="0037165D" w:rsidP="00881943">
            <w:pPr>
              <w:jc w:val="center"/>
              <w:rPr>
                <w:noProof/>
                <w:sz w:val="20"/>
              </w:rPr>
            </w:pPr>
            <w:r w:rsidRPr="002866E5">
              <w:rPr>
                <w:noProof/>
                <w:sz w:val="20"/>
              </w:rPr>
              <w:t>Rok</w:t>
            </w:r>
            <w:r w:rsidRPr="002866E5">
              <w:rPr>
                <w:noProof/>
              </w:rPr>
              <w:t xml:space="preserve"> </w:t>
            </w:r>
            <w:r w:rsidRPr="002866E5">
              <w:rPr>
                <w:noProof/>
              </w:rPr>
              <w:br/>
            </w:r>
            <w:r w:rsidRPr="002866E5">
              <w:rPr>
                <w:b/>
                <w:noProof/>
                <w:sz w:val="20"/>
              </w:rPr>
              <w:t>N</w:t>
            </w:r>
            <w:r w:rsidRPr="002866E5">
              <w:rPr>
                <w:rStyle w:val="FootnoteReference"/>
                <w:noProof/>
              </w:rPr>
              <w:footnoteReference w:id="50"/>
            </w:r>
          </w:p>
        </w:tc>
        <w:tc>
          <w:tcPr>
            <w:tcW w:w="964" w:type="dxa"/>
            <w:vAlign w:val="center"/>
          </w:tcPr>
          <w:p w14:paraId="67ED8C77" w14:textId="77777777" w:rsidR="0037165D" w:rsidRPr="002866E5" w:rsidRDefault="0037165D" w:rsidP="00881943">
            <w:pPr>
              <w:jc w:val="center"/>
              <w:rPr>
                <w:noProof/>
                <w:sz w:val="20"/>
              </w:rPr>
            </w:pPr>
            <w:r w:rsidRPr="002866E5">
              <w:rPr>
                <w:noProof/>
                <w:sz w:val="20"/>
              </w:rPr>
              <w:t>Rok</w:t>
            </w:r>
            <w:r w:rsidRPr="002866E5">
              <w:rPr>
                <w:noProof/>
              </w:rPr>
              <w:t xml:space="preserve"> </w:t>
            </w:r>
            <w:r w:rsidRPr="002866E5">
              <w:rPr>
                <w:noProof/>
              </w:rPr>
              <w:br/>
            </w:r>
            <w:r w:rsidRPr="002866E5">
              <w:rPr>
                <w:b/>
                <w:noProof/>
                <w:sz w:val="20"/>
              </w:rPr>
              <w:t>N+1</w:t>
            </w:r>
          </w:p>
        </w:tc>
        <w:tc>
          <w:tcPr>
            <w:tcW w:w="964" w:type="dxa"/>
            <w:vAlign w:val="center"/>
          </w:tcPr>
          <w:p w14:paraId="67ED8C78" w14:textId="77777777" w:rsidR="0037165D" w:rsidRPr="002866E5" w:rsidRDefault="0037165D" w:rsidP="00881943">
            <w:pPr>
              <w:jc w:val="center"/>
              <w:rPr>
                <w:noProof/>
                <w:sz w:val="20"/>
              </w:rPr>
            </w:pPr>
            <w:r w:rsidRPr="002866E5">
              <w:rPr>
                <w:noProof/>
                <w:sz w:val="20"/>
              </w:rPr>
              <w:t>Rok</w:t>
            </w:r>
            <w:r w:rsidRPr="002866E5">
              <w:rPr>
                <w:noProof/>
              </w:rPr>
              <w:t xml:space="preserve"> </w:t>
            </w:r>
            <w:r w:rsidRPr="002866E5">
              <w:rPr>
                <w:noProof/>
              </w:rPr>
              <w:br/>
            </w:r>
            <w:r w:rsidRPr="002866E5">
              <w:rPr>
                <w:b/>
                <w:noProof/>
                <w:sz w:val="20"/>
              </w:rPr>
              <w:t>N+2</w:t>
            </w:r>
          </w:p>
        </w:tc>
        <w:tc>
          <w:tcPr>
            <w:tcW w:w="964" w:type="dxa"/>
            <w:vAlign w:val="center"/>
          </w:tcPr>
          <w:p w14:paraId="67ED8C79" w14:textId="77777777" w:rsidR="0037165D" w:rsidRPr="002866E5" w:rsidRDefault="0037165D" w:rsidP="00881943">
            <w:pPr>
              <w:jc w:val="center"/>
              <w:rPr>
                <w:noProof/>
                <w:sz w:val="20"/>
              </w:rPr>
            </w:pPr>
            <w:r w:rsidRPr="002866E5">
              <w:rPr>
                <w:noProof/>
                <w:sz w:val="20"/>
              </w:rPr>
              <w:t>Rok</w:t>
            </w:r>
            <w:r w:rsidRPr="002866E5">
              <w:rPr>
                <w:noProof/>
              </w:rPr>
              <w:t xml:space="preserve"> </w:t>
            </w:r>
            <w:r w:rsidRPr="002866E5">
              <w:rPr>
                <w:noProof/>
              </w:rPr>
              <w:br/>
            </w:r>
            <w:r w:rsidRPr="002866E5">
              <w:rPr>
                <w:b/>
                <w:noProof/>
                <w:sz w:val="20"/>
              </w:rPr>
              <w:t>N+3</w:t>
            </w:r>
          </w:p>
        </w:tc>
        <w:tc>
          <w:tcPr>
            <w:tcW w:w="2892" w:type="dxa"/>
            <w:gridSpan w:val="3"/>
            <w:vAlign w:val="center"/>
          </w:tcPr>
          <w:p w14:paraId="67ED8C7A" w14:textId="04219068" w:rsidR="0037165D" w:rsidRPr="002866E5" w:rsidRDefault="0037165D" w:rsidP="00881943">
            <w:pPr>
              <w:jc w:val="center"/>
              <w:rPr>
                <w:b/>
                <w:noProof/>
                <w:sz w:val="20"/>
              </w:rPr>
            </w:pPr>
            <w:r w:rsidRPr="002866E5">
              <w:rPr>
                <w:noProof/>
                <w:sz w:val="20"/>
              </w:rPr>
              <w:t xml:space="preserve">Wprowadzić taką liczbę kolumn dla poszczególnych lat, jaka jest niezbędna, by odzwierciedlić cały okres wpływu (zob. </w:t>
            </w:r>
            <w:r w:rsidRPr="008B35E8">
              <w:rPr>
                <w:noProof/>
                <w:sz w:val="20"/>
              </w:rPr>
              <w:t>pkt</w:t>
            </w:r>
            <w:r w:rsidR="008B35E8" w:rsidRPr="008B35E8">
              <w:rPr>
                <w:noProof/>
                <w:sz w:val="20"/>
              </w:rPr>
              <w:t> </w:t>
            </w:r>
            <w:r w:rsidRPr="008B35E8">
              <w:rPr>
                <w:noProof/>
                <w:sz w:val="20"/>
              </w:rPr>
              <w:t>1</w:t>
            </w:r>
            <w:r w:rsidRPr="002866E5">
              <w:rPr>
                <w:noProof/>
                <w:sz w:val="20"/>
              </w:rPr>
              <w:t>.6)</w:t>
            </w:r>
          </w:p>
        </w:tc>
        <w:tc>
          <w:tcPr>
            <w:tcW w:w="1158" w:type="dxa"/>
            <w:vAlign w:val="center"/>
          </w:tcPr>
          <w:p w14:paraId="67ED8C7B" w14:textId="77777777" w:rsidR="0037165D" w:rsidRPr="002866E5" w:rsidRDefault="0037165D" w:rsidP="00881943">
            <w:pPr>
              <w:spacing w:before="60" w:after="60"/>
              <w:jc w:val="center"/>
              <w:rPr>
                <w:noProof/>
                <w:sz w:val="20"/>
              </w:rPr>
            </w:pPr>
            <w:r w:rsidRPr="002866E5">
              <w:rPr>
                <w:noProof/>
                <w:sz w:val="20"/>
              </w:rPr>
              <w:t>Ogółem</w:t>
            </w:r>
          </w:p>
        </w:tc>
      </w:tr>
      <w:tr w:rsidR="0037165D" w:rsidRPr="002866E5" w14:paraId="67ED8C86" w14:textId="77777777" w:rsidTr="00881943">
        <w:trPr>
          <w:cantSplit/>
        </w:trPr>
        <w:tc>
          <w:tcPr>
            <w:tcW w:w="2340" w:type="dxa"/>
          </w:tcPr>
          <w:p w14:paraId="67ED8C7D" w14:textId="77777777" w:rsidR="0037165D" w:rsidRPr="002866E5" w:rsidRDefault="0037165D" w:rsidP="00881943">
            <w:pPr>
              <w:rPr>
                <w:noProof/>
              </w:rPr>
            </w:pPr>
            <w:r w:rsidRPr="002866E5">
              <w:rPr>
                <w:noProof/>
                <w:sz w:val="20"/>
              </w:rPr>
              <w:t>Określić organ współfinansujący</w:t>
            </w:r>
            <w:r w:rsidRPr="002866E5">
              <w:rPr>
                <w:i/>
                <w:noProof/>
                <w:sz w:val="20"/>
              </w:rPr>
              <w:t xml:space="preserve"> </w:t>
            </w:r>
          </w:p>
        </w:tc>
        <w:tc>
          <w:tcPr>
            <w:tcW w:w="964" w:type="dxa"/>
            <w:vAlign w:val="center"/>
          </w:tcPr>
          <w:p w14:paraId="67ED8C7E" w14:textId="77777777" w:rsidR="0037165D" w:rsidRPr="002866E5" w:rsidRDefault="0037165D" w:rsidP="00881943">
            <w:pPr>
              <w:spacing w:before="60" w:after="60"/>
              <w:jc w:val="center"/>
              <w:rPr>
                <w:noProof/>
                <w:sz w:val="20"/>
              </w:rPr>
            </w:pPr>
          </w:p>
        </w:tc>
        <w:tc>
          <w:tcPr>
            <w:tcW w:w="964" w:type="dxa"/>
            <w:vAlign w:val="center"/>
          </w:tcPr>
          <w:p w14:paraId="67ED8C7F" w14:textId="77777777" w:rsidR="0037165D" w:rsidRPr="002866E5" w:rsidRDefault="0037165D" w:rsidP="00881943">
            <w:pPr>
              <w:spacing w:before="60" w:after="60"/>
              <w:jc w:val="center"/>
              <w:rPr>
                <w:noProof/>
                <w:sz w:val="20"/>
              </w:rPr>
            </w:pPr>
          </w:p>
        </w:tc>
        <w:tc>
          <w:tcPr>
            <w:tcW w:w="964" w:type="dxa"/>
            <w:vAlign w:val="center"/>
          </w:tcPr>
          <w:p w14:paraId="67ED8C80" w14:textId="77777777" w:rsidR="0037165D" w:rsidRPr="002866E5" w:rsidRDefault="0037165D" w:rsidP="00881943">
            <w:pPr>
              <w:spacing w:before="60" w:after="60"/>
              <w:jc w:val="center"/>
              <w:rPr>
                <w:noProof/>
                <w:sz w:val="20"/>
              </w:rPr>
            </w:pPr>
          </w:p>
        </w:tc>
        <w:tc>
          <w:tcPr>
            <w:tcW w:w="964" w:type="dxa"/>
            <w:vAlign w:val="center"/>
          </w:tcPr>
          <w:p w14:paraId="67ED8C81" w14:textId="77777777" w:rsidR="0037165D" w:rsidRPr="002866E5" w:rsidRDefault="0037165D" w:rsidP="00881943">
            <w:pPr>
              <w:spacing w:before="60" w:after="60"/>
              <w:jc w:val="center"/>
              <w:rPr>
                <w:noProof/>
                <w:sz w:val="20"/>
              </w:rPr>
            </w:pPr>
          </w:p>
        </w:tc>
        <w:tc>
          <w:tcPr>
            <w:tcW w:w="964" w:type="dxa"/>
            <w:vAlign w:val="center"/>
          </w:tcPr>
          <w:p w14:paraId="67ED8C82" w14:textId="77777777" w:rsidR="0037165D" w:rsidRPr="002866E5" w:rsidRDefault="0037165D" w:rsidP="00881943">
            <w:pPr>
              <w:spacing w:before="60" w:after="60"/>
              <w:jc w:val="center"/>
              <w:rPr>
                <w:noProof/>
                <w:sz w:val="20"/>
              </w:rPr>
            </w:pPr>
          </w:p>
        </w:tc>
        <w:tc>
          <w:tcPr>
            <w:tcW w:w="964" w:type="dxa"/>
            <w:vAlign w:val="center"/>
          </w:tcPr>
          <w:p w14:paraId="67ED8C83" w14:textId="77777777" w:rsidR="0037165D" w:rsidRPr="002866E5" w:rsidRDefault="0037165D" w:rsidP="00881943">
            <w:pPr>
              <w:spacing w:before="60" w:after="60"/>
              <w:jc w:val="center"/>
              <w:rPr>
                <w:noProof/>
                <w:sz w:val="20"/>
              </w:rPr>
            </w:pPr>
          </w:p>
        </w:tc>
        <w:tc>
          <w:tcPr>
            <w:tcW w:w="964" w:type="dxa"/>
            <w:vAlign w:val="center"/>
          </w:tcPr>
          <w:p w14:paraId="67ED8C84" w14:textId="77777777" w:rsidR="0037165D" w:rsidRPr="002866E5" w:rsidRDefault="0037165D" w:rsidP="00881943">
            <w:pPr>
              <w:spacing w:before="60" w:after="60"/>
              <w:jc w:val="center"/>
              <w:rPr>
                <w:noProof/>
                <w:sz w:val="20"/>
              </w:rPr>
            </w:pPr>
          </w:p>
        </w:tc>
        <w:tc>
          <w:tcPr>
            <w:tcW w:w="1158" w:type="dxa"/>
            <w:vAlign w:val="center"/>
          </w:tcPr>
          <w:p w14:paraId="67ED8C85" w14:textId="77777777" w:rsidR="0037165D" w:rsidRPr="002866E5" w:rsidRDefault="0037165D" w:rsidP="00881943">
            <w:pPr>
              <w:spacing w:before="60" w:after="60"/>
              <w:jc w:val="center"/>
              <w:rPr>
                <w:noProof/>
                <w:sz w:val="20"/>
              </w:rPr>
            </w:pPr>
          </w:p>
        </w:tc>
      </w:tr>
      <w:tr w:rsidR="0037165D" w:rsidRPr="002866E5" w14:paraId="67ED8C90" w14:textId="77777777" w:rsidTr="00881943">
        <w:trPr>
          <w:cantSplit/>
        </w:trPr>
        <w:tc>
          <w:tcPr>
            <w:tcW w:w="2340" w:type="dxa"/>
          </w:tcPr>
          <w:p w14:paraId="67ED8C87" w14:textId="77777777" w:rsidR="0037165D" w:rsidRPr="002866E5" w:rsidRDefault="0037165D" w:rsidP="00881943">
            <w:pPr>
              <w:spacing w:before="60" w:after="60"/>
              <w:jc w:val="left"/>
              <w:rPr>
                <w:noProof/>
                <w:sz w:val="20"/>
              </w:rPr>
            </w:pPr>
            <w:r w:rsidRPr="002866E5">
              <w:rPr>
                <w:noProof/>
                <w:sz w:val="20"/>
              </w:rPr>
              <w:t xml:space="preserve">OGÓŁEM środki objęte współfinansowaniem </w:t>
            </w:r>
          </w:p>
        </w:tc>
        <w:tc>
          <w:tcPr>
            <w:tcW w:w="964" w:type="dxa"/>
            <w:vAlign w:val="center"/>
          </w:tcPr>
          <w:p w14:paraId="67ED8C88" w14:textId="77777777" w:rsidR="0037165D" w:rsidRPr="002866E5" w:rsidRDefault="0037165D" w:rsidP="00881943">
            <w:pPr>
              <w:spacing w:before="60" w:after="60"/>
              <w:jc w:val="center"/>
              <w:rPr>
                <w:noProof/>
                <w:sz w:val="20"/>
              </w:rPr>
            </w:pPr>
          </w:p>
        </w:tc>
        <w:tc>
          <w:tcPr>
            <w:tcW w:w="964" w:type="dxa"/>
            <w:vAlign w:val="center"/>
          </w:tcPr>
          <w:p w14:paraId="67ED8C89" w14:textId="77777777" w:rsidR="0037165D" w:rsidRPr="002866E5" w:rsidRDefault="0037165D" w:rsidP="00881943">
            <w:pPr>
              <w:spacing w:before="60" w:after="60"/>
              <w:jc w:val="center"/>
              <w:rPr>
                <w:noProof/>
                <w:sz w:val="20"/>
              </w:rPr>
            </w:pPr>
          </w:p>
        </w:tc>
        <w:tc>
          <w:tcPr>
            <w:tcW w:w="964" w:type="dxa"/>
            <w:vAlign w:val="center"/>
          </w:tcPr>
          <w:p w14:paraId="67ED8C8A" w14:textId="77777777" w:rsidR="0037165D" w:rsidRPr="002866E5" w:rsidRDefault="0037165D" w:rsidP="00881943">
            <w:pPr>
              <w:spacing w:before="60" w:after="60"/>
              <w:jc w:val="center"/>
              <w:rPr>
                <w:noProof/>
                <w:sz w:val="20"/>
              </w:rPr>
            </w:pPr>
          </w:p>
        </w:tc>
        <w:tc>
          <w:tcPr>
            <w:tcW w:w="964" w:type="dxa"/>
            <w:vAlign w:val="center"/>
          </w:tcPr>
          <w:p w14:paraId="67ED8C8B" w14:textId="77777777" w:rsidR="0037165D" w:rsidRPr="002866E5" w:rsidRDefault="0037165D" w:rsidP="00881943">
            <w:pPr>
              <w:spacing w:before="60" w:after="60"/>
              <w:jc w:val="center"/>
              <w:rPr>
                <w:noProof/>
                <w:sz w:val="20"/>
              </w:rPr>
            </w:pPr>
          </w:p>
        </w:tc>
        <w:tc>
          <w:tcPr>
            <w:tcW w:w="964" w:type="dxa"/>
            <w:vAlign w:val="center"/>
          </w:tcPr>
          <w:p w14:paraId="67ED8C8C" w14:textId="77777777" w:rsidR="0037165D" w:rsidRPr="002866E5" w:rsidRDefault="0037165D" w:rsidP="00881943">
            <w:pPr>
              <w:spacing w:before="60" w:after="60"/>
              <w:jc w:val="center"/>
              <w:rPr>
                <w:noProof/>
                <w:sz w:val="20"/>
              </w:rPr>
            </w:pPr>
          </w:p>
        </w:tc>
        <w:tc>
          <w:tcPr>
            <w:tcW w:w="964" w:type="dxa"/>
            <w:vAlign w:val="center"/>
          </w:tcPr>
          <w:p w14:paraId="67ED8C8D" w14:textId="77777777" w:rsidR="0037165D" w:rsidRPr="002866E5" w:rsidRDefault="0037165D" w:rsidP="00881943">
            <w:pPr>
              <w:spacing w:before="60" w:after="60"/>
              <w:jc w:val="center"/>
              <w:rPr>
                <w:noProof/>
                <w:sz w:val="20"/>
              </w:rPr>
            </w:pPr>
          </w:p>
        </w:tc>
        <w:tc>
          <w:tcPr>
            <w:tcW w:w="964" w:type="dxa"/>
            <w:vAlign w:val="center"/>
          </w:tcPr>
          <w:p w14:paraId="67ED8C8E" w14:textId="77777777" w:rsidR="0037165D" w:rsidRPr="002866E5" w:rsidRDefault="0037165D" w:rsidP="00881943">
            <w:pPr>
              <w:spacing w:before="60" w:after="60"/>
              <w:jc w:val="center"/>
              <w:rPr>
                <w:noProof/>
                <w:sz w:val="20"/>
              </w:rPr>
            </w:pPr>
          </w:p>
        </w:tc>
        <w:tc>
          <w:tcPr>
            <w:tcW w:w="1158" w:type="dxa"/>
            <w:vAlign w:val="center"/>
          </w:tcPr>
          <w:p w14:paraId="67ED8C8F" w14:textId="77777777" w:rsidR="0037165D" w:rsidRPr="002866E5" w:rsidRDefault="0037165D" w:rsidP="00881943">
            <w:pPr>
              <w:spacing w:before="60" w:after="60"/>
              <w:jc w:val="center"/>
              <w:rPr>
                <w:noProof/>
                <w:sz w:val="20"/>
              </w:rPr>
            </w:pPr>
          </w:p>
        </w:tc>
      </w:tr>
    </w:tbl>
    <w:p w14:paraId="67ED8C91" w14:textId="77777777" w:rsidR="0037165D" w:rsidRPr="002866E5" w:rsidRDefault="0037165D" w:rsidP="00881943">
      <w:pPr>
        <w:rPr>
          <w:noProof/>
        </w:rPr>
      </w:pPr>
      <w:r w:rsidRPr="002866E5">
        <w:rPr>
          <w:noProof/>
        </w:rPr>
        <w:t xml:space="preserve"> </w:t>
      </w:r>
      <w:r w:rsidRPr="002866E5">
        <w:rPr>
          <w:noProof/>
        </w:rPr>
        <w:br/>
      </w:r>
    </w:p>
    <w:p w14:paraId="67ED8C92" w14:textId="3887D691" w:rsidR="0037165D" w:rsidRPr="002866E5" w:rsidRDefault="0037165D" w:rsidP="00B4087C">
      <w:pPr>
        <w:pStyle w:val="ManualHeading2"/>
        <w:rPr>
          <w:bCs/>
          <w:noProof/>
          <w:szCs w:val="24"/>
        </w:rPr>
      </w:pPr>
      <w:r w:rsidRPr="002866E5">
        <w:rPr>
          <w:noProof/>
        </w:rPr>
        <w:br w:type="page"/>
      </w:r>
      <w:r w:rsidR="00B4087C" w:rsidRPr="00B4087C">
        <w:t>3.3.</w:t>
      </w:r>
      <w:r w:rsidR="00B4087C" w:rsidRPr="00B4087C">
        <w:tab/>
      </w:r>
      <w:r w:rsidRPr="002866E5">
        <w:rPr>
          <w:noProof/>
        </w:rPr>
        <w:t xml:space="preserve">Szacunkowy wpływ na dochody </w:t>
      </w:r>
    </w:p>
    <w:p w14:paraId="67ED8C93" w14:textId="77777777" w:rsidR="0037165D" w:rsidRPr="002866E5" w:rsidRDefault="0037165D" w:rsidP="00881943">
      <w:pPr>
        <w:pStyle w:val="ListDash1"/>
        <w:rPr>
          <w:noProof/>
        </w:rPr>
      </w:pPr>
      <w:r w:rsidRPr="002866E5">
        <w:rPr>
          <w:noProof/>
        </w:rPr>
        <w:sym w:font="Wingdings" w:char="F0A8"/>
      </w:r>
      <w:r w:rsidRPr="002866E5">
        <w:rPr>
          <w:noProof/>
        </w:rPr>
        <w:tab/>
        <w:t>Wniosek/inicjatywa nie ma wpływu finansowego na dochody.</w:t>
      </w:r>
    </w:p>
    <w:p w14:paraId="67ED8C94" w14:textId="77777777" w:rsidR="0037165D" w:rsidRPr="002866E5" w:rsidRDefault="0037165D" w:rsidP="00881943">
      <w:pPr>
        <w:pStyle w:val="ListDash1"/>
        <w:rPr>
          <w:noProof/>
        </w:rPr>
      </w:pPr>
      <w:r w:rsidRPr="002866E5">
        <w:rPr>
          <w:noProof/>
        </w:rPr>
        <w:sym w:font="Wingdings" w:char="F0A8"/>
      </w:r>
      <w:r w:rsidRPr="002866E5">
        <w:rPr>
          <w:noProof/>
        </w:rPr>
        <w:tab/>
        <w:t>Wniosek/inicjatywa ma wpływ finansowy określony poniżej:</w:t>
      </w:r>
    </w:p>
    <w:p w14:paraId="67ED8C95" w14:textId="77777777" w:rsidR="0037165D" w:rsidRPr="002866E5" w:rsidRDefault="0037165D" w:rsidP="0037165D">
      <w:pPr>
        <w:pStyle w:val="ListNumberLevel3"/>
        <w:rPr>
          <w:noProof/>
        </w:rPr>
      </w:pPr>
      <w:r w:rsidRPr="002866E5">
        <w:rPr>
          <w:noProof/>
        </w:rPr>
        <w:sym w:font="Wingdings" w:char="F0A8"/>
      </w:r>
      <w:r w:rsidRPr="002866E5">
        <w:rPr>
          <w:noProof/>
        </w:rPr>
        <w:tab/>
        <w:t xml:space="preserve">wpływ na zasoby własne </w:t>
      </w:r>
    </w:p>
    <w:p w14:paraId="67ED8C96" w14:textId="77777777" w:rsidR="0037165D" w:rsidRPr="002866E5" w:rsidRDefault="0037165D" w:rsidP="0037165D">
      <w:pPr>
        <w:pStyle w:val="ListNumberLevel3"/>
        <w:rPr>
          <w:noProof/>
        </w:rPr>
      </w:pPr>
      <w:r w:rsidRPr="002866E5">
        <w:rPr>
          <w:noProof/>
        </w:rPr>
        <w:sym w:font="Wingdings" w:char="F0A8"/>
      </w:r>
      <w:r w:rsidRPr="002866E5">
        <w:rPr>
          <w:noProof/>
        </w:rPr>
        <w:tab/>
        <w:t>wpływ na dochody inne</w:t>
      </w:r>
    </w:p>
    <w:p w14:paraId="67ED8C97" w14:textId="77777777" w:rsidR="0037165D" w:rsidRPr="002866E5" w:rsidRDefault="0037165D" w:rsidP="00881943">
      <w:pPr>
        <w:pStyle w:val="ListNumberLevel3"/>
        <w:rPr>
          <w:noProof/>
        </w:rPr>
      </w:pPr>
      <w:r w:rsidRPr="002866E5">
        <w:rPr>
          <w:noProof/>
        </w:rPr>
        <w:t xml:space="preserve">Wskazać, czy dochody są przypisane do linii budżetowej po stronie wydatków </w:t>
      </w:r>
      <w:r w:rsidRPr="002866E5">
        <w:rPr>
          <w:noProof/>
        </w:rPr>
        <w:sym w:font="Wingdings" w:char="F0A8"/>
      </w:r>
      <w:r w:rsidRPr="002866E5">
        <w:rPr>
          <w:noProof/>
        </w:rPr>
        <w:tab/>
      </w:r>
    </w:p>
    <w:p w14:paraId="67ED8C98" w14:textId="72A6A76B" w:rsidR="0037165D" w:rsidRPr="002866E5" w:rsidRDefault="0037165D" w:rsidP="00881943">
      <w:pPr>
        <w:ind w:left="4320"/>
        <w:rPr>
          <w:i/>
          <w:noProof/>
          <w:sz w:val="20"/>
        </w:rPr>
      </w:pPr>
      <w:r w:rsidRPr="002866E5">
        <w:rPr>
          <w:noProof/>
        </w:rPr>
        <w:t>w mln EUR (do trzech miejsc po przecinku)</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325"/>
        <w:gridCol w:w="1031"/>
        <w:gridCol w:w="900"/>
        <w:gridCol w:w="900"/>
        <w:gridCol w:w="1080"/>
        <w:gridCol w:w="1080"/>
        <w:gridCol w:w="1080"/>
        <w:gridCol w:w="1080"/>
      </w:tblGrid>
      <w:tr w:rsidR="0037165D" w:rsidRPr="002866E5" w14:paraId="67ED8C9C" w14:textId="77777777" w:rsidTr="00881943">
        <w:trPr>
          <w:trHeight w:val="388"/>
        </w:trPr>
        <w:tc>
          <w:tcPr>
            <w:tcW w:w="2144" w:type="dxa"/>
            <w:vMerge w:val="restart"/>
            <w:vAlign w:val="center"/>
          </w:tcPr>
          <w:p w14:paraId="67ED8C99" w14:textId="77777777" w:rsidR="0037165D" w:rsidRPr="002866E5" w:rsidRDefault="0037165D" w:rsidP="00881943">
            <w:pPr>
              <w:spacing w:before="40" w:after="40"/>
              <w:rPr>
                <w:noProof/>
                <w:sz w:val="18"/>
              </w:rPr>
            </w:pPr>
            <w:r w:rsidRPr="002866E5">
              <w:rPr>
                <w:noProof/>
                <w:sz w:val="18"/>
              </w:rPr>
              <w:t>Linia budżetowa po stronie dochodów:</w:t>
            </w:r>
          </w:p>
        </w:tc>
        <w:tc>
          <w:tcPr>
            <w:tcW w:w="1325" w:type="dxa"/>
            <w:vMerge w:val="restart"/>
            <w:vAlign w:val="center"/>
          </w:tcPr>
          <w:p w14:paraId="67ED8C9A" w14:textId="5F112623" w:rsidR="0037165D" w:rsidRPr="002866E5" w:rsidRDefault="0037165D" w:rsidP="00881943">
            <w:pPr>
              <w:jc w:val="center"/>
              <w:rPr>
                <w:noProof/>
                <w:sz w:val="18"/>
              </w:rPr>
            </w:pPr>
            <w:r w:rsidRPr="002866E5">
              <w:rPr>
                <w:noProof/>
                <w:sz w:val="18"/>
              </w:rPr>
              <w:t>Środki zapisane</w:t>
            </w:r>
            <w:r w:rsidR="008B35E8" w:rsidRPr="002866E5">
              <w:rPr>
                <w:noProof/>
                <w:sz w:val="18"/>
              </w:rPr>
              <w:t xml:space="preserve"> w</w:t>
            </w:r>
            <w:r w:rsidR="008B35E8">
              <w:rPr>
                <w:noProof/>
                <w:sz w:val="18"/>
              </w:rPr>
              <w:t> </w:t>
            </w:r>
            <w:r w:rsidR="008B35E8" w:rsidRPr="002866E5">
              <w:rPr>
                <w:noProof/>
                <w:sz w:val="18"/>
              </w:rPr>
              <w:t>bud</w:t>
            </w:r>
            <w:r w:rsidRPr="002866E5">
              <w:rPr>
                <w:noProof/>
                <w:sz w:val="18"/>
              </w:rPr>
              <w:t>żecie na bieżący rok obrotowy</w:t>
            </w:r>
          </w:p>
        </w:tc>
        <w:tc>
          <w:tcPr>
            <w:tcW w:w="7151" w:type="dxa"/>
            <w:gridSpan w:val="7"/>
            <w:vAlign w:val="center"/>
          </w:tcPr>
          <w:p w14:paraId="67ED8C9B" w14:textId="77777777" w:rsidR="0037165D" w:rsidRPr="002866E5" w:rsidRDefault="0037165D" w:rsidP="00881943">
            <w:pPr>
              <w:jc w:val="center"/>
              <w:rPr>
                <w:noProof/>
                <w:sz w:val="18"/>
              </w:rPr>
            </w:pPr>
            <w:r w:rsidRPr="002866E5">
              <w:rPr>
                <w:noProof/>
                <w:sz w:val="18"/>
              </w:rPr>
              <w:t>Wpływ wniosku/inicjatywy</w:t>
            </w:r>
            <w:r w:rsidRPr="002866E5">
              <w:rPr>
                <w:rStyle w:val="FootnoteReference"/>
                <w:noProof/>
              </w:rPr>
              <w:footnoteReference w:id="51"/>
            </w:r>
          </w:p>
        </w:tc>
      </w:tr>
      <w:tr w:rsidR="0037165D" w:rsidRPr="002866E5" w14:paraId="67ED8CA4" w14:textId="77777777" w:rsidTr="00881943">
        <w:trPr>
          <w:trHeight w:val="388"/>
        </w:trPr>
        <w:tc>
          <w:tcPr>
            <w:tcW w:w="2144" w:type="dxa"/>
            <w:vMerge/>
          </w:tcPr>
          <w:p w14:paraId="67ED8C9D" w14:textId="77777777" w:rsidR="0037165D" w:rsidRPr="002866E5" w:rsidRDefault="0037165D" w:rsidP="00881943">
            <w:pPr>
              <w:spacing w:before="40" w:after="40"/>
              <w:rPr>
                <w:noProof/>
                <w:sz w:val="18"/>
              </w:rPr>
            </w:pPr>
          </w:p>
        </w:tc>
        <w:tc>
          <w:tcPr>
            <w:tcW w:w="1325" w:type="dxa"/>
            <w:vMerge/>
          </w:tcPr>
          <w:p w14:paraId="67ED8C9E" w14:textId="77777777" w:rsidR="0037165D" w:rsidRPr="002866E5" w:rsidRDefault="0037165D" w:rsidP="00881943">
            <w:pPr>
              <w:spacing w:beforeLines="40" w:before="96" w:afterLines="40" w:after="96"/>
              <w:rPr>
                <w:i/>
                <w:noProof/>
                <w:sz w:val="18"/>
              </w:rPr>
            </w:pPr>
          </w:p>
        </w:tc>
        <w:tc>
          <w:tcPr>
            <w:tcW w:w="1031" w:type="dxa"/>
            <w:vAlign w:val="center"/>
          </w:tcPr>
          <w:p w14:paraId="67ED8C9F" w14:textId="77777777" w:rsidR="0037165D" w:rsidRPr="002866E5" w:rsidRDefault="0037165D" w:rsidP="00881943">
            <w:pPr>
              <w:jc w:val="center"/>
              <w:rPr>
                <w:noProof/>
                <w:sz w:val="18"/>
              </w:rPr>
            </w:pPr>
            <w:r w:rsidRPr="002866E5">
              <w:rPr>
                <w:noProof/>
                <w:sz w:val="18"/>
              </w:rPr>
              <w:t>Rok</w:t>
            </w:r>
            <w:r w:rsidRPr="002866E5">
              <w:rPr>
                <w:noProof/>
              </w:rPr>
              <w:t xml:space="preserve"> </w:t>
            </w:r>
            <w:r w:rsidRPr="002866E5">
              <w:rPr>
                <w:noProof/>
              </w:rPr>
              <w:br/>
            </w:r>
            <w:r w:rsidRPr="002866E5">
              <w:rPr>
                <w:b/>
                <w:noProof/>
                <w:sz w:val="18"/>
              </w:rPr>
              <w:t>N</w:t>
            </w:r>
          </w:p>
        </w:tc>
        <w:tc>
          <w:tcPr>
            <w:tcW w:w="900" w:type="dxa"/>
            <w:vAlign w:val="center"/>
          </w:tcPr>
          <w:p w14:paraId="67ED8CA0" w14:textId="77777777" w:rsidR="0037165D" w:rsidRPr="002866E5" w:rsidRDefault="0037165D" w:rsidP="00881943">
            <w:pPr>
              <w:jc w:val="center"/>
              <w:rPr>
                <w:noProof/>
                <w:sz w:val="18"/>
              </w:rPr>
            </w:pPr>
            <w:r w:rsidRPr="002866E5">
              <w:rPr>
                <w:noProof/>
                <w:sz w:val="18"/>
              </w:rPr>
              <w:t>Rok</w:t>
            </w:r>
            <w:r w:rsidRPr="002866E5">
              <w:rPr>
                <w:noProof/>
              </w:rPr>
              <w:t xml:space="preserve"> </w:t>
            </w:r>
            <w:r w:rsidRPr="002866E5">
              <w:rPr>
                <w:noProof/>
              </w:rPr>
              <w:br/>
            </w:r>
            <w:r w:rsidRPr="002866E5">
              <w:rPr>
                <w:b/>
                <w:noProof/>
                <w:sz w:val="18"/>
              </w:rPr>
              <w:t>N+1</w:t>
            </w:r>
          </w:p>
        </w:tc>
        <w:tc>
          <w:tcPr>
            <w:tcW w:w="900" w:type="dxa"/>
            <w:vAlign w:val="center"/>
          </w:tcPr>
          <w:p w14:paraId="67ED8CA1" w14:textId="77777777" w:rsidR="0037165D" w:rsidRPr="002866E5" w:rsidRDefault="0037165D" w:rsidP="00881943">
            <w:pPr>
              <w:jc w:val="center"/>
              <w:rPr>
                <w:noProof/>
                <w:sz w:val="18"/>
              </w:rPr>
            </w:pPr>
            <w:r w:rsidRPr="002866E5">
              <w:rPr>
                <w:noProof/>
                <w:sz w:val="18"/>
              </w:rPr>
              <w:t>Rok</w:t>
            </w:r>
            <w:r w:rsidRPr="002866E5">
              <w:rPr>
                <w:noProof/>
              </w:rPr>
              <w:t xml:space="preserve"> </w:t>
            </w:r>
            <w:r w:rsidRPr="002866E5">
              <w:rPr>
                <w:noProof/>
              </w:rPr>
              <w:br/>
            </w:r>
            <w:r w:rsidRPr="002866E5">
              <w:rPr>
                <w:b/>
                <w:noProof/>
                <w:sz w:val="18"/>
              </w:rPr>
              <w:t>N+2</w:t>
            </w:r>
          </w:p>
        </w:tc>
        <w:tc>
          <w:tcPr>
            <w:tcW w:w="1080" w:type="dxa"/>
            <w:vAlign w:val="center"/>
          </w:tcPr>
          <w:p w14:paraId="67ED8CA2" w14:textId="77777777" w:rsidR="0037165D" w:rsidRPr="002866E5" w:rsidRDefault="0037165D" w:rsidP="00881943">
            <w:pPr>
              <w:jc w:val="center"/>
              <w:rPr>
                <w:noProof/>
                <w:sz w:val="18"/>
              </w:rPr>
            </w:pPr>
            <w:r w:rsidRPr="002866E5">
              <w:rPr>
                <w:noProof/>
                <w:sz w:val="18"/>
              </w:rPr>
              <w:t>Rok</w:t>
            </w:r>
            <w:r w:rsidRPr="002866E5">
              <w:rPr>
                <w:noProof/>
              </w:rPr>
              <w:t xml:space="preserve"> </w:t>
            </w:r>
            <w:r w:rsidRPr="002866E5">
              <w:rPr>
                <w:noProof/>
              </w:rPr>
              <w:br/>
            </w:r>
            <w:r w:rsidRPr="002866E5">
              <w:rPr>
                <w:b/>
                <w:noProof/>
                <w:sz w:val="18"/>
              </w:rPr>
              <w:t>N+3</w:t>
            </w:r>
          </w:p>
        </w:tc>
        <w:tc>
          <w:tcPr>
            <w:tcW w:w="3240" w:type="dxa"/>
            <w:gridSpan w:val="3"/>
            <w:vAlign w:val="center"/>
          </w:tcPr>
          <w:p w14:paraId="67ED8CA3" w14:textId="1F4D0E96" w:rsidR="0037165D" w:rsidRPr="002866E5" w:rsidRDefault="0037165D" w:rsidP="00881943">
            <w:pPr>
              <w:jc w:val="center"/>
              <w:rPr>
                <w:b/>
                <w:noProof/>
                <w:sz w:val="18"/>
              </w:rPr>
            </w:pPr>
            <w:r w:rsidRPr="002866E5">
              <w:rPr>
                <w:noProof/>
                <w:sz w:val="18"/>
              </w:rPr>
              <w:t xml:space="preserve">Wprowadzić taką liczbę kolumn dla poszczególnych lat, jaka jest niezbędna, by odzwierciedlić cały okres wpływu (zob. </w:t>
            </w:r>
            <w:r w:rsidRPr="008B35E8">
              <w:rPr>
                <w:noProof/>
                <w:sz w:val="18"/>
              </w:rPr>
              <w:t>pkt</w:t>
            </w:r>
            <w:r w:rsidR="008B35E8" w:rsidRPr="008B35E8">
              <w:rPr>
                <w:noProof/>
                <w:sz w:val="18"/>
              </w:rPr>
              <w:t> </w:t>
            </w:r>
            <w:r w:rsidRPr="008B35E8">
              <w:rPr>
                <w:noProof/>
                <w:sz w:val="18"/>
              </w:rPr>
              <w:t>1</w:t>
            </w:r>
            <w:r w:rsidRPr="002866E5">
              <w:rPr>
                <w:noProof/>
                <w:sz w:val="18"/>
              </w:rPr>
              <w:t>.6)</w:t>
            </w:r>
          </w:p>
        </w:tc>
      </w:tr>
      <w:tr w:rsidR="0037165D" w:rsidRPr="002866E5" w14:paraId="67ED8CAE" w14:textId="77777777" w:rsidTr="00881943">
        <w:trPr>
          <w:trHeight w:val="388"/>
        </w:trPr>
        <w:tc>
          <w:tcPr>
            <w:tcW w:w="2144" w:type="dxa"/>
            <w:vAlign w:val="center"/>
          </w:tcPr>
          <w:p w14:paraId="67ED8CA5" w14:textId="77777777" w:rsidR="0037165D" w:rsidRPr="002866E5" w:rsidRDefault="0037165D" w:rsidP="00881943">
            <w:pPr>
              <w:spacing w:before="40" w:after="40"/>
              <w:rPr>
                <w:noProof/>
                <w:sz w:val="18"/>
              </w:rPr>
            </w:pPr>
            <w:r w:rsidRPr="002866E5">
              <w:rPr>
                <w:noProof/>
                <w:sz w:val="18"/>
              </w:rPr>
              <w:t>Artykuł …</w:t>
            </w:r>
          </w:p>
        </w:tc>
        <w:tc>
          <w:tcPr>
            <w:tcW w:w="1325" w:type="dxa"/>
          </w:tcPr>
          <w:p w14:paraId="67ED8CA6" w14:textId="77777777" w:rsidR="0037165D" w:rsidRPr="002866E5" w:rsidRDefault="0037165D" w:rsidP="00881943">
            <w:pPr>
              <w:spacing w:beforeLines="40" w:before="96" w:afterLines="40" w:after="96"/>
              <w:jc w:val="center"/>
              <w:rPr>
                <w:i/>
                <w:noProof/>
                <w:sz w:val="18"/>
              </w:rPr>
            </w:pPr>
          </w:p>
        </w:tc>
        <w:tc>
          <w:tcPr>
            <w:tcW w:w="1031" w:type="dxa"/>
          </w:tcPr>
          <w:p w14:paraId="67ED8CA7" w14:textId="77777777" w:rsidR="0037165D" w:rsidRPr="002866E5" w:rsidRDefault="0037165D" w:rsidP="00881943">
            <w:pPr>
              <w:spacing w:beforeLines="40" w:before="96" w:afterLines="40" w:after="96"/>
              <w:jc w:val="center"/>
              <w:rPr>
                <w:noProof/>
                <w:sz w:val="18"/>
              </w:rPr>
            </w:pPr>
          </w:p>
        </w:tc>
        <w:tc>
          <w:tcPr>
            <w:tcW w:w="900" w:type="dxa"/>
          </w:tcPr>
          <w:p w14:paraId="67ED8CA8" w14:textId="77777777" w:rsidR="0037165D" w:rsidRPr="002866E5" w:rsidRDefault="0037165D" w:rsidP="00881943">
            <w:pPr>
              <w:spacing w:beforeLines="40" w:before="96" w:afterLines="40" w:after="96"/>
              <w:jc w:val="center"/>
              <w:rPr>
                <w:noProof/>
                <w:sz w:val="18"/>
              </w:rPr>
            </w:pPr>
          </w:p>
        </w:tc>
        <w:tc>
          <w:tcPr>
            <w:tcW w:w="900" w:type="dxa"/>
          </w:tcPr>
          <w:p w14:paraId="67ED8CA9" w14:textId="77777777" w:rsidR="0037165D" w:rsidRPr="002866E5" w:rsidRDefault="0037165D" w:rsidP="00881943">
            <w:pPr>
              <w:spacing w:beforeLines="40" w:before="96" w:afterLines="40" w:after="96"/>
              <w:jc w:val="center"/>
              <w:rPr>
                <w:noProof/>
                <w:sz w:val="18"/>
              </w:rPr>
            </w:pPr>
          </w:p>
        </w:tc>
        <w:tc>
          <w:tcPr>
            <w:tcW w:w="1080" w:type="dxa"/>
          </w:tcPr>
          <w:p w14:paraId="67ED8CAA" w14:textId="77777777" w:rsidR="0037165D" w:rsidRPr="002866E5" w:rsidRDefault="0037165D" w:rsidP="00881943">
            <w:pPr>
              <w:spacing w:beforeLines="40" w:before="96" w:afterLines="40" w:after="96"/>
              <w:jc w:val="center"/>
              <w:rPr>
                <w:noProof/>
                <w:sz w:val="18"/>
              </w:rPr>
            </w:pPr>
          </w:p>
        </w:tc>
        <w:tc>
          <w:tcPr>
            <w:tcW w:w="1080" w:type="dxa"/>
          </w:tcPr>
          <w:p w14:paraId="67ED8CAB" w14:textId="77777777" w:rsidR="0037165D" w:rsidRPr="002866E5" w:rsidRDefault="0037165D" w:rsidP="00881943">
            <w:pPr>
              <w:spacing w:beforeLines="40" w:before="96" w:afterLines="40" w:after="96"/>
              <w:jc w:val="center"/>
              <w:rPr>
                <w:noProof/>
                <w:sz w:val="18"/>
              </w:rPr>
            </w:pPr>
          </w:p>
        </w:tc>
        <w:tc>
          <w:tcPr>
            <w:tcW w:w="1080" w:type="dxa"/>
          </w:tcPr>
          <w:p w14:paraId="67ED8CAC" w14:textId="77777777" w:rsidR="0037165D" w:rsidRPr="002866E5" w:rsidRDefault="0037165D" w:rsidP="00881943">
            <w:pPr>
              <w:spacing w:beforeLines="40" w:before="96" w:afterLines="40" w:after="96"/>
              <w:jc w:val="center"/>
              <w:rPr>
                <w:noProof/>
                <w:sz w:val="18"/>
              </w:rPr>
            </w:pPr>
          </w:p>
        </w:tc>
        <w:tc>
          <w:tcPr>
            <w:tcW w:w="1080" w:type="dxa"/>
          </w:tcPr>
          <w:p w14:paraId="67ED8CAD" w14:textId="77777777" w:rsidR="0037165D" w:rsidRPr="002866E5" w:rsidRDefault="0037165D" w:rsidP="00881943">
            <w:pPr>
              <w:spacing w:beforeLines="40" w:before="96" w:afterLines="40" w:after="96"/>
              <w:jc w:val="center"/>
              <w:rPr>
                <w:noProof/>
                <w:sz w:val="18"/>
              </w:rPr>
            </w:pPr>
          </w:p>
        </w:tc>
      </w:tr>
    </w:tbl>
    <w:p w14:paraId="67ED8CAF" w14:textId="77777777" w:rsidR="0037165D" w:rsidRPr="002866E5" w:rsidRDefault="0037165D" w:rsidP="00881943">
      <w:pPr>
        <w:pStyle w:val="Text1"/>
        <w:rPr>
          <w:noProof/>
          <w:sz w:val="20"/>
        </w:rPr>
      </w:pPr>
      <w:r w:rsidRPr="002866E5">
        <w:rPr>
          <w:noProof/>
          <w:sz w:val="20"/>
        </w:rPr>
        <w:t>W przypadku wpływu na dochody przeznaczone na określony cel należy wskazać linie budżetowe po stronie wydatków, które ten wpływ obejmie.</w:t>
      </w:r>
    </w:p>
    <w:p w14:paraId="67ED8CB0" w14:textId="77777777" w:rsidR="0037165D" w:rsidRPr="002866E5" w:rsidRDefault="0037165D" w:rsidP="00881943">
      <w:pPr>
        <w:pStyle w:val="Text1"/>
        <w:pBdr>
          <w:top w:val="single" w:sz="4" w:space="1" w:color="auto"/>
          <w:left w:val="single" w:sz="4" w:space="4" w:color="auto"/>
          <w:bottom w:val="single" w:sz="4" w:space="1" w:color="auto"/>
          <w:right w:val="single" w:sz="4" w:space="4" w:color="auto"/>
        </w:pBdr>
        <w:rPr>
          <w:noProof/>
        </w:rPr>
      </w:pPr>
    </w:p>
    <w:p w14:paraId="67ED8CB1" w14:textId="77777777" w:rsidR="0037165D" w:rsidRPr="002866E5" w:rsidRDefault="0037165D" w:rsidP="00881943">
      <w:pPr>
        <w:pStyle w:val="Text1"/>
        <w:rPr>
          <w:noProof/>
          <w:sz w:val="20"/>
        </w:rPr>
      </w:pPr>
      <w:r w:rsidRPr="002866E5">
        <w:rPr>
          <w:noProof/>
          <w:sz w:val="20"/>
        </w:rPr>
        <w:t>Pozostałe uwagi (np. metoda/wzór użyte do obliczenia wpływu na dochody albo inne informacje).</w:t>
      </w:r>
    </w:p>
    <w:p w14:paraId="67ED8CB2" w14:textId="77777777" w:rsidR="0052701B" w:rsidRPr="002866E5" w:rsidRDefault="0052701B" w:rsidP="0052701B">
      <w:pPr>
        <w:jc w:val="center"/>
        <w:rPr>
          <w:noProof/>
          <w:color w:val="4F81BD" w:themeColor="accent1"/>
          <w:sz w:val="32"/>
        </w:rPr>
      </w:pPr>
    </w:p>
    <w:p w14:paraId="67ED8CB3" w14:textId="77777777" w:rsidR="0052701B" w:rsidRPr="002866E5" w:rsidRDefault="0052701B">
      <w:pPr>
        <w:spacing w:before="0" w:after="200" w:line="276" w:lineRule="auto"/>
        <w:jc w:val="left"/>
        <w:rPr>
          <w:noProof/>
          <w:color w:val="4F81BD" w:themeColor="accent1"/>
          <w:sz w:val="32"/>
        </w:rPr>
      </w:pPr>
    </w:p>
    <w:sectPr w:rsidR="0052701B" w:rsidRPr="002866E5" w:rsidSect="00C00460">
      <w:headerReference w:type="default" r:id="rId28"/>
      <w:footerReference w:type="default" r:id="rId29"/>
      <w:headerReference w:type="first" r:id="rId30"/>
      <w:footerReference w:type="first" r:id="rId31"/>
      <w:pgSz w:w="11906" w:h="16838" w:code="9"/>
      <w:pgMar w:top="902" w:right="1134" w:bottom="1247" w:left="902"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55FD3" w14:textId="77777777" w:rsidR="002255A1" w:rsidRDefault="002255A1" w:rsidP="0037165D">
      <w:pPr>
        <w:spacing w:before="0" w:after="0"/>
      </w:pPr>
      <w:r>
        <w:separator/>
      </w:r>
    </w:p>
  </w:endnote>
  <w:endnote w:type="continuationSeparator" w:id="0">
    <w:p w14:paraId="3B3C8E88" w14:textId="77777777" w:rsidR="002255A1" w:rsidRDefault="002255A1" w:rsidP="0037165D">
      <w:pPr>
        <w:spacing w:before="0" w:after="0"/>
      </w:pPr>
      <w:r>
        <w:continuationSeparator/>
      </w:r>
    </w:p>
  </w:endnote>
  <w:endnote w:type="continuationNotice" w:id="1">
    <w:p w14:paraId="0B1BD44A" w14:textId="77777777" w:rsidR="002255A1" w:rsidRDefault="002255A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40538" w14:textId="4B8DC38E" w:rsidR="00152544" w:rsidRPr="00C00460" w:rsidRDefault="00C00460" w:rsidP="00C00460">
    <w:pPr>
      <w:pStyle w:val="Footer"/>
      <w:rPr>
        <w:rFonts w:ascii="Arial" w:hAnsi="Arial" w:cs="Arial"/>
        <w:b/>
        <w:sz w:val="48"/>
      </w:rPr>
    </w:pPr>
    <w:r w:rsidRPr="00C00460">
      <w:rPr>
        <w:rFonts w:ascii="Arial" w:hAnsi="Arial" w:cs="Arial"/>
        <w:b/>
        <w:sz w:val="48"/>
      </w:rPr>
      <w:t>PL</w:t>
    </w:r>
    <w:r w:rsidRPr="00C00460">
      <w:rPr>
        <w:rFonts w:ascii="Arial" w:hAnsi="Arial" w:cs="Arial"/>
        <w:b/>
        <w:sz w:val="48"/>
      </w:rPr>
      <w:tab/>
    </w:r>
    <w:r w:rsidRPr="00C00460">
      <w:rPr>
        <w:rFonts w:ascii="Arial" w:hAnsi="Arial" w:cs="Arial"/>
        <w:b/>
        <w:sz w:val="48"/>
      </w:rPr>
      <w:tab/>
    </w:r>
    <w:r w:rsidRPr="00C00460">
      <w:tab/>
    </w:r>
    <w:r w:rsidRPr="00C00460">
      <w:rPr>
        <w:rFonts w:ascii="Arial" w:hAnsi="Arial" w:cs="Arial"/>
        <w:b/>
        <w:sz w:val="48"/>
      </w:rPr>
      <w:t>PL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475B8" w14:textId="6E85D9E9" w:rsidR="00C00460" w:rsidRPr="00C00460" w:rsidRDefault="00C00460" w:rsidP="00C00460">
    <w:pPr>
      <w:pStyle w:val="Footer"/>
      <w:rPr>
        <w:rFonts w:ascii="Arial" w:hAnsi="Arial" w:cs="Arial"/>
        <w:b/>
        <w:sz w:val="48"/>
      </w:rPr>
    </w:pPr>
    <w:r w:rsidRPr="00C00460">
      <w:rPr>
        <w:rFonts w:ascii="Arial" w:hAnsi="Arial" w:cs="Arial"/>
        <w:b/>
        <w:sz w:val="48"/>
      </w:rPr>
      <w:t>PL</w:t>
    </w:r>
    <w:r w:rsidRPr="00C00460">
      <w:rPr>
        <w:rFonts w:ascii="Arial" w:hAnsi="Arial" w:cs="Arial"/>
        <w:b/>
        <w:sz w:val="48"/>
      </w:rPr>
      <w:tab/>
    </w:r>
    <w:r>
      <w:fldChar w:fldCharType="begin"/>
    </w:r>
    <w:r>
      <w:instrText xml:space="preserve"> PAGE  \* MERGEFORMAT </w:instrText>
    </w:r>
    <w:r>
      <w:fldChar w:fldCharType="separate"/>
    </w:r>
    <w:r w:rsidR="00A1712E">
      <w:rPr>
        <w:noProof/>
      </w:rPr>
      <w:t>73</w:t>
    </w:r>
    <w:r>
      <w:fldChar w:fldCharType="end"/>
    </w:r>
    <w:r>
      <w:tab/>
    </w:r>
    <w:r w:rsidRPr="00C00460">
      <w:tab/>
    </w:r>
    <w:r w:rsidRPr="00C00460">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4EF6F" w14:textId="77777777" w:rsidR="00C00460" w:rsidRPr="00C00460" w:rsidRDefault="00C00460" w:rsidP="00C004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A6606" w14:textId="66FDC399" w:rsidR="00C00460" w:rsidRPr="00C00460" w:rsidRDefault="00C00460" w:rsidP="00C00460">
    <w:pPr>
      <w:pStyle w:val="FooterLandscape"/>
      <w:rPr>
        <w:rFonts w:ascii="Arial" w:hAnsi="Arial" w:cs="Arial"/>
        <w:b/>
        <w:sz w:val="48"/>
      </w:rPr>
    </w:pPr>
    <w:r w:rsidRPr="00C00460">
      <w:rPr>
        <w:rFonts w:ascii="Arial" w:hAnsi="Arial" w:cs="Arial"/>
        <w:b/>
        <w:sz w:val="48"/>
      </w:rPr>
      <w:t>PL</w:t>
    </w:r>
    <w:r w:rsidRPr="00C00460">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C00460">
      <w:tab/>
    </w:r>
    <w:r w:rsidRPr="00C00460">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FC096" w14:textId="77777777" w:rsidR="00C00460" w:rsidRPr="00C00460" w:rsidRDefault="00C00460" w:rsidP="00C00460">
    <w:pPr>
      <w:pStyle w:val="FooterLandscap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4C6FB" w14:textId="4D29FECE" w:rsidR="008837DD" w:rsidRPr="00C00460" w:rsidRDefault="00C00460" w:rsidP="00C00460">
    <w:pPr>
      <w:pStyle w:val="Footer"/>
      <w:rPr>
        <w:rFonts w:ascii="Arial" w:hAnsi="Arial" w:cs="Arial"/>
        <w:b/>
        <w:sz w:val="48"/>
      </w:rPr>
    </w:pPr>
    <w:r w:rsidRPr="00C00460">
      <w:rPr>
        <w:rFonts w:ascii="Arial" w:hAnsi="Arial" w:cs="Arial"/>
        <w:b/>
        <w:sz w:val="48"/>
      </w:rPr>
      <w:t>PL</w:t>
    </w:r>
    <w:r w:rsidRPr="00C00460">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C00460">
      <w:tab/>
    </w:r>
    <w:r w:rsidRPr="00C00460">
      <w:rPr>
        <w:rFonts w:ascii="Arial" w:hAnsi="Arial" w:cs="Arial"/>
        <w:b/>
        <w:sz w:val="48"/>
      </w:rPr>
      <w:t>PL</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AFF82" w14:textId="77777777" w:rsidR="00C00460" w:rsidRPr="00C00460" w:rsidRDefault="00C00460" w:rsidP="00C0046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89F78" w14:textId="69987619" w:rsidR="00C00460" w:rsidRPr="00C00460" w:rsidRDefault="00C00460" w:rsidP="008837DD">
    <w:pPr>
      <w:pStyle w:val="Footer"/>
      <w:rPr>
        <w:rFonts w:ascii="Arial" w:hAnsi="Arial" w:cs="Arial"/>
        <w:b/>
        <w:sz w:val="48"/>
      </w:rPr>
    </w:pPr>
    <w:r w:rsidRPr="00C00460">
      <w:rPr>
        <w:rFonts w:ascii="Arial" w:hAnsi="Arial" w:cs="Arial"/>
        <w:b/>
        <w:sz w:val="48"/>
      </w:rPr>
      <w:t>PL</w:t>
    </w:r>
    <w:r w:rsidRPr="00C00460">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C00460">
      <w:tab/>
    </w:r>
    <w:r w:rsidRPr="00C00460">
      <w:rPr>
        <w:rFonts w:ascii="Arial" w:hAnsi="Arial" w:cs="Arial"/>
        <w:b/>
        <w:sz w:val="48"/>
      </w:rPr>
      <w:t>PL</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6D305" w14:textId="77777777" w:rsidR="00C00460" w:rsidRPr="00C00460" w:rsidRDefault="00C00460" w:rsidP="00C004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0A64C" w14:textId="77777777" w:rsidR="002255A1" w:rsidRDefault="002255A1" w:rsidP="0037165D">
      <w:pPr>
        <w:spacing w:before="0" w:after="0"/>
      </w:pPr>
      <w:r>
        <w:separator/>
      </w:r>
    </w:p>
  </w:footnote>
  <w:footnote w:type="continuationSeparator" w:id="0">
    <w:p w14:paraId="4C6B1962" w14:textId="77777777" w:rsidR="002255A1" w:rsidRDefault="002255A1" w:rsidP="0037165D">
      <w:pPr>
        <w:spacing w:before="0" w:after="0"/>
      </w:pPr>
      <w:r>
        <w:continuationSeparator/>
      </w:r>
    </w:p>
  </w:footnote>
  <w:footnote w:type="continuationNotice" w:id="1">
    <w:p w14:paraId="41737892" w14:textId="77777777" w:rsidR="002255A1" w:rsidRDefault="002255A1">
      <w:pPr>
        <w:spacing w:before="0" w:after="0"/>
      </w:pPr>
    </w:p>
  </w:footnote>
  <w:footnote w:id="2">
    <w:p w14:paraId="67ED8CCF" w14:textId="11D65FAA" w:rsidR="009C20DD" w:rsidRPr="002866E5" w:rsidRDefault="009C20DD" w:rsidP="00E45B83">
      <w:pPr>
        <w:pStyle w:val="FootnoteText"/>
        <w:rPr>
          <w:rStyle w:val="FootnoteReference"/>
          <w:rFonts w:eastAsia="SimSun"/>
          <w:vertAlign w:val="baseline"/>
        </w:rPr>
      </w:pPr>
      <w:r>
        <w:rPr>
          <w:rStyle w:val="FootnoteReference"/>
        </w:rPr>
        <w:footnoteRef/>
      </w:r>
      <w:r w:rsidRPr="002866E5">
        <w:tab/>
        <w:t>Dyrektywa Parlamentu Europejskiego</w:t>
      </w:r>
      <w:r w:rsidR="008B35E8" w:rsidRPr="002866E5">
        <w:t xml:space="preserve"> i</w:t>
      </w:r>
      <w:r w:rsidR="008B35E8">
        <w:t> </w:t>
      </w:r>
      <w:r w:rsidR="008B35E8" w:rsidRPr="002866E5">
        <w:t>Rad</w:t>
      </w:r>
      <w:r w:rsidRPr="002866E5">
        <w:t>y 2013/40/UE</w:t>
      </w:r>
      <w:r w:rsidR="008B35E8" w:rsidRPr="002866E5">
        <w:t xml:space="preserve"> z</w:t>
      </w:r>
      <w:r w:rsidR="008B35E8">
        <w:t> </w:t>
      </w:r>
      <w:r w:rsidR="008B35E8" w:rsidRPr="002866E5">
        <w:t>dni</w:t>
      </w:r>
      <w:r w:rsidRPr="002866E5">
        <w:t>a 12 sierpnia 20</w:t>
      </w:r>
      <w:r w:rsidRPr="008B35E8">
        <w:t>13</w:t>
      </w:r>
      <w:r w:rsidR="008B35E8" w:rsidRPr="008B35E8">
        <w:t> </w:t>
      </w:r>
      <w:r w:rsidRPr="008B35E8">
        <w:t>r.</w:t>
      </w:r>
      <w:r w:rsidRPr="002866E5">
        <w:t xml:space="preserve"> dotycząca ataków na systemy informatyczne</w:t>
      </w:r>
      <w:r w:rsidR="008B35E8" w:rsidRPr="002866E5">
        <w:t xml:space="preserve"> i</w:t>
      </w:r>
      <w:r w:rsidR="008B35E8">
        <w:t> </w:t>
      </w:r>
      <w:r w:rsidR="008B35E8" w:rsidRPr="002866E5">
        <w:t>zas</w:t>
      </w:r>
      <w:r w:rsidRPr="002866E5">
        <w:t>tępująca decyzję ramową Rady 2005/222/WSiSW (Dz.U. L 218</w:t>
      </w:r>
      <w:r w:rsidR="008B35E8" w:rsidRPr="002866E5">
        <w:t xml:space="preserve"> z</w:t>
      </w:r>
      <w:r w:rsidR="008B35E8">
        <w:t> </w:t>
      </w:r>
      <w:r w:rsidR="008B35E8" w:rsidRPr="002866E5">
        <w:t>1</w:t>
      </w:r>
      <w:r w:rsidRPr="002866E5">
        <w:t>4.8.2013, s. 8).</w:t>
      </w:r>
    </w:p>
  </w:footnote>
  <w:footnote w:id="3">
    <w:p w14:paraId="67ED8CD0" w14:textId="657C29EF" w:rsidR="009C20DD" w:rsidRPr="002866E5" w:rsidRDefault="009C20DD">
      <w:pPr>
        <w:pStyle w:val="FootnoteText"/>
        <w:rPr>
          <w:rStyle w:val="FootnoteReference"/>
        </w:rPr>
      </w:pPr>
      <w:r>
        <w:rPr>
          <w:rStyle w:val="FootnoteReference"/>
        </w:rPr>
        <w:footnoteRef/>
      </w:r>
      <w:r w:rsidRPr="002866E5">
        <w:tab/>
        <w:t>Dyrektywa Parlamentu Europejskiego</w:t>
      </w:r>
      <w:r w:rsidR="008B35E8" w:rsidRPr="002866E5">
        <w:t xml:space="preserve"> i</w:t>
      </w:r>
      <w:r w:rsidR="008B35E8">
        <w:t> </w:t>
      </w:r>
      <w:r w:rsidR="008B35E8" w:rsidRPr="002866E5">
        <w:t>Rad</w:t>
      </w:r>
      <w:r w:rsidRPr="002866E5">
        <w:t>y (UE) 2016/1148</w:t>
      </w:r>
      <w:r w:rsidR="008B35E8" w:rsidRPr="002866E5">
        <w:t xml:space="preserve"> z</w:t>
      </w:r>
      <w:r w:rsidR="008B35E8">
        <w:t> </w:t>
      </w:r>
      <w:r w:rsidR="008B35E8" w:rsidRPr="002866E5">
        <w:t>dni</w:t>
      </w:r>
      <w:r w:rsidRPr="002866E5">
        <w:t>a 6 lipca 20</w:t>
      </w:r>
      <w:r w:rsidRPr="008B35E8">
        <w:t>16</w:t>
      </w:r>
      <w:r w:rsidR="008B35E8" w:rsidRPr="008B35E8">
        <w:t> </w:t>
      </w:r>
      <w:r w:rsidRPr="008B35E8">
        <w:t>r.</w:t>
      </w:r>
      <w:r w:rsidR="008B35E8" w:rsidRPr="002866E5">
        <w:t xml:space="preserve"> w</w:t>
      </w:r>
      <w:r w:rsidR="008B35E8">
        <w:t> </w:t>
      </w:r>
      <w:r w:rsidR="008B35E8" w:rsidRPr="002866E5">
        <w:t>spr</w:t>
      </w:r>
      <w:r w:rsidRPr="002866E5">
        <w:t>awie środków na rzecz wysokiego wspólnego poziomu bezpieczeństwa sieci</w:t>
      </w:r>
      <w:r w:rsidR="008B35E8" w:rsidRPr="002866E5">
        <w:t xml:space="preserve"> i</w:t>
      </w:r>
      <w:r w:rsidR="008B35E8">
        <w:t> </w:t>
      </w:r>
      <w:r w:rsidR="008B35E8" w:rsidRPr="002866E5">
        <w:t>sys</w:t>
      </w:r>
      <w:r w:rsidRPr="002866E5">
        <w:t>temów informatycznych na terytorium Unii (Dz.U. L 194/1</w:t>
      </w:r>
      <w:r w:rsidR="008B35E8" w:rsidRPr="002866E5">
        <w:t xml:space="preserve"> z</w:t>
      </w:r>
      <w:r w:rsidR="008B35E8">
        <w:t> </w:t>
      </w:r>
      <w:r w:rsidR="008B35E8" w:rsidRPr="002866E5">
        <w:t>1</w:t>
      </w:r>
      <w:r w:rsidRPr="002866E5">
        <w:t>9.7.2016, s. 1).</w:t>
      </w:r>
    </w:p>
  </w:footnote>
  <w:footnote w:id="4">
    <w:p w14:paraId="67ED8CD1" w14:textId="1BEDDDC1" w:rsidR="009C20DD" w:rsidRPr="002866E5" w:rsidRDefault="009C20DD" w:rsidP="00E45B83">
      <w:pPr>
        <w:pStyle w:val="FootnoteText"/>
        <w:rPr>
          <w:rStyle w:val="FootnoteReference"/>
        </w:rPr>
      </w:pPr>
      <w:r>
        <w:rPr>
          <w:rStyle w:val="FootnoteReference"/>
        </w:rPr>
        <w:footnoteRef/>
      </w:r>
      <w:r w:rsidRPr="002866E5">
        <w:tab/>
        <w:t>Rozporządzenie Parlamentu Europejskiego</w:t>
      </w:r>
      <w:r w:rsidR="008B35E8" w:rsidRPr="002866E5">
        <w:t xml:space="preserve"> i</w:t>
      </w:r>
      <w:r w:rsidR="008B35E8">
        <w:t> </w:t>
      </w:r>
      <w:r w:rsidR="008B35E8" w:rsidRPr="002866E5">
        <w:t>Rad</w:t>
      </w:r>
      <w:r w:rsidRPr="002866E5">
        <w:t>y (UE) 2019/881</w:t>
      </w:r>
      <w:r w:rsidR="008B35E8" w:rsidRPr="002866E5">
        <w:t xml:space="preserve"> z</w:t>
      </w:r>
      <w:r w:rsidR="008B35E8">
        <w:t> </w:t>
      </w:r>
      <w:r w:rsidR="008B35E8" w:rsidRPr="002866E5">
        <w:t>dni</w:t>
      </w:r>
      <w:r w:rsidRPr="002866E5">
        <w:t>a 17 kwietnia 20</w:t>
      </w:r>
      <w:r w:rsidRPr="008B35E8">
        <w:t>19</w:t>
      </w:r>
      <w:r w:rsidR="008B35E8" w:rsidRPr="008B35E8">
        <w:t> </w:t>
      </w:r>
      <w:r w:rsidRPr="008B35E8">
        <w:t>r.</w:t>
      </w:r>
      <w:r w:rsidR="008B35E8" w:rsidRPr="002866E5">
        <w:t xml:space="preserve"> w</w:t>
      </w:r>
      <w:r w:rsidR="008B35E8">
        <w:t> </w:t>
      </w:r>
      <w:r w:rsidR="008B35E8" w:rsidRPr="002866E5">
        <w:t>spr</w:t>
      </w:r>
      <w:r w:rsidRPr="002866E5">
        <w:t>awie ENISA (Agencji Unii Europejskiej ds. Cyberbezpieczeństwa) oraz certyfikacji cyberbezpieczeństwa</w:t>
      </w:r>
      <w:r w:rsidR="008B35E8" w:rsidRPr="002866E5">
        <w:t xml:space="preserve"> w</w:t>
      </w:r>
      <w:r w:rsidR="008B35E8">
        <w:t> </w:t>
      </w:r>
      <w:r w:rsidR="008B35E8" w:rsidRPr="002866E5">
        <w:t>zak</w:t>
      </w:r>
      <w:r w:rsidRPr="002866E5">
        <w:t xml:space="preserve">resie technologii informacyjno-komunikacyjnych oraz uchylenia rozporządzenia (UE) </w:t>
      </w:r>
      <w:r w:rsidRPr="008B35E8">
        <w:t>nr</w:t>
      </w:r>
      <w:r w:rsidR="008B35E8" w:rsidRPr="008B35E8">
        <w:t> </w:t>
      </w:r>
      <w:r w:rsidRPr="008B35E8">
        <w:t>5</w:t>
      </w:r>
      <w:r w:rsidRPr="002866E5">
        <w:t>26/2013 (akt</w:t>
      </w:r>
      <w:r w:rsidR="008B35E8" w:rsidRPr="002866E5">
        <w:t xml:space="preserve"> o</w:t>
      </w:r>
      <w:r w:rsidR="008B35E8">
        <w:t> </w:t>
      </w:r>
      <w:r w:rsidR="008B35E8" w:rsidRPr="002866E5">
        <w:t>cyb</w:t>
      </w:r>
      <w:r w:rsidRPr="002866E5">
        <w:t>erbezpieczeństwie) (Dz.U. L 151</w:t>
      </w:r>
      <w:r w:rsidR="008B35E8" w:rsidRPr="002866E5">
        <w:t xml:space="preserve"> z</w:t>
      </w:r>
      <w:r w:rsidR="008B35E8">
        <w:t> </w:t>
      </w:r>
      <w:r w:rsidR="008B35E8" w:rsidRPr="002866E5">
        <w:t>7</w:t>
      </w:r>
      <w:r w:rsidRPr="002866E5">
        <w:t>.6.2019, s. 15).</w:t>
      </w:r>
    </w:p>
  </w:footnote>
  <w:footnote w:id="5">
    <w:p w14:paraId="67ED8CD2" w14:textId="50FEB9B1" w:rsidR="009C20DD" w:rsidRPr="002866E5" w:rsidRDefault="009C20DD" w:rsidP="00E45B83">
      <w:pPr>
        <w:pStyle w:val="FootnoteText"/>
        <w:rPr>
          <w:rStyle w:val="FootnoteReference"/>
        </w:rPr>
      </w:pPr>
      <w:r>
        <w:rPr>
          <w:rStyle w:val="FootnoteReference"/>
        </w:rPr>
        <w:footnoteRef/>
      </w:r>
      <w:r w:rsidRPr="002866E5">
        <w:tab/>
        <w:t>Akt</w:t>
      </w:r>
      <w:r w:rsidR="008B35E8" w:rsidRPr="002866E5">
        <w:t xml:space="preserve"> o</w:t>
      </w:r>
      <w:r w:rsidR="008B35E8">
        <w:t> </w:t>
      </w:r>
      <w:r w:rsidR="008B35E8" w:rsidRPr="002866E5">
        <w:t>cyb</w:t>
      </w:r>
      <w:r w:rsidRPr="002866E5">
        <w:t>erbezpieczeństwie umożliwia opracowanie specjalnych programów certyfikacji. Każdy program zawiera odesłanie do odpowiednich norm, specyfikacji technicznych lub innych wymogów cyberbezpieczeństwa określonych</w:t>
      </w:r>
      <w:r w:rsidR="008B35E8" w:rsidRPr="002866E5">
        <w:t xml:space="preserve"> w</w:t>
      </w:r>
      <w:r w:rsidR="008B35E8">
        <w:t> </w:t>
      </w:r>
      <w:r w:rsidR="008B35E8" w:rsidRPr="002866E5">
        <w:t>pro</w:t>
      </w:r>
      <w:r w:rsidRPr="002866E5">
        <w:t>gramie. Decyzja</w:t>
      </w:r>
      <w:r w:rsidR="008B35E8" w:rsidRPr="002866E5">
        <w:t xml:space="preserve"> o</w:t>
      </w:r>
      <w:r w:rsidR="008B35E8">
        <w:t> </w:t>
      </w:r>
      <w:r w:rsidR="008B35E8" w:rsidRPr="002866E5">
        <w:t>opr</w:t>
      </w:r>
      <w:r w:rsidRPr="002866E5">
        <w:t>acowaniu certyfikacji cyberbezpieczeństwa jest decyzją opartą na analizie ryzyka.</w:t>
      </w:r>
    </w:p>
  </w:footnote>
  <w:footnote w:id="6">
    <w:p w14:paraId="67ED8CD3" w14:textId="5204F533" w:rsidR="009C20DD" w:rsidRPr="002866E5" w:rsidRDefault="009C20DD" w:rsidP="00E45B83">
      <w:pPr>
        <w:pStyle w:val="FootnoteText"/>
        <w:rPr>
          <w:rStyle w:val="FootnoteReference"/>
        </w:rPr>
      </w:pPr>
      <w:r>
        <w:rPr>
          <w:rStyle w:val="FootnoteReference"/>
        </w:rPr>
        <w:footnoteRef/>
      </w:r>
      <w:r w:rsidRPr="002866E5">
        <w:tab/>
        <w:t>Komunikat Komisji do Parlamentu Europejskiego, Rady, Europejskiego Komitetu Ekonomiczno-Społecznego</w:t>
      </w:r>
      <w:r w:rsidR="008B35E8" w:rsidRPr="002866E5">
        <w:t xml:space="preserve"> i</w:t>
      </w:r>
      <w:r w:rsidR="008B35E8">
        <w:t> </w:t>
      </w:r>
      <w:r w:rsidR="008B35E8" w:rsidRPr="002866E5">
        <w:t>Kom</w:t>
      </w:r>
      <w:r w:rsidRPr="002866E5">
        <w:t>itetu Regionów pt. „Kształtowanie cyfrowej przyszłości Europy”</w:t>
      </w:r>
      <w:r w:rsidR="008B35E8" w:rsidRPr="002866E5">
        <w:t xml:space="preserve"> z</w:t>
      </w:r>
      <w:r w:rsidR="008B35E8">
        <w:t> </w:t>
      </w:r>
      <w:r w:rsidR="008B35E8" w:rsidRPr="002866E5">
        <w:t>1</w:t>
      </w:r>
      <w:r w:rsidRPr="002866E5">
        <w:t>9 lutego 20</w:t>
      </w:r>
      <w:r w:rsidRPr="008B35E8">
        <w:t>20</w:t>
      </w:r>
      <w:r w:rsidR="008B35E8" w:rsidRPr="008B35E8">
        <w:t> </w:t>
      </w:r>
      <w:r w:rsidRPr="008B35E8">
        <w:t>r.</w:t>
      </w:r>
      <w:r w:rsidRPr="002866E5">
        <w:t>, COM(2020) 67 final.</w:t>
      </w:r>
      <w:r w:rsidRPr="002866E5">
        <w:rPr>
          <w:rStyle w:val="FootnoteReference"/>
        </w:rPr>
        <w:t xml:space="preserve"> </w:t>
      </w:r>
    </w:p>
  </w:footnote>
  <w:footnote w:id="7">
    <w:p w14:paraId="67ED8CD4" w14:textId="77777777" w:rsidR="009C20DD" w:rsidRPr="002866E5" w:rsidRDefault="009C20DD" w:rsidP="009C408C">
      <w:pPr>
        <w:pStyle w:val="FootnoteText"/>
        <w:rPr>
          <w:rStyle w:val="FootnoteReference"/>
        </w:rPr>
      </w:pPr>
      <w:r>
        <w:rPr>
          <w:rStyle w:val="FootnoteReference"/>
        </w:rPr>
        <w:footnoteRef/>
      </w:r>
      <w:r w:rsidRPr="002866E5">
        <w:tab/>
        <w:t>Głównie przepisy nowych ram prawnych.</w:t>
      </w:r>
      <w:r w:rsidRPr="002866E5">
        <w:rPr>
          <w:rStyle w:val="FootnoteReference"/>
        </w:rPr>
        <w:t xml:space="preserve"> </w:t>
      </w:r>
    </w:p>
  </w:footnote>
  <w:footnote w:id="8">
    <w:p w14:paraId="67ED8CD5" w14:textId="234A5247" w:rsidR="009C20DD" w:rsidRPr="002866E5" w:rsidRDefault="009C20DD">
      <w:pPr>
        <w:pStyle w:val="FootnoteText"/>
      </w:pPr>
      <w:r>
        <w:rPr>
          <w:rStyle w:val="FootnoteReference"/>
        </w:rPr>
        <w:footnoteRef/>
      </w:r>
      <w:r w:rsidRPr="002866E5">
        <w:tab/>
        <w:t>Wniosek</w:t>
      </w:r>
      <w:r w:rsidR="008B35E8" w:rsidRPr="002866E5">
        <w:t xml:space="preserve"> z</w:t>
      </w:r>
      <w:r w:rsidR="008B35E8">
        <w:t> </w:t>
      </w:r>
      <w:r w:rsidR="008B35E8" w:rsidRPr="002866E5">
        <w:t>2</w:t>
      </w:r>
      <w:r w:rsidRPr="002866E5">
        <w:t>1 kwietnia 20</w:t>
      </w:r>
      <w:r w:rsidRPr="008B35E8">
        <w:t>21</w:t>
      </w:r>
      <w:r w:rsidR="008B35E8" w:rsidRPr="008B35E8">
        <w:t> </w:t>
      </w:r>
      <w:r w:rsidRPr="008B35E8">
        <w:t>r.</w:t>
      </w:r>
      <w:r w:rsidRPr="002866E5">
        <w:t xml:space="preserve"> dotyczący rozporządzenia Parlamentu Europejskiego</w:t>
      </w:r>
      <w:r w:rsidR="008B35E8" w:rsidRPr="002866E5">
        <w:t xml:space="preserve"> i</w:t>
      </w:r>
      <w:r w:rsidR="008B35E8">
        <w:t> </w:t>
      </w:r>
      <w:r w:rsidR="008B35E8" w:rsidRPr="002866E5">
        <w:t>Rad</w:t>
      </w:r>
      <w:r w:rsidRPr="002866E5">
        <w:t>y ustanawiającego zharmonizowane przepisy dotyczące sztucznej inteligencji (akt</w:t>
      </w:r>
      <w:r w:rsidR="008B35E8" w:rsidRPr="002866E5">
        <w:t xml:space="preserve"> w</w:t>
      </w:r>
      <w:r w:rsidR="008B35E8">
        <w:t> </w:t>
      </w:r>
      <w:r w:rsidR="008B35E8" w:rsidRPr="002866E5">
        <w:t>spr</w:t>
      </w:r>
      <w:r w:rsidRPr="002866E5">
        <w:t>awie sztucznej inteligencji)</w:t>
      </w:r>
      <w:r w:rsidR="008B35E8" w:rsidRPr="002866E5">
        <w:t xml:space="preserve"> i</w:t>
      </w:r>
      <w:r w:rsidR="008B35E8">
        <w:t> </w:t>
      </w:r>
      <w:r w:rsidR="008B35E8" w:rsidRPr="002866E5">
        <w:t>zmi</w:t>
      </w:r>
      <w:r w:rsidRPr="002866E5">
        <w:t>eniającego niektóre akty ustawodawcze Unii, COM(2021) 206 final.</w:t>
      </w:r>
    </w:p>
  </w:footnote>
  <w:footnote w:id="9">
    <w:p w14:paraId="67ED8CD6" w14:textId="5DEAAA5F" w:rsidR="009C20DD" w:rsidRPr="002866E5" w:rsidRDefault="009C20DD" w:rsidP="00E45B83">
      <w:pPr>
        <w:pStyle w:val="FootnoteText"/>
        <w:rPr>
          <w:rStyle w:val="FootnoteReference"/>
        </w:rPr>
      </w:pPr>
      <w:r>
        <w:rPr>
          <w:rStyle w:val="FootnoteReference"/>
        </w:rPr>
        <w:footnoteRef/>
      </w:r>
      <w:r w:rsidRPr="002866E5">
        <w:tab/>
        <w:t>Wyrok Trybunału Sprawiedliwości Unii Europejskiej (wielka izba)</w:t>
      </w:r>
      <w:r w:rsidR="008B35E8" w:rsidRPr="002866E5">
        <w:t xml:space="preserve"> z</w:t>
      </w:r>
      <w:r w:rsidR="008B35E8">
        <w:t> </w:t>
      </w:r>
      <w:r w:rsidR="008B35E8" w:rsidRPr="002866E5">
        <w:t>dni</w:t>
      </w:r>
      <w:r w:rsidRPr="002866E5">
        <w:t>a 3 grudnia 20</w:t>
      </w:r>
      <w:r w:rsidRPr="008B35E8">
        <w:t>19</w:t>
      </w:r>
      <w:r w:rsidR="008B35E8" w:rsidRPr="008B35E8">
        <w:t> </w:t>
      </w:r>
      <w:r w:rsidRPr="008B35E8">
        <w:t>r.</w:t>
      </w:r>
      <w:r w:rsidRPr="002866E5">
        <w:t>, Republika Czeska/Parlament Europejski</w:t>
      </w:r>
      <w:r w:rsidR="008B35E8" w:rsidRPr="002866E5">
        <w:t xml:space="preserve"> i</w:t>
      </w:r>
      <w:r w:rsidR="008B35E8">
        <w:t> </w:t>
      </w:r>
      <w:r w:rsidR="008B35E8" w:rsidRPr="002866E5">
        <w:t>Rad</w:t>
      </w:r>
      <w:r w:rsidRPr="002866E5">
        <w:t xml:space="preserve">a Unii Europejskiej, sprawa C-482/17, </w:t>
      </w:r>
      <w:r w:rsidRPr="008B35E8">
        <w:t>pkt</w:t>
      </w:r>
      <w:r w:rsidR="008B35E8" w:rsidRPr="008B35E8">
        <w:t> </w:t>
      </w:r>
      <w:r w:rsidRPr="008B35E8">
        <w:t>3</w:t>
      </w:r>
      <w:r w:rsidRPr="002866E5">
        <w:t>5.</w:t>
      </w:r>
      <w:r w:rsidRPr="002866E5">
        <w:rPr>
          <w:rStyle w:val="FootnoteReference"/>
        </w:rPr>
        <w:t xml:space="preserve"> </w:t>
      </w:r>
    </w:p>
  </w:footnote>
  <w:footnote w:id="10">
    <w:p w14:paraId="67ED8CD7" w14:textId="4695A7A0" w:rsidR="009C20DD" w:rsidRPr="002866E5" w:rsidRDefault="009C20DD" w:rsidP="00E45B83">
      <w:pPr>
        <w:pStyle w:val="FootnoteText"/>
        <w:rPr>
          <w:rStyle w:val="FootnoteReference"/>
        </w:rPr>
      </w:pPr>
      <w:r>
        <w:rPr>
          <w:rStyle w:val="FootnoteReference"/>
        </w:rPr>
        <w:footnoteRef/>
      </w:r>
      <w:r w:rsidRPr="002866E5">
        <w:tab/>
        <w:t>Wyrok Trybunału Sprawiedliwości Unii Europejskiej (wielka izba)</w:t>
      </w:r>
      <w:r w:rsidR="008B35E8" w:rsidRPr="002866E5">
        <w:t xml:space="preserve"> z</w:t>
      </w:r>
      <w:r w:rsidR="008B35E8">
        <w:t> </w:t>
      </w:r>
      <w:r w:rsidR="008B35E8" w:rsidRPr="002866E5">
        <w:t>dni</w:t>
      </w:r>
      <w:r w:rsidRPr="002866E5">
        <w:t>a 2 maja 20</w:t>
      </w:r>
      <w:r w:rsidRPr="008B35E8">
        <w:t>06</w:t>
      </w:r>
      <w:r w:rsidR="008B35E8" w:rsidRPr="008B35E8">
        <w:t> </w:t>
      </w:r>
      <w:r w:rsidRPr="008B35E8">
        <w:t>r.</w:t>
      </w:r>
      <w:r w:rsidRPr="002866E5">
        <w:t>, Zjednoczone Królestwo Wielkiej Brytanii</w:t>
      </w:r>
      <w:r w:rsidR="008B35E8" w:rsidRPr="002866E5">
        <w:t xml:space="preserve"> i</w:t>
      </w:r>
      <w:r w:rsidR="008B35E8">
        <w:t> </w:t>
      </w:r>
      <w:r w:rsidR="008B35E8" w:rsidRPr="002866E5">
        <w:t>Irl</w:t>
      </w:r>
      <w:r w:rsidRPr="002866E5">
        <w:t>andii Północnej/Parlament Europejski</w:t>
      </w:r>
      <w:r w:rsidR="008B35E8" w:rsidRPr="002866E5">
        <w:t xml:space="preserve"> i</w:t>
      </w:r>
      <w:r w:rsidR="008B35E8">
        <w:t> </w:t>
      </w:r>
      <w:r w:rsidR="008B35E8" w:rsidRPr="002866E5">
        <w:t>Rad</w:t>
      </w:r>
      <w:r w:rsidRPr="002866E5">
        <w:t xml:space="preserve">a Unii Europejskiej, sprawa C-217/04, </w:t>
      </w:r>
      <w:r w:rsidRPr="008B35E8">
        <w:t>pkt</w:t>
      </w:r>
      <w:r w:rsidR="008B35E8" w:rsidRPr="008B35E8">
        <w:t> </w:t>
      </w:r>
      <w:r w:rsidRPr="008B35E8">
        <w:t>6</w:t>
      </w:r>
      <w:r w:rsidRPr="002866E5">
        <w:t>2–63.</w:t>
      </w:r>
      <w:r w:rsidRPr="002866E5">
        <w:rPr>
          <w:rStyle w:val="FootnoteReference"/>
        </w:rPr>
        <w:t xml:space="preserve"> </w:t>
      </w:r>
    </w:p>
  </w:footnote>
  <w:footnote w:id="11">
    <w:p w14:paraId="67ED8CD8" w14:textId="300917C7" w:rsidR="009C20DD" w:rsidRPr="002866E5" w:rsidRDefault="009C20DD">
      <w:pPr>
        <w:pStyle w:val="FootnoteText"/>
      </w:pPr>
      <w:r>
        <w:rPr>
          <w:rStyle w:val="FootnoteReference"/>
        </w:rPr>
        <w:footnoteRef/>
      </w:r>
      <w:r w:rsidRPr="002866E5">
        <w:tab/>
        <w:t>Na przykład</w:t>
      </w:r>
      <w:r w:rsidR="008B35E8" w:rsidRPr="002866E5">
        <w:t xml:space="preserve"> w</w:t>
      </w:r>
      <w:r w:rsidR="008B35E8">
        <w:t> </w:t>
      </w:r>
      <w:r w:rsidR="008B35E8" w:rsidRPr="002866E5">
        <w:t>2</w:t>
      </w:r>
      <w:r w:rsidRPr="002866E5">
        <w:t>0</w:t>
      </w:r>
      <w:r w:rsidRPr="008B35E8">
        <w:t>19</w:t>
      </w:r>
      <w:r w:rsidR="008B35E8" w:rsidRPr="008B35E8">
        <w:t> </w:t>
      </w:r>
      <w:r w:rsidRPr="008B35E8">
        <w:t>r.</w:t>
      </w:r>
      <w:r w:rsidRPr="002866E5">
        <w:t xml:space="preserve"> Finlandia opracowała system etykietowania urządzeń IoT, takich jak inteligentne telewizory, smartfony</w:t>
      </w:r>
      <w:r w:rsidR="008B35E8" w:rsidRPr="002866E5">
        <w:t xml:space="preserve"> i</w:t>
      </w:r>
      <w:r w:rsidR="008B35E8">
        <w:t> </w:t>
      </w:r>
      <w:r w:rsidR="008B35E8" w:rsidRPr="002866E5">
        <w:t>zab</w:t>
      </w:r>
      <w:r w:rsidRPr="002866E5">
        <w:t>awki, oparty na normach ETSI. Niemcy wprowadziły niedawno etykietę bezpieczeństwa dla konsumentów</w:t>
      </w:r>
      <w:r w:rsidR="008B35E8" w:rsidRPr="002866E5">
        <w:t xml:space="preserve"> w</w:t>
      </w:r>
      <w:r w:rsidR="008B35E8">
        <w:t> </w:t>
      </w:r>
      <w:r w:rsidR="008B35E8" w:rsidRPr="002866E5">
        <w:t>odn</w:t>
      </w:r>
      <w:r w:rsidRPr="002866E5">
        <w:t>iesieniu do routerów szerokopasmowych, inteligentnych telewizorów, aparatów fotograficznych, głośników, zabawek,</w:t>
      </w:r>
      <w:r w:rsidR="008B35E8" w:rsidRPr="002866E5">
        <w:t xml:space="preserve"> a</w:t>
      </w:r>
      <w:r w:rsidR="008B35E8">
        <w:t> </w:t>
      </w:r>
      <w:r w:rsidR="008B35E8" w:rsidRPr="002866E5">
        <w:t>tak</w:t>
      </w:r>
      <w:r w:rsidRPr="002866E5">
        <w:t>że robotów sprzątających</w:t>
      </w:r>
      <w:r w:rsidR="008B35E8" w:rsidRPr="002866E5">
        <w:t xml:space="preserve"> i</w:t>
      </w:r>
      <w:r w:rsidR="008B35E8">
        <w:t> </w:t>
      </w:r>
      <w:r w:rsidR="008B35E8" w:rsidRPr="002866E5">
        <w:t>ogr</w:t>
      </w:r>
      <w:r w:rsidRPr="002866E5">
        <w:t>odowych.</w:t>
      </w:r>
    </w:p>
  </w:footnote>
  <w:footnote w:id="12">
    <w:p w14:paraId="67ED8CD9" w14:textId="60E4C236" w:rsidR="009C20DD" w:rsidRPr="002866E5" w:rsidRDefault="009C20DD" w:rsidP="00E45B83">
      <w:pPr>
        <w:pStyle w:val="FootnoteTextEP-LC1"/>
        <w:ind w:left="720" w:hanging="720"/>
      </w:pPr>
      <w:r>
        <w:rPr>
          <w:rStyle w:val="FootnoteReference"/>
        </w:rPr>
        <w:footnoteRef/>
      </w:r>
      <w:r w:rsidRPr="002866E5">
        <w:tab/>
        <w:t>„Study on the need of Cybersecurity requirements for ICT products – No. 2020-0715” (Badanie dotyczące potrzeby wprowadzenia wymogów cyberbezpieczeństwa</w:t>
      </w:r>
      <w:r w:rsidR="008B35E8" w:rsidRPr="002866E5">
        <w:t xml:space="preserve"> w</w:t>
      </w:r>
      <w:r w:rsidR="008B35E8">
        <w:t> </w:t>
      </w:r>
      <w:r w:rsidR="008B35E8" w:rsidRPr="002866E5">
        <w:t>odn</w:t>
      </w:r>
      <w:r w:rsidRPr="002866E5">
        <w:t xml:space="preserve">iesieniu do produktów ICT – </w:t>
      </w:r>
      <w:r w:rsidRPr="008B35E8">
        <w:t>nr</w:t>
      </w:r>
      <w:r w:rsidR="008B35E8" w:rsidRPr="008B35E8">
        <w:t> </w:t>
      </w:r>
      <w:r w:rsidRPr="008B35E8">
        <w:t>2</w:t>
      </w:r>
      <w:r w:rsidRPr="002866E5">
        <w:t>020-0715), sprawozdanie końcowe</w:t>
      </w:r>
      <w:r w:rsidR="008B35E8" w:rsidRPr="002866E5">
        <w:t xml:space="preserve"> z</w:t>
      </w:r>
      <w:r w:rsidR="008B35E8">
        <w:t> </w:t>
      </w:r>
      <w:r w:rsidR="008B35E8" w:rsidRPr="002866E5">
        <w:t>bad</w:t>
      </w:r>
      <w:r w:rsidRPr="002866E5">
        <w:t xml:space="preserve">ania, dostępne pod adresem </w:t>
      </w:r>
      <w:hyperlink r:id="rId1" w:history="1">
        <w:r w:rsidRPr="002866E5">
          <w:rPr>
            <w:rStyle w:val="Hyperlink"/>
          </w:rPr>
          <w:t>https://digital-strategy.ec.europa.eu/en/library/study-need-cybersecurity-requirements-ict-products</w:t>
        </w:r>
      </w:hyperlink>
    </w:p>
  </w:footnote>
  <w:footnote w:id="13">
    <w:p w14:paraId="67ED8CDA" w14:textId="1B86417F" w:rsidR="009C20DD" w:rsidRPr="002866E5" w:rsidRDefault="009C20DD">
      <w:pPr>
        <w:pStyle w:val="FootnoteText"/>
      </w:pPr>
      <w:r>
        <w:rPr>
          <w:rStyle w:val="FootnoteReference"/>
        </w:rPr>
        <w:footnoteRef/>
      </w:r>
      <w:r w:rsidRPr="002866E5">
        <w:tab/>
        <w:t>Rozporządzenie Parlamentu Europejskiego</w:t>
      </w:r>
      <w:r w:rsidR="008B35E8" w:rsidRPr="002866E5">
        <w:t xml:space="preserve"> i</w:t>
      </w:r>
      <w:r w:rsidR="008B35E8">
        <w:t> </w:t>
      </w:r>
      <w:r w:rsidR="008B35E8" w:rsidRPr="002866E5">
        <w:t>Rad</w:t>
      </w:r>
      <w:r w:rsidRPr="002866E5">
        <w:t>y (UE) 2016/679</w:t>
      </w:r>
      <w:r w:rsidR="008B35E8" w:rsidRPr="002866E5">
        <w:t xml:space="preserve"> z</w:t>
      </w:r>
      <w:r w:rsidR="008B35E8">
        <w:t> </w:t>
      </w:r>
      <w:r w:rsidR="008B35E8" w:rsidRPr="002866E5">
        <w:t>dni</w:t>
      </w:r>
      <w:r w:rsidRPr="002866E5">
        <w:t>a 27 kwietnia 20</w:t>
      </w:r>
      <w:r w:rsidRPr="008B35E8">
        <w:t>16</w:t>
      </w:r>
      <w:r w:rsidR="008B35E8" w:rsidRPr="008B35E8">
        <w:t> </w:t>
      </w:r>
      <w:r w:rsidRPr="008B35E8">
        <w:t>r.</w:t>
      </w:r>
      <w:r w:rsidR="008B35E8" w:rsidRPr="002866E5">
        <w:t xml:space="preserve"> w</w:t>
      </w:r>
      <w:r w:rsidR="008B35E8">
        <w:t> </w:t>
      </w:r>
      <w:r w:rsidR="008B35E8" w:rsidRPr="002866E5">
        <w:t>spr</w:t>
      </w:r>
      <w:r w:rsidRPr="002866E5">
        <w:t>awie ochrony osób fizycznych</w:t>
      </w:r>
      <w:r w:rsidR="008B35E8" w:rsidRPr="002866E5">
        <w:t xml:space="preserve"> w</w:t>
      </w:r>
      <w:r w:rsidR="008B35E8">
        <w:t> </w:t>
      </w:r>
      <w:r w:rsidR="008B35E8" w:rsidRPr="002866E5">
        <w:t>zwi</w:t>
      </w:r>
      <w:r w:rsidRPr="002866E5">
        <w:t>ązku</w:t>
      </w:r>
      <w:r w:rsidR="008B35E8" w:rsidRPr="002866E5">
        <w:t xml:space="preserve"> z</w:t>
      </w:r>
      <w:r w:rsidR="008B35E8">
        <w:t> </w:t>
      </w:r>
      <w:r w:rsidR="008B35E8" w:rsidRPr="002866E5">
        <w:t>prz</w:t>
      </w:r>
      <w:r w:rsidRPr="002866E5">
        <w:t>etwarzaniem danych osobowych</w:t>
      </w:r>
      <w:r w:rsidR="008B35E8" w:rsidRPr="002866E5">
        <w:t xml:space="preserve"> i</w:t>
      </w:r>
      <w:r w:rsidR="008B35E8">
        <w:t> </w:t>
      </w:r>
      <w:r w:rsidR="008B35E8" w:rsidRPr="002866E5">
        <w:t>w</w:t>
      </w:r>
      <w:r w:rsidR="008B35E8">
        <w:t> </w:t>
      </w:r>
      <w:r w:rsidR="008B35E8" w:rsidRPr="002866E5">
        <w:t>spr</w:t>
      </w:r>
      <w:r w:rsidRPr="002866E5">
        <w:t>awie swobodnego przepływu takich danych oraz uchylenia dyrektywy 95/46/WE (ogólne rozporządzenie</w:t>
      </w:r>
      <w:r w:rsidR="008B35E8" w:rsidRPr="002866E5">
        <w:t xml:space="preserve"> o</w:t>
      </w:r>
      <w:r w:rsidR="008B35E8">
        <w:t> </w:t>
      </w:r>
      <w:r w:rsidR="008B35E8" w:rsidRPr="002866E5">
        <w:t>och</w:t>
      </w:r>
      <w:r w:rsidRPr="002866E5">
        <w:t>ronie danych) (Dz.U. L 119</w:t>
      </w:r>
      <w:r w:rsidR="008B35E8" w:rsidRPr="002866E5">
        <w:t xml:space="preserve"> z</w:t>
      </w:r>
      <w:r w:rsidR="008B35E8">
        <w:t> </w:t>
      </w:r>
      <w:r w:rsidR="008B35E8" w:rsidRPr="002866E5">
        <w:t>4</w:t>
      </w:r>
      <w:r w:rsidRPr="002866E5">
        <w:t>.5.2016, s. 1).</w:t>
      </w:r>
    </w:p>
  </w:footnote>
  <w:footnote w:id="14">
    <w:p w14:paraId="67ED8CDB" w14:textId="14D5A590" w:rsidR="009C20DD" w:rsidRPr="002866E5" w:rsidRDefault="009C20DD" w:rsidP="00881943">
      <w:pPr>
        <w:pStyle w:val="FootnoteText"/>
      </w:pPr>
      <w:r>
        <w:rPr>
          <w:rStyle w:val="FootnoteReference"/>
        </w:rPr>
        <w:footnoteRef/>
      </w:r>
      <w:r w:rsidRPr="002866E5">
        <w:tab/>
        <w:t>Dz.U. C […] z […], s. […].</w:t>
      </w:r>
    </w:p>
  </w:footnote>
  <w:footnote w:id="15">
    <w:p w14:paraId="67ED8CDC" w14:textId="77777777" w:rsidR="009C20DD" w:rsidRPr="002866E5" w:rsidRDefault="009C20DD" w:rsidP="00881943">
      <w:pPr>
        <w:pStyle w:val="FootnoteText"/>
      </w:pPr>
      <w:r>
        <w:rPr>
          <w:rStyle w:val="FootnoteReference"/>
        </w:rPr>
        <w:footnoteRef/>
      </w:r>
      <w:r w:rsidRPr="002866E5">
        <w:tab/>
        <w:t>Dz.U. C […] z […], s. […].</w:t>
      </w:r>
    </w:p>
  </w:footnote>
  <w:footnote w:id="16">
    <w:p w14:paraId="67ED8CDD" w14:textId="62439591" w:rsidR="009C20DD" w:rsidRPr="002866E5" w:rsidRDefault="009C20DD" w:rsidP="00A942E5">
      <w:pPr>
        <w:pStyle w:val="FootnoteText"/>
      </w:pPr>
      <w:r>
        <w:rPr>
          <w:rStyle w:val="FootnoteReference"/>
        </w:rPr>
        <w:footnoteRef/>
      </w:r>
      <w:r w:rsidRPr="002866E5">
        <w:tab/>
        <w:t>Rozporządzenie Parlamentu Europejskiego</w:t>
      </w:r>
      <w:r w:rsidR="008B35E8" w:rsidRPr="002866E5">
        <w:t xml:space="preserve"> i</w:t>
      </w:r>
      <w:r w:rsidR="008B35E8">
        <w:t> </w:t>
      </w:r>
      <w:r w:rsidR="008B35E8" w:rsidRPr="002866E5">
        <w:t>Rad</w:t>
      </w:r>
      <w:r w:rsidRPr="002866E5">
        <w:t>y (UE) 2019/881</w:t>
      </w:r>
      <w:r w:rsidR="008B35E8" w:rsidRPr="002866E5">
        <w:t xml:space="preserve"> z</w:t>
      </w:r>
      <w:r w:rsidR="008B35E8">
        <w:t> </w:t>
      </w:r>
      <w:r w:rsidR="008B35E8" w:rsidRPr="002866E5">
        <w:t>dni</w:t>
      </w:r>
      <w:r w:rsidRPr="002866E5">
        <w:t>a 17 kwietnia 20</w:t>
      </w:r>
      <w:r w:rsidRPr="008B35E8">
        <w:t>19</w:t>
      </w:r>
      <w:r w:rsidR="008B35E8" w:rsidRPr="008B35E8">
        <w:t> </w:t>
      </w:r>
      <w:r w:rsidRPr="008B35E8">
        <w:t>r.</w:t>
      </w:r>
      <w:r w:rsidR="008B35E8" w:rsidRPr="002866E5">
        <w:t xml:space="preserve"> w</w:t>
      </w:r>
      <w:r w:rsidR="008B35E8">
        <w:t> </w:t>
      </w:r>
      <w:r w:rsidR="008B35E8" w:rsidRPr="002866E5">
        <w:t>spr</w:t>
      </w:r>
      <w:r w:rsidRPr="002866E5">
        <w:t>awie ENISA (Agencji Unii Europejskiej ds. Cyberbezpieczeństwa) oraz certyfikacji cyberbezpieczeństwa</w:t>
      </w:r>
      <w:r w:rsidR="008B35E8" w:rsidRPr="002866E5">
        <w:t xml:space="preserve"> w</w:t>
      </w:r>
      <w:r w:rsidR="008B35E8">
        <w:t> </w:t>
      </w:r>
      <w:r w:rsidR="008B35E8" w:rsidRPr="002866E5">
        <w:t>zak</w:t>
      </w:r>
      <w:r w:rsidRPr="002866E5">
        <w:t xml:space="preserve">resie technologii informacyjno-komunikacyjnych oraz uchylenia rozporządzenia (UE) </w:t>
      </w:r>
      <w:r w:rsidRPr="008B35E8">
        <w:t>nr</w:t>
      </w:r>
      <w:r w:rsidR="008B35E8" w:rsidRPr="008B35E8">
        <w:t> </w:t>
      </w:r>
      <w:r w:rsidRPr="008B35E8">
        <w:t>5</w:t>
      </w:r>
      <w:r w:rsidRPr="002866E5">
        <w:t>26/2013 (akt</w:t>
      </w:r>
      <w:r w:rsidR="008B35E8" w:rsidRPr="002866E5">
        <w:t xml:space="preserve"> o</w:t>
      </w:r>
      <w:r w:rsidR="008B35E8">
        <w:t> </w:t>
      </w:r>
      <w:r w:rsidR="008B35E8" w:rsidRPr="002866E5">
        <w:t>cyb</w:t>
      </w:r>
      <w:r w:rsidRPr="002866E5">
        <w:t>erbezpieczeństwie) (Dz.U. L 151</w:t>
      </w:r>
      <w:r w:rsidR="008B35E8" w:rsidRPr="002866E5">
        <w:t xml:space="preserve"> z</w:t>
      </w:r>
      <w:r w:rsidR="008B35E8">
        <w:t> </w:t>
      </w:r>
      <w:r w:rsidR="008B35E8" w:rsidRPr="002866E5">
        <w:t>7</w:t>
      </w:r>
      <w:r w:rsidRPr="002866E5">
        <w:t>.6.2019, s. 15).</w:t>
      </w:r>
    </w:p>
  </w:footnote>
  <w:footnote w:id="17">
    <w:p w14:paraId="67ED8CDE" w14:textId="77777777" w:rsidR="009C20DD" w:rsidRPr="001407BB" w:rsidRDefault="009C20DD" w:rsidP="00004188">
      <w:pPr>
        <w:pStyle w:val="FootnoteTextEP-LC1"/>
        <w:jc w:val="left"/>
        <w:rPr>
          <w:lang w:val="en-US"/>
        </w:rPr>
      </w:pPr>
      <w:r>
        <w:rPr>
          <w:rStyle w:val="FootnoteReference"/>
        </w:rPr>
        <w:footnoteRef/>
      </w:r>
      <w:r w:rsidRPr="001407BB">
        <w:rPr>
          <w:lang w:val="en-US"/>
        </w:rPr>
        <w:tab/>
        <w:t xml:space="preserve"> JOIN(2020) 18 final, </w:t>
      </w:r>
      <w:hyperlink r:id="rId2" w:history="1">
        <w:r w:rsidRPr="001407BB">
          <w:rPr>
            <w:rStyle w:val="Hyperlink"/>
            <w:lang w:val="en-US"/>
          </w:rPr>
          <w:t>https://eur-lex.europa.eu/legal-content/PL/ALL/?uri=JOIN:2020:18:FIN</w:t>
        </w:r>
      </w:hyperlink>
      <w:r w:rsidRPr="001407BB">
        <w:rPr>
          <w:lang w:val="en-US"/>
        </w:rPr>
        <w:t xml:space="preserve"> </w:t>
      </w:r>
    </w:p>
  </w:footnote>
  <w:footnote w:id="18">
    <w:p w14:paraId="67ED8CDF" w14:textId="77777777" w:rsidR="009C20DD" w:rsidRPr="002866E5" w:rsidRDefault="009C20DD" w:rsidP="00004188">
      <w:pPr>
        <w:pStyle w:val="FootnoteTextEP-LC1"/>
        <w:jc w:val="left"/>
      </w:pPr>
      <w:r>
        <w:rPr>
          <w:rStyle w:val="FootnoteReference"/>
        </w:rPr>
        <w:footnoteRef/>
      </w:r>
      <w:r w:rsidRPr="002866E5">
        <w:tab/>
        <w:t xml:space="preserve">2021/2568(RSP), </w:t>
      </w:r>
      <w:hyperlink r:id="rId3" w:history="1">
        <w:r w:rsidRPr="002866E5">
          <w:rPr>
            <w:rStyle w:val="Hyperlink"/>
          </w:rPr>
          <w:t>https://www.europarl.europa.eu/doceo/document/TA-9-2021-0286_PL.html</w:t>
        </w:r>
      </w:hyperlink>
      <w:r w:rsidRPr="002866E5">
        <w:t xml:space="preserve"> </w:t>
      </w:r>
    </w:p>
  </w:footnote>
  <w:footnote w:id="19">
    <w:p w14:paraId="0A9BF07D" w14:textId="0FDA2A9E" w:rsidR="009C20DD" w:rsidRPr="002866E5" w:rsidRDefault="009C20DD" w:rsidP="004176FD">
      <w:pPr>
        <w:pStyle w:val="FootnoteText"/>
      </w:pPr>
      <w:r>
        <w:rPr>
          <w:rStyle w:val="FootnoteReference"/>
        </w:rPr>
        <w:footnoteRef/>
      </w:r>
      <w:r w:rsidRPr="002866E5">
        <w:tab/>
        <w:t>Konferencja</w:t>
      </w:r>
      <w:r w:rsidR="008B35E8" w:rsidRPr="002866E5">
        <w:t xml:space="preserve"> w</w:t>
      </w:r>
      <w:r w:rsidR="008B35E8">
        <w:t> </w:t>
      </w:r>
      <w:r w:rsidR="008B35E8" w:rsidRPr="002866E5">
        <w:t>spr</w:t>
      </w:r>
      <w:r w:rsidRPr="002866E5">
        <w:t>awie przyszłości Europy – sprawozdanie</w:t>
      </w:r>
      <w:r w:rsidR="008B35E8" w:rsidRPr="002866E5">
        <w:t xml:space="preserve"> z</w:t>
      </w:r>
      <w:r w:rsidR="008B35E8">
        <w:t> </w:t>
      </w:r>
      <w:r w:rsidR="008B35E8" w:rsidRPr="002866E5">
        <w:t>wyn</w:t>
      </w:r>
      <w:r w:rsidRPr="002866E5">
        <w:t xml:space="preserve">ików końcowych, </w:t>
      </w:r>
      <w:r w:rsidRPr="008B35E8">
        <w:t>maj</w:t>
      </w:r>
      <w:r w:rsidR="008B35E8" w:rsidRPr="008B35E8">
        <w:t> </w:t>
      </w:r>
      <w:r w:rsidRPr="008B35E8">
        <w:t>2</w:t>
      </w:r>
      <w:r w:rsidRPr="002866E5">
        <w:t>0</w:t>
      </w:r>
      <w:r w:rsidRPr="008B35E8">
        <w:t>22</w:t>
      </w:r>
      <w:r w:rsidR="008B35E8" w:rsidRPr="008B35E8">
        <w:t> </w:t>
      </w:r>
      <w:r w:rsidRPr="008B35E8">
        <w:t>r.</w:t>
      </w:r>
      <w:r w:rsidRPr="002866E5">
        <w:t xml:space="preserve">, propozycja </w:t>
      </w:r>
      <w:r w:rsidRPr="008B35E8">
        <w:t>nr</w:t>
      </w:r>
      <w:r w:rsidR="008B35E8" w:rsidRPr="008B35E8">
        <w:t> </w:t>
      </w:r>
      <w:r w:rsidRPr="008B35E8">
        <w:t>2</w:t>
      </w:r>
      <w:r w:rsidRPr="002866E5">
        <w:t xml:space="preserve">8 </w:t>
      </w:r>
      <w:r w:rsidRPr="008B35E8">
        <w:t>pkt</w:t>
      </w:r>
      <w:r w:rsidR="008B35E8" w:rsidRPr="008B35E8">
        <w:t> </w:t>
      </w:r>
      <w:r w:rsidRPr="008B35E8">
        <w:t>2</w:t>
      </w:r>
      <w:r w:rsidRPr="002866E5">
        <w:t xml:space="preserve">. </w:t>
      </w:r>
      <w:r w:rsidRPr="002866E5">
        <w:rPr>
          <w:color w:val="000000"/>
          <w:shd w:val="clear" w:color="auto" w:fill="FFFFFF"/>
        </w:rPr>
        <w:t>Konferencja odbyła się</w:t>
      </w:r>
      <w:r w:rsidR="008B35E8" w:rsidRPr="002866E5">
        <w:rPr>
          <w:color w:val="000000"/>
          <w:shd w:val="clear" w:color="auto" w:fill="FFFFFF"/>
        </w:rPr>
        <w:t xml:space="preserve"> w</w:t>
      </w:r>
      <w:r w:rsidR="008B35E8">
        <w:rPr>
          <w:color w:val="000000"/>
          <w:shd w:val="clear" w:color="auto" w:fill="FFFFFF"/>
        </w:rPr>
        <w:t> </w:t>
      </w:r>
      <w:r w:rsidR="008B35E8" w:rsidRPr="002866E5">
        <w:rPr>
          <w:color w:val="000000"/>
          <w:shd w:val="clear" w:color="auto" w:fill="FFFFFF"/>
        </w:rPr>
        <w:t>okr</w:t>
      </w:r>
      <w:r w:rsidRPr="002866E5">
        <w:rPr>
          <w:color w:val="000000"/>
          <w:shd w:val="clear" w:color="auto" w:fill="FFFFFF"/>
        </w:rPr>
        <w:t>esie od kwietnia 20</w:t>
      </w:r>
      <w:r w:rsidRPr="008B35E8">
        <w:rPr>
          <w:color w:val="000000"/>
          <w:shd w:val="clear" w:color="auto" w:fill="FFFFFF"/>
        </w:rPr>
        <w:t>21</w:t>
      </w:r>
      <w:r w:rsidR="008B35E8" w:rsidRPr="008B35E8">
        <w:rPr>
          <w:color w:val="000000"/>
          <w:shd w:val="clear" w:color="auto" w:fill="FFFFFF"/>
        </w:rPr>
        <w:t> </w:t>
      </w:r>
      <w:r w:rsidRPr="008B35E8">
        <w:rPr>
          <w:color w:val="000000"/>
          <w:shd w:val="clear" w:color="auto" w:fill="FFFFFF"/>
        </w:rPr>
        <w:t>r.</w:t>
      </w:r>
      <w:r w:rsidRPr="002866E5">
        <w:rPr>
          <w:color w:val="000000"/>
          <w:shd w:val="clear" w:color="auto" w:fill="FFFFFF"/>
        </w:rPr>
        <w:t xml:space="preserve"> do maja 20</w:t>
      </w:r>
      <w:r w:rsidRPr="008B35E8">
        <w:rPr>
          <w:color w:val="000000"/>
          <w:shd w:val="clear" w:color="auto" w:fill="FFFFFF"/>
        </w:rPr>
        <w:t>22</w:t>
      </w:r>
      <w:r w:rsidR="008B35E8" w:rsidRPr="008B35E8">
        <w:rPr>
          <w:color w:val="000000"/>
          <w:shd w:val="clear" w:color="auto" w:fill="FFFFFF"/>
        </w:rPr>
        <w:t> </w:t>
      </w:r>
      <w:r w:rsidRPr="008B35E8">
        <w:rPr>
          <w:color w:val="000000"/>
          <w:shd w:val="clear" w:color="auto" w:fill="FFFFFF"/>
        </w:rPr>
        <w:t>r.</w:t>
      </w:r>
      <w:r w:rsidRPr="002866E5">
        <w:rPr>
          <w:color w:val="000000"/>
          <w:shd w:val="clear" w:color="auto" w:fill="FFFFFF"/>
        </w:rPr>
        <w:t xml:space="preserve"> Było to wyjątkowe, oddolne działanie</w:t>
      </w:r>
      <w:r w:rsidR="008B35E8" w:rsidRPr="002866E5">
        <w:t xml:space="preserve"> z</w:t>
      </w:r>
      <w:r w:rsidR="008B35E8">
        <w:t> </w:t>
      </w:r>
      <w:r w:rsidR="008B35E8" w:rsidRPr="002866E5">
        <w:t>zak</w:t>
      </w:r>
      <w:r w:rsidRPr="002866E5">
        <w:t>resu demokracji deliberatywnej na szczeblu paneuropejskim,</w:t>
      </w:r>
      <w:r w:rsidR="008B35E8" w:rsidRPr="002866E5">
        <w:t xml:space="preserve"> w</w:t>
      </w:r>
      <w:r w:rsidR="008B35E8">
        <w:t> </w:t>
      </w:r>
      <w:r w:rsidR="008B35E8" w:rsidRPr="002866E5">
        <w:t>któ</w:t>
      </w:r>
      <w:r w:rsidRPr="002866E5">
        <w:t>rym udział wzięły tysiące obywateli UE,</w:t>
      </w:r>
      <w:r w:rsidR="008B35E8" w:rsidRPr="002866E5">
        <w:t xml:space="preserve"> a</w:t>
      </w:r>
      <w:r w:rsidR="008B35E8">
        <w:t> </w:t>
      </w:r>
      <w:r w:rsidR="008B35E8" w:rsidRPr="002866E5">
        <w:t>tak</w:t>
      </w:r>
      <w:r w:rsidRPr="002866E5">
        <w:t>że podmioty polityczne, partnerzy społeczni, przedstawiciele społeczeństwa obywatelskiego</w:t>
      </w:r>
      <w:r w:rsidR="008B35E8" w:rsidRPr="002866E5">
        <w:t xml:space="preserve"> i</w:t>
      </w:r>
      <w:r w:rsidR="008B35E8">
        <w:t> </w:t>
      </w:r>
      <w:r w:rsidR="008B35E8" w:rsidRPr="002866E5">
        <w:t>naj</w:t>
      </w:r>
      <w:r w:rsidRPr="002866E5">
        <w:t>ważniejsze zainteresowane strony</w:t>
      </w:r>
      <w:r w:rsidRPr="002866E5">
        <w:rPr>
          <w:color w:val="000000"/>
          <w:shd w:val="clear" w:color="auto" w:fill="FFFFFF"/>
        </w:rPr>
        <w:t>.</w:t>
      </w:r>
    </w:p>
  </w:footnote>
  <w:footnote w:id="20">
    <w:p w14:paraId="67ED8CE0" w14:textId="76547986" w:rsidR="009C20DD" w:rsidRPr="002866E5" w:rsidRDefault="009C20DD" w:rsidP="00A40CF7">
      <w:pPr>
        <w:pStyle w:val="FootnoteText"/>
        <w:ind w:left="709" w:hanging="709"/>
      </w:pPr>
      <w:r>
        <w:rPr>
          <w:rStyle w:val="FootnoteReference"/>
        </w:rPr>
        <w:footnoteRef/>
      </w:r>
      <w:r w:rsidRPr="002866E5">
        <w:tab/>
        <w:t>Rozporządzenie Parlamentu Europejskiego</w:t>
      </w:r>
      <w:r w:rsidR="008B35E8" w:rsidRPr="002866E5">
        <w:t xml:space="preserve"> i</w:t>
      </w:r>
      <w:r w:rsidR="008B35E8">
        <w:t> </w:t>
      </w:r>
      <w:r w:rsidR="008B35E8" w:rsidRPr="002866E5">
        <w:t>Rad</w:t>
      </w:r>
      <w:r w:rsidRPr="002866E5">
        <w:t>y (UE) 2017/745</w:t>
      </w:r>
      <w:r w:rsidR="008B35E8" w:rsidRPr="002866E5">
        <w:t xml:space="preserve"> z</w:t>
      </w:r>
      <w:r w:rsidR="008B35E8">
        <w:t> </w:t>
      </w:r>
      <w:r w:rsidR="008B35E8" w:rsidRPr="002866E5">
        <w:t>dni</w:t>
      </w:r>
      <w:r w:rsidRPr="002866E5">
        <w:t>a 5 kwietnia 20</w:t>
      </w:r>
      <w:r w:rsidRPr="008B35E8">
        <w:t>17</w:t>
      </w:r>
      <w:r w:rsidR="008B35E8" w:rsidRPr="008B35E8">
        <w:t> </w:t>
      </w:r>
      <w:r w:rsidRPr="008B35E8">
        <w:t>r.</w:t>
      </w:r>
      <w:r w:rsidR="008B35E8" w:rsidRPr="002866E5">
        <w:t xml:space="preserve"> w</w:t>
      </w:r>
      <w:r w:rsidR="008B35E8">
        <w:t> </w:t>
      </w:r>
      <w:r w:rsidR="008B35E8" w:rsidRPr="002866E5">
        <w:t>spr</w:t>
      </w:r>
      <w:r w:rsidRPr="002866E5">
        <w:t xml:space="preserve">awie wyrobów medycznych, zmiany dyrektywy 2001/83/WE, rozporządzenia (WE) </w:t>
      </w:r>
      <w:r w:rsidRPr="008B35E8">
        <w:t>nr</w:t>
      </w:r>
      <w:r w:rsidR="008B35E8" w:rsidRPr="008B35E8">
        <w:t> </w:t>
      </w:r>
      <w:r w:rsidRPr="008B35E8">
        <w:t>1</w:t>
      </w:r>
      <w:r w:rsidRPr="002866E5">
        <w:t>78/2002</w:t>
      </w:r>
      <w:r w:rsidR="008B35E8" w:rsidRPr="002866E5">
        <w:t xml:space="preserve"> i</w:t>
      </w:r>
      <w:r w:rsidR="008B35E8">
        <w:t> </w:t>
      </w:r>
      <w:r w:rsidR="008B35E8" w:rsidRPr="002866E5">
        <w:t>roz</w:t>
      </w:r>
      <w:r w:rsidRPr="002866E5">
        <w:t xml:space="preserve">porządzenia (WE) </w:t>
      </w:r>
      <w:r w:rsidRPr="008B35E8">
        <w:t>nr</w:t>
      </w:r>
      <w:r w:rsidR="008B35E8" w:rsidRPr="008B35E8">
        <w:t> </w:t>
      </w:r>
      <w:r w:rsidRPr="008B35E8">
        <w:t>1</w:t>
      </w:r>
      <w:r w:rsidRPr="002866E5">
        <w:t>223/2009 oraz uchylenia dyrektyw Rady 90/385/EWG</w:t>
      </w:r>
      <w:r w:rsidR="008B35E8" w:rsidRPr="002866E5">
        <w:t xml:space="preserve"> i</w:t>
      </w:r>
      <w:r w:rsidR="008B35E8">
        <w:t> </w:t>
      </w:r>
      <w:r w:rsidR="008B35E8" w:rsidRPr="002866E5">
        <w:t>9</w:t>
      </w:r>
      <w:r w:rsidRPr="002866E5">
        <w:t>3/42/EWG (Dz.U. L 117</w:t>
      </w:r>
      <w:r w:rsidR="008B35E8" w:rsidRPr="002866E5">
        <w:t xml:space="preserve"> z</w:t>
      </w:r>
      <w:r w:rsidR="008B35E8">
        <w:t> </w:t>
      </w:r>
      <w:r w:rsidR="008B35E8" w:rsidRPr="002866E5">
        <w:t>5</w:t>
      </w:r>
      <w:r w:rsidRPr="002866E5">
        <w:t>.5.2017, s. 1).</w:t>
      </w:r>
    </w:p>
  </w:footnote>
  <w:footnote w:id="21">
    <w:p w14:paraId="67ED8CE1" w14:textId="37879F79" w:rsidR="009C20DD" w:rsidRPr="002866E5" w:rsidRDefault="009C20DD">
      <w:pPr>
        <w:pStyle w:val="FootnoteText"/>
      </w:pPr>
      <w:r>
        <w:rPr>
          <w:rStyle w:val="FootnoteReference"/>
        </w:rPr>
        <w:footnoteRef/>
      </w:r>
      <w:r w:rsidRPr="002866E5">
        <w:tab/>
        <w:t>Rozporządzenie Parlamentu Europejskiego</w:t>
      </w:r>
      <w:r w:rsidR="008B35E8" w:rsidRPr="002866E5">
        <w:t xml:space="preserve"> i</w:t>
      </w:r>
      <w:r w:rsidR="008B35E8">
        <w:t> </w:t>
      </w:r>
      <w:r w:rsidR="008B35E8" w:rsidRPr="002866E5">
        <w:t>Rad</w:t>
      </w:r>
      <w:r w:rsidRPr="002866E5">
        <w:t>y (UE) 2017/746</w:t>
      </w:r>
      <w:r w:rsidR="008B35E8" w:rsidRPr="002866E5">
        <w:t xml:space="preserve"> z</w:t>
      </w:r>
      <w:r w:rsidR="008B35E8">
        <w:t> </w:t>
      </w:r>
      <w:r w:rsidR="008B35E8" w:rsidRPr="002866E5">
        <w:t>dni</w:t>
      </w:r>
      <w:r w:rsidRPr="002866E5">
        <w:t>a 5 kwietnia 20</w:t>
      </w:r>
      <w:r w:rsidRPr="008B35E8">
        <w:t>17</w:t>
      </w:r>
      <w:r w:rsidR="008B35E8" w:rsidRPr="008B35E8">
        <w:t> </w:t>
      </w:r>
      <w:r w:rsidRPr="008B35E8">
        <w:t>r.</w:t>
      </w:r>
      <w:r w:rsidR="008B35E8" w:rsidRPr="002866E5">
        <w:t xml:space="preserve"> w</w:t>
      </w:r>
      <w:r w:rsidR="008B35E8">
        <w:t> </w:t>
      </w:r>
      <w:r w:rsidR="008B35E8" w:rsidRPr="002866E5">
        <w:t>spr</w:t>
      </w:r>
      <w:r w:rsidRPr="002866E5">
        <w:t xml:space="preserve">awie wyrobów medycznych do diagnostyki </w:t>
      </w:r>
      <w:r w:rsidRPr="002866E5">
        <w:rPr>
          <w:i/>
          <w:iCs/>
        </w:rPr>
        <w:t>in vitro</w:t>
      </w:r>
      <w:r w:rsidRPr="002866E5">
        <w:t xml:space="preserve"> oraz uchylenia dyrektywy 98/79/WE</w:t>
      </w:r>
      <w:r w:rsidR="008B35E8" w:rsidRPr="002866E5">
        <w:t xml:space="preserve"> i</w:t>
      </w:r>
      <w:r w:rsidR="008B35E8">
        <w:t> </w:t>
      </w:r>
      <w:r w:rsidR="008B35E8" w:rsidRPr="002866E5">
        <w:t>dec</w:t>
      </w:r>
      <w:r w:rsidRPr="002866E5">
        <w:t>yzji Komisji 2010/227/UE (Dz.U. L 117</w:t>
      </w:r>
      <w:r w:rsidR="008B35E8" w:rsidRPr="002866E5">
        <w:t xml:space="preserve"> z</w:t>
      </w:r>
      <w:r w:rsidR="008B35E8">
        <w:t> </w:t>
      </w:r>
      <w:r w:rsidR="008B35E8" w:rsidRPr="002866E5">
        <w:t>5</w:t>
      </w:r>
      <w:r w:rsidRPr="002866E5">
        <w:t>.5.2017, s. 176).</w:t>
      </w:r>
    </w:p>
  </w:footnote>
  <w:footnote w:id="22">
    <w:p w14:paraId="67ED8CE2" w14:textId="54C5E3F6" w:rsidR="009C20DD" w:rsidRPr="002866E5" w:rsidRDefault="009C20DD">
      <w:pPr>
        <w:pStyle w:val="FootnoteText"/>
      </w:pPr>
      <w:r>
        <w:rPr>
          <w:rStyle w:val="FootnoteReference"/>
        </w:rPr>
        <w:footnoteRef/>
      </w:r>
      <w:r w:rsidRPr="002866E5">
        <w:tab/>
        <w:t xml:space="preserve">Dokument MDCG 2019-16 zatwierdzony przez Grupę Koordynacyjną ds. Wyrobów Medycznych (MDCG) powołaną na mocy </w:t>
      </w:r>
      <w:r w:rsidRPr="008B35E8">
        <w:t>art.</w:t>
      </w:r>
      <w:r w:rsidR="008B35E8" w:rsidRPr="008B35E8">
        <w:t> </w:t>
      </w:r>
      <w:r w:rsidRPr="008B35E8">
        <w:t>1</w:t>
      </w:r>
      <w:r w:rsidRPr="002866E5">
        <w:t xml:space="preserve">03 rozporządzenia (UE) 2017/745. </w:t>
      </w:r>
    </w:p>
  </w:footnote>
  <w:footnote w:id="23">
    <w:p w14:paraId="67ED8CE3" w14:textId="03E890FC" w:rsidR="009C20DD" w:rsidRPr="002866E5" w:rsidRDefault="009C20DD" w:rsidP="00C27958">
      <w:pPr>
        <w:pStyle w:val="FootnoteText"/>
      </w:pPr>
      <w:r>
        <w:rPr>
          <w:rStyle w:val="FootnoteReference"/>
        </w:rPr>
        <w:footnoteRef/>
      </w:r>
      <w:r w:rsidRPr="002866E5">
        <w:tab/>
        <w:t>Rozporządzenie Parlamentu Europejskiego</w:t>
      </w:r>
      <w:r w:rsidR="008B35E8" w:rsidRPr="002866E5">
        <w:t xml:space="preserve"> i</w:t>
      </w:r>
      <w:r w:rsidR="008B35E8">
        <w:t> </w:t>
      </w:r>
      <w:r w:rsidR="008B35E8" w:rsidRPr="002866E5">
        <w:t>Rad</w:t>
      </w:r>
      <w:r w:rsidRPr="002866E5">
        <w:t>y (UE) 2019/2144</w:t>
      </w:r>
      <w:r w:rsidR="008B35E8" w:rsidRPr="002866E5">
        <w:t xml:space="preserve"> z</w:t>
      </w:r>
      <w:r w:rsidR="008B35E8">
        <w:t> </w:t>
      </w:r>
      <w:r w:rsidR="008B35E8" w:rsidRPr="002866E5">
        <w:t>dni</w:t>
      </w:r>
      <w:r w:rsidRPr="002866E5">
        <w:t>a 27 listopada 20</w:t>
      </w:r>
      <w:r w:rsidRPr="008B35E8">
        <w:t>19</w:t>
      </w:r>
      <w:r w:rsidR="008B35E8" w:rsidRPr="008B35E8">
        <w:t> </w:t>
      </w:r>
      <w:r w:rsidRPr="008B35E8">
        <w:t>r.</w:t>
      </w:r>
      <w:r w:rsidR="008B35E8" w:rsidRPr="002866E5">
        <w:t xml:space="preserve"> w</w:t>
      </w:r>
      <w:r w:rsidR="008B35E8">
        <w:t> </w:t>
      </w:r>
      <w:r w:rsidR="008B35E8" w:rsidRPr="002866E5">
        <w:t>spr</w:t>
      </w:r>
      <w:r w:rsidRPr="002866E5">
        <w:t>awie wymogów dotyczących homologacji typu pojazdów silnikowych</w:t>
      </w:r>
      <w:r w:rsidR="008B35E8" w:rsidRPr="002866E5">
        <w:t xml:space="preserve"> i</w:t>
      </w:r>
      <w:r w:rsidR="008B35E8">
        <w:t> </w:t>
      </w:r>
      <w:r w:rsidR="008B35E8" w:rsidRPr="002866E5">
        <w:t>ich</w:t>
      </w:r>
      <w:r w:rsidRPr="002866E5">
        <w:t xml:space="preserve"> przyczep oraz układów, komponentów</w:t>
      </w:r>
      <w:r w:rsidR="008B35E8" w:rsidRPr="002866E5">
        <w:t xml:space="preserve"> i</w:t>
      </w:r>
      <w:r w:rsidR="008B35E8">
        <w:t> </w:t>
      </w:r>
      <w:r w:rsidR="008B35E8" w:rsidRPr="002866E5">
        <w:t>odd</w:t>
      </w:r>
      <w:r w:rsidRPr="002866E5">
        <w:t>zielnych zespołów technicznych przeznaczonych do tych pojazdów,</w:t>
      </w:r>
      <w:r w:rsidR="008B35E8" w:rsidRPr="002866E5">
        <w:t xml:space="preserve"> w</w:t>
      </w:r>
      <w:r w:rsidR="008B35E8">
        <w:t> </w:t>
      </w:r>
      <w:r w:rsidR="008B35E8" w:rsidRPr="002866E5">
        <w:t>odn</w:t>
      </w:r>
      <w:r w:rsidRPr="002866E5">
        <w:t>iesieniu do ich ogólnego bezpieczeństwa oraz ochrony osób znajdujących się</w:t>
      </w:r>
      <w:r w:rsidR="008B35E8" w:rsidRPr="002866E5">
        <w:t xml:space="preserve"> w</w:t>
      </w:r>
      <w:r w:rsidR="008B35E8">
        <w:t> </w:t>
      </w:r>
      <w:r w:rsidR="008B35E8" w:rsidRPr="002866E5">
        <w:t>poj</w:t>
      </w:r>
      <w:r w:rsidRPr="002866E5">
        <w:t>eździe</w:t>
      </w:r>
      <w:r w:rsidR="008B35E8" w:rsidRPr="002866E5">
        <w:t xml:space="preserve"> i</w:t>
      </w:r>
      <w:r w:rsidR="008B35E8">
        <w:t> </w:t>
      </w:r>
      <w:r w:rsidR="008B35E8" w:rsidRPr="002866E5">
        <w:t>nie</w:t>
      </w:r>
      <w:r w:rsidRPr="002866E5">
        <w:t>chronionych uczestników ruchu drogowego, zmieniające rozporządzenie Parlamentu Europejskiego</w:t>
      </w:r>
      <w:r w:rsidR="008B35E8" w:rsidRPr="002866E5">
        <w:t xml:space="preserve"> i</w:t>
      </w:r>
      <w:r w:rsidR="008B35E8">
        <w:t> </w:t>
      </w:r>
      <w:r w:rsidR="008B35E8" w:rsidRPr="002866E5">
        <w:t>Rad</w:t>
      </w:r>
      <w:r w:rsidRPr="002866E5">
        <w:t>y (UE) 2018/858 oraz uchylające rozporządzenia Parlamentu Europejskiego</w:t>
      </w:r>
      <w:r w:rsidR="008B35E8" w:rsidRPr="002866E5">
        <w:t xml:space="preserve"> i</w:t>
      </w:r>
      <w:r w:rsidR="008B35E8">
        <w:t> </w:t>
      </w:r>
      <w:r w:rsidR="008B35E8" w:rsidRPr="002866E5">
        <w:t>Rad</w:t>
      </w:r>
      <w:r w:rsidRPr="002866E5">
        <w:t xml:space="preserve">y (WE) </w:t>
      </w:r>
      <w:r w:rsidRPr="008B35E8">
        <w:t>nr</w:t>
      </w:r>
      <w:r w:rsidR="008B35E8" w:rsidRPr="008B35E8">
        <w:t> </w:t>
      </w:r>
      <w:r w:rsidRPr="008B35E8">
        <w:t>7</w:t>
      </w:r>
      <w:r w:rsidRPr="002866E5">
        <w:t xml:space="preserve">8/2009, (WE) </w:t>
      </w:r>
      <w:r w:rsidRPr="008B35E8">
        <w:t>nr</w:t>
      </w:r>
      <w:r w:rsidR="008B35E8" w:rsidRPr="008B35E8">
        <w:t> </w:t>
      </w:r>
      <w:r w:rsidRPr="008B35E8">
        <w:t>7</w:t>
      </w:r>
      <w:r w:rsidRPr="002866E5">
        <w:t xml:space="preserve">9/2009 i (WE) </w:t>
      </w:r>
      <w:r w:rsidRPr="008B35E8">
        <w:t>nr</w:t>
      </w:r>
      <w:r w:rsidR="008B35E8" w:rsidRPr="008B35E8">
        <w:t> </w:t>
      </w:r>
      <w:r w:rsidRPr="008B35E8">
        <w:t>6</w:t>
      </w:r>
      <w:r w:rsidRPr="002866E5">
        <w:t xml:space="preserve">61/2009 oraz rozporządzenia Komisji (WE) </w:t>
      </w:r>
      <w:r w:rsidRPr="008B35E8">
        <w:t>nr</w:t>
      </w:r>
      <w:r w:rsidR="008B35E8" w:rsidRPr="008B35E8">
        <w:t> </w:t>
      </w:r>
      <w:r w:rsidRPr="008B35E8">
        <w:t>6</w:t>
      </w:r>
      <w:r w:rsidRPr="002866E5">
        <w:t xml:space="preserve">31/2009, (UE) </w:t>
      </w:r>
      <w:r w:rsidRPr="008B35E8">
        <w:t>nr</w:t>
      </w:r>
      <w:r w:rsidR="008B35E8" w:rsidRPr="008B35E8">
        <w:t> </w:t>
      </w:r>
      <w:r w:rsidRPr="008B35E8">
        <w:t>4</w:t>
      </w:r>
      <w:r w:rsidRPr="002866E5">
        <w:t xml:space="preserve">06/2010, (UE) </w:t>
      </w:r>
      <w:r w:rsidRPr="008B35E8">
        <w:t>nr</w:t>
      </w:r>
      <w:r w:rsidR="008B35E8" w:rsidRPr="008B35E8">
        <w:t> </w:t>
      </w:r>
      <w:r w:rsidRPr="008B35E8">
        <w:t>6</w:t>
      </w:r>
      <w:r w:rsidRPr="002866E5">
        <w:t xml:space="preserve">72/2010, (UE) </w:t>
      </w:r>
      <w:r w:rsidRPr="008B35E8">
        <w:t>nr</w:t>
      </w:r>
      <w:r w:rsidR="008B35E8" w:rsidRPr="008B35E8">
        <w:t> </w:t>
      </w:r>
      <w:r w:rsidRPr="008B35E8">
        <w:t>1</w:t>
      </w:r>
      <w:r w:rsidRPr="002866E5">
        <w:t xml:space="preserve">003/2010, (UE) </w:t>
      </w:r>
      <w:r w:rsidRPr="008B35E8">
        <w:t>nr</w:t>
      </w:r>
      <w:r w:rsidR="008B35E8" w:rsidRPr="008B35E8">
        <w:t> </w:t>
      </w:r>
      <w:r w:rsidRPr="008B35E8">
        <w:t>1</w:t>
      </w:r>
      <w:r w:rsidRPr="002866E5">
        <w:t xml:space="preserve">005/2010, (UE) </w:t>
      </w:r>
      <w:r w:rsidRPr="008B35E8">
        <w:t>nr</w:t>
      </w:r>
      <w:r w:rsidR="008B35E8" w:rsidRPr="008B35E8">
        <w:t> </w:t>
      </w:r>
      <w:r w:rsidRPr="008B35E8">
        <w:t>1</w:t>
      </w:r>
      <w:r w:rsidRPr="002866E5">
        <w:t xml:space="preserve">008/2010, (UE) </w:t>
      </w:r>
      <w:r w:rsidRPr="008B35E8">
        <w:t>nr</w:t>
      </w:r>
      <w:r w:rsidR="008B35E8" w:rsidRPr="008B35E8">
        <w:t> </w:t>
      </w:r>
      <w:r w:rsidRPr="008B35E8">
        <w:t>1</w:t>
      </w:r>
      <w:r w:rsidRPr="002866E5">
        <w:t xml:space="preserve">009/2010, (UE) </w:t>
      </w:r>
      <w:r w:rsidRPr="008B35E8">
        <w:t>nr</w:t>
      </w:r>
      <w:r w:rsidR="008B35E8" w:rsidRPr="008B35E8">
        <w:t> </w:t>
      </w:r>
      <w:r w:rsidRPr="008B35E8">
        <w:t>1</w:t>
      </w:r>
      <w:r w:rsidRPr="002866E5">
        <w:t xml:space="preserve">9/2011, (UE) </w:t>
      </w:r>
      <w:r w:rsidRPr="008B35E8">
        <w:t>nr</w:t>
      </w:r>
      <w:r w:rsidR="008B35E8" w:rsidRPr="008B35E8">
        <w:t> </w:t>
      </w:r>
      <w:r w:rsidRPr="008B35E8">
        <w:t>1</w:t>
      </w:r>
      <w:r w:rsidRPr="002866E5">
        <w:t xml:space="preserve">09/2011, (UE) </w:t>
      </w:r>
      <w:r w:rsidRPr="008B35E8">
        <w:t>nr</w:t>
      </w:r>
      <w:r w:rsidR="008B35E8" w:rsidRPr="008B35E8">
        <w:t> </w:t>
      </w:r>
      <w:r w:rsidRPr="008B35E8">
        <w:t>4</w:t>
      </w:r>
      <w:r w:rsidRPr="002866E5">
        <w:t xml:space="preserve">58/2011, (UE) </w:t>
      </w:r>
      <w:r w:rsidRPr="008B35E8">
        <w:t>nr</w:t>
      </w:r>
      <w:r w:rsidR="008B35E8" w:rsidRPr="008B35E8">
        <w:t> </w:t>
      </w:r>
      <w:r w:rsidRPr="008B35E8">
        <w:t>6</w:t>
      </w:r>
      <w:r w:rsidRPr="002866E5">
        <w:t xml:space="preserve">5/2012, (UE) </w:t>
      </w:r>
      <w:r w:rsidRPr="008B35E8">
        <w:t>nr</w:t>
      </w:r>
      <w:r w:rsidR="008B35E8" w:rsidRPr="008B35E8">
        <w:t> </w:t>
      </w:r>
      <w:r w:rsidRPr="008B35E8">
        <w:t>1</w:t>
      </w:r>
      <w:r w:rsidRPr="002866E5">
        <w:t xml:space="preserve">30/2012, (UE) </w:t>
      </w:r>
      <w:r w:rsidRPr="008B35E8">
        <w:t>nr</w:t>
      </w:r>
      <w:r w:rsidR="008B35E8" w:rsidRPr="008B35E8">
        <w:t> </w:t>
      </w:r>
      <w:r w:rsidRPr="008B35E8">
        <w:t>3</w:t>
      </w:r>
      <w:r w:rsidRPr="002866E5">
        <w:t xml:space="preserve">47/2012, (UE) </w:t>
      </w:r>
      <w:r w:rsidRPr="008B35E8">
        <w:t>nr</w:t>
      </w:r>
      <w:r w:rsidR="008B35E8" w:rsidRPr="008B35E8">
        <w:t> </w:t>
      </w:r>
      <w:r w:rsidRPr="008B35E8">
        <w:t>3</w:t>
      </w:r>
      <w:r w:rsidRPr="002866E5">
        <w:t xml:space="preserve">51/2012, (UE) </w:t>
      </w:r>
      <w:r w:rsidRPr="008B35E8">
        <w:t>nr</w:t>
      </w:r>
      <w:r w:rsidR="008B35E8" w:rsidRPr="008B35E8">
        <w:t> </w:t>
      </w:r>
      <w:r w:rsidRPr="008B35E8">
        <w:t>1</w:t>
      </w:r>
      <w:r w:rsidRPr="002866E5">
        <w:t>230/2012 i (UE) 2015/166 (</w:t>
      </w:r>
      <w:r w:rsidRPr="002866E5">
        <w:rPr>
          <w:rStyle w:val="Emphasis"/>
          <w:i w:val="0"/>
          <w:shd w:val="clear" w:color="auto" w:fill="FFFFFF"/>
        </w:rPr>
        <w:t>Dz.U. L 325</w:t>
      </w:r>
      <w:r w:rsidR="008B35E8" w:rsidRPr="002866E5">
        <w:rPr>
          <w:rStyle w:val="Emphasis"/>
          <w:i w:val="0"/>
          <w:shd w:val="clear" w:color="auto" w:fill="FFFFFF"/>
        </w:rPr>
        <w:t xml:space="preserve"> z</w:t>
      </w:r>
      <w:r w:rsidR="008B35E8">
        <w:rPr>
          <w:rStyle w:val="Emphasis"/>
          <w:i w:val="0"/>
          <w:shd w:val="clear" w:color="auto" w:fill="FFFFFF"/>
        </w:rPr>
        <w:t> </w:t>
      </w:r>
      <w:r w:rsidR="008B35E8" w:rsidRPr="002866E5">
        <w:rPr>
          <w:rStyle w:val="Emphasis"/>
          <w:i w:val="0"/>
          <w:shd w:val="clear" w:color="auto" w:fill="FFFFFF"/>
        </w:rPr>
        <w:t>1</w:t>
      </w:r>
      <w:r w:rsidRPr="002866E5">
        <w:rPr>
          <w:rStyle w:val="Emphasis"/>
          <w:i w:val="0"/>
          <w:shd w:val="clear" w:color="auto" w:fill="FFFFFF"/>
        </w:rPr>
        <w:t>6.12.2019, s. 1).</w:t>
      </w:r>
    </w:p>
  </w:footnote>
  <w:footnote w:id="24">
    <w:p w14:paraId="67ED8CE4" w14:textId="63A90646" w:rsidR="009C20DD" w:rsidRPr="002866E5" w:rsidRDefault="009C20DD">
      <w:pPr>
        <w:pStyle w:val="FootnoteText"/>
      </w:pPr>
      <w:r>
        <w:rPr>
          <w:rStyle w:val="FootnoteReference"/>
        </w:rPr>
        <w:footnoteRef/>
      </w:r>
      <w:r w:rsidRPr="002866E5">
        <w:tab/>
        <w:t xml:space="preserve">Regulamin ONZ </w:t>
      </w:r>
      <w:r w:rsidRPr="008B35E8">
        <w:t>nr</w:t>
      </w:r>
      <w:r w:rsidR="008B35E8" w:rsidRPr="008B35E8">
        <w:t> </w:t>
      </w:r>
      <w:r w:rsidRPr="008B35E8">
        <w:t>1</w:t>
      </w:r>
      <w:r w:rsidRPr="002866E5">
        <w:t>55 – Jednolite przepisy dotyczące homologacji pojazdów</w:t>
      </w:r>
      <w:r w:rsidR="008B35E8" w:rsidRPr="002866E5">
        <w:t xml:space="preserve"> w</w:t>
      </w:r>
      <w:r w:rsidR="008B35E8">
        <w:t> </w:t>
      </w:r>
      <w:r w:rsidR="008B35E8" w:rsidRPr="002866E5">
        <w:t>zak</w:t>
      </w:r>
      <w:r w:rsidRPr="002866E5">
        <w:t>resie cyberbezpieczeństwa</w:t>
      </w:r>
      <w:r w:rsidR="008B35E8" w:rsidRPr="002866E5">
        <w:t xml:space="preserve"> i</w:t>
      </w:r>
      <w:r w:rsidR="008B35E8">
        <w:t> </w:t>
      </w:r>
      <w:r w:rsidR="008B35E8" w:rsidRPr="002866E5">
        <w:t>sys</w:t>
      </w:r>
      <w:r w:rsidRPr="002866E5">
        <w:t>temu zarządzania bezpieczeństwem [2021/387].</w:t>
      </w:r>
    </w:p>
  </w:footnote>
  <w:footnote w:id="25">
    <w:p w14:paraId="67ED8CE5" w14:textId="0FB8BE05" w:rsidR="009C20DD" w:rsidRPr="002866E5" w:rsidRDefault="009C20DD" w:rsidP="00813733">
      <w:pPr>
        <w:pStyle w:val="FootnoteText"/>
      </w:pPr>
      <w:r>
        <w:rPr>
          <w:rStyle w:val="FootnoteReference"/>
        </w:rPr>
        <w:footnoteRef/>
      </w:r>
      <w:r w:rsidRPr="002866E5">
        <w:tab/>
        <w:t>Rozporządzenie Parlamentu Europejskiego</w:t>
      </w:r>
      <w:r w:rsidR="008B35E8" w:rsidRPr="002866E5">
        <w:t xml:space="preserve"> i</w:t>
      </w:r>
      <w:r w:rsidR="008B35E8">
        <w:t> </w:t>
      </w:r>
      <w:r w:rsidR="008B35E8" w:rsidRPr="002866E5">
        <w:t>Rad</w:t>
      </w:r>
      <w:r w:rsidRPr="002866E5">
        <w:t>y (UE) 2018/1139</w:t>
      </w:r>
      <w:r w:rsidR="008B35E8" w:rsidRPr="002866E5">
        <w:t xml:space="preserve"> z</w:t>
      </w:r>
      <w:r w:rsidR="008B35E8">
        <w:t> </w:t>
      </w:r>
      <w:r w:rsidR="008B35E8" w:rsidRPr="002866E5">
        <w:t>dni</w:t>
      </w:r>
      <w:r w:rsidRPr="002866E5">
        <w:t>a 4 lipca 20</w:t>
      </w:r>
      <w:r w:rsidRPr="008B35E8">
        <w:t>18</w:t>
      </w:r>
      <w:r w:rsidR="008B35E8" w:rsidRPr="008B35E8">
        <w:t> </w:t>
      </w:r>
      <w:r w:rsidRPr="008B35E8">
        <w:t>r.</w:t>
      </w:r>
      <w:r w:rsidR="008B35E8" w:rsidRPr="002866E5">
        <w:t xml:space="preserve"> w</w:t>
      </w:r>
      <w:r w:rsidR="008B35E8">
        <w:t> </w:t>
      </w:r>
      <w:r w:rsidR="008B35E8" w:rsidRPr="002866E5">
        <w:t>spr</w:t>
      </w:r>
      <w:r w:rsidRPr="002866E5">
        <w:t>awie wspólnych zasad</w:t>
      </w:r>
      <w:r w:rsidR="008B35E8" w:rsidRPr="002866E5">
        <w:t xml:space="preserve"> w</w:t>
      </w:r>
      <w:r w:rsidR="008B35E8">
        <w:t> </w:t>
      </w:r>
      <w:r w:rsidR="008B35E8" w:rsidRPr="002866E5">
        <w:t>dzi</w:t>
      </w:r>
      <w:r w:rsidRPr="002866E5">
        <w:t>edzinie lotnictwa cywilnego</w:t>
      </w:r>
      <w:r w:rsidR="008B35E8" w:rsidRPr="002866E5">
        <w:t xml:space="preserve"> i</w:t>
      </w:r>
      <w:r w:rsidR="008B35E8">
        <w:t> </w:t>
      </w:r>
      <w:r w:rsidR="008B35E8" w:rsidRPr="002866E5">
        <w:t>utw</w:t>
      </w:r>
      <w:r w:rsidRPr="002866E5">
        <w:t>orzenia Agencji Unii Europejskiej ds. Bezpieczeństwa Lotniczego oraz zmieniające rozporządzenia Parlamentu Europejskiego</w:t>
      </w:r>
      <w:r w:rsidR="008B35E8" w:rsidRPr="002866E5">
        <w:t xml:space="preserve"> i</w:t>
      </w:r>
      <w:r w:rsidR="008B35E8">
        <w:t> </w:t>
      </w:r>
      <w:r w:rsidR="008B35E8" w:rsidRPr="002866E5">
        <w:t>Rad</w:t>
      </w:r>
      <w:r w:rsidRPr="002866E5">
        <w:t xml:space="preserve">y (WE) </w:t>
      </w:r>
      <w:r w:rsidRPr="008B35E8">
        <w:t>nr</w:t>
      </w:r>
      <w:r w:rsidR="008B35E8" w:rsidRPr="008B35E8">
        <w:t> </w:t>
      </w:r>
      <w:r w:rsidRPr="008B35E8">
        <w:t>2</w:t>
      </w:r>
      <w:r w:rsidRPr="002866E5">
        <w:t xml:space="preserve">111/2005, (WE) </w:t>
      </w:r>
      <w:r w:rsidRPr="008B35E8">
        <w:t>nr</w:t>
      </w:r>
      <w:r w:rsidR="008B35E8" w:rsidRPr="008B35E8">
        <w:t> </w:t>
      </w:r>
      <w:r w:rsidRPr="008B35E8">
        <w:t>1</w:t>
      </w:r>
      <w:r w:rsidRPr="002866E5">
        <w:t xml:space="preserve">008/2008, (UE) </w:t>
      </w:r>
      <w:r w:rsidRPr="008B35E8">
        <w:t>nr</w:t>
      </w:r>
      <w:r w:rsidR="008B35E8" w:rsidRPr="008B35E8">
        <w:t> </w:t>
      </w:r>
      <w:r w:rsidRPr="008B35E8">
        <w:t>9</w:t>
      </w:r>
      <w:r w:rsidRPr="002866E5">
        <w:t xml:space="preserve">96/2010, (UE) </w:t>
      </w:r>
      <w:r w:rsidRPr="008B35E8">
        <w:t>nr</w:t>
      </w:r>
      <w:r w:rsidR="008B35E8" w:rsidRPr="008B35E8">
        <w:t> </w:t>
      </w:r>
      <w:r w:rsidRPr="008B35E8">
        <w:t>3</w:t>
      </w:r>
      <w:r w:rsidRPr="002866E5">
        <w:t>76/2014</w:t>
      </w:r>
      <w:r w:rsidR="008B35E8" w:rsidRPr="002866E5">
        <w:t xml:space="preserve"> i</w:t>
      </w:r>
      <w:r w:rsidR="008B35E8">
        <w:t> </w:t>
      </w:r>
      <w:r w:rsidR="008B35E8" w:rsidRPr="002866E5">
        <w:t>dyr</w:t>
      </w:r>
      <w:r w:rsidRPr="002866E5">
        <w:t>ektywy Parlamentu Europejskiego</w:t>
      </w:r>
      <w:r w:rsidR="008B35E8" w:rsidRPr="002866E5">
        <w:t xml:space="preserve"> i</w:t>
      </w:r>
      <w:r w:rsidR="008B35E8">
        <w:t> </w:t>
      </w:r>
      <w:r w:rsidR="008B35E8" w:rsidRPr="002866E5">
        <w:t>Rad</w:t>
      </w:r>
      <w:r w:rsidRPr="002866E5">
        <w:t>y 2014/30/UE</w:t>
      </w:r>
      <w:r w:rsidR="008B35E8" w:rsidRPr="002866E5">
        <w:t xml:space="preserve"> i</w:t>
      </w:r>
      <w:r w:rsidR="008B35E8">
        <w:t> </w:t>
      </w:r>
      <w:r w:rsidR="008B35E8" w:rsidRPr="002866E5">
        <w:t>2</w:t>
      </w:r>
      <w:r w:rsidRPr="002866E5">
        <w:t>014/53/UE,</w:t>
      </w:r>
      <w:r w:rsidR="008B35E8" w:rsidRPr="002866E5">
        <w:t xml:space="preserve"> a</w:t>
      </w:r>
      <w:r w:rsidR="008B35E8">
        <w:t> </w:t>
      </w:r>
      <w:r w:rsidR="008B35E8" w:rsidRPr="002866E5">
        <w:t>tak</w:t>
      </w:r>
      <w:r w:rsidRPr="002866E5">
        <w:t>że uchylające rozporządzenia Parlamentu Europejskiego</w:t>
      </w:r>
      <w:r w:rsidR="008B35E8" w:rsidRPr="002866E5">
        <w:t xml:space="preserve"> i</w:t>
      </w:r>
      <w:r w:rsidR="008B35E8">
        <w:t> </w:t>
      </w:r>
      <w:r w:rsidR="008B35E8" w:rsidRPr="002866E5">
        <w:t>Rad</w:t>
      </w:r>
      <w:r w:rsidRPr="002866E5">
        <w:t xml:space="preserve">y (WE) </w:t>
      </w:r>
      <w:r w:rsidRPr="008B35E8">
        <w:t>nr</w:t>
      </w:r>
      <w:r w:rsidR="008B35E8" w:rsidRPr="008B35E8">
        <w:t> </w:t>
      </w:r>
      <w:r w:rsidRPr="008B35E8">
        <w:t>5</w:t>
      </w:r>
      <w:r w:rsidRPr="002866E5">
        <w:t xml:space="preserve">52/2004 i (WE) </w:t>
      </w:r>
      <w:r w:rsidRPr="008B35E8">
        <w:t>nr</w:t>
      </w:r>
      <w:r w:rsidR="008B35E8" w:rsidRPr="008B35E8">
        <w:t> </w:t>
      </w:r>
      <w:r w:rsidRPr="008B35E8">
        <w:t>2</w:t>
      </w:r>
      <w:r w:rsidRPr="002866E5">
        <w:t>16/2008</w:t>
      </w:r>
      <w:r w:rsidR="008B35E8" w:rsidRPr="002866E5">
        <w:t xml:space="preserve"> i</w:t>
      </w:r>
      <w:r w:rsidR="008B35E8">
        <w:t> </w:t>
      </w:r>
      <w:r w:rsidR="008B35E8" w:rsidRPr="002866E5">
        <w:t>roz</w:t>
      </w:r>
      <w:r w:rsidRPr="002866E5">
        <w:t xml:space="preserve">porządzenie Rady (EWG) </w:t>
      </w:r>
      <w:r w:rsidRPr="008B35E8">
        <w:t>nr</w:t>
      </w:r>
      <w:r w:rsidR="008B35E8" w:rsidRPr="008B35E8">
        <w:t> </w:t>
      </w:r>
      <w:r w:rsidRPr="008B35E8">
        <w:t>3</w:t>
      </w:r>
      <w:r w:rsidRPr="002866E5">
        <w:t>922/91 (Dz.U. L 212</w:t>
      </w:r>
      <w:r w:rsidR="008B35E8" w:rsidRPr="002866E5">
        <w:t xml:space="preserve"> z</w:t>
      </w:r>
      <w:r w:rsidR="008B35E8">
        <w:t> </w:t>
      </w:r>
      <w:r w:rsidR="008B35E8" w:rsidRPr="002866E5">
        <w:t>2</w:t>
      </w:r>
      <w:r w:rsidRPr="002866E5">
        <w:t>2.8.2018, s. 1).</w:t>
      </w:r>
    </w:p>
  </w:footnote>
  <w:footnote w:id="26">
    <w:p w14:paraId="67ED8CE6" w14:textId="70618920" w:rsidR="009C20DD" w:rsidRPr="002866E5" w:rsidRDefault="009C20DD">
      <w:pPr>
        <w:pStyle w:val="FootnoteText"/>
      </w:pPr>
      <w:r>
        <w:rPr>
          <w:rStyle w:val="FootnoteReference"/>
        </w:rPr>
        <w:footnoteRef/>
      </w:r>
      <w:r w:rsidRPr="002866E5">
        <w:tab/>
        <w:t>Dyrektywa Rady 85/374/EWG</w:t>
      </w:r>
      <w:r w:rsidR="008B35E8" w:rsidRPr="002866E5">
        <w:t xml:space="preserve"> z</w:t>
      </w:r>
      <w:r w:rsidR="008B35E8">
        <w:t> </w:t>
      </w:r>
      <w:r w:rsidR="008B35E8" w:rsidRPr="002866E5">
        <w:t>dni</w:t>
      </w:r>
      <w:r w:rsidRPr="002866E5">
        <w:t>a 25 lipca 19</w:t>
      </w:r>
      <w:r w:rsidRPr="008B35E8">
        <w:t>85</w:t>
      </w:r>
      <w:r w:rsidR="008B35E8" w:rsidRPr="008B35E8">
        <w:t> </w:t>
      </w:r>
      <w:r w:rsidRPr="008B35E8">
        <w:t>r.</w:t>
      </w:r>
      <w:r w:rsidR="008B35E8" w:rsidRPr="002866E5">
        <w:t xml:space="preserve"> w</w:t>
      </w:r>
      <w:r w:rsidR="008B35E8">
        <w:t> </w:t>
      </w:r>
      <w:r w:rsidR="008B35E8" w:rsidRPr="002866E5">
        <w:t>spr</w:t>
      </w:r>
      <w:r w:rsidRPr="002866E5">
        <w:t>awie zbliżenia przepisów ustawowych, wykonawczych</w:t>
      </w:r>
      <w:r w:rsidR="008B35E8" w:rsidRPr="002866E5">
        <w:t xml:space="preserve"> i</w:t>
      </w:r>
      <w:r w:rsidR="008B35E8">
        <w:t> </w:t>
      </w:r>
      <w:r w:rsidR="008B35E8" w:rsidRPr="002866E5">
        <w:t>adm</w:t>
      </w:r>
      <w:r w:rsidRPr="002866E5">
        <w:t>inistracyjnych państw członkowskich dotyczących odpowiedzialności za produkty wadliwe (Dz.U. L 210</w:t>
      </w:r>
      <w:r w:rsidR="008B35E8" w:rsidRPr="002866E5">
        <w:t xml:space="preserve"> z</w:t>
      </w:r>
      <w:r w:rsidR="008B35E8">
        <w:t> </w:t>
      </w:r>
      <w:r w:rsidR="008B35E8" w:rsidRPr="002866E5">
        <w:t>7</w:t>
      </w:r>
      <w:r w:rsidRPr="002866E5">
        <w:t>.8.85).</w:t>
      </w:r>
    </w:p>
  </w:footnote>
  <w:footnote w:id="27">
    <w:p w14:paraId="67ED8CE7" w14:textId="1B6F0A99" w:rsidR="009C20DD" w:rsidRPr="002866E5" w:rsidRDefault="009C20DD" w:rsidP="00A41DD7">
      <w:pPr>
        <w:pStyle w:val="FootnoteText"/>
      </w:pPr>
      <w:r>
        <w:rPr>
          <w:rStyle w:val="FootnoteReference"/>
        </w:rPr>
        <w:footnoteRef/>
      </w:r>
      <w:r w:rsidRPr="002866E5">
        <w:tab/>
        <w:t>Rozporządzenie Parlamentu Europejskiego</w:t>
      </w:r>
      <w:r w:rsidR="008B35E8" w:rsidRPr="002866E5">
        <w:t xml:space="preserve"> i</w:t>
      </w:r>
      <w:r w:rsidR="008B35E8">
        <w:t> </w:t>
      </w:r>
      <w:r w:rsidR="008B35E8" w:rsidRPr="002866E5">
        <w:t>Rad</w:t>
      </w:r>
      <w:r w:rsidRPr="002866E5">
        <w:t>y (UE) 2016/679</w:t>
      </w:r>
      <w:r w:rsidR="008B35E8" w:rsidRPr="002866E5">
        <w:t xml:space="preserve"> z</w:t>
      </w:r>
      <w:r w:rsidR="008B35E8">
        <w:t> </w:t>
      </w:r>
      <w:r w:rsidR="008B35E8" w:rsidRPr="002866E5">
        <w:t>dni</w:t>
      </w:r>
      <w:r w:rsidRPr="002866E5">
        <w:t>a 27 kwietnia 20</w:t>
      </w:r>
      <w:r w:rsidRPr="008B35E8">
        <w:t>16</w:t>
      </w:r>
      <w:r w:rsidR="008B35E8" w:rsidRPr="008B35E8">
        <w:t> </w:t>
      </w:r>
      <w:r w:rsidRPr="008B35E8">
        <w:t>r.</w:t>
      </w:r>
      <w:r w:rsidR="008B35E8" w:rsidRPr="002866E5">
        <w:t xml:space="preserve"> w</w:t>
      </w:r>
      <w:r w:rsidR="008B35E8">
        <w:t> </w:t>
      </w:r>
      <w:r w:rsidR="008B35E8" w:rsidRPr="002866E5">
        <w:t>spr</w:t>
      </w:r>
      <w:r w:rsidRPr="002866E5">
        <w:t>awie ochrony osób fizycznych</w:t>
      </w:r>
      <w:r w:rsidR="008B35E8" w:rsidRPr="002866E5">
        <w:t xml:space="preserve"> w</w:t>
      </w:r>
      <w:r w:rsidR="008B35E8">
        <w:t> </w:t>
      </w:r>
      <w:r w:rsidR="008B35E8" w:rsidRPr="002866E5">
        <w:t>zwi</w:t>
      </w:r>
      <w:r w:rsidRPr="002866E5">
        <w:t>ązku</w:t>
      </w:r>
      <w:r w:rsidR="008B35E8" w:rsidRPr="002866E5">
        <w:t xml:space="preserve"> z</w:t>
      </w:r>
      <w:r w:rsidR="008B35E8">
        <w:t> </w:t>
      </w:r>
      <w:r w:rsidR="008B35E8" w:rsidRPr="002866E5">
        <w:t>prz</w:t>
      </w:r>
      <w:r w:rsidRPr="002866E5">
        <w:t>etwarzaniem danych osobowych</w:t>
      </w:r>
      <w:r w:rsidR="008B35E8" w:rsidRPr="002866E5">
        <w:t xml:space="preserve"> i</w:t>
      </w:r>
      <w:r w:rsidR="008B35E8">
        <w:t> </w:t>
      </w:r>
      <w:r w:rsidR="008B35E8" w:rsidRPr="002866E5">
        <w:t>w</w:t>
      </w:r>
      <w:r w:rsidR="008B35E8">
        <w:t> </w:t>
      </w:r>
      <w:r w:rsidR="008B35E8" w:rsidRPr="002866E5">
        <w:t>spr</w:t>
      </w:r>
      <w:r w:rsidRPr="002866E5">
        <w:t>awie swobodnego przepływu takich danych oraz uchylenia dyrektywy 95/46/WE (ogólne rozporządzenie</w:t>
      </w:r>
      <w:r w:rsidR="008B35E8" w:rsidRPr="002866E5">
        <w:t xml:space="preserve"> o</w:t>
      </w:r>
      <w:r w:rsidR="008B35E8">
        <w:t> </w:t>
      </w:r>
      <w:r w:rsidR="008B35E8" w:rsidRPr="002866E5">
        <w:t>och</w:t>
      </w:r>
      <w:r w:rsidRPr="002866E5">
        <w:t>ronie danych) (Dz.U. L 119</w:t>
      </w:r>
      <w:r w:rsidR="008B35E8" w:rsidRPr="002866E5">
        <w:t xml:space="preserve"> z</w:t>
      </w:r>
      <w:r w:rsidR="008B35E8">
        <w:t> </w:t>
      </w:r>
      <w:r w:rsidR="008B35E8" w:rsidRPr="002866E5">
        <w:t>4</w:t>
      </w:r>
      <w:r w:rsidRPr="002866E5">
        <w:t>.5.2016, s. 1).</w:t>
      </w:r>
    </w:p>
  </w:footnote>
  <w:footnote w:id="28">
    <w:p w14:paraId="67ED8CE8" w14:textId="68583AF2" w:rsidR="009C20DD" w:rsidRPr="002866E5" w:rsidRDefault="009C20DD" w:rsidP="00E746AA">
      <w:pPr>
        <w:pStyle w:val="FootnoteText"/>
      </w:pPr>
      <w:r>
        <w:rPr>
          <w:rStyle w:val="FootnoteReference"/>
        </w:rPr>
        <w:footnoteRef/>
      </w:r>
      <w:r w:rsidRPr="002866E5">
        <w:tab/>
        <w:t>Rozporządzenie [rozporządzenie</w:t>
      </w:r>
      <w:r w:rsidR="008B35E8" w:rsidRPr="002866E5">
        <w:t xml:space="preserve"> w</w:t>
      </w:r>
      <w:r w:rsidR="008B35E8">
        <w:t> </w:t>
      </w:r>
      <w:r w:rsidR="008B35E8" w:rsidRPr="002866E5">
        <w:t>spr</w:t>
      </w:r>
      <w:r w:rsidRPr="002866E5">
        <w:t>awie sztucznej inteligencji].</w:t>
      </w:r>
    </w:p>
  </w:footnote>
  <w:footnote w:id="29">
    <w:p w14:paraId="67ED8CE9" w14:textId="2C2F2702" w:rsidR="009C20DD" w:rsidRPr="002866E5" w:rsidRDefault="009C20DD">
      <w:pPr>
        <w:pStyle w:val="FootnoteText"/>
      </w:pPr>
      <w:r>
        <w:rPr>
          <w:rStyle w:val="FootnoteReference"/>
        </w:rPr>
        <w:footnoteRef/>
      </w:r>
      <w:r w:rsidRPr="002866E5">
        <w:tab/>
        <w:t>Dyrektywa Parlamentu Europejskiego</w:t>
      </w:r>
      <w:r w:rsidR="008B35E8" w:rsidRPr="002866E5">
        <w:t xml:space="preserve"> i</w:t>
      </w:r>
      <w:r w:rsidR="008B35E8">
        <w:t> </w:t>
      </w:r>
      <w:r w:rsidR="008B35E8" w:rsidRPr="002866E5">
        <w:t>Rad</w:t>
      </w:r>
      <w:r w:rsidRPr="002866E5">
        <w:t>y XXX</w:t>
      </w:r>
      <w:r w:rsidR="008B35E8" w:rsidRPr="002866E5">
        <w:t xml:space="preserve"> z</w:t>
      </w:r>
      <w:r w:rsidR="008B35E8">
        <w:t> </w:t>
      </w:r>
      <w:r w:rsidR="008B35E8" w:rsidRPr="002866E5">
        <w:t>dni</w:t>
      </w:r>
      <w:r w:rsidRPr="002866E5">
        <w:t>a [data] [w sprawie środków na rzecz wspólnego wysokiego poziomu cyberbezpieczeństwa</w:t>
      </w:r>
      <w:r w:rsidR="008B35E8" w:rsidRPr="002866E5">
        <w:t xml:space="preserve"> w</w:t>
      </w:r>
      <w:r w:rsidR="008B35E8">
        <w:t> </w:t>
      </w:r>
      <w:r w:rsidR="008B35E8" w:rsidRPr="002866E5">
        <w:t>cał</w:t>
      </w:r>
      <w:r w:rsidRPr="002866E5">
        <w:t>ej Unii, uchylająca dyrektywę (UE) 2016/1148 (Dz.U. L xx z [data], s. x)].</w:t>
      </w:r>
    </w:p>
  </w:footnote>
  <w:footnote w:id="30">
    <w:p w14:paraId="67ED8CEA" w14:textId="291D04AB" w:rsidR="009C20DD" w:rsidRPr="002866E5" w:rsidRDefault="009C20DD">
      <w:pPr>
        <w:pStyle w:val="FootnoteText"/>
      </w:pPr>
      <w:r>
        <w:rPr>
          <w:rStyle w:val="FootnoteReference"/>
        </w:rPr>
        <w:footnoteRef/>
      </w:r>
      <w:r w:rsidRPr="002866E5">
        <w:tab/>
        <w:t>Rozporządzenie Parlamentu Europejskiego</w:t>
      </w:r>
      <w:r w:rsidR="008B35E8" w:rsidRPr="002866E5">
        <w:t xml:space="preserve"> i</w:t>
      </w:r>
      <w:r w:rsidR="008B35E8">
        <w:t> </w:t>
      </w:r>
      <w:r w:rsidR="008B35E8" w:rsidRPr="002866E5">
        <w:t>Rad</w:t>
      </w:r>
      <w:r w:rsidRPr="002866E5">
        <w:t xml:space="preserve">y (UE) </w:t>
      </w:r>
      <w:r w:rsidRPr="008B35E8">
        <w:t>nr</w:t>
      </w:r>
      <w:r w:rsidR="008B35E8" w:rsidRPr="008B35E8">
        <w:t> </w:t>
      </w:r>
      <w:r w:rsidRPr="008B35E8">
        <w:t>1</w:t>
      </w:r>
      <w:r w:rsidRPr="002866E5">
        <w:t>025/2012</w:t>
      </w:r>
      <w:r w:rsidR="008B35E8" w:rsidRPr="002866E5">
        <w:t xml:space="preserve"> z</w:t>
      </w:r>
      <w:r w:rsidR="008B35E8">
        <w:t> </w:t>
      </w:r>
      <w:r w:rsidR="008B35E8" w:rsidRPr="002866E5">
        <w:t>dni</w:t>
      </w:r>
      <w:r w:rsidRPr="002866E5">
        <w:t>a 25 października 20</w:t>
      </w:r>
      <w:r w:rsidRPr="008B35E8">
        <w:t>12</w:t>
      </w:r>
      <w:r w:rsidR="008B35E8" w:rsidRPr="008B35E8">
        <w:t> </w:t>
      </w:r>
      <w:r w:rsidRPr="008B35E8">
        <w:t>r.</w:t>
      </w:r>
      <w:r w:rsidR="008B35E8" w:rsidRPr="002866E5">
        <w:t xml:space="preserve"> w</w:t>
      </w:r>
      <w:r w:rsidR="008B35E8">
        <w:t> </w:t>
      </w:r>
      <w:r w:rsidR="008B35E8" w:rsidRPr="002866E5">
        <w:t>spr</w:t>
      </w:r>
      <w:r w:rsidRPr="002866E5">
        <w:t>awie normalizacji europejskiej, zmieniające dyrektywy Rady 89/686/EWG</w:t>
      </w:r>
      <w:r w:rsidR="008B35E8" w:rsidRPr="002866E5">
        <w:t xml:space="preserve"> i</w:t>
      </w:r>
      <w:r w:rsidR="008B35E8">
        <w:t> </w:t>
      </w:r>
      <w:r w:rsidR="008B35E8" w:rsidRPr="002866E5">
        <w:t>9</w:t>
      </w:r>
      <w:r w:rsidRPr="002866E5">
        <w:t>3/15/EWG oraz dyrektywy Parlamentu Europejskiego</w:t>
      </w:r>
      <w:r w:rsidR="008B35E8" w:rsidRPr="002866E5">
        <w:t xml:space="preserve"> i</w:t>
      </w:r>
      <w:r w:rsidR="008B35E8">
        <w:t> </w:t>
      </w:r>
      <w:r w:rsidR="008B35E8" w:rsidRPr="002866E5">
        <w:t>Rad</w:t>
      </w:r>
      <w:r w:rsidRPr="002866E5">
        <w:t>y 94/9/WE, 94/25/WE, 95/16/WE, 97/23/WE, 98/34/WE, 2004/22/WE, 2007/23/WE, 2009/23/WE</w:t>
      </w:r>
      <w:r w:rsidR="008B35E8" w:rsidRPr="002866E5">
        <w:t xml:space="preserve"> i</w:t>
      </w:r>
      <w:r w:rsidR="008B35E8">
        <w:t> </w:t>
      </w:r>
      <w:r w:rsidR="008B35E8" w:rsidRPr="002866E5">
        <w:t>2</w:t>
      </w:r>
      <w:r w:rsidRPr="002866E5">
        <w:t>009/105/WE oraz uchylające decyzję Rady 87/95/EWG</w:t>
      </w:r>
      <w:r w:rsidR="008B35E8" w:rsidRPr="002866E5">
        <w:t xml:space="preserve"> i</w:t>
      </w:r>
      <w:r w:rsidR="008B35E8">
        <w:t> </w:t>
      </w:r>
      <w:r w:rsidR="008B35E8" w:rsidRPr="002866E5">
        <w:t>dec</w:t>
      </w:r>
      <w:r w:rsidRPr="002866E5">
        <w:t>yzję Parlamentu Europejskiego</w:t>
      </w:r>
      <w:r w:rsidR="008B35E8" w:rsidRPr="002866E5">
        <w:t xml:space="preserve"> i</w:t>
      </w:r>
      <w:r w:rsidR="008B35E8">
        <w:t> </w:t>
      </w:r>
      <w:r w:rsidR="008B35E8" w:rsidRPr="002866E5">
        <w:t>Rad</w:t>
      </w:r>
      <w:r w:rsidRPr="002866E5">
        <w:t xml:space="preserve">y </w:t>
      </w:r>
      <w:r w:rsidRPr="008B35E8">
        <w:t>nr</w:t>
      </w:r>
      <w:r w:rsidR="008B35E8" w:rsidRPr="008B35E8">
        <w:t> </w:t>
      </w:r>
      <w:r w:rsidRPr="008B35E8">
        <w:t>1</w:t>
      </w:r>
      <w:r w:rsidRPr="002866E5">
        <w:t>673/2006/WE (Dz.U. L 316</w:t>
      </w:r>
      <w:r w:rsidR="008B35E8" w:rsidRPr="002866E5">
        <w:t xml:space="preserve"> z</w:t>
      </w:r>
      <w:r w:rsidR="008B35E8">
        <w:t> </w:t>
      </w:r>
      <w:r w:rsidR="008B35E8" w:rsidRPr="002866E5">
        <w:t>1</w:t>
      </w:r>
      <w:r w:rsidRPr="002866E5">
        <w:t>4.11.2012, s. 12).</w:t>
      </w:r>
    </w:p>
  </w:footnote>
  <w:footnote w:id="31">
    <w:p w14:paraId="67ED8CEB" w14:textId="20040D8F" w:rsidR="009C20DD" w:rsidRPr="002866E5" w:rsidRDefault="009C20DD" w:rsidP="00976386">
      <w:pPr>
        <w:pStyle w:val="FootnoteText"/>
      </w:pPr>
      <w:r>
        <w:rPr>
          <w:rStyle w:val="FootnoteReference"/>
        </w:rPr>
        <w:footnoteRef/>
      </w:r>
      <w:r w:rsidRPr="002866E5">
        <w:tab/>
        <w:t>Rozporządzenie Parlamentu Europejskiego</w:t>
      </w:r>
      <w:r w:rsidR="008B35E8" w:rsidRPr="002866E5">
        <w:t xml:space="preserve"> i</w:t>
      </w:r>
      <w:r w:rsidR="008B35E8">
        <w:t> </w:t>
      </w:r>
      <w:r w:rsidR="008B35E8" w:rsidRPr="002866E5">
        <w:t>Rad</w:t>
      </w:r>
      <w:r w:rsidRPr="002866E5">
        <w:t>y (WE) nr 765/2008</w:t>
      </w:r>
      <w:r w:rsidR="008B35E8" w:rsidRPr="002866E5">
        <w:t xml:space="preserve"> z</w:t>
      </w:r>
      <w:r w:rsidR="008B35E8">
        <w:t> </w:t>
      </w:r>
      <w:r w:rsidR="008B35E8" w:rsidRPr="002866E5">
        <w:t>dni</w:t>
      </w:r>
      <w:r w:rsidRPr="002866E5">
        <w:t>a 9 lipca 2008 r. ustanawiające wymagania</w:t>
      </w:r>
      <w:r w:rsidR="008B35E8" w:rsidRPr="002866E5">
        <w:t xml:space="preserve"> w</w:t>
      </w:r>
      <w:r w:rsidR="008B35E8">
        <w:t> </w:t>
      </w:r>
      <w:r w:rsidR="008B35E8" w:rsidRPr="002866E5">
        <w:t>zak</w:t>
      </w:r>
      <w:r w:rsidRPr="002866E5">
        <w:t>resie akredytacji</w:t>
      </w:r>
      <w:r w:rsidR="008B35E8" w:rsidRPr="002866E5">
        <w:t xml:space="preserve"> i</w:t>
      </w:r>
      <w:r w:rsidR="008B35E8">
        <w:t> </w:t>
      </w:r>
      <w:r w:rsidR="008B35E8" w:rsidRPr="002866E5">
        <w:t>uch</w:t>
      </w:r>
      <w:r w:rsidRPr="002866E5">
        <w:t>ylające rozporządzenie (EWG) nr 339/93 (Dz.U. L 218</w:t>
      </w:r>
      <w:r w:rsidR="008B35E8" w:rsidRPr="002866E5">
        <w:t xml:space="preserve"> z</w:t>
      </w:r>
      <w:r w:rsidR="008B35E8">
        <w:t> </w:t>
      </w:r>
      <w:r w:rsidR="008B35E8" w:rsidRPr="002866E5">
        <w:t>1</w:t>
      </w:r>
      <w:r w:rsidRPr="002866E5">
        <w:t>3.8.2008, s. 30).</w:t>
      </w:r>
    </w:p>
  </w:footnote>
  <w:footnote w:id="32">
    <w:p w14:paraId="67ED8CEC" w14:textId="64961A1B" w:rsidR="009C20DD" w:rsidRPr="002866E5" w:rsidRDefault="009C20DD" w:rsidP="00F666EA">
      <w:pPr>
        <w:pStyle w:val="FootnoteText"/>
      </w:pPr>
      <w:r>
        <w:rPr>
          <w:rStyle w:val="FootnoteReference"/>
        </w:rPr>
        <w:footnoteRef/>
      </w:r>
      <w:r w:rsidRPr="002866E5">
        <w:tab/>
        <w:t>Decyzja Parlamentu Europejskiego</w:t>
      </w:r>
      <w:r w:rsidR="008B35E8" w:rsidRPr="002866E5">
        <w:t xml:space="preserve"> i</w:t>
      </w:r>
      <w:r w:rsidR="008B35E8">
        <w:t> </w:t>
      </w:r>
      <w:r w:rsidR="008B35E8" w:rsidRPr="002866E5">
        <w:t>Rad</w:t>
      </w:r>
      <w:r w:rsidRPr="002866E5">
        <w:t xml:space="preserve">y </w:t>
      </w:r>
      <w:r w:rsidRPr="008B35E8">
        <w:t>nr</w:t>
      </w:r>
      <w:r w:rsidR="008B35E8" w:rsidRPr="008B35E8">
        <w:t> </w:t>
      </w:r>
      <w:r w:rsidRPr="008B35E8">
        <w:t>7</w:t>
      </w:r>
      <w:r w:rsidRPr="002866E5">
        <w:t>68/2008/WE</w:t>
      </w:r>
      <w:r w:rsidR="008B35E8" w:rsidRPr="002866E5">
        <w:t xml:space="preserve"> z</w:t>
      </w:r>
      <w:r w:rsidR="008B35E8">
        <w:t> </w:t>
      </w:r>
      <w:r w:rsidR="008B35E8" w:rsidRPr="002866E5">
        <w:t>dni</w:t>
      </w:r>
      <w:r w:rsidRPr="002866E5">
        <w:t>a 9 lipca 20</w:t>
      </w:r>
      <w:r w:rsidRPr="008B35E8">
        <w:t>08</w:t>
      </w:r>
      <w:r w:rsidR="008B35E8" w:rsidRPr="008B35E8">
        <w:t> </w:t>
      </w:r>
      <w:r w:rsidRPr="008B35E8">
        <w:t>r.</w:t>
      </w:r>
      <w:r w:rsidR="008B35E8" w:rsidRPr="002866E5">
        <w:t xml:space="preserve"> w</w:t>
      </w:r>
      <w:r w:rsidR="008B35E8">
        <w:t> </w:t>
      </w:r>
      <w:r w:rsidR="008B35E8" w:rsidRPr="002866E5">
        <w:t>spr</w:t>
      </w:r>
      <w:r w:rsidRPr="002866E5">
        <w:t>awie wspólnych ram dotyczących wprowadzania produktów do obrotu, uchylająca decyzję Rady 93/465/EWG (Dz.U. L 218</w:t>
      </w:r>
      <w:r w:rsidR="008B35E8" w:rsidRPr="002866E5">
        <w:t xml:space="preserve"> z</w:t>
      </w:r>
      <w:r w:rsidR="008B35E8">
        <w:t> </w:t>
      </w:r>
      <w:r w:rsidR="008B35E8" w:rsidRPr="002866E5">
        <w:t>1</w:t>
      </w:r>
      <w:r w:rsidRPr="002866E5">
        <w:t>3.8.2008, s. 82).</w:t>
      </w:r>
    </w:p>
  </w:footnote>
  <w:footnote w:id="33">
    <w:p w14:paraId="67ED8CED" w14:textId="01E7E516" w:rsidR="009C20DD" w:rsidRPr="002866E5" w:rsidRDefault="009C20DD" w:rsidP="00C50C78">
      <w:pPr>
        <w:pStyle w:val="FootnoteText"/>
      </w:pPr>
      <w:r>
        <w:rPr>
          <w:rStyle w:val="FootnoteReference"/>
        </w:rPr>
        <w:footnoteRef/>
      </w:r>
      <w:r w:rsidRPr="002866E5">
        <w:tab/>
        <w:t>Rozporządzenie Parlamentu Europejskiego</w:t>
      </w:r>
      <w:r w:rsidR="008B35E8" w:rsidRPr="002866E5">
        <w:t xml:space="preserve"> i</w:t>
      </w:r>
      <w:r w:rsidR="008B35E8">
        <w:t> </w:t>
      </w:r>
      <w:r w:rsidR="008B35E8" w:rsidRPr="002866E5">
        <w:t>Rad</w:t>
      </w:r>
      <w:r w:rsidRPr="002866E5">
        <w:t>y (UE) 2019/1020</w:t>
      </w:r>
      <w:r w:rsidR="008B35E8" w:rsidRPr="002866E5">
        <w:t xml:space="preserve"> z</w:t>
      </w:r>
      <w:r w:rsidR="008B35E8">
        <w:t> </w:t>
      </w:r>
      <w:r w:rsidR="008B35E8" w:rsidRPr="002866E5">
        <w:t>dni</w:t>
      </w:r>
      <w:r w:rsidRPr="002866E5">
        <w:t>a 20 czerwca 20</w:t>
      </w:r>
      <w:r w:rsidRPr="008B35E8">
        <w:t>19</w:t>
      </w:r>
      <w:r w:rsidR="008B35E8" w:rsidRPr="008B35E8">
        <w:t> </w:t>
      </w:r>
      <w:r w:rsidRPr="008B35E8">
        <w:t>r.</w:t>
      </w:r>
      <w:r w:rsidR="008B35E8" w:rsidRPr="002866E5">
        <w:t xml:space="preserve"> w</w:t>
      </w:r>
      <w:r w:rsidR="008B35E8">
        <w:t> </w:t>
      </w:r>
      <w:r w:rsidR="008B35E8" w:rsidRPr="002866E5">
        <w:t>spr</w:t>
      </w:r>
      <w:r w:rsidRPr="002866E5">
        <w:t>awie nadzoru rynku</w:t>
      </w:r>
      <w:r w:rsidR="008B35E8" w:rsidRPr="002866E5">
        <w:t xml:space="preserve"> i</w:t>
      </w:r>
      <w:r w:rsidR="008B35E8">
        <w:t> </w:t>
      </w:r>
      <w:r w:rsidR="008B35E8" w:rsidRPr="002866E5">
        <w:t>zgo</w:t>
      </w:r>
      <w:r w:rsidRPr="002866E5">
        <w:t xml:space="preserve">dności produktów oraz zmieniające dyrektywę 2004/42/WE oraz rozporządzenia (WE) </w:t>
      </w:r>
      <w:r w:rsidRPr="008B35E8">
        <w:t>nr</w:t>
      </w:r>
      <w:r w:rsidR="008B35E8" w:rsidRPr="008B35E8">
        <w:t> </w:t>
      </w:r>
      <w:r w:rsidRPr="008B35E8">
        <w:t>7</w:t>
      </w:r>
      <w:r w:rsidRPr="002866E5">
        <w:t xml:space="preserve">65/2008 i (UE) </w:t>
      </w:r>
      <w:r w:rsidRPr="008B35E8">
        <w:t>nr</w:t>
      </w:r>
      <w:r w:rsidR="008B35E8" w:rsidRPr="008B35E8">
        <w:t> </w:t>
      </w:r>
      <w:r w:rsidRPr="008B35E8">
        <w:t>3</w:t>
      </w:r>
      <w:r w:rsidRPr="002866E5">
        <w:t>05/2011 (Dz.U. L 169</w:t>
      </w:r>
      <w:r w:rsidR="008B35E8" w:rsidRPr="002866E5">
        <w:t xml:space="preserve"> z</w:t>
      </w:r>
      <w:r w:rsidR="008B35E8">
        <w:t> </w:t>
      </w:r>
      <w:r w:rsidR="008B35E8" w:rsidRPr="002866E5">
        <w:t>2</w:t>
      </w:r>
      <w:r w:rsidRPr="002866E5">
        <w:t>5.6.2019, s. 1).</w:t>
      </w:r>
    </w:p>
  </w:footnote>
  <w:footnote w:id="34">
    <w:p w14:paraId="67ED8CEE" w14:textId="791E6505" w:rsidR="009C20DD" w:rsidRPr="002866E5" w:rsidRDefault="009C20DD">
      <w:pPr>
        <w:pStyle w:val="FootnoteText"/>
      </w:pPr>
      <w:r>
        <w:rPr>
          <w:rStyle w:val="FootnoteReference"/>
        </w:rPr>
        <w:footnoteRef/>
      </w:r>
      <w:r w:rsidRPr="002866E5">
        <w:tab/>
        <w:t>Dz.U. L 123</w:t>
      </w:r>
      <w:r w:rsidR="008B35E8" w:rsidRPr="002866E5">
        <w:t xml:space="preserve"> z</w:t>
      </w:r>
      <w:r w:rsidR="008B35E8">
        <w:t> </w:t>
      </w:r>
      <w:r w:rsidR="008B35E8" w:rsidRPr="002866E5">
        <w:t>1</w:t>
      </w:r>
      <w:r w:rsidRPr="002866E5">
        <w:t>2.5.2016, s. 1.</w:t>
      </w:r>
    </w:p>
  </w:footnote>
  <w:footnote w:id="35">
    <w:p w14:paraId="67ED8CEF" w14:textId="5ABDCF66" w:rsidR="009C20DD" w:rsidRPr="002866E5" w:rsidRDefault="009C20DD" w:rsidP="00AD6D2C">
      <w:pPr>
        <w:pStyle w:val="FootnoteText"/>
      </w:pPr>
      <w:r>
        <w:rPr>
          <w:rStyle w:val="FootnoteReference"/>
        </w:rPr>
        <w:footnoteRef/>
      </w:r>
      <w:r w:rsidRPr="002866E5">
        <w:tab/>
        <w:t>Rozporządzenie Parlamentu Europejskiego</w:t>
      </w:r>
      <w:r w:rsidR="008B35E8" w:rsidRPr="002866E5">
        <w:t xml:space="preserve"> i</w:t>
      </w:r>
      <w:r w:rsidR="008B35E8">
        <w:t> </w:t>
      </w:r>
      <w:r w:rsidR="008B35E8" w:rsidRPr="002866E5">
        <w:t>Rad</w:t>
      </w:r>
      <w:r w:rsidRPr="002866E5">
        <w:t xml:space="preserve">y (UE) </w:t>
      </w:r>
      <w:r w:rsidRPr="008B35E8">
        <w:t>nr</w:t>
      </w:r>
      <w:r w:rsidR="008B35E8" w:rsidRPr="008B35E8">
        <w:t> </w:t>
      </w:r>
      <w:r w:rsidRPr="008B35E8">
        <w:t>1</w:t>
      </w:r>
      <w:r w:rsidRPr="002866E5">
        <w:t>82/2011</w:t>
      </w:r>
      <w:r w:rsidR="008B35E8" w:rsidRPr="002866E5">
        <w:t xml:space="preserve"> z</w:t>
      </w:r>
      <w:r w:rsidR="008B35E8">
        <w:t> </w:t>
      </w:r>
      <w:r w:rsidR="008B35E8" w:rsidRPr="002866E5">
        <w:t>dni</w:t>
      </w:r>
      <w:r w:rsidRPr="002866E5">
        <w:t>a 16 lutego 20</w:t>
      </w:r>
      <w:r w:rsidRPr="008B35E8">
        <w:t>11</w:t>
      </w:r>
      <w:r w:rsidR="008B35E8" w:rsidRPr="008B35E8">
        <w:t> </w:t>
      </w:r>
      <w:r w:rsidRPr="008B35E8">
        <w:t>r.</w:t>
      </w:r>
      <w:r w:rsidRPr="002866E5">
        <w:t xml:space="preserve"> ustanawiające przepisy</w:t>
      </w:r>
      <w:r w:rsidR="008B35E8" w:rsidRPr="002866E5">
        <w:t xml:space="preserve"> i</w:t>
      </w:r>
      <w:r w:rsidR="008B35E8">
        <w:t> </w:t>
      </w:r>
      <w:r w:rsidR="008B35E8" w:rsidRPr="002866E5">
        <w:t>zas</w:t>
      </w:r>
      <w:r w:rsidRPr="002866E5">
        <w:t>ady ogólne dotyczące trybu kontroli przez państwa członkowskie wykonywania uprawnień wykonawczych przez Komisję (Dz.U. L 55</w:t>
      </w:r>
      <w:r w:rsidR="008B35E8" w:rsidRPr="002866E5">
        <w:t xml:space="preserve"> z</w:t>
      </w:r>
      <w:r w:rsidR="008B35E8">
        <w:t> </w:t>
      </w:r>
      <w:r w:rsidR="008B35E8" w:rsidRPr="002866E5">
        <w:t>2</w:t>
      </w:r>
      <w:r w:rsidRPr="002866E5">
        <w:t>8.2.2011, s. 13).</w:t>
      </w:r>
    </w:p>
  </w:footnote>
  <w:footnote w:id="36">
    <w:p w14:paraId="67ED8CF0" w14:textId="23CF796C" w:rsidR="009C20DD" w:rsidRPr="002866E5" w:rsidRDefault="009C20DD" w:rsidP="00435DFA">
      <w:pPr>
        <w:pStyle w:val="FootnoteText"/>
      </w:pPr>
      <w:r>
        <w:rPr>
          <w:rStyle w:val="FootnoteReference"/>
        </w:rPr>
        <w:footnoteRef/>
      </w:r>
      <w:r w:rsidRPr="002866E5">
        <w:tab/>
        <w:t>Rozporządzenie Parlamentu Europejskiego</w:t>
      </w:r>
      <w:r w:rsidR="008B35E8" w:rsidRPr="002866E5">
        <w:t xml:space="preserve"> i</w:t>
      </w:r>
      <w:r w:rsidR="008B35E8">
        <w:t> </w:t>
      </w:r>
      <w:r w:rsidR="008B35E8" w:rsidRPr="002866E5">
        <w:t>Rad</w:t>
      </w:r>
      <w:r w:rsidRPr="002866E5">
        <w:t>y (UE) 2018/1725</w:t>
      </w:r>
      <w:r w:rsidR="008B35E8" w:rsidRPr="002866E5">
        <w:t xml:space="preserve"> z</w:t>
      </w:r>
      <w:r w:rsidR="008B35E8">
        <w:t> </w:t>
      </w:r>
      <w:r w:rsidR="008B35E8" w:rsidRPr="002866E5">
        <w:t>dni</w:t>
      </w:r>
      <w:r w:rsidRPr="002866E5">
        <w:t>a 23 października 20</w:t>
      </w:r>
      <w:r w:rsidRPr="008B35E8">
        <w:t>18</w:t>
      </w:r>
      <w:r w:rsidR="008B35E8" w:rsidRPr="008B35E8">
        <w:t> </w:t>
      </w:r>
      <w:r w:rsidRPr="008B35E8">
        <w:t>r.</w:t>
      </w:r>
      <w:r w:rsidR="008B35E8" w:rsidRPr="002866E5">
        <w:t xml:space="preserve"> w</w:t>
      </w:r>
      <w:r w:rsidR="008B35E8">
        <w:t> </w:t>
      </w:r>
      <w:r w:rsidR="008B35E8" w:rsidRPr="002866E5">
        <w:t>spr</w:t>
      </w:r>
      <w:r w:rsidRPr="002866E5">
        <w:t>awie ochrony osób fizycznych</w:t>
      </w:r>
      <w:r w:rsidR="008B35E8" w:rsidRPr="002866E5">
        <w:t xml:space="preserve"> w</w:t>
      </w:r>
      <w:r w:rsidR="008B35E8">
        <w:t> </w:t>
      </w:r>
      <w:r w:rsidR="008B35E8" w:rsidRPr="002866E5">
        <w:t>zwi</w:t>
      </w:r>
      <w:r w:rsidRPr="002866E5">
        <w:t>ązku</w:t>
      </w:r>
      <w:r w:rsidR="008B35E8" w:rsidRPr="002866E5">
        <w:t xml:space="preserve"> z</w:t>
      </w:r>
      <w:r w:rsidR="008B35E8">
        <w:t> </w:t>
      </w:r>
      <w:r w:rsidR="008B35E8" w:rsidRPr="002866E5">
        <w:t>prz</w:t>
      </w:r>
      <w:r w:rsidRPr="002866E5">
        <w:t>etwarzaniem danych osobowych przez instytucje, organy</w:t>
      </w:r>
      <w:r w:rsidR="008B35E8" w:rsidRPr="002866E5">
        <w:t xml:space="preserve"> i</w:t>
      </w:r>
      <w:r w:rsidR="008B35E8">
        <w:t> </w:t>
      </w:r>
      <w:r w:rsidR="008B35E8" w:rsidRPr="002866E5">
        <w:t>jed</w:t>
      </w:r>
      <w:r w:rsidRPr="002866E5">
        <w:t>nostki organizacyjne Unii</w:t>
      </w:r>
      <w:r w:rsidR="008B35E8" w:rsidRPr="002866E5">
        <w:t xml:space="preserve"> i</w:t>
      </w:r>
      <w:r w:rsidR="008B35E8">
        <w:t> </w:t>
      </w:r>
      <w:r w:rsidR="008B35E8" w:rsidRPr="002866E5">
        <w:t>swo</w:t>
      </w:r>
      <w:r w:rsidRPr="002866E5">
        <w:t xml:space="preserve">bodnego przepływu takich danych oraz uchylenia rozporządzenia (WE) </w:t>
      </w:r>
      <w:r w:rsidRPr="008B35E8">
        <w:t>nr</w:t>
      </w:r>
      <w:r w:rsidR="008B35E8" w:rsidRPr="008B35E8">
        <w:t> </w:t>
      </w:r>
      <w:r w:rsidRPr="008B35E8">
        <w:t>4</w:t>
      </w:r>
      <w:r w:rsidRPr="002866E5">
        <w:t>5/2001</w:t>
      </w:r>
      <w:r w:rsidR="008B35E8" w:rsidRPr="002866E5">
        <w:t xml:space="preserve"> i</w:t>
      </w:r>
      <w:r w:rsidR="008B35E8">
        <w:t> </w:t>
      </w:r>
      <w:r w:rsidR="008B35E8" w:rsidRPr="002866E5">
        <w:t>dec</w:t>
      </w:r>
      <w:r w:rsidRPr="002866E5">
        <w:t xml:space="preserve">yzji </w:t>
      </w:r>
      <w:r w:rsidRPr="008B35E8">
        <w:t>nr</w:t>
      </w:r>
      <w:r w:rsidR="008B35E8" w:rsidRPr="008B35E8">
        <w:t> </w:t>
      </w:r>
      <w:r w:rsidRPr="008B35E8">
        <w:t>1</w:t>
      </w:r>
      <w:r w:rsidRPr="002866E5">
        <w:t>247/2002/WE (Dz.U. L 295</w:t>
      </w:r>
      <w:r w:rsidR="008B35E8" w:rsidRPr="002866E5">
        <w:t xml:space="preserve"> z</w:t>
      </w:r>
      <w:r w:rsidR="008B35E8">
        <w:t> </w:t>
      </w:r>
      <w:r w:rsidR="008B35E8" w:rsidRPr="002866E5">
        <w:t>2</w:t>
      </w:r>
      <w:r w:rsidRPr="002866E5">
        <w:t>1.11.2018, s. 39).</w:t>
      </w:r>
    </w:p>
  </w:footnote>
  <w:footnote w:id="37">
    <w:p w14:paraId="67ED8CF1" w14:textId="23ABB55A" w:rsidR="009C20DD" w:rsidRPr="002866E5" w:rsidRDefault="009C20DD" w:rsidP="00B01AFE">
      <w:pPr>
        <w:pStyle w:val="FootnoteText"/>
      </w:pPr>
      <w:r>
        <w:rPr>
          <w:rStyle w:val="FootnoteReference"/>
        </w:rPr>
        <w:footnoteRef/>
      </w:r>
      <w:r w:rsidRPr="002866E5">
        <w:tab/>
        <w:t>Dyrektywa Parlamentu Europejskiego</w:t>
      </w:r>
      <w:r w:rsidR="008B35E8" w:rsidRPr="002866E5">
        <w:t xml:space="preserve"> i</w:t>
      </w:r>
      <w:r w:rsidR="008B35E8">
        <w:t> </w:t>
      </w:r>
      <w:r w:rsidR="008B35E8" w:rsidRPr="002866E5">
        <w:t>Rad</w:t>
      </w:r>
      <w:r w:rsidRPr="002866E5">
        <w:t>y (UE) 2016/943</w:t>
      </w:r>
      <w:r w:rsidR="008B35E8" w:rsidRPr="002866E5">
        <w:t xml:space="preserve"> z</w:t>
      </w:r>
      <w:r w:rsidR="008B35E8">
        <w:t> </w:t>
      </w:r>
      <w:r w:rsidR="008B35E8" w:rsidRPr="002866E5">
        <w:t>dni</w:t>
      </w:r>
      <w:r w:rsidRPr="002866E5">
        <w:t>a 8 czerwca 20</w:t>
      </w:r>
      <w:r w:rsidRPr="008B35E8">
        <w:t>16</w:t>
      </w:r>
      <w:r w:rsidR="008B35E8" w:rsidRPr="008B35E8">
        <w:t> </w:t>
      </w:r>
      <w:r w:rsidRPr="008B35E8">
        <w:t>r.</w:t>
      </w:r>
      <w:r w:rsidR="008B35E8" w:rsidRPr="002866E5">
        <w:t xml:space="preserve"> w</w:t>
      </w:r>
      <w:r w:rsidR="008B35E8">
        <w:t> </w:t>
      </w:r>
      <w:r w:rsidR="008B35E8" w:rsidRPr="002866E5">
        <w:t>spr</w:t>
      </w:r>
      <w:r w:rsidRPr="002866E5">
        <w:t>awie ochrony niejawnego know-how</w:t>
      </w:r>
      <w:r w:rsidR="008B35E8" w:rsidRPr="002866E5">
        <w:t xml:space="preserve"> i</w:t>
      </w:r>
      <w:r w:rsidR="008B35E8">
        <w:t> </w:t>
      </w:r>
      <w:r w:rsidR="008B35E8" w:rsidRPr="002866E5">
        <w:t>nie</w:t>
      </w:r>
      <w:r w:rsidRPr="002866E5">
        <w:t>jawnych informacji handlowych (tajemnic przedsiębiorstwa) przed ich bezprawnym pozyskiwaniem, wykorzystywaniem</w:t>
      </w:r>
      <w:r w:rsidR="008B35E8" w:rsidRPr="002866E5">
        <w:t xml:space="preserve"> i</w:t>
      </w:r>
      <w:r w:rsidR="008B35E8">
        <w:t> </w:t>
      </w:r>
      <w:r w:rsidR="008B35E8" w:rsidRPr="002866E5">
        <w:t>uja</w:t>
      </w:r>
      <w:r w:rsidRPr="002866E5">
        <w:t>wnianiem (Dz.U. L 157</w:t>
      </w:r>
      <w:r w:rsidR="008B35E8" w:rsidRPr="002866E5">
        <w:t xml:space="preserve"> z</w:t>
      </w:r>
      <w:r w:rsidR="008B35E8">
        <w:t> </w:t>
      </w:r>
      <w:r w:rsidR="008B35E8" w:rsidRPr="002866E5">
        <w:t>1</w:t>
      </w:r>
      <w:r w:rsidRPr="002866E5">
        <w:t>5.6.2016, s. 1).</w:t>
      </w:r>
    </w:p>
  </w:footnote>
  <w:footnote w:id="38">
    <w:p w14:paraId="67ED8CF2" w14:textId="15782CC9" w:rsidR="009C20DD" w:rsidRPr="002866E5" w:rsidRDefault="009C20DD" w:rsidP="00881943">
      <w:pPr>
        <w:pStyle w:val="FootnoteText"/>
        <w:rPr>
          <w:szCs w:val="24"/>
        </w:rPr>
      </w:pPr>
      <w:r>
        <w:rPr>
          <w:rStyle w:val="FootnoteReference"/>
        </w:rPr>
        <w:footnoteRef/>
      </w:r>
      <w:r w:rsidRPr="002866E5">
        <w:tab/>
        <w:t>O którym mowa</w:t>
      </w:r>
      <w:r w:rsidR="008B35E8" w:rsidRPr="002866E5">
        <w:t xml:space="preserve"> w</w:t>
      </w:r>
      <w:r w:rsidR="008B35E8">
        <w:t> </w:t>
      </w:r>
      <w:r w:rsidR="008B35E8" w:rsidRPr="008B35E8">
        <w:t>art</w:t>
      </w:r>
      <w:r w:rsidRPr="008B35E8">
        <w:t>.</w:t>
      </w:r>
      <w:r w:rsidR="008B35E8" w:rsidRPr="008B35E8">
        <w:t> </w:t>
      </w:r>
      <w:r w:rsidRPr="008B35E8">
        <w:t>5</w:t>
      </w:r>
      <w:r w:rsidRPr="002866E5">
        <w:t xml:space="preserve">8 </w:t>
      </w:r>
      <w:r w:rsidRPr="008B35E8">
        <w:t>ust.</w:t>
      </w:r>
      <w:r w:rsidR="008B35E8" w:rsidRPr="008B35E8">
        <w:t> </w:t>
      </w:r>
      <w:r w:rsidRPr="008B35E8">
        <w:t>2</w:t>
      </w:r>
      <w:r w:rsidRPr="002866E5">
        <w:t xml:space="preserve"> </w:t>
      </w:r>
      <w:r w:rsidRPr="008B35E8">
        <w:t>lit.</w:t>
      </w:r>
      <w:r w:rsidR="008B35E8" w:rsidRPr="008B35E8">
        <w:t> </w:t>
      </w:r>
      <w:r w:rsidRPr="008B35E8">
        <w:t>a)</w:t>
      </w:r>
      <w:r w:rsidRPr="002866E5">
        <w:t xml:space="preserve"> lub b) rozporządzenia finansowego.</w:t>
      </w:r>
    </w:p>
  </w:footnote>
  <w:footnote w:id="39">
    <w:p w14:paraId="67ED8CF3" w14:textId="3C3CEB87" w:rsidR="009C20DD" w:rsidRPr="002866E5" w:rsidRDefault="009C20DD">
      <w:pPr>
        <w:pStyle w:val="FootnoteText"/>
      </w:pPr>
      <w:r>
        <w:rPr>
          <w:rStyle w:val="FootnoteReference"/>
        </w:rPr>
        <w:footnoteRef/>
      </w:r>
      <w:r w:rsidRPr="002866E5">
        <w:tab/>
        <w:t>Zob. [dokument roboczy służb Komisji zawierający sprawozdanie</w:t>
      </w:r>
      <w:r w:rsidR="008B35E8" w:rsidRPr="002866E5">
        <w:t xml:space="preserve"> z</w:t>
      </w:r>
      <w:r w:rsidR="008B35E8">
        <w:t> </w:t>
      </w:r>
      <w:r w:rsidR="008B35E8" w:rsidRPr="002866E5">
        <w:t>oce</w:t>
      </w:r>
      <w:r w:rsidRPr="002866E5">
        <w:t>ny skutków towarzyszący rozporządzeniu</w:t>
      </w:r>
      <w:r w:rsidR="008B35E8" w:rsidRPr="002866E5">
        <w:t xml:space="preserve"> w</w:t>
      </w:r>
      <w:r w:rsidR="008B35E8">
        <w:t> </w:t>
      </w:r>
      <w:r w:rsidR="008B35E8" w:rsidRPr="002866E5">
        <w:t>spr</w:t>
      </w:r>
      <w:r w:rsidRPr="002866E5">
        <w:t>awie horyzontalnych wymogów cyberbezpieczeństwa</w:t>
      </w:r>
      <w:r w:rsidR="008B35E8" w:rsidRPr="002866E5">
        <w:t xml:space="preserve"> w</w:t>
      </w:r>
      <w:r w:rsidR="008B35E8">
        <w:t> </w:t>
      </w:r>
      <w:r w:rsidR="008B35E8" w:rsidRPr="002866E5">
        <w:t>odn</w:t>
      </w:r>
      <w:r w:rsidRPr="002866E5">
        <w:t>iesieniu do produktów</w:t>
      </w:r>
      <w:r w:rsidR="008B35E8" w:rsidRPr="002866E5">
        <w:t xml:space="preserve"> z</w:t>
      </w:r>
      <w:r w:rsidR="008B35E8">
        <w:t> </w:t>
      </w:r>
      <w:r w:rsidR="008B35E8" w:rsidRPr="002866E5">
        <w:t>ele</w:t>
      </w:r>
      <w:r w:rsidRPr="002866E5">
        <w:t>mentami cyfrowymi].</w:t>
      </w:r>
    </w:p>
  </w:footnote>
  <w:footnote w:id="40">
    <w:p w14:paraId="67ED8CF4" w14:textId="4657BAD2" w:rsidR="009C20DD" w:rsidRPr="002866E5" w:rsidRDefault="009C20DD" w:rsidP="008F2459">
      <w:pPr>
        <w:pStyle w:val="FootnoteText"/>
      </w:pPr>
      <w:r>
        <w:rPr>
          <w:rStyle w:val="FootnoteReference"/>
        </w:rPr>
        <w:footnoteRef/>
      </w:r>
      <w:r w:rsidRPr="002866E5">
        <w:tab/>
        <w:t>Zob. [dokument roboczy służb Komisji zawierający sprawozdanie</w:t>
      </w:r>
      <w:r w:rsidR="008B35E8" w:rsidRPr="002866E5">
        <w:t xml:space="preserve"> z</w:t>
      </w:r>
      <w:r w:rsidR="008B35E8">
        <w:t> </w:t>
      </w:r>
      <w:r w:rsidR="008B35E8" w:rsidRPr="002866E5">
        <w:t>oce</w:t>
      </w:r>
      <w:r w:rsidRPr="002866E5">
        <w:t>ny skutków towarzyszący rozporządzeniu</w:t>
      </w:r>
      <w:r w:rsidR="008B35E8" w:rsidRPr="002866E5">
        <w:t xml:space="preserve"> w</w:t>
      </w:r>
      <w:r w:rsidR="008B35E8">
        <w:t> </w:t>
      </w:r>
      <w:r w:rsidR="008B35E8" w:rsidRPr="002866E5">
        <w:t>spr</w:t>
      </w:r>
      <w:r w:rsidRPr="002866E5">
        <w:t>awie horyzontalnych wymogów cyberbezpieczeństwa</w:t>
      </w:r>
      <w:r w:rsidR="008B35E8" w:rsidRPr="002866E5">
        <w:t xml:space="preserve"> w</w:t>
      </w:r>
      <w:r w:rsidR="008B35E8">
        <w:t> </w:t>
      </w:r>
      <w:r w:rsidR="008B35E8" w:rsidRPr="002866E5">
        <w:t>odn</w:t>
      </w:r>
      <w:r w:rsidRPr="002866E5">
        <w:t>iesieniu do produktów</w:t>
      </w:r>
      <w:r w:rsidR="008B35E8" w:rsidRPr="002866E5">
        <w:t xml:space="preserve"> z</w:t>
      </w:r>
      <w:r w:rsidR="008B35E8">
        <w:t> </w:t>
      </w:r>
      <w:r w:rsidR="008B35E8" w:rsidRPr="002866E5">
        <w:t>ele</w:t>
      </w:r>
      <w:r w:rsidRPr="002866E5">
        <w:t>mentami cyfrowymi].</w:t>
      </w:r>
    </w:p>
  </w:footnote>
  <w:footnote w:id="41">
    <w:p w14:paraId="67ED8CF5" w14:textId="77777777" w:rsidR="009C20DD" w:rsidRPr="002866E5" w:rsidRDefault="009C20DD" w:rsidP="00881943">
      <w:pPr>
        <w:pStyle w:val="FootnoteText"/>
        <w:jc w:val="left"/>
        <w:rPr>
          <w:szCs w:val="24"/>
        </w:rPr>
      </w:pPr>
      <w:r>
        <w:rPr>
          <w:rStyle w:val="FootnoteReference"/>
        </w:rPr>
        <w:footnoteRef/>
      </w:r>
      <w:r w:rsidRPr="002866E5">
        <w:tab/>
        <w:t xml:space="preserve">Wyjaśnienia dotyczące trybów zarządzania oraz odniesienia do rozporządzenia finansowego znajdują się na następującej stronie: </w:t>
      </w:r>
      <w:hyperlink r:id="rId4" w:history="1">
        <w:r w:rsidRPr="002866E5">
          <w:rPr>
            <w:rStyle w:val="Hyperlink"/>
          </w:rPr>
          <w:t>https://myintracomm.ec.europa.eu/budgweb/EN/man/budgmanag/Pages/budgmanag.aspx</w:t>
        </w:r>
      </w:hyperlink>
      <w:r w:rsidRPr="002866E5">
        <w:t xml:space="preserve"> </w:t>
      </w:r>
    </w:p>
  </w:footnote>
  <w:footnote w:id="42">
    <w:p w14:paraId="67ED8CF6" w14:textId="0566003F" w:rsidR="009C20DD" w:rsidRPr="002866E5" w:rsidRDefault="009C20DD" w:rsidP="00881943">
      <w:pPr>
        <w:pStyle w:val="FootnoteText"/>
        <w:rPr>
          <w:sz w:val="18"/>
          <w:szCs w:val="18"/>
        </w:rPr>
      </w:pPr>
      <w:r>
        <w:rPr>
          <w:rStyle w:val="FootnoteReference"/>
        </w:rPr>
        <w:footnoteRef/>
      </w:r>
      <w:r w:rsidRPr="002866E5">
        <w:tab/>
      </w:r>
      <w:r w:rsidRPr="002866E5">
        <w:rPr>
          <w:sz w:val="18"/>
        </w:rPr>
        <w:t>Rok N jest rokiem,</w:t>
      </w:r>
      <w:r w:rsidR="008B35E8" w:rsidRPr="002866E5">
        <w:rPr>
          <w:sz w:val="18"/>
        </w:rPr>
        <w:t xml:space="preserve"> w</w:t>
      </w:r>
      <w:r w:rsidR="008B35E8">
        <w:rPr>
          <w:sz w:val="18"/>
        </w:rPr>
        <w:t> </w:t>
      </w:r>
      <w:r w:rsidR="008B35E8" w:rsidRPr="002866E5">
        <w:rPr>
          <w:sz w:val="18"/>
        </w:rPr>
        <w:t>któ</w:t>
      </w:r>
      <w:r w:rsidRPr="002866E5">
        <w:rPr>
          <w:sz w:val="18"/>
        </w:rPr>
        <w:t>rym rozpoczyna się wprowadzanie</w:t>
      </w:r>
      <w:r w:rsidR="008B35E8" w:rsidRPr="002866E5">
        <w:rPr>
          <w:sz w:val="18"/>
        </w:rPr>
        <w:t xml:space="preserve"> w</w:t>
      </w:r>
      <w:r w:rsidR="008B35E8">
        <w:rPr>
          <w:sz w:val="18"/>
        </w:rPr>
        <w:t> </w:t>
      </w:r>
      <w:r w:rsidR="008B35E8" w:rsidRPr="002866E5">
        <w:rPr>
          <w:sz w:val="18"/>
        </w:rPr>
        <w:t>życ</w:t>
      </w:r>
      <w:r w:rsidRPr="002866E5">
        <w:rPr>
          <w:sz w:val="18"/>
        </w:rPr>
        <w:t>ie wniosku/inicjatywy. „N” należy zastąpić oczekiwanym pierwszym rokiem realizacji (np.: 2021).Tak samo należy postąpić dla kolejnych lat.</w:t>
      </w:r>
    </w:p>
  </w:footnote>
  <w:footnote w:id="43">
    <w:p w14:paraId="67ED8CF7" w14:textId="2785AB0C" w:rsidR="009C20DD" w:rsidRPr="002866E5" w:rsidRDefault="009C20DD" w:rsidP="00881943">
      <w:pPr>
        <w:pStyle w:val="FootnoteText"/>
        <w:rPr>
          <w:sz w:val="18"/>
          <w:szCs w:val="18"/>
        </w:rPr>
      </w:pPr>
      <w:r>
        <w:rPr>
          <w:rStyle w:val="FootnoteReference"/>
        </w:rPr>
        <w:footnoteRef/>
      </w:r>
      <w:r w:rsidRPr="002866E5">
        <w:tab/>
      </w:r>
      <w:r w:rsidRPr="002866E5">
        <w:rPr>
          <w:sz w:val="18"/>
        </w:rPr>
        <w:t>Zgodnie</w:t>
      </w:r>
      <w:r w:rsidR="008B35E8" w:rsidRPr="002866E5">
        <w:rPr>
          <w:sz w:val="18"/>
        </w:rPr>
        <w:t xml:space="preserve"> z</w:t>
      </w:r>
      <w:r w:rsidR="008B35E8">
        <w:rPr>
          <w:sz w:val="18"/>
        </w:rPr>
        <w:t> </w:t>
      </w:r>
      <w:r w:rsidR="008B35E8" w:rsidRPr="002866E5">
        <w:rPr>
          <w:sz w:val="18"/>
        </w:rPr>
        <w:t>ofi</w:t>
      </w:r>
      <w:r w:rsidRPr="002866E5">
        <w:rPr>
          <w:sz w:val="18"/>
        </w:rPr>
        <w:t>cjalną nomenklaturą budżetową.</w:t>
      </w:r>
    </w:p>
  </w:footnote>
  <w:footnote w:id="44">
    <w:p w14:paraId="67ED8CF8" w14:textId="6BD5A8C5" w:rsidR="009C20DD" w:rsidRPr="002866E5" w:rsidRDefault="009C20DD" w:rsidP="00881943">
      <w:pPr>
        <w:pStyle w:val="FootnoteText"/>
        <w:rPr>
          <w:szCs w:val="24"/>
        </w:rPr>
      </w:pPr>
      <w:r>
        <w:rPr>
          <w:rStyle w:val="FootnoteReference"/>
        </w:rPr>
        <w:footnoteRef/>
      </w:r>
      <w:r w:rsidRPr="002866E5">
        <w:tab/>
      </w:r>
      <w:r w:rsidRPr="002866E5">
        <w:rPr>
          <w:sz w:val="18"/>
        </w:rPr>
        <w:t>Wsparcie techniczne lub administracyjne oraz wydatki na wsparcie</w:t>
      </w:r>
      <w:r w:rsidR="008B35E8" w:rsidRPr="002866E5">
        <w:rPr>
          <w:sz w:val="18"/>
        </w:rPr>
        <w:t xml:space="preserve"> w</w:t>
      </w:r>
      <w:r w:rsidR="008B35E8">
        <w:rPr>
          <w:sz w:val="18"/>
        </w:rPr>
        <w:t> </w:t>
      </w:r>
      <w:r w:rsidR="008B35E8" w:rsidRPr="002866E5">
        <w:rPr>
          <w:sz w:val="18"/>
        </w:rPr>
        <w:t>zak</w:t>
      </w:r>
      <w:r w:rsidRPr="002866E5">
        <w:rPr>
          <w:sz w:val="18"/>
        </w:rPr>
        <w:t>resie realizacji programów lub działań UE (dawne linie „BA”), pośrednie badania naukowe, bezpośrednie badania naukowe.</w:t>
      </w:r>
    </w:p>
  </w:footnote>
  <w:footnote w:id="45">
    <w:p w14:paraId="67ED8CF9" w14:textId="65415FBB" w:rsidR="009C20DD" w:rsidRPr="002866E5" w:rsidRDefault="009C20DD" w:rsidP="00881943">
      <w:pPr>
        <w:pStyle w:val="FootnoteText"/>
        <w:rPr>
          <w:szCs w:val="24"/>
        </w:rPr>
      </w:pPr>
      <w:r>
        <w:rPr>
          <w:rStyle w:val="FootnoteReference"/>
        </w:rPr>
        <w:footnoteRef/>
      </w:r>
      <w:r w:rsidRPr="002866E5">
        <w:tab/>
        <w:t>Produkty odnoszą się do produktów</w:t>
      </w:r>
      <w:r w:rsidR="008B35E8" w:rsidRPr="002866E5">
        <w:t xml:space="preserve"> i</w:t>
      </w:r>
      <w:r w:rsidR="008B35E8">
        <w:t> </w:t>
      </w:r>
      <w:r w:rsidR="008B35E8" w:rsidRPr="002866E5">
        <w:t>usł</w:t>
      </w:r>
      <w:r w:rsidRPr="002866E5">
        <w:t>ug, które zostaną zapewnione (np.: liczba sfinansowanych wymian studentów, liczba kilometrów zbudowanych dróg itp.).</w:t>
      </w:r>
    </w:p>
  </w:footnote>
  <w:footnote w:id="46">
    <w:p w14:paraId="67ED8CFA" w14:textId="53EA0106" w:rsidR="009C20DD" w:rsidRPr="002866E5" w:rsidRDefault="009C20DD" w:rsidP="00881943">
      <w:pPr>
        <w:pStyle w:val="FootnoteText"/>
        <w:rPr>
          <w:szCs w:val="24"/>
        </w:rPr>
      </w:pPr>
      <w:r>
        <w:rPr>
          <w:rStyle w:val="FootnoteReference"/>
        </w:rPr>
        <w:footnoteRef/>
      </w:r>
      <w:r w:rsidRPr="002866E5">
        <w:tab/>
        <w:t>Zgodnie</w:t>
      </w:r>
      <w:r w:rsidR="008B35E8" w:rsidRPr="002866E5">
        <w:t xml:space="preserve"> z</w:t>
      </w:r>
      <w:r w:rsidR="008B35E8">
        <w:t> </w:t>
      </w:r>
      <w:r w:rsidR="008B35E8" w:rsidRPr="002866E5">
        <w:t>opi</w:t>
      </w:r>
      <w:r w:rsidRPr="002866E5">
        <w:t>sem</w:t>
      </w:r>
      <w:r w:rsidR="008B35E8" w:rsidRPr="002866E5">
        <w:t xml:space="preserve"> w</w:t>
      </w:r>
      <w:r w:rsidR="008B35E8">
        <w:t> </w:t>
      </w:r>
      <w:r w:rsidR="008B35E8" w:rsidRPr="008B35E8">
        <w:t>pkt </w:t>
      </w:r>
      <w:r w:rsidR="00CA039E" w:rsidRPr="008B35E8">
        <w:t>1</w:t>
      </w:r>
      <w:r w:rsidR="00CA039E">
        <w:t>.4.2. „Cele szczegółowe …”.</w:t>
      </w:r>
    </w:p>
  </w:footnote>
  <w:footnote w:id="47">
    <w:p w14:paraId="67ED8CFB" w14:textId="6A8A6C34" w:rsidR="009C20DD" w:rsidRPr="002866E5" w:rsidRDefault="009C20DD" w:rsidP="00881943">
      <w:pPr>
        <w:pStyle w:val="FootnoteText"/>
        <w:rPr>
          <w:szCs w:val="24"/>
        </w:rPr>
      </w:pPr>
      <w:r>
        <w:rPr>
          <w:rStyle w:val="FootnoteReference"/>
        </w:rPr>
        <w:footnoteRef/>
      </w:r>
      <w:r w:rsidRPr="002866E5">
        <w:tab/>
      </w:r>
      <w:r w:rsidRPr="002866E5">
        <w:rPr>
          <w:sz w:val="18"/>
        </w:rPr>
        <w:t>Wsparcie techniczne lub administracyjne oraz wydatki na wsparcie</w:t>
      </w:r>
      <w:r w:rsidR="008B35E8" w:rsidRPr="002866E5">
        <w:rPr>
          <w:sz w:val="18"/>
        </w:rPr>
        <w:t xml:space="preserve"> w</w:t>
      </w:r>
      <w:r w:rsidR="008B35E8">
        <w:rPr>
          <w:sz w:val="18"/>
        </w:rPr>
        <w:t> </w:t>
      </w:r>
      <w:r w:rsidR="008B35E8" w:rsidRPr="002866E5">
        <w:rPr>
          <w:sz w:val="18"/>
        </w:rPr>
        <w:t>zak</w:t>
      </w:r>
      <w:r w:rsidRPr="002866E5">
        <w:rPr>
          <w:sz w:val="18"/>
        </w:rPr>
        <w:t>resie wprowadzania</w:t>
      </w:r>
      <w:r w:rsidR="008B35E8" w:rsidRPr="002866E5">
        <w:rPr>
          <w:sz w:val="18"/>
        </w:rPr>
        <w:t xml:space="preserve"> w</w:t>
      </w:r>
      <w:r w:rsidR="008B35E8">
        <w:rPr>
          <w:sz w:val="18"/>
        </w:rPr>
        <w:t> </w:t>
      </w:r>
      <w:r w:rsidR="008B35E8" w:rsidRPr="002866E5">
        <w:rPr>
          <w:sz w:val="18"/>
        </w:rPr>
        <w:t>życ</w:t>
      </w:r>
      <w:r w:rsidRPr="002866E5">
        <w:rPr>
          <w:sz w:val="18"/>
        </w:rPr>
        <w:t>ie programów lub działań UE (dawne linie „BA”), pośrednie badania naukowe, bezpośrednie badania naukowe.</w:t>
      </w:r>
    </w:p>
  </w:footnote>
  <w:footnote w:id="48">
    <w:p w14:paraId="67ED8CFC" w14:textId="0D7B1C18" w:rsidR="009C20DD" w:rsidRPr="002866E5" w:rsidRDefault="009C20DD" w:rsidP="00881943">
      <w:pPr>
        <w:pStyle w:val="FootnoteText"/>
        <w:rPr>
          <w:szCs w:val="24"/>
        </w:rPr>
      </w:pPr>
      <w:r>
        <w:rPr>
          <w:rStyle w:val="FootnoteReference"/>
        </w:rPr>
        <w:footnoteRef/>
      </w:r>
      <w:r w:rsidRPr="002866E5">
        <w:tab/>
        <w:t>CA = personel kontraktowy; LA = personel miejscowy; SNE = oddelegowany ekspert krajowy; INT = personel tymczasowy; JPD = młodszy specjalista</w:t>
      </w:r>
      <w:r w:rsidR="008B35E8" w:rsidRPr="002866E5">
        <w:t xml:space="preserve"> w</w:t>
      </w:r>
      <w:r w:rsidR="008B35E8">
        <w:t> </w:t>
      </w:r>
      <w:r w:rsidR="008B35E8" w:rsidRPr="002866E5">
        <w:t>del</w:t>
      </w:r>
      <w:r w:rsidRPr="002866E5">
        <w:t xml:space="preserve">egaturze. </w:t>
      </w:r>
    </w:p>
  </w:footnote>
  <w:footnote w:id="49">
    <w:p w14:paraId="67ED8CFD" w14:textId="77777777" w:rsidR="009C20DD" w:rsidRPr="002866E5" w:rsidRDefault="009C20DD" w:rsidP="00881943">
      <w:pPr>
        <w:pStyle w:val="FootnoteText"/>
        <w:rPr>
          <w:szCs w:val="24"/>
        </w:rPr>
      </w:pPr>
      <w:r>
        <w:rPr>
          <w:rStyle w:val="FootnoteReference"/>
        </w:rPr>
        <w:footnoteRef/>
      </w:r>
      <w:r w:rsidRPr="002866E5">
        <w:tab/>
        <w:t>W ramach podpułapu na personel zewnętrzny ze środków operacyjnych (dawne linie „BA”).</w:t>
      </w:r>
    </w:p>
  </w:footnote>
  <w:footnote w:id="50">
    <w:p w14:paraId="67ED8CFE" w14:textId="5983FF4C" w:rsidR="009C20DD" w:rsidRPr="002866E5" w:rsidRDefault="009C20DD" w:rsidP="00881943">
      <w:pPr>
        <w:pStyle w:val="FootnoteText"/>
      </w:pPr>
      <w:r>
        <w:rPr>
          <w:rStyle w:val="FootnoteReference"/>
        </w:rPr>
        <w:footnoteRef/>
      </w:r>
      <w:r w:rsidRPr="002866E5">
        <w:tab/>
        <w:t>Rok N jest rokiem,</w:t>
      </w:r>
      <w:r w:rsidR="008B35E8" w:rsidRPr="002866E5">
        <w:t xml:space="preserve"> w</w:t>
      </w:r>
      <w:r w:rsidR="008B35E8">
        <w:t> </w:t>
      </w:r>
      <w:r w:rsidR="008B35E8" w:rsidRPr="002866E5">
        <w:t>któ</w:t>
      </w:r>
      <w:r w:rsidRPr="002866E5">
        <w:t>rym rozpoczyna się wprowadzanie</w:t>
      </w:r>
      <w:r w:rsidR="008B35E8" w:rsidRPr="002866E5">
        <w:t xml:space="preserve"> w</w:t>
      </w:r>
      <w:r w:rsidR="008B35E8">
        <w:t> </w:t>
      </w:r>
      <w:r w:rsidR="008B35E8" w:rsidRPr="002866E5">
        <w:t>życ</w:t>
      </w:r>
      <w:r w:rsidRPr="002866E5">
        <w:t>ie wniosku/inicjatywy. „N” należy zastąpić oczekiwanym pierwszym rokiem realizacji (np.: 2021). Tak samo należy postąpić dla kolejnych lat.</w:t>
      </w:r>
    </w:p>
  </w:footnote>
  <w:footnote w:id="51">
    <w:p w14:paraId="67ED8CFF" w14:textId="6BDE85D2" w:rsidR="009C20DD" w:rsidRPr="002866E5" w:rsidRDefault="009C20DD" w:rsidP="00881943">
      <w:pPr>
        <w:pStyle w:val="FootnoteText"/>
        <w:rPr>
          <w:szCs w:val="24"/>
        </w:rPr>
      </w:pPr>
      <w:r>
        <w:rPr>
          <w:rStyle w:val="FootnoteReference"/>
        </w:rPr>
        <w:footnoteRef/>
      </w:r>
      <w:r w:rsidRPr="002866E5">
        <w:tab/>
        <w:t>W przypadku tradycyjnych zasobów własnych (opłaty celne, opłaty wyrównawcze od cukru) należy wskazać kwoty netto, tzn. kwoty brutto po odliczeniu 2</w:t>
      </w:r>
      <w:r w:rsidRPr="008B35E8">
        <w:t>0</w:t>
      </w:r>
      <w:r w:rsidR="008B35E8" w:rsidRPr="008B35E8">
        <w:t> </w:t>
      </w:r>
      <w:r w:rsidRPr="008B35E8">
        <w:t>%</w:t>
      </w:r>
      <w:r w:rsidRPr="002866E5">
        <w:t xml:space="preserve"> na poczet kosztów poboru.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55CA7" w14:textId="77777777" w:rsidR="00C00460" w:rsidRPr="00C00460" w:rsidRDefault="00C00460" w:rsidP="00C00460">
    <w:pPr>
      <w:pStyle w:val="HeaderLandscap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FB15D" w14:textId="77777777" w:rsidR="00C00460" w:rsidRPr="00C00460" w:rsidRDefault="00C00460" w:rsidP="00C00460">
    <w:pPr>
      <w:pStyle w:val="HeaderLandscap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5F1F0" w14:textId="77777777" w:rsidR="008837DD" w:rsidRPr="008837DD" w:rsidRDefault="008837DD" w:rsidP="00C0046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F008A" w14:textId="77777777" w:rsidR="00C00460" w:rsidRPr="00C00460" w:rsidRDefault="00C00460" w:rsidP="00C004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8BEBE" w14:textId="77777777" w:rsidR="00C00460" w:rsidRPr="008837DD" w:rsidRDefault="00C00460" w:rsidP="008837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A7CE5" w14:textId="77777777" w:rsidR="00C00460" w:rsidRPr="00C00460" w:rsidRDefault="00C00460" w:rsidP="00C00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0A0C1E7D"/>
    <w:multiLevelType w:val="hybridMultilevel"/>
    <w:tmpl w:val="A68614C6"/>
    <w:lvl w:ilvl="0" w:tplc="08090015">
      <w:start w:val="1"/>
      <w:numFmt w:val="upperLetter"/>
      <w:pStyle w:val="Heading1noP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pStyle w:val="FigureLeft"/>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201CB6"/>
    <w:multiLevelType w:val="multilevel"/>
    <w:tmpl w:val="AB92975C"/>
    <w:lvl w:ilvl="0">
      <w:start w:val="1"/>
      <w:numFmt w:val="decimal"/>
      <w:lvlRestart w:val="0"/>
      <w:lvlText w:val="%1."/>
      <w:lvlJc w:val="left"/>
      <w:pPr>
        <w:tabs>
          <w:tab w:val="num" w:pos="850"/>
        </w:tabs>
        <w:ind w:left="850" w:hanging="850"/>
      </w:pPr>
      <w:rPr>
        <w:i w:val="0"/>
        <w:color w:val="auto"/>
      </w:r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decimal"/>
      <w:lvlText w:val="%1.%2.%3.%4.%5."/>
      <w:lvlJc w:val="left"/>
      <w:pPr>
        <w:tabs>
          <w:tab w:val="num" w:pos="1417"/>
        </w:tabs>
        <w:ind w:left="1417" w:hanging="1417"/>
      </w:pPr>
    </w:lvl>
    <w:lvl w:ilvl="5">
      <w:start w:val="1"/>
      <w:numFmt w:val="decimal"/>
      <w:lvlText w:val="%1.%2.%3.%4.%5.%6."/>
      <w:lvlJc w:val="left"/>
      <w:pPr>
        <w:tabs>
          <w:tab w:val="num" w:pos="1417"/>
        </w:tabs>
        <w:ind w:left="1417" w:hanging="1417"/>
      </w:pPr>
    </w:lvl>
    <w:lvl w:ilvl="6">
      <w:start w:val="1"/>
      <w:numFmt w:val="decimal"/>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4"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0"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1"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2"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1"/>
    <w:lvlOverride w:ilvl="0">
      <w:startOverride w:val="1"/>
    </w:lvlOverride>
  </w:num>
  <w:num w:numId="2">
    <w:abstractNumId w:val="0"/>
  </w:num>
  <w:num w:numId="3">
    <w:abstractNumId w:val="21"/>
  </w:num>
  <w:num w:numId="4">
    <w:abstractNumId w:val="9"/>
  </w:num>
  <w:num w:numId="5">
    <w:abstractNumId w:val="18"/>
  </w:num>
  <w:num w:numId="6">
    <w:abstractNumId w:val="17"/>
  </w:num>
  <w:num w:numId="7">
    <w:abstractNumId w:val="28"/>
  </w:num>
  <w:num w:numId="8">
    <w:abstractNumId w:val="25"/>
  </w:num>
  <w:num w:numId="9">
    <w:abstractNumId w:val="29"/>
  </w:num>
  <w:num w:numId="10">
    <w:abstractNumId w:val="30"/>
  </w:num>
  <w:num w:numId="11">
    <w:abstractNumId w:val="3"/>
  </w:num>
  <w:num w:numId="12">
    <w:abstractNumId w:val="11"/>
  </w:num>
  <w:num w:numId="13">
    <w:abstractNumId w:val="4"/>
  </w:num>
  <w:num w:numId="14">
    <w:abstractNumId w:val="12"/>
  </w:num>
  <w:num w:numId="15">
    <w:abstractNumId w:val="10"/>
  </w:num>
  <w:num w:numId="16">
    <w:abstractNumId w:val="19"/>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lvlOverride w:ilvl="0">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1"/>
    </w:lvlOverride>
  </w:num>
  <w:num w:numId="62">
    <w:abstractNumId w:val="24"/>
    <w:lvlOverride w:ilvl="0">
      <w:startOverride w:val="1"/>
    </w:lvlOverride>
  </w:num>
  <w:num w:numId="63">
    <w:abstractNumId w:val="24"/>
  </w:num>
  <w:num w:numId="64">
    <w:abstractNumId w:val="13"/>
  </w:num>
  <w:num w:numId="65">
    <w:abstractNumId w:val="27"/>
  </w:num>
  <w:num w:numId="66">
    <w:abstractNumId w:val="8"/>
  </w:num>
  <w:num w:numId="67">
    <w:abstractNumId w:val="14"/>
  </w:num>
  <w:num w:numId="68">
    <w:abstractNumId w:val="15"/>
  </w:num>
  <w:num w:numId="69">
    <w:abstractNumId w:val="6"/>
  </w:num>
  <w:num w:numId="70">
    <w:abstractNumId w:val="26"/>
  </w:num>
  <w:num w:numId="71">
    <w:abstractNumId w:val="5"/>
  </w:num>
  <w:num w:numId="72">
    <w:abstractNumId w:val="16"/>
  </w:num>
  <w:num w:numId="73">
    <w:abstractNumId w:val="22"/>
  </w:num>
  <w:num w:numId="74">
    <w:abstractNumId w:val="23"/>
  </w:num>
  <w:num w:numId="75">
    <w:abstractNumId w:val="7"/>
  </w:num>
  <w:num w:numId="76">
    <w:abstractNumId w:val="20"/>
  </w:num>
  <w:num w:numId="77">
    <w:abstractNumId w:val="3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n-GB" w:vendorID="64" w:dllVersion="6" w:nlCheck="1" w:checkStyle="0"/>
  <w:activeWritingStyle w:appName="MSWord" w:lang="fr-BE" w:vendorID="64" w:dllVersion="6" w:nlCheck="1" w:checkStyle="0"/>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en-IE"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activeWritingStyle w:appName="MSWord" w:lang="en-IE" w:vendorID="64" w:dllVersion="131078" w:nlCheck="1" w:checkStyle="1"/>
  <w:activeWritingStyle w:appName="MSWord" w:lang="fr-FR" w:vendorID="64" w:dllVersion="131078" w:nlCheck="1" w:checkStyle="0"/>
  <w:attachedTemplate r:id="rId1"/>
  <w:revisionView w:markup="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2-10-21 16:30:36"/>
    <w:docVar w:name="DQCNUMB_1" w:val="205"/>
    <w:docVar w:name="DQCNUMB_10" w:val="300"/>
    <w:docVar w:name="DQCNUMB_100" w:val="524"/>
    <w:docVar w:name="DQCNUMB_101" w:val="526"/>
    <w:docVar w:name="DQCNUMB_102" w:val="541"/>
    <w:docVar w:name="DQCNUMB_103" w:val="546"/>
    <w:docVar w:name="DQCNUMB_104" w:val="553"/>
    <w:docVar w:name="DQCNUMB_105" w:val="563"/>
    <w:docVar w:name="DQCNUMB_106" w:val="570"/>
    <w:docVar w:name="DQCNUMB_107" w:val="579"/>
    <w:docVar w:name="DQCNUMB_108" w:val="587"/>
    <w:docVar w:name="DQCNUMB_109" w:val="594"/>
    <w:docVar w:name="DQCNUMB_11" w:val="301"/>
    <w:docVar w:name="DQCNUMB_110" w:val="603"/>
    <w:docVar w:name="DQCNUMB_111" w:val="623"/>
    <w:docVar w:name="DQCNUMB_112" w:val="628"/>
    <w:docVar w:name="DQCNUMB_113" w:val="631"/>
    <w:docVar w:name="DQCNUMB_12" w:val="302"/>
    <w:docVar w:name="DQCNUMB_13" w:val="303"/>
    <w:docVar w:name="DQCNUMB_14" w:val="304"/>
    <w:docVar w:name="DQCNUMB_15" w:val="305"/>
    <w:docVar w:name="DQCNUMB_16" w:val="306"/>
    <w:docVar w:name="DQCNUMB_17" w:val="307"/>
    <w:docVar w:name="DQCNUMB_18" w:val="336"/>
    <w:docVar w:name="DQCNUMB_19" w:val="337"/>
    <w:docVar w:name="DQCNUMB_2" w:val="206"/>
    <w:docVar w:name="DQCNUMB_20" w:val="338"/>
    <w:docVar w:name="DQCNUMB_21" w:val="339"/>
    <w:docVar w:name="DQCNUMB_22" w:val="348"/>
    <w:docVar w:name="DQCNUMB_23" w:val="349"/>
    <w:docVar w:name="DQCNUMB_24" w:val="350"/>
    <w:docVar w:name="DQCNUMB_25" w:val="391"/>
    <w:docVar w:name="DQCNUMB_26" w:val="392"/>
    <w:docVar w:name="DQCNUMB_27" w:val="393"/>
    <w:docVar w:name="DQCNUMB_28" w:val="441"/>
    <w:docVar w:name="DQCNUMB_29" w:val="442"/>
    <w:docVar w:name="DQCNUMB_3" w:val="258"/>
    <w:docVar w:name="DQCNUMB_30" w:val="443"/>
    <w:docVar w:name="DQCNUMB_31" w:val="444"/>
    <w:docVar w:name="DQCNUMB_32" w:val="445"/>
    <w:docVar w:name="DQCNUMB_33" w:val="446"/>
    <w:docVar w:name="DQCNUMB_34" w:val="447"/>
    <w:docVar w:name="DQCNUMB_35" w:val="451"/>
    <w:docVar w:name="DQCNUMB_36" w:val="452"/>
    <w:docVar w:name="DQCNUMB_37" w:val="457"/>
    <w:docVar w:name="DQCNUMB_38" w:val="458"/>
    <w:docVar w:name="DQCNUMB_39" w:val="459"/>
    <w:docVar w:name="DQCNUMB_4" w:val="259"/>
    <w:docVar w:name="DQCNUMB_40" w:val="460"/>
    <w:docVar w:name="DQCNUMB_41" w:val="461"/>
    <w:docVar w:name="DQCNUMB_42" w:val="462"/>
    <w:docVar w:name="DQCNUMB_43" w:val="484"/>
    <w:docVar w:name="DQCNUMB_44" w:val="485"/>
    <w:docVar w:name="DQCNUMB_45" w:val="489"/>
    <w:docVar w:name="DQCNUMB_46" w:val="490"/>
    <w:docVar w:name="DQCNUMB_47" w:val="491"/>
    <w:docVar w:name="DQCNUMB_48" w:val="432"/>
    <w:docVar w:name="DQCNUMB_49" w:val="433"/>
    <w:docVar w:name="DQCNUMB_5" w:val="285"/>
    <w:docVar w:name="DQCNUMB_50" w:val="434"/>
    <w:docVar w:name="DQCNUMB_51" w:val="435"/>
    <w:docVar w:name="DQCNUMB_52" w:val="436"/>
    <w:docVar w:name="DQCNUMB_53" w:val="440"/>
    <w:docVar w:name="DQCNUMB_54" w:val="441"/>
    <w:docVar w:name="DQCNUMB_55" w:val="442"/>
    <w:docVar w:name="DQCNUMB_56" w:val="443"/>
    <w:docVar w:name="DQCNUMB_57" w:val="444"/>
    <w:docVar w:name="DQCNUMB_58" w:val="445"/>
    <w:docVar w:name="DQCNUMB_59" w:val="446"/>
    <w:docVar w:name="DQCNUMB_6" w:val="296"/>
    <w:docVar w:name="DQCNUMB_60" w:val="447"/>
    <w:docVar w:name="DQCNUMB_61" w:val="449"/>
    <w:docVar w:name="DQCNUMB_62" w:val="452"/>
    <w:docVar w:name="DQCNUMB_63" w:val="453"/>
    <w:docVar w:name="DQCNUMB_64" w:val="454"/>
    <w:docVar w:name="DQCNUMB_65" w:val="455"/>
    <w:docVar w:name="DQCNUMB_66" w:val="456"/>
    <w:docVar w:name="DQCNUMB_67" w:val="458"/>
    <w:docVar w:name="DQCNUMB_68" w:val="459"/>
    <w:docVar w:name="DQCNUMB_69" w:val="460"/>
    <w:docVar w:name="DQCNUMB_7" w:val="297"/>
    <w:docVar w:name="DQCNUMB_70" w:val="461"/>
    <w:docVar w:name="DQCNUMB_71" w:val="463"/>
    <w:docVar w:name="DQCNUMB_72" w:val="464"/>
    <w:docVar w:name="DQCNUMB_73" w:val="465"/>
    <w:docVar w:name="DQCNUMB_74" w:val="466"/>
    <w:docVar w:name="DQCNUMB_75" w:val="467"/>
    <w:docVar w:name="DQCNUMB_76" w:val="468"/>
    <w:docVar w:name="DQCNUMB_77" w:val="469"/>
    <w:docVar w:name="DQCNUMB_78" w:val="471"/>
    <w:docVar w:name="DQCNUMB_79" w:val="472"/>
    <w:docVar w:name="DQCNUMB_8" w:val="298"/>
    <w:docVar w:name="DQCNUMB_80" w:val="473"/>
    <w:docVar w:name="DQCNUMB_81" w:val="474"/>
    <w:docVar w:name="DQCNUMB_82" w:val="476"/>
    <w:docVar w:name="DQCNUMB_83" w:val="477"/>
    <w:docVar w:name="DQCNUMB_84" w:val="478"/>
    <w:docVar w:name="DQCNUMB_85" w:val="480"/>
    <w:docVar w:name="DQCNUMB_86" w:val="481"/>
    <w:docVar w:name="DQCNUMB_87" w:val="482"/>
    <w:docVar w:name="DQCNUMB_88" w:val="483"/>
    <w:docVar w:name="DQCNUMB_89" w:val="484"/>
    <w:docVar w:name="DQCNUMB_9" w:val="299"/>
    <w:docVar w:name="DQCNUMB_90" w:val="486"/>
    <w:docVar w:name="DQCNUMB_91" w:val="494"/>
    <w:docVar w:name="DQCNUMB_92" w:val="496"/>
    <w:docVar w:name="DQCNUMB_93" w:val="497"/>
    <w:docVar w:name="DQCNUMB_94" w:val="498"/>
    <w:docVar w:name="DQCNUMB_95" w:val="499"/>
    <w:docVar w:name="DQCNUMB_96" w:val="502"/>
    <w:docVar w:name="DQCNUMB_97" w:val="505"/>
    <w:docVar w:name="DQCNUMB_98" w:val="511"/>
    <w:docVar w:name="DQCNUMB_99" w:val="523"/>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0518937-0B7C-4C35-A989-EC27699843D3"/>
    <w:docVar w:name="LW_COVERPAGE_TYPE" w:val="1"/>
    <w:docVar w:name="LW_CROSSREFERENCE" w:val="{SEC(2022) 321 final} - {SWD(2022) 282 final} - {SWD(2022) 283 final}"/>
    <w:docVar w:name="LW_DocType" w:val="COM"/>
    <w:docVar w:name="LW_EMISSION" w:val="15.9.2022"/>
    <w:docVar w:name="LW_EMISSION_ISODATE" w:val="2022-09-15"/>
    <w:docVar w:name="LW_EMISSION_LOCATION" w:val="BRX"/>
    <w:docVar w:name="LW_EMISSION_PREFIX" w:val="Bruksela, dnia "/>
    <w:docVar w:name="LW_EMISSION_SUFFIX" w:val=" r."/>
    <w:docVar w:name="LW_ID_DOCMODEL" w:val="SJ-023"/>
    <w:docVar w:name="LW_ID_DOCSIGNATURE" w:val="SJ-023"/>
    <w:docVar w:name="LW_ID_DOCSTRUCTURE" w:val="COM/PL/ORG"/>
    <w:docVar w:name="LW_ID_DOCTYPE" w:val="SJ-023"/>
    <w:docVar w:name="LW_ID_EXP.MOTIFS.NEW" w:val="EM_PL_"/>
    <w:docVar w:name="LW_ID_STATUT" w:val="SJ-023"/>
    <w:docVar w:name="LW_INTERETEEE.CP" w:val="(Tekst mający znaczenie dla EOG)"/>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272"/>
    <w:docVar w:name="LW_REF.II.NEW.CP_YEAR" w:val="2022"/>
    <w:docVar w:name="LW_REF.INST.NEW" w:val="COM"/>
    <w:docVar w:name="LW_REF.INST.NEW_ADOPTED" w:val="final"/>
    <w:docVar w:name="LW_REF.INST.NEW_TEXT" w:val="(2022) 45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w sprawie horyzontalnych wymogów cyberbezpieczeństwa w odniesieniu do produktów z elementami cyfrowymi i zmieniające rozporządzenie (UE) 2019/1020"/>
    <w:docVar w:name="LW_TYPE.DOC.CP" w:val="ROZPORZĄDZENIE PARLAMENTU EUROPEJSKIEGO I RADY"/>
    <w:docVar w:name="LwApiVersions" w:val="LW4CoDe 1.23.2.0; LW 8.0, Build 20211117"/>
  </w:docVars>
  <w:rsids>
    <w:rsidRoot w:val="0037165D"/>
    <w:rsid w:val="00000476"/>
    <w:rsid w:val="000008A5"/>
    <w:rsid w:val="00000DB9"/>
    <w:rsid w:val="00000E49"/>
    <w:rsid w:val="0000212B"/>
    <w:rsid w:val="00002158"/>
    <w:rsid w:val="00002275"/>
    <w:rsid w:val="00002629"/>
    <w:rsid w:val="000026C8"/>
    <w:rsid w:val="00002F35"/>
    <w:rsid w:val="000031FE"/>
    <w:rsid w:val="00004188"/>
    <w:rsid w:val="00004369"/>
    <w:rsid w:val="00004443"/>
    <w:rsid w:val="000044C3"/>
    <w:rsid w:val="0000459C"/>
    <w:rsid w:val="000046A8"/>
    <w:rsid w:val="00004757"/>
    <w:rsid w:val="00004871"/>
    <w:rsid w:val="00004CCB"/>
    <w:rsid w:val="00004EA5"/>
    <w:rsid w:val="000050A4"/>
    <w:rsid w:val="00005DF7"/>
    <w:rsid w:val="00006210"/>
    <w:rsid w:val="00006296"/>
    <w:rsid w:val="000064F5"/>
    <w:rsid w:val="000065AF"/>
    <w:rsid w:val="00006F86"/>
    <w:rsid w:val="00007D90"/>
    <w:rsid w:val="00007FD6"/>
    <w:rsid w:val="00010027"/>
    <w:rsid w:val="00010220"/>
    <w:rsid w:val="000104F3"/>
    <w:rsid w:val="00010FDD"/>
    <w:rsid w:val="000114BE"/>
    <w:rsid w:val="0001150D"/>
    <w:rsid w:val="00011513"/>
    <w:rsid w:val="0001178E"/>
    <w:rsid w:val="00011AF4"/>
    <w:rsid w:val="00011FFE"/>
    <w:rsid w:val="00012233"/>
    <w:rsid w:val="00012705"/>
    <w:rsid w:val="00012785"/>
    <w:rsid w:val="00012C4C"/>
    <w:rsid w:val="0001311D"/>
    <w:rsid w:val="0001322D"/>
    <w:rsid w:val="00013B50"/>
    <w:rsid w:val="00013C85"/>
    <w:rsid w:val="00014045"/>
    <w:rsid w:val="00014971"/>
    <w:rsid w:val="00014A38"/>
    <w:rsid w:val="00014A6B"/>
    <w:rsid w:val="00015170"/>
    <w:rsid w:val="0001577E"/>
    <w:rsid w:val="00015BCD"/>
    <w:rsid w:val="000162D1"/>
    <w:rsid w:val="000166C9"/>
    <w:rsid w:val="00016B05"/>
    <w:rsid w:val="00016D22"/>
    <w:rsid w:val="00016EF2"/>
    <w:rsid w:val="00017D8D"/>
    <w:rsid w:val="00017DA6"/>
    <w:rsid w:val="00017FBA"/>
    <w:rsid w:val="00020436"/>
    <w:rsid w:val="00020E2D"/>
    <w:rsid w:val="00021391"/>
    <w:rsid w:val="000215F7"/>
    <w:rsid w:val="00021782"/>
    <w:rsid w:val="00021941"/>
    <w:rsid w:val="00021F23"/>
    <w:rsid w:val="000224DB"/>
    <w:rsid w:val="000226CE"/>
    <w:rsid w:val="00023235"/>
    <w:rsid w:val="00023B10"/>
    <w:rsid w:val="00023DC4"/>
    <w:rsid w:val="0002414D"/>
    <w:rsid w:val="000245A1"/>
    <w:rsid w:val="000250A7"/>
    <w:rsid w:val="000252C3"/>
    <w:rsid w:val="00025891"/>
    <w:rsid w:val="00025B6B"/>
    <w:rsid w:val="00025B9A"/>
    <w:rsid w:val="00025F7F"/>
    <w:rsid w:val="0002654E"/>
    <w:rsid w:val="00026627"/>
    <w:rsid w:val="000271DB"/>
    <w:rsid w:val="00027552"/>
    <w:rsid w:val="00027618"/>
    <w:rsid w:val="000279A4"/>
    <w:rsid w:val="00027EAC"/>
    <w:rsid w:val="00030B09"/>
    <w:rsid w:val="00030EB5"/>
    <w:rsid w:val="0003121D"/>
    <w:rsid w:val="000319FD"/>
    <w:rsid w:val="00031A9B"/>
    <w:rsid w:val="000322E4"/>
    <w:rsid w:val="00032426"/>
    <w:rsid w:val="000329FE"/>
    <w:rsid w:val="00032A28"/>
    <w:rsid w:val="00032C50"/>
    <w:rsid w:val="00032F49"/>
    <w:rsid w:val="000335ED"/>
    <w:rsid w:val="00033BA5"/>
    <w:rsid w:val="000340F9"/>
    <w:rsid w:val="00034E09"/>
    <w:rsid w:val="00034EDC"/>
    <w:rsid w:val="00034F5C"/>
    <w:rsid w:val="00035131"/>
    <w:rsid w:val="000353CF"/>
    <w:rsid w:val="0003649A"/>
    <w:rsid w:val="00036A02"/>
    <w:rsid w:val="00036A90"/>
    <w:rsid w:val="00036D03"/>
    <w:rsid w:val="00036FB1"/>
    <w:rsid w:val="000374F4"/>
    <w:rsid w:val="000378A2"/>
    <w:rsid w:val="00037CD9"/>
    <w:rsid w:val="00040321"/>
    <w:rsid w:val="00040B4E"/>
    <w:rsid w:val="00040F8E"/>
    <w:rsid w:val="00041D74"/>
    <w:rsid w:val="00041DF8"/>
    <w:rsid w:val="00042140"/>
    <w:rsid w:val="000423A0"/>
    <w:rsid w:val="0004251E"/>
    <w:rsid w:val="00042B0E"/>
    <w:rsid w:val="00043280"/>
    <w:rsid w:val="00043516"/>
    <w:rsid w:val="000438CE"/>
    <w:rsid w:val="00044728"/>
    <w:rsid w:val="00044AF9"/>
    <w:rsid w:val="00044CD1"/>
    <w:rsid w:val="00045161"/>
    <w:rsid w:val="00045822"/>
    <w:rsid w:val="000461A4"/>
    <w:rsid w:val="000467F3"/>
    <w:rsid w:val="000468A2"/>
    <w:rsid w:val="00046E20"/>
    <w:rsid w:val="00046EBC"/>
    <w:rsid w:val="00047903"/>
    <w:rsid w:val="00047FB5"/>
    <w:rsid w:val="00050CA1"/>
    <w:rsid w:val="00051DBD"/>
    <w:rsid w:val="000525D4"/>
    <w:rsid w:val="000527AC"/>
    <w:rsid w:val="00052BCB"/>
    <w:rsid w:val="00053BA7"/>
    <w:rsid w:val="00053C5A"/>
    <w:rsid w:val="0005407F"/>
    <w:rsid w:val="0005432E"/>
    <w:rsid w:val="0005449E"/>
    <w:rsid w:val="000546D3"/>
    <w:rsid w:val="00054920"/>
    <w:rsid w:val="00054F41"/>
    <w:rsid w:val="00055182"/>
    <w:rsid w:val="00055664"/>
    <w:rsid w:val="00055FA7"/>
    <w:rsid w:val="000560DD"/>
    <w:rsid w:val="00056736"/>
    <w:rsid w:val="00057563"/>
    <w:rsid w:val="00057803"/>
    <w:rsid w:val="00061393"/>
    <w:rsid w:val="0006198D"/>
    <w:rsid w:val="00061AB4"/>
    <w:rsid w:val="00061ECC"/>
    <w:rsid w:val="000620DD"/>
    <w:rsid w:val="000622C8"/>
    <w:rsid w:val="000626AB"/>
    <w:rsid w:val="00062DDD"/>
    <w:rsid w:val="000631EE"/>
    <w:rsid w:val="00063518"/>
    <w:rsid w:val="00063B6A"/>
    <w:rsid w:val="0006421E"/>
    <w:rsid w:val="0006534F"/>
    <w:rsid w:val="0006575F"/>
    <w:rsid w:val="0006608B"/>
    <w:rsid w:val="00066335"/>
    <w:rsid w:val="00066741"/>
    <w:rsid w:val="0006688B"/>
    <w:rsid w:val="00066B6D"/>
    <w:rsid w:val="0006773A"/>
    <w:rsid w:val="000702FB"/>
    <w:rsid w:val="00070532"/>
    <w:rsid w:val="00070D2E"/>
    <w:rsid w:val="0007133D"/>
    <w:rsid w:val="0007135B"/>
    <w:rsid w:val="000717FA"/>
    <w:rsid w:val="00071C78"/>
    <w:rsid w:val="00071D84"/>
    <w:rsid w:val="00071FCA"/>
    <w:rsid w:val="00072552"/>
    <w:rsid w:val="00072F59"/>
    <w:rsid w:val="000738B1"/>
    <w:rsid w:val="00073E63"/>
    <w:rsid w:val="0007430E"/>
    <w:rsid w:val="0007438E"/>
    <w:rsid w:val="000745E6"/>
    <w:rsid w:val="00074610"/>
    <w:rsid w:val="00074F76"/>
    <w:rsid w:val="000756E0"/>
    <w:rsid w:val="00075942"/>
    <w:rsid w:val="00075AC8"/>
    <w:rsid w:val="00075C77"/>
    <w:rsid w:val="00075F49"/>
    <w:rsid w:val="00076B64"/>
    <w:rsid w:val="00076F29"/>
    <w:rsid w:val="000770AD"/>
    <w:rsid w:val="000770F0"/>
    <w:rsid w:val="0007755B"/>
    <w:rsid w:val="0007776A"/>
    <w:rsid w:val="00077C5F"/>
    <w:rsid w:val="00077D79"/>
    <w:rsid w:val="000800BF"/>
    <w:rsid w:val="0008089C"/>
    <w:rsid w:val="00080DD6"/>
    <w:rsid w:val="00081958"/>
    <w:rsid w:val="0008199A"/>
    <w:rsid w:val="00081A44"/>
    <w:rsid w:val="00081B90"/>
    <w:rsid w:val="00081BF4"/>
    <w:rsid w:val="00081C69"/>
    <w:rsid w:val="00081DC1"/>
    <w:rsid w:val="00082026"/>
    <w:rsid w:val="00082821"/>
    <w:rsid w:val="00082E35"/>
    <w:rsid w:val="00082FC2"/>
    <w:rsid w:val="00083AF1"/>
    <w:rsid w:val="0008428E"/>
    <w:rsid w:val="0008478D"/>
    <w:rsid w:val="00084E38"/>
    <w:rsid w:val="00085179"/>
    <w:rsid w:val="00085C2C"/>
    <w:rsid w:val="00085E19"/>
    <w:rsid w:val="000861AE"/>
    <w:rsid w:val="00086A93"/>
    <w:rsid w:val="00086E62"/>
    <w:rsid w:val="00087E0C"/>
    <w:rsid w:val="000901CC"/>
    <w:rsid w:val="00090331"/>
    <w:rsid w:val="00090608"/>
    <w:rsid w:val="0009070C"/>
    <w:rsid w:val="000907E4"/>
    <w:rsid w:val="00090F6A"/>
    <w:rsid w:val="00090FB3"/>
    <w:rsid w:val="000913A2"/>
    <w:rsid w:val="000914EA"/>
    <w:rsid w:val="000915C8"/>
    <w:rsid w:val="00092352"/>
    <w:rsid w:val="0009257B"/>
    <w:rsid w:val="0009277D"/>
    <w:rsid w:val="00092A20"/>
    <w:rsid w:val="00092AA3"/>
    <w:rsid w:val="00093045"/>
    <w:rsid w:val="00093E4E"/>
    <w:rsid w:val="0009411A"/>
    <w:rsid w:val="000942C5"/>
    <w:rsid w:val="000945D3"/>
    <w:rsid w:val="000946A3"/>
    <w:rsid w:val="000946F3"/>
    <w:rsid w:val="00094A30"/>
    <w:rsid w:val="00094F12"/>
    <w:rsid w:val="000950EC"/>
    <w:rsid w:val="000952F0"/>
    <w:rsid w:val="000955E8"/>
    <w:rsid w:val="00095A0D"/>
    <w:rsid w:val="00095FFD"/>
    <w:rsid w:val="00096267"/>
    <w:rsid w:val="0009666A"/>
    <w:rsid w:val="000966EE"/>
    <w:rsid w:val="00096A1D"/>
    <w:rsid w:val="00096B1A"/>
    <w:rsid w:val="00096CF5"/>
    <w:rsid w:val="0009719D"/>
    <w:rsid w:val="000974E5"/>
    <w:rsid w:val="0009788A"/>
    <w:rsid w:val="000A0B63"/>
    <w:rsid w:val="000A0E7E"/>
    <w:rsid w:val="000A0FC2"/>
    <w:rsid w:val="000A1659"/>
    <w:rsid w:val="000A205C"/>
    <w:rsid w:val="000A23C5"/>
    <w:rsid w:val="000A27B3"/>
    <w:rsid w:val="000A27CB"/>
    <w:rsid w:val="000A2C33"/>
    <w:rsid w:val="000A2F2B"/>
    <w:rsid w:val="000A316E"/>
    <w:rsid w:val="000A32D3"/>
    <w:rsid w:val="000A390D"/>
    <w:rsid w:val="000A3EF9"/>
    <w:rsid w:val="000A40A0"/>
    <w:rsid w:val="000A40E1"/>
    <w:rsid w:val="000A4112"/>
    <w:rsid w:val="000A4268"/>
    <w:rsid w:val="000A4430"/>
    <w:rsid w:val="000A467B"/>
    <w:rsid w:val="000A46E6"/>
    <w:rsid w:val="000A4BF9"/>
    <w:rsid w:val="000A4F9F"/>
    <w:rsid w:val="000A4FF3"/>
    <w:rsid w:val="000A50A3"/>
    <w:rsid w:val="000A5394"/>
    <w:rsid w:val="000A5D3C"/>
    <w:rsid w:val="000A5D70"/>
    <w:rsid w:val="000A6D98"/>
    <w:rsid w:val="000A6E88"/>
    <w:rsid w:val="000A7487"/>
    <w:rsid w:val="000A7517"/>
    <w:rsid w:val="000A7BF9"/>
    <w:rsid w:val="000A7C7E"/>
    <w:rsid w:val="000A7F31"/>
    <w:rsid w:val="000B00D5"/>
    <w:rsid w:val="000B10B0"/>
    <w:rsid w:val="000B11A1"/>
    <w:rsid w:val="000B12AF"/>
    <w:rsid w:val="000B12B1"/>
    <w:rsid w:val="000B13F8"/>
    <w:rsid w:val="000B1B2E"/>
    <w:rsid w:val="000B1DCA"/>
    <w:rsid w:val="000B2368"/>
    <w:rsid w:val="000B23EB"/>
    <w:rsid w:val="000B2402"/>
    <w:rsid w:val="000B2498"/>
    <w:rsid w:val="000B2B06"/>
    <w:rsid w:val="000B2EB6"/>
    <w:rsid w:val="000B2EB8"/>
    <w:rsid w:val="000B2F93"/>
    <w:rsid w:val="000B31FA"/>
    <w:rsid w:val="000B3482"/>
    <w:rsid w:val="000B3579"/>
    <w:rsid w:val="000B35B8"/>
    <w:rsid w:val="000B44D7"/>
    <w:rsid w:val="000B5121"/>
    <w:rsid w:val="000B588D"/>
    <w:rsid w:val="000B5E33"/>
    <w:rsid w:val="000B60B0"/>
    <w:rsid w:val="000B677A"/>
    <w:rsid w:val="000B6B2C"/>
    <w:rsid w:val="000B74AE"/>
    <w:rsid w:val="000B7625"/>
    <w:rsid w:val="000B776A"/>
    <w:rsid w:val="000B77EB"/>
    <w:rsid w:val="000B7C3F"/>
    <w:rsid w:val="000C075C"/>
    <w:rsid w:val="000C0AB7"/>
    <w:rsid w:val="000C10F9"/>
    <w:rsid w:val="000C1776"/>
    <w:rsid w:val="000C1911"/>
    <w:rsid w:val="000C2381"/>
    <w:rsid w:val="000C26AA"/>
    <w:rsid w:val="000C2D2B"/>
    <w:rsid w:val="000C3042"/>
    <w:rsid w:val="000C336A"/>
    <w:rsid w:val="000C33A7"/>
    <w:rsid w:val="000C361D"/>
    <w:rsid w:val="000C3815"/>
    <w:rsid w:val="000C3A74"/>
    <w:rsid w:val="000C3D08"/>
    <w:rsid w:val="000C479E"/>
    <w:rsid w:val="000C4BFA"/>
    <w:rsid w:val="000C4CB7"/>
    <w:rsid w:val="000C5002"/>
    <w:rsid w:val="000C5305"/>
    <w:rsid w:val="000C5352"/>
    <w:rsid w:val="000C571E"/>
    <w:rsid w:val="000C573A"/>
    <w:rsid w:val="000C5C32"/>
    <w:rsid w:val="000C5E56"/>
    <w:rsid w:val="000C6333"/>
    <w:rsid w:val="000C6879"/>
    <w:rsid w:val="000C6ACF"/>
    <w:rsid w:val="000C6BAD"/>
    <w:rsid w:val="000C7A4E"/>
    <w:rsid w:val="000C7C34"/>
    <w:rsid w:val="000D0B74"/>
    <w:rsid w:val="000D15D3"/>
    <w:rsid w:val="000D2444"/>
    <w:rsid w:val="000D2731"/>
    <w:rsid w:val="000D278D"/>
    <w:rsid w:val="000D2888"/>
    <w:rsid w:val="000D3006"/>
    <w:rsid w:val="000D3773"/>
    <w:rsid w:val="000D38CA"/>
    <w:rsid w:val="000D531E"/>
    <w:rsid w:val="000D56A1"/>
    <w:rsid w:val="000D5889"/>
    <w:rsid w:val="000D5C43"/>
    <w:rsid w:val="000D5E80"/>
    <w:rsid w:val="000D6145"/>
    <w:rsid w:val="000D6986"/>
    <w:rsid w:val="000D69DD"/>
    <w:rsid w:val="000D6C28"/>
    <w:rsid w:val="000D6CFC"/>
    <w:rsid w:val="000D6DCB"/>
    <w:rsid w:val="000D6E15"/>
    <w:rsid w:val="000D75AA"/>
    <w:rsid w:val="000D771F"/>
    <w:rsid w:val="000E037D"/>
    <w:rsid w:val="000E06B7"/>
    <w:rsid w:val="000E086C"/>
    <w:rsid w:val="000E0C42"/>
    <w:rsid w:val="000E0ECB"/>
    <w:rsid w:val="000E0EFC"/>
    <w:rsid w:val="000E160F"/>
    <w:rsid w:val="000E198E"/>
    <w:rsid w:val="000E1B5D"/>
    <w:rsid w:val="000E1CFB"/>
    <w:rsid w:val="000E2178"/>
    <w:rsid w:val="000E257D"/>
    <w:rsid w:val="000E2919"/>
    <w:rsid w:val="000E2BB1"/>
    <w:rsid w:val="000E336E"/>
    <w:rsid w:val="000E378A"/>
    <w:rsid w:val="000E4140"/>
    <w:rsid w:val="000E44E3"/>
    <w:rsid w:val="000E4F92"/>
    <w:rsid w:val="000E5981"/>
    <w:rsid w:val="000E5DA8"/>
    <w:rsid w:val="000E6083"/>
    <w:rsid w:val="000E669A"/>
    <w:rsid w:val="000E71E0"/>
    <w:rsid w:val="000E72CE"/>
    <w:rsid w:val="000E7347"/>
    <w:rsid w:val="000E74B8"/>
    <w:rsid w:val="000E74D5"/>
    <w:rsid w:val="000E752F"/>
    <w:rsid w:val="000E75B4"/>
    <w:rsid w:val="000F1733"/>
    <w:rsid w:val="000F17A1"/>
    <w:rsid w:val="000F18F1"/>
    <w:rsid w:val="000F1E71"/>
    <w:rsid w:val="000F27E7"/>
    <w:rsid w:val="000F2D20"/>
    <w:rsid w:val="000F3581"/>
    <w:rsid w:val="000F3AE1"/>
    <w:rsid w:val="000F3E96"/>
    <w:rsid w:val="000F4C50"/>
    <w:rsid w:val="000F4E69"/>
    <w:rsid w:val="000F518E"/>
    <w:rsid w:val="000F5256"/>
    <w:rsid w:val="000F539B"/>
    <w:rsid w:val="000F57F3"/>
    <w:rsid w:val="000F5FBF"/>
    <w:rsid w:val="000F6534"/>
    <w:rsid w:val="000F6968"/>
    <w:rsid w:val="000F6D8A"/>
    <w:rsid w:val="000F6E0A"/>
    <w:rsid w:val="000F7931"/>
    <w:rsid w:val="000F7F4C"/>
    <w:rsid w:val="0010005A"/>
    <w:rsid w:val="00100451"/>
    <w:rsid w:val="001007E2"/>
    <w:rsid w:val="00100A16"/>
    <w:rsid w:val="001013E6"/>
    <w:rsid w:val="00101908"/>
    <w:rsid w:val="00101984"/>
    <w:rsid w:val="00101C9B"/>
    <w:rsid w:val="00101DF3"/>
    <w:rsid w:val="00101FEA"/>
    <w:rsid w:val="00102780"/>
    <w:rsid w:val="001030E8"/>
    <w:rsid w:val="00103817"/>
    <w:rsid w:val="00103E50"/>
    <w:rsid w:val="00104168"/>
    <w:rsid w:val="001045CA"/>
    <w:rsid w:val="00104647"/>
    <w:rsid w:val="001048C3"/>
    <w:rsid w:val="001050D3"/>
    <w:rsid w:val="001052D7"/>
    <w:rsid w:val="00105730"/>
    <w:rsid w:val="0010584B"/>
    <w:rsid w:val="001058B5"/>
    <w:rsid w:val="00105B38"/>
    <w:rsid w:val="00105BD1"/>
    <w:rsid w:val="00105DFE"/>
    <w:rsid w:val="00106722"/>
    <w:rsid w:val="00106760"/>
    <w:rsid w:val="00106BD1"/>
    <w:rsid w:val="00107536"/>
    <w:rsid w:val="0010770B"/>
    <w:rsid w:val="0010782B"/>
    <w:rsid w:val="00110343"/>
    <w:rsid w:val="001107BD"/>
    <w:rsid w:val="00110C31"/>
    <w:rsid w:val="00110C72"/>
    <w:rsid w:val="001112F1"/>
    <w:rsid w:val="001116EE"/>
    <w:rsid w:val="00111721"/>
    <w:rsid w:val="0011199D"/>
    <w:rsid w:val="001127F5"/>
    <w:rsid w:val="00112BD4"/>
    <w:rsid w:val="00113011"/>
    <w:rsid w:val="001133D0"/>
    <w:rsid w:val="001134B0"/>
    <w:rsid w:val="00113BD7"/>
    <w:rsid w:val="00113F76"/>
    <w:rsid w:val="00114231"/>
    <w:rsid w:val="0011477C"/>
    <w:rsid w:val="00114CD6"/>
    <w:rsid w:val="00114ECE"/>
    <w:rsid w:val="0011513A"/>
    <w:rsid w:val="001159F4"/>
    <w:rsid w:val="00115C52"/>
    <w:rsid w:val="0011615B"/>
    <w:rsid w:val="001165BE"/>
    <w:rsid w:val="001168B9"/>
    <w:rsid w:val="00116B71"/>
    <w:rsid w:val="00116D19"/>
    <w:rsid w:val="00116D37"/>
    <w:rsid w:val="00116FBA"/>
    <w:rsid w:val="0011767F"/>
    <w:rsid w:val="001177D2"/>
    <w:rsid w:val="001177EA"/>
    <w:rsid w:val="001207E5"/>
    <w:rsid w:val="0012090D"/>
    <w:rsid w:val="00121255"/>
    <w:rsid w:val="001212BA"/>
    <w:rsid w:val="001213BA"/>
    <w:rsid w:val="00121C00"/>
    <w:rsid w:val="001222CC"/>
    <w:rsid w:val="001224DD"/>
    <w:rsid w:val="001227C0"/>
    <w:rsid w:val="00122C53"/>
    <w:rsid w:val="00123333"/>
    <w:rsid w:val="0012339B"/>
    <w:rsid w:val="001240C0"/>
    <w:rsid w:val="001245F3"/>
    <w:rsid w:val="001252DF"/>
    <w:rsid w:val="001258E3"/>
    <w:rsid w:val="00125C0A"/>
    <w:rsid w:val="00125F2C"/>
    <w:rsid w:val="00126070"/>
    <w:rsid w:val="0012696C"/>
    <w:rsid w:val="001272F6"/>
    <w:rsid w:val="001275B4"/>
    <w:rsid w:val="00127E01"/>
    <w:rsid w:val="0013029B"/>
    <w:rsid w:val="00130676"/>
    <w:rsid w:val="00130BF0"/>
    <w:rsid w:val="00130CCA"/>
    <w:rsid w:val="00130EFE"/>
    <w:rsid w:val="001313B4"/>
    <w:rsid w:val="00131915"/>
    <w:rsid w:val="00131EA5"/>
    <w:rsid w:val="0013216C"/>
    <w:rsid w:val="00132DA6"/>
    <w:rsid w:val="00132FB5"/>
    <w:rsid w:val="001332EB"/>
    <w:rsid w:val="001335F0"/>
    <w:rsid w:val="00133996"/>
    <w:rsid w:val="00133D27"/>
    <w:rsid w:val="001341AE"/>
    <w:rsid w:val="001341E6"/>
    <w:rsid w:val="00134377"/>
    <w:rsid w:val="00134FBE"/>
    <w:rsid w:val="001352AE"/>
    <w:rsid w:val="001357E0"/>
    <w:rsid w:val="00135F82"/>
    <w:rsid w:val="00136941"/>
    <w:rsid w:val="00136B14"/>
    <w:rsid w:val="0014008F"/>
    <w:rsid w:val="001406C3"/>
    <w:rsid w:val="001407BB"/>
    <w:rsid w:val="00140B5D"/>
    <w:rsid w:val="00141300"/>
    <w:rsid w:val="00141434"/>
    <w:rsid w:val="00141466"/>
    <w:rsid w:val="0014178B"/>
    <w:rsid w:val="0014197F"/>
    <w:rsid w:val="00141C8C"/>
    <w:rsid w:val="00142155"/>
    <w:rsid w:val="0014299C"/>
    <w:rsid w:val="00142DBD"/>
    <w:rsid w:val="00142EA1"/>
    <w:rsid w:val="00143037"/>
    <w:rsid w:val="001432F0"/>
    <w:rsid w:val="00143346"/>
    <w:rsid w:val="00143CBD"/>
    <w:rsid w:val="0014408B"/>
    <w:rsid w:val="001446C9"/>
    <w:rsid w:val="00144772"/>
    <w:rsid w:val="00144BE5"/>
    <w:rsid w:val="0014507B"/>
    <w:rsid w:val="0014513A"/>
    <w:rsid w:val="0014587A"/>
    <w:rsid w:val="001461B8"/>
    <w:rsid w:val="00146891"/>
    <w:rsid w:val="00146A0C"/>
    <w:rsid w:val="00146D97"/>
    <w:rsid w:val="001471C1"/>
    <w:rsid w:val="00147A38"/>
    <w:rsid w:val="00147C11"/>
    <w:rsid w:val="00147C20"/>
    <w:rsid w:val="00147C5F"/>
    <w:rsid w:val="00150800"/>
    <w:rsid w:val="001508C8"/>
    <w:rsid w:val="00150A1A"/>
    <w:rsid w:val="00150F8A"/>
    <w:rsid w:val="00150F9E"/>
    <w:rsid w:val="00151672"/>
    <w:rsid w:val="001519AA"/>
    <w:rsid w:val="00151A22"/>
    <w:rsid w:val="00151CB1"/>
    <w:rsid w:val="00152011"/>
    <w:rsid w:val="00152049"/>
    <w:rsid w:val="0015222B"/>
    <w:rsid w:val="00152544"/>
    <w:rsid w:val="00152CA0"/>
    <w:rsid w:val="00152DFB"/>
    <w:rsid w:val="00153511"/>
    <w:rsid w:val="00153BE9"/>
    <w:rsid w:val="00153C30"/>
    <w:rsid w:val="00153D1A"/>
    <w:rsid w:val="00153FF4"/>
    <w:rsid w:val="00154C3F"/>
    <w:rsid w:val="00155784"/>
    <w:rsid w:val="0015582E"/>
    <w:rsid w:val="00155D9A"/>
    <w:rsid w:val="00155F1A"/>
    <w:rsid w:val="00156671"/>
    <w:rsid w:val="001566DD"/>
    <w:rsid w:val="00156B5A"/>
    <w:rsid w:val="00157A87"/>
    <w:rsid w:val="00160410"/>
    <w:rsid w:val="0016051C"/>
    <w:rsid w:val="001607FA"/>
    <w:rsid w:val="00160CAA"/>
    <w:rsid w:val="00160DCD"/>
    <w:rsid w:val="001612BF"/>
    <w:rsid w:val="00161533"/>
    <w:rsid w:val="00161587"/>
    <w:rsid w:val="00161BE7"/>
    <w:rsid w:val="00161E21"/>
    <w:rsid w:val="00162219"/>
    <w:rsid w:val="001622C2"/>
    <w:rsid w:val="001622CB"/>
    <w:rsid w:val="00162EA2"/>
    <w:rsid w:val="00163093"/>
    <w:rsid w:val="0016309F"/>
    <w:rsid w:val="00163274"/>
    <w:rsid w:val="00163BFC"/>
    <w:rsid w:val="00163DB7"/>
    <w:rsid w:val="0016438C"/>
    <w:rsid w:val="001647A7"/>
    <w:rsid w:val="0016496A"/>
    <w:rsid w:val="00165069"/>
    <w:rsid w:val="00165B4B"/>
    <w:rsid w:val="0016603C"/>
    <w:rsid w:val="00166230"/>
    <w:rsid w:val="001664F8"/>
    <w:rsid w:val="00166E64"/>
    <w:rsid w:val="001671EF"/>
    <w:rsid w:val="00167AA0"/>
    <w:rsid w:val="00167EC7"/>
    <w:rsid w:val="00167FEA"/>
    <w:rsid w:val="00170178"/>
    <w:rsid w:val="0017049D"/>
    <w:rsid w:val="001708A1"/>
    <w:rsid w:val="00170ADB"/>
    <w:rsid w:val="00170EDD"/>
    <w:rsid w:val="00170FDF"/>
    <w:rsid w:val="0017126C"/>
    <w:rsid w:val="001716FF"/>
    <w:rsid w:val="00171C49"/>
    <w:rsid w:val="00171EAF"/>
    <w:rsid w:val="00171ECA"/>
    <w:rsid w:val="001720FE"/>
    <w:rsid w:val="0017275B"/>
    <w:rsid w:val="001728BB"/>
    <w:rsid w:val="00172AA4"/>
    <w:rsid w:val="00172AE9"/>
    <w:rsid w:val="00172F7D"/>
    <w:rsid w:val="00173272"/>
    <w:rsid w:val="001739CE"/>
    <w:rsid w:val="00173A17"/>
    <w:rsid w:val="00173DC4"/>
    <w:rsid w:val="00173E2B"/>
    <w:rsid w:val="00173FAF"/>
    <w:rsid w:val="00174501"/>
    <w:rsid w:val="001747F4"/>
    <w:rsid w:val="00174DC5"/>
    <w:rsid w:val="00175138"/>
    <w:rsid w:val="0017528B"/>
    <w:rsid w:val="00175613"/>
    <w:rsid w:val="0017577A"/>
    <w:rsid w:val="0017587D"/>
    <w:rsid w:val="00175DD2"/>
    <w:rsid w:val="00175EDB"/>
    <w:rsid w:val="0017607E"/>
    <w:rsid w:val="001764C0"/>
    <w:rsid w:val="00176586"/>
    <w:rsid w:val="0017721E"/>
    <w:rsid w:val="001773A4"/>
    <w:rsid w:val="00177839"/>
    <w:rsid w:val="00180226"/>
    <w:rsid w:val="00180593"/>
    <w:rsid w:val="00180622"/>
    <w:rsid w:val="00180756"/>
    <w:rsid w:val="00180E7E"/>
    <w:rsid w:val="001811A3"/>
    <w:rsid w:val="001818D6"/>
    <w:rsid w:val="001820BE"/>
    <w:rsid w:val="00182491"/>
    <w:rsid w:val="0018278B"/>
    <w:rsid w:val="0018296A"/>
    <w:rsid w:val="00182ED1"/>
    <w:rsid w:val="0018318B"/>
    <w:rsid w:val="00184891"/>
    <w:rsid w:val="00184D53"/>
    <w:rsid w:val="00185945"/>
    <w:rsid w:val="00185A3F"/>
    <w:rsid w:val="00185BBD"/>
    <w:rsid w:val="00186590"/>
    <w:rsid w:val="00186647"/>
    <w:rsid w:val="00186D82"/>
    <w:rsid w:val="00186F1F"/>
    <w:rsid w:val="00187312"/>
    <w:rsid w:val="00187393"/>
    <w:rsid w:val="001876FA"/>
    <w:rsid w:val="0018786D"/>
    <w:rsid w:val="00187B03"/>
    <w:rsid w:val="00187BDC"/>
    <w:rsid w:val="00190D24"/>
    <w:rsid w:val="001910F9"/>
    <w:rsid w:val="00191328"/>
    <w:rsid w:val="001917FE"/>
    <w:rsid w:val="00191DA6"/>
    <w:rsid w:val="00191FC4"/>
    <w:rsid w:val="00192107"/>
    <w:rsid w:val="001922C0"/>
    <w:rsid w:val="001922D4"/>
    <w:rsid w:val="0019270D"/>
    <w:rsid w:val="001930E5"/>
    <w:rsid w:val="001934F9"/>
    <w:rsid w:val="00193A01"/>
    <w:rsid w:val="00193C3B"/>
    <w:rsid w:val="00194130"/>
    <w:rsid w:val="00194391"/>
    <w:rsid w:val="00194AAE"/>
    <w:rsid w:val="001951E5"/>
    <w:rsid w:val="00195365"/>
    <w:rsid w:val="00195539"/>
    <w:rsid w:val="001955F1"/>
    <w:rsid w:val="0019581D"/>
    <w:rsid w:val="00196187"/>
    <w:rsid w:val="001964C5"/>
    <w:rsid w:val="00196CC6"/>
    <w:rsid w:val="0019769F"/>
    <w:rsid w:val="0019775E"/>
    <w:rsid w:val="00197839"/>
    <w:rsid w:val="001A0225"/>
    <w:rsid w:val="001A0AF7"/>
    <w:rsid w:val="001A0B4B"/>
    <w:rsid w:val="001A0CA4"/>
    <w:rsid w:val="001A0EF1"/>
    <w:rsid w:val="001A104D"/>
    <w:rsid w:val="001A14FC"/>
    <w:rsid w:val="001A19C4"/>
    <w:rsid w:val="001A2956"/>
    <w:rsid w:val="001A2978"/>
    <w:rsid w:val="001A34BD"/>
    <w:rsid w:val="001A3D5B"/>
    <w:rsid w:val="001A44D3"/>
    <w:rsid w:val="001A46C8"/>
    <w:rsid w:val="001A4EFB"/>
    <w:rsid w:val="001A5688"/>
    <w:rsid w:val="001A59CC"/>
    <w:rsid w:val="001A5A9F"/>
    <w:rsid w:val="001A5C0E"/>
    <w:rsid w:val="001A5D16"/>
    <w:rsid w:val="001A5F5E"/>
    <w:rsid w:val="001A66D4"/>
    <w:rsid w:val="001A6702"/>
    <w:rsid w:val="001A67BF"/>
    <w:rsid w:val="001A6C04"/>
    <w:rsid w:val="001A7127"/>
    <w:rsid w:val="001A7632"/>
    <w:rsid w:val="001A77EA"/>
    <w:rsid w:val="001A782C"/>
    <w:rsid w:val="001A7833"/>
    <w:rsid w:val="001A7A93"/>
    <w:rsid w:val="001A7B42"/>
    <w:rsid w:val="001A7DD9"/>
    <w:rsid w:val="001A7E85"/>
    <w:rsid w:val="001B0416"/>
    <w:rsid w:val="001B0897"/>
    <w:rsid w:val="001B08C7"/>
    <w:rsid w:val="001B0AA3"/>
    <w:rsid w:val="001B0D84"/>
    <w:rsid w:val="001B2A19"/>
    <w:rsid w:val="001B2B18"/>
    <w:rsid w:val="001B311E"/>
    <w:rsid w:val="001B3279"/>
    <w:rsid w:val="001B36A0"/>
    <w:rsid w:val="001B36CB"/>
    <w:rsid w:val="001B372A"/>
    <w:rsid w:val="001B47CD"/>
    <w:rsid w:val="001B4FF3"/>
    <w:rsid w:val="001B5BF2"/>
    <w:rsid w:val="001B5CC6"/>
    <w:rsid w:val="001B64EB"/>
    <w:rsid w:val="001B66A0"/>
    <w:rsid w:val="001B66AE"/>
    <w:rsid w:val="001B6A96"/>
    <w:rsid w:val="001B6BF0"/>
    <w:rsid w:val="001B7048"/>
    <w:rsid w:val="001B720B"/>
    <w:rsid w:val="001B7588"/>
    <w:rsid w:val="001B7638"/>
    <w:rsid w:val="001C01F2"/>
    <w:rsid w:val="001C088E"/>
    <w:rsid w:val="001C098A"/>
    <w:rsid w:val="001C0B11"/>
    <w:rsid w:val="001C0DA3"/>
    <w:rsid w:val="001C14D7"/>
    <w:rsid w:val="001C1512"/>
    <w:rsid w:val="001C17DE"/>
    <w:rsid w:val="001C17ED"/>
    <w:rsid w:val="001C1E0E"/>
    <w:rsid w:val="001C2816"/>
    <w:rsid w:val="001C2A84"/>
    <w:rsid w:val="001C2D75"/>
    <w:rsid w:val="001C2DA3"/>
    <w:rsid w:val="001C33F8"/>
    <w:rsid w:val="001C3604"/>
    <w:rsid w:val="001C3EF7"/>
    <w:rsid w:val="001C3F67"/>
    <w:rsid w:val="001C3FE4"/>
    <w:rsid w:val="001C427B"/>
    <w:rsid w:val="001C475E"/>
    <w:rsid w:val="001C4C53"/>
    <w:rsid w:val="001C520B"/>
    <w:rsid w:val="001C584E"/>
    <w:rsid w:val="001C5C85"/>
    <w:rsid w:val="001C5DD2"/>
    <w:rsid w:val="001C5DD7"/>
    <w:rsid w:val="001C601C"/>
    <w:rsid w:val="001C6251"/>
    <w:rsid w:val="001C6B57"/>
    <w:rsid w:val="001C6D1A"/>
    <w:rsid w:val="001C6DEB"/>
    <w:rsid w:val="001C7207"/>
    <w:rsid w:val="001C795C"/>
    <w:rsid w:val="001C7E5D"/>
    <w:rsid w:val="001D0B40"/>
    <w:rsid w:val="001D0BBF"/>
    <w:rsid w:val="001D110A"/>
    <w:rsid w:val="001D1AA1"/>
    <w:rsid w:val="001D1F79"/>
    <w:rsid w:val="001D2467"/>
    <w:rsid w:val="001D303A"/>
    <w:rsid w:val="001D3080"/>
    <w:rsid w:val="001D3246"/>
    <w:rsid w:val="001D32C1"/>
    <w:rsid w:val="001D32ED"/>
    <w:rsid w:val="001D3BF3"/>
    <w:rsid w:val="001D3EA9"/>
    <w:rsid w:val="001D41D4"/>
    <w:rsid w:val="001D442D"/>
    <w:rsid w:val="001D4685"/>
    <w:rsid w:val="001D47CB"/>
    <w:rsid w:val="001D4CF5"/>
    <w:rsid w:val="001D4EB4"/>
    <w:rsid w:val="001D5117"/>
    <w:rsid w:val="001D5160"/>
    <w:rsid w:val="001D57B4"/>
    <w:rsid w:val="001D60A9"/>
    <w:rsid w:val="001D64DE"/>
    <w:rsid w:val="001D71E6"/>
    <w:rsid w:val="001E01E8"/>
    <w:rsid w:val="001E02C9"/>
    <w:rsid w:val="001E0BF7"/>
    <w:rsid w:val="001E151E"/>
    <w:rsid w:val="001E1532"/>
    <w:rsid w:val="001E193E"/>
    <w:rsid w:val="001E1DDC"/>
    <w:rsid w:val="001E1F99"/>
    <w:rsid w:val="001E28B0"/>
    <w:rsid w:val="001E2C0B"/>
    <w:rsid w:val="001E2C3A"/>
    <w:rsid w:val="001E2EF6"/>
    <w:rsid w:val="001E2F24"/>
    <w:rsid w:val="001E3BA8"/>
    <w:rsid w:val="001E3C15"/>
    <w:rsid w:val="001E4190"/>
    <w:rsid w:val="001E49A1"/>
    <w:rsid w:val="001E57A8"/>
    <w:rsid w:val="001E5A16"/>
    <w:rsid w:val="001E5A35"/>
    <w:rsid w:val="001E5A3D"/>
    <w:rsid w:val="001E5C16"/>
    <w:rsid w:val="001E5CE7"/>
    <w:rsid w:val="001E656A"/>
    <w:rsid w:val="001E6E03"/>
    <w:rsid w:val="001E6E35"/>
    <w:rsid w:val="001E7288"/>
    <w:rsid w:val="001E76BB"/>
    <w:rsid w:val="001E7C81"/>
    <w:rsid w:val="001F0345"/>
    <w:rsid w:val="001F0712"/>
    <w:rsid w:val="001F0BCF"/>
    <w:rsid w:val="001F0C56"/>
    <w:rsid w:val="001F0F06"/>
    <w:rsid w:val="001F0FAF"/>
    <w:rsid w:val="001F1064"/>
    <w:rsid w:val="001F1334"/>
    <w:rsid w:val="001F16C1"/>
    <w:rsid w:val="001F1987"/>
    <w:rsid w:val="001F1AB4"/>
    <w:rsid w:val="001F1F44"/>
    <w:rsid w:val="001F1F7A"/>
    <w:rsid w:val="001F20EF"/>
    <w:rsid w:val="001F2227"/>
    <w:rsid w:val="001F2239"/>
    <w:rsid w:val="001F2ABF"/>
    <w:rsid w:val="001F2D5B"/>
    <w:rsid w:val="001F31E8"/>
    <w:rsid w:val="001F32D4"/>
    <w:rsid w:val="001F3834"/>
    <w:rsid w:val="001F399C"/>
    <w:rsid w:val="001F3A4C"/>
    <w:rsid w:val="001F3E5E"/>
    <w:rsid w:val="001F3ED6"/>
    <w:rsid w:val="001F44A6"/>
    <w:rsid w:val="001F477B"/>
    <w:rsid w:val="001F47D3"/>
    <w:rsid w:val="001F4973"/>
    <w:rsid w:val="001F5EE4"/>
    <w:rsid w:val="001F5F17"/>
    <w:rsid w:val="001F6036"/>
    <w:rsid w:val="001F6129"/>
    <w:rsid w:val="001F65EB"/>
    <w:rsid w:val="001F6851"/>
    <w:rsid w:val="001F7BDB"/>
    <w:rsid w:val="001F7CBC"/>
    <w:rsid w:val="00200356"/>
    <w:rsid w:val="002003D1"/>
    <w:rsid w:val="00200B63"/>
    <w:rsid w:val="0020102B"/>
    <w:rsid w:val="002010CB"/>
    <w:rsid w:val="00201219"/>
    <w:rsid w:val="0020122E"/>
    <w:rsid w:val="002015F9"/>
    <w:rsid w:val="0020188C"/>
    <w:rsid w:val="002024CC"/>
    <w:rsid w:val="00202CD4"/>
    <w:rsid w:val="00202E73"/>
    <w:rsid w:val="00202E9A"/>
    <w:rsid w:val="002030EC"/>
    <w:rsid w:val="002034F1"/>
    <w:rsid w:val="00203913"/>
    <w:rsid w:val="00203AB7"/>
    <w:rsid w:val="00203B33"/>
    <w:rsid w:val="00203C6A"/>
    <w:rsid w:val="0020486B"/>
    <w:rsid w:val="002050BC"/>
    <w:rsid w:val="002057D4"/>
    <w:rsid w:val="00205A7C"/>
    <w:rsid w:val="00205E58"/>
    <w:rsid w:val="002063A9"/>
    <w:rsid w:val="00206F37"/>
    <w:rsid w:val="0020749E"/>
    <w:rsid w:val="002075BD"/>
    <w:rsid w:val="00207A6D"/>
    <w:rsid w:val="00210704"/>
    <w:rsid w:val="00210C00"/>
    <w:rsid w:val="00210DF3"/>
    <w:rsid w:val="00210EBC"/>
    <w:rsid w:val="00210F0A"/>
    <w:rsid w:val="002116C9"/>
    <w:rsid w:val="0021183A"/>
    <w:rsid w:val="00211918"/>
    <w:rsid w:val="00211DD3"/>
    <w:rsid w:val="00212030"/>
    <w:rsid w:val="0021240E"/>
    <w:rsid w:val="00212D41"/>
    <w:rsid w:val="00212FD9"/>
    <w:rsid w:val="002132CF"/>
    <w:rsid w:val="002133E8"/>
    <w:rsid w:val="00213409"/>
    <w:rsid w:val="00213809"/>
    <w:rsid w:val="00213CC6"/>
    <w:rsid w:val="00214368"/>
    <w:rsid w:val="00214A0F"/>
    <w:rsid w:val="00214A29"/>
    <w:rsid w:val="00214C09"/>
    <w:rsid w:val="00214D00"/>
    <w:rsid w:val="0021501D"/>
    <w:rsid w:val="002153DA"/>
    <w:rsid w:val="00215489"/>
    <w:rsid w:val="0021571B"/>
    <w:rsid w:val="0021595C"/>
    <w:rsid w:val="002159E4"/>
    <w:rsid w:val="00215E8D"/>
    <w:rsid w:val="0021679D"/>
    <w:rsid w:val="0021687F"/>
    <w:rsid w:val="00220027"/>
    <w:rsid w:val="002203E8"/>
    <w:rsid w:val="002207BD"/>
    <w:rsid w:val="00221649"/>
    <w:rsid w:val="00221AA3"/>
    <w:rsid w:val="00221DEA"/>
    <w:rsid w:val="002223AD"/>
    <w:rsid w:val="002224A0"/>
    <w:rsid w:val="00222950"/>
    <w:rsid w:val="00222D51"/>
    <w:rsid w:val="002234CE"/>
    <w:rsid w:val="002235DF"/>
    <w:rsid w:val="00224268"/>
    <w:rsid w:val="00224BD6"/>
    <w:rsid w:val="00224C8A"/>
    <w:rsid w:val="00224D08"/>
    <w:rsid w:val="00224D4F"/>
    <w:rsid w:val="0022502B"/>
    <w:rsid w:val="002252A7"/>
    <w:rsid w:val="0022552C"/>
    <w:rsid w:val="002255A1"/>
    <w:rsid w:val="00225B9E"/>
    <w:rsid w:val="00225D6B"/>
    <w:rsid w:val="00226097"/>
    <w:rsid w:val="00226303"/>
    <w:rsid w:val="00226782"/>
    <w:rsid w:val="00226B04"/>
    <w:rsid w:val="00227008"/>
    <w:rsid w:val="0022740D"/>
    <w:rsid w:val="00227604"/>
    <w:rsid w:val="0022779E"/>
    <w:rsid w:val="00227A4D"/>
    <w:rsid w:val="002301E8"/>
    <w:rsid w:val="002302B6"/>
    <w:rsid w:val="002305FE"/>
    <w:rsid w:val="00230CFB"/>
    <w:rsid w:val="0023231B"/>
    <w:rsid w:val="00232343"/>
    <w:rsid w:val="002324ED"/>
    <w:rsid w:val="00232E98"/>
    <w:rsid w:val="00232F41"/>
    <w:rsid w:val="00233017"/>
    <w:rsid w:val="002334EC"/>
    <w:rsid w:val="0023406C"/>
    <w:rsid w:val="0023448A"/>
    <w:rsid w:val="0023454A"/>
    <w:rsid w:val="00234E68"/>
    <w:rsid w:val="00235091"/>
    <w:rsid w:val="002359A7"/>
    <w:rsid w:val="00236370"/>
    <w:rsid w:val="00236460"/>
    <w:rsid w:val="00236C0B"/>
    <w:rsid w:val="0023707A"/>
    <w:rsid w:val="002373B3"/>
    <w:rsid w:val="0023756A"/>
    <w:rsid w:val="0023779B"/>
    <w:rsid w:val="00237821"/>
    <w:rsid w:val="00237838"/>
    <w:rsid w:val="002378BB"/>
    <w:rsid w:val="00237B1A"/>
    <w:rsid w:val="002402E1"/>
    <w:rsid w:val="002403BB"/>
    <w:rsid w:val="00240482"/>
    <w:rsid w:val="00240A43"/>
    <w:rsid w:val="00240DEF"/>
    <w:rsid w:val="00241240"/>
    <w:rsid w:val="00241EF0"/>
    <w:rsid w:val="00241F1A"/>
    <w:rsid w:val="002424B1"/>
    <w:rsid w:val="0024303D"/>
    <w:rsid w:val="00243800"/>
    <w:rsid w:val="00244DED"/>
    <w:rsid w:val="00245256"/>
    <w:rsid w:val="00245B35"/>
    <w:rsid w:val="00245CB3"/>
    <w:rsid w:val="00245E8C"/>
    <w:rsid w:val="00245F62"/>
    <w:rsid w:val="00246B5C"/>
    <w:rsid w:val="00246C9E"/>
    <w:rsid w:val="00247188"/>
    <w:rsid w:val="00247289"/>
    <w:rsid w:val="00247756"/>
    <w:rsid w:val="00247EA8"/>
    <w:rsid w:val="002500C3"/>
    <w:rsid w:val="00250A70"/>
    <w:rsid w:val="00250D13"/>
    <w:rsid w:val="00250EB0"/>
    <w:rsid w:val="002511D3"/>
    <w:rsid w:val="002517F4"/>
    <w:rsid w:val="00251D89"/>
    <w:rsid w:val="00252363"/>
    <w:rsid w:val="002523AD"/>
    <w:rsid w:val="00252472"/>
    <w:rsid w:val="002524E0"/>
    <w:rsid w:val="00252808"/>
    <w:rsid w:val="002528DB"/>
    <w:rsid w:val="00252BE5"/>
    <w:rsid w:val="00252DA2"/>
    <w:rsid w:val="00253084"/>
    <w:rsid w:val="002535FE"/>
    <w:rsid w:val="002536BF"/>
    <w:rsid w:val="00253A8E"/>
    <w:rsid w:val="00253ADC"/>
    <w:rsid w:val="00253CF6"/>
    <w:rsid w:val="00253D1F"/>
    <w:rsid w:val="00253E61"/>
    <w:rsid w:val="0025444D"/>
    <w:rsid w:val="0025455D"/>
    <w:rsid w:val="0025461C"/>
    <w:rsid w:val="00255B2B"/>
    <w:rsid w:val="0025600A"/>
    <w:rsid w:val="00256113"/>
    <w:rsid w:val="0025623B"/>
    <w:rsid w:val="0025627F"/>
    <w:rsid w:val="002562AD"/>
    <w:rsid w:val="002563CE"/>
    <w:rsid w:val="002566AB"/>
    <w:rsid w:val="00256D34"/>
    <w:rsid w:val="00256DB9"/>
    <w:rsid w:val="00256E20"/>
    <w:rsid w:val="002574CD"/>
    <w:rsid w:val="002575C4"/>
    <w:rsid w:val="00257BC2"/>
    <w:rsid w:val="002604A8"/>
    <w:rsid w:val="00260A6A"/>
    <w:rsid w:val="00261C4E"/>
    <w:rsid w:val="00261FF1"/>
    <w:rsid w:val="00262054"/>
    <w:rsid w:val="002625BB"/>
    <w:rsid w:val="00262615"/>
    <w:rsid w:val="00262E48"/>
    <w:rsid w:val="0026317B"/>
    <w:rsid w:val="00263258"/>
    <w:rsid w:val="0026341C"/>
    <w:rsid w:val="00263814"/>
    <w:rsid w:val="00263A44"/>
    <w:rsid w:val="00263CE0"/>
    <w:rsid w:val="00263D33"/>
    <w:rsid w:val="00263EAE"/>
    <w:rsid w:val="0026485C"/>
    <w:rsid w:val="00264F38"/>
    <w:rsid w:val="00265AD0"/>
    <w:rsid w:val="00265D34"/>
    <w:rsid w:val="00265DBA"/>
    <w:rsid w:val="002666D7"/>
    <w:rsid w:val="002667E8"/>
    <w:rsid w:val="00266A94"/>
    <w:rsid w:val="00266AD3"/>
    <w:rsid w:val="00267064"/>
    <w:rsid w:val="002673DC"/>
    <w:rsid w:val="0027065F"/>
    <w:rsid w:val="002717D1"/>
    <w:rsid w:val="002718B3"/>
    <w:rsid w:val="002725F8"/>
    <w:rsid w:val="002726EC"/>
    <w:rsid w:val="00272770"/>
    <w:rsid w:val="0027287D"/>
    <w:rsid w:val="002728EB"/>
    <w:rsid w:val="00272B65"/>
    <w:rsid w:val="00274096"/>
    <w:rsid w:val="0027483F"/>
    <w:rsid w:val="00274BB1"/>
    <w:rsid w:val="00275B6E"/>
    <w:rsid w:val="00275B75"/>
    <w:rsid w:val="00276047"/>
    <w:rsid w:val="00276406"/>
    <w:rsid w:val="00276468"/>
    <w:rsid w:val="00276762"/>
    <w:rsid w:val="00276AC9"/>
    <w:rsid w:val="00276AE1"/>
    <w:rsid w:val="00277147"/>
    <w:rsid w:val="002772D7"/>
    <w:rsid w:val="002774D6"/>
    <w:rsid w:val="00277581"/>
    <w:rsid w:val="00277603"/>
    <w:rsid w:val="0027762B"/>
    <w:rsid w:val="00277719"/>
    <w:rsid w:val="00277772"/>
    <w:rsid w:val="00277FDB"/>
    <w:rsid w:val="0028014B"/>
    <w:rsid w:val="002803FE"/>
    <w:rsid w:val="00280B34"/>
    <w:rsid w:val="00280E1C"/>
    <w:rsid w:val="0028109A"/>
    <w:rsid w:val="002813F2"/>
    <w:rsid w:val="00281998"/>
    <w:rsid w:val="00281DCF"/>
    <w:rsid w:val="00282867"/>
    <w:rsid w:val="00282D42"/>
    <w:rsid w:val="002831AD"/>
    <w:rsid w:val="00283D6F"/>
    <w:rsid w:val="002842D5"/>
    <w:rsid w:val="002843E8"/>
    <w:rsid w:val="00284B8F"/>
    <w:rsid w:val="00284DD6"/>
    <w:rsid w:val="00285B6C"/>
    <w:rsid w:val="00285C2D"/>
    <w:rsid w:val="00285E0B"/>
    <w:rsid w:val="00285F5A"/>
    <w:rsid w:val="002864B0"/>
    <w:rsid w:val="002866E5"/>
    <w:rsid w:val="00286A75"/>
    <w:rsid w:val="0028728E"/>
    <w:rsid w:val="00287385"/>
    <w:rsid w:val="0028747E"/>
    <w:rsid w:val="00287540"/>
    <w:rsid w:val="002877E7"/>
    <w:rsid w:val="002879F0"/>
    <w:rsid w:val="00287A68"/>
    <w:rsid w:val="00290038"/>
    <w:rsid w:val="002907F5"/>
    <w:rsid w:val="00290C76"/>
    <w:rsid w:val="00290CEB"/>
    <w:rsid w:val="0029116A"/>
    <w:rsid w:val="00291B1F"/>
    <w:rsid w:val="00291CE7"/>
    <w:rsid w:val="00292488"/>
    <w:rsid w:val="00292ACC"/>
    <w:rsid w:val="00292B30"/>
    <w:rsid w:val="0029331E"/>
    <w:rsid w:val="0029376E"/>
    <w:rsid w:val="002938DA"/>
    <w:rsid w:val="00293B8F"/>
    <w:rsid w:val="00293BCE"/>
    <w:rsid w:val="00293BE6"/>
    <w:rsid w:val="002942FE"/>
    <w:rsid w:val="00295916"/>
    <w:rsid w:val="00295AE0"/>
    <w:rsid w:val="002961E3"/>
    <w:rsid w:val="002966D9"/>
    <w:rsid w:val="00296B1A"/>
    <w:rsid w:val="00296C0A"/>
    <w:rsid w:val="00296CEC"/>
    <w:rsid w:val="002972AA"/>
    <w:rsid w:val="00297334"/>
    <w:rsid w:val="002978C6"/>
    <w:rsid w:val="002A085D"/>
    <w:rsid w:val="002A0C8F"/>
    <w:rsid w:val="002A0CD4"/>
    <w:rsid w:val="002A0E7A"/>
    <w:rsid w:val="002A0F78"/>
    <w:rsid w:val="002A107D"/>
    <w:rsid w:val="002A1862"/>
    <w:rsid w:val="002A1A6F"/>
    <w:rsid w:val="002A2075"/>
    <w:rsid w:val="002A332E"/>
    <w:rsid w:val="002A372D"/>
    <w:rsid w:val="002A3B96"/>
    <w:rsid w:val="002A3EB2"/>
    <w:rsid w:val="002A40D5"/>
    <w:rsid w:val="002A45E7"/>
    <w:rsid w:val="002A523A"/>
    <w:rsid w:val="002A5401"/>
    <w:rsid w:val="002A5525"/>
    <w:rsid w:val="002A56D6"/>
    <w:rsid w:val="002A58E8"/>
    <w:rsid w:val="002A5F10"/>
    <w:rsid w:val="002A5F3B"/>
    <w:rsid w:val="002A6078"/>
    <w:rsid w:val="002A658F"/>
    <w:rsid w:val="002A6B77"/>
    <w:rsid w:val="002A6B95"/>
    <w:rsid w:val="002A6D44"/>
    <w:rsid w:val="002A7213"/>
    <w:rsid w:val="002A7845"/>
    <w:rsid w:val="002A7B68"/>
    <w:rsid w:val="002A7C6A"/>
    <w:rsid w:val="002A7E3F"/>
    <w:rsid w:val="002B04AF"/>
    <w:rsid w:val="002B095B"/>
    <w:rsid w:val="002B0992"/>
    <w:rsid w:val="002B0A18"/>
    <w:rsid w:val="002B1596"/>
    <w:rsid w:val="002B1937"/>
    <w:rsid w:val="002B1BBE"/>
    <w:rsid w:val="002B2060"/>
    <w:rsid w:val="002B248A"/>
    <w:rsid w:val="002B255D"/>
    <w:rsid w:val="002B270E"/>
    <w:rsid w:val="002B28CD"/>
    <w:rsid w:val="002B28F8"/>
    <w:rsid w:val="002B2A1A"/>
    <w:rsid w:val="002B2ABB"/>
    <w:rsid w:val="002B2B15"/>
    <w:rsid w:val="002B2D42"/>
    <w:rsid w:val="002B2DD8"/>
    <w:rsid w:val="002B2F73"/>
    <w:rsid w:val="002B30ED"/>
    <w:rsid w:val="002B3E0F"/>
    <w:rsid w:val="002B47F5"/>
    <w:rsid w:val="002B4AD7"/>
    <w:rsid w:val="002B4DA6"/>
    <w:rsid w:val="002B5009"/>
    <w:rsid w:val="002B53AA"/>
    <w:rsid w:val="002B5525"/>
    <w:rsid w:val="002B5CC4"/>
    <w:rsid w:val="002B5F63"/>
    <w:rsid w:val="002B615F"/>
    <w:rsid w:val="002B616B"/>
    <w:rsid w:val="002B6598"/>
    <w:rsid w:val="002B6B35"/>
    <w:rsid w:val="002B6BE5"/>
    <w:rsid w:val="002B72A2"/>
    <w:rsid w:val="002B7463"/>
    <w:rsid w:val="002B7560"/>
    <w:rsid w:val="002B770A"/>
    <w:rsid w:val="002B7933"/>
    <w:rsid w:val="002B7D62"/>
    <w:rsid w:val="002B7EF5"/>
    <w:rsid w:val="002C01D5"/>
    <w:rsid w:val="002C075E"/>
    <w:rsid w:val="002C0C4F"/>
    <w:rsid w:val="002C0E23"/>
    <w:rsid w:val="002C0E29"/>
    <w:rsid w:val="002C0FF0"/>
    <w:rsid w:val="002C10A2"/>
    <w:rsid w:val="002C12DD"/>
    <w:rsid w:val="002C1A6D"/>
    <w:rsid w:val="002C1D22"/>
    <w:rsid w:val="002C1EA1"/>
    <w:rsid w:val="002C2089"/>
    <w:rsid w:val="002C2424"/>
    <w:rsid w:val="002C2C8D"/>
    <w:rsid w:val="002C2CA5"/>
    <w:rsid w:val="002C3072"/>
    <w:rsid w:val="002C326C"/>
    <w:rsid w:val="002C3609"/>
    <w:rsid w:val="002C3D91"/>
    <w:rsid w:val="002C4BE4"/>
    <w:rsid w:val="002C4D43"/>
    <w:rsid w:val="002C5285"/>
    <w:rsid w:val="002C5B27"/>
    <w:rsid w:val="002C5C50"/>
    <w:rsid w:val="002C631A"/>
    <w:rsid w:val="002C634D"/>
    <w:rsid w:val="002C63A5"/>
    <w:rsid w:val="002C6EE7"/>
    <w:rsid w:val="002C70EC"/>
    <w:rsid w:val="002C7600"/>
    <w:rsid w:val="002C7934"/>
    <w:rsid w:val="002D03C7"/>
    <w:rsid w:val="002D1445"/>
    <w:rsid w:val="002D1662"/>
    <w:rsid w:val="002D211F"/>
    <w:rsid w:val="002D21D0"/>
    <w:rsid w:val="002D24BF"/>
    <w:rsid w:val="002D27E5"/>
    <w:rsid w:val="002D2C18"/>
    <w:rsid w:val="002D2C78"/>
    <w:rsid w:val="002D2DC1"/>
    <w:rsid w:val="002D2DF9"/>
    <w:rsid w:val="002D3422"/>
    <w:rsid w:val="002D38BF"/>
    <w:rsid w:val="002D3B6F"/>
    <w:rsid w:val="002D3E0D"/>
    <w:rsid w:val="002D3E62"/>
    <w:rsid w:val="002D4298"/>
    <w:rsid w:val="002D4620"/>
    <w:rsid w:val="002D46A7"/>
    <w:rsid w:val="002D524F"/>
    <w:rsid w:val="002D5936"/>
    <w:rsid w:val="002D5A2D"/>
    <w:rsid w:val="002D5D8A"/>
    <w:rsid w:val="002D5E7F"/>
    <w:rsid w:val="002D630A"/>
    <w:rsid w:val="002D63CF"/>
    <w:rsid w:val="002D6909"/>
    <w:rsid w:val="002D6B9E"/>
    <w:rsid w:val="002D6CA7"/>
    <w:rsid w:val="002D6E06"/>
    <w:rsid w:val="002D7070"/>
    <w:rsid w:val="002D7210"/>
    <w:rsid w:val="002D750F"/>
    <w:rsid w:val="002D7537"/>
    <w:rsid w:val="002D782A"/>
    <w:rsid w:val="002E0294"/>
    <w:rsid w:val="002E0CB5"/>
    <w:rsid w:val="002E0DB4"/>
    <w:rsid w:val="002E0E3C"/>
    <w:rsid w:val="002E1694"/>
    <w:rsid w:val="002E17FC"/>
    <w:rsid w:val="002E1D5F"/>
    <w:rsid w:val="002E2267"/>
    <w:rsid w:val="002E24B0"/>
    <w:rsid w:val="002E25E7"/>
    <w:rsid w:val="002E2E44"/>
    <w:rsid w:val="002E2F94"/>
    <w:rsid w:val="002E47B1"/>
    <w:rsid w:val="002E49D0"/>
    <w:rsid w:val="002E4AB9"/>
    <w:rsid w:val="002E4C74"/>
    <w:rsid w:val="002E55BD"/>
    <w:rsid w:val="002E5978"/>
    <w:rsid w:val="002E5ACC"/>
    <w:rsid w:val="002E5B95"/>
    <w:rsid w:val="002E5E59"/>
    <w:rsid w:val="002E6170"/>
    <w:rsid w:val="002E6248"/>
    <w:rsid w:val="002E7961"/>
    <w:rsid w:val="002F0216"/>
    <w:rsid w:val="002F0237"/>
    <w:rsid w:val="002F0AF6"/>
    <w:rsid w:val="002F0BA9"/>
    <w:rsid w:val="002F0C49"/>
    <w:rsid w:val="002F0E9F"/>
    <w:rsid w:val="002F1375"/>
    <w:rsid w:val="002F1446"/>
    <w:rsid w:val="002F1DB6"/>
    <w:rsid w:val="002F2195"/>
    <w:rsid w:val="002F2E68"/>
    <w:rsid w:val="002F4210"/>
    <w:rsid w:val="002F4F91"/>
    <w:rsid w:val="002F506C"/>
    <w:rsid w:val="002F52EF"/>
    <w:rsid w:val="002F5459"/>
    <w:rsid w:val="002F56DB"/>
    <w:rsid w:val="002F5F5E"/>
    <w:rsid w:val="002F65D7"/>
    <w:rsid w:val="002F6DEF"/>
    <w:rsid w:val="002F7111"/>
    <w:rsid w:val="002F7358"/>
    <w:rsid w:val="002F777F"/>
    <w:rsid w:val="002F77C7"/>
    <w:rsid w:val="002F7FA8"/>
    <w:rsid w:val="003003AF"/>
    <w:rsid w:val="00300780"/>
    <w:rsid w:val="00300BF7"/>
    <w:rsid w:val="00300F60"/>
    <w:rsid w:val="00301031"/>
    <w:rsid w:val="0030110C"/>
    <w:rsid w:val="003011BE"/>
    <w:rsid w:val="00301D2B"/>
    <w:rsid w:val="00302036"/>
    <w:rsid w:val="003021CB"/>
    <w:rsid w:val="00302533"/>
    <w:rsid w:val="003026D0"/>
    <w:rsid w:val="00302BDC"/>
    <w:rsid w:val="00303175"/>
    <w:rsid w:val="00303545"/>
    <w:rsid w:val="0030355E"/>
    <w:rsid w:val="00303923"/>
    <w:rsid w:val="0030396F"/>
    <w:rsid w:val="00303A6D"/>
    <w:rsid w:val="00303FF4"/>
    <w:rsid w:val="003047DC"/>
    <w:rsid w:val="003047E6"/>
    <w:rsid w:val="00304D66"/>
    <w:rsid w:val="0030561F"/>
    <w:rsid w:val="0030588C"/>
    <w:rsid w:val="00305976"/>
    <w:rsid w:val="003059A1"/>
    <w:rsid w:val="00305A25"/>
    <w:rsid w:val="003060AB"/>
    <w:rsid w:val="00306981"/>
    <w:rsid w:val="00306C0F"/>
    <w:rsid w:val="00306E68"/>
    <w:rsid w:val="003072F6"/>
    <w:rsid w:val="00307328"/>
    <w:rsid w:val="0030793B"/>
    <w:rsid w:val="00307ACA"/>
    <w:rsid w:val="00307C9D"/>
    <w:rsid w:val="00307D82"/>
    <w:rsid w:val="00310017"/>
    <w:rsid w:val="003107BC"/>
    <w:rsid w:val="003107E0"/>
    <w:rsid w:val="003110C1"/>
    <w:rsid w:val="00311608"/>
    <w:rsid w:val="00311956"/>
    <w:rsid w:val="00311CB2"/>
    <w:rsid w:val="00311D34"/>
    <w:rsid w:val="00312299"/>
    <w:rsid w:val="0031263A"/>
    <w:rsid w:val="00312654"/>
    <w:rsid w:val="00312CA1"/>
    <w:rsid w:val="00312D3A"/>
    <w:rsid w:val="00312F42"/>
    <w:rsid w:val="00312F4C"/>
    <w:rsid w:val="00312F71"/>
    <w:rsid w:val="00313088"/>
    <w:rsid w:val="00313576"/>
    <w:rsid w:val="00313696"/>
    <w:rsid w:val="003138C5"/>
    <w:rsid w:val="00313A1A"/>
    <w:rsid w:val="00313DBC"/>
    <w:rsid w:val="00313E00"/>
    <w:rsid w:val="00314776"/>
    <w:rsid w:val="00314E51"/>
    <w:rsid w:val="00314E56"/>
    <w:rsid w:val="00314EC4"/>
    <w:rsid w:val="00314EDA"/>
    <w:rsid w:val="0031514C"/>
    <w:rsid w:val="003151A1"/>
    <w:rsid w:val="00315609"/>
    <w:rsid w:val="003160D6"/>
    <w:rsid w:val="00316151"/>
    <w:rsid w:val="0031667A"/>
    <w:rsid w:val="0031669C"/>
    <w:rsid w:val="003166C7"/>
    <w:rsid w:val="00316D26"/>
    <w:rsid w:val="00316DCD"/>
    <w:rsid w:val="00316E98"/>
    <w:rsid w:val="0031727A"/>
    <w:rsid w:val="003174F0"/>
    <w:rsid w:val="0031762C"/>
    <w:rsid w:val="003178DD"/>
    <w:rsid w:val="00317CAA"/>
    <w:rsid w:val="00317CE5"/>
    <w:rsid w:val="00317EFC"/>
    <w:rsid w:val="00317F93"/>
    <w:rsid w:val="00320493"/>
    <w:rsid w:val="00320DBE"/>
    <w:rsid w:val="00320F14"/>
    <w:rsid w:val="0032196C"/>
    <w:rsid w:val="00321CD3"/>
    <w:rsid w:val="00322446"/>
    <w:rsid w:val="0032248F"/>
    <w:rsid w:val="0032279C"/>
    <w:rsid w:val="00322E84"/>
    <w:rsid w:val="003244D1"/>
    <w:rsid w:val="00324FA6"/>
    <w:rsid w:val="003253EB"/>
    <w:rsid w:val="00325559"/>
    <w:rsid w:val="00325655"/>
    <w:rsid w:val="003257E8"/>
    <w:rsid w:val="003259B8"/>
    <w:rsid w:val="00325B4C"/>
    <w:rsid w:val="00325BD2"/>
    <w:rsid w:val="003264E9"/>
    <w:rsid w:val="003264F3"/>
    <w:rsid w:val="0032680C"/>
    <w:rsid w:val="00326DFD"/>
    <w:rsid w:val="00326E18"/>
    <w:rsid w:val="003270F7"/>
    <w:rsid w:val="00327797"/>
    <w:rsid w:val="00327BF3"/>
    <w:rsid w:val="00330188"/>
    <w:rsid w:val="00330566"/>
    <w:rsid w:val="00330680"/>
    <w:rsid w:val="0033120E"/>
    <w:rsid w:val="00331B32"/>
    <w:rsid w:val="00331D8B"/>
    <w:rsid w:val="003323A5"/>
    <w:rsid w:val="00332E73"/>
    <w:rsid w:val="00332EB5"/>
    <w:rsid w:val="003337CD"/>
    <w:rsid w:val="00334019"/>
    <w:rsid w:val="00334BE7"/>
    <w:rsid w:val="00334F21"/>
    <w:rsid w:val="003352CE"/>
    <w:rsid w:val="003357DA"/>
    <w:rsid w:val="00335924"/>
    <w:rsid w:val="0033603D"/>
    <w:rsid w:val="00336206"/>
    <w:rsid w:val="0033655B"/>
    <w:rsid w:val="00336C0A"/>
    <w:rsid w:val="00336F98"/>
    <w:rsid w:val="00337AA0"/>
    <w:rsid w:val="00340193"/>
    <w:rsid w:val="003403F3"/>
    <w:rsid w:val="00340467"/>
    <w:rsid w:val="003406F6"/>
    <w:rsid w:val="00340C60"/>
    <w:rsid w:val="00340E5E"/>
    <w:rsid w:val="00340F9D"/>
    <w:rsid w:val="00341028"/>
    <w:rsid w:val="0034142E"/>
    <w:rsid w:val="00341522"/>
    <w:rsid w:val="003416EC"/>
    <w:rsid w:val="00341987"/>
    <w:rsid w:val="003422CD"/>
    <w:rsid w:val="00342300"/>
    <w:rsid w:val="00342BEF"/>
    <w:rsid w:val="00342F41"/>
    <w:rsid w:val="003430B5"/>
    <w:rsid w:val="003435F6"/>
    <w:rsid w:val="003436BC"/>
    <w:rsid w:val="0034375B"/>
    <w:rsid w:val="00344002"/>
    <w:rsid w:val="003444C1"/>
    <w:rsid w:val="00344669"/>
    <w:rsid w:val="00344B3C"/>
    <w:rsid w:val="00344CD8"/>
    <w:rsid w:val="00345170"/>
    <w:rsid w:val="003455B2"/>
    <w:rsid w:val="00345F22"/>
    <w:rsid w:val="00346674"/>
    <w:rsid w:val="003468B5"/>
    <w:rsid w:val="003468F1"/>
    <w:rsid w:val="00346C43"/>
    <w:rsid w:val="00346CB2"/>
    <w:rsid w:val="00346F43"/>
    <w:rsid w:val="00346F4C"/>
    <w:rsid w:val="0034725B"/>
    <w:rsid w:val="003475B5"/>
    <w:rsid w:val="00347600"/>
    <w:rsid w:val="00347E49"/>
    <w:rsid w:val="00350C77"/>
    <w:rsid w:val="00351C9E"/>
    <w:rsid w:val="00351ED7"/>
    <w:rsid w:val="00351F2A"/>
    <w:rsid w:val="00352F91"/>
    <w:rsid w:val="00353072"/>
    <w:rsid w:val="00353419"/>
    <w:rsid w:val="00353440"/>
    <w:rsid w:val="00353508"/>
    <w:rsid w:val="003537C8"/>
    <w:rsid w:val="003542B4"/>
    <w:rsid w:val="0035435D"/>
    <w:rsid w:val="0035447B"/>
    <w:rsid w:val="00354856"/>
    <w:rsid w:val="00354F32"/>
    <w:rsid w:val="003550A9"/>
    <w:rsid w:val="003551D1"/>
    <w:rsid w:val="00355411"/>
    <w:rsid w:val="00355707"/>
    <w:rsid w:val="00355C22"/>
    <w:rsid w:val="003560A9"/>
    <w:rsid w:val="00356199"/>
    <w:rsid w:val="00356362"/>
    <w:rsid w:val="00356B3F"/>
    <w:rsid w:val="00356C8C"/>
    <w:rsid w:val="0035712B"/>
    <w:rsid w:val="003576CB"/>
    <w:rsid w:val="00357BCC"/>
    <w:rsid w:val="00357DF0"/>
    <w:rsid w:val="00357E83"/>
    <w:rsid w:val="00357FB7"/>
    <w:rsid w:val="00360568"/>
    <w:rsid w:val="00360952"/>
    <w:rsid w:val="00360C7C"/>
    <w:rsid w:val="00360CC4"/>
    <w:rsid w:val="00360ED8"/>
    <w:rsid w:val="00360FFD"/>
    <w:rsid w:val="00361B94"/>
    <w:rsid w:val="00361DB1"/>
    <w:rsid w:val="00361E82"/>
    <w:rsid w:val="00361ECB"/>
    <w:rsid w:val="003626DF"/>
    <w:rsid w:val="0036290B"/>
    <w:rsid w:val="003639BE"/>
    <w:rsid w:val="00363BAE"/>
    <w:rsid w:val="003641C9"/>
    <w:rsid w:val="003641FA"/>
    <w:rsid w:val="00364364"/>
    <w:rsid w:val="003651C8"/>
    <w:rsid w:val="00365533"/>
    <w:rsid w:val="00365997"/>
    <w:rsid w:val="00365FEC"/>
    <w:rsid w:val="00365FED"/>
    <w:rsid w:val="003663BB"/>
    <w:rsid w:val="0036650B"/>
    <w:rsid w:val="0036678D"/>
    <w:rsid w:val="0036697A"/>
    <w:rsid w:val="0036715F"/>
    <w:rsid w:val="003675B0"/>
    <w:rsid w:val="00367637"/>
    <w:rsid w:val="0037028E"/>
    <w:rsid w:val="00370678"/>
    <w:rsid w:val="00370AAE"/>
    <w:rsid w:val="00370E11"/>
    <w:rsid w:val="00370EBB"/>
    <w:rsid w:val="003711E5"/>
    <w:rsid w:val="0037165D"/>
    <w:rsid w:val="00371A34"/>
    <w:rsid w:val="00371DFF"/>
    <w:rsid w:val="0037285B"/>
    <w:rsid w:val="00372BE6"/>
    <w:rsid w:val="00372C29"/>
    <w:rsid w:val="00373021"/>
    <w:rsid w:val="0037305A"/>
    <w:rsid w:val="00373859"/>
    <w:rsid w:val="00373962"/>
    <w:rsid w:val="00374C82"/>
    <w:rsid w:val="00374CCD"/>
    <w:rsid w:val="00374F7B"/>
    <w:rsid w:val="00375C66"/>
    <w:rsid w:val="00375F12"/>
    <w:rsid w:val="003760CA"/>
    <w:rsid w:val="00376168"/>
    <w:rsid w:val="00377201"/>
    <w:rsid w:val="003777B7"/>
    <w:rsid w:val="0038004D"/>
    <w:rsid w:val="00380222"/>
    <w:rsid w:val="00380305"/>
    <w:rsid w:val="003803E1"/>
    <w:rsid w:val="0038070F"/>
    <w:rsid w:val="00380C41"/>
    <w:rsid w:val="00381263"/>
    <w:rsid w:val="003812E0"/>
    <w:rsid w:val="003817CE"/>
    <w:rsid w:val="00382391"/>
    <w:rsid w:val="003823D9"/>
    <w:rsid w:val="00382422"/>
    <w:rsid w:val="003825F4"/>
    <w:rsid w:val="0038323F"/>
    <w:rsid w:val="00383416"/>
    <w:rsid w:val="003839D0"/>
    <w:rsid w:val="00383F62"/>
    <w:rsid w:val="0038420D"/>
    <w:rsid w:val="00384BCF"/>
    <w:rsid w:val="00384D4D"/>
    <w:rsid w:val="00385146"/>
    <w:rsid w:val="003852C3"/>
    <w:rsid w:val="003859B2"/>
    <w:rsid w:val="00385E74"/>
    <w:rsid w:val="00385ED7"/>
    <w:rsid w:val="003862D2"/>
    <w:rsid w:val="003866CC"/>
    <w:rsid w:val="00386748"/>
    <w:rsid w:val="003867A3"/>
    <w:rsid w:val="00386863"/>
    <w:rsid w:val="00386D8F"/>
    <w:rsid w:val="0038721B"/>
    <w:rsid w:val="0038749E"/>
    <w:rsid w:val="0038785D"/>
    <w:rsid w:val="003878DE"/>
    <w:rsid w:val="00387924"/>
    <w:rsid w:val="00387A39"/>
    <w:rsid w:val="00387E0A"/>
    <w:rsid w:val="00387FA1"/>
    <w:rsid w:val="00390050"/>
    <w:rsid w:val="00390555"/>
    <w:rsid w:val="00391C10"/>
    <w:rsid w:val="00392AE7"/>
    <w:rsid w:val="00392D1D"/>
    <w:rsid w:val="00393392"/>
    <w:rsid w:val="00393771"/>
    <w:rsid w:val="00393BD0"/>
    <w:rsid w:val="00393F5A"/>
    <w:rsid w:val="00394973"/>
    <w:rsid w:val="00394A69"/>
    <w:rsid w:val="00394D09"/>
    <w:rsid w:val="00394DC1"/>
    <w:rsid w:val="00394F9D"/>
    <w:rsid w:val="003951D5"/>
    <w:rsid w:val="0039567F"/>
    <w:rsid w:val="00395A7E"/>
    <w:rsid w:val="00395CE9"/>
    <w:rsid w:val="00396C42"/>
    <w:rsid w:val="003970F2"/>
    <w:rsid w:val="00397125"/>
    <w:rsid w:val="0039775C"/>
    <w:rsid w:val="00397990"/>
    <w:rsid w:val="003A008C"/>
    <w:rsid w:val="003A01DC"/>
    <w:rsid w:val="003A0260"/>
    <w:rsid w:val="003A1126"/>
    <w:rsid w:val="003A12F9"/>
    <w:rsid w:val="003A130C"/>
    <w:rsid w:val="003A15B5"/>
    <w:rsid w:val="003A182A"/>
    <w:rsid w:val="003A18B0"/>
    <w:rsid w:val="003A1AE2"/>
    <w:rsid w:val="003A22B4"/>
    <w:rsid w:val="003A22D6"/>
    <w:rsid w:val="003A23C3"/>
    <w:rsid w:val="003A2A8E"/>
    <w:rsid w:val="003A2D33"/>
    <w:rsid w:val="003A2D72"/>
    <w:rsid w:val="003A2DAF"/>
    <w:rsid w:val="003A2F5A"/>
    <w:rsid w:val="003A2F91"/>
    <w:rsid w:val="003A33CA"/>
    <w:rsid w:val="003A3657"/>
    <w:rsid w:val="003A3DF0"/>
    <w:rsid w:val="003A4118"/>
    <w:rsid w:val="003A49FB"/>
    <w:rsid w:val="003A4A20"/>
    <w:rsid w:val="003A4C85"/>
    <w:rsid w:val="003A4CB1"/>
    <w:rsid w:val="003A4D23"/>
    <w:rsid w:val="003A4F2C"/>
    <w:rsid w:val="003A5121"/>
    <w:rsid w:val="003A5A1D"/>
    <w:rsid w:val="003A5BF2"/>
    <w:rsid w:val="003A5DB8"/>
    <w:rsid w:val="003A6195"/>
    <w:rsid w:val="003A63B5"/>
    <w:rsid w:val="003A73F3"/>
    <w:rsid w:val="003A7679"/>
    <w:rsid w:val="003A7A0D"/>
    <w:rsid w:val="003A7CCC"/>
    <w:rsid w:val="003B0742"/>
    <w:rsid w:val="003B1067"/>
    <w:rsid w:val="003B1CD5"/>
    <w:rsid w:val="003B1EFE"/>
    <w:rsid w:val="003B2536"/>
    <w:rsid w:val="003B265E"/>
    <w:rsid w:val="003B293C"/>
    <w:rsid w:val="003B3388"/>
    <w:rsid w:val="003B399F"/>
    <w:rsid w:val="003B3C66"/>
    <w:rsid w:val="003B3CD7"/>
    <w:rsid w:val="003B4119"/>
    <w:rsid w:val="003B4A67"/>
    <w:rsid w:val="003B4C3E"/>
    <w:rsid w:val="003B64C9"/>
    <w:rsid w:val="003B6B2B"/>
    <w:rsid w:val="003B6DFF"/>
    <w:rsid w:val="003B6FEF"/>
    <w:rsid w:val="003B7416"/>
    <w:rsid w:val="003B74C4"/>
    <w:rsid w:val="003B76BA"/>
    <w:rsid w:val="003B7908"/>
    <w:rsid w:val="003B7F85"/>
    <w:rsid w:val="003C00A6"/>
    <w:rsid w:val="003C0101"/>
    <w:rsid w:val="003C02A4"/>
    <w:rsid w:val="003C02EB"/>
    <w:rsid w:val="003C060F"/>
    <w:rsid w:val="003C095F"/>
    <w:rsid w:val="003C0A9A"/>
    <w:rsid w:val="003C0BB3"/>
    <w:rsid w:val="003C0DA1"/>
    <w:rsid w:val="003C103A"/>
    <w:rsid w:val="003C13F5"/>
    <w:rsid w:val="003C185C"/>
    <w:rsid w:val="003C1DFB"/>
    <w:rsid w:val="003C1E23"/>
    <w:rsid w:val="003C2556"/>
    <w:rsid w:val="003C28B8"/>
    <w:rsid w:val="003C3235"/>
    <w:rsid w:val="003C3444"/>
    <w:rsid w:val="003C3488"/>
    <w:rsid w:val="003C3861"/>
    <w:rsid w:val="003C4378"/>
    <w:rsid w:val="003C4628"/>
    <w:rsid w:val="003C46D6"/>
    <w:rsid w:val="003C4C71"/>
    <w:rsid w:val="003C532C"/>
    <w:rsid w:val="003C53E8"/>
    <w:rsid w:val="003C54C8"/>
    <w:rsid w:val="003C554E"/>
    <w:rsid w:val="003C5B22"/>
    <w:rsid w:val="003C5C58"/>
    <w:rsid w:val="003C6111"/>
    <w:rsid w:val="003C62F9"/>
    <w:rsid w:val="003C6575"/>
    <w:rsid w:val="003C6815"/>
    <w:rsid w:val="003C6A30"/>
    <w:rsid w:val="003C6B49"/>
    <w:rsid w:val="003C7181"/>
    <w:rsid w:val="003D0371"/>
    <w:rsid w:val="003D0741"/>
    <w:rsid w:val="003D0A1D"/>
    <w:rsid w:val="003D0C7C"/>
    <w:rsid w:val="003D177D"/>
    <w:rsid w:val="003D1908"/>
    <w:rsid w:val="003D1A05"/>
    <w:rsid w:val="003D2986"/>
    <w:rsid w:val="003D2DDA"/>
    <w:rsid w:val="003D2DF0"/>
    <w:rsid w:val="003D2EEC"/>
    <w:rsid w:val="003D319D"/>
    <w:rsid w:val="003D3F66"/>
    <w:rsid w:val="003D430D"/>
    <w:rsid w:val="003D4BBE"/>
    <w:rsid w:val="003D4BFE"/>
    <w:rsid w:val="003D4D4F"/>
    <w:rsid w:val="003D4D96"/>
    <w:rsid w:val="003D4DE8"/>
    <w:rsid w:val="003D540A"/>
    <w:rsid w:val="003D56CA"/>
    <w:rsid w:val="003D59B3"/>
    <w:rsid w:val="003D5BF5"/>
    <w:rsid w:val="003D61DD"/>
    <w:rsid w:val="003D6C42"/>
    <w:rsid w:val="003D732C"/>
    <w:rsid w:val="003D7AF2"/>
    <w:rsid w:val="003D7BA8"/>
    <w:rsid w:val="003D7F72"/>
    <w:rsid w:val="003E005E"/>
    <w:rsid w:val="003E01ED"/>
    <w:rsid w:val="003E029D"/>
    <w:rsid w:val="003E0E93"/>
    <w:rsid w:val="003E1766"/>
    <w:rsid w:val="003E1972"/>
    <w:rsid w:val="003E1FBC"/>
    <w:rsid w:val="003E2678"/>
    <w:rsid w:val="003E2B5A"/>
    <w:rsid w:val="003E348B"/>
    <w:rsid w:val="003E34C8"/>
    <w:rsid w:val="003E378A"/>
    <w:rsid w:val="003E3941"/>
    <w:rsid w:val="003E3FFC"/>
    <w:rsid w:val="003E41D6"/>
    <w:rsid w:val="003E45F3"/>
    <w:rsid w:val="003E47F3"/>
    <w:rsid w:val="003E4968"/>
    <w:rsid w:val="003E4A09"/>
    <w:rsid w:val="003E4F0E"/>
    <w:rsid w:val="003E630E"/>
    <w:rsid w:val="003E6368"/>
    <w:rsid w:val="003E6E73"/>
    <w:rsid w:val="003E6E76"/>
    <w:rsid w:val="003E6F72"/>
    <w:rsid w:val="003E70CC"/>
    <w:rsid w:val="003E7207"/>
    <w:rsid w:val="003E729C"/>
    <w:rsid w:val="003E73C7"/>
    <w:rsid w:val="003E7518"/>
    <w:rsid w:val="003E7E6B"/>
    <w:rsid w:val="003E7F04"/>
    <w:rsid w:val="003F01F5"/>
    <w:rsid w:val="003F09D3"/>
    <w:rsid w:val="003F0D09"/>
    <w:rsid w:val="003F12BA"/>
    <w:rsid w:val="003F2224"/>
    <w:rsid w:val="003F28B4"/>
    <w:rsid w:val="003F3138"/>
    <w:rsid w:val="003F3BD8"/>
    <w:rsid w:val="003F4204"/>
    <w:rsid w:val="003F4AED"/>
    <w:rsid w:val="003F5557"/>
    <w:rsid w:val="003F564D"/>
    <w:rsid w:val="003F5736"/>
    <w:rsid w:val="003F5B74"/>
    <w:rsid w:val="003F5CFE"/>
    <w:rsid w:val="003F676E"/>
    <w:rsid w:val="003F6F95"/>
    <w:rsid w:val="003F6FFC"/>
    <w:rsid w:val="003F7C37"/>
    <w:rsid w:val="0040159A"/>
    <w:rsid w:val="0040186A"/>
    <w:rsid w:val="00401C75"/>
    <w:rsid w:val="00401D50"/>
    <w:rsid w:val="00401F0D"/>
    <w:rsid w:val="00402199"/>
    <w:rsid w:val="00402394"/>
    <w:rsid w:val="004023D1"/>
    <w:rsid w:val="004023E2"/>
    <w:rsid w:val="004027C0"/>
    <w:rsid w:val="00402E83"/>
    <w:rsid w:val="00403AFB"/>
    <w:rsid w:val="00403CC6"/>
    <w:rsid w:val="00403CD5"/>
    <w:rsid w:val="00403D6E"/>
    <w:rsid w:val="00404CAA"/>
    <w:rsid w:val="00405312"/>
    <w:rsid w:val="00405425"/>
    <w:rsid w:val="004054B5"/>
    <w:rsid w:val="00406717"/>
    <w:rsid w:val="004067BC"/>
    <w:rsid w:val="0040731A"/>
    <w:rsid w:val="00407747"/>
    <w:rsid w:val="00407E29"/>
    <w:rsid w:val="0041014C"/>
    <w:rsid w:val="0041033D"/>
    <w:rsid w:val="00410587"/>
    <w:rsid w:val="00410742"/>
    <w:rsid w:val="00410BD0"/>
    <w:rsid w:val="0041144A"/>
    <w:rsid w:val="00411A23"/>
    <w:rsid w:val="00411DE1"/>
    <w:rsid w:val="00412143"/>
    <w:rsid w:val="00412BAD"/>
    <w:rsid w:val="00412FFF"/>
    <w:rsid w:val="004132D9"/>
    <w:rsid w:val="004134EB"/>
    <w:rsid w:val="00413E65"/>
    <w:rsid w:val="00413FDA"/>
    <w:rsid w:val="004142E0"/>
    <w:rsid w:val="00414DB8"/>
    <w:rsid w:val="004150A2"/>
    <w:rsid w:val="004153B6"/>
    <w:rsid w:val="00415EF6"/>
    <w:rsid w:val="0041621F"/>
    <w:rsid w:val="00417004"/>
    <w:rsid w:val="004173D2"/>
    <w:rsid w:val="00417449"/>
    <w:rsid w:val="004176B5"/>
    <w:rsid w:val="004176FD"/>
    <w:rsid w:val="004178DE"/>
    <w:rsid w:val="00417ABF"/>
    <w:rsid w:val="00420F9F"/>
    <w:rsid w:val="004211BC"/>
    <w:rsid w:val="00421D1C"/>
    <w:rsid w:val="00422418"/>
    <w:rsid w:val="004232CF"/>
    <w:rsid w:val="004237CB"/>
    <w:rsid w:val="00423B41"/>
    <w:rsid w:val="00423C16"/>
    <w:rsid w:val="00424451"/>
    <w:rsid w:val="00424C34"/>
    <w:rsid w:val="00424D11"/>
    <w:rsid w:val="004252DC"/>
    <w:rsid w:val="00425328"/>
    <w:rsid w:val="00425919"/>
    <w:rsid w:val="00425CF5"/>
    <w:rsid w:val="00425E19"/>
    <w:rsid w:val="004261EA"/>
    <w:rsid w:val="0042639D"/>
    <w:rsid w:val="00426E1F"/>
    <w:rsid w:val="00427207"/>
    <w:rsid w:val="00427805"/>
    <w:rsid w:val="00427BEA"/>
    <w:rsid w:val="00430182"/>
    <w:rsid w:val="0043071D"/>
    <w:rsid w:val="0043086E"/>
    <w:rsid w:val="00430FA8"/>
    <w:rsid w:val="004314B1"/>
    <w:rsid w:val="00431972"/>
    <w:rsid w:val="0043197A"/>
    <w:rsid w:val="00431A84"/>
    <w:rsid w:val="00431F33"/>
    <w:rsid w:val="00432DD7"/>
    <w:rsid w:val="00433053"/>
    <w:rsid w:val="0043339D"/>
    <w:rsid w:val="004338AE"/>
    <w:rsid w:val="00433E44"/>
    <w:rsid w:val="00433ECB"/>
    <w:rsid w:val="0043444E"/>
    <w:rsid w:val="004345A7"/>
    <w:rsid w:val="004359FD"/>
    <w:rsid w:val="00435A6D"/>
    <w:rsid w:val="00435DFA"/>
    <w:rsid w:val="0043620B"/>
    <w:rsid w:val="004364C8"/>
    <w:rsid w:val="00436507"/>
    <w:rsid w:val="0043667C"/>
    <w:rsid w:val="00436859"/>
    <w:rsid w:val="004369C8"/>
    <w:rsid w:val="00436B17"/>
    <w:rsid w:val="00436D96"/>
    <w:rsid w:val="00436E9C"/>
    <w:rsid w:val="004372B7"/>
    <w:rsid w:val="004372BB"/>
    <w:rsid w:val="004379B8"/>
    <w:rsid w:val="00437B84"/>
    <w:rsid w:val="00437E4A"/>
    <w:rsid w:val="004404F6"/>
    <w:rsid w:val="004408FD"/>
    <w:rsid w:val="0044190A"/>
    <w:rsid w:val="0044190B"/>
    <w:rsid w:val="00441988"/>
    <w:rsid w:val="0044229A"/>
    <w:rsid w:val="004425C0"/>
    <w:rsid w:val="004426D9"/>
    <w:rsid w:val="00442A60"/>
    <w:rsid w:val="00443163"/>
    <w:rsid w:val="00443889"/>
    <w:rsid w:val="00443DE3"/>
    <w:rsid w:val="004441A7"/>
    <w:rsid w:val="004441F5"/>
    <w:rsid w:val="004449E5"/>
    <w:rsid w:val="00445391"/>
    <w:rsid w:val="004455AE"/>
    <w:rsid w:val="0044582B"/>
    <w:rsid w:val="00445865"/>
    <w:rsid w:val="00445CE0"/>
    <w:rsid w:val="00445D80"/>
    <w:rsid w:val="0044625D"/>
    <w:rsid w:val="004462FE"/>
    <w:rsid w:val="00446899"/>
    <w:rsid w:val="0044690C"/>
    <w:rsid w:val="00446CBE"/>
    <w:rsid w:val="00446E22"/>
    <w:rsid w:val="004475AB"/>
    <w:rsid w:val="00447663"/>
    <w:rsid w:val="00447E32"/>
    <w:rsid w:val="004500DA"/>
    <w:rsid w:val="0045033D"/>
    <w:rsid w:val="0045074B"/>
    <w:rsid w:val="004508CF"/>
    <w:rsid w:val="004511D5"/>
    <w:rsid w:val="00451417"/>
    <w:rsid w:val="0045166B"/>
    <w:rsid w:val="004519D2"/>
    <w:rsid w:val="00452060"/>
    <w:rsid w:val="00452063"/>
    <w:rsid w:val="004528C3"/>
    <w:rsid w:val="004530DA"/>
    <w:rsid w:val="00453264"/>
    <w:rsid w:val="0045374A"/>
    <w:rsid w:val="00453AE3"/>
    <w:rsid w:val="00453F03"/>
    <w:rsid w:val="004541D0"/>
    <w:rsid w:val="004541D7"/>
    <w:rsid w:val="00454260"/>
    <w:rsid w:val="0045455A"/>
    <w:rsid w:val="00454DF8"/>
    <w:rsid w:val="00454F16"/>
    <w:rsid w:val="004554D1"/>
    <w:rsid w:val="004556CA"/>
    <w:rsid w:val="00455778"/>
    <w:rsid w:val="004563AB"/>
    <w:rsid w:val="00456C98"/>
    <w:rsid w:val="00457247"/>
    <w:rsid w:val="00457293"/>
    <w:rsid w:val="00457A17"/>
    <w:rsid w:val="00457F6A"/>
    <w:rsid w:val="004606A6"/>
    <w:rsid w:val="00460823"/>
    <w:rsid w:val="00460A5F"/>
    <w:rsid w:val="00461248"/>
    <w:rsid w:val="00461B74"/>
    <w:rsid w:val="00461C6F"/>
    <w:rsid w:val="0046204B"/>
    <w:rsid w:val="00462122"/>
    <w:rsid w:val="00462479"/>
    <w:rsid w:val="00462527"/>
    <w:rsid w:val="00462758"/>
    <w:rsid w:val="004627D8"/>
    <w:rsid w:val="00462CC6"/>
    <w:rsid w:val="004634CE"/>
    <w:rsid w:val="00463532"/>
    <w:rsid w:val="00463692"/>
    <w:rsid w:val="00463916"/>
    <w:rsid w:val="004639E4"/>
    <w:rsid w:val="00463C94"/>
    <w:rsid w:val="004644F3"/>
    <w:rsid w:val="004644F6"/>
    <w:rsid w:val="004648B0"/>
    <w:rsid w:val="00464A1F"/>
    <w:rsid w:val="00464E3D"/>
    <w:rsid w:val="00464EF4"/>
    <w:rsid w:val="00465B52"/>
    <w:rsid w:val="004662C1"/>
    <w:rsid w:val="00466419"/>
    <w:rsid w:val="004664C1"/>
    <w:rsid w:val="0046654E"/>
    <w:rsid w:val="00466AA8"/>
    <w:rsid w:val="00467654"/>
    <w:rsid w:val="00467B3B"/>
    <w:rsid w:val="00467CCE"/>
    <w:rsid w:val="0047073B"/>
    <w:rsid w:val="004714EB"/>
    <w:rsid w:val="004715FA"/>
    <w:rsid w:val="004716DB"/>
    <w:rsid w:val="00471805"/>
    <w:rsid w:val="00471844"/>
    <w:rsid w:val="004719A8"/>
    <w:rsid w:val="004719BD"/>
    <w:rsid w:val="00471CC0"/>
    <w:rsid w:val="00472604"/>
    <w:rsid w:val="00472618"/>
    <w:rsid w:val="00472B7E"/>
    <w:rsid w:val="00472BBD"/>
    <w:rsid w:val="00473002"/>
    <w:rsid w:val="004738F2"/>
    <w:rsid w:val="00473D5C"/>
    <w:rsid w:val="00473E0B"/>
    <w:rsid w:val="004741F4"/>
    <w:rsid w:val="004743EA"/>
    <w:rsid w:val="004745F3"/>
    <w:rsid w:val="00474602"/>
    <w:rsid w:val="004748BE"/>
    <w:rsid w:val="00474904"/>
    <w:rsid w:val="0047509E"/>
    <w:rsid w:val="004755BB"/>
    <w:rsid w:val="00475955"/>
    <w:rsid w:val="00475C28"/>
    <w:rsid w:val="00475CD2"/>
    <w:rsid w:val="00475F5B"/>
    <w:rsid w:val="00476E89"/>
    <w:rsid w:val="004770D9"/>
    <w:rsid w:val="00477531"/>
    <w:rsid w:val="00477BAB"/>
    <w:rsid w:val="00477E70"/>
    <w:rsid w:val="0048019D"/>
    <w:rsid w:val="004805E6"/>
    <w:rsid w:val="004806FA"/>
    <w:rsid w:val="00480A2B"/>
    <w:rsid w:val="00480C41"/>
    <w:rsid w:val="00480E63"/>
    <w:rsid w:val="004820D4"/>
    <w:rsid w:val="00482189"/>
    <w:rsid w:val="0048298C"/>
    <w:rsid w:val="00482B3F"/>
    <w:rsid w:val="00482EA3"/>
    <w:rsid w:val="004832C5"/>
    <w:rsid w:val="00483742"/>
    <w:rsid w:val="00483E7F"/>
    <w:rsid w:val="004841A4"/>
    <w:rsid w:val="00484530"/>
    <w:rsid w:val="004850C8"/>
    <w:rsid w:val="00485E18"/>
    <w:rsid w:val="004867B6"/>
    <w:rsid w:val="00486B9F"/>
    <w:rsid w:val="004870D0"/>
    <w:rsid w:val="00487C29"/>
    <w:rsid w:val="00487DEA"/>
    <w:rsid w:val="00487FD7"/>
    <w:rsid w:val="004901BF"/>
    <w:rsid w:val="004902D1"/>
    <w:rsid w:val="0049067A"/>
    <w:rsid w:val="00491311"/>
    <w:rsid w:val="00491788"/>
    <w:rsid w:val="00492225"/>
    <w:rsid w:val="004922C5"/>
    <w:rsid w:val="00492709"/>
    <w:rsid w:val="0049278E"/>
    <w:rsid w:val="00492935"/>
    <w:rsid w:val="0049296F"/>
    <w:rsid w:val="00492A79"/>
    <w:rsid w:val="004931A9"/>
    <w:rsid w:val="00494067"/>
    <w:rsid w:val="0049432F"/>
    <w:rsid w:val="0049440F"/>
    <w:rsid w:val="0049441D"/>
    <w:rsid w:val="00494B7F"/>
    <w:rsid w:val="00494CE9"/>
    <w:rsid w:val="00494EC6"/>
    <w:rsid w:val="00494F26"/>
    <w:rsid w:val="00494F7E"/>
    <w:rsid w:val="00495024"/>
    <w:rsid w:val="004950E3"/>
    <w:rsid w:val="004954DB"/>
    <w:rsid w:val="00495A0D"/>
    <w:rsid w:val="00496D15"/>
    <w:rsid w:val="00496F8D"/>
    <w:rsid w:val="0049720A"/>
    <w:rsid w:val="0049798A"/>
    <w:rsid w:val="00497A0C"/>
    <w:rsid w:val="00497EDB"/>
    <w:rsid w:val="004A0604"/>
    <w:rsid w:val="004A14A2"/>
    <w:rsid w:val="004A16C0"/>
    <w:rsid w:val="004A1715"/>
    <w:rsid w:val="004A18B2"/>
    <w:rsid w:val="004A1930"/>
    <w:rsid w:val="004A1F31"/>
    <w:rsid w:val="004A2181"/>
    <w:rsid w:val="004A2E38"/>
    <w:rsid w:val="004A2F59"/>
    <w:rsid w:val="004A33BC"/>
    <w:rsid w:val="004A33F9"/>
    <w:rsid w:val="004A3953"/>
    <w:rsid w:val="004A44AD"/>
    <w:rsid w:val="004A454B"/>
    <w:rsid w:val="004A4A10"/>
    <w:rsid w:val="004A4BF8"/>
    <w:rsid w:val="004A4CEE"/>
    <w:rsid w:val="004A4E03"/>
    <w:rsid w:val="004A542B"/>
    <w:rsid w:val="004A54AC"/>
    <w:rsid w:val="004A58DC"/>
    <w:rsid w:val="004A5C84"/>
    <w:rsid w:val="004A5EB2"/>
    <w:rsid w:val="004A607C"/>
    <w:rsid w:val="004A6B15"/>
    <w:rsid w:val="004A70B9"/>
    <w:rsid w:val="004A7805"/>
    <w:rsid w:val="004A79AE"/>
    <w:rsid w:val="004A7F94"/>
    <w:rsid w:val="004B0180"/>
    <w:rsid w:val="004B0394"/>
    <w:rsid w:val="004B03A8"/>
    <w:rsid w:val="004B03EC"/>
    <w:rsid w:val="004B0591"/>
    <w:rsid w:val="004B0994"/>
    <w:rsid w:val="004B0B7C"/>
    <w:rsid w:val="004B0D3A"/>
    <w:rsid w:val="004B0F5A"/>
    <w:rsid w:val="004B15DF"/>
    <w:rsid w:val="004B1E09"/>
    <w:rsid w:val="004B206C"/>
    <w:rsid w:val="004B2141"/>
    <w:rsid w:val="004B21A9"/>
    <w:rsid w:val="004B2300"/>
    <w:rsid w:val="004B28CC"/>
    <w:rsid w:val="004B3143"/>
    <w:rsid w:val="004B3743"/>
    <w:rsid w:val="004B3F72"/>
    <w:rsid w:val="004B4364"/>
    <w:rsid w:val="004B4751"/>
    <w:rsid w:val="004B4A54"/>
    <w:rsid w:val="004B4C83"/>
    <w:rsid w:val="004B507C"/>
    <w:rsid w:val="004B5571"/>
    <w:rsid w:val="004B55BF"/>
    <w:rsid w:val="004B5BAD"/>
    <w:rsid w:val="004B5DD3"/>
    <w:rsid w:val="004B645E"/>
    <w:rsid w:val="004B66C7"/>
    <w:rsid w:val="004B6A0B"/>
    <w:rsid w:val="004B7139"/>
    <w:rsid w:val="004B777C"/>
    <w:rsid w:val="004B7783"/>
    <w:rsid w:val="004B78AF"/>
    <w:rsid w:val="004B79F6"/>
    <w:rsid w:val="004B7D87"/>
    <w:rsid w:val="004B7D99"/>
    <w:rsid w:val="004B7E41"/>
    <w:rsid w:val="004B7ED2"/>
    <w:rsid w:val="004C0092"/>
    <w:rsid w:val="004C0450"/>
    <w:rsid w:val="004C07C8"/>
    <w:rsid w:val="004C098E"/>
    <w:rsid w:val="004C1475"/>
    <w:rsid w:val="004C2662"/>
    <w:rsid w:val="004C286C"/>
    <w:rsid w:val="004C2B89"/>
    <w:rsid w:val="004C369B"/>
    <w:rsid w:val="004C384B"/>
    <w:rsid w:val="004C3AAD"/>
    <w:rsid w:val="004C4151"/>
    <w:rsid w:val="004C4741"/>
    <w:rsid w:val="004C4928"/>
    <w:rsid w:val="004C4A2C"/>
    <w:rsid w:val="004C52E5"/>
    <w:rsid w:val="004C58FF"/>
    <w:rsid w:val="004C5DC3"/>
    <w:rsid w:val="004C62AD"/>
    <w:rsid w:val="004C6466"/>
    <w:rsid w:val="004C6513"/>
    <w:rsid w:val="004C66F3"/>
    <w:rsid w:val="004C66FE"/>
    <w:rsid w:val="004C6922"/>
    <w:rsid w:val="004C6CBE"/>
    <w:rsid w:val="004C6F41"/>
    <w:rsid w:val="004C7009"/>
    <w:rsid w:val="004D003B"/>
    <w:rsid w:val="004D0B79"/>
    <w:rsid w:val="004D0EA5"/>
    <w:rsid w:val="004D131C"/>
    <w:rsid w:val="004D1682"/>
    <w:rsid w:val="004D19FE"/>
    <w:rsid w:val="004D2119"/>
    <w:rsid w:val="004D26FC"/>
    <w:rsid w:val="004D3887"/>
    <w:rsid w:val="004D3BF5"/>
    <w:rsid w:val="004D4313"/>
    <w:rsid w:val="004D4348"/>
    <w:rsid w:val="004D4BF6"/>
    <w:rsid w:val="004D52BE"/>
    <w:rsid w:val="004D56A0"/>
    <w:rsid w:val="004D5771"/>
    <w:rsid w:val="004D5D90"/>
    <w:rsid w:val="004D6043"/>
    <w:rsid w:val="004D612A"/>
    <w:rsid w:val="004D6632"/>
    <w:rsid w:val="004D67A0"/>
    <w:rsid w:val="004D680E"/>
    <w:rsid w:val="004D6888"/>
    <w:rsid w:val="004D73DC"/>
    <w:rsid w:val="004E04F1"/>
    <w:rsid w:val="004E09CD"/>
    <w:rsid w:val="004E0A2A"/>
    <w:rsid w:val="004E0D9E"/>
    <w:rsid w:val="004E1B89"/>
    <w:rsid w:val="004E1FFE"/>
    <w:rsid w:val="004E2BB4"/>
    <w:rsid w:val="004E2C49"/>
    <w:rsid w:val="004E31F2"/>
    <w:rsid w:val="004E350F"/>
    <w:rsid w:val="004E3862"/>
    <w:rsid w:val="004E38BD"/>
    <w:rsid w:val="004E39E9"/>
    <w:rsid w:val="004E3CAB"/>
    <w:rsid w:val="004E4137"/>
    <w:rsid w:val="004E4354"/>
    <w:rsid w:val="004E43C8"/>
    <w:rsid w:val="004E4E0F"/>
    <w:rsid w:val="004E4FCC"/>
    <w:rsid w:val="004E5338"/>
    <w:rsid w:val="004E573D"/>
    <w:rsid w:val="004E5A98"/>
    <w:rsid w:val="004E60B9"/>
    <w:rsid w:val="004E612B"/>
    <w:rsid w:val="004E6218"/>
    <w:rsid w:val="004E62DF"/>
    <w:rsid w:val="004E6742"/>
    <w:rsid w:val="004E6EDA"/>
    <w:rsid w:val="004E760E"/>
    <w:rsid w:val="004F03D7"/>
    <w:rsid w:val="004F0442"/>
    <w:rsid w:val="004F069C"/>
    <w:rsid w:val="004F07BB"/>
    <w:rsid w:val="004F0974"/>
    <w:rsid w:val="004F09B7"/>
    <w:rsid w:val="004F112D"/>
    <w:rsid w:val="004F1230"/>
    <w:rsid w:val="004F128D"/>
    <w:rsid w:val="004F130A"/>
    <w:rsid w:val="004F1944"/>
    <w:rsid w:val="004F1B6A"/>
    <w:rsid w:val="004F1DE9"/>
    <w:rsid w:val="004F2089"/>
    <w:rsid w:val="004F2A4D"/>
    <w:rsid w:val="004F350D"/>
    <w:rsid w:val="004F35FE"/>
    <w:rsid w:val="004F3EC9"/>
    <w:rsid w:val="004F3EE7"/>
    <w:rsid w:val="004F3F5C"/>
    <w:rsid w:val="004F406C"/>
    <w:rsid w:val="004F4085"/>
    <w:rsid w:val="004F40E6"/>
    <w:rsid w:val="004F4A82"/>
    <w:rsid w:val="004F4E03"/>
    <w:rsid w:val="004F5B91"/>
    <w:rsid w:val="004F63E8"/>
    <w:rsid w:val="004F6621"/>
    <w:rsid w:val="004F67E8"/>
    <w:rsid w:val="004F690C"/>
    <w:rsid w:val="004F6C8B"/>
    <w:rsid w:val="004F6CE2"/>
    <w:rsid w:val="004F7049"/>
    <w:rsid w:val="004F73B2"/>
    <w:rsid w:val="004F7442"/>
    <w:rsid w:val="004F7AD9"/>
    <w:rsid w:val="004F7B45"/>
    <w:rsid w:val="004F7D57"/>
    <w:rsid w:val="004F7F34"/>
    <w:rsid w:val="004F7FB1"/>
    <w:rsid w:val="00500190"/>
    <w:rsid w:val="00500396"/>
    <w:rsid w:val="005004FB"/>
    <w:rsid w:val="00500BB0"/>
    <w:rsid w:val="005010AB"/>
    <w:rsid w:val="0050131A"/>
    <w:rsid w:val="00501684"/>
    <w:rsid w:val="00501BF2"/>
    <w:rsid w:val="0050280E"/>
    <w:rsid w:val="00502C40"/>
    <w:rsid w:val="00503288"/>
    <w:rsid w:val="0050378E"/>
    <w:rsid w:val="00504118"/>
    <w:rsid w:val="0050413C"/>
    <w:rsid w:val="005043F1"/>
    <w:rsid w:val="00504B95"/>
    <w:rsid w:val="00504C02"/>
    <w:rsid w:val="00504CC2"/>
    <w:rsid w:val="00505487"/>
    <w:rsid w:val="005054E6"/>
    <w:rsid w:val="005055D7"/>
    <w:rsid w:val="005058B2"/>
    <w:rsid w:val="00506447"/>
    <w:rsid w:val="00506734"/>
    <w:rsid w:val="00506C49"/>
    <w:rsid w:val="00506E5B"/>
    <w:rsid w:val="00506EB9"/>
    <w:rsid w:val="00507A27"/>
    <w:rsid w:val="00507B27"/>
    <w:rsid w:val="00510353"/>
    <w:rsid w:val="0051054F"/>
    <w:rsid w:val="005108C0"/>
    <w:rsid w:val="00510D48"/>
    <w:rsid w:val="00511218"/>
    <w:rsid w:val="0051123E"/>
    <w:rsid w:val="0051141A"/>
    <w:rsid w:val="00511583"/>
    <w:rsid w:val="005115C5"/>
    <w:rsid w:val="0051170F"/>
    <w:rsid w:val="00511B5E"/>
    <w:rsid w:val="00511F4C"/>
    <w:rsid w:val="00512A29"/>
    <w:rsid w:val="00512D9C"/>
    <w:rsid w:val="00512DC7"/>
    <w:rsid w:val="00512EEE"/>
    <w:rsid w:val="00513B18"/>
    <w:rsid w:val="00513C4F"/>
    <w:rsid w:val="00513D43"/>
    <w:rsid w:val="005143BB"/>
    <w:rsid w:val="00514454"/>
    <w:rsid w:val="0051451F"/>
    <w:rsid w:val="00514877"/>
    <w:rsid w:val="00516557"/>
    <w:rsid w:val="0051666E"/>
    <w:rsid w:val="0051715E"/>
    <w:rsid w:val="00517EF8"/>
    <w:rsid w:val="005202F0"/>
    <w:rsid w:val="0052036D"/>
    <w:rsid w:val="0052037B"/>
    <w:rsid w:val="00520A28"/>
    <w:rsid w:val="00520B3D"/>
    <w:rsid w:val="00520FAC"/>
    <w:rsid w:val="005211DD"/>
    <w:rsid w:val="005217D2"/>
    <w:rsid w:val="00521C07"/>
    <w:rsid w:val="00521F49"/>
    <w:rsid w:val="00522274"/>
    <w:rsid w:val="00522331"/>
    <w:rsid w:val="0052240A"/>
    <w:rsid w:val="00522E90"/>
    <w:rsid w:val="005230C4"/>
    <w:rsid w:val="00523255"/>
    <w:rsid w:val="00523332"/>
    <w:rsid w:val="005239F6"/>
    <w:rsid w:val="00523B71"/>
    <w:rsid w:val="0052463D"/>
    <w:rsid w:val="00524E3D"/>
    <w:rsid w:val="0052562C"/>
    <w:rsid w:val="00525657"/>
    <w:rsid w:val="005258A0"/>
    <w:rsid w:val="005258C5"/>
    <w:rsid w:val="00525F39"/>
    <w:rsid w:val="00526C18"/>
    <w:rsid w:val="0052701B"/>
    <w:rsid w:val="005275FA"/>
    <w:rsid w:val="005276F7"/>
    <w:rsid w:val="00527EE8"/>
    <w:rsid w:val="005302A8"/>
    <w:rsid w:val="0053050B"/>
    <w:rsid w:val="00530C69"/>
    <w:rsid w:val="00530E90"/>
    <w:rsid w:val="00531B71"/>
    <w:rsid w:val="00532A68"/>
    <w:rsid w:val="00532E8B"/>
    <w:rsid w:val="005330D4"/>
    <w:rsid w:val="0053312D"/>
    <w:rsid w:val="005332DE"/>
    <w:rsid w:val="005333EF"/>
    <w:rsid w:val="00533750"/>
    <w:rsid w:val="005339DF"/>
    <w:rsid w:val="00534734"/>
    <w:rsid w:val="00534863"/>
    <w:rsid w:val="00534CD7"/>
    <w:rsid w:val="00534D73"/>
    <w:rsid w:val="0053532C"/>
    <w:rsid w:val="005355F1"/>
    <w:rsid w:val="00535AB0"/>
    <w:rsid w:val="00535E1C"/>
    <w:rsid w:val="005363F9"/>
    <w:rsid w:val="0053665E"/>
    <w:rsid w:val="00536D80"/>
    <w:rsid w:val="00536DA1"/>
    <w:rsid w:val="00536DD7"/>
    <w:rsid w:val="00536E13"/>
    <w:rsid w:val="0053707B"/>
    <w:rsid w:val="005370F4"/>
    <w:rsid w:val="00537600"/>
    <w:rsid w:val="00537CB9"/>
    <w:rsid w:val="00537DC1"/>
    <w:rsid w:val="00540A91"/>
    <w:rsid w:val="0054103C"/>
    <w:rsid w:val="005411B9"/>
    <w:rsid w:val="0054142A"/>
    <w:rsid w:val="00541564"/>
    <w:rsid w:val="0054162F"/>
    <w:rsid w:val="00541ADD"/>
    <w:rsid w:val="00541D30"/>
    <w:rsid w:val="00541DD5"/>
    <w:rsid w:val="00542568"/>
    <w:rsid w:val="005425A1"/>
    <w:rsid w:val="00543055"/>
    <w:rsid w:val="00543059"/>
    <w:rsid w:val="00543397"/>
    <w:rsid w:val="005435D2"/>
    <w:rsid w:val="005437D0"/>
    <w:rsid w:val="00543E4C"/>
    <w:rsid w:val="00544200"/>
    <w:rsid w:val="005447BA"/>
    <w:rsid w:val="00544933"/>
    <w:rsid w:val="00544C62"/>
    <w:rsid w:val="0054557A"/>
    <w:rsid w:val="00545BF5"/>
    <w:rsid w:val="00546276"/>
    <w:rsid w:val="00546304"/>
    <w:rsid w:val="00546FCB"/>
    <w:rsid w:val="00547002"/>
    <w:rsid w:val="00547146"/>
    <w:rsid w:val="00547242"/>
    <w:rsid w:val="00547247"/>
    <w:rsid w:val="0054794A"/>
    <w:rsid w:val="00550117"/>
    <w:rsid w:val="005504EA"/>
    <w:rsid w:val="00550EB1"/>
    <w:rsid w:val="00551952"/>
    <w:rsid w:val="00551E58"/>
    <w:rsid w:val="00552112"/>
    <w:rsid w:val="005528A5"/>
    <w:rsid w:val="00552C12"/>
    <w:rsid w:val="00552EC8"/>
    <w:rsid w:val="005531DD"/>
    <w:rsid w:val="0055331A"/>
    <w:rsid w:val="0055391A"/>
    <w:rsid w:val="00553B1E"/>
    <w:rsid w:val="00553C8E"/>
    <w:rsid w:val="0055408E"/>
    <w:rsid w:val="00554537"/>
    <w:rsid w:val="005549D2"/>
    <w:rsid w:val="005558D3"/>
    <w:rsid w:val="00556241"/>
    <w:rsid w:val="005564FD"/>
    <w:rsid w:val="00556C1B"/>
    <w:rsid w:val="00556D6A"/>
    <w:rsid w:val="00556F12"/>
    <w:rsid w:val="00557582"/>
    <w:rsid w:val="005575E8"/>
    <w:rsid w:val="0055772D"/>
    <w:rsid w:val="005578FA"/>
    <w:rsid w:val="00557DF5"/>
    <w:rsid w:val="005605EF"/>
    <w:rsid w:val="00560FDF"/>
    <w:rsid w:val="00561E7F"/>
    <w:rsid w:val="0056231E"/>
    <w:rsid w:val="00562545"/>
    <w:rsid w:val="005631CD"/>
    <w:rsid w:val="005632B5"/>
    <w:rsid w:val="00563469"/>
    <w:rsid w:val="005636CB"/>
    <w:rsid w:val="005636FD"/>
    <w:rsid w:val="005637D0"/>
    <w:rsid w:val="00563B58"/>
    <w:rsid w:val="00563C18"/>
    <w:rsid w:val="00563E7D"/>
    <w:rsid w:val="005642DD"/>
    <w:rsid w:val="005645AC"/>
    <w:rsid w:val="005656AC"/>
    <w:rsid w:val="0056601B"/>
    <w:rsid w:val="00566313"/>
    <w:rsid w:val="0056631D"/>
    <w:rsid w:val="005663CC"/>
    <w:rsid w:val="00566607"/>
    <w:rsid w:val="00566AD9"/>
    <w:rsid w:val="005670FF"/>
    <w:rsid w:val="005671E0"/>
    <w:rsid w:val="00567756"/>
    <w:rsid w:val="00567A3F"/>
    <w:rsid w:val="00567CBC"/>
    <w:rsid w:val="00567F04"/>
    <w:rsid w:val="00567F78"/>
    <w:rsid w:val="00570233"/>
    <w:rsid w:val="005702F3"/>
    <w:rsid w:val="005708C7"/>
    <w:rsid w:val="00571814"/>
    <w:rsid w:val="005725AE"/>
    <w:rsid w:val="0057278B"/>
    <w:rsid w:val="00572D84"/>
    <w:rsid w:val="005731F7"/>
    <w:rsid w:val="00573354"/>
    <w:rsid w:val="0057397E"/>
    <w:rsid w:val="00573ED2"/>
    <w:rsid w:val="00573F77"/>
    <w:rsid w:val="005741D7"/>
    <w:rsid w:val="0057481C"/>
    <w:rsid w:val="00574AB9"/>
    <w:rsid w:val="00574DB2"/>
    <w:rsid w:val="00574ED8"/>
    <w:rsid w:val="00574EFA"/>
    <w:rsid w:val="005750C6"/>
    <w:rsid w:val="00575620"/>
    <w:rsid w:val="0057587A"/>
    <w:rsid w:val="00575C0E"/>
    <w:rsid w:val="00576181"/>
    <w:rsid w:val="0057640F"/>
    <w:rsid w:val="00576CF8"/>
    <w:rsid w:val="00576EBD"/>
    <w:rsid w:val="005774D4"/>
    <w:rsid w:val="00577693"/>
    <w:rsid w:val="00577E7E"/>
    <w:rsid w:val="005802EA"/>
    <w:rsid w:val="00580D20"/>
    <w:rsid w:val="005816BD"/>
    <w:rsid w:val="00581A1E"/>
    <w:rsid w:val="00581DEA"/>
    <w:rsid w:val="00582069"/>
    <w:rsid w:val="00582994"/>
    <w:rsid w:val="00582B65"/>
    <w:rsid w:val="005830BD"/>
    <w:rsid w:val="00583496"/>
    <w:rsid w:val="005836E0"/>
    <w:rsid w:val="00583B4B"/>
    <w:rsid w:val="005846D4"/>
    <w:rsid w:val="00584757"/>
    <w:rsid w:val="005847D3"/>
    <w:rsid w:val="00584E20"/>
    <w:rsid w:val="00584FCF"/>
    <w:rsid w:val="0058505A"/>
    <w:rsid w:val="00585577"/>
    <w:rsid w:val="005858F4"/>
    <w:rsid w:val="00585A49"/>
    <w:rsid w:val="00585C4E"/>
    <w:rsid w:val="00585EA9"/>
    <w:rsid w:val="00586367"/>
    <w:rsid w:val="005872C9"/>
    <w:rsid w:val="0058733C"/>
    <w:rsid w:val="005877B7"/>
    <w:rsid w:val="005904D1"/>
    <w:rsid w:val="005906AA"/>
    <w:rsid w:val="00590AC6"/>
    <w:rsid w:val="00590F0B"/>
    <w:rsid w:val="00591405"/>
    <w:rsid w:val="0059189B"/>
    <w:rsid w:val="005926DF"/>
    <w:rsid w:val="00592999"/>
    <w:rsid w:val="00592A66"/>
    <w:rsid w:val="00592F35"/>
    <w:rsid w:val="005935DE"/>
    <w:rsid w:val="0059500B"/>
    <w:rsid w:val="00595967"/>
    <w:rsid w:val="00595A50"/>
    <w:rsid w:val="00595EE3"/>
    <w:rsid w:val="00596179"/>
    <w:rsid w:val="005962FB"/>
    <w:rsid w:val="00596552"/>
    <w:rsid w:val="00596771"/>
    <w:rsid w:val="00596C13"/>
    <w:rsid w:val="00596E29"/>
    <w:rsid w:val="00596FF2"/>
    <w:rsid w:val="0059701D"/>
    <w:rsid w:val="00597350"/>
    <w:rsid w:val="00597CF5"/>
    <w:rsid w:val="005A04BD"/>
    <w:rsid w:val="005A07A0"/>
    <w:rsid w:val="005A090E"/>
    <w:rsid w:val="005A1169"/>
    <w:rsid w:val="005A145F"/>
    <w:rsid w:val="005A1B6E"/>
    <w:rsid w:val="005A1D00"/>
    <w:rsid w:val="005A2309"/>
    <w:rsid w:val="005A29C1"/>
    <w:rsid w:val="005A2BE1"/>
    <w:rsid w:val="005A2C53"/>
    <w:rsid w:val="005A30BB"/>
    <w:rsid w:val="005A359C"/>
    <w:rsid w:val="005A36D9"/>
    <w:rsid w:val="005A39E8"/>
    <w:rsid w:val="005A3A82"/>
    <w:rsid w:val="005A3E5D"/>
    <w:rsid w:val="005A45E7"/>
    <w:rsid w:val="005A4BB7"/>
    <w:rsid w:val="005A4C42"/>
    <w:rsid w:val="005A4DD2"/>
    <w:rsid w:val="005A51AC"/>
    <w:rsid w:val="005A5401"/>
    <w:rsid w:val="005A5536"/>
    <w:rsid w:val="005A5624"/>
    <w:rsid w:val="005A56C2"/>
    <w:rsid w:val="005A5E27"/>
    <w:rsid w:val="005A6813"/>
    <w:rsid w:val="005A6B67"/>
    <w:rsid w:val="005A7485"/>
    <w:rsid w:val="005A7704"/>
    <w:rsid w:val="005A78A7"/>
    <w:rsid w:val="005A7B63"/>
    <w:rsid w:val="005A7CB1"/>
    <w:rsid w:val="005B08FA"/>
    <w:rsid w:val="005B0C9C"/>
    <w:rsid w:val="005B0F64"/>
    <w:rsid w:val="005B11F2"/>
    <w:rsid w:val="005B1ADC"/>
    <w:rsid w:val="005B21A1"/>
    <w:rsid w:val="005B27BF"/>
    <w:rsid w:val="005B2859"/>
    <w:rsid w:val="005B3323"/>
    <w:rsid w:val="005B3DB0"/>
    <w:rsid w:val="005B3FDB"/>
    <w:rsid w:val="005B40DA"/>
    <w:rsid w:val="005B4A9B"/>
    <w:rsid w:val="005B5513"/>
    <w:rsid w:val="005B5870"/>
    <w:rsid w:val="005B5A3D"/>
    <w:rsid w:val="005B6DEE"/>
    <w:rsid w:val="005B7171"/>
    <w:rsid w:val="005B71EA"/>
    <w:rsid w:val="005B7280"/>
    <w:rsid w:val="005B7883"/>
    <w:rsid w:val="005B7B56"/>
    <w:rsid w:val="005B7D08"/>
    <w:rsid w:val="005C0166"/>
    <w:rsid w:val="005C0347"/>
    <w:rsid w:val="005C073B"/>
    <w:rsid w:val="005C0935"/>
    <w:rsid w:val="005C0A56"/>
    <w:rsid w:val="005C0DB1"/>
    <w:rsid w:val="005C10BD"/>
    <w:rsid w:val="005C1220"/>
    <w:rsid w:val="005C15AA"/>
    <w:rsid w:val="005C171B"/>
    <w:rsid w:val="005C196C"/>
    <w:rsid w:val="005C2A83"/>
    <w:rsid w:val="005C2CE3"/>
    <w:rsid w:val="005C2D2B"/>
    <w:rsid w:val="005C3047"/>
    <w:rsid w:val="005C32A6"/>
    <w:rsid w:val="005C32FA"/>
    <w:rsid w:val="005C3953"/>
    <w:rsid w:val="005C39C3"/>
    <w:rsid w:val="005C3C54"/>
    <w:rsid w:val="005C3D83"/>
    <w:rsid w:val="005C475E"/>
    <w:rsid w:val="005C503E"/>
    <w:rsid w:val="005C5B4F"/>
    <w:rsid w:val="005C5CB7"/>
    <w:rsid w:val="005C6530"/>
    <w:rsid w:val="005C6758"/>
    <w:rsid w:val="005C6E43"/>
    <w:rsid w:val="005C6EBB"/>
    <w:rsid w:val="005C6F11"/>
    <w:rsid w:val="005C6FB0"/>
    <w:rsid w:val="005C738B"/>
    <w:rsid w:val="005C73B6"/>
    <w:rsid w:val="005C7695"/>
    <w:rsid w:val="005C789B"/>
    <w:rsid w:val="005C7984"/>
    <w:rsid w:val="005C7CCB"/>
    <w:rsid w:val="005D0635"/>
    <w:rsid w:val="005D1262"/>
    <w:rsid w:val="005D13C4"/>
    <w:rsid w:val="005D1D09"/>
    <w:rsid w:val="005D1E12"/>
    <w:rsid w:val="005D2463"/>
    <w:rsid w:val="005D246C"/>
    <w:rsid w:val="005D29EA"/>
    <w:rsid w:val="005D2DD3"/>
    <w:rsid w:val="005D3BC0"/>
    <w:rsid w:val="005D3C22"/>
    <w:rsid w:val="005D3CF2"/>
    <w:rsid w:val="005D4498"/>
    <w:rsid w:val="005D4C43"/>
    <w:rsid w:val="005D5377"/>
    <w:rsid w:val="005D5458"/>
    <w:rsid w:val="005D5889"/>
    <w:rsid w:val="005D66A5"/>
    <w:rsid w:val="005D6B8B"/>
    <w:rsid w:val="005D709D"/>
    <w:rsid w:val="005D72A3"/>
    <w:rsid w:val="005D76D4"/>
    <w:rsid w:val="005D787D"/>
    <w:rsid w:val="005E0281"/>
    <w:rsid w:val="005E0E95"/>
    <w:rsid w:val="005E0F7F"/>
    <w:rsid w:val="005E1117"/>
    <w:rsid w:val="005E129C"/>
    <w:rsid w:val="005E1CFF"/>
    <w:rsid w:val="005E214E"/>
    <w:rsid w:val="005E23C6"/>
    <w:rsid w:val="005E260B"/>
    <w:rsid w:val="005E2C34"/>
    <w:rsid w:val="005E3103"/>
    <w:rsid w:val="005E3BA6"/>
    <w:rsid w:val="005E4078"/>
    <w:rsid w:val="005E41BF"/>
    <w:rsid w:val="005E43DB"/>
    <w:rsid w:val="005E4426"/>
    <w:rsid w:val="005E469A"/>
    <w:rsid w:val="005E4A19"/>
    <w:rsid w:val="005E4D58"/>
    <w:rsid w:val="005E55DB"/>
    <w:rsid w:val="005E5CB0"/>
    <w:rsid w:val="005E5E50"/>
    <w:rsid w:val="005E5FFC"/>
    <w:rsid w:val="005E60BA"/>
    <w:rsid w:val="005E6AF3"/>
    <w:rsid w:val="005E6D4B"/>
    <w:rsid w:val="005E6E2B"/>
    <w:rsid w:val="005E71A8"/>
    <w:rsid w:val="005E76C0"/>
    <w:rsid w:val="005E788B"/>
    <w:rsid w:val="005F00C9"/>
    <w:rsid w:val="005F0916"/>
    <w:rsid w:val="005F0EE5"/>
    <w:rsid w:val="005F0F9A"/>
    <w:rsid w:val="005F1379"/>
    <w:rsid w:val="005F1555"/>
    <w:rsid w:val="005F1556"/>
    <w:rsid w:val="005F24F0"/>
    <w:rsid w:val="005F27F5"/>
    <w:rsid w:val="005F2F33"/>
    <w:rsid w:val="005F3239"/>
    <w:rsid w:val="005F353E"/>
    <w:rsid w:val="005F3EE9"/>
    <w:rsid w:val="005F422A"/>
    <w:rsid w:val="005F44C3"/>
    <w:rsid w:val="005F452A"/>
    <w:rsid w:val="005F4962"/>
    <w:rsid w:val="005F502E"/>
    <w:rsid w:val="005F54BF"/>
    <w:rsid w:val="005F5598"/>
    <w:rsid w:val="005F58B3"/>
    <w:rsid w:val="005F63D4"/>
    <w:rsid w:val="005F65A0"/>
    <w:rsid w:val="005F6EDD"/>
    <w:rsid w:val="005F6EEC"/>
    <w:rsid w:val="005F747C"/>
    <w:rsid w:val="006000FA"/>
    <w:rsid w:val="006004EA"/>
    <w:rsid w:val="00600DA0"/>
    <w:rsid w:val="0060168A"/>
    <w:rsid w:val="00601A26"/>
    <w:rsid w:val="00601FD3"/>
    <w:rsid w:val="00602068"/>
    <w:rsid w:val="006025BC"/>
    <w:rsid w:val="00602B68"/>
    <w:rsid w:val="006032C3"/>
    <w:rsid w:val="00603D63"/>
    <w:rsid w:val="00604325"/>
    <w:rsid w:val="0060512B"/>
    <w:rsid w:val="00605702"/>
    <w:rsid w:val="00606042"/>
    <w:rsid w:val="0060610C"/>
    <w:rsid w:val="0060644C"/>
    <w:rsid w:val="00606516"/>
    <w:rsid w:val="00606568"/>
    <w:rsid w:val="00606E87"/>
    <w:rsid w:val="00606FAD"/>
    <w:rsid w:val="00607736"/>
    <w:rsid w:val="00607E2D"/>
    <w:rsid w:val="00607F8A"/>
    <w:rsid w:val="0061026A"/>
    <w:rsid w:val="006107D4"/>
    <w:rsid w:val="00611276"/>
    <w:rsid w:val="006114EB"/>
    <w:rsid w:val="00611827"/>
    <w:rsid w:val="00611866"/>
    <w:rsid w:val="00611942"/>
    <w:rsid w:val="00611981"/>
    <w:rsid w:val="006121D5"/>
    <w:rsid w:val="00612984"/>
    <w:rsid w:val="006131AA"/>
    <w:rsid w:val="0061338F"/>
    <w:rsid w:val="006134F0"/>
    <w:rsid w:val="006144EC"/>
    <w:rsid w:val="00614D84"/>
    <w:rsid w:val="00614E34"/>
    <w:rsid w:val="00614E6B"/>
    <w:rsid w:val="00614FBF"/>
    <w:rsid w:val="0061552C"/>
    <w:rsid w:val="00615897"/>
    <w:rsid w:val="00616093"/>
    <w:rsid w:val="006160F8"/>
    <w:rsid w:val="006164E0"/>
    <w:rsid w:val="00616516"/>
    <w:rsid w:val="00616927"/>
    <w:rsid w:val="00616C2D"/>
    <w:rsid w:val="00616C4E"/>
    <w:rsid w:val="00617023"/>
    <w:rsid w:val="0061703C"/>
    <w:rsid w:val="00617649"/>
    <w:rsid w:val="0061768D"/>
    <w:rsid w:val="00617FE0"/>
    <w:rsid w:val="00620303"/>
    <w:rsid w:val="0062036C"/>
    <w:rsid w:val="006206C8"/>
    <w:rsid w:val="00620BC0"/>
    <w:rsid w:val="00620FC5"/>
    <w:rsid w:val="0062116B"/>
    <w:rsid w:val="00621B83"/>
    <w:rsid w:val="00622215"/>
    <w:rsid w:val="006222BF"/>
    <w:rsid w:val="006229F8"/>
    <w:rsid w:val="00622A85"/>
    <w:rsid w:val="00623420"/>
    <w:rsid w:val="0062351F"/>
    <w:rsid w:val="00623677"/>
    <w:rsid w:val="0062380E"/>
    <w:rsid w:val="006239F8"/>
    <w:rsid w:val="00623C94"/>
    <w:rsid w:val="00623DBE"/>
    <w:rsid w:val="006248DA"/>
    <w:rsid w:val="00624AFC"/>
    <w:rsid w:val="00624E9A"/>
    <w:rsid w:val="00624F6E"/>
    <w:rsid w:val="0062548F"/>
    <w:rsid w:val="00625970"/>
    <w:rsid w:val="00625E9C"/>
    <w:rsid w:val="006265FD"/>
    <w:rsid w:val="00626839"/>
    <w:rsid w:val="00626A5A"/>
    <w:rsid w:val="00626C1C"/>
    <w:rsid w:val="00627831"/>
    <w:rsid w:val="00630660"/>
    <w:rsid w:val="00630919"/>
    <w:rsid w:val="00630AAE"/>
    <w:rsid w:val="006314A5"/>
    <w:rsid w:val="00632A3C"/>
    <w:rsid w:val="00632BCA"/>
    <w:rsid w:val="00632BDE"/>
    <w:rsid w:val="00632C02"/>
    <w:rsid w:val="00632F92"/>
    <w:rsid w:val="00633920"/>
    <w:rsid w:val="00634A57"/>
    <w:rsid w:val="00634C5D"/>
    <w:rsid w:val="00635994"/>
    <w:rsid w:val="00636116"/>
    <w:rsid w:val="00636B7E"/>
    <w:rsid w:val="006377EE"/>
    <w:rsid w:val="0063785C"/>
    <w:rsid w:val="00637C52"/>
    <w:rsid w:val="00640386"/>
    <w:rsid w:val="006408E2"/>
    <w:rsid w:val="00640909"/>
    <w:rsid w:val="00640F2C"/>
    <w:rsid w:val="0064110B"/>
    <w:rsid w:val="00641938"/>
    <w:rsid w:val="00641B26"/>
    <w:rsid w:val="00642955"/>
    <w:rsid w:val="00642C53"/>
    <w:rsid w:val="0064352D"/>
    <w:rsid w:val="006437D8"/>
    <w:rsid w:val="00643D0C"/>
    <w:rsid w:val="006440A1"/>
    <w:rsid w:val="00645232"/>
    <w:rsid w:val="00645597"/>
    <w:rsid w:val="00645753"/>
    <w:rsid w:val="006464FD"/>
    <w:rsid w:val="00646871"/>
    <w:rsid w:val="0064746A"/>
    <w:rsid w:val="00647816"/>
    <w:rsid w:val="00647CBD"/>
    <w:rsid w:val="00647D0E"/>
    <w:rsid w:val="00650339"/>
    <w:rsid w:val="006505A6"/>
    <w:rsid w:val="00650A5F"/>
    <w:rsid w:val="006515B3"/>
    <w:rsid w:val="006526B6"/>
    <w:rsid w:val="00652A11"/>
    <w:rsid w:val="00652FC5"/>
    <w:rsid w:val="0065310D"/>
    <w:rsid w:val="006537CB"/>
    <w:rsid w:val="00653AD8"/>
    <w:rsid w:val="00653AFC"/>
    <w:rsid w:val="00653DDA"/>
    <w:rsid w:val="00653F54"/>
    <w:rsid w:val="006542A1"/>
    <w:rsid w:val="00654332"/>
    <w:rsid w:val="00654923"/>
    <w:rsid w:val="006549A3"/>
    <w:rsid w:val="006549DB"/>
    <w:rsid w:val="00654AA0"/>
    <w:rsid w:val="00654C1B"/>
    <w:rsid w:val="00654FD2"/>
    <w:rsid w:val="00655E8F"/>
    <w:rsid w:val="00655F0E"/>
    <w:rsid w:val="00655F84"/>
    <w:rsid w:val="006566EF"/>
    <w:rsid w:val="00656756"/>
    <w:rsid w:val="00656767"/>
    <w:rsid w:val="0065690F"/>
    <w:rsid w:val="00656B9D"/>
    <w:rsid w:val="00657070"/>
    <w:rsid w:val="00657237"/>
    <w:rsid w:val="00657D0F"/>
    <w:rsid w:val="00657EF3"/>
    <w:rsid w:val="00660473"/>
    <w:rsid w:val="006606FE"/>
    <w:rsid w:val="0066071D"/>
    <w:rsid w:val="0066078D"/>
    <w:rsid w:val="00660900"/>
    <w:rsid w:val="00661008"/>
    <w:rsid w:val="00661021"/>
    <w:rsid w:val="00661052"/>
    <w:rsid w:val="0066105B"/>
    <w:rsid w:val="0066117F"/>
    <w:rsid w:val="00661513"/>
    <w:rsid w:val="00661CE7"/>
    <w:rsid w:val="00661FE3"/>
    <w:rsid w:val="00661FEB"/>
    <w:rsid w:val="006622F2"/>
    <w:rsid w:val="00662D63"/>
    <w:rsid w:val="00662D92"/>
    <w:rsid w:val="00662E04"/>
    <w:rsid w:val="00662E1E"/>
    <w:rsid w:val="00663784"/>
    <w:rsid w:val="00663B5B"/>
    <w:rsid w:val="00663C7D"/>
    <w:rsid w:val="00663FF8"/>
    <w:rsid w:val="00664813"/>
    <w:rsid w:val="006648D8"/>
    <w:rsid w:val="00664C22"/>
    <w:rsid w:val="00665214"/>
    <w:rsid w:val="00665C65"/>
    <w:rsid w:val="00665CCA"/>
    <w:rsid w:val="00665F2D"/>
    <w:rsid w:val="00666478"/>
    <w:rsid w:val="0066668A"/>
    <w:rsid w:val="00667275"/>
    <w:rsid w:val="00667BE6"/>
    <w:rsid w:val="00667C04"/>
    <w:rsid w:val="00667CCA"/>
    <w:rsid w:val="00667DDE"/>
    <w:rsid w:val="00667FC0"/>
    <w:rsid w:val="00670AD6"/>
    <w:rsid w:val="00670BDD"/>
    <w:rsid w:val="00670D71"/>
    <w:rsid w:val="00670F3B"/>
    <w:rsid w:val="006711B8"/>
    <w:rsid w:val="006716A8"/>
    <w:rsid w:val="0067170C"/>
    <w:rsid w:val="00671E0E"/>
    <w:rsid w:val="00672152"/>
    <w:rsid w:val="00672753"/>
    <w:rsid w:val="00672FC4"/>
    <w:rsid w:val="00673002"/>
    <w:rsid w:val="006733EC"/>
    <w:rsid w:val="0067396A"/>
    <w:rsid w:val="006739F8"/>
    <w:rsid w:val="00674056"/>
    <w:rsid w:val="00674099"/>
    <w:rsid w:val="006740E3"/>
    <w:rsid w:val="00674206"/>
    <w:rsid w:val="00674371"/>
    <w:rsid w:val="0067459B"/>
    <w:rsid w:val="00674CB4"/>
    <w:rsid w:val="00674DAB"/>
    <w:rsid w:val="00674EC8"/>
    <w:rsid w:val="00675120"/>
    <w:rsid w:val="006755FD"/>
    <w:rsid w:val="006756A3"/>
    <w:rsid w:val="006756E0"/>
    <w:rsid w:val="00675A58"/>
    <w:rsid w:val="00675F43"/>
    <w:rsid w:val="00675F4A"/>
    <w:rsid w:val="00676F41"/>
    <w:rsid w:val="006770DD"/>
    <w:rsid w:val="00677516"/>
    <w:rsid w:val="006775A0"/>
    <w:rsid w:val="0067771E"/>
    <w:rsid w:val="006777D1"/>
    <w:rsid w:val="00677DB9"/>
    <w:rsid w:val="00677F47"/>
    <w:rsid w:val="006801BC"/>
    <w:rsid w:val="00680540"/>
    <w:rsid w:val="0068094D"/>
    <w:rsid w:val="00680992"/>
    <w:rsid w:val="00680A4F"/>
    <w:rsid w:val="00680BE1"/>
    <w:rsid w:val="00681A97"/>
    <w:rsid w:val="00681C36"/>
    <w:rsid w:val="00681C39"/>
    <w:rsid w:val="00681F04"/>
    <w:rsid w:val="00681F4D"/>
    <w:rsid w:val="00681F83"/>
    <w:rsid w:val="00682124"/>
    <w:rsid w:val="00682491"/>
    <w:rsid w:val="006826FF"/>
    <w:rsid w:val="00682866"/>
    <w:rsid w:val="0068286A"/>
    <w:rsid w:val="00682DD6"/>
    <w:rsid w:val="00683204"/>
    <w:rsid w:val="006833A1"/>
    <w:rsid w:val="00683590"/>
    <w:rsid w:val="00684371"/>
    <w:rsid w:val="006849C1"/>
    <w:rsid w:val="00684C81"/>
    <w:rsid w:val="00684E33"/>
    <w:rsid w:val="00685D7D"/>
    <w:rsid w:val="0068626D"/>
    <w:rsid w:val="00686AA8"/>
    <w:rsid w:val="00687465"/>
    <w:rsid w:val="00687801"/>
    <w:rsid w:val="006879A1"/>
    <w:rsid w:val="00687B74"/>
    <w:rsid w:val="0069032B"/>
    <w:rsid w:val="00690D48"/>
    <w:rsid w:val="00691508"/>
    <w:rsid w:val="00691DA8"/>
    <w:rsid w:val="00691EE4"/>
    <w:rsid w:val="00691F8E"/>
    <w:rsid w:val="0069258E"/>
    <w:rsid w:val="00692CD1"/>
    <w:rsid w:val="00692D0B"/>
    <w:rsid w:val="006930A1"/>
    <w:rsid w:val="0069470A"/>
    <w:rsid w:val="006959E1"/>
    <w:rsid w:val="00695D0C"/>
    <w:rsid w:val="00695FA6"/>
    <w:rsid w:val="00696108"/>
    <w:rsid w:val="00696C76"/>
    <w:rsid w:val="00697387"/>
    <w:rsid w:val="006976D0"/>
    <w:rsid w:val="00697B1A"/>
    <w:rsid w:val="006A0A1F"/>
    <w:rsid w:val="006A0EAE"/>
    <w:rsid w:val="006A0F94"/>
    <w:rsid w:val="006A10B8"/>
    <w:rsid w:val="006A11EE"/>
    <w:rsid w:val="006A13AA"/>
    <w:rsid w:val="006A1C37"/>
    <w:rsid w:val="006A2238"/>
    <w:rsid w:val="006A24E0"/>
    <w:rsid w:val="006A250A"/>
    <w:rsid w:val="006A279D"/>
    <w:rsid w:val="006A2898"/>
    <w:rsid w:val="006A2CFF"/>
    <w:rsid w:val="006A2D57"/>
    <w:rsid w:val="006A2DA3"/>
    <w:rsid w:val="006A2EB7"/>
    <w:rsid w:val="006A3620"/>
    <w:rsid w:val="006A36A8"/>
    <w:rsid w:val="006A39BE"/>
    <w:rsid w:val="006A3E11"/>
    <w:rsid w:val="006A40BE"/>
    <w:rsid w:val="006A4AC7"/>
    <w:rsid w:val="006A4E12"/>
    <w:rsid w:val="006A5001"/>
    <w:rsid w:val="006A5147"/>
    <w:rsid w:val="006A51EE"/>
    <w:rsid w:val="006A5779"/>
    <w:rsid w:val="006A5D7E"/>
    <w:rsid w:val="006A5F82"/>
    <w:rsid w:val="006A6B08"/>
    <w:rsid w:val="006A6BA3"/>
    <w:rsid w:val="006A7738"/>
    <w:rsid w:val="006A7927"/>
    <w:rsid w:val="006A7D4B"/>
    <w:rsid w:val="006A7DEA"/>
    <w:rsid w:val="006A7F81"/>
    <w:rsid w:val="006A7FD4"/>
    <w:rsid w:val="006B04CC"/>
    <w:rsid w:val="006B0734"/>
    <w:rsid w:val="006B0BC5"/>
    <w:rsid w:val="006B121B"/>
    <w:rsid w:val="006B150A"/>
    <w:rsid w:val="006B22B5"/>
    <w:rsid w:val="006B318B"/>
    <w:rsid w:val="006B39A2"/>
    <w:rsid w:val="006B39B5"/>
    <w:rsid w:val="006B3E18"/>
    <w:rsid w:val="006B4633"/>
    <w:rsid w:val="006B4AB4"/>
    <w:rsid w:val="006B4ACA"/>
    <w:rsid w:val="006B4DCB"/>
    <w:rsid w:val="006B4E72"/>
    <w:rsid w:val="006B4FD8"/>
    <w:rsid w:val="006B5001"/>
    <w:rsid w:val="006B59E9"/>
    <w:rsid w:val="006B5E76"/>
    <w:rsid w:val="006B6D06"/>
    <w:rsid w:val="006B7289"/>
    <w:rsid w:val="006B750C"/>
    <w:rsid w:val="006B768C"/>
    <w:rsid w:val="006B7730"/>
    <w:rsid w:val="006B7780"/>
    <w:rsid w:val="006B78DE"/>
    <w:rsid w:val="006B7AD5"/>
    <w:rsid w:val="006B7C31"/>
    <w:rsid w:val="006C03F8"/>
    <w:rsid w:val="006C0882"/>
    <w:rsid w:val="006C1562"/>
    <w:rsid w:val="006C1607"/>
    <w:rsid w:val="006C2B78"/>
    <w:rsid w:val="006C2B7E"/>
    <w:rsid w:val="006C2E77"/>
    <w:rsid w:val="006C2FF2"/>
    <w:rsid w:val="006C331A"/>
    <w:rsid w:val="006C3484"/>
    <w:rsid w:val="006C39B0"/>
    <w:rsid w:val="006C3BE4"/>
    <w:rsid w:val="006C3E70"/>
    <w:rsid w:val="006C40C8"/>
    <w:rsid w:val="006C43BA"/>
    <w:rsid w:val="006C467C"/>
    <w:rsid w:val="006C46C7"/>
    <w:rsid w:val="006C4E87"/>
    <w:rsid w:val="006C612A"/>
    <w:rsid w:val="006C638F"/>
    <w:rsid w:val="006C6544"/>
    <w:rsid w:val="006C6B33"/>
    <w:rsid w:val="006C6C85"/>
    <w:rsid w:val="006C6C90"/>
    <w:rsid w:val="006C6CBB"/>
    <w:rsid w:val="006C7212"/>
    <w:rsid w:val="006C7631"/>
    <w:rsid w:val="006C76F5"/>
    <w:rsid w:val="006C7998"/>
    <w:rsid w:val="006C79E4"/>
    <w:rsid w:val="006C7A67"/>
    <w:rsid w:val="006C7C7B"/>
    <w:rsid w:val="006C7F88"/>
    <w:rsid w:val="006D0734"/>
    <w:rsid w:val="006D0D32"/>
    <w:rsid w:val="006D1843"/>
    <w:rsid w:val="006D18BC"/>
    <w:rsid w:val="006D1FBD"/>
    <w:rsid w:val="006D21BE"/>
    <w:rsid w:val="006D2467"/>
    <w:rsid w:val="006D2584"/>
    <w:rsid w:val="006D2C13"/>
    <w:rsid w:val="006D2C6A"/>
    <w:rsid w:val="006D2D69"/>
    <w:rsid w:val="006D2E9D"/>
    <w:rsid w:val="006D2E9F"/>
    <w:rsid w:val="006D3708"/>
    <w:rsid w:val="006D3729"/>
    <w:rsid w:val="006D4CDA"/>
    <w:rsid w:val="006D4D05"/>
    <w:rsid w:val="006D4E61"/>
    <w:rsid w:val="006D504F"/>
    <w:rsid w:val="006D5760"/>
    <w:rsid w:val="006D5B1D"/>
    <w:rsid w:val="006D5D2F"/>
    <w:rsid w:val="006D5EC8"/>
    <w:rsid w:val="006D6508"/>
    <w:rsid w:val="006D6610"/>
    <w:rsid w:val="006D6ABC"/>
    <w:rsid w:val="006D75FA"/>
    <w:rsid w:val="006D7644"/>
    <w:rsid w:val="006D7E4F"/>
    <w:rsid w:val="006E011A"/>
    <w:rsid w:val="006E01D9"/>
    <w:rsid w:val="006E0481"/>
    <w:rsid w:val="006E0AC3"/>
    <w:rsid w:val="006E0F41"/>
    <w:rsid w:val="006E11D8"/>
    <w:rsid w:val="006E12D5"/>
    <w:rsid w:val="006E141D"/>
    <w:rsid w:val="006E1433"/>
    <w:rsid w:val="006E1B7A"/>
    <w:rsid w:val="006E2134"/>
    <w:rsid w:val="006E2804"/>
    <w:rsid w:val="006E2BF2"/>
    <w:rsid w:val="006E3674"/>
    <w:rsid w:val="006E3A06"/>
    <w:rsid w:val="006E3B48"/>
    <w:rsid w:val="006E3CFF"/>
    <w:rsid w:val="006E4CAA"/>
    <w:rsid w:val="006E52A6"/>
    <w:rsid w:val="006E57D2"/>
    <w:rsid w:val="006E5B2F"/>
    <w:rsid w:val="006E5E8A"/>
    <w:rsid w:val="006E67E0"/>
    <w:rsid w:val="006E67F5"/>
    <w:rsid w:val="006E69E2"/>
    <w:rsid w:val="006E6A76"/>
    <w:rsid w:val="006E7054"/>
    <w:rsid w:val="006E7A62"/>
    <w:rsid w:val="006E7DA3"/>
    <w:rsid w:val="006E7FB8"/>
    <w:rsid w:val="006F0008"/>
    <w:rsid w:val="006F0448"/>
    <w:rsid w:val="006F060E"/>
    <w:rsid w:val="006F0C9A"/>
    <w:rsid w:val="006F0DEF"/>
    <w:rsid w:val="006F1BD0"/>
    <w:rsid w:val="006F1D30"/>
    <w:rsid w:val="006F20B0"/>
    <w:rsid w:val="006F2468"/>
    <w:rsid w:val="006F32EB"/>
    <w:rsid w:val="006F36EB"/>
    <w:rsid w:val="006F3889"/>
    <w:rsid w:val="006F3D29"/>
    <w:rsid w:val="006F3FA8"/>
    <w:rsid w:val="006F4441"/>
    <w:rsid w:val="006F46FB"/>
    <w:rsid w:val="006F5082"/>
    <w:rsid w:val="006F5251"/>
    <w:rsid w:val="006F5A2D"/>
    <w:rsid w:val="006F5B0D"/>
    <w:rsid w:val="006F6039"/>
    <w:rsid w:val="006F6812"/>
    <w:rsid w:val="006F6EDA"/>
    <w:rsid w:val="006F6F51"/>
    <w:rsid w:val="006F7802"/>
    <w:rsid w:val="006F7855"/>
    <w:rsid w:val="006F7BA9"/>
    <w:rsid w:val="006F7FE4"/>
    <w:rsid w:val="006F7FE9"/>
    <w:rsid w:val="0070021C"/>
    <w:rsid w:val="00700AA1"/>
    <w:rsid w:val="0070128F"/>
    <w:rsid w:val="00701733"/>
    <w:rsid w:val="00701AD0"/>
    <w:rsid w:val="0070251A"/>
    <w:rsid w:val="00702630"/>
    <w:rsid w:val="007026F9"/>
    <w:rsid w:val="00702CAE"/>
    <w:rsid w:val="00703488"/>
    <w:rsid w:val="00703662"/>
    <w:rsid w:val="00703CB2"/>
    <w:rsid w:val="00704858"/>
    <w:rsid w:val="007048AE"/>
    <w:rsid w:val="0070531F"/>
    <w:rsid w:val="007054F4"/>
    <w:rsid w:val="00705C33"/>
    <w:rsid w:val="00705D3E"/>
    <w:rsid w:val="00705FAC"/>
    <w:rsid w:val="0070617F"/>
    <w:rsid w:val="0070632A"/>
    <w:rsid w:val="007065A9"/>
    <w:rsid w:val="007066C9"/>
    <w:rsid w:val="007066F5"/>
    <w:rsid w:val="00707AB2"/>
    <w:rsid w:val="00707BB1"/>
    <w:rsid w:val="00710539"/>
    <w:rsid w:val="007111F4"/>
    <w:rsid w:val="00711315"/>
    <w:rsid w:val="007119F1"/>
    <w:rsid w:val="00711BA7"/>
    <w:rsid w:val="00712127"/>
    <w:rsid w:val="00712A6F"/>
    <w:rsid w:val="00713065"/>
    <w:rsid w:val="0071321B"/>
    <w:rsid w:val="007136C7"/>
    <w:rsid w:val="007144F5"/>
    <w:rsid w:val="0071552E"/>
    <w:rsid w:val="00715A18"/>
    <w:rsid w:val="00715B03"/>
    <w:rsid w:val="007161BA"/>
    <w:rsid w:val="00716926"/>
    <w:rsid w:val="00716FC6"/>
    <w:rsid w:val="00717216"/>
    <w:rsid w:val="00717706"/>
    <w:rsid w:val="00717F88"/>
    <w:rsid w:val="0072003C"/>
    <w:rsid w:val="007200F9"/>
    <w:rsid w:val="007201CC"/>
    <w:rsid w:val="0072021C"/>
    <w:rsid w:val="00720220"/>
    <w:rsid w:val="00720327"/>
    <w:rsid w:val="0072065E"/>
    <w:rsid w:val="00720A0A"/>
    <w:rsid w:val="00720A43"/>
    <w:rsid w:val="00720D62"/>
    <w:rsid w:val="00720E7F"/>
    <w:rsid w:val="00721033"/>
    <w:rsid w:val="00721153"/>
    <w:rsid w:val="00721D68"/>
    <w:rsid w:val="00721D70"/>
    <w:rsid w:val="00721DC4"/>
    <w:rsid w:val="00722268"/>
    <w:rsid w:val="00722342"/>
    <w:rsid w:val="00722408"/>
    <w:rsid w:val="00722543"/>
    <w:rsid w:val="00722A5B"/>
    <w:rsid w:val="00722D4D"/>
    <w:rsid w:val="007236C1"/>
    <w:rsid w:val="00723A83"/>
    <w:rsid w:val="007240F2"/>
    <w:rsid w:val="00724731"/>
    <w:rsid w:val="00724853"/>
    <w:rsid w:val="00724C33"/>
    <w:rsid w:val="007250A6"/>
    <w:rsid w:val="007266BF"/>
    <w:rsid w:val="00726A7D"/>
    <w:rsid w:val="00726EAA"/>
    <w:rsid w:val="007274D2"/>
    <w:rsid w:val="0072755B"/>
    <w:rsid w:val="00727870"/>
    <w:rsid w:val="00727E03"/>
    <w:rsid w:val="00730945"/>
    <w:rsid w:val="00730AE5"/>
    <w:rsid w:val="00731448"/>
    <w:rsid w:val="00731DC8"/>
    <w:rsid w:val="0073208C"/>
    <w:rsid w:val="00733178"/>
    <w:rsid w:val="00733361"/>
    <w:rsid w:val="007334C9"/>
    <w:rsid w:val="007337F5"/>
    <w:rsid w:val="00733E25"/>
    <w:rsid w:val="007345C5"/>
    <w:rsid w:val="007347DE"/>
    <w:rsid w:val="00734854"/>
    <w:rsid w:val="007348CB"/>
    <w:rsid w:val="007349FF"/>
    <w:rsid w:val="007353B9"/>
    <w:rsid w:val="00735524"/>
    <w:rsid w:val="0073557D"/>
    <w:rsid w:val="007355D6"/>
    <w:rsid w:val="0073570B"/>
    <w:rsid w:val="00735726"/>
    <w:rsid w:val="007358AD"/>
    <w:rsid w:val="00735908"/>
    <w:rsid w:val="007361B5"/>
    <w:rsid w:val="00736387"/>
    <w:rsid w:val="007366D0"/>
    <w:rsid w:val="00736893"/>
    <w:rsid w:val="00736B3D"/>
    <w:rsid w:val="00737251"/>
    <w:rsid w:val="00737504"/>
    <w:rsid w:val="00737A85"/>
    <w:rsid w:val="0074069B"/>
    <w:rsid w:val="00740BCF"/>
    <w:rsid w:val="00741777"/>
    <w:rsid w:val="007417AC"/>
    <w:rsid w:val="00741B34"/>
    <w:rsid w:val="00741B7C"/>
    <w:rsid w:val="007423AA"/>
    <w:rsid w:val="00742659"/>
    <w:rsid w:val="0074267B"/>
    <w:rsid w:val="00742A9C"/>
    <w:rsid w:val="00742C4D"/>
    <w:rsid w:val="00742DE7"/>
    <w:rsid w:val="00743138"/>
    <w:rsid w:val="00744B03"/>
    <w:rsid w:val="00744D66"/>
    <w:rsid w:val="00745132"/>
    <w:rsid w:val="0074553F"/>
    <w:rsid w:val="007456CF"/>
    <w:rsid w:val="00745C5F"/>
    <w:rsid w:val="00745D8B"/>
    <w:rsid w:val="007461A5"/>
    <w:rsid w:val="007464C4"/>
    <w:rsid w:val="007477A9"/>
    <w:rsid w:val="007478A4"/>
    <w:rsid w:val="0075047B"/>
    <w:rsid w:val="007504F1"/>
    <w:rsid w:val="00750A3B"/>
    <w:rsid w:val="00750E62"/>
    <w:rsid w:val="00751454"/>
    <w:rsid w:val="00751646"/>
    <w:rsid w:val="007518A2"/>
    <w:rsid w:val="00751A5B"/>
    <w:rsid w:val="00752751"/>
    <w:rsid w:val="00753951"/>
    <w:rsid w:val="00753EDF"/>
    <w:rsid w:val="00753FFD"/>
    <w:rsid w:val="007542F0"/>
    <w:rsid w:val="00754710"/>
    <w:rsid w:val="00754AEB"/>
    <w:rsid w:val="00754C72"/>
    <w:rsid w:val="00754F5B"/>
    <w:rsid w:val="00754F6E"/>
    <w:rsid w:val="00755058"/>
    <w:rsid w:val="00755277"/>
    <w:rsid w:val="00755477"/>
    <w:rsid w:val="007558FF"/>
    <w:rsid w:val="00755CD3"/>
    <w:rsid w:val="00755D3C"/>
    <w:rsid w:val="00756601"/>
    <w:rsid w:val="00756755"/>
    <w:rsid w:val="0075701E"/>
    <w:rsid w:val="0075736A"/>
    <w:rsid w:val="007578B6"/>
    <w:rsid w:val="00757BA2"/>
    <w:rsid w:val="00757EAF"/>
    <w:rsid w:val="00761750"/>
    <w:rsid w:val="00762650"/>
    <w:rsid w:val="007628F7"/>
    <w:rsid w:val="00762DD9"/>
    <w:rsid w:val="00763017"/>
    <w:rsid w:val="0076305C"/>
    <w:rsid w:val="007644CA"/>
    <w:rsid w:val="0076473F"/>
    <w:rsid w:val="00764801"/>
    <w:rsid w:val="00764C17"/>
    <w:rsid w:val="00765083"/>
    <w:rsid w:val="0076509A"/>
    <w:rsid w:val="007658D5"/>
    <w:rsid w:val="0076592F"/>
    <w:rsid w:val="00765E0E"/>
    <w:rsid w:val="00766D28"/>
    <w:rsid w:val="00766E6A"/>
    <w:rsid w:val="00766EE2"/>
    <w:rsid w:val="00766F85"/>
    <w:rsid w:val="007673BE"/>
    <w:rsid w:val="00767524"/>
    <w:rsid w:val="00767634"/>
    <w:rsid w:val="00767C3E"/>
    <w:rsid w:val="007703F7"/>
    <w:rsid w:val="00770C47"/>
    <w:rsid w:val="00770FAA"/>
    <w:rsid w:val="007712DB"/>
    <w:rsid w:val="0077158E"/>
    <w:rsid w:val="007716EC"/>
    <w:rsid w:val="00771B3C"/>
    <w:rsid w:val="00771FAB"/>
    <w:rsid w:val="0077230E"/>
    <w:rsid w:val="00772320"/>
    <w:rsid w:val="0077269F"/>
    <w:rsid w:val="00772891"/>
    <w:rsid w:val="00772994"/>
    <w:rsid w:val="00772C3D"/>
    <w:rsid w:val="00772CEF"/>
    <w:rsid w:val="00772D23"/>
    <w:rsid w:val="0077300E"/>
    <w:rsid w:val="00773925"/>
    <w:rsid w:val="00773E91"/>
    <w:rsid w:val="007740A0"/>
    <w:rsid w:val="0077440D"/>
    <w:rsid w:val="0077486A"/>
    <w:rsid w:val="00774E73"/>
    <w:rsid w:val="00775205"/>
    <w:rsid w:val="0077571A"/>
    <w:rsid w:val="0077575B"/>
    <w:rsid w:val="007757A4"/>
    <w:rsid w:val="00775C01"/>
    <w:rsid w:val="00775D1D"/>
    <w:rsid w:val="007761B9"/>
    <w:rsid w:val="0077675A"/>
    <w:rsid w:val="00776A9B"/>
    <w:rsid w:val="00777211"/>
    <w:rsid w:val="007773CF"/>
    <w:rsid w:val="00777A80"/>
    <w:rsid w:val="00777B0A"/>
    <w:rsid w:val="00780029"/>
    <w:rsid w:val="0078102C"/>
    <w:rsid w:val="00781E25"/>
    <w:rsid w:val="00782101"/>
    <w:rsid w:val="0078218A"/>
    <w:rsid w:val="0078221B"/>
    <w:rsid w:val="00782B00"/>
    <w:rsid w:val="007835A9"/>
    <w:rsid w:val="007836E9"/>
    <w:rsid w:val="0078426D"/>
    <w:rsid w:val="00784590"/>
    <w:rsid w:val="0078487D"/>
    <w:rsid w:val="00784983"/>
    <w:rsid w:val="00784BCE"/>
    <w:rsid w:val="00785528"/>
    <w:rsid w:val="00786314"/>
    <w:rsid w:val="007867D7"/>
    <w:rsid w:val="007868E5"/>
    <w:rsid w:val="0078699A"/>
    <w:rsid w:val="00786FDC"/>
    <w:rsid w:val="0078727A"/>
    <w:rsid w:val="00787940"/>
    <w:rsid w:val="00787948"/>
    <w:rsid w:val="00787A45"/>
    <w:rsid w:val="00787B31"/>
    <w:rsid w:val="00787EC5"/>
    <w:rsid w:val="00790047"/>
    <w:rsid w:val="00790C2C"/>
    <w:rsid w:val="00791AD3"/>
    <w:rsid w:val="00791ADD"/>
    <w:rsid w:val="00791B98"/>
    <w:rsid w:val="007926C8"/>
    <w:rsid w:val="00792C42"/>
    <w:rsid w:val="00792CFE"/>
    <w:rsid w:val="0079398A"/>
    <w:rsid w:val="00793B30"/>
    <w:rsid w:val="00793B4E"/>
    <w:rsid w:val="00793D86"/>
    <w:rsid w:val="00794692"/>
    <w:rsid w:val="007947D2"/>
    <w:rsid w:val="00794812"/>
    <w:rsid w:val="00794D1B"/>
    <w:rsid w:val="00794E54"/>
    <w:rsid w:val="007950D7"/>
    <w:rsid w:val="00795146"/>
    <w:rsid w:val="00795298"/>
    <w:rsid w:val="00795436"/>
    <w:rsid w:val="007954BD"/>
    <w:rsid w:val="00795716"/>
    <w:rsid w:val="00795A59"/>
    <w:rsid w:val="007961C5"/>
    <w:rsid w:val="007963AC"/>
    <w:rsid w:val="00796758"/>
    <w:rsid w:val="00796B5A"/>
    <w:rsid w:val="00796EA8"/>
    <w:rsid w:val="0079763F"/>
    <w:rsid w:val="00797DF1"/>
    <w:rsid w:val="00797E95"/>
    <w:rsid w:val="00797F0D"/>
    <w:rsid w:val="007A04C5"/>
    <w:rsid w:val="007A04D0"/>
    <w:rsid w:val="007A07B7"/>
    <w:rsid w:val="007A0F13"/>
    <w:rsid w:val="007A1693"/>
    <w:rsid w:val="007A1BD3"/>
    <w:rsid w:val="007A2073"/>
    <w:rsid w:val="007A23D4"/>
    <w:rsid w:val="007A25AB"/>
    <w:rsid w:val="007A2751"/>
    <w:rsid w:val="007A2BAB"/>
    <w:rsid w:val="007A2C9B"/>
    <w:rsid w:val="007A2CF3"/>
    <w:rsid w:val="007A2EC6"/>
    <w:rsid w:val="007A3099"/>
    <w:rsid w:val="007A3B4B"/>
    <w:rsid w:val="007A415B"/>
    <w:rsid w:val="007A478F"/>
    <w:rsid w:val="007A5487"/>
    <w:rsid w:val="007A5796"/>
    <w:rsid w:val="007A58DE"/>
    <w:rsid w:val="007A58EE"/>
    <w:rsid w:val="007A5F33"/>
    <w:rsid w:val="007A5F3E"/>
    <w:rsid w:val="007A63DD"/>
    <w:rsid w:val="007A6688"/>
    <w:rsid w:val="007A66D7"/>
    <w:rsid w:val="007A6839"/>
    <w:rsid w:val="007A6CB8"/>
    <w:rsid w:val="007A6FFC"/>
    <w:rsid w:val="007A713E"/>
    <w:rsid w:val="007A7597"/>
    <w:rsid w:val="007B019C"/>
    <w:rsid w:val="007B01E2"/>
    <w:rsid w:val="007B01FD"/>
    <w:rsid w:val="007B0340"/>
    <w:rsid w:val="007B08CA"/>
    <w:rsid w:val="007B0E7E"/>
    <w:rsid w:val="007B0EB8"/>
    <w:rsid w:val="007B112E"/>
    <w:rsid w:val="007B176D"/>
    <w:rsid w:val="007B17FC"/>
    <w:rsid w:val="007B19FA"/>
    <w:rsid w:val="007B1DC3"/>
    <w:rsid w:val="007B22D1"/>
    <w:rsid w:val="007B2586"/>
    <w:rsid w:val="007B266B"/>
    <w:rsid w:val="007B2997"/>
    <w:rsid w:val="007B2A5C"/>
    <w:rsid w:val="007B326F"/>
    <w:rsid w:val="007B33E3"/>
    <w:rsid w:val="007B3437"/>
    <w:rsid w:val="007B3B18"/>
    <w:rsid w:val="007B40C6"/>
    <w:rsid w:val="007B420C"/>
    <w:rsid w:val="007B48EE"/>
    <w:rsid w:val="007B4B75"/>
    <w:rsid w:val="007B4F7B"/>
    <w:rsid w:val="007B53B4"/>
    <w:rsid w:val="007B546A"/>
    <w:rsid w:val="007B5B97"/>
    <w:rsid w:val="007B5DF6"/>
    <w:rsid w:val="007B5E27"/>
    <w:rsid w:val="007B5E2F"/>
    <w:rsid w:val="007B5E31"/>
    <w:rsid w:val="007B6547"/>
    <w:rsid w:val="007B6918"/>
    <w:rsid w:val="007B6EE2"/>
    <w:rsid w:val="007B7BD0"/>
    <w:rsid w:val="007B7E12"/>
    <w:rsid w:val="007B7E19"/>
    <w:rsid w:val="007B7F52"/>
    <w:rsid w:val="007B7FE9"/>
    <w:rsid w:val="007C0018"/>
    <w:rsid w:val="007C02C5"/>
    <w:rsid w:val="007C0564"/>
    <w:rsid w:val="007C06F6"/>
    <w:rsid w:val="007C0952"/>
    <w:rsid w:val="007C0A8F"/>
    <w:rsid w:val="007C0AA3"/>
    <w:rsid w:val="007C0D95"/>
    <w:rsid w:val="007C1CBF"/>
    <w:rsid w:val="007C1FD7"/>
    <w:rsid w:val="007C202F"/>
    <w:rsid w:val="007C2648"/>
    <w:rsid w:val="007C2740"/>
    <w:rsid w:val="007C2843"/>
    <w:rsid w:val="007C29ED"/>
    <w:rsid w:val="007C29EE"/>
    <w:rsid w:val="007C38A9"/>
    <w:rsid w:val="007C38B4"/>
    <w:rsid w:val="007C40FB"/>
    <w:rsid w:val="007C47FE"/>
    <w:rsid w:val="007C4C10"/>
    <w:rsid w:val="007C4CD6"/>
    <w:rsid w:val="007C4CF4"/>
    <w:rsid w:val="007C506F"/>
    <w:rsid w:val="007C5A58"/>
    <w:rsid w:val="007C5B77"/>
    <w:rsid w:val="007C63CE"/>
    <w:rsid w:val="007C6D12"/>
    <w:rsid w:val="007C7102"/>
    <w:rsid w:val="007C761C"/>
    <w:rsid w:val="007C7DA5"/>
    <w:rsid w:val="007D0105"/>
    <w:rsid w:val="007D0687"/>
    <w:rsid w:val="007D1053"/>
    <w:rsid w:val="007D16EC"/>
    <w:rsid w:val="007D1B1D"/>
    <w:rsid w:val="007D21C9"/>
    <w:rsid w:val="007D224C"/>
    <w:rsid w:val="007D3303"/>
    <w:rsid w:val="007D35B6"/>
    <w:rsid w:val="007D3BCB"/>
    <w:rsid w:val="007D3F29"/>
    <w:rsid w:val="007D3FC9"/>
    <w:rsid w:val="007D41FC"/>
    <w:rsid w:val="007D5195"/>
    <w:rsid w:val="007D6558"/>
    <w:rsid w:val="007D67AF"/>
    <w:rsid w:val="007D6E78"/>
    <w:rsid w:val="007D769A"/>
    <w:rsid w:val="007D7752"/>
    <w:rsid w:val="007D7943"/>
    <w:rsid w:val="007E00F0"/>
    <w:rsid w:val="007E0796"/>
    <w:rsid w:val="007E08F2"/>
    <w:rsid w:val="007E0B72"/>
    <w:rsid w:val="007E0C68"/>
    <w:rsid w:val="007E11AB"/>
    <w:rsid w:val="007E1A19"/>
    <w:rsid w:val="007E1A32"/>
    <w:rsid w:val="007E1DEB"/>
    <w:rsid w:val="007E24B8"/>
    <w:rsid w:val="007E2508"/>
    <w:rsid w:val="007E2856"/>
    <w:rsid w:val="007E2E95"/>
    <w:rsid w:val="007E3222"/>
    <w:rsid w:val="007E3372"/>
    <w:rsid w:val="007E368E"/>
    <w:rsid w:val="007E3A74"/>
    <w:rsid w:val="007E435A"/>
    <w:rsid w:val="007E43C1"/>
    <w:rsid w:val="007E43F3"/>
    <w:rsid w:val="007E447F"/>
    <w:rsid w:val="007E491A"/>
    <w:rsid w:val="007E4944"/>
    <w:rsid w:val="007E4B1B"/>
    <w:rsid w:val="007E4CFC"/>
    <w:rsid w:val="007E4E05"/>
    <w:rsid w:val="007E504E"/>
    <w:rsid w:val="007E5061"/>
    <w:rsid w:val="007E52D6"/>
    <w:rsid w:val="007E568A"/>
    <w:rsid w:val="007E5B4E"/>
    <w:rsid w:val="007E6781"/>
    <w:rsid w:val="007E6FCF"/>
    <w:rsid w:val="007E7141"/>
    <w:rsid w:val="007F03E3"/>
    <w:rsid w:val="007F0D33"/>
    <w:rsid w:val="007F19A1"/>
    <w:rsid w:val="007F1CD0"/>
    <w:rsid w:val="007F1F54"/>
    <w:rsid w:val="007F210E"/>
    <w:rsid w:val="007F2385"/>
    <w:rsid w:val="007F28F1"/>
    <w:rsid w:val="007F2D46"/>
    <w:rsid w:val="007F3297"/>
    <w:rsid w:val="007F3872"/>
    <w:rsid w:val="007F3ED5"/>
    <w:rsid w:val="007F4933"/>
    <w:rsid w:val="007F4CAA"/>
    <w:rsid w:val="007F4CE3"/>
    <w:rsid w:val="007F4D90"/>
    <w:rsid w:val="007F51E2"/>
    <w:rsid w:val="007F5271"/>
    <w:rsid w:val="007F5690"/>
    <w:rsid w:val="007F56BE"/>
    <w:rsid w:val="007F5D14"/>
    <w:rsid w:val="007F5D69"/>
    <w:rsid w:val="007F5EA8"/>
    <w:rsid w:val="007F5ED7"/>
    <w:rsid w:val="007F6A8A"/>
    <w:rsid w:val="007F6F00"/>
    <w:rsid w:val="007F6FB6"/>
    <w:rsid w:val="007F7016"/>
    <w:rsid w:val="007F730E"/>
    <w:rsid w:val="007F756E"/>
    <w:rsid w:val="007F7784"/>
    <w:rsid w:val="007F7986"/>
    <w:rsid w:val="007F7BF2"/>
    <w:rsid w:val="007F7E0D"/>
    <w:rsid w:val="008005B1"/>
    <w:rsid w:val="008005DD"/>
    <w:rsid w:val="00800D22"/>
    <w:rsid w:val="00800E0F"/>
    <w:rsid w:val="00801B87"/>
    <w:rsid w:val="00801BA5"/>
    <w:rsid w:val="00802856"/>
    <w:rsid w:val="00802E3A"/>
    <w:rsid w:val="00802F50"/>
    <w:rsid w:val="008037D2"/>
    <w:rsid w:val="00803AC2"/>
    <w:rsid w:val="00803F3F"/>
    <w:rsid w:val="008040DC"/>
    <w:rsid w:val="00804189"/>
    <w:rsid w:val="008041F8"/>
    <w:rsid w:val="008046AA"/>
    <w:rsid w:val="00804774"/>
    <w:rsid w:val="00804A99"/>
    <w:rsid w:val="0080558B"/>
    <w:rsid w:val="00805696"/>
    <w:rsid w:val="00805871"/>
    <w:rsid w:val="00806C05"/>
    <w:rsid w:val="00807256"/>
    <w:rsid w:val="00807766"/>
    <w:rsid w:val="00807A81"/>
    <w:rsid w:val="00807DCA"/>
    <w:rsid w:val="00807EEA"/>
    <w:rsid w:val="00807F13"/>
    <w:rsid w:val="008106BB"/>
    <w:rsid w:val="00810E16"/>
    <w:rsid w:val="00810ED4"/>
    <w:rsid w:val="00810FDA"/>
    <w:rsid w:val="0081100E"/>
    <w:rsid w:val="00811277"/>
    <w:rsid w:val="00811ADD"/>
    <w:rsid w:val="00811C9E"/>
    <w:rsid w:val="00811D99"/>
    <w:rsid w:val="00811EDF"/>
    <w:rsid w:val="00811F28"/>
    <w:rsid w:val="008123A8"/>
    <w:rsid w:val="00813202"/>
    <w:rsid w:val="00813733"/>
    <w:rsid w:val="008140A3"/>
    <w:rsid w:val="00814438"/>
    <w:rsid w:val="00814870"/>
    <w:rsid w:val="00814DFE"/>
    <w:rsid w:val="00814E20"/>
    <w:rsid w:val="0081532C"/>
    <w:rsid w:val="00815512"/>
    <w:rsid w:val="008157B5"/>
    <w:rsid w:val="0081666C"/>
    <w:rsid w:val="00816A2A"/>
    <w:rsid w:val="00816E77"/>
    <w:rsid w:val="00816F20"/>
    <w:rsid w:val="008171AB"/>
    <w:rsid w:val="00817590"/>
    <w:rsid w:val="00817770"/>
    <w:rsid w:val="00817CE6"/>
    <w:rsid w:val="008201B1"/>
    <w:rsid w:val="008201FF"/>
    <w:rsid w:val="00820A63"/>
    <w:rsid w:val="008213DB"/>
    <w:rsid w:val="0082165D"/>
    <w:rsid w:val="00821A53"/>
    <w:rsid w:val="0082214B"/>
    <w:rsid w:val="00822BC8"/>
    <w:rsid w:val="00822C49"/>
    <w:rsid w:val="0082331C"/>
    <w:rsid w:val="0082361C"/>
    <w:rsid w:val="00823706"/>
    <w:rsid w:val="00823792"/>
    <w:rsid w:val="00823C68"/>
    <w:rsid w:val="008240A9"/>
    <w:rsid w:val="0082431F"/>
    <w:rsid w:val="00824654"/>
    <w:rsid w:val="00824706"/>
    <w:rsid w:val="0082476B"/>
    <w:rsid w:val="00824ED2"/>
    <w:rsid w:val="00825388"/>
    <w:rsid w:val="00825902"/>
    <w:rsid w:val="008259E0"/>
    <w:rsid w:val="00825DA6"/>
    <w:rsid w:val="00825E28"/>
    <w:rsid w:val="00826202"/>
    <w:rsid w:val="00826F4F"/>
    <w:rsid w:val="0082737D"/>
    <w:rsid w:val="008279FC"/>
    <w:rsid w:val="00827E78"/>
    <w:rsid w:val="008309C8"/>
    <w:rsid w:val="00830DCA"/>
    <w:rsid w:val="0083118F"/>
    <w:rsid w:val="0083160C"/>
    <w:rsid w:val="00831BEA"/>
    <w:rsid w:val="00831DE1"/>
    <w:rsid w:val="00831F15"/>
    <w:rsid w:val="00833317"/>
    <w:rsid w:val="00833C1E"/>
    <w:rsid w:val="00833F1F"/>
    <w:rsid w:val="00833FD5"/>
    <w:rsid w:val="00834B12"/>
    <w:rsid w:val="00834BBC"/>
    <w:rsid w:val="00834BD4"/>
    <w:rsid w:val="008355B5"/>
    <w:rsid w:val="00836427"/>
    <w:rsid w:val="00836F16"/>
    <w:rsid w:val="00837BB2"/>
    <w:rsid w:val="00840490"/>
    <w:rsid w:val="00840F95"/>
    <w:rsid w:val="00840FCA"/>
    <w:rsid w:val="00841110"/>
    <w:rsid w:val="008416F6"/>
    <w:rsid w:val="00841A60"/>
    <w:rsid w:val="00842224"/>
    <w:rsid w:val="00842497"/>
    <w:rsid w:val="008429CA"/>
    <w:rsid w:val="008433A2"/>
    <w:rsid w:val="008434BD"/>
    <w:rsid w:val="00843E09"/>
    <w:rsid w:val="00844667"/>
    <w:rsid w:val="00844B09"/>
    <w:rsid w:val="00844B84"/>
    <w:rsid w:val="00844BD8"/>
    <w:rsid w:val="00845083"/>
    <w:rsid w:val="008456FE"/>
    <w:rsid w:val="008466C0"/>
    <w:rsid w:val="00846AF3"/>
    <w:rsid w:val="00846B86"/>
    <w:rsid w:val="008470E1"/>
    <w:rsid w:val="008474D6"/>
    <w:rsid w:val="00847964"/>
    <w:rsid w:val="008502B1"/>
    <w:rsid w:val="00850305"/>
    <w:rsid w:val="0085048F"/>
    <w:rsid w:val="008504DD"/>
    <w:rsid w:val="008506F8"/>
    <w:rsid w:val="0085077D"/>
    <w:rsid w:val="00850C72"/>
    <w:rsid w:val="00851DDD"/>
    <w:rsid w:val="00851EAB"/>
    <w:rsid w:val="0085256B"/>
    <w:rsid w:val="00852A13"/>
    <w:rsid w:val="00852C0E"/>
    <w:rsid w:val="008531C8"/>
    <w:rsid w:val="00853701"/>
    <w:rsid w:val="00853C33"/>
    <w:rsid w:val="008540C0"/>
    <w:rsid w:val="00854E28"/>
    <w:rsid w:val="00854EDC"/>
    <w:rsid w:val="0085576B"/>
    <w:rsid w:val="00855BC8"/>
    <w:rsid w:val="00856632"/>
    <w:rsid w:val="00857BA7"/>
    <w:rsid w:val="008603A9"/>
    <w:rsid w:val="0086047D"/>
    <w:rsid w:val="00860CFD"/>
    <w:rsid w:val="00860E4C"/>
    <w:rsid w:val="008611BA"/>
    <w:rsid w:val="00861331"/>
    <w:rsid w:val="008616E0"/>
    <w:rsid w:val="008617F7"/>
    <w:rsid w:val="008622FB"/>
    <w:rsid w:val="0086237E"/>
    <w:rsid w:val="008623CD"/>
    <w:rsid w:val="0086246F"/>
    <w:rsid w:val="00862531"/>
    <w:rsid w:val="0086263D"/>
    <w:rsid w:val="00862A7D"/>
    <w:rsid w:val="008633F0"/>
    <w:rsid w:val="00863A05"/>
    <w:rsid w:val="00863B59"/>
    <w:rsid w:val="00863EDB"/>
    <w:rsid w:val="00864407"/>
    <w:rsid w:val="00864D7D"/>
    <w:rsid w:val="00864DCD"/>
    <w:rsid w:val="00865464"/>
    <w:rsid w:val="008665F0"/>
    <w:rsid w:val="00866ACA"/>
    <w:rsid w:val="00866D1C"/>
    <w:rsid w:val="00866D80"/>
    <w:rsid w:val="00866D96"/>
    <w:rsid w:val="00867040"/>
    <w:rsid w:val="008674EF"/>
    <w:rsid w:val="00867E3A"/>
    <w:rsid w:val="0087081E"/>
    <w:rsid w:val="00870ECF"/>
    <w:rsid w:val="00872850"/>
    <w:rsid w:val="00872C45"/>
    <w:rsid w:val="00872C8F"/>
    <w:rsid w:val="00872D81"/>
    <w:rsid w:val="0087363D"/>
    <w:rsid w:val="0087385D"/>
    <w:rsid w:val="008742AE"/>
    <w:rsid w:val="0087433C"/>
    <w:rsid w:val="0087462A"/>
    <w:rsid w:val="0087491F"/>
    <w:rsid w:val="00875693"/>
    <w:rsid w:val="00875947"/>
    <w:rsid w:val="00875F21"/>
    <w:rsid w:val="00875F42"/>
    <w:rsid w:val="0087659E"/>
    <w:rsid w:val="008767DF"/>
    <w:rsid w:val="0087782E"/>
    <w:rsid w:val="00877FA2"/>
    <w:rsid w:val="008807A8"/>
    <w:rsid w:val="00880A21"/>
    <w:rsid w:val="00880A78"/>
    <w:rsid w:val="00880E4E"/>
    <w:rsid w:val="0088129D"/>
    <w:rsid w:val="008812EF"/>
    <w:rsid w:val="008817B3"/>
    <w:rsid w:val="00881943"/>
    <w:rsid w:val="008820E7"/>
    <w:rsid w:val="00882283"/>
    <w:rsid w:val="00882480"/>
    <w:rsid w:val="0088266A"/>
    <w:rsid w:val="00882D90"/>
    <w:rsid w:val="008831FF"/>
    <w:rsid w:val="008837DD"/>
    <w:rsid w:val="00883BB3"/>
    <w:rsid w:val="00883DA1"/>
    <w:rsid w:val="008842C5"/>
    <w:rsid w:val="00884475"/>
    <w:rsid w:val="00884F21"/>
    <w:rsid w:val="0088539F"/>
    <w:rsid w:val="00885662"/>
    <w:rsid w:val="008861C7"/>
    <w:rsid w:val="008868E6"/>
    <w:rsid w:val="00886905"/>
    <w:rsid w:val="00886B72"/>
    <w:rsid w:val="00886C7C"/>
    <w:rsid w:val="0088716C"/>
    <w:rsid w:val="00887567"/>
    <w:rsid w:val="008877E3"/>
    <w:rsid w:val="0088782B"/>
    <w:rsid w:val="00891E5D"/>
    <w:rsid w:val="008920C0"/>
    <w:rsid w:val="00892A57"/>
    <w:rsid w:val="00892FA9"/>
    <w:rsid w:val="008934B4"/>
    <w:rsid w:val="008936B6"/>
    <w:rsid w:val="0089381E"/>
    <w:rsid w:val="00893C71"/>
    <w:rsid w:val="0089485D"/>
    <w:rsid w:val="0089526C"/>
    <w:rsid w:val="00895460"/>
    <w:rsid w:val="0089550F"/>
    <w:rsid w:val="008955FB"/>
    <w:rsid w:val="0089589D"/>
    <w:rsid w:val="00895949"/>
    <w:rsid w:val="0089602E"/>
    <w:rsid w:val="00896228"/>
    <w:rsid w:val="00896415"/>
    <w:rsid w:val="008966A5"/>
    <w:rsid w:val="00896971"/>
    <w:rsid w:val="00896B9B"/>
    <w:rsid w:val="00896F36"/>
    <w:rsid w:val="008974CD"/>
    <w:rsid w:val="00897BF1"/>
    <w:rsid w:val="00897C9E"/>
    <w:rsid w:val="00897CBD"/>
    <w:rsid w:val="00897D4E"/>
    <w:rsid w:val="00897DEB"/>
    <w:rsid w:val="008A01A3"/>
    <w:rsid w:val="008A0D44"/>
    <w:rsid w:val="008A1022"/>
    <w:rsid w:val="008A1442"/>
    <w:rsid w:val="008A1860"/>
    <w:rsid w:val="008A1921"/>
    <w:rsid w:val="008A1FC9"/>
    <w:rsid w:val="008A27C5"/>
    <w:rsid w:val="008A285D"/>
    <w:rsid w:val="008A28F2"/>
    <w:rsid w:val="008A2D02"/>
    <w:rsid w:val="008A353F"/>
    <w:rsid w:val="008A3E02"/>
    <w:rsid w:val="008A3F24"/>
    <w:rsid w:val="008A3FC9"/>
    <w:rsid w:val="008A4BF4"/>
    <w:rsid w:val="008A4D93"/>
    <w:rsid w:val="008A57AA"/>
    <w:rsid w:val="008A593D"/>
    <w:rsid w:val="008A616B"/>
    <w:rsid w:val="008A6260"/>
    <w:rsid w:val="008A6362"/>
    <w:rsid w:val="008A64F6"/>
    <w:rsid w:val="008A6599"/>
    <w:rsid w:val="008A67C0"/>
    <w:rsid w:val="008A731A"/>
    <w:rsid w:val="008A744A"/>
    <w:rsid w:val="008A74F9"/>
    <w:rsid w:val="008A7629"/>
    <w:rsid w:val="008A7CAB"/>
    <w:rsid w:val="008A7DDC"/>
    <w:rsid w:val="008B0232"/>
    <w:rsid w:val="008B028E"/>
    <w:rsid w:val="008B032B"/>
    <w:rsid w:val="008B0815"/>
    <w:rsid w:val="008B0C6D"/>
    <w:rsid w:val="008B1638"/>
    <w:rsid w:val="008B191D"/>
    <w:rsid w:val="008B20D3"/>
    <w:rsid w:val="008B2118"/>
    <w:rsid w:val="008B2534"/>
    <w:rsid w:val="008B2789"/>
    <w:rsid w:val="008B3433"/>
    <w:rsid w:val="008B357B"/>
    <w:rsid w:val="008B3588"/>
    <w:rsid w:val="008B35E8"/>
    <w:rsid w:val="008B43A3"/>
    <w:rsid w:val="008B51FD"/>
    <w:rsid w:val="008B552C"/>
    <w:rsid w:val="008B5913"/>
    <w:rsid w:val="008B60FD"/>
    <w:rsid w:val="008B6D62"/>
    <w:rsid w:val="008B7B8A"/>
    <w:rsid w:val="008B7D14"/>
    <w:rsid w:val="008C0646"/>
    <w:rsid w:val="008C0B30"/>
    <w:rsid w:val="008C0B3A"/>
    <w:rsid w:val="008C0EFB"/>
    <w:rsid w:val="008C1646"/>
    <w:rsid w:val="008C1B5A"/>
    <w:rsid w:val="008C1E4D"/>
    <w:rsid w:val="008C2145"/>
    <w:rsid w:val="008C2294"/>
    <w:rsid w:val="008C2AEF"/>
    <w:rsid w:val="008C2B10"/>
    <w:rsid w:val="008C3066"/>
    <w:rsid w:val="008C3146"/>
    <w:rsid w:val="008C3159"/>
    <w:rsid w:val="008C31BE"/>
    <w:rsid w:val="008C4039"/>
    <w:rsid w:val="008C45FD"/>
    <w:rsid w:val="008C4605"/>
    <w:rsid w:val="008C4EA6"/>
    <w:rsid w:val="008C4ECC"/>
    <w:rsid w:val="008C5119"/>
    <w:rsid w:val="008C5517"/>
    <w:rsid w:val="008C67C2"/>
    <w:rsid w:val="008C6CC4"/>
    <w:rsid w:val="008C745A"/>
    <w:rsid w:val="008C7B63"/>
    <w:rsid w:val="008C7D80"/>
    <w:rsid w:val="008D06EC"/>
    <w:rsid w:val="008D0AB3"/>
    <w:rsid w:val="008D0E8C"/>
    <w:rsid w:val="008D1107"/>
    <w:rsid w:val="008D123A"/>
    <w:rsid w:val="008D1686"/>
    <w:rsid w:val="008D1DB8"/>
    <w:rsid w:val="008D1EEB"/>
    <w:rsid w:val="008D2384"/>
    <w:rsid w:val="008D2507"/>
    <w:rsid w:val="008D2728"/>
    <w:rsid w:val="008D330F"/>
    <w:rsid w:val="008D3751"/>
    <w:rsid w:val="008D4284"/>
    <w:rsid w:val="008D47E9"/>
    <w:rsid w:val="008D48CE"/>
    <w:rsid w:val="008D4B19"/>
    <w:rsid w:val="008D4E98"/>
    <w:rsid w:val="008D4E99"/>
    <w:rsid w:val="008D67D6"/>
    <w:rsid w:val="008D6C66"/>
    <w:rsid w:val="008D706E"/>
    <w:rsid w:val="008D7300"/>
    <w:rsid w:val="008D74B9"/>
    <w:rsid w:val="008E021D"/>
    <w:rsid w:val="008E0672"/>
    <w:rsid w:val="008E07F1"/>
    <w:rsid w:val="008E0BA4"/>
    <w:rsid w:val="008E0DC2"/>
    <w:rsid w:val="008E1082"/>
    <w:rsid w:val="008E1604"/>
    <w:rsid w:val="008E1890"/>
    <w:rsid w:val="008E1AAF"/>
    <w:rsid w:val="008E1F94"/>
    <w:rsid w:val="008E27F4"/>
    <w:rsid w:val="008E3064"/>
    <w:rsid w:val="008E3307"/>
    <w:rsid w:val="008E3414"/>
    <w:rsid w:val="008E36B4"/>
    <w:rsid w:val="008E3D07"/>
    <w:rsid w:val="008E433D"/>
    <w:rsid w:val="008E464F"/>
    <w:rsid w:val="008E496F"/>
    <w:rsid w:val="008E50AF"/>
    <w:rsid w:val="008E53D5"/>
    <w:rsid w:val="008E63D9"/>
    <w:rsid w:val="008E69CD"/>
    <w:rsid w:val="008E6DE0"/>
    <w:rsid w:val="008E7050"/>
    <w:rsid w:val="008E7568"/>
    <w:rsid w:val="008E7902"/>
    <w:rsid w:val="008E79A6"/>
    <w:rsid w:val="008E7D71"/>
    <w:rsid w:val="008F176A"/>
    <w:rsid w:val="008F18B0"/>
    <w:rsid w:val="008F2459"/>
    <w:rsid w:val="008F2548"/>
    <w:rsid w:val="008F2C4F"/>
    <w:rsid w:val="008F2CB6"/>
    <w:rsid w:val="008F2E93"/>
    <w:rsid w:val="008F30B9"/>
    <w:rsid w:val="008F3176"/>
    <w:rsid w:val="008F3192"/>
    <w:rsid w:val="008F31DF"/>
    <w:rsid w:val="008F36AF"/>
    <w:rsid w:val="008F38A5"/>
    <w:rsid w:val="008F3912"/>
    <w:rsid w:val="008F3B44"/>
    <w:rsid w:val="008F3EC9"/>
    <w:rsid w:val="008F412C"/>
    <w:rsid w:val="008F4268"/>
    <w:rsid w:val="008F4424"/>
    <w:rsid w:val="008F4601"/>
    <w:rsid w:val="008F48E3"/>
    <w:rsid w:val="008F4921"/>
    <w:rsid w:val="008F5139"/>
    <w:rsid w:val="008F5361"/>
    <w:rsid w:val="008F6843"/>
    <w:rsid w:val="008F68E1"/>
    <w:rsid w:val="008F69C9"/>
    <w:rsid w:val="008F6D4B"/>
    <w:rsid w:val="008F6E48"/>
    <w:rsid w:val="008F718A"/>
    <w:rsid w:val="008F739D"/>
    <w:rsid w:val="008F7882"/>
    <w:rsid w:val="008F79F7"/>
    <w:rsid w:val="008F7F63"/>
    <w:rsid w:val="009001CC"/>
    <w:rsid w:val="009003FC"/>
    <w:rsid w:val="0090117D"/>
    <w:rsid w:val="0090122F"/>
    <w:rsid w:val="00901546"/>
    <w:rsid w:val="0090185A"/>
    <w:rsid w:val="00901B86"/>
    <w:rsid w:val="00901E2A"/>
    <w:rsid w:val="00901F5C"/>
    <w:rsid w:val="00902470"/>
    <w:rsid w:val="00902CAB"/>
    <w:rsid w:val="009030DC"/>
    <w:rsid w:val="0090324C"/>
    <w:rsid w:val="0090374F"/>
    <w:rsid w:val="0090398D"/>
    <w:rsid w:val="00903E97"/>
    <w:rsid w:val="009043FF"/>
    <w:rsid w:val="0090454A"/>
    <w:rsid w:val="00904B1E"/>
    <w:rsid w:val="00904C5F"/>
    <w:rsid w:val="00905381"/>
    <w:rsid w:val="009057B1"/>
    <w:rsid w:val="00905CDD"/>
    <w:rsid w:val="00905D4F"/>
    <w:rsid w:val="009060C8"/>
    <w:rsid w:val="00906AB0"/>
    <w:rsid w:val="00907695"/>
    <w:rsid w:val="00907A9D"/>
    <w:rsid w:val="00907E38"/>
    <w:rsid w:val="00907F39"/>
    <w:rsid w:val="009103CF"/>
    <w:rsid w:val="0091084B"/>
    <w:rsid w:val="00910951"/>
    <w:rsid w:val="00910DD6"/>
    <w:rsid w:val="00910FE1"/>
    <w:rsid w:val="00911364"/>
    <w:rsid w:val="00911A23"/>
    <w:rsid w:val="00912316"/>
    <w:rsid w:val="0091232D"/>
    <w:rsid w:val="00912440"/>
    <w:rsid w:val="00912ACB"/>
    <w:rsid w:val="00912C35"/>
    <w:rsid w:val="00912ECE"/>
    <w:rsid w:val="009132E3"/>
    <w:rsid w:val="00913912"/>
    <w:rsid w:val="00913F66"/>
    <w:rsid w:val="00913F85"/>
    <w:rsid w:val="009141A6"/>
    <w:rsid w:val="009146B1"/>
    <w:rsid w:val="00914F0C"/>
    <w:rsid w:val="009156C1"/>
    <w:rsid w:val="00915BC3"/>
    <w:rsid w:val="00915E3A"/>
    <w:rsid w:val="00916BC4"/>
    <w:rsid w:val="00916D98"/>
    <w:rsid w:val="00916DC6"/>
    <w:rsid w:val="00916EF3"/>
    <w:rsid w:val="00917540"/>
    <w:rsid w:val="0091772F"/>
    <w:rsid w:val="009177AD"/>
    <w:rsid w:val="00917EE5"/>
    <w:rsid w:val="009207DA"/>
    <w:rsid w:val="00920E6F"/>
    <w:rsid w:val="00921225"/>
    <w:rsid w:val="00921DD2"/>
    <w:rsid w:val="009223F4"/>
    <w:rsid w:val="00922765"/>
    <w:rsid w:val="00922BD0"/>
    <w:rsid w:val="00923322"/>
    <w:rsid w:val="009247E7"/>
    <w:rsid w:val="00924B26"/>
    <w:rsid w:val="00924B6C"/>
    <w:rsid w:val="00925592"/>
    <w:rsid w:val="00925A35"/>
    <w:rsid w:val="00925D03"/>
    <w:rsid w:val="009260E3"/>
    <w:rsid w:val="00926BCB"/>
    <w:rsid w:val="00926F73"/>
    <w:rsid w:val="00926F7E"/>
    <w:rsid w:val="00926F96"/>
    <w:rsid w:val="00927331"/>
    <w:rsid w:val="009278DA"/>
    <w:rsid w:val="00927A0A"/>
    <w:rsid w:val="009301E0"/>
    <w:rsid w:val="00930CC5"/>
    <w:rsid w:val="00931648"/>
    <w:rsid w:val="00931948"/>
    <w:rsid w:val="00931DB7"/>
    <w:rsid w:val="0093255D"/>
    <w:rsid w:val="0093270F"/>
    <w:rsid w:val="00932B24"/>
    <w:rsid w:val="00932D8D"/>
    <w:rsid w:val="00932ECF"/>
    <w:rsid w:val="00933B81"/>
    <w:rsid w:val="00933D12"/>
    <w:rsid w:val="00933D26"/>
    <w:rsid w:val="00934005"/>
    <w:rsid w:val="00934909"/>
    <w:rsid w:val="009349C6"/>
    <w:rsid w:val="00934DB7"/>
    <w:rsid w:val="00934DDE"/>
    <w:rsid w:val="00934ECA"/>
    <w:rsid w:val="00934F63"/>
    <w:rsid w:val="00936367"/>
    <w:rsid w:val="00936716"/>
    <w:rsid w:val="00936A0F"/>
    <w:rsid w:val="00936FB0"/>
    <w:rsid w:val="0093753E"/>
    <w:rsid w:val="00937ACD"/>
    <w:rsid w:val="0094026A"/>
    <w:rsid w:val="009402CF"/>
    <w:rsid w:val="009402F8"/>
    <w:rsid w:val="00940617"/>
    <w:rsid w:val="0094110F"/>
    <w:rsid w:val="009413DF"/>
    <w:rsid w:val="0094148C"/>
    <w:rsid w:val="009417D7"/>
    <w:rsid w:val="00942503"/>
    <w:rsid w:val="009427A3"/>
    <w:rsid w:val="009431B2"/>
    <w:rsid w:val="009437BB"/>
    <w:rsid w:val="00943A81"/>
    <w:rsid w:val="00943D9D"/>
    <w:rsid w:val="00943F9E"/>
    <w:rsid w:val="009442FB"/>
    <w:rsid w:val="009443D0"/>
    <w:rsid w:val="009447FB"/>
    <w:rsid w:val="00944806"/>
    <w:rsid w:val="00944A38"/>
    <w:rsid w:val="00944CA3"/>
    <w:rsid w:val="00944EAC"/>
    <w:rsid w:val="00944F8D"/>
    <w:rsid w:val="00945939"/>
    <w:rsid w:val="00945B9A"/>
    <w:rsid w:val="00945D7A"/>
    <w:rsid w:val="009462EE"/>
    <w:rsid w:val="0094682D"/>
    <w:rsid w:val="00946929"/>
    <w:rsid w:val="00946C95"/>
    <w:rsid w:val="00946E6D"/>
    <w:rsid w:val="0094712A"/>
    <w:rsid w:val="00947A26"/>
    <w:rsid w:val="00947A97"/>
    <w:rsid w:val="00950283"/>
    <w:rsid w:val="009502E8"/>
    <w:rsid w:val="00950B98"/>
    <w:rsid w:val="00950BC5"/>
    <w:rsid w:val="00950BCE"/>
    <w:rsid w:val="0095140B"/>
    <w:rsid w:val="00951508"/>
    <w:rsid w:val="00951FE5"/>
    <w:rsid w:val="0095250C"/>
    <w:rsid w:val="00952A62"/>
    <w:rsid w:val="00952B08"/>
    <w:rsid w:val="00952C7A"/>
    <w:rsid w:val="00953A31"/>
    <w:rsid w:val="00954312"/>
    <w:rsid w:val="00954723"/>
    <w:rsid w:val="00954B89"/>
    <w:rsid w:val="00955052"/>
    <w:rsid w:val="009555DB"/>
    <w:rsid w:val="009558E1"/>
    <w:rsid w:val="00955AF2"/>
    <w:rsid w:val="00955BD5"/>
    <w:rsid w:val="00955EC0"/>
    <w:rsid w:val="0095658E"/>
    <w:rsid w:val="00956943"/>
    <w:rsid w:val="00956FBC"/>
    <w:rsid w:val="00957132"/>
    <w:rsid w:val="00957716"/>
    <w:rsid w:val="00960448"/>
    <w:rsid w:val="009604FF"/>
    <w:rsid w:val="00960A7C"/>
    <w:rsid w:val="00960B82"/>
    <w:rsid w:val="00960E5F"/>
    <w:rsid w:val="0096103D"/>
    <w:rsid w:val="00961233"/>
    <w:rsid w:val="00961640"/>
    <w:rsid w:val="009618CA"/>
    <w:rsid w:val="00962106"/>
    <w:rsid w:val="0096241E"/>
    <w:rsid w:val="00962469"/>
    <w:rsid w:val="009624D2"/>
    <w:rsid w:val="009624D3"/>
    <w:rsid w:val="00962562"/>
    <w:rsid w:val="00963065"/>
    <w:rsid w:val="0096309B"/>
    <w:rsid w:val="00963792"/>
    <w:rsid w:val="00963EB9"/>
    <w:rsid w:val="009644CB"/>
    <w:rsid w:val="00964604"/>
    <w:rsid w:val="00964627"/>
    <w:rsid w:val="00964A22"/>
    <w:rsid w:val="009650F4"/>
    <w:rsid w:val="009653EC"/>
    <w:rsid w:val="009657BF"/>
    <w:rsid w:val="00965D8C"/>
    <w:rsid w:val="009660EA"/>
    <w:rsid w:val="00966188"/>
    <w:rsid w:val="009666DF"/>
    <w:rsid w:val="00967207"/>
    <w:rsid w:val="009673E1"/>
    <w:rsid w:val="009673E6"/>
    <w:rsid w:val="00967563"/>
    <w:rsid w:val="009675F4"/>
    <w:rsid w:val="00967DE7"/>
    <w:rsid w:val="0097058B"/>
    <w:rsid w:val="00970952"/>
    <w:rsid w:val="00971270"/>
    <w:rsid w:val="009718D8"/>
    <w:rsid w:val="00971BF0"/>
    <w:rsid w:val="00972671"/>
    <w:rsid w:val="009730E3"/>
    <w:rsid w:val="0097327D"/>
    <w:rsid w:val="00973CAE"/>
    <w:rsid w:val="00974254"/>
    <w:rsid w:val="009745D7"/>
    <w:rsid w:val="0097467C"/>
    <w:rsid w:val="00974CCF"/>
    <w:rsid w:val="00975020"/>
    <w:rsid w:val="00975135"/>
    <w:rsid w:val="00975549"/>
    <w:rsid w:val="00976386"/>
    <w:rsid w:val="00976397"/>
    <w:rsid w:val="009775EE"/>
    <w:rsid w:val="00977EF0"/>
    <w:rsid w:val="009801F3"/>
    <w:rsid w:val="00980F0E"/>
    <w:rsid w:val="0098119E"/>
    <w:rsid w:val="00981338"/>
    <w:rsid w:val="009814E0"/>
    <w:rsid w:val="00981551"/>
    <w:rsid w:val="0098213E"/>
    <w:rsid w:val="009822E0"/>
    <w:rsid w:val="009829E2"/>
    <w:rsid w:val="009830C7"/>
    <w:rsid w:val="009837CB"/>
    <w:rsid w:val="00983914"/>
    <w:rsid w:val="0098482A"/>
    <w:rsid w:val="00984FCE"/>
    <w:rsid w:val="009856C8"/>
    <w:rsid w:val="0098586F"/>
    <w:rsid w:val="009858CD"/>
    <w:rsid w:val="00985F0B"/>
    <w:rsid w:val="00985F5B"/>
    <w:rsid w:val="0098637F"/>
    <w:rsid w:val="009866D9"/>
    <w:rsid w:val="009868F8"/>
    <w:rsid w:val="00986B33"/>
    <w:rsid w:val="009877D2"/>
    <w:rsid w:val="00987AD5"/>
    <w:rsid w:val="00987B96"/>
    <w:rsid w:val="00990083"/>
    <w:rsid w:val="0099115D"/>
    <w:rsid w:val="00991819"/>
    <w:rsid w:val="00991E6B"/>
    <w:rsid w:val="00992087"/>
    <w:rsid w:val="009920B3"/>
    <w:rsid w:val="0099210D"/>
    <w:rsid w:val="00992874"/>
    <w:rsid w:val="009929FE"/>
    <w:rsid w:val="00992E64"/>
    <w:rsid w:val="009938A0"/>
    <w:rsid w:val="0099393E"/>
    <w:rsid w:val="00993BC3"/>
    <w:rsid w:val="00993C97"/>
    <w:rsid w:val="0099442E"/>
    <w:rsid w:val="00994CC0"/>
    <w:rsid w:val="00994D86"/>
    <w:rsid w:val="00994E2A"/>
    <w:rsid w:val="00995673"/>
    <w:rsid w:val="00995E5D"/>
    <w:rsid w:val="00996320"/>
    <w:rsid w:val="0099680F"/>
    <w:rsid w:val="00996995"/>
    <w:rsid w:val="00996CE8"/>
    <w:rsid w:val="00997588"/>
    <w:rsid w:val="009975A9"/>
    <w:rsid w:val="00997654"/>
    <w:rsid w:val="00997E84"/>
    <w:rsid w:val="009A02D7"/>
    <w:rsid w:val="009A0453"/>
    <w:rsid w:val="009A0934"/>
    <w:rsid w:val="009A0AAE"/>
    <w:rsid w:val="009A0B99"/>
    <w:rsid w:val="009A0C29"/>
    <w:rsid w:val="009A1087"/>
    <w:rsid w:val="009A18B9"/>
    <w:rsid w:val="009A2350"/>
    <w:rsid w:val="009A24F0"/>
    <w:rsid w:val="009A2885"/>
    <w:rsid w:val="009A2E26"/>
    <w:rsid w:val="009A3394"/>
    <w:rsid w:val="009A38A9"/>
    <w:rsid w:val="009A399A"/>
    <w:rsid w:val="009A3C06"/>
    <w:rsid w:val="009A48B0"/>
    <w:rsid w:val="009A49E0"/>
    <w:rsid w:val="009A4A81"/>
    <w:rsid w:val="009A4D42"/>
    <w:rsid w:val="009A571F"/>
    <w:rsid w:val="009A5758"/>
    <w:rsid w:val="009A6E02"/>
    <w:rsid w:val="009A7B75"/>
    <w:rsid w:val="009A7B9D"/>
    <w:rsid w:val="009A7BB4"/>
    <w:rsid w:val="009B00C1"/>
    <w:rsid w:val="009B05A5"/>
    <w:rsid w:val="009B0895"/>
    <w:rsid w:val="009B09D0"/>
    <w:rsid w:val="009B0CCE"/>
    <w:rsid w:val="009B126C"/>
    <w:rsid w:val="009B1473"/>
    <w:rsid w:val="009B184F"/>
    <w:rsid w:val="009B1ABA"/>
    <w:rsid w:val="009B23BE"/>
    <w:rsid w:val="009B29BF"/>
    <w:rsid w:val="009B2AA0"/>
    <w:rsid w:val="009B3284"/>
    <w:rsid w:val="009B3460"/>
    <w:rsid w:val="009B35C1"/>
    <w:rsid w:val="009B35FB"/>
    <w:rsid w:val="009B3812"/>
    <w:rsid w:val="009B47F5"/>
    <w:rsid w:val="009B4945"/>
    <w:rsid w:val="009B4ACA"/>
    <w:rsid w:val="009B4F3D"/>
    <w:rsid w:val="009B4FD9"/>
    <w:rsid w:val="009B537E"/>
    <w:rsid w:val="009B5780"/>
    <w:rsid w:val="009B58FE"/>
    <w:rsid w:val="009B5F11"/>
    <w:rsid w:val="009B60F7"/>
    <w:rsid w:val="009B611F"/>
    <w:rsid w:val="009B613D"/>
    <w:rsid w:val="009B67F6"/>
    <w:rsid w:val="009B682F"/>
    <w:rsid w:val="009B6B90"/>
    <w:rsid w:val="009B6E77"/>
    <w:rsid w:val="009B7138"/>
    <w:rsid w:val="009B7948"/>
    <w:rsid w:val="009C014F"/>
    <w:rsid w:val="009C0666"/>
    <w:rsid w:val="009C1CD0"/>
    <w:rsid w:val="009C1DE4"/>
    <w:rsid w:val="009C20DD"/>
    <w:rsid w:val="009C2DC8"/>
    <w:rsid w:val="009C3A3A"/>
    <w:rsid w:val="009C408C"/>
    <w:rsid w:val="009C476E"/>
    <w:rsid w:val="009C4B5F"/>
    <w:rsid w:val="009C58F4"/>
    <w:rsid w:val="009C591C"/>
    <w:rsid w:val="009C61A5"/>
    <w:rsid w:val="009C648E"/>
    <w:rsid w:val="009C68C5"/>
    <w:rsid w:val="009C6C28"/>
    <w:rsid w:val="009C6E4A"/>
    <w:rsid w:val="009C73BA"/>
    <w:rsid w:val="009C769E"/>
    <w:rsid w:val="009D0231"/>
    <w:rsid w:val="009D0381"/>
    <w:rsid w:val="009D059B"/>
    <w:rsid w:val="009D0848"/>
    <w:rsid w:val="009D097C"/>
    <w:rsid w:val="009D0A9B"/>
    <w:rsid w:val="009D0BB4"/>
    <w:rsid w:val="009D0C38"/>
    <w:rsid w:val="009D0CD5"/>
    <w:rsid w:val="009D0F45"/>
    <w:rsid w:val="009D0F4B"/>
    <w:rsid w:val="009D1030"/>
    <w:rsid w:val="009D1121"/>
    <w:rsid w:val="009D115F"/>
    <w:rsid w:val="009D1335"/>
    <w:rsid w:val="009D1AC1"/>
    <w:rsid w:val="009D1AD5"/>
    <w:rsid w:val="009D1B93"/>
    <w:rsid w:val="009D1CD1"/>
    <w:rsid w:val="009D1E3F"/>
    <w:rsid w:val="009D2A26"/>
    <w:rsid w:val="009D2DE1"/>
    <w:rsid w:val="009D356B"/>
    <w:rsid w:val="009D3848"/>
    <w:rsid w:val="009D3E22"/>
    <w:rsid w:val="009D47A6"/>
    <w:rsid w:val="009D4BDE"/>
    <w:rsid w:val="009D507B"/>
    <w:rsid w:val="009D5BA7"/>
    <w:rsid w:val="009D5C7E"/>
    <w:rsid w:val="009D605E"/>
    <w:rsid w:val="009D61F5"/>
    <w:rsid w:val="009D69F8"/>
    <w:rsid w:val="009D6AF6"/>
    <w:rsid w:val="009D6C45"/>
    <w:rsid w:val="009D729D"/>
    <w:rsid w:val="009D75D3"/>
    <w:rsid w:val="009D7A39"/>
    <w:rsid w:val="009E00EC"/>
    <w:rsid w:val="009E0658"/>
    <w:rsid w:val="009E0D6F"/>
    <w:rsid w:val="009E0D7C"/>
    <w:rsid w:val="009E1370"/>
    <w:rsid w:val="009E149A"/>
    <w:rsid w:val="009E1C00"/>
    <w:rsid w:val="009E1EAD"/>
    <w:rsid w:val="009E1F09"/>
    <w:rsid w:val="009E26BD"/>
    <w:rsid w:val="009E33C5"/>
    <w:rsid w:val="009E37C1"/>
    <w:rsid w:val="009E3A35"/>
    <w:rsid w:val="009E49E7"/>
    <w:rsid w:val="009E4CA9"/>
    <w:rsid w:val="009E4FF7"/>
    <w:rsid w:val="009E525F"/>
    <w:rsid w:val="009E5552"/>
    <w:rsid w:val="009E5C04"/>
    <w:rsid w:val="009E67BF"/>
    <w:rsid w:val="009E77AF"/>
    <w:rsid w:val="009E793E"/>
    <w:rsid w:val="009E79A6"/>
    <w:rsid w:val="009E7A4A"/>
    <w:rsid w:val="009E7E7C"/>
    <w:rsid w:val="009F0698"/>
    <w:rsid w:val="009F0C94"/>
    <w:rsid w:val="009F0D27"/>
    <w:rsid w:val="009F10C1"/>
    <w:rsid w:val="009F1C78"/>
    <w:rsid w:val="009F1D89"/>
    <w:rsid w:val="009F213D"/>
    <w:rsid w:val="009F21A7"/>
    <w:rsid w:val="009F269E"/>
    <w:rsid w:val="009F2E06"/>
    <w:rsid w:val="009F2EEF"/>
    <w:rsid w:val="009F3124"/>
    <w:rsid w:val="009F3164"/>
    <w:rsid w:val="009F3771"/>
    <w:rsid w:val="009F3AB9"/>
    <w:rsid w:val="009F3C08"/>
    <w:rsid w:val="009F3E5F"/>
    <w:rsid w:val="009F40A0"/>
    <w:rsid w:val="009F48ED"/>
    <w:rsid w:val="009F4EB2"/>
    <w:rsid w:val="009F5778"/>
    <w:rsid w:val="009F57C9"/>
    <w:rsid w:val="009F5FF2"/>
    <w:rsid w:val="009F6158"/>
    <w:rsid w:val="009F6166"/>
    <w:rsid w:val="009F624B"/>
    <w:rsid w:val="009F6B36"/>
    <w:rsid w:val="009F6FA2"/>
    <w:rsid w:val="009F7092"/>
    <w:rsid w:val="009F72E9"/>
    <w:rsid w:val="00A0072D"/>
    <w:rsid w:val="00A00E8D"/>
    <w:rsid w:val="00A00EE8"/>
    <w:rsid w:val="00A00F31"/>
    <w:rsid w:val="00A0165A"/>
    <w:rsid w:val="00A0246C"/>
    <w:rsid w:val="00A0251B"/>
    <w:rsid w:val="00A02732"/>
    <w:rsid w:val="00A03050"/>
    <w:rsid w:val="00A0380E"/>
    <w:rsid w:val="00A03C7B"/>
    <w:rsid w:val="00A047E0"/>
    <w:rsid w:val="00A0494C"/>
    <w:rsid w:val="00A05BE2"/>
    <w:rsid w:val="00A05D76"/>
    <w:rsid w:val="00A06461"/>
    <w:rsid w:val="00A06C24"/>
    <w:rsid w:val="00A06DF2"/>
    <w:rsid w:val="00A07304"/>
    <w:rsid w:val="00A076BA"/>
    <w:rsid w:val="00A10273"/>
    <w:rsid w:val="00A10D46"/>
    <w:rsid w:val="00A1137B"/>
    <w:rsid w:val="00A11455"/>
    <w:rsid w:val="00A11501"/>
    <w:rsid w:val="00A11627"/>
    <w:rsid w:val="00A119D0"/>
    <w:rsid w:val="00A11A44"/>
    <w:rsid w:val="00A11E3A"/>
    <w:rsid w:val="00A12201"/>
    <w:rsid w:val="00A123FE"/>
    <w:rsid w:val="00A12B83"/>
    <w:rsid w:val="00A13114"/>
    <w:rsid w:val="00A1369C"/>
    <w:rsid w:val="00A13770"/>
    <w:rsid w:val="00A141E9"/>
    <w:rsid w:val="00A1421A"/>
    <w:rsid w:val="00A14449"/>
    <w:rsid w:val="00A14613"/>
    <w:rsid w:val="00A14617"/>
    <w:rsid w:val="00A1519D"/>
    <w:rsid w:val="00A15B11"/>
    <w:rsid w:val="00A15B12"/>
    <w:rsid w:val="00A15D89"/>
    <w:rsid w:val="00A169AF"/>
    <w:rsid w:val="00A16A34"/>
    <w:rsid w:val="00A16FAB"/>
    <w:rsid w:val="00A1712E"/>
    <w:rsid w:val="00A17542"/>
    <w:rsid w:val="00A175FF"/>
    <w:rsid w:val="00A20097"/>
    <w:rsid w:val="00A20EE5"/>
    <w:rsid w:val="00A20F62"/>
    <w:rsid w:val="00A20FA7"/>
    <w:rsid w:val="00A21659"/>
    <w:rsid w:val="00A2175B"/>
    <w:rsid w:val="00A218B0"/>
    <w:rsid w:val="00A21A70"/>
    <w:rsid w:val="00A21E90"/>
    <w:rsid w:val="00A21F4F"/>
    <w:rsid w:val="00A22A8A"/>
    <w:rsid w:val="00A22E97"/>
    <w:rsid w:val="00A2338A"/>
    <w:rsid w:val="00A23426"/>
    <w:rsid w:val="00A238EB"/>
    <w:rsid w:val="00A24309"/>
    <w:rsid w:val="00A2442B"/>
    <w:rsid w:val="00A24838"/>
    <w:rsid w:val="00A248AD"/>
    <w:rsid w:val="00A24BA4"/>
    <w:rsid w:val="00A2540E"/>
    <w:rsid w:val="00A25423"/>
    <w:rsid w:val="00A25849"/>
    <w:rsid w:val="00A25CAC"/>
    <w:rsid w:val="00A25E23"/>
    <w:rsid w:val="00A264B8"/>
    <w:rsid w:val="00A266A6"/>
    <w:rsid w:val="00A267A5"/>
    <w:rsid w:val="00A26871"/>
    <w:rsid w:val="00A26C40"/>
    <w:rsid w:val="00A26D9D"/>
    <w:rsid w:val="00A270EF"/>
    <w:rsid w:val="00A273BD"/>
    <w:rsid w:val="00A273F6"/>
    <w:rsid w:val="00A275B6"/>
    <w:rsid w:val="00A27783"/>
    <w:rsid w:val="00A27A68"/>
    <w:rsid w:val="00A27D04"/>
    <w:rsid w:val="00A30C8D"/>
    <w:rsid w:val="00A3111A"/>
    <w:rsid w:val="00A311A9"/>
    <w:rsid w:val="00A31292"/>
    <w:rsid w:val="00A315FD"/>
    <w:rsid w:val="00A31F83"/>
    <w:rsid w:val="00A3219F"/>
    <w:rsid w:val="00A333DD"/>
    <w:rsid w:val="00A336E8"/>
    <w:rsid w:val="00A3377B"/>
    <w:rsid w:val="00A33978"/>
    <w:rsid w:val="00A33B4D"/>
    <w:rsid w:val="00A34B7E"/>
    <w:rsid w:val="00A354B9"/>
    <w:rsid w:val="00A359E0"/>
    <w:rsid w:val="00A3668D"/>
    <w:rsid w:val="00A366F1"/>
    <w:rsid w:val="00A36781"/>
    <w:rsid w:val="00A36A51"/>
    <w:rsid w:val="00A36CF3"/>
    <w:rsid w:val="00A36EBF"/>
    <w:rsid w:val="00A372CA"/>
    <w:rsid w:val="00A37690"/>
    <w:rsid w:val="00A376DE"/>
    <w:rsid w:val="00A37C76"/>
    <w:rsid w:val="00A400E8"/>
    <w:rsid w:val="00A406CF"/>
    <w:rsid w:val="00A40B95"/>
    <w:rsid w:val="00A40CF7"/>
    <w:rsid w:val="00A414F6"/>
    <w:rsid w:val="00A41DD7"/>
    <w:rsid w:val="00A42254"/>
    <w:rsid w:val="00A42322"/>
    <w:rsid w:val="00A4233A"/>
    <w:rsid w:val="00A4249D"/>
    <w:rsid w:val="00A431A8"/>
    <w:rsid w:val="00A43219"/>
    <w:rsid w:val="00A43413"/>
    <w:rsid w:val="00A43570"/>
    <w:rsid w:val="00A4443D"/>
    <w:rsid w:val="00A4452E"/>
    <w:rsid w:val="00A445BD"/>
    <w:rsid w:val="00A44958"/>
    <w:rsid w:val="00A44F53"/>
    <w:rsid w:val="00A44FB9"/>
    <w:rsid w:val="00A45649"/>
    <w:rsid w:val="00A45749"/>
    <w:rsid w:val="00A45E36"/>
    <w:rsid w:val="00A45E59"/>
    <w:rsid w:val="00A460E2"/>
    <w:rsid w:val="00A466C1"/>
    <w:rsid w:val="00A4697F"/>
    <w:rsid w:val="00A46B23"/>
    <w:rsid w:val="00A46DB3"/>
    <w:rsid w:val="00A46E8D"/>
    <w:rsid w:val="00A46F4B"/>
    <w:rsid w:val="00A477B4"/>
    <w:rsid w:val="00A47E6A"/>
    <w:rsid w:val="00A47F0C"/>
    <w:rsid w:val="00A47FCF"/>
    <w:rsid w:val="00A503E3"/>
    <w:rsid w:val="00A50430"/>
    <w:rsid w:val="00A506EC"/>
    <w:rsid w:val="00A507D1"/>
    <w:rsid w:val="00A50B82"/>
    <w:rsid w:val="00A50E78"/>
    <w:rsid w:val="00A51CFD"/>
    <w:rsid w:val="00A529CB"/>
    <w:rsid w:val="00A52A39"/>
    <w:rsid w:val="00A52A73"/>
    <w:rsid w:val="00A52A84"/>
    <w:rsid w:val="00A53355"/>
    <w:rsid w:val="00A53719"/>
    <w:rsid w:val="00A53C83"/>
    <w:rsid w:val="00A53F59"/>
    <w:rsid w:val="00A549E9"/>
    <w:rsid w:val="00A555BA"/>
    <w:rsid w:val="00A55641"/>
    <w:rsid w:val="00A560DE"/>
    <w:rsid w:val="00A56127"/>
    <w:rsid w:val="00A567BD"/>
    <w:rsid w:val="00A56849"/>
    <w:rsid w:val="00A5710F"/>
    <w:rsid w:val="00A575D9"/>
    <w:rsid w:val="00A5761A"/>
    <w:rsid w:val="00A576E2"/>
    <w:rsid w:val="00A57834"/>
    <w:rsid w:val="00A57A88"/>
    <w:rsid w:val="00A57C52"/>
    <w:rsid w:val="00A57DA7"/>
    <w:rsid w:val="00A57DB5"/>
    <w:rsid w:val="00A60164"/>
    <w:rsid w:val="00A60785"/>
    <w:rsid w:val="00A60868"/>
    <w:rsid w:val="00A60AAF"/>
    <w:rsid w:val="00A60D08"/>
    <w:rsid w:val="00A60E5E"/>
    <w:rsid w:val="00A60F8D"/>
    <w:rsid w:val="00A61078"/>
    <w:rsid w:val="00A61255"/>
    <w:rsid w:val="00A613C4"/>
    <w:rsid w:val="00A615DB"/>
    <w:rsid w:val="00A61D6D"/>
    <w:rsid w:val="00A61EA6"/>
    <w:rsid w:val="00A625E8"/>
    <w:rsid w:val="00A629CF"/>
    <w:rsid w:val="00A62F0D"/>
    <w:rsid w:val="00A63E52"/>
    <w:rsid w:val="00A64962"/>
    <w:rsid w:val="00A64B02"/>
    <w:rsid w:val="00A64BD4"/>
    <w:rsid w:val="00A64C7B"/>
    <w:rsid w:val="00A64DBF"/>
    <w:rsid w:val="00A64E09"/>
    <w:rsid w:val="00A65460"/>
    <w:rsid w:val="00A66616"/>
    <w:rsid w:val="00A6677F"/>
    <w:rsid w:val="00A66AB3"/>
    <w:rsid w:val="00A66D68"/>
    <w:rsid w:val="00A6747B"/>
    <w:rsid w:val="00A67493"/>
    <w:rsid w:val="00A67C13"/>
    <w:rsid w:val="00A67D2A"/>
    <w:rsid w:val="00A67ED9"/>
    <w:rsid w:val="00A707A1"/>
    <w:rsid w:val="00A70A0A"/>
    <w:rsid w:val="00A71155"/>
    <w:rsid w:val="00A71221"/>
    <w:rsid w:val="00A71313"/>
    <w:rsid w:val="00A7146C"/>
    <w:rsid w:val="00A71562"/>
    <w:rsid w:val="00A715DD"/>
    <w:rsid w:val="00A7172D"/>
    <w:rsid w:val="00A717D2"/>
    <w:rsid w:val="00A71836"/>
    <w:rsid w:val="00A7189F"/>
    <w:rsid w:val="00A71F2B"/>
    <w:rsid w:val="00A72081"/>
    <w:rsid w:val="00A72250"/>
    <w:rsid w:val="00A72906"/>
    <w:rsid w:val="00A72D03"/>
    <w:rsid w:val="00A7348F"/>
    <w:rsid w:val="00A73D33"/>
    <w:rsid w:val="00A74308"/>
    <w:rsid w:val="00A7457A"/>
    <w:rsid w:val="00A74972"/>
    <w:rsid w:val="00A74BAE"/>
    <w:rsid w:val="00A7503B"/>
    <w:rsid w:val="00A75564"/>
    <w:rsid w:val="00A756C6"/>
    <w:rsid w:val="00A758EF"/>
    <w:rsid w:val="00A758F0"/>
    <w:rsid w:val="00A75958"/>
    <w:rsid w:val="00A75AF8"/>
    <w:rsid w:val="00A75BA5"/>
    <w:rsid w:val="00A75DE8"/>
    <w:rsid w:val="00A7693D"/>
    <w:rsid w:val="00A76B17"/>
    <w:rsid w:val="00A76D0D"/>
    <w:rsid w:val="00A76D65"/>
    <w:rsid w:val="00A773F3"/>
    <w:rsid w:val="00A7764D"/>
    <w:rsid w:val="00A779BE"/>
    <w:rsid w:val="00A8000F"/>
    <w:rsid w:val="00A80459"/>
    <w:rsid w:val="00A808C6"/>
    <w:rsid w:val="00A80B56"/>
    <w:rsid w:val="00A80C8B"/>
    <w:rsid w:val="00A81279"/>
    <w:rsid w:val="00A813B3"/>
    <w:rsid w:val="00A81C5F"/>
    <w:rsid w:val="00A81E9D"/>
    <w:rsid w:val="00A821DA"/>
    <w:rsid w:val="00A82225"/>
    <w:rsid w:val="00A828C1"/>
    <w:rsid w:val="00A82B65"/>
    <w:rsid w:val="00A82D7D"/>
    <w:rsid w:val="00A8308A"/>
    <w:rsid w:val="00A833FD"/>
    <w:rsid w:val="00A83A63"/>
    <w:rsid w:val="00A83ACC"/>
    <w:rsid w:val="00A8424E"/>
    <w:rsid w:val="00A849AC"/>
    <w:rsid w:val="00A849B6"/>
    <w:rsid w:val="00A84C91"/>
    <w:rsid w:val="00A85111"/>
    <w:rsid w:val="00A851D1"/>
    <w:rsid w:val="00A85A44"/>
    <w:rsid w:val="00A85A8E"/>
    <w:rsid w:val="00A8629D"/>
    <w:rsid w:val="00A863AD"/>
    <w:rsid w:val="00A86412"/>
    <w:rsid w:val="00A8642A"/>
    <w:rsid w:val="00A86730"/>
    <w:rsid w:val="00A867F5"/>
    <w:rsid w:val="00A86E05"/>
    <w:rsid w:val="00A86F25"/>
    <w:rsid w:val="00A8702E"/>
    <w:rsid w:val="00A90580"/>
    <w:rsid w:val="00A9062A"/>
    <w:rsid w:val="00A90908"/>
    <w:rsid w:val="00A90EE6"/>
    <w:rsid w:val="00A9165B"/>
    <w:rsid w:val="00A9213D"/>
    <w:rsid w:val="00A924E9"/>
    <w:rsid w:val="00A92685"/>
    <w:rsid w:val="00A93477"/>
    <w:rsid w:val="00A93984"/>
    <w:rsid w:val="00A93C0C"/>
    <w:rsid w:val="00A942E5"/>
    <w:rsid w:val="00A94E1D"/>
    <w:rsid w:val="00A951A1"/>
    <w:rsid w:val="00A953B2"/>
    <w:rsid w:val="00A961C4"/>
    <w:rsid w:val="00A96B26"/>
    <w:rsid w:val="00A96BAE"/>
    <w:rsid w:val="00A96F01"/>
    <w:rsid w:val="00A97351"/>
    <w:rsid w:val="00A974AB"/>
    <w:rsid w:val="00AA09DB"/>
    <w:rsid w:val="00AA129E"/>
    <w:rsid w:val="00AA14F8"/>
    <w:rsid w:val="00AA2109"/>
    <w:rsid w:val="00AA23D4"/>
    <w:rsid w:val="00AA27C8"/>
    <w:rsid w:val="00AA32C0"/>
    <w:rsid w:val="00AA3D44"/>
    <w:rsid w:val="00AA43A9"/>
    <w:rsid w:val="00AA4BDB"/>
    <w:rsid w:val="00AA5A08"/>
    <w:rsid w:val="00AA6C11"/>
    <w:rsid w:val="00AA6F04"/>
    <w:rsid w:val="00AA6F97"/>
    <w:rsid w:val="00AA78E4"/>
    <w:rsid w:val="00AA79AA"/>
    <w:rsid w:val="00AA7CF0"/>
    <w:rsid w:val="00AB00DE"/>
    <w:rsid w:val="00AB049B"/>
    <w:rsid w:val="00AB0736"/>
    <w:rsid w:val="00AB0AC6"/>
    <w:rsid w:val="00AB16EB"/>
    <w:rsid w:val="00AB17E1"/>
    <w:rsid w:val="00AB2746"/>
    <w:rsid w:val="00AB285E"/>
    <w:rsid w:val="00AB2F4C"/>
    <w:rsid w:val="00AB338F"/>
    <w:rsid w:val="00AB3AD8"/>
    <w:rsid w:val="00AB462A"/>
    <w:rsid w:val="00AB46E5"/>
    <w:rsid w:val="00AB4921"/>
    <w:rsid w:val="00AB4A12"/>
    <w:rsid w:val="00AB4D81"/>
    <w:rsid w:val="00AB5807"/>
    <w:rsid w:val="00AB59C5"/>
    <w:rsid w:val="00AB5ED6"/>
    <w:rsid w:val="00AB6169"/>
    <w:rsid w:val="00AB6715"/>
    <w:rsid w:val="00AB6A1E"/>
    <w:rsid w:val="00AB6C4B"/>
    <w:rsid w:val="00AB741C"/>
    <w:rsid w:val="00AB742B"/>
    <w:rsid w:val="00AB765E"/>
    <w:rsid w:val="00AB78D8"/>
    <w:rsid w:val="00AB7D80"/>
    <w:rsid w:val="00AB7E81"/>
    <w:rsid w:val="00AC00DF"/>
    <w:rsid w:val="00AC152C"/>
    <w:rsid w:val="00AC1D36"/>
    <w:rsid w:val="00AC269D"/>
    <w:rsid w:val="00AC2BF9"/>
    <w:rsid w:val="00AC2D3A"/>
    <w:rsid w:val="00AC3232"/>
    <w:rsid w:val="00AC39F7"/>
    <w:rsid w:val="00AC3B11"/>
    <w:rsid w:val="00AC46B6"/>
    <w:rsid w:val="00AC4A9E"/>
    <w:rsid w:val="00AC4B90"/>
    <w:rsid w:val="00AC4ED3"/>
    <w:rsid w:val="00AC5151"/>
    <w:rsid w:val="00AC5231"/>
    <w:rsid w:val="00AC5365"/>
    <w:rsid w:val="00AC5A5B"/>
    <w:rsid w:val="00AC5AAA"/>
    <w:rsid w:val="00AC5AC0"/>
    <w:rsid w:val="00AC63A2"/>
    <w:rsid w:val="00AC6587"/>
    <w:rsid w:val="00AC6966"/>
    <w:rsid w:val="00AD02C7"/>
    <w:rsid w:val="00AD032E"/>
    <w:rsid w:val="00AD049D"/>
    <w:rsid w:val="00AD0B3B"/>
    <w:rsid w:val="00AD0BAE"/>
    <w:rsid w:val="00AD0F19"/>
    <w:rsid w:val="00AD10D1"/>
    <w:rsid w:val="00AD1308"/>
    <w:rsid w:val="00AD1486"/>
    <w:rsid w:val="00AD1CB7"/>
    <w:rsid w:val="00AD2273"/>
    <w:rsid w:val="00AD2C17"/>
    <w:rsid w:val="00AD307F"/>
    <w:rsid w:val="00AD3B43"/>
    <w:rsid w:val="00AD41F4"/>
    <w:rsid w:val="00AD4CC3"/>
    <w:rsid w:val="00AD4E8C"/>
    <w:rsid w:val="00AD559F"/>
    <w:rsid w:val="00AD567A"/>
    <w:rsid w:val="00AD573A"/>
    <w:rsid w:val="00AD5F3C"/>
    <w:rsid w:val="00AD604B"/>
    <w:rsid w:val="00AD6449"/>
    <w:rsid w:val="00AD64C4"/>
    <w:rsid w:val="00AD6D2C"/>
    <w:rsid w:val="00AD6FF2"/>
    <w:rsid w:val="00AD73CC"/>
    <w:rsid w:val="00AD7519"/>
    <w:rsid w:val="00AD7C08"/>
    <w:rsid w:val="00AD7F7C"/>
    <w:rsid w:val="00AE079E"/>
    <w:rsid w:val="00AE0947"/>
    <w:rsid w:val="00AE0B20"/>
    <w:rsid w:val="00AE0CB9"/>
    <w:rsid w:val="00AE0D1E"/>
    <w:rsid w:val="00AE0E43"/>
    <w:rsid w:val="00AE0F73"/>
    <w:rsid w:val="00AE106C"/>
    <w:rsid w:val="00AE2AA9"/>
    <w:rsid w:val="00AE2F26"/>
    <w:rsid w:val="00AE2F3D"/>
    <w:rsid w:val="00AE3CEC"/>
    <w:rsid w:val="00AE3F0A"/>
    <w:rsid w:val="00AE4865"/>
    <w:rsid w:val="00AE4FA1"/>
    <w:rsid w:val="00AE5125"/>
    <w:rsid w:val="00AE5631"/>
    <w:rsid w:val="00AE56B3"/>
    <w:rsid w:val="00AE572D"/>
    <w:rsid w:val="00AE5B40"/>
    <w:rsid w:val="00AE5E07"/>
    <w:rsid w:val="00AE6110"/>
    <w:rsid w:val="00AE66A9"/>
    <w:rsid w:val="00AE68AC"/>
    <w:rsid w:val="00AE6FAD"/>
    <w:rsid w:val="00AE7A01"/>
    <w:rsid w:val="00AE7CAF"/>
    <w:rsid w:val="00AF0317"/>
    <w:rsid w:val="00AF0719"/>
    <w:rsid w:val="00AF0A16"/>
    <w:rsid w:val="00AF0BFD"/>
    <w:rsid w:val="00AF0EE7"/>
    <w:rsid w:val="00AF1D78"/>
    <w:rsid w:val="00AF1DD9"/>
    <w:rsid w:val="00AF254B"/>
    <w:rsid w:val="00AF2B94"/>
    <w:rsid w:val="00AF2D1D"/>
    <w:rsid w:val="00AF3385"/>
    <w:rsid w:val="00AF3485"/>
    <w:rsid w:val="00AF4B7F"/>
    <w:rsid w:val="00AF4C62"/>
    <w:rsid w:val="00AF4EFA"/>
    <w:rsid w:val="00AF5210"/>
    <w:rsid w:val="00AF52C4"/>
    <w:rsid w:val="00AF5611"/>
    <w:rsid w:val="00AF5B66"/>
    <w:rsid w:val="00AF5D87"/>
    <w:rsid w:val="00AF61BE"/>
    <w:rsid w:val="00AF6336"/>
    <w:rsid w:val="00AF653D"/>
    <w:rsid w:val="00AF6813"/>
    <w:rsid w:val="00AF6935"/>
    <w:rsid w:val="00AF7243"/>
    <w:rsid w:val="00AF7663"/>
    <w:rsid w:val="00AF78AE"/>
    <w:rsid w:val="00AF7AC0"/>
    <w:rsid w:val="00AF7E6A"/>
    <w:rsid w:val="00B00CAA"/>
    <w:rsid w:val="00B00E5E"/>
    <w:rsid w:val="00B01517"/>
    <w:rsid w:val="00B01AFE"/>
    <w:rsid w:val="00B01D14"/>
    <w:rsid w:val="00B020AA"/>
    <w:rsid w:val="00B025C5"/>
    <w:rsid w:val="00B02B89"/>
    <w:rsid w:val="00B0371A"/>
    <w:rsid w:val="00B03858"/>
    <w:rsid w:val="00B03FBA"/>
    <w:rsid w:val="00B04BE8"/>
    <w:rsid w:val="00B04ECC"/>
    <w:rsid w:val="00B05276"/>
    <w:rsid w:val="00B05B18"/>
    <w:rsid w:val="00B05B1A"/>
    <w:rsid w:val="00B06112"/>
    <w:rsid w:val="00B06662"/>
    <w:rsid w:val="00B0667C"/>
    <w:rsid w:val="00B06832"/>
    <w:rsid w:val="00B06A62"/>
    <w:rsid w:val="00B070E1"/>
    <w:rsid w:val="00B0749D"/>
    <w:rsid w:val="00B078D6"/>
    <w:rsid w:val="00B0796B"/>
    <w:rsid w:val="00B106F0"/>
    <w:rsid w:val="00B10839"/>
    <w:rsid w:val="00B1131F"/>
    <w:rsid w:val="00B11417"/>
    <w:rsid w:val="00B118C1"/>
    <w:rsid w:val="00B11ADE"/>
    <w:rsid w:val="00B11AFC"/>
    <w:rsid w:val="00B11B61"/>
    <w:rsid w:val="00B12103"/>
    <w:rsid w:val="00B12170"/>
    <w:rsid w:val="00B122E1"/>
    <w:rsid w:val="00B131BD"/>
    <w:rsid w:val="00B13A13"/>
    <w:rsid w:val="00B14181"/>
    <w:rsid w:val="00B15575"/>
    <w:rsid w:val="00B15EBA"/>
    <w:rsid w:val="00B16A8E"/>
    <w:rsid w:val="00B16D46"/>
    <w:rsid w:val="00B172FB"/>
    <w:rsid w:val="00B17A67"/>
    <w:rsid w:val="00B201AE"/>
    <w:rsid w:val="00B20442"/>
    <w:rsid w:val="00B204DD"/>
    <w:rsid w:val="00B20D3C"/>
    <w:rsid w:val="00B21CD6"/>
    <w:rsid w:val="00B227F8"/>
    <w:rsid w:val="00B22907"/>
    <w:rsid w:val="00B23240"/>
    <w:rsid w:val="00B2338D"/>
    <w:rsid w:val="00B23978"/>
    <w:rsid w:val="00B23B26"/>
    <w:rsid w:val="00B24627"/>
    <w:rsid w:val="00B24AB1"/>
    <w:rsid w:val="00B24C52"/>
    <w:rsid w:val="00B25A3F"/>
    <w:rsid w:val="00B25ED9"/>
    <w:rsid w:val="00B26228"/>
    <w:rsid w:val="00B26230"/>
    <w:rsid w:val="00B266B5"/>
    <w:rsid w:val="00B267A0"/>
    <w:rsid w:val="00B26B95"/>
    <w:rsid w:val="00B27004"/>
    <w:rsid w:val="00B275E8"/>
    <w:rsid w:val="00B30603"/>
    <w:rsid w:val="00B30673"/>
    <w:rsid w:val="00B3075F"/>
    <w:rsid w:val="00B30D71"/>
    <w:rsid w:val="00B3150E"/>
    <w:rsid w:val="00B31E72"/>
    <w:rsid w:val="00B3206F"/>
    <w:rsid w:val="00B32325"/>
    <w:rsid w:val="00B32743"/>
    <w:rsid w:val="00B335FF"/>
    <w:rsid w:val="00B33650"/>
    <w:rsid w:val="00B34601"/>
    <w:rsid w:val="00B34AC9"/>
    <w:rsid w:val="00B34EB6"/>
    <w:rsid w:val="00B353C1"/>
    <w:rsid w:val="00B35459"/>
    <w:rsid w:val="00B355FE"/>
    <w:rsid w:val="00B35897"/>
    <w:rsid w:val="00B36233"/>
    <w:rsid w:val="00B36535"/>
    <w:rsid w:val="00B367B9"/>
    <w:rsid w:val="00B36D91"/>
    <w:rsid w:val="00B37439"/>
    <w:rsid w:val="00B37673"/>
    <w:rsid w:val="00B404D2"/>
    <w:rsid w:val="00B4070D"/>
    <w:rsid w:val="00B4074D"/>
    <w:rsid w:val="00B4087C"/>
    <w:rsid w:val="00B4094F"/>
    <w:rsid w:val="00B4096B"/>
    <w:rsid w:val="00B41C89"/>
    <w:rsid w:val="00B4201D"/>
    <w:rsid w:val="00B441BA"/>
    <w:rsid w:val="00B442A9"/>
    <w:rsid w:val="00B447DA"/>
    <w:rsid w:val="00B44A5A"/>
    <w:rsid w:val="00B44DF6"/>
    <w:rsid w:val="00B44F0E"/>
    <w:rsid w:val="00B465DD"/>
    <w:rsid w:val="00B4677E"/>
    <w:rsid w:val="00B4686F"/>
    <w:rsid w:val="00B468EB"/>
    <w:rsid w:val="00B46AAB"/>
    <w:rsid w:val="00B46B67"/>
    <w:rsid w:val="00B477E2"/>
    <w:rsid w:val="00B479C1"/>
    <w:rsid w:val="00B47EB3"/>
    <w:rsid w:val="00B47F51"/>
    <w:rsid w:val="00B47FEA"/>
    <w:rsid w:val="00B5032B"/>
    <w:rsid w:val="00B50DEE"/>
    <w:rsid w:val="00B51641"/>
    <w:rsid w:val="00B526A1"/>
    <w:rsid w:val="00B52E61"/>
    <w:rsid w:val="00B52E63"/>
    <w:rsid w:val="00B53A4F"/>
    <w:rsid w:val="00B53D64"/>
    <w:rsid w:val="00B53FCD"/>
    <w:rsid w:val="00B54873"/>
    <w:rsid w:val="00B5554A"/>
    <w:rsid w:val="00B5586D"/>
    <w:rsid w:val="00B55A04"/>
    <w:rsid w:val="00B5616E"/>
    <w:rsid w:val="00B561DF"/>
    <w:rsid w:val="00B5666F"/>
    <w:rsid w:val="00B56906"/>
    <w:rsid w:val="00B56BF2"/>
    <w:rsid w:val="00B56DFA"/>
    <w:rsid w:val="00B56E7B"/>
    <w:rsid w:val="00B5727A"/>
    <w:rsid w:val="00B575F8"/>
    <w:rsid w:val="00B57845"/>
    <w:rsid w:val="00B57B3D"/>
    <w:rsid w:val="00B6005A"/>
    <w:rsid w:val="00B603E9"/>
    <w:rsid w:val="00B60512"/>
    <w:rsid w:val="00B60852"/>
    <w:rsid w:val="00B60AFD"/>
    <w:rsid w:val="00B60B27"/>
    <w:rsid w:val="00B61031"/>
    <w:rsid w:val="00B611BB"/>
    <w:rsid w:val="00B61223"/>
    <w:rsid w:val="00B61826"/>
    <w:rsid w:val="00B61912"/>
    <w:rsid w:val="00B62223"/>
    <w:rsid w:val="00B6226E"/>
    <w:rsid w:val="00B62284"/>
    <w:rsid w:val="00B622AC"/>
    <w:rsid w:val="00B630C5"/>
    <w:rsid w:val="00B63A0E"/>
    <w:rsid w:val="00B63C07"/>
    <w:rsid w:val="00B64177"/>
    <w:rsid w:val="00B646B0"/>
    <w:rsid w:val="00B64C19"/>
    <w:rsid w:val="00B64CCF"/>
    <w:rsid w:val="00B64E16"/>
    <w:rsid w:val="00B64F0E"/>
    <w:rsid w:val="00B65187"/>
    <w:rsid w:val="00B6583F"/>
    <w:rsid w:val="00B659C7"/>
    <w:rsid w:val="00B663CD"/>
    <w:rsid w:val="00B668B6"/>
    <w:rsid w:val="00B66B14"/>
    <w:rsid w:val="00B66DF5"/>
    <w:rsid w:val="00B67A90"/>
    <w:rsid w:val="00B67BD5"/>
    <w:rsid w:val="00B67EE0"/>
    <w:rsid w:val="00B67EED"/>
    <w:rsid w:val="00B7036A"/>
    <w:rsid w:val="00B706F5"/>
    <w:rsid w:val="00B70C88"/>
    <w:rsid w:val="00B70E2B"/>
    <w:rsid w:val="00B7148D"/>
    <w:rsid w:val="00B7168C"/>
    <w:rsid w:val="00B719D4"/>
    <w:rsid w:val="00B72105"/>
    <w:rsid w:val="00B7215C"/>
    <w:rsid w:val="00B72894"/>
    <w:rsid w:val="00B72942"/>
    <w:rsid w:val="00B72BFB"/>
    <w:rsid w:val="00B72E1C"/>
    <w:rsid w:val="00B72F77"/>
    <w:rsid w:val="00B7328D"/>
    <w:rsid w:val="00B7331A"/>
    <w:rsid w:val="00B73427"/>
    <w:rsid w:val="00B73541"/>
    <w:rsid w:val="00B7366B"/>
    <w:rsid w:val="00B743E0"/>
    <w:rsid w:val="00B7475C"/>
    <w:rsid w:val="00B75358"/>
    <w:rsid w:val="00B759C9"/>
    <w:rsid w:val="00B76E5C"/>
    <w:rsid w:val="00B771D4"/>
    <w:rsid w:val="00B773D8"/>
    <w:rsid w:val="00B777E2"/>
    <w:rsid w:val="00B77E92"/>
    <w:rsid w:val="00B8001B"/>
    <w:rsid w:val="00B80056"/>
    <w:rsid w:val="00B80110"/>
    <w:rsid w:val="00B80201"/>
    <w:rsid w:val="00B8088E"/>
    <w:rsid w:val="00B816CB"/>
    <w:rsid w:val="00B81C8B"/>
    <w:rsid w:val="00B820B1"/>
    <w:rsid w:val="00B820FF"/>
    <w:rsid w:val="00B82401"/>
    <w:rsid w:val="00B8272E"/>
    <w:rsid w:val="00B82AF4"/>
    <w:rsid w:val="00B82AF8"/>
    <w:rsid w:val="00B82F40"/>
    <w:rsid w:val="00B8309A"/>
    <w:rsid w:val="00B83174"/>
    <w:rsid w:val="00B834D0"/>
    <w:rsid w:val="00B835AF"/>
    <w:rsid w:val="00B83772"/>
    <w:rsid w:val="00B8380B"/>
    <w:rsid w:val="00B83972"/>
    <w:rsid w:val="00B83D80"/>
    <w:rsid w:val="00B8456D"/>
    <w:rsid w:val="00B847A2"/>
    <w:rsid w:val="00B847E6"/>
    <w:rsid w:val="00B85320"/>
    <w:rsid w:val="00B853A9"/>
    <w:rsid w:val="00B85AB6"/>
    <w:rsid w:val="00B85ADC"/>
    <w:rsid w:val="00B85EBD"/>
    <w:rsid w:val="00B86E53"/>
    <w:rsid w:val="00B86F3B"/>
    <w:rsid w:val="00B87024"/>
    <w:rsid w:val="00B875EE"/>
    <w:rsid w:val="00B903D5"/>
    <w:rsid w:val="00B9061E"/>
    <w:rsid w:val="00B9067C"/>
    <w:rsid w:val="00B909AF"/>
    <w:rsid w:val="00B9132C"/>
    <w:rsid w:val="00B91798"/>
    <w:rsid w:val="00B91A51"/>
    <w:rsid w:val="00B92176"/>
    <w:rsid w:val="00B9298C"/>
    <w:rsid w:val="00B92EB0"/>
    <w:rsid w:val="00B92F16"/>
    <w:rsid w:val="00B93314"/>
    <w:rsid w:val="00B93D08"/>
    <w:rsid w:val="00B94C48"/>
    <w:rsid w:val="00B94F7E"/>
    <w:rsid w:val="00B951F2"/>
    <w:rsid w:val="00B95205"/>
    <w:rsid w:val="00B957A4"/>
    <w:rsid w:val="00B960CC"/>
    <w:rsid w:val="00B9649F"/>
    <w:rsid w:val="00B966C7"/>
    <w:rsid w:val="00B96840"/>
    <w:rsid w:val="00B96A92"/>
    <w:rsid w:val="00B97151"/>
    <w:rsid w:val="00B97169"/>
    <w:rsid w:val="00B9745C"/>
    <w:rsid w:val="00B975FA"/>
    <w:rsid w:val="00B97864"/>
    <w:rsid w:val="00B97AA1"/>
    <w:rsid w:val="00B97D23"/>
    <w:rsid w:val="00BA01AD"/>
    <w:rsid w:val="00BA01D8"/>
    <w:rsid w:val="00BA04EB"/>
    <w:rsid w:val="00BA056C"/>
    <w:rsid w:val="00BA0BFF"/>
    <w:rsid w:val="00BA0E00"/>
    <w:rsid w:val="00BA1322"/>
    <w:rsid w:val="00BA1817"/>
    <w:rsid w:val="00BA1F87"/>
    <w:rsid w:val="00BA281F"/>
    <w:rsid w:val="00BA2CB5"/>
    <w:rsid w:val="00BA3E33"/>
    <w:rsid w:val="00BA4018"/>
    <w:rsid w:val="00BA40EB"/>
    <w:rsid w:val="00BA422F"/>
    <w:rsid w:val="00BA4A33"/>
    <w:rsid w:val="00BA51B1"/>
    <w:rsid w:val="00BA5973"/>
    <w:rsid w:val="00BA5F47"/>
    <w:rsid w:val="00BA662E"/>
    <w:rsid w:val="00BA68D9"/>
    <w:rsid w:val="00BA6B85"/>
    <w:rsid w:val="00BA6EAD"/>
    <w:rsid w:val="00BA6ED7"/>
    <w:rsid w:val="00BA70E8"/>
    <w:rsid w:val="00BA74EB"/>
    <w:rsid w:val="00BB00B8"/>
    <w:rsid w:val="00BB02DE"/>
    <w:rsid w:val="00BB07EC"/>
    <w:rsid w:val="00BB0A61"/>
    <w:rsid w:val="00BB0E91"/>
    <w:rsid w:val="00BB10BC"/>
    <w:rsid w:val="00BB1280"/>
    <w:rsid w:val="00BB14D5"/>
    <w:rsid w:val="00BB162F"/>
    <w:rsid w:val="00BB17AA"/>
    <w:rsid w:val="00BB1B49"/>
    <w:rsid w:val="00BB1C3D"/>
    <w:rsid w:val="00BB1C91"/>
    <w:rsid w:val="00BB20A1"/>
    <w:rsid w:val="00BB2221"/>
    <w:rsid w:val="00BB233B"/>
    <w:rsid w:val="00BB24B8"/>
    <w:rsid w:val="00BB2B41"/>
    <w:rsid w:val="00BB40A4"/>
    <w:rsid w:val="00BB4F11"/>
    <w:rsid w:val="00BB589B"/>
    <w:rsid w:val="00BB5A32"/>
    <w:rsid w:val="00BB61F2"/>
    <w:rsid w:val="00BB69E1"/>
    <w:rsid w:val="00BB6BC5"/>
    <w:rsid w:val="00BB7206"/>
    <w:rsid w:val="00BB7508"/>
    <w:rsid w:val="00BB79AF"/>
    <w:rsid w:val="00BB7B73"/>
    <w:rsid w:val="00BB7EC5"/>
    <w:rsid w:val="00BC0175"/>
    <w:rsid w:val="00BC0A98"/>
    <w:rsid w:val="00BC1701"/>
    <w:rsid w:val="00BC1FC6"/>
    <w:rsid w:val="00BC20BF"/>
    <w:rsid w:val="00BC2BB7"/>
    <w:rsid w:val="00BC307B"/>
    <w:rsid w:val="00BC3230"/>
    <w:rsid w:val="00BC3748"/>
    <w:rsid w:val="00BC37DD"/>
    <w:rsid w:val="00BC3B1E"/>
    <w:rsid w:val="00BC3C9E"/>
    <w:rsid w:val="00BC4042"/>
    <w:rsid w:val="00BC40D7"/>
    <w:rsid w:val="00BC4166"/>
    <w:rsid w:val="00BC4285"/>
    <w:rsid w:val="00BC44D7"/>
    <w:rsid w:val="00BC46E8"/>
    <w:rsid w:val="00BC4A1C"/>
    <w:rsid w:val="00BC6836"/>
    <w:rsid w:val="00BC6895"/>
    <w:rsid w:val="00BC6987"/>
    <w:rsid w:val="00BC6AAE"/>
    <w:rsid w:val="00BC6B7A"/>
    <w:rsid w:val="00BC6C13"/>
    <w:rsid w:val="00BC74D3"/>
    <w:rsid w:val="00BC7C71"/>
    <w:rsid w:val="00BD0011"/>
    <w:rsid w:val="00BD0708"/>
    <w:rsid w:val="00BD1085"/>
    <w:rsid w:val="00BD2DD1"/>
    <w:rsid w:val="00BD304E"/>
    <w:rsid w:val="00BD3377"/>
    <w:rsid w:val="00BD35D5"/>
    <w:rsid w:val="00BD3DCF"/>
    <w:rsid w:val="00BD401A"/>
    <w:rsid w:val="00BD4A4C"/>
    <w:rsid w:val="00BD4FF6"/>
    <w:rsid w:val="00BD526D"/>
    <w:rsid w:val="00BD5912"/>
    <w:rsid w:val="00BD5C15"/>
    <w:rsid w:val="00BD5EB1"/>
    <w:rsid w:val="00BD6313"/>
    <w:rsid w:val="00BD6375"/>
    <w:rsid w:val="00BD6678"/>
    <w:rsid w:val="00BD6CCB"/>
    <w:rsid w:val="00BD735A"/>
    <w:rsid w:val="00BD7AD8"/>
    <w:rsid w:val="00BD7E1E"/>
    <w:rsid w:val="00BE0336"/>
    <w:rsid w:val="00BE0398"/>
    <w:rsid w:val="00BE0BA4"/>
    <w:rsid w:val="00BE0C99"/>
    <w:rsid w:val="00BE1248"/>
    <w:rsid w:val="00BE2179"/>
    <w:rsid w:val="00BE246D"/>
    <w:rsid w:val="00BE26BB"/>
    <w:rsid w:val="00BE2B51"/>
    <w:rsid w:val="00BE2E5D"/>
    <w:rsid w:val="00BE2F9A"/>
    <w:rsid w:val="00BE32A4"/>
    <w:rsid w:val="00BE35E3"/>
    <w:rsid w:val="00BE367F"/>
    <w:rsid w:val="00BE36DC"/>
    <w:rsid w:val="00BE3E8E"/>
    <w:rsid w:val="00BE40BB"/>
    <w:rsid w:val="00BE4623"/>
    <w:rsid w:val="00BE4668"/>
    <w:rsid w:val="00BE47ED"/>
    <w:rsid w:val="00BE47F8"/>
    <w:rsid w:val="00BE4AD3"/>
    <w:rsid w:val="00BE4C73"/>
    <w:rsid w:val="00BE55DD"/>
    <w:rsid w:val="00BE584A"/>
    <w:rsid w:val="00BE62DF"/>
    <w:rsid w:val="00BE62E3"/>
    <w:rsid w:val="00BE66AC"/>
    <w:rsid w:val="00BE7410"/>
    <w:rsid w:val="00BE7AFA"/>
    <w:rsid w:val="00BE7B10"/>
    <w:rsid w:val="00BE7DFC"/>
    <w:rsid w:val="00BF031D"/>
    <w:rsid w:val="00BF113A"/>
    <w:rsid w:val="00BF1513"/>
    <w:rsid w:val="00BF17AA"/>
    <w:rsid w:val="00BF1CE0"/>
    <w:rsid w:val="00BF1D80"/>
    <w:rsid w:val="00BF2428"/>
    <w:rsid w:val="00BF247A"/>
    <w:rsid w:val="00BF272A"/>
    <w:rsid w:val="00BF28FD"/>
    <w:rsid w:val="00BF2BC8"/>
    <w:rsid w:val="00BF2E28"/>
    <w:rsid w:val="00BF3096"/>
    <w:rsid w:val="00BF3197"/>
    <w:rsid w:val="00BF3325"/>
    <w:rsid w:val="00BF3455"/>
    <w:rsid w:val="00BF3B75"/>
    <w:rsid w:val="00BF3DCA"/>
    <w:rsid w:val="00BF4080"/>
    <w:rsid w:val="00BF457E"/>
    <w:rsid w:val="00BF4B64"/>
    <w:rsid w:val="00BF4E31"/>
    <w:rsid w:val="00BF5834"/>
    <w:rsid w:val="00BF59C9"/>
    <w:rsid w:val="00BF5E1F"/>
    <w:rsid w:val="00BF681D"/>
    <w:rsid w:val="00BF6AC8"/>
    <w:rsid w:val="00BF6D6D"/>
    <w:rsid w:val="00BF6ECD"/>
    <w:rsid w:val="00BF72AA"/>
    <w:rsid w:val="00BF777F"/>
    <w:rsid w:val="00BF7C6F"/>
    <w:rsid w:val="00C00460"/>
    <w:rsid w:val="00C00D13"/>
    <w:rsid w:val="00C00DC1"/>
    <w:rsid w:val="00C00E50"/>
    <w:rsid w:val="00C010A4"/>
    <w:rsid w:val="00C010BF"/>
    <w:rsid w:val="00C01588"/>
    <w:rsid w:val="00C01F56"/>
    <w:rsid w:val="00C0225E"/>
    <w:rsid w:val="00C026AC"/>
    <w:rsid w:val="00C02A73"/>
    <w:rsid w:val="00C02F61"/>
    <w:rsid w:val="00C02F88"/>
    <w:rsid w:val="00C030A1"/>
    <w:rsid w:val="00C03715"/>
    <w:rsid w:val="00C03802"/>
    <w:rsid w:val="00C03A62"/>
    <w:rsid w:val="00C03A86"/>
    <w:rsid w:val="00C03D7B"/>
    <w:rsid w:val="00C045DF"/>
    <w:rsid w:val="00C04B6B"/>
    <w:rsid w:val="00C04C27"/>
    <w:rsid w:val="00C054D1"/>
    <w:rsid w:val="00C05564"/>
    <w:rsid w:val="00C056FF"/>
    <w:rsid w:val="00C06071"/>
    <w:rsid w:val="00C06DDE"/>
    <w:rsid w:val="00C0718B"/>
    <w:rsid w:val="00C07BC2"/>
    <w:rsid w:val="00C102F4"/>
    <w:rsid w:val="00C10586"/>
    <w:rsid w:val="00C107A4"/>
    <w:rsid w:val="00C112CE"/>
    <w:rsid w:val="00C11BF8"/>
    <w:rsid w:val="00C1217E"/>
    <w:rsid w:val="00C121F1"/>
    <w:rsid w:val="00C1282E"/>
    <w:rsid w:val="00C13166"/>
    <w:rsid w:val="00C1356D"/>
    <w:rsid w:val="00C13B5F"/>
    <w:rsid w:val="00C13D38"/>
    <w:rsid w:val="00C142F5"/>
    <w:rsid w:val="00C149AC"/>
    <w:rsid w:val="00C14A2D"/>
    <w:rsid w:val="00C153A3"/>
    <w:rsid w:val="00C15D3F"/>
    <w:rsid w:val="00C15F39"/>
    <w:rsid w:val="00C15F9B"/>
    <w:rsid w:val="00C1675E"/>
    <w:rsid w:val="00C1693B"/>
    <w:rsid w:val="00C16CA4"/>
    <w:rsid w:val="00C17731"/>
    <w:rsid w:val="00C20587"/>
    <w:rsid w:val="00C20FD6"/>
    <w:rsid w:val="00C2197A"/>
    <w:rsid w:val="00C21B23"/>
    <w:rsid w:val="00C21F38"/>
    <w:rsid w:val="00C22926"/>
    <w:rsid w:val="00C22A04"/>
    <w:rsid w:val="00C22DC0"/>
    <w:rsid w:val="00C232DE"/>
    <w:rsid w:val="00C235AC"/>
    <w:rsid w:val="00C236F3"/>
    <w:rsid w:val="00C23E8B"/>
    <w:rsid w:val="00C23EE4"/>
    <w:rsid w:val="00C24556"/>
    <w:rsid w:val="00C24CB9"/>
    <w:rsid w:val="00C250AE"/>
    <w:rsid w:val="00C25673"/>
    <w:rsid w:val="00C258B8"/>
    <w:rsid w:val="00C26094"/>
    <w:rsid w:val="00C260B6"/>
    <w:rsid w:val="00C2614D"/>
    <w:rsid w:val="00C2682F"/>
    <w:rsid w:val="00C26DF7"/>
    <w:rsid w:val="00C2700E"/>
    <w:rsid w:val="00C27410"/>
    <w:rsid w:val="00C27529"/>
    <w:rsid w:val="00C278AB"/>
    <w:rsid w:val="00C27958"/>
    <w:rsid w:val="00C27C23"/>
    <w:rsid w:val="00C27DA4"/>
    <w:rsid w:val="00C300DA"/>
    <w:rsid w:val="00C319AC"/>
    <w:rsid w:val="00C319E9"/>
    <w:rsid w:val="00C31AE2"/>
    <w:rsid w:val="00C31BD3"/>
    <w:rsid w:val="00C31DB1"/>
    <w:rsid w:val="00C31ED3"/>
    <w:rsid w:val="00C32211"/>
    <w:rsid w:val="00C3259D"/>
    <w:rsid w:val="00C325EC"/>
    <w:rsid w:val="00C32617"/>
    <w:rsid w:val="00C3268D"/>
    <w:rsid w:val="00C33374"/>
    <w:rsid w:val="00C33499"/>
    <w:rsid w:val="00C33869"/>
    <w:rsid w:val="00C3391B"/>
    <w:rsid w:val="00C33A3F"/>
    <w:rsid w:val="00C33BA8"/>
    <w:rsid w:val="00C33C44"/>
    <w:rsid w:val="00C33CA0"/>
    <w:rsid w:val="00C340C4"/>
    <w:rsid w:val="00C35156"/>
    <w:rsid w:val="00C352C2"/>
    <w:rsid w:val="00C35507"/>
    <w:rsid w:val="00C3563C"/>
    <w:rsid w:val="00C35BCA"/>
    <w:rsid w:val="00C35C45"/>
    <w:rsid w:val="00C35C4B"/>
    <w:rsid w:val="00C3624E"/>
    <w:rsid w:val="00C3667C"/>
    <w:rsid w:val="00C367A2"/>
    <w:rsid w:val="00C36CA0"/>
    <w:rsid w:val="00C36FB1"/>
    <w:rsid w:val="00C37AAE"/>
    <w:rsid w:val="00C401C4"/>
    <w:rsid w:val="00C40960"/>
    <w:rsid w:val="00C40CDA"/>
    <w:rsid w:val="00C41632"/>
    <w:rsid w:val="00C41752"/>
    <w:rsid w:val="00C41D35"/>
    <w:rsid w:val="00C41DA5"/>
    <w:rsid w:val="00C42690"/>
    <w:rsid w:val="00C437B8"/>
    <w:rsid w:val="00C44340"/>
    <w:rsid w:val="00C443BE"/>
    <w:rsid w:val="00C448DC"/>
    <w:rsid w:val="00C44F0E"/>
    <w:rsid w:val="00C455AF"/>
    <w:rsid w:val="00C45D9A"/>
    <w:rsid w:val="00C4620A"/>
    <w:rsid w:val="00C463FD"/>
    <w:rsid w:val="00C46468"/>
    <w:rsid w:val="00C465BB"/>
    <w:rsid w:val="00C46A9F"/>
    <w:rsid w:val="00C46E6D"/>
    <w:rsid w:val="00C472DB"/>
    <w:rsid w:val="00C475F1"/>
    <w:rsid w:val="00C4778A"/>
    <w:rsid w:val="00C47FF9"/>
    <w:rsid w:val="00C504C8"/>
    <w:rsid w:val="00C50547"/>
    <w:rsid w:val="00C506DD"/>
    <w:rsid w:val="00C5084E"/>
    <w:rsid w:val="00C50BE1"/>
    <w:rsid w:val="00C50C78"/>
    <w:rsid w:val="00C50F38"/>
    <w:rsid w:val="00C512C3"/>
    <w:rsid w:val="00C52B18"/>
    <w:rsid w:val="00C52E40"/>
    <w:rsid w:val="00C53E16"/>
    <w:rsid w:val="00C54217"/>
    <w:rsid w:val="00C54758"/>
    <w:rsid w:val="00C549EB"/>
    <w:rsid w:val="00C54B13"/>
    <w:rsid w:val="00C54DED"/>
    <w:rsid w:val="00C555E5"/>
    <w:rsid w:val="00C559FA"/>
    <w:rsid w:val="00C55B4F"/>
    <w:rsid w:val="00C56205"/>
    <w:rsid w:val="00C5651E"/>
    <w:rsid w:val="00C56580"/>
    <w:rsid w:val="00C56885"/>
    <w:rsid w:val="00C56A1D"/>
    <w:rsid w:val="00C574E9"/>
    <w:rsid w:val="00C57956"/>
    <w:rsid w:val="00C6000B"/>
    <w:rsid w:val="00C6003A"/>
    <w:rsid w:val="00C60E1F"/>
    <w:rsid w:val="00C61232"/>
    <w:rsid w:val="00C61580"/>
    <w:rsid w:val="00C62ADD"/>
    <w:rsid w:val="00C62FEB"/>
    <w:rsid w:val="00C631DD"/>
    <w:rsid w:val="00C639C8"/>
    <w:rsid w:val="00C63A41"/>
    <w:rsid w:val="00C63B4F"/>
    <w:rsid w:val="00C63B6B"/>
    <w:rsid w:val="00C63C49"/>
    <w:rsid w:val="00C63C50"/>
    <w:rsid w:val="00C63CF1"/>
    <w:rsid w:val="00C63DB8"/>
    <w:rsid w:val="00C63E67"/>
    <w:rsid w:val="00C6453D"/>
    <w:rsid w:val="00C64804"/>
    <w:rsid w:val="00C64AEB"/>
    <w:rsid w:val="00C64C3C"/>
    <w:rsid w:val="00C65005"/>
    <w:rsid w:val="00C6515D"/>
    <w:rsid w:val="00C6532D"/>
    <w:rsid w:val="00C6538D"/>
    <w:rsid w:val="00C654BE"/>
    <w:rsid w:val="00C6590B"/>
    <w:rsid w:val="00C65C61"/>
    <w:rsid w:val="00C65E52"/>
    <w:rsid w:val="00C66074"/>
    <w:rsid w:val="00C66112"/>
    <w:rsid w:val="00C66113"/>
    <w:rsid w:val="00C66188"/>
    <w:rsid w:val="00C662B1"/>
    <w:rsid w:val="00C662F1"/>
    <w:rsid w:val="00C671FF"/>
    <w:rsid w:val="00C67755"/>
    <w:rsid w:val="00C70409"/>
    <w:rsid w:val="00C71020"/>
    <w:rsid w:val="00C71681"/>
    <w:rsid w:val="00C71B1B"/>
    <w:rsid w:val="00C71B9D"/>
    <w:rsid w:val="00C71ECF"/>
    <w:rsid w:val="00C71F99"/>
    <w:rsid w:val="00C720E5"/>
    <w:rsid w:val="00C72928"/>
    <w:rsid w:val="00C72B43"/>
    <w:rsid w:val="00C72C91"/>
    <w:rsid w:val="00C72E3B"/>
    <w:rsid w:val="00C73455"/>
    <w:rsid w:val="00C7346D"/>
    <w:rsid w:val="00C736F3"/>
    <w:rsid w:val="00C73BAA"/>
    <w:rsid w:val="00C73BDE"/>
    <w:rsid w:val="00C73D2D"/>
    <w:rsid w:val="00C7489A"/>
    <w:rsid w:val="00C74B7B"/>
    <w:rsid w:val="00C74F9C"/>
    <w:rsid w:val="00C74FB0"/>
    <w:rsid w:val="00C752F8"/>
    <w:rsid w:val="00C75714"/>
    <w:rsid w:val="00C76021"/>
    <w:rsid w:val="00C761F7"/>
    <w:rsid w:val="00C7712A"/>
    <w:rsid w:val="00C771FF"/>
    <w:rsid w:val="00C7745B"/>
    <w:rsid w:val="00C77B2E"/>
    <w:rsid w:val="00C806DB"/>
    <w:rsid w:val="00C80C06"/>
    <w:rsid w:val="00C80D7E"/>
    <w:rsid w:val="00C80FAB"/>
    <w:rsid w:val="00C81312"/>
    <w:rsid w:val="00C81388"/>
    <w:rsid w:val="00C819C9"/>
    <w:rsid w:val="00C81AC5"/>
    <w:rsid w:val="00C81BF3"/>
    <w:rsid w:val="00C81C26"/>
    <w:rsid w:val="00C81C5E"/>
    <w:rsid w:val="00C8232E"/>
    <w:rsid w:val="00C825DF"/>
    <w:rsid w:val="00C82705"/>
    <w:rsid w:val="00C83496"/>
    <w:rsid w:val="00C83EA3"/>
    <w:rsid w:val="00C84035"/>
    <w:rsid w:val="00C84437"/>
    <w:rsid w:val="00C846F2"/>
    <w:rsid w:val="00C84732"/>
    <w:rsid w:val="00C847D6"/>
    <w:rsid w:val="00C849C2"/>
    <w:rsid w:val="00C85118"/>
    <w:rsid w:val="00C85533"/>
    <w:rsid w:val="00C85680"/>
    <w:rsid w:val="00C85896"/>
    <w:rsid w:val="00C864B9"/>
    <w:rsid w:val="00C867B3"/>
    <w:rsid w:val="00C86872"/>
    <w:rsid w:val="00C87C83"/>
    <w:rsid w:val="00C87F54"/>
    <w:rsid w:val="00C87FF7"/>
    <w:rsid w:val="00C9003B"/>
    <w:rsid w:val="00C90AC4"/>
    <w:rsid w:val="00C914C8"/>
    <w:rsid w:val="00C9170F"/>
    <w:rsid w:val="00C91CCD"/>
    <w:rsid w:val="00C927EA"/>
    <w:rsid w:val="00C92869"/>
    <w:rsid w:val="00C92C28"/>
    <w:rsid w:val="00C92D87"/>
    <w:rsid w:val="00C92D9F"/>
    <w:rsid w:val="00C931DD"/>
    <w:rsid w:val="00C934A8"/>
    <w:rsid w:val="00C94160"/>
    <w:rsid w:val="00C941EF"/>
    <w:rsid w:val="00C9494E"/>
    <w:rsid w:val="00C9528E"/>
    <w:rsid w:val="00C95426"/>
    <w:rsid w:val="00C95523"/>
    <w:rsid w:val="00C9567A"/>
    <w:rsid w:val="00C95996"/>
    <w:rsid w:val="00C95C9A"/>
    <w:rsid w:val="00C96108"/>
    <w:rsid w:val="00C971F7"/>
    <w:rsid w:val="00C97661"/>
    <w:rsid w:val="00C97899"/>
    <w:rsid w:val="00C9790A"/>
    <w:rsid w:val="00C97B9C"/>
    <w:rsid w:val="00C97BCC"/>
    <w:rsid w:val="00CA00EA"/>
    <w:rsid w:val="00CA039E"/>
    <w:rsid w:val="00CA05D6"/>
    <w:rsid w:val="00CA0893"/>
    <w:rsid w:val="00CA1475"/>
    <w:rsid w:val="00CA1535"/>
    <w:rsid w:val="00CA17FB"/>
    <w:rsid w:val="00CA2340"/>
    <w:rsid w:val="00CA26DA"/>
    <w:rsid w:val="00CA2B54"/>
    <w:rsid w:val="00CA2B6E"/>
    <w:rsid w:val="00CA2D49"/>
    <w:rsid w:val="00CA2F0F"/>
    <w:rsid w:val="00CA304E"/>
    <w:rsid w:val="00CA335E"/>
    <w:rsid w:val="00CA3A58"/>
    <w:rsid w:val="00CA3FAE"/>
    <w:rsid w:val="00CA4860"/>
    <w:rsid w:val="00CA4E1F"/>
    <w:rsid w:val="00CA5206"/>
    <w:rsid w:val="00CA524C"/>
    <w:rsid w:val="00CA5F25"/>
    <w:rsid w:val="00CA65F2"/>
    <w:rsid w:val="00CA67A5"/>
    <w:rsid w:val="00CA67D5"/>
    <w:rsid w:val="00CA6A33"/>
    <w:rsid w:val="00CA6B8C"/>
    <w:rsid w:val="00CA6F37"/>
    <w:rsid w:val="00CA76D5"/>
    <w:rsid w:val="00CA77FD"/>
    <w:rsid w:val="00CA7A2C"/>
    <w:rsid w:val="00CA7E57"/>
    <w:rsid w:val="00CB00E5"/>
    <w:rsid w:val="00CB063C"/>
    <w:rsid w:val="00CB06B1"/>
    <w:rsid w:val="00CB0C3D"/>
    <w:rsid w:val="00CB0E2B"/>
    <w:rsid w:val="00CB1C9E"/>
    <w:rsid w:val="00CB1DC1"/>
    <w:rsid w:val="00CB22B4"/>
    <w:rsid w:val="00CB29C9"/>
    <w:rsid w:val="00CB2D75"/>
    <w:rsid w:val="00CB3184"/>
    <w:rsid w:val="00CB3213"/>
    <w:rsid w:val="00CB3790"/>
    <w:rsid w:val="00CB3913"/>
    <w:rsid w:val="00CB3B45"/>
    <w:rsid w:val="00CB3F54"/>
    <w:rsid w:val="00CB3F9E"/>
    <w:rsid w:val="00CB44A0"/>
    <w:rsid w:val="00CB4610"/>
    <w:rsid w:val="00CB507D"/>
    <w:rsid w:val="00CB50DE"/>
    <w:rsid w:val="00CB5345"/>
    <w:rsid w:val="00CB537B"/>
    <w:rsid w:val="00CB5516"/>
    <w:rsid w:val="00CB5ADF"/>
    <w:rsid w:val="00CB5E44"/>
    <w:rsid w:val="00CB61AB"/>
    <w:rsid w:val="00CB66B9"/>
    <w:rsid w:val="00CB67E2"/>
    <w:rsid w:val="00CB6AF2"/>
    <w:rsid w:val="00CB6B9E"/>
    <w:rsid w:val="00CB7251"/>
    <w:rsid w:val="00CB793A"/>
    <w:rsid w:val="00CB7F55"/>
    <w:rsid w:val="00CB7FCA"/>
    <w:rsid w:val="00CC0402"/>
    <w:rsid w:val="00CC073C"/>
    <w:rsid w:val="00CC08CF"/>
    <w:rsid w:val="00CC0CB6"/>
    <w:rsid w:val="00CC1892"/>
    <w:rsid w:val="00CC1A4E"/>
    <w:rsid w:val="00CC20CE"/>
    <w:rsid w:val="00CC2428"/>
    <w:rsid w:val="00CC30C3"/>
    <w:rsid w:val="00CC3181"/>
    <w:rsid w:val="00CC361D"/>
    <w:rsid w:val="00CC361F"/>
    <w:rsid w:val="00CC4212"/>
    <w:rsid w:val="00CC42BB"/>
    <w:rsid w:val="00CC48D5"/>
    <w:rsid w:val="00CC4907"/>
    <w:rsid w:val="00CC4ED4"/>
    <w:rsid w:val="00CC5205"/>
    <w:rsid w:val="00CC5B1B"/>
    <w:rsid w:val="00CC5E1F"/>
    <w:rsid w:val="00CC6525"/>
    <w:rsid w:val="00CC6643"/>
    <w:rsid w:val="00CC6D2D"/>
    <w:rsid w:val="00CC70FA"/>
    <w:rsid w:val="00CC7903"/>
    <w:rsid w:val="00CC7A3D"/>
    <w:rsid w:val="00CC7B31"/>
    <w:rsid w:val="00CC7D12"/>
    <w:rsid w:val="00CC7DD5"/>
    <w:rsid w:val="00CC7FDB"/>
    <w:rsid w:val="00CD02A0"/>
    <w:rsid w:val="00CD0350"/>
    <w:rsid w:val="00CD04FF"/>
    <w:rsid w:val="00CD0590"/>
    <w:rsid w:val="00CD0840"/>
    <w:rsid w:val="00CD0B23"/>
    <w:rsid w:val="00CD1306"/>
    <w:rsid w:val="00CD2048"/>
    <w:rsid w:val="00CD20C8"/>
    <w:rsid w:val="00CD22AA"/>
    <w:rsid w:val="00CD22E1"/>
    <w:rsid w:val="00CD2805"/>
    <w:rsid w:val="00CD2C1A"/>
    <w:rsid w:val="00CD39D1"/>
    <w:rsid w:val="00CD3C5B"/>
    <w:rsid w:val="00CD4AA7"/>
    <w:rsid w:val="00CD53D8"/>
    <w:rsid w:val="00CD5A78"/>
    <w:rsid w:val="00CD5DE1"/>
    <w:rsid w:val="00CD75CF"/>
    <w:rsid w:val="00CD7CF1"/>
    <w:rsid w:val="00CD7E5D"/>
    <w:rsid w:val="00CE0C71"/>
    <w:rsid w:val="00CE0DD4"/>
    <w:rsid w:val="00CE14A7"/>
    <w:rsid w:val="00CE16BB"/>
    <w:rsid w:val="00CE19B9"/>
    <w:rsid w:val="00CE1D82"/>
    <w:rsid w:val="00CE2199"/>
    <w:rsid w:val="00CE229D"/>
    <w:rsid w:val="00CE27AB"/>
    <w:rsid w:val="00CE2E8E"/>
    <w:rsid w:val="00CE30C0"/>
    <w:rsid w:val="00CE362D"/>
    <w:rsid w:val="00CE389C"/>
    <w:rsid w:val="00CE3B3D"/>
    <w:rsid w:val="00CE3E89"/>
    <w:rsid w:val="00CE4314"/>
    <w:rsid w:val="00CE4617"/>
    <w:rsid w:val="00CE4736"/>
    <w:rsid w:val="00CE4A7D"/>
    <w:rsid w:val="00CE4FDE"/>
    <w:rsid w:val="00CE50BF"/>
    <w:rsid w:val="00CE55D2"/>
    <w:rsid w:val="00CE5BE2"/>
    <w:rsid w:val="00CE5C31"/>
    <w:rsid w:val="00CE60FE"/>
    <w:rsid w:val="00CE6570"/>
    <w:rsid w:val="00CE6F12"/>
    <w:rsid w:val="00CE7CA1"/>
    <w:rsid w:val="00CF055D"/>
    <w:rsid w:val="00CF06E7"/>
    <w:rsid w:val="00CF0CF3"/>
    <w:rsid w:val="00CF1613"/>
    <w:rsid w:val="00CF17BC"/>
    <w:rsid w:val="00CF204B"/>
    <w:rsid w:val="00CF25BF"/>
    <w:rsid w:val="00CF2AAF"/>
    <w:rsid w:val="00CF2EBB"/>
    <w:rsid w:val="00CF3410"/>
    <w:rsid w:val="00CF354E"/>
    <w:rsid w:val="00CF3631"/>
    <w:rsid w:val="00CF3DA8"/>
    <w:rsid w:val="00CF3F06"/>
    <w:rsid w:val="00CF3F4B"/>
    <w:rsid w:val="00CF4417"/>
    <w:rsid w:val="00CF58B6"/>
    <w:rsid w:val="00CF5C98"/>
    <w:rsid w:val="00CF6749"/>
    <w:rsid w:val="00CF6CDF"/>
    <w:rsid w:val="00CF702B"/>
    <w:rsid w:val="00CF710F"/>
    <w:rsid w:val="00CF73D8"/>
    <w:rsid w:val="00CF74AB"/>
    <w:rsid w:val="00CF7A47"/>
    <w:rsid w:val="00CF7BBF"/>
    <w:rsid w:val="00CF7D77"/>
    <w:rsid w:val="00CF7E27"/>
    <w:rsid w:val="00D00221"/>
    <w:rsid w:val="00D00267"/>
    <w:rsid w:val="00D00B2A"/>
    <w:rsid w:val="00D00C60"/>
    <w:rsid w:val="00D00F39"/>
    <w:rsid w:val="00D013A7"/>
    <w:rsid w:val="00D016C5"/>
    <w:rsid w:val="00D0174F"/>
    <w:rsid w:val="00D017D7"/>
    <w:rsid w:val="00D0198B"/>
    <w:rsid w:val="00D01BD6"/>
    <w:rsid w:val="00D01E24"/>
    <w:rsid w:val="00D01E4F"/>
    <w:rsid w:val="00D030B8"/>
    <w:rsid w:val="00D03B73"/>
    <w:rsid w:val="00D03DB2"/>
    <w:rsid w:val="00D040C3"/>
    <w:rsid w:val="00D04722"/>
    <w:rsid w:val="00D04D3C"/>
    <w:rsid w:val="00D053C3"/>
    <w:rsid w:val="00D05FF6"/>
    <w:rsid w:val="00D061B3"/>
    <w:rsid w:val="00D063BE"/>
    <w:rsid w:val="00D063E6"/>
    <w:rsid w:val="00D064AC"/>
    <w:rsid w:val="00D06A62"/>
    <w:rsid w:val="00D06CA3"/>
    <w:rsid w:val="00D06F19"/>
    <w:rsid w:val="00D076E2"/>
    <w:rsid w:val="00D0783C"/>
    <w:rsid w:val="00D07CCA"/>
    <w:rsid w:val="00D101C9"/>
    <w:rsid w:val="00D10554"/>
    <w:rsid w:val="00D10611"/>
    <w:rsid w:val="00D108F0"/>
    <w:rsid w:val="00D10B63"/>
    <w:rsid w:val="00D115C7"/>
    <w:rsid w:val="00D11CCD"/>
    <w:rsid w:val="00D11E6B"/>
    <w:rsid w:val="00D11ECB"/>
    <w:rsid w:val="00D122D8"/>
    <w:rsid w:val="00D1281F"/>
    <w:rsid w:val="00D12FF4"/>
    <w:rsid w:val="00D13273"/>
    <w:rsid w:val="00D13FDF"/>
    <w:rsid w:val="00D14005"/>
    <w:rsid w:val="00D14192"/>
    <w:rsid w:val="00D14284"/>
    <w:rsid w:val="00D147AB"/>
    <w:rsid w:val="00D14CE8"/>
    <w:rsid w:val="00D150B5"/>
    <w:rsid w:val="00D153C3"/>
    <w:rsid w:val="00D15655"/>
    <w:rsid w:val="00D15DA7"/>
    <w:rsid w:val="00D1610F"/>
    <w:rsid w:val="00D165D1"/>
    <w:rsid w:val="00D166C4"/>
    <w:rsid w:val="00D1692B"/>
    <w:rsid w:val="00D17544"/>
    <w:rsid w:val="00D17717"/>
    <w:rsid w:val="00D17925"/>
    <w:rsid w:val="00D17AF1"/>
    <w:rsid w:val="00D206F2"/>
    <w:rsid w:val="00D20B81"/>
    <w:rsid w:val="00D21151"/>
    <w:rsid w:val="00D22724"/>
    <w:rsid w:val="00D227F1"/>
    <w:rsid w:val="00D22D76"/>
    <w:rsid w:val="00D233B6"/>
    <w:rsid w:val="00D2370F"/>
    <w:rsid w:val="00D2373D"/>
    <w:rsid w:val="00D246E4"/>
    <w:rsid w:val="00D24E95"/>
    <w:rsid w:val="00D25504"/>
    <w:rsid w:val="00D25876"/>
    <w:rsid w:val="00D25951"/>
    <w:rsid w:val="00D25E60"/>
    <w:rsid w:val="00D26E4E"/>
    <w:rsid w:val="00D27244"/>
    <w:rsid w:val="00D273C4"/>
    <w:rsid w:val="00D274CE"/>
    <w:rsid w:val="00D27788"/>
    <w:rsid w:val="00D27CA8"/>
    <w:rsid w:val="00D3012E"/>
    <w:rsid w:val="00D313B6"/>
    <w:rsid w:val="00D3178A"/>
    <w:rsid w:val="00D31852"/>
    <w:rsid w:val="00D319F7"/>
    <w:rsid w:val="00D31C1D"/>
    <w:rsid w:val="00D31D93"/>
    <w:rsid w:val="00D31E52"/>
    <w:rsid w:val="00D31F09"/>
    <w:rsid w:val="00D32DB4"/>
    <w:rsid w:val="00D32FD3"/>
    <w:rsid w:val="00D332D3"/>
    <w:rsid w:val="00D336E5"/>
    <w:rsid w:val="00D33AEC"/>
    <w:rsid w:val="00D348B2"/>
    <w:rsid w:val="00D34A10"/>
    <w:rsid w:val="00D34CCE"/>
    <w:rsid w:val="00D35047"/>
    <w:rsid w:val="00D36000"/>
    <w:rsid w:val="00D3616D"/>
    <w:rsid w:val="00D36358"/>
    <w:rsid w:val="00D364A0"/>
    <w:rsid w:val="00D369F7"/>
    <w:rsid w:val="00D37BC3"/>
    <w:rsid w:val="00D406A1"/>
    <w:rsid w:val="00D40DCE"/>
    <w:rsid w:val="00D40DDD"/>
    <w:rsid w:val="00D4178F"/>
    <w:rsid w:val="00D418C3"/>
    <w:rsid w:val="00D41CAF"/>
    <w:rsid w:val="00D421F9"/>
    <w:rsid w:val="00D42575"/>
    <w:rsid w:val="00D42735"/>
    <w:rsid w:val="00D427B2"/>
    <w:rsid w:val="00D428FC"/>
    <w:rsid w:val="00D42CC5"/>
    <w:rsid w:val="00D42F05"/>
    <w:rsid w:val="00D434FD"/>
    <w:rsid w:val="00D43F07"/>
    <w:rsid w:val="00D44187"/>
    <w:rsid w:val="00D4430D"/>
    <w:rsid w:val="00D4439F"/>
    <w:rsid w:val="00D44515"/>
    <w:rsid w:val="00D44773"/>
    <w:rsid w:val="00D448F0"/>
    <w:rsid w:val="00D44FDD"/>
    <w:rsid w:val="00D451CF"/>
    <w:rsid w:val="00D45265"/>
    <w:rsid w:val="00D45515"/>
    <w:rsid w:val="00D4555F"/>
    <w:rsid w:val="00D45945"/>
    <w:rsid w:val="00D45FC5"/>
    <w:rsid w:val="00D46153"/>
    <w:rsid w:val="00D461BB"/>
    <w:rsid w:val="00D46B04"/>
    <w:rsid w:val="00D46E15"/>
    <w:rsid w:val="00D46E61"/>
    <w:rsid w:val="00D47660"/>
    <w:rsid w:val="00D50176"/>
    <w:rsid w:val="00D5038B"/>
    <w:rsid w:val="00D50973"/>
    <w:rsid w:val="00D517FC"/>
    <w:rsid w:val="00D51832"/>
    <w:rsid w:val="00D52241"/>
    <w:rsid w:val="00D5282A"/>
    <w:rsid w:val="00D52AFA"/>
    <w:rsid w:val="00D52D65"/>
    <w:rsid w:val="00D52ED3"/>
    <w:rsid w:val="00D531C3"/>
    <w:rsid w:val="00D533E5"/>
    <w:rsid w:val="00D53AC5"/>
    <w:rsid w:val="00D53E4F"/>
    <w:rsid w:val="00D545AF"/>
    <w:rsid w:val="00D547A5"/>
    <w:rsid w:val="00D54C77"/>
    <w:rsid w:val="00D54CAF"/>
    <w:rsid w:val="00D55062"/>
    <w:rsid w:val="00D5536D"/>
    <w:rsid w:val="00D55AFA"/>
    <w:rsid w:val="00D55EC8"/>
    <w:rsid w:val="00D56994"/>
    <w:rsid w:val="00D56A43"/>
    <w:rsid w:val="00D5783F"/>
    <w:rsid w:val="00D57969"/>
    <w:rsid w:val="00D57ACC"/>
    <w:rsid w:val="00D57C4A"/>
    <w:rsid w:val="00D602E1"/>
    <w:rsid w:val="00D60882"/>
    <w:rsid w:val="00D60AC2"/>
    <w:rsid w:val="00D60DA2"/>
    <w:rsid w:val="00D6121B"/>
    <w:rsid w:val="00D614B7"/>
    <w:rsid w:val="00D614DA"/>
    <w:rsid w:val="00D61BC0"/>
    <w:rsid w:val="00D62596"/>
    <w:rsid w:val="00D62742"/>
    <w:rsid w:val="00D62A6B"/>
    <w:rsid w:val="00D62D6E"/>
    <w:rsid w:val="00D62E82"/>
    <w:rsid w:val="00D636E8"/>
    <w:rsid w:val="00D6384C"/>
    <w:rsid w:val="00D6439B"/>
    <w:rsid w:val="00D64561"/>
    <w:rsid w:val="00D651D4"/>
    <w:rsid w:val="00D6561B"/>
    <w:rsid w:val="00D66246"/>
    <w:rsid w:val="00D66321"/>
    <w:rsid w:val="00D66453"/>
    <w:rsid w:val="00D66E26"/>
    <w:rsid w:val="00D66EA2"/>
    <w:rsid w:val="00D6720E"/>
    <w:rsid w:val="00D672FF"/>
    <w:rsid w:val="00D67808"/>
    <w:rsid w:val="00D67892"/>
    <w:rsid w:val="00D67C38"/>
    <w:rsid w:val="00D70B5C"/>
    <w:rsid w:val="00D70EE6"/>
    <w:rsid w:val="00D70EF0"/>
    <w:rsid w:val="00D70F35"/>
    <w:rsid w:val="00D70FD7"/>
    <w:rsid w:val="00D7214C"/>
    <w:rsid w:val="00D72655"/>
    <w:rsid w:val="00D734E6"/>
    <w:rsid w:val="00D737C9"/>
    <w:rsid w:val="00D73865"/>
    <w:rsid w:val="00D73F3B"/>
    <w:rsid w:val="00D7401A"/>
    <w:rsid w:val="00D74107"/>
    <w:rsid w:val="00D74342"/>
    <w:rsid w:val="00D745AB"/>
    <w:rsid w:val="00D745FE"/>
    <w:rsid w:val="00D74A8A"/>
    <w:rsid w:val="00D74E36"/>
    <w:rsid w:val="00D75304"/>
    <w:rsid w:val="00D7559C"/>
    <w:rsid w:val="00D755BA"/>
    <w:rsid w:val="00D7567B"/>
    <w:rsid w:val="00D756ED"/>
    <w:rsid w:val="00D759A2"/>
    <w:rsid w:val="00D75F3A"/>
    <w:rsid w:val="00D767C3"/>
    <w:rsid w:val="00D769A1"/>
    <w:rsid w:val="00D769D1"/>
    <w:rsid w:val="00D76A55"/>
    <w:rsid w:val="00D76BC8"/>
    <w:rsid w:val="00D775CA"/>
    <w:rsid w:val="00D776E4"/>
    <w:rsid w:val="00D77DEB"/>
    <w:rsid w:val="00D809FB"/>
    <w:rsid w:val="00D80D97"/>
    <w:rsid w:val="00D812CC"/>
    <w:rsid w:val="00D8147E"/>
    <w:rsid w:val="00D81E31"/>
    <w:rsid w:val="00D81F9E"/>
    <w:rsid w:val="00D82042"/>
    <w:rsid w:val="00D822DE"/>
    <w:rsid w:val="00D82D00"/>
    <w:rsid w:val="00D8355D"/>
    <w:rsid w:val="00D83835"/>
    <w:rsid w:val="00D83F49"/>
    <w:rsid w:val="00D8407C"/>
    <w:rsid w:val="00D84574"/>
    <w:rsid w:val="00D8480F"/>
    <w:rsid w:val="00D849C1"/>
    <w:rsid w:val="00D84DE0"/>
    <w:rsid w:val="00D85370"/>
    <w:rsid w:val="00D8544D"/>
    <w:rsid w:val="00D86549"/>
    <w:rsid w:val="00D8752C"/>
    <w:rsid w:val="00D876AC"/>
    <w:rsid w:val="00D877DD"/>
    <w:rsid w:val="00D87AA3"/>
    <w:rsid w:val="00D9152E"/>
    <w:rsid w:val="00D918A9"/>
    <w:rsid w:val="00D91AAC"/>
    <w:rsid w:val="00D921C8"/>
    <w:rsid w:val="00D925DB"/>
    <w:rsid w:val="00D926FC"/>
    <w:rsid w:val="00D929D0"/>
    <w:rsid w:val="00D9355A"/>
    <w:rsid w:val="00D93A22"/>
    <w:rsid w:val="00D94869"/>
    <w:rsid w:val="00D94AA5"/>
    <w:rsid w:val="00D94D82"/>
    <w:rsid w:val="00D95186"/>
    <w:rsid w:val="00D95386"/>
    <w:rsid w:val="00D95A37"/>
    <w:rsid w:val="00D95D3D"/>
    <w:rsid w:val="00D95E8D"/>
    <w:rsid w:val="00D960FD"/>
    <w:rsid w:val="00D96365"/>
    <w:rsid w:val="00D96737"/>
    <w:rsid w:val="00D96847"/>
    <w:rsid w:val="00D96B44"/>
    <w:rsid w:val="00D977DA"/>
    <w:rsid w:val="00D97D08"/>
    <w:rsid w:val="00D97D92"/>
    <w:rsid w:val="00DA017A"/>
    <w:rsid w:val="00DA0806"/>
    <w:rsid w:val="00DA0CB2"/>
    <w:rsid w:val="00DA149F"/>
    <w:rsid w:val="00DA18C5"/>
    <w:rsid w:val="00DA19D9"/>
    <w:rsid w:val="00DA1BCB"/>
    <w:rsid w:val="00DA1E47"/>
    <w:rsid w:val="00DA1F53"/>
    <w:rsid w:val="00DA2356"/>
    <w:rsid w:val="00DA2707"/>
    <w:rsid w:val="00DA2C5C"/>
    <w:rsid w:val="00DA2CDF"/>
    <w:rsid w:val="00DA3034"/>
    <w:rsid w:val="00DA3268"/>
    <w:rsid w:val="00DA39E5"/>
    <w:rsid w:val="00DA3D08"/>
    <w:rsid w:val="00DA41B8"/>
    <w:rsid w:val="00DA436F"/>
    <w:rsid w:val="00DA4423"/>
    <w:rsid w:val="00DA450F"/>
    <w:rsid w:val="00DA4717"/>
    <w:rsid w:val="00DA4C4D"/>
    <w:rsid w:val="00DA4D6B"/>
    <w:rsid w:val="00DA59F1"/>
    <w:rsid w:val="00DA5B71"/>
    <w:rsid w:val="00DA60B5"/>
    <w:rsid w:val="00DA6526"/>
    <w:rsid w:val="00DA6574"/>
    <w:rsid w:val="00DA67BC"/>
    <w:rsid w:val="00DA74EF"/>
    <w:rsid w:val="00DA775C"/>
    <w:rsid w:val="00DA799C"/>
    <w:rsid w:val="00DA7A7D"/>
    <w:rsid w:val="00DB0A8A"/>
    <w:rsid w:val="00DB0F58"/>
    <w:rsid w:val="00DB1786"/>
    <w:rsid w:val="00DB191F"/>
    <w:rsid w:val="00DB1C5E"/>
    <w:rsid w:val="00DB253B"/>
    <w:rsid w:val="00DB2CF8"/>
    <w:rsid w:val="00DB2E31"/>
    <w:rsid w:val="00DB3091"/>
    <w:rsid w:val="00DB3BF7"/>
    <w:rsid w:val="00DB3DCD"/>
    <w:rsid w:val="00DB4354"/>
    <w:rsid w:val="00DB43D8"/>
    <w:rsid w:val="00DB46DA"/>
    <w:rsid w:val="00DB4743"/>
    <w:rsid w:val="00DB4D05"/>
    <w:rsid w:val="00DB4DE9"/>
    <w:rsid w:val="00DB518A"/>
    <w:rsid w:val="00DB5F88"/>
    <w:rsid w:val="00DB6411"/>
    <w:rsid w:val="00DB6961"/>
    <w:rsid w:val="00DB6B6C"/>
    <w:rsid w:val="00DB6D12"/>
    <w:rsid w:val="00DB78C3"/>
    <w:rsid w:val="00DB79A5"/>
    <w:rsid w:val="00DB7D81"/>
    <w:rsid w:val="00DB7DF5"/>
    <w:rsid w:val="00DB7DFF"/>
    <w:rsid w:val="00DC0289"/>
    <w:rsid w:val="00DC0A9F"/>
    <w:rsid w:val="00DC1096"/>
    <w:rsid w:val="00DC1F09"/>
    <w:rsid w:val="00DC23B0"/>
    <w:rsid w:val="00DC2454"/>
    <w:rsid w:val="00DC25F9"/>
    <w:rsid w:val="00DC2883"/>
    <w:rsid w:val="00DC30FC"/>
    <w:rsid w:val="00DC31D7"/>
    <w:rsid w:val="00DC39C6"/>
    <w:rsid w:val="00DC3AFA"/>
    <w:rsid w:val="00DC433C"/>
    <w:rsid w:val="00DC43CE"/>
    <w:rsid w:val="00DC4997"/>
    <w:rsid w:val="00DC4BF4"/>
    <w:rsid w:val="00DC4D83"/>
    <w:rsid w:val="00DC4DD6"/>
    <w:rsid w:val="00DC4EBB"/>
    <w:rsid w:val="00DC4F95"/>
    <w:rsid w:val="00DC5714"/>
    <w:rsid w:val="00DC5718"/>
    <w:rsid w:val="00DC5AE9"/>
    <w:rsid w:val="00DC620D"/>
    <w:rsid w:val="00DC6386"/>
    <w:rsid w:val="00DC6898"/>
    <w:rsid w:val="00DC68DB"/>
    <w:rsid w:val="00DC6C68"/>
    <w:rsid w:val="00DC742F"/>
    <w:rsid w:val="00DC74D5"/>
    <w:rsid w:val="00DD0617"/>
    <w:rsid w:val="00DD0881"/>
    <w:rsid w:val="00DD0A7A"/>
    <w:rsid w:val="00DD1137"/>
    <w:rsid w:val="00DD119B"/>
    <w:rsid w:val="00DD1B5A"/>
    <w:rsid w:val="00DD1E60"/>
    <w:rsid w:val="00DD2676"/>
    <w:rsid w:val="00DD2678"/>
    <w:rsid w:val="00DD2787"/>
    <w:rsid w:val="00DD2C89"/>
    <w:rsid w:val="00DD2E0B"/>
    <w:rsid w:val="00DD3080"/>
    <w:rsid w:val="00DD32B4"/>
    <w:rsid w:val="00DD333B"/>
    <w:rsid w:val="00DD411A"/>
    <w:rsid w:val="00DD4DC7"/>
    <w:rsid w:val="00DD54E9"/>
    <w:rsid w:val="00DD586B"/>
    <w:rsid w:val="00DD5BE3"/>
    <w:rsid w:val="00DD6150"/>
    <w:rsid w:val="00DD62A5"/>
    <w:rsid w:val="00DD6823"/>
    <w:rsid w:val="00DD6948"/>
    <w:rsid w:val="00DD734A"/>
    <w:rsid w:val="00DD7451"/>
    <w:rsid w:val="00DD7669"/>
    <w:rsid w:val="00DD779E"/>
    <w:rsid w:val="00DD77A4"/>
    <w:rsid w:val="00DD7DA7"/>
    <w:rsid w:val="00DD7F51"/>
    <w:rsid w:val="00DE0942"/>
    <w:rsid w:val="00DE0C31"/>
    <w:rsid w:val="00DE0F8D"/>
    <w:rsid w:val="00DE11B3"/>
    <w:rsid w:val="00DE1DBA"/>
    <w:rsid w:val="00DE2818"/>
    <w:rsid w:val="00DE305A"/>
    <w:rsid w:val="00DE39D1"/>
    <w:rsid w:val="00DE3A90"/>
    <w:rsid w:val="00DE3C57"/>
    <w:rsid w:val="00DE4029"/>
    <w:rsid w:val="00DE526B"/>
    <w:rsid w:val="00DE57F4"/>
    <w:rsid w:val="00DE5CAA"/>
    <w:rsid w:val="00DE5F86"/>
    <w:rsid w:val="00DE62D5"/>
    <w:rsid w:val="00DE635B"/>
    <w:rsid w:val="00DE6497"/>
    <w:rsid w:val="00DE6548"/>
    <w:rsid w:val="00DE6EC1"/>
    <w:rsid w:val="00DE6F4A"/>
    <w:rsid w:val="00DE7122"/>
    <w:rsid w:val="00DE7199"/>
    <w:rsid w:val="00DF0756"/>
    <w:rsid w:val="00DF09A9"/>
    <w:rsid w:val="00DF0B79"/>
    <w:rsid w:val="00DF0C47"/>
    <w:rsid w:val="00DF0D5F"/>
    <w:rsid w:val="00DF167C"/>
    <w:rsid w:val="00DF199E"/>
    <w:rsid w:val="00DF1AA9"/>
    <w:rsid w:val="00DF1BB7"/>
    <w:rsid w:val="00DF1F3F"/>
    <w:rsid w:val="00DF24ED"/>
    <w:rsid w:val="00DF2678"/>
    <w:rsid w:val="00DF2A17"/>
    <w:rsid w:val="00DF3647"/>
    <w:rsid w:val="00DF4440"/>
    <w:rsid w:val="00DF45F7"/>
    <w:rsid w:val="00DF51AE"/>
    <w:rsid w:val="00DF5405"/>
    <w:rsid w:val="00DF5B35"/>
    <w:rsid w:val="00DF5C60"/>
    <w:rsid w:val="00DF69F2"/>
    <w:rsid w:val="00DF6A91"/>
    <w:rsid w:val="00DF6FE9"/>
    <w:rsid w:val="00DF74B0"/>
    <w:rsid w:val="00DF75D3"/>
    <w:rsid w:val="00DF7821"/>
    <w:rsid w:val="00E003FD"/>
    <w:rsid w:val="00E00777"/>
    <w:rsid w:val="00E00C25"/>
    <w:rsid w:val="00E016C1"/>
    <w:rsid w:val="00E018D4"/>
    <w:rsid w:val="00E01DC8"/>
    <w:rsid w:val="00E022E7"/>
    <w:rsid w:val="00E02487"/>
    <w:rsid w:val="00E02CDE"/>
    <w:rsid w:val="00E02EAE"/>
    <w:rsid w:val="00E03CD9"/>
    <w:rsid w:val="00E04ABB"/>
    <w:rsid w:val="00E04CEE"/>
    <w:rsid w:val="00E051E4"/>
    <w:rsid w:val="00E0531D"/>
    <w:rsid w:val="00E054E4"/>
    <w:rsid w:val="00E05F48"/>
    <w:rsid w:val="00E05F88"/>
    <w:rsid w:val="00E06096"/>
    <w:rsid w:val="00E0610C"/>
    <w:rsid w:val="00E06606"/>
    <w:rsid w:val="00E06A9C"/>
    <w:rsid w:val="00E071C8"/>
    <w:rsid w:val="00E07235"/>
    <w:rsid w:val="00E0734B"/>
    <w:rsid w:val="00E076FC"/>
    <w:rsid w:val="00E07C3B"/>
    <w:rsid w:val="00E07CD2"/>
    <w:rsid w:val="00E103CF"/>
    <w:rsid w:val="00E10B7D"/>
    <w:rsid w:val="00E10D07"/>
    <w:rsid w:val="00E11B6F"/>
    <w:rsid w:val="00E11BCD"/>
    <w:rsid w:val="00E11E3A"/>
    <w:rsid w:val="00E121FF"/>
    <w:rsid w:val="00E12AF0"/>
    <w:rsid w:val="00E130AD"/>
    <w:rsid w:val="00E13B0D"/>
    <w:rsid w:val="00E13EF6"/>
    <w:rsid w:val="00E14489"/>
    <w:rsid w:val="00E14A8D"/>
    <w:rsid w:val="00E14AB9"/>
    <w:rsid w:val="00E14BF2"/>
    <w:rsid w:val="00E14E3B"/>
    <w:rsid w:val="00E15590"/>
    <w:rsid w:val="00E155A9"/>
    <w:rsid w:val="00E1565E"/>
    <w:rsid w:val="00E157F5"/>
    <w:rsid w:val="00E15B3B"/>
    <w:rsid w:val="00E15B87"/>
    <w:rsid w:val="00E15BF0"/>
    <w:rsid w:val="00E1626B"/>
    <w:rsid w:val="00E1636A"/>
    <w:rsid w:val="00E164E0"/>
    <w:rsid w:val="00E16A04"/>
    <w:rsid w:val="00E16CC5"/>
    <w:rsid w:val="00E16F22"/>
    <w:rsid w:val="00E171A0"/>
    <w:rsid w:val="00E172B0"/>
    <w:rsid w:val="00E1754C"/>
    <w:rsid w:val="00E17B83"/>
    <w:rsid w:val="00E17F65"/>
    <w:rsid w:val="00E20750"/>
    <w:rsid w:val="00E20F86"/>
    <w:rsid w:val="00E2228C"/>
    <w:rsid w:val="00E227B9"/>
    <w:rsid w:val="00E22CBC"/>
    <w:rsid w:val="00E23385"/>
    <w:rsid w:val="00E2378B"/>
    <w:rsid w:val="00E23BFB"/>
    <w:rsid w:val="00E2446F"/>
    <w:rsid w:val="00E24675"/>
    <w:rsid w:val="00E247CB"/>
    <w:rsid w:val="00E24F97"/>
    <w:rsid w:val="00E25A41"/>
    <w:rsid w:val="00E25C52"/>
    <w:rsid w:val="00E25D7E"/>
    <w:rsid w:val="00E25E92"/>
    <w:rsid w:val="00E26C04"/>
    <w:rsid w:val="00E27350"/>
    <w:rsid w:val="00E275DF"/>
    <w:rsid w:val="00E27F76"/>
    <w:rsid w:val="00E308A2"/>
    <w:rsid w:val="00E30BD7"/>
    <w:rsid w:val="00E30C11"/>
    <w:rsid w:val="00E30F35"/>
    <w:rsid w:val="00E3108B"/>
    <w:rsid w:val="00E317DC"/>
    <w:rsid w:val="00E3183D"/>
    <w:rsid w:val="00E31D69"/>
    <w:rsid w:val="00E31DA2"/>
    <w:rsid w:val="00E323AD"/>
    <w:rsid w:val="00E3265A"/>
    <w:rsid w:val="00E33B2A"/>
    <w:rsid w:val="00E3413B"/>
    <w:rsid w:val="00E341B7"/>
    <w:rsid w:val="00E344FB"/>
    <w:rsid w:val="00E35617"/>
    <w:rsid w:val="00E356C1"/>
    <w:rsid w:val="00E356EA"/>
    <w:rsid w:val="00E3726C"/>
    <w:rsid w:val="00E37A20"/>
    <w:rsid w:val="00E37C6C"/>
    <w:rsid w:val="00E404BD"/>
    <w:rsid w:val="00E40D37"/>
    <w:rsid w:val="00E41D9A"/>
    <w:rsid w:val="00E4252D"/>
    <w:rsid w:val="00E42664"/>
    <w:rsid w:val="00E42717"/>
    <w:rsid w:val="00E42990"/>
    <w:rsid w:val="00E429CA"/>
    <w:rsid w:val="00E42DAE"/>
    <w:rsid w:val="00E42EB3"/>
    <w:rsid w:val="00E42FE6"/>
    <w:rsid w:val="00E436EB"/>
    <w:rsid w:val="00E445A7"/>
    <w:rsid w:val="00E4462E"/>
    <w:rsid w:val="00E4473E"/>
    <w:rsid w:val="00E45120"/>
    <w:rsid w:val="00E45332"/>
    <w:rsid w:val="00E45B83"/>
    <w:rsid w:val="00E45DC0"/>
    <w:rsid w:val="00E464ED"/>
    <w:rsid w:val="00E467BA"/>
    <w:rsid w:val="00E46DDA"/>
    <w:rsid w:val="00E47238"/>
    <w:rsid w:val="00E47D81"/>
    <w:rsid w:val="00E47E13"/>
    <w:rsid w:val="00E47F6C"/>
    <w:rsid w:val="00E47FC0"/>
    <w:rsid w:val="00E5089C"/>
    <w:rsid w:val="00E50A9D"/>
    <w:rsid w:val="00E50B2F"/>
    <w:rsid w:val="00E51336"/>
    <w:rsid w:val="00E5167F"/>
    <w:rsid w:val="00E5172F"/>
    <w:rsid w:val="00E51C1B"/>
    <w:rsid w:val="00E5339B"/>
    <w:rsid w:val="00E5351E"/>
    <w:rsid w:val="00E53800"/>
    <w:rsid w:val="00E538FE"/>
    <w:rsid w:val="00E53A10"/>
    <w:rsid w:val="00E54B58"/>
    <w:rsid w:val="00E54C23"/>
    <w:rsid w:val="00E55020"/>
    <w:rsid w:val="00E552E0"/>
    <w:rsid w:val="00E55352"/>
    <w:rsid w:val="00E55A8C"/>
    <w:rsid w:val="00E56856"/>
    <w:rsid w:val="00E56CC1"/>
    <w:rsid w:val="00E56E75"/>
    <w:rsid w:val="00E57076"/>
    <w:rsid w:val="00E5760B"/>
    <w:rsid w:val="00E5769B"/>
    <w:rsid w:val="00E57D07"/>
    <w:rsid w:val="00E602B1"/>
    <w:rsid w:val="00E60384"/>
    <w:rsid w:val="00E6062D"/>
    <w:rsid w:val="00E60BD7"/>
    <w:rsid w:val="00E60D52"/>
    <w:rsid w:val="00E60E24"/>
    <w:rsid w:val="00E60FE4"/>
    <w:rsid w:val="00E613B7"/>
    <w:rsid w:val="00E616A7"/>
    <w:rsid w:val="00E61C21"/>
    <w:rsid w:val="00E621B8"/>
    <w:rsid w:val="00E62527"/>
    <w:rsid w:val="00E629A3"/>
    <w:rsid w:val="00E62C2C"/>
    <w:rsid w:val="00E62CC8"/>
    <w:rsid w:val="00E634D9"/>
    <w:rsid w:val="00E6418B"/>
    <w:rsid w:val="00E646C9"/>
    <w:rsid w:val="00E64AE9"/>
    <w:rsid w:val="00E65205"/>
    <w:rsid w:val="00E65935"/>
    <w:rsid w:val="00E65DDC"/>
    <w:rsid w:val="00E66DA8"/>
    <w:rsid w:val="00E66F4F"/>
    <w:rsid w:val="00E67864"/>
    <w:rsid w:val="00E67B87"/>
    <w:rsid w:val="00E67F62"/>
    <w:rsid w:val="00E70388"/>
    <w:rsid w:val="00E70CEA"/>
    <w:rsid w:val="00E71060"/>
    <w:rsid w:val="00E71103"/>
    <w:rsid w:val="00E711EA"/>
    <w:rsid w:val="00E71314"/>
    <w:rsid w:val="00E71496"/>
    <w:rsid w:val="00E71AD8"/>
    <w:rsid w:val="00E71CFB"/>
    <w:rsid w:val="00E71D00"/>
    <w:rsid w:val="00E71E01"/>
    <w:rsid w:val="00E72DC0"/>
    <w:rsid w:val="00E73E55"/>
    <w:rsid w:val="00E746AA"/>
    <w:rsid w:val="00E76069"/>
    <w:rsid w:val="00E7687F"/>
    <w:rsid w:val="00E76C6B"/>
    <w:rsid w:val="00E76CD0"/>
    <w:rsid w:val="00E76EEE"/>
    <w:rsid w:val="00E770C8"/>
    <w:rsid w:val="00E77545"/>
    <w:rsid w:val="00E77CE0"/>
    <w:rsid w:val="00E800B1"/>
    <w:rsid w:val="00E80435"/>
    <w:rsid w:val="00E80450"/>
    <w:rsid w:val="00E80B80"/>
    <w:rsid w:val="00E80F79"/>
    <w:rsid w:val="00E80F86"/>
    <w:rsid w:val="00E8131B"/>
    <w:rsid w:val="00E81857"/>
    <w:rsid w:val="00E81B76"/>
    <w:rsid w:val="00E81F49"/>
    <w:rsid w:val="00E8236B"/>
    <w:rsid w:val="00E82881"/>
    <w:rsid w:val="00E82ABC"/>
    <w:rsid w:val="00E82BDA"/>
    <w:rsid w:val="00E837E4"/>
    <w:rsid w:val="00E83826"/>
    <w:rsid w:val="00E83991"/>
    <w:rsid w:val="00E839F8"/>
    <w:rsid w:val="00E83B88"/>
    <w:rsid w:val="00E83B96"/>
    <w:rsid w:val="00E83E48"/>
    <w:rsid w:val="00E844B5"/>
    <w:rsid w:val="00E849A8"/>
    <w:rsid w:val="00E84C24"/>
    <w:rsid w:val="00E853B6"/>
    <w:rsid w:val="00E855AD"/>
    <w:rsid w:val="00E855E8"/>
    <w:rsid w:val="00E85987"/>
    <w:rsid w:val="00E859F1"/>
    <w:rsid w:val="00E85C8A"/>
    <w:rsid w:val="00E8631C"/>
    <w:rsid w:val="00E863F4"/>
    <w:rsid w:val="00E86991"/>
    <w:rsid w:val="00E86992"/>
    <w:rsid w:val="00E86EB0"/>
    <w:rsid w:val="00E86FC9"/>
    <w:rsid w:val="00E87836"/>
    <w:rsid w:val="00E879CE"/>
    <w:rsid w:val="00E87A26"/>
    <w:rsid w:val="00E90908"/>
    <w:rsid w:val="00E90E3E"/>
    <w:rsid w:val="00E91020"/>
    <w:rsid w:val="00E91682"/>
    <w:rsid w:val="00E91848"/>
    <w:rsid w:val="00E9239A"/>
    <w:rsid w:val="00E928F6"/>
    <w:rsid w:val="00E929A0"/>
    <w:rsid w:val="00E92A6A"/>
    <w:rsid w:val="00E92E80"/>
    <w:rsid w:val="00E93410"/>
    <w:rsid w:val="00E934D1"/>
    <w:rsid w:val="00E9412E"/>
    <w:rsid w:val="00E94A67"/>
    <w:rsid w:val="00E94D7B"/>
    <w:rsid w:val="00E950EB"/>
    <w:rsid w:val="00E95B61"/>
    <w:rsid w:val="00E9666B"/>
    <w:rsid w:val="00E96826"/>
    <w:rsid w:val="00E96E84"/>
    <w:rsid w:val="00E9702C"/>
    <w:rsid w:val="00E97258"/>
    <w:rsid w:val="00E976F9"/>
    <w:rsid w:val="00E97A47"/>
    <w:rsid w:val="00E97E24"/>
    <w:rsid w:val="00EA0324"/>
    <w:rsid w:val="00EA0440"/>
    <w:rsid w:val="00EA05CF"/>
    <w:rsid w:val="00EA1061"/>
    <w:rsid w:val="00EA10D9"/>
    <w:rsid w:val="00EA1175"/>
    <w:rsid w:val="00EA1760"/>
    <w:rsid w:val="00EA195A"/>
    <w:rsid w:val="00EA2034"/>
    <w:rsid w:val="00EA2AB9"/>
    <w:rsid w:val="00EA2B72"/>
    <w:rsid w:val="00EA3258"/>
    <w:rsid w:val="00EA3739"/>
    <w:rsid w:val="00EA3928"/>
    <w:rsid w:val="00EA3BD8"/>
    <w:rsid w:val="00EA3D1D"/>
    <w:rsid w:val="00EA3F30"/>
    <w:rsid w:val="00EA4247"/>
    <w:rsid w:val="00EA53EB"/>
    <w:rsid w:val="00EA56D4"/>
    <w:rsid w:val="00EA577C"/>
    <w:rsid w:val="00EA62F0"/>
    <w:rsid w:val="00EA7829"/>
    <w:rsid w:val="00EB1421"/>
    <w:rsid w:val="00EB16BF"/>
    <w:rsid w:val="00EB16D0"/>
    <w:rsid w:val="00EB176E"/>
    <w:rsid w:val="00EB197C"/>
    <w:rsid w:val="00EB1D0D"/>
    <w:rsid w:val="00EB1E95"/>
    <w:rsid w:val="00EB2449"/>
    <w:rsid w:val="00EB2556"/>
    <w:rsid w:val="00EB2804"/>
    <w:rsid w:val="00EB2DBB"/>
    <w:rsid w:val="00EB31F0"/>
    <w:rsid w:val="00EB3B69"/>
    <w:rsid w:val="00EB3CC5"/>
    <w:rsid w:val="00EB3F85"/>
    <w:rsid w:val="00EB4EB2"/>
    <w:rsid w:val="00EB508A"/>
    <w:rsid w:val="00EB5DC0"/>
    <w:rsid w:val="00EB646D"/>
    <w:rsid w:val="00EB6E0E"/>
    <w:rsid w:val="00EB6E58"/>
    <w:rsid w:val="00EB7278"/>
    <w:rsid w:val="00EB744D"/>
    <w:rsid w:val="00EB76E1"/>
    <w:rsid w:val="00EB7ADD"/>
    <w:rsid w:val="00EB7F62"/>
    <w:rsid w:val="00EC00B2"/>
    <w:rsid w:val="00EC03E5"/>
    <w:rsid w:val="00EC0620"/>
    <w:rsid w:val="00EC0A19"/>
    <w:rsid w:val="00EC0BE0"/>
    <w:rsid w:val="00EC11AD"/>
    <w:rsid w:val="00EC1E49"/>
    <w:rsid w:val="00EC2300"/>
    <w:rsid w:val="00EC2738"/>
    <w:rsid w:val="00EC27E3"/>
    <w:rsid w:val="00EC29D4"/>
    <w:rsid w:val="00EC2BF9"/>
    <w:rsid w:val="00EC3702"/>
    <w:rsid w:val="00EC3B8E"/>
    <w:rsid w:val="00EC408B"/>
    <w:rsid w:val="00EC4562"/>
    <w:rsid w:val="00EC4D1B"/>
    <w:rsid w:val="00EC5145"/>
    <w:rsid w:val="00EC5514"/>
    <w:rsid w:val="00EC57EC"/>
    <w:rsid w:val="00EC5C0E"/>
    <w:rsid w:val="00EC5EC9"/>
    <w:rsid w:val="00EC6272"/>
    <w:rsid w:val="00EC6600"/>
    <w:rsid w:val="00EC6AC7"/>
    <w:rsid w:val="00EC7080"/>
    <w:rsid w:val="00EC7520"/>
    <w:rsid w:val="00EC7AA5"/>
    <w:rsid w:val="00EC7F19"/>
    <w:rsid w:val="00ED0368"/>
    <w:rsid w:val="00ED037F"/>
    <w:rsid w:val="00ED0FAD"/>
    <w:rsid w:val="00ED121B"/>
    <w:rsid w:val="00ED16C2"/>
    <w:rsid w:val="00ED17A1"/>
    <w:rsid w:val="00ED19EE"/>
    <w:rsid w:val="00ED246E"/>
    <w:rsid w:val="00ED29BD"/>
    <w:rsid w:val="00ED3529"/>
    <w:rsid w:val="00ED35BC"/>
    <w:rsid w:val="00ED3DD2"/>
    <w:rsid w:val="00ED40CF"/>
    <w:rsid w:val="00ED42C7"/>
    <w:rsid w:val="00ED45A0"/>
    <w:rsid w:val="00ED46B5"/>
    <w:rsid w:val="00ED4A39"/>
    <w:rsid w:val="00ED5522"/>
    <w:rsid w:val="00ED57C1"/>
    <w:rsid w:val="00ED60B4"/>
    <w:rsid w:val="00ED610C"/>
    <w:rsid w:val="00ED6266"/>
    <w:rsid w:val="00ED648A"/>
    <w:rsid w:val="00ED67EA"/>
    <w:rsid w:val="00ED6826"/>
    <w:rsid w:val="00ED6869"/>
    <w:rsid w:val="00ED6D15"/>
    <w:rsid w:val="00ED6EDB"/>
    <w:rsid w:val="00ED72D1"/>
    <w:rsid w:val="00ED73A7"/>
    <w:rsid w:val="00ED75D6"/>
    <w:rsid w:val="00ED78C9"/>
    <w:rsid w:val="00ED7C0F"/>
    <w:rsid w:val="00ED7CE1"/>
    <w:rsid w:val="00EE047C"/>
    <w:rsid w:val="00EE069E"/>
    <w:rsid w:val="00EE08BB"/>
    <w:rsid w:val="00EE0F3D"/>
    <w:rsid w:val="00EE1CC7"/>
    <w:rsid w:val="00EE1FEC"/>
    <w:rsid w:val="00EE211D"/>
    <w:rsid w:val="00EE2390"/>
    <w:rsid w:val="00EE243B"/>
    <w:rsid w:val="00EE2CDC"/>
    <w:rsid w:val="00EE331C"/>
    <w:rsid w:val="00EE3373"/>
    <w:rsid w:val="00EE34E1"/>
    <w:rsid w:val="00EE4108"/>
    <w:rsid w:val="00EE41ED"/>
    <w:rsid w:val="00EE443D"/>
    <w:rsid w:val="00EE52F9"/>
    <w:rsid w:val="00EE5DA2"/>
    <w:rsid w:val="00EE62C7"/>
    <w:rsid w:val="00EE662E"/>
    <w:rsid w:val="00EE6706"/>
    <w:rsid w:val="00EE684F"/>
    <w:rsid w:val="00EE6C47"/>
    <w:rsid w:val="00EE73C2"/>
    <w:rsid w:val="00EE7698"/>
    <w:rsid w:val="00EE778A"/>
    <w:rsid w:val="00EE7BE7"/>
    <w:rsid w:val="00EF05ED"/>
    <w:rsid w:val="00EF0A92"/>
    <w:rsid w:val="00EF0FA9"/>
    <w:rsid w:val="00EF133B"/>
    <w:rsid w:val="00EF1897"/>
    <w:rsid w:val="00EF1C3C"/>
    <w:rsid w:val="00EF1DE0"/>
    <w:rsid w:val="00EF2074"/>
    <w:rsid w:val="00EF21D3"/>
    <w:rsid w:val="00EF250A"/>
    <w:rsid w:val="00EF2683"/>
    <w:rsid w:val="00EF2744"/>
    <w:rsid w:val="00EF30F5"/>
    <w:rsid w:val="00EF35F5"/>
    <w:rsid w:val="00EF3AE4"/>
    <w:rsid w:val="00EF3DB2"/>
    <w:rsid w:val="00EF404B"/>
    <w:rsid w:val="00EF4284"/>
    <w:rsid w:val="00EF5532"/>
    <w:rsid w:val="00EF6147"/>
    <w:rsid w:val="00EF657B"/>
    <w:rsid w:val="00EF66E7"/>
    <w:rsid w:val="00EF674F"/>
    <w:rsid w:val="00EF67DD"/>
    <w:rsid w:val="00EF743E"/>
    <w:rsid w:val="00EF74FB"/>
    <w:rsid w:val="00F00256"/>
    <w:rsid w:val="00F002D1"/>
    <w:rsid w:val="00F00788"/>
    <w:rsid w:val="00F007A1"/>
    <w:rsid w:val="00F00BD2"/>
    <w:rsid w:val="00F011F0"/>
    <w:rsid w:val="00F01415"/>
    <w:rsid w:val="00F0191B"/>
    <w:rsid w:val="00F01B29"/>
    <w:rsid w:val="00F01C56"/>
    <w:rsid w:val="00F01E01"/>
    <w:rsid w:val="00F0272B"/>
    <w:rsid w:val="00F0279B"/>
    <w:rsid w:val="00F02925"/>
    <w:rsid w:val="00F029FB"/>
    <w:rsid w:val="00F03099"/>
    <w:rsid w:val="00F033DA"/>
    <w:rsid w:val="00F03C9B"/>
    <w:rsid w:val="00F03CB2"/>
    <w:rsid w:val="00F03D47"/>
    <w:rsid w:val="00F04117"/>
    <w:rsid w:val="00F0468A"/>
    <w:rsid w:val="00F046A3"/>
    <w:rsid w:val="00F046E9"/>
    <w:rsid w:val="00F04CC1"/>
    <w:rsid w:val="00F052BA"/>
    <w:rsid w:val="00F0544E"/>
    <w:rsid w:val="00F057D9"/>
    <w:rsid w:val="00F06157"/>
    <w:rsid w:val="00F0617D"/>
    <w:rsid w:val="00F0635C"/>
    <w:rsid w:val="00F06987"/>
    <w:rsid w:val="00F06B50"/>
    <w:rsid w:val="00F06C47"/>
    <w:rsid w:val="00F06D0F"/>
    <w:rsid w:val="00F070CC"/>
    <w:rsid w:val="00F07248"/>
    <w:rsid w:val="00F0729D"/>
    <w:rsid w:val="00F076D3"/>
    <w:rsid w:val="00F07AC1"/>
    <w:rsid w:val="00F07DC5"/>
    <w:rsid w:val="00F103C3"/>
    <w:rsid w:val="00F109E9"/>
    <w:rsid w:val="00F10B4F"/>
    <w:rsid w:val="00F10F69"/>
    <w:rsid w:val="00F11071"/>
    <w:rsid w:val="00F11E32"/>
    <w:rsid w:val="00F1246C"/>
    <w:rsid w:val="00F12A81"/>
    <w:rsid w:val="00F12CD7"/>
    <w:rsid w:val="00F13082"/>
    <w:rsid w:val="00F130B2"/>
    <w:rsid w:val="00F132BC"/>
    <w:rsid w:val="00F133D8"/>
    <w:rsid w:val="00F138E2"/>
    <w:rsid w:val="00F13B21"/>
    <w:rsid w:val="00F13C1C"/>
    <w:rsid w:val="00F13D50"/>
    <w:rsid w:val="00F1455D"/>
    <w:rsid w:val="00F14B7F"/>
    <w:rsid w:val="00F15634"/>
    <w:rsid w:val="00F15C91"/>
    <w:rsid w:val="00F15EA7"/>
    <w:rsid w:val="00F16AA2"/>
    <w:rsid w:val="00F16C24"/>
    <w:rsid w:val="00F16D5B"/>
    <w:rsid w:val="00F17548"/>
    <w:rsid w:val="00F1782A"/>
    <w:rsid w:val="00F17EA6"/>
    <w:rsid w:val="00F17EDA"/>
    <w:rsid w:val="00F17FF6"/>
    <w:rsid w:val="00F20014"/>
    <w:rsid w:val="00F20062"/>
    <w:rsid w:val="00F207F9"/>
    <w:rsid w:val="00F20D63"/>
    <w:rsid w:val="00F20F82"/>
    <w:rsid w:val="00F2105D"/>
    <w:rsid w:val="00F21D8D"/>
    <w:rsid w:val="00F21E77"/>
    <w:rsid w:val="00F21F74"/>
    <w:rsid w:val="00F21F9E"/>
    <w:rsid w:val="00F22518"/>
    <w:rsid w:val="00F22C55"/>
    <w:rsid w:val="00F22D2E"/>
    <w:rsid w:val="00F22F76"/>
    <w:rsid w:val="00F230D7"/>
    <w:rsid w:val="00F23219"/>
    <w:rsid w:val="00F23C08"/>
    <w:rsid w:val="00F24382"/>
    <w:rsid w:val="00F24AF0"/>
    <w:rsid w:val="00F24BB4"/>
    <w:rsid w:val="00F25094"/>
    <w:rsid w:val="00F259D7"/>
    <w:rsid w:val="00F25A11"/>
    <w:rsid w:val="00F25ACF"/>
    <w:rsid w:val="00F25C46"/>
    <w:rsid w:val="00F25DB7"/>
    <w:rsid w:val="00F266AE"/>
    <w:rsid w:val="00F2670D"/>
    <w:rsid w:val="00F26912"/>
    <w:rsid w:val="00F26944"/>
    <w:rsid w:val="00F26F4B"/>
    <w:rsid w:val="00F26FAD"/>
    <w:rsid w:val="00F271CB"/>
    <w:rsid w:val="00F2748B"/>
    <w:rsid w:val="00F27FE2"/>
    <w:rsid w:val="00F30354"/>
    <w:rsid w:val="00F3070C"/>
    <w:rsid w:val="00F307EF"/>
    <w:rsid w:val="00F30C4B"/>
    <w:rsid w:val="00F31052"/>
    <w:rsid w:val="00F31E98"/>
    <w:rsid w:val="00F327BD"/>
    <w:rsid w:val="00F32C7A"/>
    <w:rsid w:val="00F333C3"/>
    <w:rsid w:val="00F336EF"/>
    <w:rsid w:val="00F33A8A"/>
    <w:rsid w:val="00F33DAC"/>
    <w:rsid w:val="00F33DD5"/>
    <w:rsid w:val="00F342BC"/>
    <w:rsid w:val="00F34382"/>
    <w:rsid w:val="00F34945"/>
    <w:rsid w:val="00F35A8E"/>
    <w:rsid w:val="00F35CE7"/>
    <w:rsid w:val="00F35ECB"/>
    <w:rsid w:val="00F35EED"/>
    <w:rsid w:val="00F360E8"/>
    <w:rsid w:val="00F36A60"/>
    <w:rsid w:val="00F36C69"/>
    <w:rsid w:val="00F37C47"/>
    <w:rsid w:val="00F37DB0"/>
    <w:rsid w:val="00F4006F"/>
    <w:rsid w:val="00F40441"/>
    <w:rsid w:val="00F404FA"/>
    <w:rsid w:val="00F405B9"/>
    <w:rsid w:val="00F4163A"/>
    <w:rsid w:val="00F417C8"/>
    <w:rsid w:val="00F418CC"/>
    <w:rsid w:val="00F41A03"/>
    <w:rsid w:val="00F41B7B"/>
    <w:rsid w:val="00F41E15"/>
    <w:rsid w:val="00F42363"/>
    <w:rsid w:val="00F42B63"/>
    <w:rsid w:val="00F42BFD"/>
    <w:rsid w:val="00F431C4"/>
    <w:rsid w:val="00F43BA7"/>
    <w:rsid w:val="00F43C74"/>
    <w:rsid w:val="00F4437F"/>
    <w:rsid w:val="00F44573"/>
    <w:rsid w:val="00F44992"/>
    <w:rsid w:val="00F44C6E"/>
    <w:rsid w:val="00F454D6"/>
    <w:rsid w:val="00F457F3"/>
    <w:rsid w:val="00F45CD5"/>
    <w:rsid w:val="00F45FCB"/>
    <w:rsid w:val="00F46409"/>
    <w:rsid w:val="00F46488"/>
    <w:rsid w:val="00F46595"/>
    <w:rsid w:val="00F50CB1"/>
    <w:rsid w:val="00F50CDB"/>
    <w:rsid w:val="00F5110E"/>
    <w:rsid w:val="00F51644"/>
    <w:rsid w:val="00F516CA"/>
    <w:rsid w:val="00F51D2A"/>
    <w:rsid w:val="00F5200F"/>
    <w:rsid w:val="00F52FD9"/>
    <w:rsid w:val="00F53385"/>
    <w:rsid w:val="00F533E2"/>
    <w:rsid w:val="00F53677"/>
    <w:rsid w:val="00F53723"/>
    <w:rsid w:val="00F53ABF"/>
    <w:rsid w:val="00F53F04"/>
    <w:rsid w:val="00F5440C"/>
    <w:rsid w:val="00F54618"/>
    <w:rsid w:val="00F54BE0"/>
    <w:rsid w:val="00F54E40"/>
    <w:rsid w:val="00F5532A"/>
    <w:rsid w:val="00F55369"/>
    <w:rsid w:val="00F555E8"/>
    <w:rsid w:val="00F5586A"/>
    <w:rsid w:val="00F5594A"/>
    <w:rsid w:val="00F55BDB"/>
    <w:rsid w:val="00F55C4D"/>
    <w:rsid w:val="00F55DEC"/>
    <w:rsid w:val="00F56E8A"/>
    <w:rsid w:val="00F573B3"/>
    <w:rsid w:val="00F57C73"/>
    <w:rsid w:val="00F6075F"/>
    <w:rsid w:val="00F60C21"/>
    <w:rsid w:val="00F60DDC"/>
    <w:rsid w:val="00F6119B"/>
    <w:rsid w:val="00F612B4"/>
    <w:rsid w:val="00F6191E"/>
    <w:rsid w:val="00F61D5B"/>
    <w:rsid w:val="00F62320"/>
    <w:rsid w:val="00F627D3"/>
    <w:rsid w:val="00F62977"/>
    <w:rsid w:val="00F629E4"/>
    <w:rsid w:val="00F62A46"/>
    <w:rsid w:val="00F62BAC"/>
    <w:rsid w:val="00F6364D"/>
    <w:rsid w:val="00F63BE3"/>
    <w:rsid w:val="00F63D3D"/>
    <w:rsid w:val="00F63E2E"/>
    <w:rsid w:val="00F6430B"/>
    <w:rsid w:val="00F64693"/>
    <w:rsid w:val="00F65098"/>
    <w:rsid w:val="00F652E7"/>
    <w:rsid w:val="00F656DC"/>
    <w:rsid w:val="00F65A0A"/>
    <w:rsid w:val="00F65A8E"/>
    <w:rsid w:val="00F65EE4"/>
    <w:rsid w:val="00F660DA"/>
    <w:rsid w:val="00F664DC"/>
    <w:rsid w:val="00F666EA"/>
    <w:rsid w:val="00F6682F"/>
    <w:rsid w:val="00F66D2E"/>
    <w:rsid w:val="00F66D57"/>
    <w:rsid w:val="00F66D99"/>
    <w:rsid w:val="00F66E2E"/>
    <w:rsid w:val="00F6764F"/>
    <w:rsid w:val="00F67E08"/>
    <w:rsid w:val="00F67E78"/>
    <w:rsid w:val="00F705E9"/>
    <w:rsid w:val="00F707B1"/>
    <w:rsid w:val="00F70AC5"/>
    <w:rsid w:val="00F70C1B"/>
    <w:rsid w:val="00F71628"/>
    <w:rsid w:val="00F716C0"/>
    <w:rsid w:val="00F7215C"/>
    <w:rsid w:val="00F72987"/>
    <w:rsid w:val="00F72C98"/>
    <w:rsid w:val="00F73573"/>
    <w:rsid w:val="00F7383C"/>
    <w:rsid w:val="00F73C1E"/>
    <w:rsid w:val="00F74237"/>
    <w:rsid w:val="00F7444C"/>
    <w:rsid w:val="00F74E06"/>
    <w:rsid w:val="00F74E6B"/>
    <w:rsid w:val="00F74FD6"/>
    <w:rsid w:val="00F752D7"/>
    <w:rsid w:val="00F75AB0"/>
    <w:rsid w:val="00F760CB"/>
    <w:rsid w:val="00F766CC"/>
    <w:rsid w:val="00F76936"/>
    <w:rsid w:val="00F773BB"/>
    <w:rsid w:val="00F7787B"/>
    <w:rsid w:val="00F80348"/>
    <w:rsid w:val="00F80496"/>
    <w:rsid w:val="00F80564"/>
    <w:rsid w:val="00F80932"/>
    <w:rsid w:val="00F809CC"/>
    <w:rsid w:val="00F80EA6"/>
    <w:rsid w:val="00F80FDD"/>
    <w:rsid w:val="00F815A4"/>
    <w:rsid w:val="00F8177C"/>
    <w:rsid w:val="00F81A91"/>
    <w:rsid w:val="00F826CD"/>
    <w:rsid w:val="00F82992"/>
    <w:rsid w:val="00F82E6D"/>
    <w:rsid w:val="00F8382E"/>
    <w:rsid w:val="00F83D8A"/>
    <w:rsid w:val="00F851AD"/>
    <w:rsid w:val="00F85C83"/>
    <w:rsid w:val="00F85E3D"/>
    <w:rsid w:val="00F85EC3"/>
    <w:rsid w:val="00F8667F"/>
    <w:rsid w:val="00F86AA1"/>
    <w:rsid w:val="00F86D0D"/>
    <w:rsid w:val="00F86F5D"/>
    <w:rsid w:val="00F86F80"/>
    <w:rsid w:val="00F87285"/>
    <w:rsid w:val="00F872B6"/>
    <w:rsid w:val="00F874BD"/>
    <w:rsid w:val="00F902DC"/>
    <w:rsid w:val="00F903DE"/>
    <w:rsid w:val="00F9086B"/>
    <w:rsid w:val="00F908A7"/>
    <w:rsid w:val="00F90F4E"/>
    <w:rsid w:val="00F911BB"/>
    <w:rsid w:val="00F91835"/>
    <w:rsid w:val="00F918C8"/>
    <w:rsid w:val="00F91D67"/>
    <w:rsid w:val="00F926E0"/>
    <w:rsid w:val="00F92E3A"/>
    <w:rsid w:val="00F93040"/>
    <w:rsid w:val="00F93293"/>
    <w:rsid w:val="00F9388C"/>
    <w:rsid w:val="00F9393C"/>
    <w:rsid w:val="00F93E18"/>
    <w:rsid w:val="00F94181"/>
    <w:rsid w:val="00F943D1"/>
    <w:rsid w:val="00F94AB1"/>
    <w:rsid w:val="00F94B1D"/>
    <w:rsid w:val="00F94BD2"/>
    <w:rsid w:val="00F94FBE"/>
    <w:rsid w:val="00F9597B"/>
    <w:rsid w:val="00F95E3A"/>
    <w:rsid w:val="00F95F73"/>
    <w:rsid w:val="00F963CA"/>
    <w:rsid w:val="00F96980"/>
    <w:rsid w:val="00F97093"/>
    <w:rsid w:val="00F97761"/>
    <w:rsid w:val="00FA046D"/>
    <w:rsid w:val="00FA04D6"/>
    <w:rsid w:val="00FA07E0"/>
    <w:rsid w:val="00FA09A9"/>
    <w:rsid w:val="00FA0C0F"/>
    <w:rsid w:val="00FA0ED3"/>
    <w:rsid w:val="00FA0F73"/>
    <w:rsid w:val="00FA13C1"/>
    <w:rsid w:val="00FA1632"/>
    <w:rsid w:val="00FA1685"/>
    <w:rsid w:val="00FA17AD"/>
    <w:rsid w:val="00FA1C97"/>
    <w:rsid w:val="00FA1CC9"/>
    <w:rsid w:val="00FA2F13"/>
    <w:rsid w:val="00FA2F29"/>
    <w:rsid w:val="00FA3C95"/>
    <w:rsid w:val="00FA41A0"/>
    <w:rsid w:val="00FA6916"/>
    <w:rsid w:val="00FA6960"/>
    <w:rsid w:val="00FA6B18"/>
    <w:rsid w:val="00FA742C"/>
    <w:rsid w:val="00FB00BC"/>
    <w:rsid w:val="00FB0390"/>
    <w:rsid w:val="00FB039E"/>
    <w:rsid w:val="00FB078F"/>
    <w:rsid w:val="00FB09EF"/>
    <w:rsid w:val="00FB0D10"/>
    <w:rsid w:val="00FB1252"/>
    <w:rsid w:val="00FB1497"/>
    <w:rsid w:val="00FB1855"/>
    <w:rsid w:val="00FB1965"/>
    <w:rsid w:val="00FB1F8C"/>
    <w:rsid w:val="00FB2368"/>
    <w:rsid w:val="00FB2805"/>
    <w:rsid w:val="00FB2991"/>
    <w:rsid w:val="00FB2B9F"/>
    <w:rsid w:val="00FB2E45"/>
    <w:rsid w:val="00FB34AE"/>
    <w:rsid w:val="00FB367F"/>
    <w:rsid w:val="00FB36CC"/>
    <w:rsid w:val="00FB37C9"/>
    <w:rsid w:val="00FB39DA"/>
    <w:rsid w:val="00FB4F77"/>
    <w:rsid w:val="00FB572D"/>
    <w:rsid w:val="00FB5C24"/>
    <w:rsid w:val="00FB5FEC"/>
    <w:rsid w:val="00FB6191"/>
    <w:rsid w:val="00FB626C"/>
    <w:rsid w:val="00FB6840"/>
    <w:rsid w:val="00FB6A10"/>
    <w:rsid w:val="00FB6FC5"/>
    <w:rsid w:val="00FB7146"/>
    <w:rsid w:val="00FB7195"/>
    <w:rsid w:val="00FB73FB"/>
    <w:rsid w:val="00FB74F9"/>
    <w:rsid w:val="00FB792B"/>
    <w:rsid w:val="00FB7DA2"/>
    <w:rsid w:val="00FC03A2"/>
    <w:rsid w:val="00FC083E"/>
    <w:rsid w:val="00FC0C87"/>
    <w:rsid w:val="00FC179C"/>
    <w:rsid w:val="00FC18E0"/>
    <w:rsid w:val="00FC1EE3"/>
    <w:rsid w:val="00FC230B"/>
    <w:rsid w:val="00FC2447"/>
    <w:rsid w:val="00FC311D"/>
    <w:rsid w:val="00FC32C7"/>
    <w:rsid w:val="00FC45FA"/>
    <w:rsid w:val="00FC4645"/>
    <w:rsid w:val="00FC4ADA"/>
    <w:rsid w:val="00FC4D43"/>
    <w:rsid w:val="00FC4FAC"/>
    <w:rsid w:val="00FC5492"/>
    <w:rsid w:val="00FC5586"/>
    <w:rsid w:val="00FC5FA0"/>
    <w:rsid w:val="00FC62BB"/>
    <w:rsid w:val="00FC659F"/>
    <w:rsid w:val="00FC686E"/>
    <w:rsid w:val="00FC68F0"/>
    <w:rsid w:val="00FC6C7F"/>
    <w:rsid w:val="00FC6DD1"/>
    <w:rsid w:val="00FC6F6D"/>
    <w:rsid w:val="00FC710A"/>
    <w:rsid w:val="00FC771F"/>
    <w:rsid w:val="00FD0637"/>
    <w:rsid w:val="00FD085E"/>
    <w:rsid w:val="00FD09CC"/>
    <w:rsid w:val="00FD0BCC"/>
    <w:rsid w:val="00FD1297"/>
    <w:rsid w:val="00FD12E7"/>
    <w:rsid w:val="00FD1397"/>
    <w:rsid w:val="00FD1923"/>
    <w:rsid w:val="00FD1940"/>
    <w:rsid w:val="00FD2708"/>
    <w:rsid w:val="00FD2FB6"/>
    <w:rsid w:val="00FD3066"/>
    <w:rsid w:val="00FD350E"/>
    <w:rsid w:val="00FD4032"/>
    <w:rsid w:val="00FD4A5C"/>
    <w:rsid w:val="00FD4A77"/>
    <w:rsid w:val="00FD4C7B"/>
    <w:rsid w:val="00FD4DE1"/>
    <w:rsid w:val="00FD4DFF"/>
    <w:rsid w:val="00FD503A"/>
    <w:rsid w:val="00FD565A"/>
    <w:rsid w:val="00FD5B67"/>
    <w:rsid w:val="00FD5CB2"/>
    <w:rsid w:val="00FD6086"/>
    <w:rsid w:val="00FD6156"/>
    <w:rsid w:val="00FD6480"/>
    <w:rsid w:val="00FD6D11"/>
    <w:rsid w:val="00FD6E90"/>
    <w:rsid w:val="00FD70A0"/>
    <w:rsid w:val="00FE0E5D"/>
    <w:rsid w:val="00FE0F60"/>
    <w:rsid w:val="00FE0FC5"/>
    <w:rsid w:val="00FE127A"/>
    <w:rsid w:val="00FE15D6"/>
    <w:rsid w:val="00FE17E7"/>
    <w:rsid w:val="00FE2061"/>
    <w:rsid w:val="00FE26CA"/>
    <w:rsid w:val="00FE2C8A"/>
    <w:rsid w:val="00FE2F45"/>
    <w:rsid w:val="00FE353C"/>
    <w:rsid w:val="00FE3964"/>
    <w:rsid w:val="00FE3A92"/>
    <w:rsid w:val="00FE42B1"/>
    <w:rsid w:val="00FE4903"/>
    <w:rsid w:val="00FE4CA8"/>
    <w:rsid w:val="00FE4E30"/>
    <w:rsid w:val="00FE527D"/>
    <w:rsid w:val="00FE5851"/>
    <w:rsid w:val="00FE5866"/>
    <w:rsid w:val="00FE5978"/>
    <w:rsid w:val="00FE5D24"/>
    <w:rsid w:val="00FE6219"/>
    <w:rsid w:val="00FE6932"/>
    <w:rsid w:val="00FE6DF9"/>
    <w:rsid w:val="00FE7EE5"/>
    <w:rsid w:val="00FF0745"/>
    <w:rsid w:val="00FF0A8E"/>
    <w:rsid w:val="00FF0C76"/>
    <w:rsid w:val="00FF11DB"/>
    <w:rsid w:val="00FF1369"/>
    <w:rsid w:val="00FF193D"/>
    <w:rsid w:val="00FF238C"/>
    <w:rsid w:val="00FF25C5"/>
    <w:rsid w:val="00FF2679"/>
    <w:rsid w:val="00FF26E6"/>
    <w:rsid w:val="00FF29B9"/>
    <w:rsid w:val="00FF2FF7"/>
    <w:rsid w:val="00FF3401"/>
    <w:rsid w:val="00FF36AB"/>
    <w:rsid w:val="00FF4D37"/>
    <w:rsid w:val="00FF4EE5"/>
    <w:rsid w:val="00FF4FBD"/>
    <w:rsid w:val="00FF5773"/>
    <w:rsid w:val="00FF5E51"/>
    <w:rsid w:val="00FF6608"/>
    <w:rsid w:val="00FF6652"/>
    <w:rsid w:val="00FF6CDA"/>
    <w:rsid w:val="00FF6F7B"/>
    <w:rsid w:val="00FF7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7ED8658"/>
  <w15:docId w15:val="{B609ECA9-EE44-4BE6-AF17-30E1F39DF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7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0"/>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70"/>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70"/>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70"/>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37165D"/>
    <w:pPr>
      <w:numPr>
        <w:numId w:val="3"/>
      </w:numPr>
    </w:pPr>
    <w:rPr>
      <w:rFonts w:eastAsia="Times New Roman"/>
      <w:lang w:eastAsia="de-DE"/>
    </w:rPr>
  </w:style>
  <w:style w:type="paragraph" w:styleId="ListNumber">
    <w:name w:val="List Number"/>
    <w:basedOn w:val="Normal"/>
    <w:rsid w:val="0037165D"/>
    <w:pPr>
      <w:numPr>
        <w:numId w:val="7"/>
      </w:numPr>
    </w:pPr>
    <w:rPr>
      <w:rFonts w:eastAsia="Times New Roman"/>
      <w:lang w:eastAsia="de-DE"/>
    </w:rPr>
  </w:style>
  <w:style w:type="paragraph" w:customStyle="1" w:styleId="ListBullet1">
    <w:name w:val="List Bullet 1"/>
    <w:basedOn w:val="Normal"/>
    <w:rsid w:val="0037165D"/>
    <w:pPr>
      <w:numPr>
        <w:numId w:val="2"/>
      </w:numPr>
    </w:pPr>
    <w:rPr>
      <w:rFonts w:eastAsia="Times New Roman"/>
      <w:lang w:eastAsia="de-DE"/>
    </w:rPr>
  </w:style>
  <w:style w:type="paragraph" w:customStyle="1" w:styleId="ListDash">
    <w:name w:val="List Dash"/>
    <w:basedOn w:val="Normal"/>
    <w:rsid w:val="0037165D"/>
    <w:pPr>
      <w:numPr>
        <w:numId w:val="4"/>
      </w:numPr>
    </w:pPr>
    <w:rPr>
      <w:rFonts w:eastAsia="Times New Roman"/>
      <w:lang w:eastAsia="de-DE"/>
    </w:rPr>
  </w:style>
  <w:style w:type="paragraph" w:customStyle="1" w:styleId="ListDash1">
    <w:name w:val="List Dash 1"/>
    <w:basedOn w:val="Normal"/>
    <w:rsid w:val="0037165D"/>
    <w:pPr>
      <w:numPr>
        <w:numId w:val="5"/>
      </w:numPr>
    </w:pPr>
    <w:rPr>
      <w:rFonts w:eastAsia="Times New Roman"/>
      <w:lang w:eastAsia="de-DE"/>
    </w:rPr>
  </w:style>
  <w:style w:type="paragraph" w:customStyle="1" w:styleId="ListDash2">
    <w:name w:val="List Dash 2"/>
    <w:basedOn w:val="Normal"/>
    <w:rsid w:val="0037165D"/>
    <w:pPr>
      <w:numPr>
        <w:numId w:val="6"/>
      </w:numPr>
    </w:pPr>
    <w:rPr>
      <w:rFonts w:eastAsia="Times New Roman"/>
      <w:lang w:eastAsia="de-DE"/>
    </w:rPr>
  </w:style>
  <w:style w:type="paragraph" w:customStyle="1" w:styleId="ListNumberLevel2">
    <w:name w:val="List Number (Level 2)"/>
    <w:basedOn w:val="Normal"/>
    <w:rsid w:val="0037165D"/>
    <w:pPr>
      <w:numPr>
        <w:ilvl w:val="1"/>
        <w:numId w:val="7"/>
      </w:numPr>
    </w:pPr>
    <w:rPr>
      <w:rFonts w:eastAsia="Times New Roman"/>
      <w:lang w:eastAsia="de-DE"/>
    </w:rPr>
  </w:style>
  <w:style w:type="paragraph" w:customStyle="1" w:styleId="ListNumberLevel3">
    <w:name w:val="List Number (Level 3)"/>
    <w:basedOn w:val="Normal"/>
    <w:rsid w:val="0037165D"/>
    <w:pPr>
      <w:numPr>
        <w:ilvl w:val="2"/>
        <w:numId w:val="7"/>
      </w:numPr>
    </w:pPr>
    <w:rPr>
      <w:rFonts w:eastAsia="Times New Roman"/>
      <w:lang w:eastAsia="de-DE"/>
    </w:rPr>
  </w:style>
  <w:style w:type="paragraph" w:customStyle="1" w:styleId="ListNumberLevel4">
    <w:name w:val="List Number (Level 4)"/>
    <w:basedOn w:val="Normal"/>
    <w:rsid w:val="0037165D"/>
    <w:pPr>
      <w:numPr>
        <w:ilvl w:val="3"/>
        <w:numId w:val="7"/>
      </w:numPr>
    </w:pPr>
    <w:rPr>
      <w:rFonts w:eastAsia="Times New Roman"/>
      <w:lang w:eastAsia="de-DE"/>
    </w:rPr>
  </w:style>
  <w:style w:type="table" w:styleId="TableGrid">
    <w:name w:val="Table Grid"/>
    <w:basedOn w:val="TableNormal"/>
    <w:rsid w:val="0037165D"/>
    <w:pPr>
      <w:spacing w:before="120" w:after="120" w:line="240" w:lineRule="auto"/>
      <w:jc w:val="both"/>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37165D"/>
    <w:rPr>
      <w:color w:val="0000FF"/>
      <w:u w:val="single"/>
    </w:rPr>
  </w:style>
  <w:style w:type="paragraph" w:styleId="ListBullet">
    <w:name w:val="List Bullet"/>
    <w:basedOn w:val="Normal"/>
    <w:rsid w:val="0037165D"/>
    <w:pPr>
      <w:numPr>
        <w:numId w:val="8"/>
      </w:numPr>
    </w:pPr>
    <w:rPr>
      <w:rFonts w:eastAsia="Times New Roman"/>
      <w:lang w:eastAsia="en-GB"/>
    </w:rPr>
  </w:style>
  <w:style w:type="paragraph" w:styleId="ListBullet2">
    <w:name w:val="List Bullet 2"/>
    <w:basedOn w:val="Normal"/>
    <w:rsid w:val="0037165D"/>
    <w:pPr>
      <w:numPr>
        <w:numId w:val="9"/>
      </w:numPr>
    </w:pPr>
    <w:rPr>
      <w:rFonts w:eastAsia="Times New Roman"/>
      <w:lang w:eastAsia="en-GB"/>
    </w:rPr>
  </w:style>
  <w:style w:type="paragraph" w:styleId="ListBullet3">
    <w:name w:val="List Bullet 3"/>
    <w:basedOn w:val="Normal"/>
    <w:rsid w:val="0037165D"/>
    <w:pPr>
      <w:numPr>
        <w:numId w:val="10"/>
      </w:numPr>
    </w:pPr>
    <w:rPr>
      <w:rFonts w:eastAsia="Times New Roman"/>
      <w:lang w:eastAsia="en-GB"/>
    </w:rPr>
  </w:style>
  <w:style w:type="paragraph" w:styleId="ListNumber2">
    <w:name w:val="List Number 2"/>
    <w:basedOn w:val="Normal"/>
    <w:rsid w:val="0037165D"/>
    <w:pPr>
      <w:numPr>
        <w:numId w:val="14"/>
      </w:numPr>
    </w:pPr>
    <w:rPr>
      <w:rFonts w:eastAsia="Times New Roman"/>
      <w:lang w:eastAsia="en-GB"/>
    </w:rPr>
  </w:style>
  <w:style w:type="paragraph" w:styleId="ListNumber3">
    <w:name w:val="List Number 3"/>
    <w:basedOn w:val="Normal"/>
    <w:rsid w:val="0037165D"/>
    <w:pPr>
      <w:numPr>
        <w:numId w:val="15"/>
      </w:numPr>
    </w:pPr>
    <w:rPr>
      <w:rFonts w:eastAsia="Times New Roman"/>
      <w:lang w:eastAsia="en-GB"/>
    </w:rPr>
  </w:style>
  <w:style w:type="paragraph" w:styleId="ListNumber4">
    <w:name w:val="List Number 4"/>
    <w:basedOn w:val="Normal"/>
    <w:rsid w:val="0037165D"/>
    <w:pPr>
      <w:numPr>
        <w:numId w:val="16"/>
      </w:numPr>
    </w:pPr>
    <w:rPr>
      <w:rFonts w:eastAsia="Times New Roman"/>
      <w:lang w:eastAsia="en-GB"/>
    </w:rPr>
  </w:style>
  <w:style w:type="paragraph" w:customStyle="1" w:styleId="ListDash3">
    <w:name w:val="List Dash 3"/>
    <w:basedOn w:val="Normal"/>
    <w:rsid w:val="0037165D"/>
    <w:pPr>
      <w:numPr>
        <w:numId w:val="11"/>
      </w:numPr>
    </w:pPr>
    <w:rPr>
      <w:rFonts w:eastAsia="Times New Roman"/>
      <w:lang w:eastAsia="en-GB"/>
    </w:rPr>
  </w:style>
  <w:style w:type="paragraph" w:customStyle="1" w:styleId="ListDash4">
    <w:name w:val="List Dash 4"/>
    <w:basedOn w:val="Normal"/>
    <w:rsid w:val="0037165D"/>
    <w:pPr>
      <w:numPr>
        <w:numId w:val="12"/>
      </w:numPr>
    </w:pPr>
    <w:rPr>
      <w:rFonts w:eastAsia="Times New Roman"/>
      <w:lang w:eastAsia="en-GB"/>
    </w:rPr>
  </w:style>
  <w:style w:type="paragraph" w:customStyle="1" w:styleId="ListNumber1">
    <w:name w:val="List Number 1"/>
    <w:basedOn w:val="Text1"/>
    <w:rsid w:val="0037165D"/>
    <w:pPr>
      <w:numPr>
        <w:numId w:val="13"/>
      </w:numPr>
    </w:pPr>
    <w:rPr>
      <w:rFonts w:eastAsia="Times New Roman"/>
      <w:lang w:eastAsia="en-GB"/>
    </w:rPr>
  </w:style>
  <w:style w:type="paragraph" w:customStyle="1" w:styleId="ListNumber1Level2">
    <w:name w:val="List Number 1 (Level 2)"/>
    <w:basedOn w:val="Text1"/>
    <w:rsid w:val="0037165D"/>
    <w:pPr>
      <w:numPr>
        <w:ilvl w:val="1"/>
        <w:numId w:val="13"/>
      </w:numPr>
    </w:pPr>
    <w:rPr>
      <w:rFonts w:eastAsia="Times New Roman"/>
      <w:lang w:eastAsia="en-GB"/>
    </w:rPr>
  </w:style>
  <w:style w:type="paragraph" w:customStyle="1" w:styleId="ListNumber2Level2">
    <w:name w:val="List Number 2 (Level 2)"/>
    <w:basedOn w:val="Text2"/>
    <w:rsid w:val="0037165D"/>
    <w:pPr>
      <w:numPr>
        <w:ilvl w:val="1"/>
        <w:numId w:val="14"/>
      </w:numPr>
    </w:pPr>
    <w:rPr>
      <w:rFonts w:eastAsia="Times New Roman"/>
      <w:lang w:eastAsia="en-GB"/>
    </w:rPr>
  </w:style>
  <w:style w:type="paragraph" w:customStyle="1" w:styleId="ListNumber3Level2">
    <w:name w:val="List Number 3 (Level 2)"/>
    <w:basedOn w:val="Text3"/>
    <w:rsid w:val="0037165D"/>
    <w:pPr>
      <w:numPr>
        <w:ilvl w:val="1"/>
        <w:numId w:val="15"/>
      </w:numPr>
    </w:pPr>
    <w:rPr>
      <w:rFonts w:eastAsia="Times New Roman"/>
      <w:lang w:eastAsia="en-GB"/>
    </w:rPr>
  </w:style>
  <w:style w:type="paragraph" w:customStyle="1" w:styleId="ListNumber4Level2">
    <w:name w:val="List Number 4 (Level 2)"/>
    <w:basedOn w:val="Text4"/>
    <w:rsid w:val="0037165D"/>
    <w:pPr>
      <w:numPr>
        <w:ilvl w:val="1"/>
        <w:numId w:val="16"/>
      </w:numPr>
    </w:pPr>
    <w:rPr>
      <w:rFonts w:eastAsia="Times New Roman"/>
      <w:lang w:eastAsia="en-GB"/>
    </w:rPr>
  </w:style>
  <w:style w:type="paragraph" w:customStyle="1" w:styleId="ListNumber1Level3">
    <w:name w:val="List Number 1 (Level 3)"/>
    <w:basedOn w:val="Text1"/>
    <w:rsid w:val="0037165D"/>
    <w:pPr>
      <w:numPr>
        <w:ilvl w:val="2"/>
        <w:numId w:val="13"/>
      </w:numPr>
    </w:pPr>
    <w:rPr>
      <w:rFonts w:eastAsia="Times New Roman"/>
      <w:lang w:eastAsia="en-GB"/>
    </w:rPr>
  </w:style>
  <w:style w:type="paragraph" w:customStyle="1" w:styleId="ListNumber2Level3">
    <w:name w:val="List Number 2 (Level 3)"/>
    <w:basedOn w:val="Text2"/>
    <w:rsid w:val="0037165D"/>
    <w:pPr>
      <w:numPr>
        <w:ilvl w:val="2"/>
        <w:numId w:val="14"/>
      </w:numPr>
    </w:pPr>
    <w:rPr>
      <w:rFonts w:eastAsia="Times New Roman"/>
      <w:lang w:eastAsia="en-GB"/>
    </w:rPr>
  </w:style>
  <w:style w:type="paragraph" w:customStyle="1" w:styleId="ListNumber3Level3">
    <w:name w:val="List Number 3 (Level 3)"/>
    <w:basedOn w:val="Text3"/>
    <w:rsid w:val="0037165D"/>
    <w:pPr>
      <w:numPr>
        <w:ilvl w:val="2"/>
        <w:numId w:val="15"/>
      </w:numPr>
    </w:pPr>
    <w:rPr>
      <w:rFonts w:eastAsia="Times New Roman"/>
      <w:lang w:eastAsia="en-GB"/>
    </w:rPr>
  </w:style>
  <w:style w:type="paragraph" w:customStyle="1" w:styleId="ListNumber4Level3">
    <w:name w:val="List Number 4 (Level 3)"/>
    <w:basedOn w:val="Text4"/>
    <w:rsid w:val="0037165D"/>
    <w:pPr>
      <w:numPr>
        <w:ilvl w:val="2"/>
        <w:numId w:val="16"/>
      </w:numPr>
    </w:pPr>
    <w:rPr>
      <w:rFonts w:eastAsia="Times New Roman"/>
      <w:lang w:eastAsia="en-GB"/>
    </w:rPr>
  </w:style>
  <w:style w:type="paragraph" w:customStyle="1" w:styleId="ListNumber1Level4">
    <w:name w:val="List Number 1 (Level 4)"/>
    <w:basedOn w:val="Text1"/>
    <w:rsid w:val="0037165D"/>
    <w:pPr>
      <w:numPr>
        <w:ilvl w:val="3"/>
        <w:numId w:val="13"/>
      </w:numPr>
    </w:pPr>
    <w:rPr>
      <w:rFonts w:eastAsia="Times New Roman"/>
      <w:lang w:eastAsia="en-GB"/>
    </w:rPr>
  </w:style>
  <w:style w:type="paragraph" w:customStyle="1" w:styleId="ListNumber2Level4">
    <w:name w:val="List Number 2 (Level 4)"/>
    <w:basedOn w:val="Text2"/>
    <w:rsid w:val="0037165D"/>
    <w:pPr>
      <w:numPr>
        <w:ilvl w:val="3"/>
        <w:numId w:val="14"/>
      </w:numPr>
    </w:pPr>
    <w:rPr>
      <w:rFonts w:eastAsia="Times New Roman"/>
      <w:lang w:eastAsia="en-GB"/>
    </w:rPr>
  </w:style>
  <w:style w:type="paragraph" w:customStyle="1" w:styleId="ListNumber3Level4">
    <w:name w:val="List Number 3 (Level 4)"/>
    <w:basedOn w:val="Text3"/>
    <w:rsid w:val="0037165D"/>
    <w:pPr>
      <w:numPr>
        <w:ilvl w:val="3"/>
        <w:numId w:val="15"/>
      </w:numPr>
    </w:pPr>
    <w:rPr>
      <w:rFonts w:eastAsia="Times New Roman"/>
      <w:lang w:eastAsia="en-GB"/>
    </w:rPr>
  </w:style>
  <w:style w:type="paragraph" w:customStyle="1" w:styleId="ListNumber4Level4">
    <w:name w:val="List Number 4 (Level 4)"/>
    <w:basedOn w:val="Text4"/>
    <w:rsid w:val="0037165D"/>
    <w:pPr>
      <w:numPr>
        <w:ilvl w:val="3"/>
        <w:numId w:val="16"/>
      </w:numPr>
    </w:pPr>
    <w:rPr>
      <w:rFonts w:eastAsia="Times New Roman"/>
      <w:lang w:eastAsia="en-GB"/>
    </w:rPr>
  </w:style>
  <w:style w:type="paragraph" w:customStyle="1" w:styleId="Annexetitreacte">
    <w:name w:val="Annexe titre (acte)"/>
    <w:basedOn w:val="Normal"/>
    <w:next w:val="Normal"/>
    <w:rsid w:val="0037165D"/>
    <w:pPr>
      <w:jc w:val="center"/>
    </w:pPr>
    <w:rPr>
      <w:rFonts w:eastAsia="Times New Roman"/>
      <w:b/>
      <w:u w:val="single"/>
      <w:lang w:eastAsia="en-GB"/>
    </w:rPr>
  </w:style>
  <w:style w:type="paragraph" w:customStyle="1" w:styleId="Annexetitreexposglobal">
    <w:name w:val="Annexe titre (exposé global)"/>
    <w:basedOn w:val="Normal"/>
    <w:next w:val="Normal"/>
    <w:rsid w:val="0037165D"/>
    <w:pPr>
      <w:jc w:val="center"/>
    </w:pPr>
    <w:rPr>
      <w:rFonts w:eastAsia="Times New Roman"/>
      <w:b/>
      <w:u w:val="single"/>
      <w:lang w:eastAsia="en-GB"/>
    </w:rPr>
  </w:style>
  <w:style w:type="paragraph" w:customStyle="1" w:styleId="Annexetitrefichefinacte">
    <w:name w:val="Annexe titre (fiche fin. acte)"/>
    <w:basedOn w:val="Normal"/>
    <w:next w:val="Normal"/>
    <w:rsid w:val="0037165D"/>
    <w:pPr>
      <w:jc w:val="center"/>
    </w:pPr>
    <w:rPr>
      <w:rFonts w:eastAsia="Times New Roman"/>
      <w:b/>
      <w:u w:val="single"/>
      <w:lang w:eastAsia="en-GB"/>
    </w:rPr>
  </w:style>
  <w:style w:type="paragraph" w:customStyle="1" w:styleId="Annexetitrefichefinglobale">
    <w:name w:val="Annexe titre (fiche fin. globale)"/>
    <w:basedOn w:val="Normal"/>
    <w:next w:val="Normal"/>
    <w:rsid w:val="0037165D"/>
    <w:pPr>
      <w:jc w:val="center"/>
    </w:pPr>
    <w:rPr>
      <w:rFonts w:eastAsia="Times New Roman"/>
      <w:b/>
      <w:u w:val="single"/>
      <w:lang w:eastAsia="en-GB"/>
    </w:rPr>
  </w:style>
  <w:style w:type="paragraph" w:customStyle="1" w:styleId="Annexetitreglobale">
    <w:name w:val="Annexe titre (globale)"/>
    <w:basedOn w:val="Normal"/>
    <w:next w:val="Normal"/>
    <w:rsid w:val="0037165D"/>
    <w:pPr>
      <w:jc w:val="center"/>
    </w:pPr>
    <w:rPr>
      <w:rFonts w:eastAsia="Times New Roman"/>
      <w:b/>
      <w:u w:val="single"/>
      <w:lang w:eastAsia="en-GB"/>
    </w:rPr>
  </w:style>
  <w:style w:type="paragraph" w:customStyle="1" w:styleId="Exposdesmotifstitreglobal">
    <w:name w:val="Exposé des motifs titre (global)"/>
    <w:basedOn w:val="Normal"/>
    <w:next w:val="Normal"/>
    <w:rsid w:val="0037165D"/>
    <w:pPr>
      <w:jc w:val="center"/>
    </w:pPr>
    <w:rPr>
      <w:rFonts w:eastAsia="Times New Roman"/>
      <w:b/>
      <w:u w:val="single"/>
      <w:lang w:eastAsia="en-GB"/>
    </w:rPr>
  </w:style>
  <w:style w:type="paragraph" w:customStyle="1" w:styleId="Langueoriginale">
    <w:name w:val="Langue originale"/>
    <w:basedOn w:val="Normal"/>
    <w:rsid w:val="0037165D"/>
    <w:pPr>
      <w:spacing w:before="360"/>
      <w:jc w:val="center"/>
    </w:pPr>
    <w:rPr>
      <w:rFonts w:eastAsia="Times New Roman"/>
      <w:caps/>
      <w:lang w:eastAsia="en-GB"/>
    </w:rPr>
  </w:style>
  <w:style w:type="paragraph" w:customStyle="1" w:styleId="Phrasefinale">
    <w:name w:val="Phrase finale"/>
    <w:basedOn w:val="Normal"/>
    <w:next w:val="Normal"/>
    <w:rsid w:val="0037165D"/>
    <w:pPr>
      <w:spacing w:before="360" w:after="0"/>
      <w:jc w:val="center"/>
    </w:pPr>
    <w:rPr>
      <w:rFonts w:eastAsia="Times New Roman"/>
      <w:lang w:eastAsia="en-GB"/>
    </w:rPr>
  </w:style>
  <w:style w:type="paragraph" w:customStyle="1" w:styleId="Prliminairetitre">
    <w:name w:val="Préliminaire titre"/>
    <w:basedOn w:val="Normal"/>
    <w:next w:val="Normal"/>
    <w:rsid w:val="0037165D"/>
    <w:pPr>
      <w:spacing w:before="360" w:after="360"/>
      <w:jc w:val="center"/>
    </w:pPr>
    <w:rPr>
      <w:rFonts w:eastAsia="Times New Roman"/>
      <w:b/>
      <w:lang w:eastAsia="en-GB"/>
    </w:rPr>
  </w:style>
  <w:style w:type="paragraph" w:customStyle="1" w:styleId="Prliminairetype">
    <w:name w:val="Préliminaire type"/>
    <w:basedOn w:val="Normal"/>
    <w:next w:val="Normal"/>
    <w:rsid w:val="0037165D"/>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37165D"/>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37165D"/>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37165D"/>
    <w:pPr>
      <w:spacing w:before="0" w:after="0"/>
      <w:ind w:left="5103"/>
      <w:jc w:val="left"/>
    </w:pPr>
    <w:rPr>
      <w:rFonts w:eastAsia="Times New Roman"/>
      <w:lang w:eastAsia="en-GB"/>
    </w:rPr>
  </w:style>
  <w:style w:type="paragraph" w:customStyle="1" w:styleId="Sous-titreobjetprliminaire">
    <w:name w:val="Sous-titre objet (préliminaire)"/>
    <w:basedOn w:val="Normal"/>
    <w:rsid w:val="0037165D"/>
    <w:pPr>
      <w:spacing w:before="0" w:after="0"/>
      <w:jc w:val="center"/>
    </w:pPr>
    <w:rPr>
      <w:rFonts w:eastAsia="Times New Roman"/>
      <w:b/>
      <w:lang w:eastAsia="en-GB"/>
    </w:rPr>
  </w:style>
  <w:style w:type="paragraph" w:customStyle="1" w:styleId="Statutprliminaire">
    <w:name w:val="Statut (préliminaire)"/>
    <w:basedOn w:val="Normal"/>
    <w:next w:val="Normal"/>
    <w:rsid w:val="0037165D"/>
    <w:pPr>
      <w:spacing w:before="360" w:after="0"/>
      <w:jc w:val="center"/>
    </w:pPr>
    <w:rPr>
      <w:rFonts w:eastAsia="Times New Roman"/>
      <w:lang w:eastAsia="en-GB"/>
    </w:rPr>
  </w:style>
  <w:style w:type="paragraph" w:customStyle="1" w:styleId="Titreobjetprliminaire">
    <w:name w:val="Titre objet (préliminaire)"/>
    <w:basedOn w:val="Normal"/>
    <w:next w:val="Normal"/>
    <w:rsid w:val="0037165D"/>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37165D"/>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37165D"/>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37165D"/>
    <w:pPr>
      <w:jc w:val="center"/>
    </w:pPr>
    <w:rPr>
      <w:rFonts w:eastAsia="Times New Roman"/>
      <w:b/>
      <w:u w:val="single"/>
      <w:lang w:eastAsia="en-GB"/>
    </w:rPr>
  </w:style>
  <w:style w:type="paragraph" w:customStyle="1" w:styleId="Fichefinanciretravailtitre">
    <w:name w:val="Fiche financière (travail) titre"/>
    <w:basedOn w:val="Normal"/>
    <w:next w:val="Normal"/>
    <w:rsid w:val="0037165D"/>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37165D"/>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37165D"/>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37165D"/>
    <w:pPr>
      <w:jc w:val="center"/>
    </w:pPr>
    <w:rPr>
      <w:rFonts w:eastAsia="Times New Roman"/>
      <w:b/>
      <w:u w:val="single"/>
      <w:lang w:eastAsia="en-GB"/>
    </w:rPr>
  </w:style>
  <w:style w:type="character" w:styleId="CommentReference">
    <w:name w:val="annotation reference"/>
    <w:uiPriority w:val="99"/>
    <w:rsid w:val="0037165D"/>
    <w:rPr>
      <w:rFonts w:cs="Times New Roman"/>
      <w:sz w:val="16"/>
      <w:szCs w:val="16"/>
    </w:rPr>
  </w:style>
  <w:style w:type="paragraph" w:styleId="CommentText">
    <w:name w:val="annotation text"/>
    <w:basedOn w:val="Normal"/>
    <w:link w:val="CommentTextChar"/>
    <w:rsid w:val="0037165D"/>
    <w:rPr>
      <w:rFonts w:eastAsia="Times New Roman"/>
      <w:sz w:val="20"/>
      <w:szCs w:val="20"/>
      <w:lang w:eastAsia="en-GB"/>
    </w:rPr>
  </w:style>
  <w:style w:type="character" w:customStyle="1" w:styleId="CommentTextChar">
    <w:name w:val="Comment Text Char"/>
    <w:basedOn w:val="DefaultParagraphFont"/>
    <w:link w:val="CommentText"/>
    <w:rsid w:val="0037165D"/>
    <w:rPr>
      <w:rFonts w:ascii="Times New Roman" w:eastAsia="Times New Roman" w:hAnsi="Times New Roman" w:cs="Times New Roman"/>
      <w:sz w:val="20"/>
      <w:szCs w:val="20"/>
      <w:lang w:val="pl-PL" w:eastAsia="en-GB"/>
    </w:rPr>
  </w:style>
  <w:style w:type="paragraph" w:styleId="CommentSubject">
    <w:name w:val="annotation subject"/>
    <w:basedOn w:val="CommentText"/>
    <w:next w:val="CommentText"/>
    <w:link w:val="CommentSubjectChar"/>
    <w:rsid w:val="0037165D"/>
    <w:rPr>
      <w:b/>
      <w:bCs/>
    </w:rPr>
  </w:style>
  <w:style w:type="character" w:customStyle="1" w:styleId="CommentSubjectChar">
    <w:name w:val="Comment Subject Char"/>
    <w:basedOn w:val="CommentTextChar"/>
    <w:link w:val="CommentSubject"/>
    <w:rsid w:val="0037165D"/>
    <w:rPr>
      <w:rFonts w:ascii="Times New Roman" w:eastAsia="Times New Roman" w:hAnsi="Times New Roman" w:cs="Times New Roman"/>
      <w:b/>
      <w:bCs/>
      <w:sz w:val="20"/>
      <w:szCs w:val="20"/>
      <w:lang w:val="pl-PL" w:eastAsia="en-GB"/>
    </w:rPr>
  </w:style>
  <w:style w:type="paragraph" w:styleId="BalloonText">
    <w:name w:val="Balloon Text"/>
    <w:basedOn w:val="Normal"/>
    <w:link w:val="BalloonTextChar"/>
    <w:rsid w:val="0037165D"/>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37165D"/>
    <w:rPr>
      <w:rFonts w:ascii="Tahoma" w:eastAsia="Times New Roman" w:hAnsi="Tahoma" w:cs="Tahoma"/>
      <w:sz w:val="16"/>
      <w:szCs w:val="16"/>
      <w:lang w:val="pl-PL" w:eastAsia="en-GB"/>
    </w:rPr>
  </w:style>
  <w:style w:type="paragraph" w:styleId="Caption">
    <w:name w:val="caption"/>
    <w:basedOn w:val="Normal"/>
    <w:next w:val="Normal"/>
    <w:qFormat/>
    <w:rsid w:val="0037165D"/>
    <w:rPr>
      <w:rFonts w:eastAsia="Times New Roman"/>
      <w:b/>
      <w:bCs/>
      <w:sz w:val="20"/>
      <w:szCs w:val="20"/>
      <w:lang w:eastAsia="en-GB"/>
    </w:rPr>
  </w:style>
  <w:style w:type="paragraph" w:styleId="TableofFigures">
    <w:name w:val="table of figures"/>
    <w:basedOn w:val="Normal"/>
    <w:next w:val="Normal"/>
    <w:rsid w:val="0037165D"/>
    <w:rPr>
      <w:rFonts w:eastAsia="Times New Roman"/>
      <w:lang w:eastAsia="en-GB"/>
    </w:rPr>
  </w:style>
  <w:style w:type="character" w:styleId="PageNumber">
    <w:name w:val="page number"/>
    <w:rsid w:val="0037165D"/>
  </w:style>
  <w:style w:type="character" w:customStyle="1" w:styleId="tw4winMark">
    <w:name w:val="tw4winMark"/>
    <w:rsid w:val="0037165D"/>
    <w:rPr>
      <w:vanish/>
      <w:color w:val="800080"/>
      <w:vertAlign w:val="subscript"/>
    </w:rPr>
  </w:style>
  <w:style w:type="character" w:styleId="FollowedHyperlink">
    <w:name w:val="FollowedHyperlink"/>
    <w:rsid w:val="0037165D"/>
    <w:rPr>
      <w:color w:val="800080"/>
      <w:u w:val="single"/>
    </w:rPr>
  </w:style>
  <w:style w:type="paragraph" w:customStyle="1" w:styleId="Sous-titreobjet">
    <w:name w:val="Sous-titre objet"/>
    <w:basedOn w:val="Normal"/>
    <w:rsid w:val="0037165D"/>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37165D"/>
  </w:style>
  <w:style w:type="paragraph" w:styleId="Revision">
    <w:name w:val="Revision"/>
    <w:hidden/>
    <w:uiPriority w:val="99"/>
    <w:semiHidden/>
    <w:rsid w:val="0037165D"/>
    <w:rPr>
      <w:rFonts w:ascii="Calibri" w:eastAsia="Calibri" w:hAnsi="Calibri" w:cs="Times New Roman"/>
      <w:sz w:val="24"/>
      <w:lang w:eastAsia="en-GB"/>
    </w:rPr>
  </w:style>
  <w:style w:type="paragraph" w:customStyle="1" w:styleId="FooterCoverPage">
    <w:name w:val="Footer Cover Page"/>
    <w:basedOn w:val="Normal"/>
    <w:link w:val="FooterCoverPageChar"/>
    <w:rsid w:val="0037165D"/>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37165D"/>
    <w:rPr>
      <w:rFonts w:ascii="Times New Roman" w:hAnsi="Times New Roman" w:cs="Times New Roman"/>
      <w:b/>
      <w:sz w:val="28"/>
      <w:lang w:val="pl-PL"/>
    </w:rPr>
  </w:style>
  <w:style w:type="character" w:customStyle="1" w:styleId="FooterCoverPageChar">
    <w:name w:val="Footer Cover Page Char"/>
    <w:link w:val="FooterCoverPage"/>
    <w:rsid w:val="0037165D"/>
    <w:rPr>
      <w:rFonts w:ascii="Times New Roman" w:eastAsia="Calibri" w:hAnsi="Times New Roman" w:cs="Times New Roman"/>
      <w:sz w:val="24"/>
      <w:lang w:val="pl-PL" w:eastAsia="en-GB"/>
    </w:rPr>
  </w:style>
  <w:style w:type="paragraph" w:customStyle="1" w:styleId="HeaderCoverPage">
    <w:name w:val="Header Cover Page"/>
    <w:basedOn w:val="Normal"/>
    <w:link w:val="HeaderCoverPageChar"/>
    <w:rsid w:val="0037165D"/>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37165D"/>
    <w:rPr>
      <w:rFonts w:ascii="Times New Roman" w:eastAsia="Calibri" w:hAnsi="Times New Roman" w:cs="Times New Roman"/>
      <w:sz w:val="24"/>
      <w:lang w:val="pl-PL" w:eastAsia="en-GB"/>
    </w:rPr>
  </w:style>
  <w:style w:type="paragraph" w:styleId="ListParagraph">
    <w:name w:val="List Paragraph"/>
    <w:aliases w:val="List Paragraph_Sections,1st level - Bullet List Paragraph,Lettre d'introduction,Paragrafo elenco,List Paragraph1,Medium Grid 1 - Accent 21,Bullet OFM,List Paragraph (numbered (a)),Bullet List,Normal bullet 2,Bullet list,Numbered List,EC"/>
    <w:basedOn w:val="Normal"/>
    <w:uiPriority w:val="34"/>
    <w:qFormat/>
    <w:rsid w:val="001058B5"/>
    <w:pPr>
      <w:spacing w:before="0" w:after="160" w:line="259" w:lineRule="auto"/>
      <w:ind w:left="720"/>
      <w:contextualSpacing/>
      <w:jc w:val="left"/>
    </w:pPr>
    <w:rPr>
      <w:rFonts w:asciiTheme="minorHAnsi" w:hAnsiTheme="minorHAnsi" w:cstheme="minorBidi"/>
      <w:sz w:val="22"/>
    </w:rPr>
  </w:style>
  <w:style w:type="paragraph" w:customStyle="1" w:styleId="FootnoteReference1">
    <w:name w:val="Footnote Reference1"/>
    <w:basedOn w:val="Normal"/>
    <w:uiPriority w:val="99"/>
    <w:rsid w:val="001058B5"/>
    <w:pPr>
      <w:spacing w:before="0" w:after="160" w:line="240" w:lineRule="exact"/>
      <w:jc w:val="left"/>
    </w:pPr>
    <w:rPr>
      <w:rFonts w:asciiTheme="minorHAnsi" w:hAnsiTheme="minorHAnsi" w:cstheme="minorBidi"/>
      <w:sz w:val="22"/>
      <w:vertAlign w:val="superscript"/>
    </w:rPr>
  </w:style>
  <w:style w:type="paragraph" w:styleId="NormalWeb">
    <w:name w:val="Normal (Web)"/>
    <w:basedOn w:val="Normal"/>
    <w:uiPriority w:val="99"/>
    <w:semiHidden/>
    <w:unhideWhenUsed/>
    <w:rsid w:val="007144F5"/>
    <w:pPr>
      <w:spacing w:before="100" w:beforeAutospacing="1" w:after="100" w:afterAutospacing="1"/>
      <w:jc w:val="left"/>
    </w:pPr>
    <w:rPr>
      <w:rFonts w:eastAsia="Times New Roman"/>
      <w:szCs w:val="24"/>
    </w:rPr>
  </w:style>
  <w:style w:type="character" w:styleId="Strong">
    <w:name w:val="Strong"/>
    <w:basedOn w:val="DefaultParagraphFont"/>
    <w:uiPriority w:val="22"/>
    <w:qFormat/>
    <w:rsid w:val="007144F5"/>
    <w:rPr>
      <w:b/>
      <w:bCs/>
    </w:rPr>
  </w:style>
  <w:style w:type="paragraph" w:customStyle="1" w:styleId="titrearticle">
    <w:name w:val="titrearticle"/>
    <w:basedOn w:val="Normal"/>
    <w:rsid w:val="008D2507"/>
    <w:pPr>
      <w:spacing w:before="100" w:beforeAutospacing="1" w:after="100" w:afterAutospacing="1"/>
      <w:jc w:val="left"/>
    </w:pPr>
    <w:rPr>
      <w:rFonts w:eastAsia="Times New Roman"/>
      <w:szCs w:val="24"/>
      <w:lang w:eastAsia="de-DE"/>
    </w:rPr>
  </w:style>
  <w:style w:type="paragraph" w:customStyle="1" w:styleId="li">
    <w:name w:val="li"/>
    <w:basedOn w:val="Normal"/>
    <w:rsid w:val="008D2507"/>
    <w:pPr>
      <w:spacing w:before="100" w:beforeAutospacing="1" w:after="100" w:afterAutospacing="1"/>
      <w:jc w:val="left"/>
    </w:pPr>
    <w:rPr>
      <w:rFonts w:eastAsia="Times New Roman"/>
      <w:szCs w:val="24"/>
      <w:lang w:eastAsia="de-DE"/>
    </w:rPr>
  </w:style>
  <w:style w:type="character" w:customStyle="1" w:styleId="num">
    <w:name w:val="num"/>
    <w:basedOn w:val="DefaultParagraphFont"/>
    <w:rsid w:val="008D2507"/>
  </w:style>
  <w:style w:type="character" w:customStyle="1" w:styleId="Hyperlink1">
    <w:name w:val="Hyperlink1"/>
    <w:basedOn w:val="DefaultParagraphFont"/>
    <w:uiPriority w:val="99"/>
    <w:unhideWhenUsed/>
    <w:qFormat/>
    <w:rsid w:val="00340467"/>
    <w:rPr>
      <w:color w:val="0000FF"/>
      <w:u w:val="single"/>
    </w:rPr>
  </w:style>
  <w:style w:type="paragraph" w:customStyle="1" w:styleId="1">
    <w:name w:val="1."/>
    <w:basedOn w:val="Point1"/>
    <w:rsid w:val="007D67AF"/>
  </w:style>
  <w:style w:type="paragraph" w:customStyle="1" w:styleId="FootnoteTextEP-LC1">
    <w:name w:val="Footnote Text_EP-LC1"/>
    <w:basedOn w:val="Normal"/>
    <w:next w:val="FootnoteText"/>
    <w:uiPriority w:val="99"/>
    <w:unhideWhenUsed/>
    <w:qFormat/>
    <w:rsid w:val="00737251"/>
    <w:pPr>
      <w:spacing w:before="0" w:after="0"/>
    </w:pPr>
    <w:rPr>
      <w:rFonts w:eastAsia="SimSun"/>
      <w:sz w:val="20"/>
      <w:szCs w:val="20"/>
    </w:rPr>
  </w:style>
  <w:style w:type="paragraph" w:customStyle="1" w:styleId="oj-normal">
    <w:name w:val="oj-normal"/>
    <w:basedOn w:val="Normal"/>
    <w:rsid w:val="00A03050"/>
    <w:pPr>
      <w:spacing w:before="100" w:beforeAutospacing="1" w:after="100" w:afterAutospacing="1"/>
      <w:jc w:val="left"/>
    </w:pPr>
    <w:rPr>
      <w:rFonts w:eastAsia="Times New Roman"/>
      <w:szCs w:val="24"/>
      <w:lang w:eastAsia="fr-BE"/>
    </w:rPr>
  </w:style>
  <w:style w:type="character" w:customStyle="1" w:styleId="oj-italic">
    <w:name w:val="oj-italic"/>
    <w:basedOn w:val="DefaultParagraphFont"/>
    <w:rsid w:val="00A03050"/>
  </w:style>
  <w:style w:type="paragraph" w:customStyle="1" w:styleId="Normal1">
    <w:name w:val="Normal1"/>
    <w:basedOn w:val="Normal"/>
    <w:rsid w:val="008E27F4"/>
    <w:pPr>
      <w:spacing w:before="100" w:beforeAutospacing="1" w:after="100" w:afterAutospacing="1"/>
      <w:jc w:val="left"/>
    </w:pPr>
    <w:rPr>
      <w:rFonts w:eastAsia="Times New Roman"/>
      <w:szCs w:val="24"/>
    </w:rPr>
  </w:style>
  <w:style w:type="character" w:customStyle="1" w:styleId="super">
    <w:name w:val="super"/>
    <w:basedOn w:val="DefaultParagraphFont"/>
    <w:rsid w:val="008E27F4"/>
  </w:style>
  <w:style w:type="paragraph" w:customStyle="1" w:styleId="Default">
    <w:name w:val="Default"/>
    <w:rsid w:val="00795A5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ommentTextChar1">
    <w:name w:val="Comment Text Char1"/>
    <w:basedOn w:val="DefaultParagraphFont"/>
    <w:uiPriority w:val="99"/>
    <w:locked/>
    <w:rsid w:val="00A270EF"/>
    <w:rPr>
      <w:rFonts w:ascii="Times New Roman" w:eastAsia="Calibri" w:hAnsi="Times New Roman" w:cs="Times New Roman"/>
      <w:sz w:val="20"/>
      <w:szCs w:val="20"/>
      <w:lang w:val="pl-PL"/>
    </w:rPr>
  </w:style>
  <w:style w:type="paragraph" w:customStyle="1" w:styleId="Titlearticle">
    <w:name w:val="Title article"/>
    <w:basedOn w:val="Point0number"/>
    <w:rsid w:val="00B63C07"/>
    <w:pPr>
      <w:tabs>
        <w:tab w:val="clear" w:pos="850"/>
      </w:tabs>
      <w:ind w:left="0" w:firstLine="0"/>
      <w:jc w:val="center"/>
    </w:pPr>
    <w:rPr>
      <w:i/>
    </w:rPr>
  </w:style>
  <w:style w:type="character" w:customStyle="1" w:styleId="markedcontent">
    <w:name w:val="markedcontent"/>
    <w:basedOn w:val="DefaultParagraphFont"/>
    <w:rsid w:val="0017721E"/>
  </w:style>
  <w:style w:type="paragraph" w:customStyle="1" w:styleId="Heading1noPg">
    <w:name w:val="Heading 1noPg"/>
    <w:basedOn w:val="Heading1"/>
    <w:next w:val="BodyText"/>
    <w:uiPriority w:val="6"/>
    <w:qFormat/>
    <w:rsid w:val="00C95996"/>
    <w:pPr>
      <w:keepLines/>
      <w:numPr>
        <w:numId w:val="28"/>
      </w:numPr>
      <w:spacing w:after="60" w:line="260" w:lineRule="atLeast"/>
      <w:jc w:val="left"/>
    </w:pPr>
    <w:rPr>
      <w:rFonts w:ascii="Arial" w:hAnsi="Arial" w:cstheme="majorBidi"/>
      <w:smallCaps w:val="0"/>
      <w:color w:val="4F81BD" w:themeColor="accent1"/>
      <w:sz w:val="36"/>
    </w:rPr>
  </w:style>
  <w:style w:type="paragraph" w:customStyle="1" w:styleId="FigureLeft">
    <w:name w:val="FigureLeft"/>
    <w:basedOn w:val="Normal"/>
    <w:next w:val="Normal"/>
    <w:uiPriority w:val="6"/>
    <w:qFormat/>
    <w:rsid w:val="00C95996"/>
    <w:pPr>
      <w:keepNext/>
      <w:keepLines/>
      <w:numPr>
        <w:ilvl w:val="5"/>
        <w:numId w:val="28"/>
      </w:numPr>
      <w:spacing w:line="260" w:lineRule="atLeast"/>
      <w:jc w:val="left"/>
    </w:pPr>
    <w:rPr>
      <w:rFonts w:ascii="Arial" w:hAnsi="Arial"/>
      <w:color w:val="4F81BD" w:themeColor="accent1"/>
      <w:sz w:val="22"/>
      <w:szCs w:val="24"/>
    </w:rPr>
  </w:style>
  <w:style w:type="paragraph" w:styleId="BodyText">
    <w:name w:val="Body Text"/>
    <w:basedOn w:val="Normal"/>
    <w:link w:val="BodyTextChar"/>
    <w:uiPriority w:val="99"/>
    <w:semiHidden/>
    <w:unhideWhenUsed/>
    <w:rsid w:val="00C95996"/>
  </w:style>
  <w:style w:type="character" w:customStyle="1" w:styleId="BodyTextChar">
    <w:name w:val="Body Text Char"/>
    <w:basedOn w:val="DefaultParagraphFont"/>
    <w:link w:val="BodyText"/>
    <w:uiPriority w:val="99"/>
    <w:semiHidden/>
    <w:rsid w:val="00C95996"/>
    <w:rPr>
      <w:rFonts w:ascii="Times New Roman" w:hAnsi="Times New Roman" w:cs="Times New Roman"/>
      <w:sz w:val="24"/>
      <w:lang w:val="pl-PL"/>
    </w:rPr>
  </w:style>
  <w:style w:type="paragraph" w:customStyle="1" w:styleId="Titrearticle0">
    <w:name w:val="Titre article"/>
    <w:basedOn w:val="Normal"/>
    <w:next w:val="Normal"/>
    <w:rsid w:val="00517205"/>
    <w:pPr>
      <w:keepNext/>
      <w:spacing w:before="360"/>
      <w:jc w:val="center"/>
    </w:pPr>
    <w:rPr>
      <w:i/>
    </w:rPr>
  </w:style>
  <w:style w:type="paragraph" w:customStyle="1" w:styleId="Titrearticle1">
    <w:name w:val="Titre article"/>
    <w:basedOn w:val="Normal"/>
    <w:next w:val="Normal"/>
    <w:rsid w:val="00517205"/>
    <w:pPr>
      <w:keepNext/>
      <w:spacing w:before="360"/>
      <w:jc w:val="center"/>
    </w:pPr>
    <w:rPr>
      <w:i/>
    </w:rPr>
  </w:style>
  <w:style w:type="paragraph" w:customStyle="1" w:styleId="Titrearticle2">
    <w:name w:val="Titre article"/>
    <w:basedOn w:val="Normal"/>
    <w:next w:val="Normal"/>
    <w:rsid w:val="00517205"/>
    <w:pPr>
      <w:keepNext/>
      <w:spacing w:before="360"/>
      <w:jc w:val="center"/>
    </w:pPr>
    <w:rPr>
      <w:i/>
    </w:rPr>
  </w:style>
  <w:style w:type="paragraph" w:customStyle="1" w:styleId="Titrearticle3">
    <w:name w:val="Titre article"/>
    <w:basedOn w:val="Normal"/>
    <w:next w:val="Normal"/>
    <w:rsid w:val="00517205"/>
    <w:pPr>
      <w:keepNext/>
      <w:spacing w:before="360"/>
      <w:jc w:val="center"/>
    </w:pPr>
    <w:rPr>
      <w:i/>
    </w:rPr>
  </w:style>
  <w:style w:type="character" w:customStyle="1" w:styleId="tw4winError">
    <w:name w:val="tw4winError"/>
    <w:rsid w:val="00733178"/>
    <w:rPr>
      <w:color w:val="00FF00"/>
      <w:sz w:val="40"/>
      <w:lang w:val="pl-PL" w:eastAsia="en-GB"/>
    </w:rPr>
  </w:style>
  <w:style w:type="character" w:customStyle="1" w:styleId="tw4winTerm">
    <w:name w:val="tw4winTerm"/>
    <w:rsid w:val="00733178"/>
    <w:rPr>
      <w:color w:val="0000FF"/>
      <w:lang w:val="pl-PL" w:eastAsia="en-GB"/>
    </w:rPr>
  </w:style>
  <w:style w:type="character" w:customStyle="1" w:styleId="tw4winPopup">
    <w:name w:val="tw4winPopup"/>
    <w:rsid w:val="00733178"/>
    <w:rPr>
      <w:noProof/>
      <w:color w:val="008000"/>
      <w:lang w:val="pl-PL" w:eastAsia="en-GB"/>
    </w:rPr>
  </w:style>
  <w:style w:type="character" w:customStyle="1" w:styleId="tw4winJump">
    <w:name w:val="tw4winJump"/>
    <w:rsid w:val="00733178"/>
    <w:rPr>
      <w:noProof/>
      <w:color w:val="008080"/>
      <w:lang w:val="pl-PL" w:eastAsia="en-GB"/>
    </w:rPr>
  </w:style>
  <w:style w:type="character" w:customStyle="1" w:styleId="tw4winExternal">
    <w:name w:val="tw4winExternal"/>
    <w:rsid w:val="00733178"/>
    <w:rPr>
      <w:noProof/>
      <w:color w:val="808080"/>
      <w:lang w:val="pl-PL" w:eastAsia="en-GB"/>
    </w:rPr>
  </w:style>
  <w:style w:type="character" w:customStyle="1" w:styleId="tw4winInternal">
    <w:name w:val="tw4winInternal"/>
    <w:rsid w:val="00733178"/>
    <w:rPr>
      <w:noProof/>
      <w:color w:val="FF0000"/>
      <w:lang w:val="pl-PL" w:eastAsia="en-GB"/>
    </w:rPr>
  </w:style>
  <w:style w:type="character" w:customStyle="1" w:styleId="DONOTTRANSLATE">
    <w:name w:val="DO_NOT_TRANSLATE"/>
    <w:rsid w:val="00733178"/>
    <w:rPr>
      <w:noProof/>
      <w:color w:val="800000"/>
      <w:lang w:val="pl-PL" w:eastAsia="en-GB"/>
    </w:rPr>
  </w:style>
  <w:style w:type="character" w:styleId="Emphasis">
    <w:name w:val="Emphasis"/>
    <w:basedOn w:val="DefaultParagraphFont"/>
    <w:uiPriority w:val="20"/>
    <w:qFormat/>
    <w:rsid w:val="00C27958"/>
    <w:rPr>
      <w:i/>
      <w:iCs/>
    </w:rPr>
  </w:style>
  <w:style w:type="paragraph" w:customStyle="1" w:styleId="Titrearticle4">
    <w:name w:val="Titre article"/>
    <w:basedOn w:val="Normal"/>
    <w:next w:val="Normal"/>
    <w:rsid w:val="00517205"/>
    <w:pPr>
      <w:keepNext/>
      <w:spacing w:before="360"/>
      <w:jc w:val="center"/>
    </w:pPr>
    <w:rPr>
      <w:i/>
    </w:rPr>
  </w:style>
  <w:style w:type="paragraph" w:customStyle="1" w:styleId="Titrearticle5">
    <w:name w:val="Titre article"/>
    <w:basedOn w:val="Normal"/>
    <w:next w:val="Normal"/>
    <w:rsid w:val="00517205"/>
    <w:pPr>
      <w:keepNext/>
      <w:spacing w:before="360"/>
      <w:jc w:val="center"/>
    </w:pPr>
    <w:rPr>
      <w:i/>
    </w:rPr>
  </w:style>
  <w:style w:type="paragraph" w:customStyle="1" w:styleId="Titrearticle6">
    <w:name w:val="Titre article"/>
    <w:basedOn w:val="Normal"/>
    <w:next w:val="Normal"/>
    <w:rsid w:val="00517205"/>
    <w:pPr>
      <w:keepNext/>
      <w:spacing w:before="360"/>
      <w:jc w:val="center"/>
    </w:pPr>
    <w:rPr>
      <w:i/>
    </w:rPr>
  </w:style>
  <w:style w:type="paragraph" w:customStyle="1" w:styleId="Titrearticle7">
    <w:name w:val="Titre article"/>
    <w:basedOn w:val="Normal"/>
    <w:next w:val="Normal"/>
    <w:rsid w:val="00517205"/>
    <w:pPr>
      <w:keepNext/>
      <w:spacing w:before="360"/>
      <w:jc w:val="center"/>
    </w:pPr>
    <w:rPr>
      <w:i/>
    </w:rPr>
  </w:style>
  <w:style w:type="paragraph" w:customStyle="1" w:styleId="Titrearticle8">
    <w:name w:val="Titre article"/>
    <w:basedOn w:val="Normal"/>
    <w:next w:val="Normal"/>
    <w:rsid w:val="00517205"/>
    <w:pPr>
      <w:keepNext/>
      <w:spacing w:before="360"/>
      <w:jc w:val="center"/>
    </w:pPr>
    <w:rPr>
      <w:i/>
    </w:rPr>
  </w:style>
  <w:style w:type="paragraph" w:customStyle="1" w:styleId="Titrearticle9">
    <w:name w:val="Titre article"/>
    <w:basedOn w:val="Normal"/>
    <w:next w:val="Normal"/>
    <w:rsid w:val="00517205"/>
    <w:pPr>
      <w:keepNext/>
      <w:spacing w:before="360"/>
      <w:jc w:val="center"/>
    </w:pPr>
    <w:rPr>
      <w:i/>
    </w:rPr>
  </w:style>
  <w:style w:type="paragraph" w:customStyle="1" w:styleId="Titrearticlea">
    <w:name w:val="Titre article"/>
    <w:basedOn w:val="Normal"/>
    <w:next w:val="Normal"/>
    <w:rsid w:val="00517205"/>
    <w:pPr>
      <w:keepNext/>
      <w:spacing w:before="360"/>
      <w:jc w:val="center"/>
    </w:pPr>
    <w:rPr>
      <w:i/>
    </w:rPr>
  </w:style>
  <w:style w:type="paragraph" w:customStyle="1" w:styleId="Titrearticleb">
    <w:name w:val="Titre article"/>
    <w:basedOn w:val="Normal"/>
    <w:next w:val="Normal"/>
    <w:rsid w:val="00517205"/>
    <w:pPr>
      <w:keepNext/>
      <w:spacing w:before="360"/>
      <w:jc w:val="center"/>
    </w:pPr>
    <w:rPr>
      <w:i/>
    </w:rPr>
  </w:style>
  <w:style w:type="paragraph" w:customStyle="1" w:styleId="Titrearticlec">
    <w:name w:val="Titre article"/>
    <w:basedOn w:val="Normal"/>
    <w:next w:val="Normal"/>
    <w:rsid w:val="00517205"/>
    <w:pPr>
      <w:keepNext/>
      <w:spacing w:before="360"/>
      <w:jc w:val="center"/>
    </w:pPr>
    <w:rPr>
      <w:i/>
    </w:rPr>
  </w:style>
  <w:style w:type="paragraph" w:customStyle="1" w:styleId="Titrearticled">
    <w:name w:val="Titre article"/>
    <w:basedOn w:val="Normal"/>
    <w:next w:val="Normal"/>
    <w:rsid w:val="00517205"/>
    <w:pPr>
      <w:keepNext/>
      <w:spacing w:before="360"/>
      <w:jc w:val="center"/>
    </w:pPr>
    <w:rPr>
      <w:i/>
    </w:rPr>
  </w:style>
  <w:style w:type="paragraph" w:customStyle="1" w:styleId="Titrearticlee">
    <w:name w:val="Titre article"/>
    <w:basedOn w:val="Normal"/>
    <w:next w:val="Normal"/>
    <w:rsid w:val="00517205"/>
    <w:pPr>
      <w:keepNext/>
      <w:spacing w:before="360"/>
      <w:jc w:val="center"/>
    </w:pPr>
    <w:rPr>
      <w:i/>
    </w:rPr>
  </w:style>
  <w:style w:type="paragraph" w:customStyle="1" w:styleId="Titrearticlef">
    <w:name w:val="Titre article"/>
    <w:basedOn w:val="Normal"/>
    <w:next w:val="Normal"/>
    <w:rsid w:val="00517205"/>
    <w:pPr>
      <w:keepNext/>
      <w:spacing w:before="360"/>
      <w:jc w:val="center"/>
    </w:pPr>
    <w:rPr>
      <w:i/>
    </w:rPr>
  </w:style>
  <w:style w:type="paragraph" w:customStyle="1" w:styleId="Titrearticlef0">
    <w:name w:val="Titre article"/>
    <w:basedOn w:val="Normal"/>
    <w:next w:val="Normal"/>
    <w:rsid w:val="00517205"/>
    <w:pPr>
      <w:keepNext/>
      <w:spacing w:before="360"/>
      <w:jc w:val="center"/>
    </w:pPr>
    <w:rPr>
      <w:i/>
    </w:rPr>
  </w:style>
  <w:style w:type="paragraph" w:customStyle="1" w:styleId="Titrearticlef1">
    <w:name w:val="Titre article"/>
    <w:basedOn w:val="Normal"/>
    <w:next w:val="Normal"/>
    <w:rsid w:val="00517205"/>
    <w:pPr>
      <w:keepNext/>
      <w:spacing w:before="360"/>
      <w:jc w:val="center"/>
    </w:pPr>
    <w:rPr>
      <w:i/>
    </w:rPr>
  </w:style>
  <w:style w:type="paragraph" w:customStyle="1" w:styleId="Titrearticlef2">
    <w:name w:val="Titre article"/>
    <w:basedOn w:val="Normal"/>
    <w:next w:val="Normal"/>
    <w:pPr>
      <w:keepNext/>
      <w:spacing w:before="360"/>
      <w:jc w:val="center"/>
    </w:pPr>
    <w:rPr>
      <w:i/>
    </w:rPr>
  </w:style>
  <w:style w:type="paragraph" w:customStyle="1" w:styleId="Titrearticlef3">
    <w:name w:val="Titre article"/>
    <w:basedOn w:val="Normal"/>
    <w:next w:val="Normal"/>
    <w:pPr>
      <w:keepNext/>
      <w:spacing w:before="360"/>
      <w:jc w:val="center"/>
    </w:pPr>
    <w:rPr>
      <w:i/>
    </w:rPr>
  </w:style>
  <w:style w:type="paragraph" w:customStyle="1" w:styleId="Titrearticlef4">
    <w:name w:val="Titre article"/>
    <w:basedOn w:val="Normal"/>
    <w:next w:val="Normal"/>
    <w:pPr>
      <w:keepNext/>
      <w:spacing w:before="360"/>
      <w:jc w:val="center"/>
    </w:pPr>
    <w:rPr>
      <w:i/>
    </w:rPr>
  </w:style>
  <w:style w:type="paragraph" w:customStyle="1" w:styleId="Titrearticlef5">
    <w:name w:val="Titre article"/>
    <w:basedOn w:val="Normal"/>
    <w:next w:val="Normal"/>
    <w:pPr>
      <w:keepNext/>
      <w:spacing w:before="360"/>
      <w:jc w:val="center"/>
    </w:pPr>
    <w:rPr>
      <w:i/>
    </w:rPr>
  </w:style>
  <w:style w:type="paragraph" w:customStyle="1" w:styleId="Titrearticlef6">
    <w:name w:val="Titre article"/>
    <w:basedOn w:val="Normal"/>
    <w:next w:val="Normal"/>
    <w:pPr>
      <w:keepNext/>
      <w:spacing w:before="360"/>
      <w:jc w:val="center"/>
    </w:pPr>
    <w:rPr>
      <w:i/>
    </w:rPr>
  </w:style>
  <w:style w:type="paragraph" w:customStyle="1" w:styleId="Titrearticlef7">
    <w:name w:val="Titre article"/>
    <w:basedOn w:val="Normal"/>
    <w:next w:val="Normal"/>
    <w:pPr>
      <w:keepNext/>
      <w:spacing w:before="360"/>
      <w:jc w:val="center"/>
    </w:pPr>
    <w:rPr>
      <w:i/>
    </w:rPr>
  </w:style>
  <w:style w:type="paragraph" w:customStyle="1" w:styleId="Titrearticlef8">
    <w:name w:val="Titre article"/>
    <w:basedOn w:val="Normal"/>
    <w:next w:val="Normal"/>
    <w:pPr>
      <w:keepNext/>
      <w:spacing w:before="360"/>
      <w:jc w:val="center"/>
    </w:pPr>
    <w:rPr>
      <w:i/>
    </w:rPr>
  </w:style>
  <w:style w:type="paragraph" w:customStyle="1" w:styleId="Titrearticlef9">
    <w:name w:val="Titre article"/>
    <w:basedOn w:val="Normal"/>
    <w:next w:val="Normal"/>
    <w:pPr>
      <w:keepNext/>
      <w:spacing w:before="360"/>
      <w:jc w:val="center"/>
    </w:pPr>
    <w:rPr>
      <w:i/>
    </w:rPr>
  </w:style>
  <w:style w:type="paragraph" w:customStyle="1" w:styleId="Titrearticlefa">
    <w:name w:val="Titre article"/>
    <w:basedOn w:val="Normal"/>
    <w:next w:val="Normal"/>
    <w:pPr>
      <w:keepNext/>
      <w:spacing w:before="360"/>
      <w:jc w:val="center"/>
    </w:pPr>
    <w:rPr>
      <w:i/>
    </w:rPr>
  </w:style>
  <w:style w:type="paragraph" w:customStyle="1" w:styleId="Titrearticlefb">
    <w:name w:val="Titre article"/>
    <w:basedOn w:val="Normal"/>
    <w:next w:val="Normal"/>
    <w:pPr>
      <w:keepNext/>
      <w:spacing w:before="360"/>
      <w:jc w:val="center"/>
    </w:pPr>
    <w:rPr>
      <w:i/>
    </w:rPr>
  </w:style>
  <w:style w:type="paragraph" w:styleId="Header">
    <w:name w:val="header"/>
    <w:basedOn w:val="Normal"/>
    <w:link w:val="HeaderChar"/>
    <w:uiPriority w:val="99"/>
    <w:unhideWhenUsed/>
    <w:rsid w:val="00C00460"/>
    <w:pPr>
      <w:tabs>
        <w:tab w:val="center" w:pos="4535"/>
        <w:tab w:val="right" w:pos="9071"/>
      </w:tabs>
      <w:spacing w:before="0"/>
    </w:pPr>
  </w:style>
  <w:style w:type="character" w:customStyle="1" w:styleId="HeaderChar">
    <w:name w:val="Header Char"/>
    <w:basedOn w:val="DefaultParagraphFont"/>
    <w:link w:val="Header"/>
    <w:uiPriority w:val="99"/>
    <w:rsid w:val="00C00460"/>
    <w:rPr>
      <w:rFonts w:ascii="Times New Roman" w:hAnsi="Times New Roman" w:cs="Times New Roman"/>
      <w:sz w:val="24"/>
      <w:lang w:val="pl-PL"/>
    </w:rPr>
  </w:style>
  <w:style w:type="paragraph" w:styleId="Footer">
    <w:name w:val="footer"/>
    <w:basedOn w:val="Normal"/>
    <w:link w:val="FooterChar"/>
    <w:uiPriority w:val="99"/>
    <w:unhideWhenUsed/>
    <w:rsid w:val="00C00460"/>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C00460"/>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pl-PL"/>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pl-PL"/>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pl-PL"/>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pl-PL"/>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pl-PL"/>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pl-PL"/>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pl-PL"/>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C00460"/>
    <w:pPr>
      <w:tabs>
        <w:tab w:val="center" w:pos="7285"/>
        <w:tab w:val="right" w:pos="14003"/>
      </w:tabs>
      <w:spacing w:before="0"/>
    </w:pPr>
  </w:style>
  <w:style w:type="paragraph" w:customStyle="1" w:styleId="FooterLandscape">
    <w:name w:val="FooterLandscape"/>
    <w:basedOn w:val="Normal"/>
    <w:rsid w:val="00C00460"/>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00460"/>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00460"/>
    <w:pPr>
      <w:spacing w:before="0"/>
      <w:jc w:val="right"/>
    </w:pPr>
    <w:rPr>
      <w:sz w:val="28"/>
    </w:rPr>
  </w:style>
  <w:style w:type="paragraph" w:customStyle="1" w:styleId="FooterSensitivity">
    <w:name w:val="Footer Sensitivity"/>
    <w:basedOn w:val="Normal"/>
    <w:rsid w:val="00C00460"/>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63"/>
      </w:numPr>
    </w:pPr>
  </w:style>
  <w:style w:type="paragraph" w:customStyle="1" w:styleId="Tiret1">
    <w:name w:val="Tiret 1"/>
    <w:basedOn w:val="Point1"/>
    <w:pPr>
      <w:numPr>
        <w:numId w:val="64"/>
      </w:numPr>
    </w:pPr>
  </w:style>
  <w:style w:type="paragraph" w:customStyle="1" w:styleId="Tiret2">
    <w:name w:val="Tiret 2"/>
    <w:basedOn w:val="Point2"/>
    <w:pPr>
      <w:numPr>
        <w:numId w:val="65"/>
      </w:numPr>
    </w:pPr>
  </w:style>
  <w:style w:type="paragraph" w:customStyle="1" w:styleId="Tiret3">
    <w:name w:val="Tiret 3"/>
    <w:basedOn w:val="Point3"/>
    <w:pPr>
      <w:numPr>
        <w:numId w:val="66"/>
      </w:numPr>
    </w:pPr>
  </w:style>
  <w:style w:type="paragraph" w:customStyle="1" w:styleId="Tiret4">
    <w:name w:val="Tiret 4"/>
    <w:basedOn w:val="Point4"/>
    <w:pPr>
      <w:numPr>
        <w:numId w:val="67"/>
      </w:numPr>
    </w:pPr>
  </w:style>
  <w:style w:type="paragraph" w:customStyle="1" w:styleId="Tiret5">
    <w:name w:val="Tiret 5"/>
    <w:basedOn w:val="Point5"/>
    <w:pPr>
      <w:numPr>
        <w:numId w:val="6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9"/>
      </w:numPr>
    </w:pPr>
  </w:style>
  <w:style w:type="paragraph" w:customStyle="1" w:styleId="NumPar2">
    <w:name w:val="NumPar 2"/>
    <w:basedOn w:val="Normal"/>
    <w:next w:val="Text1"/>
    <w:pPr>
      <w:numPr>
        <w:ilvl w:val="1"/>
        <w:numId w:val="69"/>
      </w:numPr>
    </w:pPr>
  </w:style>
  <w:style w:type="paragraph" w:customStyle="1" w:styleId="NumPar3">
    <w:name w:val="NumPar 3"/>
    <w:basedOn w:val="Normal"/>
    <w:next w:val="Text1"/>
    <w:pPr>
      <w:numPr>
        <w:ilvl w:val="2"/>
        <w:numId w:val="69"/>
      </w:numPr>
    </w:pPr>
  </w:style>
  <w:style w:type="paragraph" w:customStyle="1" w:styleId="NumPar4">
    <w:name w:val="NumPar 4"/>
    <w:basedOn w:val="Normal"/>
    <w:next w:val="Text1"/>
    <w:pPr>
      <w:numPr>
        <w:ilvl w:val="3"/>
        <w:numId w:val="69"/>
      </w:numPr>
    </w:pPr>
  </w:style>
  <w:style w:type="paragraph" w:customStyle="1" w:styleId="NumPar5">
    <w:name w:val="NumPar 5"/>
    <w:basedOn w:val="Normal"/>
    <w:next w:val="Text2"/>
    <w:pPr>
      <w:numPr>
        <w:ilvl w:val="4"/>
        <w:numId w:val="69"/>
      </w:numPr>
    </w:pPr>
  </w:style>
  <w:style w:type="paragraph" w:customStyle="1" w:styleId="NumPar6">
    <w:name w:val="NumPar 6"/>
    <w:basedOn w:val="Normal"/>
    <w:next w:val="Text2"/>
    <w:pPr>
      <w:numPr>
        <w:ilvl w:val="5"/>
        <w:numId w:val="69"/>
      </w:numPr>
    </w:pPr>
  </w:style>
  <w:style w:type="paragraph" w:customStyle="1" w:styleId="NumPar7">
    <w:name w:val="NumPar 7"/>
    <w:basedOn w:val="Normal"/>
    <w:next w:val="Text2"/>
    <w:pPr>
      <w:numPr>
        <w:ilvl w:val="6"/>
        <w:numId w:val="6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B85EBD"/>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1"/>
      </w:numPr>
    </w:pPr>
  </w:style>
  <w:style w:type="paragraph" w:customStyle="1" w:styleId="Point1number">
    <w:name w:val="Point 1 (number)"/>
    <w:basedOn w:val="Normal"/>
    <w:pPr>
      <w:numPr>
        <w:ilvl w:val="2"/>
        <w:numId w:val="71"/>
      </w:numPr>
    </w:pPr>
  </w:style>
  <w:style w:type="paragraph" w:customStyle="1" w:styleId="Point2number">
    <w:name w:val="Point 2 (number)"/>
    <w:basedOn w:val="Normal"/>
    <w:pPr>
      <w:numPr>
        <w:ilvl w:val="4"/>
        <w:numId w:val="71"/>
      </w:numPr>
    </w:pPr>
  </w:style>
  <w:style w:type="paragraph" w:customStyle="1" w:styleId="Point3number">
    <w:name w:val="Point 3 (number)"/>
    <w:basedOn w:val="Normal"/>
    <w:pPr>
      <w:numPr>
        <w:ilvl w:val="6"/>
        <w:numId w:val="71"/>
      </w:numPr>
    </w:pPr>
  </w:style>
  <w:style w:type="paragraph" w:customStyle="1" w:styleId="Point0letter">
    <w:name w:val="Point 0 (letter)"/>
    <w:basedOn w:val="Normal"/>
    <w:pPr>
      <w:numPr>
        <w:ilvl w:val="1"/>
        <w:numId w:val="71"/>
      </w:numPr>
    </w:pPr>
  </w:style>
  <w:style w:type="paragraph" w:customStyle="1" w:styleId="Point1letter">
    <w:name w:val="Point 1 (letter)"/>
    <w:basedOn w:val="Normal"/>
    <w:pPr>
      <w:numPr>
        <w:ilvl w:val="3"/>
        <w:numId w:val="71"/>
      </w:numPr>
    </w:pPr>
  </w:style>
  <w:style w:type="paragraph" w:customStyle="1" w:styleId="Point2letter">
    <w:name w:val="Point 2 (letter)"/>
    <w:basedOn w:val="Normal"/>
    <w:pPr>
      <w:numPr>
        <w:ilvl w:val="5"/>
        <w:numId w:val="71"/>
      </w:numPr>
    </w:pPr>
  </w:style>
  <w:style w:type="paragraph" w:customStyle="1" w:styleId="Point3letter">
    <w:name w:val="Point 3 (letter)"/>
    <w:basedOn w:val="Normal"/>
    <w:pPr>
      <w:numPr>
        <w:ilvl w:val="7"/>
        <w:numId w:val="71"/>
      </w:numPr>
    </w:pPr>
  </w:style>
  <w:style w:type="paragraph" w:customStyle="1" w:styleId="Point4letter">
    <w:name w:val="Point 4 (letter)"/>
    <w:basedOn w:val="Normal"/>
    <w:pPr>
      <w:numPr>
        <w:ilvl w:val="8"/>
        <w:numId w:val="71"/>
      </w:numPr>
    </w:pPr>
  </w:style>
  <w:style w:type="paragraph" w:customStyle="1" w:styleId="Bullet0">
    <w:name w:val="Bullet 0"/>
    <w:basedOn w:val="Normal"/>
    <w:pPr>
      <w:numPr>
        <w:numId w:val="72"/>
      </w:numPr>
    </w:pPr>
  </w:style>
  <w:style w:type="paragraph" w:customStyle="1" w:styleId="Bullet1">
    <w:name w:val="Bullet 1"/>
    <w:basedOn w:val="Normal"/>
    <w:pPr>
      <w:numPr>
        <w:numId w:val="73"/>
      </w:numPr>
    </w:pPr>
  </w:style>
  <w:style w:type="paragraph" w:customStyle="1" w:styleId="Bullet2">
    <w:name w:val="Bullet 2"/>
    <w:basedOn w:val="Normal"/>
    <w:pPr>
      <w:numPr>
        <w:numId w:val="74"/>
      </w:numPr>
    </w:pPr>
  </w:style>
  <w:style w:type="paragraph" w:customStyle="1" w:styleId="Bullet3">
    <w:name w:val="Bullet 3"/>
    <w:basedOn w:val="Normal"/>
    <w:pPr>
      <w:numPr>
        <w:numId w:val="75"/>
      </w:numPr>
    </w:pPr>
  </w:style>
  <w:style w:type="paragraph" w:customStyle="1" w:styleId="Bullet4">
    <w:name w:val="Bullet 4"/>
    <w:basedOn w:val="Normal"/>
    <w:pPr>
      <w:numPr>
        <w:numId w:val="7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7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fc"/>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fc">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fc"/>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9087">
      <w:bodyDiv w:val="1"/>
      <w:marLeft w:val="0"/>
      <w:marRight w:val="0"/>
      <w:marTop w:val="0"/>
      <w:marBottom w:val="0"/>
      <w:divBdr>
        <w:top w:val="none" w:sz="0" w:space="0" w:color="auto"/>
        <w:left w:val="none" w:sz="0" w:space="0" w:color="auto"/>
        <w:bottom w:val="none" w:sz="0" w:space="0" w:color="auto"/>
        <w:right w:val="none" w:sz="0" w:space="0" w:color="auto"/>
      </w:divBdr>
    </w:div>
    <w:div w:id="24214025">
      <w:bodyDiv w:val="1"/>
      <w:marLeft w:val="0"/>
      <w:marRight w:val="0"/>
      <w:marTop w:val="0"/>
      <w:marBottom w:val="0"/>
      <w:divBdr>
        <w:top w:val="none" w:sz="0" w:space="0" w:color="auto"/>
        <w:left w:val="none" w:sz="0" w:space="0" w:color="auto"/>
        <w:bottom w:val="none" w:sz="0" w:space="0" w:color="auto"/>
        <w:right w:val="none" w:sz="0" w:space="0" w:color="auto"/>
      </w:divBdr>
    </w:div>
    <w:div w:id="44834274">
      <w:bodyDiv w:val="1"/>
      <w:marLeft w:val="0"/>
      <w:marRight w:val="0"/>
      <w:marTop w:val="0"/>
      <w:marBottom w:val="0"/>
      <w:divBdr>
        <w:top w:val="none" w:sz="0" w:space="0" w:color="auto"/>
        <w:left w:val="none" w:sz="0" w:space="0" w:color="auto"/>
        <w:bottom w:val="none" w:sz="0" w:space="0" w:color="auto"/>
        <w:right w:val="none" w:sz="0" w:space="0" w:color="auto"/>
      </w:divBdr>
    </w:div>
    <w:div w:id="53434595">
      <w:bodyDiv w:val="1"/>
      <w:marLeft w:val="0"/>
      <w:marRight w:val="0"/>
      <w:marTop w:val="0"/>
      <w:marBottom w:val="0"/>
      <w:divBdr>
        <w:top w:val="none" w:sz="0" w:space="0" w:color="auto"/>
        <w:left w:val="none" w:sz="0" w:space="0" w:color="auto"/>
        <w:bottom w:val="none" w:sz="0" w:space="0" w:color="auto"/>
        <w:right w:val="none" w:sz="0" w:space="0" w:color="auto"/>
      </w:divBdr>
    </w:div>
    <w:div w:id="92627102">
      <w:bodyDiv w:val="1"/>
      <w:marLeft w:val="0"/>
      <w:marRight w:val="0"/>
      <w:marTop w:val="0"/>
      <w:marBottom w:val="0"/>
      <w:divBdr>
        <w:top w:val="none" w:sz="0" w:space="0" w:color="auto"/>
        <w:left w:val="none" w:sz="0" w:space="0" w:color="auto"/>
        <w:bottom w:val="none" w:sz="0" w:space="0" w:color="auto"/>
        <w:right w:val="none" w:sz="0" w:space="0" w:color="auto"/>
      </w:divBdr>
    </w:div>
    <w:div w:id="107359763">
      <w:bodyDiv w:val="1"/>
      <w:marLeft w:val="0"/>
      <w:marRight w:val="0"/>
      <w:marTop w:val="0"/>
      <w:marBottom w:val="0"/>
      <w:divBdr>
        <w:top w:val="none" w:sz="0" w:space="0" w:color="auto"/>
        <w:left w:val="none" w:sz="0" w:space="0" w:color="auto"/>
        <w:bottom w:val="none" w:sz="0" w:space="0" w:color="auto"/>
        <w:right w:val="none" w:sz="0" w:space="0" w:color="auto"/>
      </w:divBdr>
    </w:div>
    <w:div w:id="118913492">
      <w:bodyDiv w:val="1"/>
      <w:marLeft w:val="0"/>
      <w:marRight w:val="0"/>
      <w:marTop w:val="0"/>
      <w:marBottom w:val="0"/>
      <w:divBdr>
        <w:top w:val="none" w:sz="0" w:space="0" w:color="auto"/>
        <w:left w:val="none" w:sz="0" w:space="0" w:color="auto"/>
        <w:bottom w:val="none" w:sz="0" w:space="0" w:color="auto"/>
        <w:right w:val="none" w:sz="0" w:space="0" w:color="auto"/>
      </w:divBdr>
    </w:div>
    <w:div w:id="166681034">
      <w:bodyDiv w:val="1"/>
      <w:marLeft w:val="0"/>
      <w:marRight w:val="0"/>
      <w:marTop w:val="0"/>
      <w:marBottom w:val="0"/>
      <w:divBdr>
        <w:top w:val="none" w:sz="0" w:space="0" w:color="auto"/>
        <w:left w:val="none" w:sz="0" w:space="0" w:color="auto"/>
        <w:bottom w:val="none" w:sz="0" w:space="0" w:color="auto"/>
        <w:right w:val="none" w:sz="0" w:space="0" w:color="auto"/>
      </w:divBdr>
    </w:div>
    <w:div w:id="171142762">
      <w:bodyDiv w:val="1"/>
      <w:marLeft w:val="0"/>
      <w:marRight w:val="0"/>
      <w:marTop w:val="0"/>
      <w:marBottom w:val="0"/>
      <w:divBdr>
        <w:top w:val="none" w:sz="0" w:space="0" w:color="auto"/>
        <w:left w:val="none" w:sz="0" w:space="0" w:color="auto"/>
        <w:bottom w:val="none" w:sz="0" w:space="0" w:color="auto"/>
        <w:right w:val="none" w:sz="0" w:space="0" w:color="auto"/>
      </w:divBdr>
    </w:div>
    <w:div w:id="174195742">
      <w:bodyDiv w:val="1"/>
      <w:marLeft w:val="0"/>
      <w:marRight w:val="0"/>
      <w:marTop w:val="0"/>
      <w:marBottom w:val="0"/>
      <w:divBdr>
        <w:top w:val="none" w:sz="0" w:space="0" w:color="auto"/>
        <w:left w:val="none" w:sz="0" w:space="0" w:color="auto"/>
        <w:bottom w:val="none" w:sz="0" w:space="0" w:color="auto"/>
        <w:right w:val="none" w:sz="0" w:space="0" w:color="auto"/>
      </w:divBdr>
    </w:div>
    <w:div w:id="183834867">
      <w:bodyDiv w:val="1"/>
      <w:marLeft w:val="0"/>
      <w:marRight w:val="0"/>
      <w:marTop w:val="0"/>
      <w:marBottom w:val="0"/>
      <w:divBdr>
        <w:top w:val="none" w:sz="0" w:space="0" w:color="auto"/>
        <w:left w:val="none" w:sz="0" w:space="0" w:color="auto"/>
        <w:bottom w:val="none" w:sz="0" w:space="0" w:color="auto"/>
        <w:right w:val="none" w:sz="0" w:space="0" w:color="auto"/>
      </w:divBdr>
    </w:div>
    <w:div w:id="190539094">
      <w:bodyDiv w:val="1"/>
      <w:marLeft w:val="0"/>
      <w:marRight w:val="0"/>
      <w:marTop w:val="0"/>
      <w:marBottom w:val="0"/>
      <w:divBdr>
        <w:top w:val="none" w:sz="0" w:space="0" w:color="auto"/>
        <w:left w:val="none" w:sz="0" w:space="0" w:color="auto"/>
        <w:bottom w:val="none" w:sz="0" w:space="0" w:color="auto"/>
        <w:right w:val="none" w:sz="0" w:space="0" w:color="auto"/>
      </w:divBdr>
      <w:divsChild>
        <w:div w:id="1923683804">
          <w:marLeft w:val="0"/>
          <w:marRight w:val="0"/>
          <w:marTop w:val="0"/>
          <w:marBottom w:val="0"/>
          <w:divBdr>
            <w:top w:val="none" w:sz="0" w:space="0" w:color="auto"/>
            <w:left w:val="none" w:sz="0" w:space="0" w:color="auto"/>
            <w:bottom w:val="none" w:sz="0" w:space="0" w:color="auto"/>
            <w:right w:val="none" w:sz="0" w:space="0" w:color="auto"/>
          </w:divBdr>
          <w:divsChild>
            <w:div w:id="1052729664">
              <w:marLeft w:val="0"/>
              <w:marRight w:val="0"/>
              <w:marTop w:val="90"/>
              <w:marBottom w:val="90"/>
              <w:divBdr>
                <w:top w:val="none" w:sz="0" w:space="0" w:color="auto"/>
                <w:left w:val="none" w:sz="0" w:space="0" w:color="auto"/>
                <w:bottom w:val="none" w:sz="0" w:space="0" w:color="auto"/>
                <w:right w:val="none" w:sz="0" w:space="0" w:color="auto"/>
              </w:divBdr>
              <w:divsChild>
                <w:div w:id="1849785171">
                  <w:marLeft w:val="0"/>
                  <w:marRight w:val="0"/>
                  <w:marTop w:val="0"/>
                  <w:marBottom w:val="0"/>
                  <w:divBdr>
                    <w:top w:val="none" w:sz="0" w:space="0" w:color="auto"/>
                    <w:left w:val="none" w:sz="0" w:space="0" w:color="auto"/>
                    <w:bottom w:val="none" w:sz="0" w:space="0" w:color="auto"/>
                    <w:right w:val="none" w:sz="0" w:space="0" w:color="auto"/>
                  </w:divBdr>
                </w:div>
                <w:div w:id="151985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0996">
      <w:bodyDiv w:val="1"/>
      <w:marLeft w:val="0"/>
      <w:marRight w:val="0"/>
      <w:marTop w:val="0"/>
      <w:marBottom w:val="0"/>
      <w:divBdr>
        <w:top w:val="none" w:sz="0" w:space="0" w:color="auto"/>
        <w:left w:val="none" w:sz="0" w:space="0" w:color="auto"/>
        <w:bottom w:val="none" w:sz="0" w:space="0" w:color="auto"/>
        <w:right w:val="none" w:sz="0" w:space="0" w:color="auto"/>
      </w:divBdr>
      <w:divsChild>
        <w:div w:id="222720647">
          <w:marLeft w:val="0"/>
          <w:marRight w:val="0"/>
          <w:marTop w:val="0"/>
          <w:marBottom w:val="0"/>
          <w:divBdr>
            <w:top w:val="none" w:sz="0" w:space="0" w:color="auto"/>
            <w:left w:val="none" w:sz="0" w:space="0" w:color="auto"/>
            <w:bottom w:val="none" w:sz="0" w:space="0" w:color="auto"/>
            <w:right w:val="none" w:sz="0" w:space="0" w:color="auto"/>
          </w:divBdr>
          <w:divsChild>
            <w:div w:id="37706015">
              <w:marLeft w:val="0"/>
              <w:marRight w:val="0"/>
              <w:marTop w:val="90"/>
              <w:marBottom w:val="15"/>
              <w:divBdr>
                <w:top w:val="none" w:sz="0" w:space="0" w:color="auto"/>
                <w:left w:val="none" w:sz="0" w:space="0" w:color="auto"/>
                <w:bottom w:val="none" w:sz="0" w:space="0" w:color="auto"/>
                <w:right w:val="none" w:sz="0" w:space="0" w:color="auto"/>
              </w:divBdr>
              <w:divsChild>
                <w:div w:id="7216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62509">
      <w:bodyDiv w:val="1"/>
      <w:marLeft w:val="0"/>
      <w:marRight w:val="0"/>
      <w:marTop w:val="0"/>
      <w:marBottom w:val="0"/>
      <w:divBdr>
        <w:top w:val="none" w:sz="0" w:space="0" w:color="auto"/>
        <w:left w:val="none" w:sz="0" w:space="0" w:color="auto"/>
        <w:bottom w:val="none" w:sz="0" w:space="0" w:color="auto"/>
        <w:right w:val="none" w:sz="0" w:space="0" w:color="auto"/>
      </w:divBdr>
    </w:div>
    <w:div w:id="223300206">
      <w:bodyDiv w:val="1"/>
      <w:marLeft w:val="0"/>
      <w:marRight w:val="0"/>
      <w:marTop w:val="0"/>
      <w:marBottom w:val="0"/>
      <w:divBdr>
        <w:top w:val="none" w:sz="0" w:space="0" w:color="auto"/>
        <w:left w:val="none" w:sz="0" w:space="0" w:color="auto"/>
        <w:bottom w:val="none" w:sz="0" w:space="0" w:color="auto"/>
        <w:right w:val="none" w:sz="0" w:space="0" w:color="auto"/>
      </w:divBdr>
    </w:div>
    <w:div w:id="251670047">
      <w:bodyDiv w:val="1"/>
      <w:marLeft w:val="0"/>
      <w:marRight w:val="0"/>
      <w:marTop w:val="0"/>
      <w:marBottom w:val="0"/>
      <w:divBdr>
        <w:top w:val="none" w:sz="0" w:space="0" w:color="auto"/>
        <w:left w:val="none" w:sz="0" w:space="0" w:color="auto"/>
        <w:bottom w:val="none" w:sz="0" w:space="0" w:color="auto"/>
        <w:right w:val="none" w:sz="0" w:space="0" w:color="auto"/>
      </w:divBdr>
    </w:div>
    <w:div w:id="271665526">
      <w:bodyDiv w:val="1"/>
      <w:marLeft w:val="0"/>
      <w:marRight w:val="0"/>
      <w:marTop w:val="0"/>
      <w:marBottom w:val="0"/>
      <w:divBdr>
        <w:top w:val="none" w:sz="0" w:space="0" w:color="auto"/>
        <w:left w:val="none" w:sz="0" w:space="0" w:color="auto"/>
        <w:bottom w:val="none" w:sz="0" w:space="0" w:color="auto"/>
        <w:right w:val="none" w:sz="0" w:space="0" w:color="auto"/>
      </w:divBdr>
    </w:div>
    <w:div w:id="411968006">
      <w:bodyDiv w:val="1"/>
      <w:marLeft w:val="0"/>
      <w:marRight w:val="0"/>
      <w:marTop w:val="0"/>
      <w:marBottom w:val="0"/>
      <w:divBdr>
        <w:top w:val="none" w:sz="0" w:space="0" w:color="auto"/>
        <w:left w:val="none" w:sz="0" w:space="0" w:color="auto"/>
        <w:bottom w:val="none" w:sz="0" w:space="0" w:color="auto"/>
        <w:right w:val="none" w:sz="0" w:space="0" w:color="auto"/>
      </w:divBdr>
    </w:div>
    <w:div w:id="428545042">
      <w:bodyDiv w:val="1"/>
      <w:marLeft w:val="0"/>
      <w:marRight w:val="0"/>
      <w:marTop w:val="0"/>
      <w:marBottom w:val="0"/>
      <w:divBdr>
        <w:top w:val="none" w:sz="0" w:space="0" w:color="auto"/>
        <w:left w:val="none" w:sz="0" w:space="0" w:color="auto"/>
        <w:bottom w:val="none" w:sz="0" w:space="0" w:color="auto"/>
        <w:right w:val="none" w:sz="0" w:space="0" w:color="auto"/>
      </w:divBdr>
      <w:divsChild>
        <w:div w:id="1524972915">
          <w:marLeft w:val="0"/>
          <w:marRight w:val="0"/>
          <w:marTop w:val="0"/>
          <w:marBottom w:val="0"/>
          <w:divBdr>
            <w:top w:val="none" w:sz="0" w:space="0" w:color="auto"/>
            <w:left w:val="none" w:sz="0" w:space="0" w:color="auto"/>
            <w:bottom w:val="none" w:sz="0" w:space="0" w:color="auto"/>
            <w:right w:val="none" w:sz="0" w:space="0" w:color="auto"/>
          </w:divBdr>
        </w:div>
        <w:div w:id="295795251">
          <w:marLeft w:val="0"/>
          <w:marRight w:val="0"/>
          <w:marTop w:val="0"/>
          <w:marBottom w:val="0"/>
          <w:divBdr>
            <w:top w:val="none" w:sz="0" w:space="0" w:color="auto"/>
            <w:left w:val="none" w:sz="0" w:space="0" w:color="auto"/>
            <w:bottom w:val="none" w:sz="0" w:space="0" w:color="auto"/>
            <w:right w:val="none" w:sz="0" w:space="0" w:color="auto"/>
          </w:divBdr>
        </w:div>
      </w:divsChild>
    </w:div>
    <w:div w:id="440682306">
      <w:bodyDiv w:val="1"/>
      <w:marLeft w:val="0"/>
      <w:marRight w:val="0"/>
      <w:marTop w:val="0"/>
      <w:marBottom w:val="0"/>
      <w:divBdr>
        <w:top w:val="none" w:sz="0" w:space="0" w:color="auto"/>
        <w:left w:val="none" w:sz="0" w:space="0" w:color="auto"/>
        <w:bottom w:val="none" w:sz="0" w:space="0" w:color="auto"/>
        <w:right w:val="none" w:sz="0" w:space="0" w:color="auto"/>
      </w:divBdr>
    </w:div>
    <w:div w:id="459147682">
      <w:bodyDiv w:val="1"/>
      <w:marLeft w:val="0"/>
      <w:marRight w:val="0"/>
      <w:marTop w:val="0"/>
      <w:marBottom w:val="0"/>
      <w:divBdr>
        <w:top w:val="none" w:sz="0" w:space="0" w:color="auto"/>
        <w:left w:val="none" w:sz="0" w:space="0" w:color="auto"/>
        <w:bottom w:val="none" w:sz="0" w:space="0" w:color="auto"/>
        <w:right w:val="none" w:sz="0" w:space="0" w:color="auto"/>
      </w:divBdr>
    </w:div>
    <w:div w:id="489062236">
      <w:bodyDiv w:val="1"/>
      <w:marLeft w:val="0"/>
      <w:marRight w:val="0"/>
      <w:marTop w:val="0"/>
      <w:marBottom w:val="0"/>
      <w:divBdr>
        <w:top w:val="none" w:sz="0" w:space="0" w:color="auto"/>
        <w:left w:val="none" w:sz="0" w:space="0" w:color="auto"/>
        <w:bottom w:val="none" w:sz="0" w:space="0" w:color="auto"/>
        <w:right w:val="none" w:sz="0" w:space="0" w:color="auto"/>
      </w:divBdr>
    </w:div>
    <w:div w:id="572739596">
      <w:bodyDiv w:val="1"/>
      <w:marLeft w:val="0"/>
      <w:marRight w:val="0"/>
      <w:marTop w:val="0"/>
      <w:marBottom w:val="0"/>
      <w:divBdr>
        <w:top w:val="none" w:sz="0" w:space="0" w:color="auto"/>
        <w:left w:val="none" w:sz="0" w:space="0" w:color="auto"/>
        <w:bottom w:val="none" w:sz="0" w:space="0" w:color="auto"/>
        <w:right w:val="none" w:sz="0" w:space="0" w:color="auto"/>
      </w:divBdr>
    </w:div>
    <w:div w:id="573661346">
      <w:bodyDiv w:val="1"/>
      <w:marLeft w:val="0"/>
      <w:marRight w:val="0"/>
      <w:marTop w:val="0"/>
      <w:marBottom w:val="0"/>
      <w:divBdr>
        <w:top w:val="none" w:sz="0" w:space="0" w:color="auto"/>
        <w:left w:val="none" w:sz="0" w:space="0" w:color="auto"/>
        <w:bottom w:val="none" w:sz="0" w:space="0" w:color="auto"/>
        <w:right w:val="none" w:sz="0" w:space="0" w:color="auto"/>
      </w:divBdr>
    </w:div>
    <w:div w:id="588586788">
      <w:bodyDiv w:val="1"/>
      <w:marLeft w:val="0"/>
      <w:marRight w:val="0"/>
      <w:marTop w:val="0"/>
      <w:marBottom w:val="0"/>
      <w:divBdr>
        <w:top w:val="none" w:sz="0" w:space="0" w:color="auto"/>
        <w:left w:val="none" w:sz="0" w:space="0" w:color="auto"/>
        <w:bottom w:val="none" w:sz="0" w:space="0" w:color="auto"/>
        <w:right w:val="none" w:sz="0" w:space="0" w:color="auto"/>
      </w:divBdr>
    </w:div>
    <w:div w:id="616834357">
      <w:bodyDiv w:val="1"/>
      <w:marLeft w:val="0"/>
      <w:marRight w:val="0"/>
      <w:marTop w:val="0"/>
      <w:marBottom w:val="0"/>
      <w:divBdr>
        <w:top w:val="none" w:sz="0" w:space="0" w:color="auto"/>
        <w:left w:val="none" w:sz="0" w:space="0" w:color="auto"/>
        <w:bottom w:val="none" w:sz="0" w:space="0" w:color="auto"/>
        <w:right w:val="none" w:sz="0" w:space="0" w:color="auto"/>
      </w:divBdr>
    </w:div>
    <w:div w:id="622808361">
      <w:bodyDiv w:val="1"/>
      <w:marLeft w:val="0"/>
      <w:marRight w:val="0"/>
      <w:marTop w:val="0"/>
      <w:marBottom w:val="0"/>
      <w:divBdr>
        <w:top w:val="none" w:sz="0" w:space="0" w:color="auto"/>
        <w:left w:val="none" w:sz="0" w:space="0" w:color="auto"/>
        <w:bottom w:val="none" w:sz="0" w:space="0" w:color="auto"/>
        <w:right w:val="none" w:sz="0" w:space="0" w:color="auto"/>
      </w:divBdr>
    </w:div>
    <w:div w:id="661398981">
      <w:bodyDiv w:val="1"/>
      <w:marLeft w:val="0"/>
      <w:marRight w:val="0"/>
      <w:marTop w:val="0"/>
      <w:marBottom w:val="0"/>
      <w:divBdr>
        <w:top w:val="none" w:sz="0" w:space="0" w:color="auto"/>
        <w:left w:val="none" w:sz="0" w:space="0" w:color="auto"/>
        <w:bottom w:val="none" w:sz="0" w:space="0" w:color="auto"/>
        <w:right w:val="none" w:sz="0" w:space="0" w:color="auto"/>
      </w:divBdr>
    </w:div>
    <w:div w:id="666058337">
      <w:bodyDiv w:val="1"/>
      <w:marLeft w:val="0"/>
      <w:marRight w:val="0"/>
      <w:marTop w:val="0"/>
      <w:marBottom w:val="0"/>
      <w:divBdr>
        <w:top w:val="none" w:sz="0" w:space="0" w:color="auto"/>
        <w:left w:val="none" w:sz="0" w:space="0" w:color="auto"/>
        <w:bottom w:val="none" w:sz="0" w:space="0" w:color="auto"/>
        <w:right w:val="none" w:sz="0" w:space="0" w:color="auto"/>
      </w:divBdr>
    </w:div>
    <w:div w:id="694697485">
      <w:bodyDiv w:val="1"/>
      <w:marLeft w:val="0"/>
      <w:marRight w:val="0"/>
      <w:marTop w:val="0"/>
      <w:marBottom w:val="0"/>
      <w:divBdr>
        <w:top w:val="none" w:sz="0" w:space="0" w:color="auto"/>
        <w:left w:val="none" w:sz="0" w:space="0" w:color="auto"/>
        <w:bottom w:val="none" w:sz="0" w:space="0" w:color="auto"/>
        <w:right w:val="none" w:sz="0" w:space="0" w:color="auto"/>
      </w:divBdr>
      <w:divsChild>
        <w:div w:id="2047286857">
          <w:marLeft w:val="0"/>
          <w:marRight w:val="0"/>
          <w:marTop w:val="0"/>
          <w:marBottom w:val="0"/>
          <w:divBdr>
            <w:top w:val="none" w:sz="0" w:space="0" w:color="auto"/>
            <w:left w:val="none" w:sz="0" w:space="0" w:color="auto"/>
            <w:bottom w:val="none" w:sz="0" w:space="0" w:color="auto"/>
            <w:right w:val="none" w:sz="0" w:space="0" w:color="auto"/>
          </w:divBdr>
          <w:divsChild>
            <w:div w:id="2072656489">
              <w:marLeft w:val="0"/>
              <w:marRight w:val="0"/>
              <w:marTop w:val="90"/>
              <w:marBottom w:val="90"/>
              <w:divBdr>
                <w:top w:val="none" w:sz="0" w:space="0" w:color="auto"/>
                <w:left w:val="none" w:sz="0" w:space="0" w:color="auto"/>
                <w:bottom w:val="none" w:sz="0" w:space="0" w:color="auto"/>
                <w:right w:val="none" w:sz="0" w:space="0" w:color="auto"/>
              </w:divBdr>
              <w:divsChild>
                <w:div w:id="685134897">
                  <w:marLeft w:val="0"/>
                  <w:marRight w:val="0"/>
                  <w:marTop w:val="0"/>
                  <w:marBottom w:val="0"/>
                  <w:divBdr>
                    <w:top w:val="none" w:sz="0" w:space="0" w:color="auto"/>
                    <w:left w:val="none" w:sz="0" w:space="0" w:color="auto"/>
                    <w:bottom w:val="none" w:sz="0" w:space="0" w:color="auto"/>
                    <w:right w:val="none" w:sz="0" w:space="0" w:color="auto"/>
                  </w:divBdr>
                </w:div>
                <w:div w:id="138282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904840">
      <w:bodyDiv w:val="1"/>
      <w:marLeft w:val="0"/>
      <w:marRight w:val="0"/>
      <w:marTop w:val="0"/>
      <w:marBottom w:val="0"/>
      <w:divBdr>
        <w:top w:val="none" w:sz="0" w:space="0" w:color="auto"/>
        <w:left w:val="none" w:sz="0" w:space="0" w:color="auto"/>
        <w:bottom w:val="none" w:sz="0" w:space="0" w:color="auto"/>
        <w:right w:val="none" w:sz="0" w:space="0" w:color="auto"/>
      </w:divBdr>
    </w:div>
    <w:div w:id="797798761">
      <w:bodyDiv w:val="1"/>
      <w:marLeft w:val="0"/>
      <w:marRight w:val="0"/>
      <w:marTop w:val="0"/>
      <w:marBottom w:val="0"/>
      <w:divBdr>
        <w:top w:val="none" w:sz="0" w:space="0" w:color="auto"/>
        <w:left w:val="none" w:sz="0" w:space="0" w:color="auto"/>
        <w:bottom w:val="none" w:sz="0" w:space="0" w:color="auto"/>
        <w:right w:val="none" w:sz="0" w:space="0" w:color="auto"/>
      </w:divBdr>
      <w:divsChild>
        <w:div w:id="2135707852">
          <w:marLeft w:val="0"/>
          <w:marRight w:val="0"/>
          <w:marTop w:val="0"/>
          <w:marBottom w:val="0"/>
          <w:divBdr>
            <w:top w:val="none" w:sz="0" w:space="0" w:color="auto"/>
            <w:left w:val="none" w:sz="0" w:space="0" w:color="auto"/>
            <w:bottom w:val="none" w:sz="0" w:space="0" w:color="auto"/>
            <w:right w:val="none" w:sz="0" w:space="0" w:color="auto"/>
          </w:divBdr>
          <w:divsChild>
            <w:div w:id="8389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36843">
      <w:bodyDiv w:val="1"/>
      <w:marLeft w:val="0"/>
      <w:marRight w:val="0"/>
      <w:marTop w:val="0"/>
      <w:marBottom w:val="0"/>
      <w:divBdr>
        <w:top w:val="none" w:sz="0" w:space="0" w:color="auto"/>
        <w:left w:val="none" w:sz="0" w:space="0" w:color="auto"/>
        <w:bottom w:val="none" w:sz="0" w:space="0" w:color="auto"/>
        <w:right w:val="none" w:sz="0" w:space="0" w:color="auto"/>
      </w:divBdr>
    </w:div>
    <w:div w:id="807741755">
      <w:bodyDiv w:val="1"/>
      <w:marLeft w:val="0"/>
      <w:marRight w:val="0"/>
      <w:marTop w:val="0"/>
      <w:marBottom w:val="0"/>
      <w:divBdr>
        <w:top w:val="none" w:sz="0" w:space="0" w:color="auto"/>
        <w:left w:val="none" w:sz="0" w:space="0" w:color="auto"/>
        <w:bottom w:val="none" w:sz="0" w:space="0" w:color="auto"/>
        <w:right w:val="none" w:sz="0" w:space="0" w:color="auto"/>
      </w:divBdr>
    </w:div>
    <w:div w:id="843782474">
      <w:bodyDiv w:val="1"/>
      <w:marLeft w:val="0"/>
      <w:marRight w:val="0"/>
      <w:marTop w:val="0"/>
      <w:marBottom w:val="0"/>
      <w:divBdr>
        <w:top w:val="none" w:sz="0" w:space="0" w:color="auto"/>
        <w:left w:val="none" w:sz="0" w:space="0" w:color="auto"/>
        <w:bottom w:val="none" w:sz="0" w:space="0" w:color="auto"/>
        <w:right w:val="none" w:sz="0" w:space="0" w:color="auto"/>
      </w:divBdr>
    </w:div>
    <w:div w:id="894706429">
      <w:bodyDiv w:val="1"/>
      <w:marLeft w:val="0"/>
      <w:marRight w:val="0"/>
      <w:marTop w:val="0"/>
      <w:marBottom w:val="0"/>
      <w:divBdr>
        <w:top w:val="none" w:sz="0" w:space="0" w:color="auto"/>
        <w:left w:val="none" w:sz="0" w:space="0" w:color="auto"/>
        <w:bottom w:val="none" w:sz="0" w:space="0" w:color="auto"/>
        <w:right w:val="none" w:sz="0" w:space="0" w:color="auto"/>
      </w:divBdr>
    </w:div>
    <w:div w:id="1012759014">
      <w:bodyDiv w:val="1"/>
      <w:marLeft w:val="0"/>
      <w:marRight w:val="0"/>
      <w:marTop w:val="0"/>
      <w:marBottom w:val="0"/>
      <w:divBdr>
        <w:top w:val="none" w:sz="0" w:space="0" w:color="auto"/>
        <w:left w:val="none" w:sz="0" w:space="0" w:color="auto"/>
        <w:bottom w:val="none" w:sz="0" w:space="0" w:color="auto"/>
        <w:right w:val="none" w:sz="0" w:space="0" w:color="auto"/>
      </w:divBdr>
    </w:div>
    <w:div w:id="1018115600">
      <w:bodyDiv w:val="1"/>
      <w:marLeft w:val="0"/>
      <w:marRight w:val="0"/>
      <w:marTop w:val="0"/>
      <w:marBottom w:val="0"/>
      <w:divBdr>
        <w:top w:val="none" w:sz="0" w:space="0" w:color="auto"/>
        <w:left w:val="none" w:sz="0" w:space="0" w:color="auto"/>
        <w:bottom w:val="none" w:sz="0" w:space="0" w:color="auto"/>
        <w:right w:val="none" w:sz="0" w:space="0" w:color="auto"/>
      </w:divBdr>
    </w:div>
    <w:div w:id="1075585651">
      <w:bodyDiv w:val="1"/>
      <w:marLeft w:val="0"/>
      <w:marRight w:val="0"/>
      <w:marTop w:val="0"/>
      <w:marBottom w:val="0"/>
      <w:divBdr>
        <w:top w:val="none" w:sz="0" w:space="0" w:color="auto"/>
        <w:left w:val="none" w:sz="0" w:space="0" w:color="auto"/>
        <w:bottom w:val="none" w:sz="0" w:space="0" w:color="auto"/>
        <w:right w:val="none" w:sz="0" w:space="0" w:color="auto"/>
      </w:divBdr>
    </w:div>
    <w:div w:id="1098403439">
      <w:bodyDiv w:val="1"/>
      <w:marLeft w:val="0"/>
      <w:marRight w:val="0"/>
      <w:marTop w:val="0"/>
      <w:marBottom w:val="0"/>
      <w:divBdr>
        <w:top w:val="none" w:sz="0" w:space="0" w:color="auto"/>
        <w:left w:val="none" w:sz="0" w:space="0" w:color="auto"/>
        <w:bottom w:val="none" w:sz="0" w:space="0" w:color="auto"/>
        <w:right w:val="none" w:sz="0" w:space="0" w:color="auto"/>
      </w:divBdr>
    </w:div>
    <w:div w:id="1108963188">
      <w:bodyDiv w:val="1"/>
      <w:marLeft w:val="0"/>
      <w:marRight w:val="0"/>
      <w:marTop w:val="0"/>
      <w:marBottom w:val="0"/>
      <w:divBdr>
        <w:top w:val="none" w:sz="0" w:space="0" w:color="auto"/>
        <w:left w:val="none" w:sz="0" w:space="0" w:color="auto"/>
        <w:bottom w:val="none" w:sz="0" w:space="0" w:color="auto"/>
        <w:right w:val="none" w:sz="0" w:space="0" w:color="auto"/>
      </w:divBdr>
    </w:div>
    <w:div w:id="1120684740">
      <w:bodyDiv w:val="1"/>
      <w:marLeft w:val="0"/>
      <w:marRight w:val="0"/>
      <w:marTop w:val="0"/>
      <w:marBottom w:val="0"/>
      <w:divBdr>
        <w:top w:val="none" w:sz="0" w:space="0" w:color="auto"/>
        <w:left w:val="none" w:sz="0" w:space="0" w:color="auto"/>
        <w:bottom w:val="none" w:sz="0" w:space="0" w:color="auto"/>
        <w:right w:val="none" w:sz="0" w:space="0" w:color="auto"/>
      </w:divBdr>
    </w:div>
    <w:div w:id="1165628268">
      <w:bodyDiv w:val="1"/>
      <w:marLeft w:val="0"/>
      <w:marRight w:val="0"/>
      <w:marTop w:val="0"/>
      <w:marBottom w:val="0"/>
      <w:divBdr>
        <w:top w:val="none" w:sz="0" w:space="0" w:color="auto"/>
        <w:left w:val="none" w:sz="0" w:space="0" w:color="auto"/>
        <w:bottom w:val="none" w:sz="0" w:space="0" w:color="auto"/>
        <w:right w:val="none" w:sz="0" w:space="0" w:color="auto"/>
      </w:divBdr>
    </w:div>
    <w:div w:id="1242909891">
      <w:bodyDiv w:val="1"/>
      <w:marLeft w:val="0"/>
      <w:marRight w:val="0"/>
      <w:marTop w:val="0"/>
      <w:marBottom w:val="0"/>
      <w:divBdr>
        <w:top w:val="none" w:sz="0" w:space="0" w:color="auto"/>
        <w:left w:val="none" w:sz="0" w:space="0" w:color="auto"/>
        <w:bottom w:val="none" w:sz="0" w:space="0" w:color="auto"/>
        <w:right w:val="none" w:sz="0" w:space="0" w:color="auto"/>
      </w:divBdr>
    </w:div>
    <w:div w:id="1326859226">
      <w:bodyDiv w:val="1"/>
      <w:marLeft w:val="0"/>
      <w:marRight w:val="0"/>
      <w:marTop w:val="0"/>
      <w:marBottom w:val="0"/>
      <w:divBdr>
        <w:top w:val="none" w:sz="0" w:space="0" w:color="auto"/>
        <w:left w:val="none" w:sz="0" w:space="0" w:color="auto"/>
        <w:bottom w:val="none" w:sz="0" w:space="0" w:color="auto"/>
        <w:right w:val="none" w:sz="0" w:space="0" w:color="auto"/>
      </w:divBdr>
    </w:div>
    <w:div w:id="1330981314">
      <w:bodyDiv w:val="1"/>
      <w:marLeft w:val="0"/>
      <w:marRight w:val="0"/>
      <w:marTop w:val="0"/>
      <w:marBottom w:val="0"/>
      <w:divBdr>
        <w:top w:val="none" w:sz="0" w:space="0" w:color="auto"/>
        <w:left w:val="none" w:sz="0" w:space="0" w:color="auto"/>
        <w:bottom w:val="none" w:sz="0" w:space="0" w:color="auto"/>
        <w:right w:val="none" w:sz="0" w:space="0" w:color="auto"/>
      </w:divBdr>
    </w:div>
    <w:div w:id="1336880332">
      <w:bodyDiv w:val="1"/>
      <w:marLeft w:val="0"/>
      <w:marRight w:val="0"/>
      <w:marTop w:val="0"/>
      <w:marBottom w:val="0"/>
      <w:divBdr>
        <w:top w:val="none" w:sz="0" w:space="0" w:color="auto"/>
        <w:left w:val="none" w:sz="0" w:space="0" w:color="auto"/>
        <w:bottom w:val="none" w:sz="0" w:space="0" w:color="auto"/>
        <w:right w:val="none" w:sz="0" w:space="0" w:color="auto"/>
      </w:divBdr>
    </w:div>
    <w:div w:id="1452893126">
      <w:bodyDiv w:val="1"/>
      <w:marLeft w:val="0"/>
      <w:marRight w:val="0"/>
      <w:marTop w:val="0"/>
      <w:marBottom w:val="0"/>
      <w:divBdr>
        <w:top w:val="none" w:sz="0" w:space="0" w:color="auto"/>
        <w:left w:val="none" w:sz="0" w:space="0" w:color="auto"/>
        <w:bottom w:val="none" w:sz="0" w:space="0" w:color="auto"/>
        <w:right w:val="none" w:sz="0" w:space="0" w:color="auto"/>
      </w:divBdr>
      <w:divsChild>
        <w:div w:id="653529113">
          <w:marLeft w:val="0"/>
          <w:marRight w:val="0"/>
          <w:marTop w:val="0"/>
          <w:marBottom w:val="0"/>
          <w:divBdr>
            <w:top w:val="none" w:sz="0" w:space="0" w:color="auto"/>
            <w:left w:val="none" w:sz="0" w:space="0" w:color="auto"/>
            <w:bottom w:val="none" w:sz="0" w:space="0" w:color="auto"/>
            <w:right w:val="none" w:sz="0" w:space="0" w:color="auto"/>
          </w:divBdr>
        </w:div>
        <w:div w:id="301080524">
          <w:marLeft w:val="0"/>
          <w:marRight w:val="0"/>
          <w:marTop w:val="0"/>
          <w:marBottom w:val="0"/>
          <w:divBdr>
            <w:top w:val="none" w:sz="0" w:space="0" w:color="auto"/>
            <w:left w:val="none" w:sz="0" w:space="0" w:color="auto"/>
            <w:bottom w:val="none" w:sz="0" w:space="0" w:color="auto"/>
            <w:right w:val="none" w:sz="0" w:space="0" w:color="auto"/>
          </w:divBdr>
        </w:div>
      </w:divsChild>
    </w:div>
    <w:div w:id="1510439158">
      <w:bodyDiv w:val="1"/>
      <w:marLeft w:val="0"/>
      <w:marRight w:val="0"/>
      <w:marTop w:val="0"/>
      <w:marBottom w:val="0"/>
      <w:divBdr>
        <w:top w:val="none" w:sz="0" w:space="0" w:color="auto"/>
        <w:left w:val="none" w:sz="0" w:space="0" w:color="auto"/>
        <w:bottom w:val="none" w:sz="0" w:space="0" w:color="auto"/>
        <w:right w:val="none" w:sz="0" w:space="0" w:color="auto"/>
      </w:divBdr>
    </w:div>
    <w:div w:id="1625965693">
      <w:bodyDiv w:val="1"/>
      <w:marLeft w:val="0"/>
      <w:marRight w:val="0"/>
      <w:marTop w:val="0"/>
      <w:marBottom w:val="0"/>
      <w:divBdr>
        <w:top w:val="none" w:sz="0" w:space="0" w:color="auto"/>
        <w:left w:val="none" w:sz="0" w:space="0" w:color="auto"/>
        <w:bottom w:val="none" w:sz="0" w:space="0" w:color="auto"/>
        <w:right w:val="none" w:sz="0" w:space="0" w:color="auto"/>
      </w:divBdr>
    </w:div>
    <w:div w:id="1629705027">
      <w:bodyDiv w:val="1"/>
      <w:marLeft w:val="0"/>
      <w:marRight w:val="0"/>
      <w:marTop w:val="0"/>
      <w:marBottom w:val="0"/>
      <w:divBdr>
        <w:top w:val="none" w:sz="0" w:space="0" w:color="auto"/>
        <w:left w:val="none" w:sz="0" w:space="0" w:color="auto"/>
        <w:bottom w:val="none" w:sz="0" w:space="0" w:color="auto"/>
        <w:right w:val="none" w:sz="0" w:space="0" w:color="auto"/>
      </w:divBdr>
    </w:div>
    <w:div w:id="1703440144">
      <w:bodyDiv w:val="1"/>
      <w:marLeft w:val="0"/>
      <w:marRight w:val="0"/>
      <w:marTop w:val="0"/>
      <w:marBottom w:val="0"/>
      <w:divBdr>
        <w:top w:val="none" w:sz="0" w:space="0" w:color="auto"/>
        <w:left w:val="none" w:sz="0" w:space="0" w:color="auto"/>
        <w:bottom w:val="none" w:sz="0" w:space="0" w:color="auto"/>
        <w:right w:val="none" w:sz="0" w:space="0" w:color="auto"/>
      </w:divBdr>
    </w:div>
    <w:div w:id="1802770761">
      <w:bodyDiv w:val="1"/>
      <w:marLeft w:val="0"/>
      <w:marRight w:val="0"/>
      <w:marTop w:val="0"/>
      <w:marBottom w:val="0"/>
      <w:divBdr>
        <w:top w:val="none" w:sz="0" w:space="0" w:color="auto"/>
        <w:left w:val="none" w:sz="0" w:space="0" w:color="auto"/>
        <w:bottom w:val="none" w:sz="0" w:space="0" w:color="auto"/>
        <w:right w:val="none" w:sz="0" w:space="0" w:color="auto"/>
      </w:divBdr>
    </w:div>
    <w:div w:id="1972401664">
      <w:bodyDiv w:val="1"/>
      <w:marLeft w:val="0"/>
      <w:marRight w:val="0"/>
      <w:marTop w:val="0"/>
      <w:marBottom w:val="0"/>
      <w:divBdr>
        <w:top w:val="none" w:sz="0" w:space="0" w:color="auto"/>
        <w:left w:val="none" w:sz="0" w:space="0" w:color="auto"/>
        <w:bottom w:val="none" w:sz="0" w:space="0" w:color="auto"/>
        <w:right w:val="none" w:sz="0" w:space="0" w:color="auto"/>
      </w:divBdr>
    </w:div>
    <w:div w:id="2015304862">
      <w:bodyDiv w:val="1"/>
      <w:marLeft w:val="0"/>
      <w:marRight w:val="0"/>
      <w:marTop w:val="0"/>
      <w:marBottom w:val="0"/>
      <w:divBdr>
        <w:top w:val="none" w:sz="0" w:space="0" w:color="auto"/>
        <w:left w:val="none" w:sz="0" w:space="0" w:color="auto"/>
        <w:bottom w:val="none" w:sz="0" w:space="0" w:color="auto"/>
        <w:right w:val="none" w:sz="0" w:space="0" w:color="auto"/>
      </w:divBdr>
    </w:div>
    <w:div w:id="2028286734">
      <w:bodyDiv w:val="1"/>
      <w:marLeft w:val="0"/>
      <w:marRight w:val="0"/>
      <w:marTop w:val="0"/>
      <w:marBottom w:val="0"/>
      <w:divBdr>
        <w:top w:val="none" w:sz="0" w:space="0" w:color="auto"/>
        <w:left w:val="none" w:sz="0" w:space="0" w:color="auto"/>
        <w:bottom w:val="none" w:sz="0" w:space="0" w:color="auto"/>
        <w:right w:val="none" w:sz="0" w:space="0" w:color="auto"/>
      </w:divBdr>
      <w:divsChild>
        <w:div w:id="2132094899">
          <w:marLeft w:val="0"/>
          <w:marRight w:val="0"/>
          <w:marTop w:val="0"/>
          <w:marBottom w:val="0"/>
          <w:divBdr>
            <w:top w:val="none" w:sz="0" w:space="0" w:color="auto"/>
            <w:left w:val="none" w:sz="0" w:space="0" w:color="auto"/>
            <w:bottom w:val="none" w:sz="0" w:space="0" w:color="auto"/>
            <w:right w:val="none" w:sz="0" w:space="0" w:color="auto"/>
          </w:divBdr>
          <w:divsChild>
            <w:div w:id="466356628">
              <w:marLeft w:val="0"/>
              <w:marRight w:val="0"/>
              <w:marTop w:val="90"/>
              <w:marBottom w:val="90"/>
              <w:divBdr>
                <w:top w:val="none" w:sz="0" w:space="0" w:color="auto"/>
                <w:left w:val="none" w:sz="0" w:space="0" w:color="auto"/>
                <w:bottom w:val="none" w:sz="0" w:space="0" w:color="auto"/>
                <w:right w:val="none" w:sz="0" w:space="0" w:color="auto"/>
              </w:divBdr>
              <w:divsChild>
                <w:div w:id="1176386322">
                  <w:marLeft w:val="0"/>
                  <w:marRight w:val="0"/>
                  <w:marTop w:val="0"/>
                  <w:marBottom w:val="0"/>
                  <w:divBdr>
                    <w:top w:val="none" w:sz="0" w:space="0" w:color="auto"/>
                    <w:left w:val="none" w:sz="0" w:space="0" w:color="auto"/>
                    <w:bottom w:val="none" w:sz="0" w:space="0" w:color="auto"/>
                    <w:right w:val="none" w:sz="0" w:space="0" w:color="auto"/>
                  </w:divBdr>
                </w:div>
                <w:div w:id="131074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914294">
      <w:bodyDiv w:val="1"/>
      <w:marLeft w:val="0"/>
      <w:marRight w:val="0"/>
      <w:marTop w:val="0"/>
      <w:marBottom w:val="0"/>
      <w:divBdr>
        <w:top w:val="none" w:sz="0" w:space="0" w:color="auto"/>
        <w:left w:val="none" w:sz="0" w:space="0" w:color="auto"/>
        <w:bottom w:val="none" w:sz="0" w:space="0" w:color="auto"/>
        <w:right w:val="none" w:sz="0" w:space="0" w:color="auto"/>
      </w:divBdr>
    </w:div>
    <w:div w:id="2041010223">
      <w:bodyDiv w:val="1"/>
      <w:marLeft w:val="0"/>
      <w:marRight w:val="0"/>
      <w:marTop w:val="0"/>
      <w:marBottom w:val="0"/>
      <w:divBdr>
        <w:top w:val="none" w:sz="0" w:space="0" w:color="auto"/>
        <w:left w:val="none" w:sz="0" w:space="0" w:color="auto"/>
        <w:bottom w:val="none" w:sz="0" w:space="0" w:color="auto"/>
        <w:right w:val="none" w:sz="0" w:space="0" w:color="auto"/>
      </w:divBdr>
    </w:div>
    <w:div w:id="2049797362">
      <w:bodyDiv w:val="1"/>
      <w:marLeft w:val="0"/>
      <w:marRight w:val="0"/>
      <w:marTop w:val="0"/>
      <w:marBottom w:val="0"/>
      <w:divBdr>
        <w:top w:val="none" w:sz="0" w:space="0" w:color="auto"/>
        <w:left w:val="none" w:sz="0" w:space="0" w:color="auto"/>
        <w:bottom w:val="none" w:sz="0" w:space="0" w:color="auto"/>
        <w:right w:val="none" w:sz="0" w:space="0" w:color="auto"/>
      </w:divBdr>
    </w:div>
    <w:div w:id="2051804076">
      <w:bodyDiv w:val="1"/>
      <w:marLeft w:val="0"/>
      <w:marRight w:val="0"/>
      <w:marTop w:val="0"/>
      <w:marBottom w:val="0"/>
      <w:divBdr>
        <w:top w:val="none" w:sz="0" w:space="0" w:color="auto"/>
        <w:left w:val="none" w:sz="0" w:space="0" w:color="auto"/>
        <w:bottom w:val="none" w:sz="0" w:space="0" w:color="auto"/>
        <w:right w:val="none" w:sz="0" w:space="0" w:color="auto"/>
      </w:divBdr>
    </w:div>
    <w:div w:id="213039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1.xml"/><Relationship Id="rId26" Type="http://schemas.openxmlformats.org/officeDocument/2006/relationships/hyperlink" Target="https://myintracomm.ec.europa.eu/corp/budget/budg-services/networks/ruf-finance-community/Documents/RUF-2021-32-Ares-Note-Couts-moyens.pdf" TargetMode="Externa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myintracomm.ec.europa.eu/budgweb/EN/leg/internal/Documents/2016-5-legislative-financial-statement-ann-en.docx" TargetMode="Externa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2.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c.europa.eu/info/law/law-making-process/planning-and-proposing-law/better-regulation-why-and-how/better-regulation-guidelines-and-toolbox_pl" TargetMode="External"/><Relationship Id="rId22" Type="http://schemas.openxmlformats.org/officeDocument/2006/relationships/header" Target="header3.xml"/><Relationship Id="rId27" Type="http://schemas.openxmlformats.org/officeDocument/2006/relationships/hyperlink" Target="https://myintracomm.ec.europa.eu/corp/budget/budg-services/networks/ruf-finance-community/Documents/RUF-2021-32-Ares-Note-Couts-moyens.pdf" TargetMode="External"/><Relationship Id="rId30"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www.europarl.europa.eu/doceo/document/TA-9-2021-0286_PL.html" TargetMode="External"/><Relationship Id="rId2" Type="http://schemas.openxmlformats.org/officeDocument/2006/relationships/hyperlink" Target="https://eur-lex.europa.eu/legal-content/PL/ALL/?uri=JOIN:2020:18:FIN" TargetMode="External"/><Relationship Id="rId1" Type="http://schemas.openxmlformats.org/officeDocument/2006/relationships/hyperlink" Target="https://digital-strategy.ec.europa.eu/en/library/study-need-cybersecurity-requirements-ict-products" TargetMode="External"/><Relationship Id="rId4" Type="http://schemas.openxmlformats.org/officeDocument/2006/relationships/hyperlink" Target="https://myintracomm.ec.europa.eu/budgweb/EN/man/budgmanag/Pages/budgmanag.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a1e8a5da-a1c6-4ab6-9d74-9729d89e2e57">EN</EC_Collab_DocumentLanguage>
    <EC_Collab_Reference xmlns="a1e8a5da-a1c6-4ab6-9d74-9729d89e2e57" xsi:nil="true"/>
    <_dlc_DocId xmlns="866aabb8-7ec2-447a-a7ff-f911015037e7">UVNUSV5RWJH5-1065046114-2732</_dlc_DocId>
    <_dlc_DocIdUrl xmlns="866aabb8-7ec2-447a-a7ff-f911015037e7">
      <Url>https://myintracomm-collab.ec.europa.eu/dg/CONNECT/directorateH/UnitH2/_layouts/15/DocIdRedir.aspx?ID=UVNUSV5RWJH5-1065046114-2732</Url>
      <Description>UVNUSV5RWJH5-1065046114-2732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4A12162D02DF3441BA3BAFD48BC1BB6D" ma:contentTypeVersion="11" ma:contentTypeDescription="Create a new document." ma:contentTypeScope="" ma:versionID="355810555cb5363fd5e594ea4c12216c">
  <xsd:schema xmlns:xsd="http://www.w3.org/2001/XMLSchema" xmlns:xs="http://www.w3.org/2001/XMLSchema" xmlns:p="http://schemas.microsoft.com/office/2006/metadata/properties" xmlns:ns3="a1e8a5da-a1c6-4ab6-9d74-9729d89e2e57" xmlns:ns4="866aabb8-7ec2-447a-a7ff-f911015037e7" xmlns:ns5="ea5fbecb-f629-44c5-b750-c70eb55bb12f" targetNamespace="http://schemas.microsoft.com/office/2006/metadata/properties" ma:root="true" ma:fieldsID="450d655108cb1ee3c69e0bc0c23a663d" ns3:_="" ns4:_="" ns5:_="">
    <xsd:import namespace="a1e8a5da-a1c6-4ab6-9d74-9729d89e2e57"/>
    <xsd:import namespace="866aabb8-7ec2-447a-a7ff-f911015037e7"/>
    <xsd:import namespace="ea5fbecb-f629-44c5-b750-c70eb55bb12f"/>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8a5da-a1c6-4ab6-9d74-9729d89e2e57"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5fbecb-f629-44c5-b750-c70eb55bb12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EDE81-E919-4BAA-A219-C375C2515A38}">
  <ds:schemaRefs>
    <ds:schemaRef ds:uri="http://schemas.microsoft.com/sharepoint/v3/contenttype/forms"/>
  </ds:schemaRefs>
</ds:datastoreItem>
</file>

<file path=customXml/itemProps2.xml><?xml version="1.0" encoding="utf-8"?>
<ds:datastoreItem xmlns:ds="http://schemas.openxmlformats.org/officeDocument/2006/customXml" ds:itemID="{38B46C59-B027-4DAB-AC14-4C189279074E}">
  <ds:schemaRefs>
    <ds:schemaRef ds:uri="http://schemas.microsoft.com/office/2006/metadata/properties"/>
    <ds:schemaRef ds:uri="http://schemas.microsoft.com/office/infopath/2007/PartnerControls"/>
    <ds:schemaRef ds:uri="a1e8a5da-a1c6-4ab6-9d74-9729d89e2e57"/>
    <ds:schemaRef ds:uri="866aabb8-7ec2-447a-a7ff-f911015037e7"/>
  </ds:schemaRefs>
</ds:datastoreItem>
</file>

<file path=customXml/itemProps3.xml><?xml version="1.0" encoding="utf-8"?>
<ds:datastoreItem xmlns:ds="http://schemas.openxmlformats.org/officeDocument/2006/customXml" ds:itemID="{96E7E5B8-3F81-4E44-937D-47D86D624419}">
  <ds:schemaRefs>
    <ds:schemaRef ds:uri="http://schemas.microsoft.com/sharepoint/events"/>
  </ds:schemaRefs>
</ds:datastoreItem>
</file>

<file path=customXml/itemProps4.xml><?xml version="1.0" encoding="utf-8"?>
<ds:datastoreItem xmlns:ds="http://schemas.openxmlformats.org/officeDocument/2006/customXml" ds:itemID="{DC1D53F4-AB3B-4034-8CDC-485D6D0FE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8a5da-a1c6-4ab6-9d74-9729d89e2e57"/>
    <ds:schemaRef ds:uri="866aabb8-7ec2-447a-a7ff-f911015037e7"/>
    <ds:schemaRef ds:uri="ea5fbecb-f629-44c5-b750-c70eb55bb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5887EB-BBE4-4626-83A3-A1D7E6DC1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118</TotalTime>
  <Pages>95</Pages>
  <Words>31520</Words>
  <Characters>218123</Characters>
  <Application>Microsoft Office Word</Application>
  <DocSecurity>0</DocSecurity>
  <Lines>4451</Lines>
  <Paragraphs>1254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131</cp:revision>
  <dcterms:created xsi:type="dcterms:W3CDTF">2022-09-09T11:29:00Z</dcterms:created>
  <dcterms:modified xsi:type="dcterms:W3CDTF">2022-10-21T14:30:00Z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8.1, Build 20220902</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0x010100258AA79CEB83498886A3A08681123250004A12162D02DF3441BA3BAFD48BC1BB6D</vt:lpwstr>
  </property>
  <property fmtid="{D5CDD505-2E9C-101B-9397-08002B2CF9AE}" pid="11" name="_dlc_DocIdItemGuid">
    <vt:lpwstr>9fbe243e-601a-42dd-89c8-4a3c62e6c13c</vt:lpwstr>
  </property>
  <property fmtid="{D5CDD505-2E9C-101B-9397-08002B2CF9AE}" pid="12" name="MSIP_Label_6bd9ddd1-4d20-43f6-abfa-fc3c07406f94_Enabled">
    <vt:lpwstr>true</vt:lpwstr>
  </property>
  <property fmtid="{D5CDD505-2E9C-101B-9397-08002B2CF9AE}" pid="13" name="MSIP_Label_6bd9ddd1-4d20-43f6-abfa-fc3c07406f94_SetDate">
    <vt:lpwstr>2022-07-28T09:34:15Z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444ab797-4662-4cd7-8a88-a43b728db587</vt:lpwstr>
  </property>
  <property fmtid="{D5CDD505-2E9C-101B-9397-08002B2CF9AE}" pid="18" name="MSIP_Label_6bd9ddd1-4d20-43f6-abfa-fc3c07406f94_ContentBits">
    <vt:lpwstr>0</vt:lpwstr>
  </property>
  <property fmtid="{D5CDD505-2E9C-101B-9397-08002B2CF9AE}" pid="19" name="DQCStatus">
    <vt:lpwstr>Green (DQC version 03)</vt:lpwstr>
  </property>
</Properties>
</file>