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20A23" w14:textId="0C834739" w:rsidR="0026613F" w:rsidRDefault="009A5E32" w:rsidP="009A5E32">
      <w:pPr>
        <w:pStyle w:val="Pagedecouverture"/>
        <w:rPr>
          <w:noProof/>
        </w:rPr>
      </w:pPr>
      <w:bookmarkStart w:id="0" w:name="LW_BM_COVERPAGE"/>
      <w:r>
        <w:rPr>
          <w:noProof/>
        </w:rPr>
        <w:pict w14:anchorId="31741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DEE1D4A-2B92-4E28-BDD9-85A88D3D5A81" style="width:455.25pt;height:462.75pt">
            <v:imagedata r:id="rId12" o:title=""/>
          </v:shape>
        </w:pict>
      </w:r>
    </w:p>
    <w:bookmarkEnd w:id="0"/>
    <w:p w14:paraId="1B18DF8A" w14:textId="77777777" w:rsidR="0026613F" w:rsidRDefault="0026613F" w:rsidP="0026613F">
      <w:pPr>
        <w:rPr>
          <w:noProof/>
        </w:rPr>
        <w:sectPr w:rsidR="0026613F" w:rsidSect="009A5E3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B37E5" w:rsidRPr="006E5B0D" w14:paraId="71050D1F" w14:textId="77777777" w:rsidTr="00C70915">
        <w:tc>
          <w:tcPr>
            <w:tcW w:w="10490" w:type="dxa"/>
            <w:tcBorders>
              <w:bottom w:val="single" w:sz="4" w:space="0" w:color="auto"/>
            </w:tcBorders>
            <w:shd w:val="clear" w:color="auto" w:fill="CCCCCC"/>
          </w:tcPr>
          <w:p w14:paraId="24447339" w14:textId="77777777" w:rsidR="00EB37E5" w:rsidRPr="006E5B0D" w:rsidRDefault="00EB37E5" w:rsidP="00C70915">
            <w:pPr>
              <w:spacing w:before="120" w:after="120" w:line="240" w:lineRule="auto"/>
              <w:jc w:val="both"/>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Sammanfattning (högst 2 sidor)</w:t>
            </w:r>
          </w:p>
        </w:tc>
      </w:tr>
      <w:tr w:rsidR="00EB37E5" w:rsidRPr="006E5B0D" w14:paraId="39D22A30" w14:textId="77777777" w:rsidTr="00C70915">
        <w:tc>
          <w:tcPr>
            <w:tcW w:w="10490" w:type="dxa"/>
            <w:tcBorders>
              <w:top w:val="single" w:sz="4" w:space="0" w:color="auto"/>
              <w:left w:val="single" w:sz="4" w:space="0" w:color="auto"/>
              <w:bottom w:val="single" w:sz="4" w:space="0" w:color="auto"/>
              <w:right w:val="single" w:sz="4" w:space="0" w:color="auto"/>
            </w:tcBorders>
            <w:shd w:val="clear" w:color="auto" w:fill="4F81BD"/>
          </w:tcPr>
          <w:p w14:paraId="69D56009" w14:textId="7F026E0A" w:rsidR="00EB37E5" w:rsidRPr="006E5B0D" w:rsidRDefault="00EB37E5" w:rsidP="00EB37E5">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color w:val="FFFFFF" w:themeColor="background1"/>
                <w:sz w:val="24"/>
              </w:rPr>
              <w:t>Konsekvensbedömning av cyberresiliensakten</w:t>
            </w:r>
          </w:p>
        </w:tc>
      </w:tr>
      <w:tr w:rsidR="00EB37E5" w:rsidRPr="006E5B0D" w14:paraId="4E7CA02F" w14:textId="77777777" w:rsidTr="00C70915">
        <w:tc>
          <w:tcPr>
            <w:tcW w:w="10490" w:type="dxa"/>
            <w:tcBorders>
              <w:bottom w:val="single" w:sz="4" w:space="0" w:color="auto"/>
            </w:tcBorders>
            <w:shd w:val="clear" w:color="auto" w:fill="CCCCCC"/>
          </w:tcPr>
          <w:p w14:paraId="4EA94303" w14:textId="77777777" w:rsidR="00EB37E5" w:rsidRPr="006E5B0D" w:rsidRDefault="00EB37E5" w:rsidP="00C70915">
            <w:pPr>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A. Behov av åtgärder</w:t>
            </w:r>
          </w:p>
        </w:tc>
      </w:tr>
      <w:tr w:rsidR="00EB37E5" w:rsidRPr="006E5B0D" w14:paraId="65894A35" w14:textId="77777777" w:rsidTr="00C70915">
        <w:tc>
          <w:tcPr>
            <w:tcW w:w="10490" w:type="dxa"/>
            <w:tcBorders>
              <w:bottom w:val="single" w:sz="4" w:space="0" w:color="auto"/>
            </w:tcBorders>
            <w:shd w:val="clear" w:color="auto" w:fill="E0E0E0"/>
          </w:tcPr>
          <w:p w14:paraId="1E19F99A"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Vad är problemet och varför är det ett problem på EU-nivå? </w:t>
            </w:r>
          </w:p>
        </w:tc>
      </w:tr>
      <w:tr w:rsidR="00EB37E5" w:rsidRPr="006E5B0D" w14:paraId="2CB04BC7" w14:textId="77777777" w:rsidTr="00C70915">
        <w:tc>
          <w:tcPr>
            <w:tcW w:w="10490" w:type="dxa"/>
            <w:tcBorders>
              <w:bottom w:val="single" w:sz="4" w:space="0" w:color="auto"/>
            </w:tcBorders>
            <w:shd w:val="clear" w:color="auto" w:fill="auto"/>
          </w:tcPr>
          <w:p w14:paraId="5360D58D" w14:textId="11A13325" w:rsidR="00323916" w:rsidRPr="004D6284" w:rsidRDefault="00513388" w:rsidP="00C96AD6">
            <w:pPr>
              <w:autoSpaceDE w:val="0"/>
              <w:autoSpaceDN w:val="0"/>
              <w:spacing w:after="0" w:line="240" w:lineRule="auto"/>
              <w:jc w:val="both"/>
              <w:rPr>
                <w:rFonts w:ascii="Times New Roman" w:hAnsi="Times New Roman" w:cs="Times New Roman"/>
                <w:noProof/>
                <w:sz w:val="24"/>
                <w:szCs w:val="24"/>
              </w:rPr>
            </w:pPr>
            <w:r>
              <w:rPr>
                <w:rFonts w:ascii="Times New Roman" w:hAnsi="Times New Roman"/>
                <w:noProof/>
                <w:sz w:val="24"/>
              </w:rPr>
              <w:t>Hårdvaru- och mjukvaruprodukter utsätts ofta för framgångsrika cyberattacker, som beräknas medföra en global årlig kostnad för cyberbrottslighet på 5,5 biljoner EUR 2021. Dessa produkter har två stora problem som ökar kostnaderna för användarna och samhället: 1) en låg cybersäkerhetsnivå, vilket återspeglas av utbredda sårbarheter och ett otillräckligt och inkonsekvent tillhandahållande av säkerhetsuppdateringar för att åtgärda dessa sårbarheter, och 2) användarnas bristfälliga förståelse och tillgång till information, som hindrar dem från att välja produkter med lämpliga cybersäkerhetsegenskaper eller använda dem på ett säkert sätt.</w:t>
            </w:r>
          </w:p>
          <w:p w14:paraId="44ED6F05" w14:textId="301953B3" w:rsidR="00395B75" w:rsidRPr="009C6ECA" w:rsidRDefault="00395B75" w:rsidP="00DB2C1F">
            <w:pPr>
              <w:spacing w:before="120" w:after="120" w:line="240" w:lineRule="auto"/>
              <w:jc w:val="both"/>
              <w:rPr>
                <w:rFonts w:ascii="Times New Roman" w:hAnsi="Times New Roman" w:cs="Times New Roman"/>
                <w:noProof/>
                <w:sz w:val="24"/>
                <w:szCs w:val="24"/>
              </w:rPr>
            </w:pPr>
            <w:r>
              <w:rPr>
                <w:rFonts w:ascii="Times New Roman" w:hAnsi="Times New Roman"/>
                <w:noProof/>
                <w:sz w:val="24"/>
              </w:rPr>
              <w:t>Cybersäkerheten för produkter med digitala element har en stark gränsöverskridande dimension, eftersom produkter som tillverkas i ett land ofta används på hela den inre marknaden. På bara några minuter kan incidenter, som först påverkar en enda enhet eller enda medlemsstat, ofta sprida sig på hela den inre marknaden.</w:t>
            </w:r>
          </w:p>
          <w:p w14:paraId="63C8E2C3" w14:textId="47F33716" w:rsidR="004E4D57" w:rsidRPr="00AC6019" w:rsidRDefault="00EA21C2" w:rsidP="00457FBC">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Den befintliga inremarknadslagstiftningen omfattar vissa produkter med digitala element, men de flesta hårdvaru- och mjukvaruprodukter omfattas i dagsläget inte av någon EU-lagstiftning om cybersäkerhet. Den nuvarande rättsliga EU-ramen omfattar i synnerhet inte cybersäkerheten för icke-inbyggd mjukvara, trots att cybersäkerhetsattacker allt oftare riktas mot sårbarheter i sådana produkter, vilket medför betydande samhällskostnader och ekonomiska kostnader. Några färska exempel är Pegasus-spionprogrammet, som utnyttjade sårbarheter i mobiltelefoner, och gisslanmasken WannaCry, som utnyttjade en sårbarhet i Windows, vilket påverkade datorer i hela världen.</w:t>
            </w:r>
          </w:p>
        </w:tc>
      </w:tr>
      <w:tr w:rsidR="00EB37E5" w:rsidRPr="006E5B0D" w14:paraId="7D1BC01D" w14:textId="77777777" w:rsidTr="00C70915">
        <w:tc>
          <w:tcPr>
            <w:tcW w:w="10490" w:type="dxa"/>
            <w:tcBorders>
              <w:bottom w:val="single" w:sz="4" w:space="0" w:color="auto"/>
            </w:tcBorders>
            <w:shd w:val="clear" w:color="auto" w:fill="E6E6E6"/>
          </w:tcPr>
          <w:p w14:paraId="0257CB37"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Vad vill man uppnå?</w:t>
            </w:r>
          </w:p>
        </w:tc>
      </w:tr>
      <w:tr w:rsidR="00EB37E5" w:rsidRPr="006E5B0D" w14:paraId="79A003E3" w14:textId="77777777" w:rsidTr="00C70915">
        <w:tc>
          <w:tcPr>
            <w:tcW w:w="10490" w:type="dxa"/>
            <w:tcBorders>
              <w:bottom w:val="single" w:sz="4" w:space="0" w:color="auto"/>
            </w:tcBorders>
            <w:shd w:val="clear" w:color="auto" w:fill="auto"/>
          </w:tcPr>
          <w:p w14:paraId="2CA60F27" w14:textId="1D6F64D2" w:rsidR="00EB37E5" w:rsidRPr="00D04AC6" w:rsidRDefault="00243764" w:rsidP="00CD0A1A">
            <w:pPr>
              <w:spacing w:before="120" w:after="120" w:line="240" w:lineRule="auto"/>
              <w:jc w:val="both"/>
              <w:rPr>
                <w:rFonts w:ascii="Times New Roman" w:hAnsi="Times New Roman" w:cs="Times New Roman"/>
                <w:noProof/>
                <w:sz w:val="24"/>
                <w:szCs w:val="24"/>
              </w:rPr>
            </w:pPr>
            <w:r>
              <w:rPr>
                <w:rFonts w:ascii="Times New Roman" w:hAnsi="Times New Roman"/>
                <w:noProof/>
                <w:sz w:val="24"/>
              </w:rPr>
              <w:t>Två huvudmål identifierades för att säkerställa en korrekt fungerande inre marknad: 1) Skapa förutsättningar för utvecklingen av säkra produkter med digitala element genom att säkerställa att hårdvaru- och programvaruprodukter har färre sårbarheter när de släpps ut på marknaden och att tillverkarna tar säkerheten på allvar under hela produktens livscykel, och 2) skapa förutsättningar för att användarna ska kunna ta hänsyn till cybersäkerheten när de väljer och använder produkter med digitala element. Fyra särskilda</w:t>
            </w:r>
            <w:r>
              <w:rPr>
                <w:rFonts w:ascii="Times New Roman" w:hAnsi="Times New Roman"/>
                <w:b/>
                <w:noProof/>
                <w:sz w:val="24"/>
              </w:rPr>
              <w:t xml:space="preserve"> </w:t>
            </w:r>
            <w:r>
              <w:rPr>
                <w:rFonts w:ascii="Times New Roman" w:hAnsi="Times New Roman"/>
                <w:noProof/>
                <w:sz w:val="24"/>
              </w:rPr>
              <w:t>mål fastställdes</w:t>
            </w:r>
            <w:r>
              <w:rPr>
                <w:rFonts w:ascii="Times New Roman" w:hAnsi="Times New Roman"/>
                <w:b/>
                <w:noProof/>
                <w:sz w:val="24"/>
              </w:rPr>
              <w:t xml:space="preserve">: </w:t>
            </w:r>
            <w:r>
              <w:rPr>
                <w:rFonts w:ascii="Times New Roman" w:hAnsi="Times New Roman"/>
                <w:noProof/>
                <w:sz w:val="24"/>
              </w:rPr>
              <w:t>i) att säkerställa att tillverkarna förbättrar säkerheten för produkter med digitala element från utformnings- och utvecklingsfasen och genom hela produktens livscykel, ii) att säkerställa en sammanhängande cybersäkerhetsram, som främjar överensstämmelse för hårdvaru- och programvarutillverkare, iii) att förbättra transparensen när det gäller säkerhetsegenskaperna hos produkter med digitala element, och iv) att möjliggöra en säker användning av produkter med digitala element för företag och konsumenter.</w:t>
            </w:r>
          </w:p>
        </w:tc>
      </w:tr>
      <w:tr w:rsidR="00EB37E5" w:rsidRPr="006E5B0D" w14:paraId="50CF41C5" w14:textId="77777777" w:rsidTr="00C70915">
        <w:tc>
          <w:tcPr>
            <w:tcW w:w="10490" w:type="dxa"/>
            <w:tcBorders>
              <w:bottom w:val="single" w:sz="4" w:space="0" w:color="auto"/>
            </w:tcBorders>
            <w:shd w:val="clear" w:color="auto" w:fill="E6E6E6"/>
          </w:tcPr>
          <w:p w14:paraId="0AC20890"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Vad är mervärdet med åtgärder på EU-nivå (subsidiaritet)?</w:t>
            </w:r>
            <w:r>
              <w:rPr>
                <w:rFonts w:ascii="Times New Roman" w:hAnsi="Times New Roman"/>
                <w:noProof/>
                <w:sz w:val="24"/>
              </w:rPr>
              <w:t xml:space="preserve"> </w:t>
            </w:r>
          </w:p>
        </w:tc>
      </w:tr>
      <w:tr w:rsidR="00EB37E5" w:rsidRPr="006E5B0D" w14:paraId="3A827A3C" w14:textId="77777777" w:rsidTr="00C70915">
        <w:tc>
          <w:tcPr>
            <w:tcW w:w="10490" w:type="dxa"/>
            <w:tcBorders>
              <w:bottom w:val="single" w:sz="4" w:space="0" w:color="auto"/>
            </w:tcBorders>
            <w:shd w:val="clear" w:color="auto" w:fill="auto"/>
          </w:tcPr>
          <w:p w14:paraId="3A1B0B04" w14:textId="122BAB10" w:rsidR="00186F07" w:rsidRPr="00AC6019" w:rsidRDefault="00186F07" w:rsidP="00B610DC">
            <w:pPr>
              <w:spacing w:before="120" w:after="120" w:line="240" w:lineRule="auto"/>
              <w:jc w:val="both"/>
              <w:rPr>
                <w:rFonts w:ascii="Times New Roman" w:hAnsi="Times New Roman" w:cs="Times New Roman"/>
                <w:i/>
                <w:noProof/>
                <w:sz w:val="24"/>
                <w:szCs w:val="24"/>
              </w:rPr>
            </w:pPr>
            <w:r>
              <w:rPr>
                <w:rFonts w:ascii="Times New Roman" w:hAnsi="Times New Roman"/>
                <w:noProof/>
                <w:sz w:val="24"/>
              </w:rPr>
              <w:t>Cybersäkerhetens starka gränsöverskridande dimension och det ökande antalet incidenter med spridningseffekter över gränser och mellan sektorer och produkter innebär att målen inte kan uppnås på ett effektivt sätt av medlemsstaterna på egen hand. Eftersom marknaderna för produkter med digitala element är globala möter alla medlemsstater på sina territorier samma risker för samma produkter med digitala element. En framväxande fragmenterad ram bestående av potentiellt olika nationella regler riskerar att stå i vägen för en öppen och konkurrenspräglad inre marknad för produkter med digitala element. Det krävs alltså gemensamma åtgärder på EU-nivå för att öka förtroendet hos användarna och stärka dragningskraften för produkter med digitala element på EU-marknaden. Detta skulle också gagna den digitala inre marknaden genom att skapa rättssäkerhet och lika spelregler för alla tillverkare av produkter med digitala element.</w:t>
            </w:r>
          </w:p>
        </w:tc>
      </w:tr>
      <w:tr w:rsidR="00EB37E5" w:rsidRPr="006E5B0D" w14:paraId="7ABE812B" w14:textId="77777777" w:rsidTr="00C70915">
        <w:tc>
          <w:tcPr>
            <w:tcW w:w="10490" w:type="dxa"/>
            <w:tcBorders>
              <w:bottom w:val="single" w:sz="4" w:space="0" w:color="auto"/>
            </w:tcBorders>
            <w:shd w:val="clear" w:color="auto" w:fill="CCCCCC"/>
          </w:tcPr>
          <w:p w14:paraId="3A982B36" w14:textId="77777777" w:rsidR="00EB37E5" w:rsidRPr="006E5B0D" w:rsidRDefault="00EB37E5" w:rsidP="00C70915">
            <w:pPr>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B. Lösningar</w:t>
            </w:r>
          </w:p>
        </w:tc>
      </w:tr>
      <w:tr w:rsidR="00EB37E5" w:rsidRPr="006E5B0D" w14:paraId="1648F832" w14:textId="77777777" w:rsidTr="00C70915">
        <w:tc>
          <w:tcPr>
            <w:tcW w:w="10490" w:type="dxa"/>
            <w:tcBorders>
              <w:bottom w:val="single" w:sz="4" w:space="0" w:color="auto"/>
            </w:tcBorders>
            <w:shd w:val="clear" w:color="auto" w:fill="E6E6E6"/>
          </w:tcPr>
          <w:p w14:paraId="796E448E"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Vilka alternativ finns för att nå målen?</w:t>
            </w:r>
            <w:r>
              <w:rPr>
                <w:rFonts w:ascii="Times New Roman" w:hAnsi="Times New Roman"/>
                <w:noProof/>
                <w:sz w:val="24"/>
              </w:rPr>
              <w:t xml:space="preserve"> </w:t>
            </w:r>
            <w:r>
              <w:rPr>
                <w:rFonts w:ascii="Times New Roman" w:hAnsi="Times New Roman"/>
                <w:b/>
                <w:noProof/>
                <w:sz w:val="24"/>
              </w:rPr>
              <w:t>Finns det ett rekommenderat alternativ? Om inte, varför?</w:t>
            </w:r>
          </w:p>
        </w:tc>
      </w:tr>
      <w:tr w:rsidR="00EB37E5" w:rsidRPr="006E5B0D" w14:paraId="19C556B5" w14:textId="77777777" w:rsidTr="00C70915">
        <w:tc>
          <w:tcPr>
            <w:tcW w:w="10490" w:type="dxa"/>
            <w:tcBorders>
              <w:bottom w:val="single" w:sz="4" w:space="0" w:color="auto"/>
            </w:tcBorders>
            <w:shd w:val="clear" w:color="auto" w:fill="auto"/>
          </w:tcPr>
          <w:p w14:paraId="08664C57" w14:textId="53C948A4" w:rsidR="000B5EA4" w:rsidRDefault="00A97297"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Följande fyra politiska alternativ och underalternativ analyserades vilka gick utöver den rådande situationen: 1) Ett ”icke-bindande” tillvägagångssätt och frivilliga åtgärder. 2) Produktspecifika ad hoc-regleringsåtgärder för cybersäkerhet för fysiska produkter med digitala element respektive inbyggd programvara. 3) Ett blandat tillvägagångssätt, som innefattar övergripande obligatoriska krav för cybersäkerheten för produkter med digitala element och respektive inbyggd programvara, och ett stegvist tillvägagångssätt för icke-inbyggd programvara, med två underalternativ för bedömning av överensstämmelse. 4) En övergripande regleringsåtgärd som omfattar cybersäkerhetskrav för ett brett spektrum av produkter med digitala element, inklusive icke-inbyggd programvara, med underalternativ avseende omfattningen av bedömningen av överensstämmelse. </w:t>
            </w:r>
          </w:p>
          <w:p w14:paraId="578B6598" w14:textId="0DC32BF0" w:rsidR="00EB37E5" w:rsidRPr="00B326AB" w:rsidRDefault="00EB37E5" w:rsidP="00BA230A">
            <w:pPr>
              <w:spacing w:before="120" w:after="120" w:line="240" w:lineRule="auto"/>
              <w:jc w:val="both"/>
              <w:rPr>
                <w:rFonts w:ascii="Times New Roman" w:eastAsiaTheme="minorEastAsia" w:hAnsi="Times New Roman" w:cs="Times New Roman"/>
                <w:noProof/>
                <w:color w:val="000000" w:themeColor="text1"/>
                <w:kern w:val="24"/>
                <w:sz w:val="24"/>
                <w:szCs w:val="24"/>
              </w:rPr>
            </w:pPr>
            <w:r>
              <w:rPr>
                <w:rFonts w:ascii="Times New Roman" w:hAnsi="Times New Roman"/>
                <w:noProof/>
                <w:sz w:val="24"/>
              </w:rPr>
              <w:t xml:space="preserve">Slutsatsen var att alternativ 4 var det </w:t>
            </w:r>
            <w:r>
              <w:rPr>
                <w:rFonts w:ascii="Times New Roman" w:hAnsi="Times New Roman"/>
                <w:b/>
                <w:noProof/>
                <w:sz w:val="24"/>
              </w:rPr>
              <w:t>rekommenderade alternativet</w:t>
            </w:r>
            <w:r>
              <w:rPr>
                <w:rFonts w:ascii="Times New Roman" w:hAnsi="Times New Roman"/>
                <w:noProof/>
                <w:sz w:val="24"/>
              </w:rPr>
              <w:t xml:space="preserve">. Det omfattar alla produkter med digitala element och en obligatorisk tredjepartsbedömning för kritiska produkter. Detta baserades på effektiviteten i förhållande till de särskilda målen och vad gäller kostnader och nytta, samt samstämmigheten. </w:t>
            </w:r>
          </w:p>
        </w:tc>
      </w:tr>
      <w:tr w:rsidR="00EB37E5" w:rsidRPr="006E5B0D" w14:paraId="7895B2DF" w14:textId="77777777" w:rsidTr="00C70915">
        <w:tc>
          <w:tcPr>
            <w:tcW w:w="10490" w:type="dxa"/>
            <w:shd w:val="clear" w:color="auto" w:fill="CCCCCC"/>
          </w:tcPr>
          <w:p w14:paraId="429C131A" w14:textId="77777777" w:rsidR="00EB37E5" w:rsidRPr="00687DAE" w:rsidRDefault="00EB37E5" w:rsidP="00C70915">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Vad anser de berörda parterna? Vem stöder vilka alternativ? </w:t>
            </w:r>
          </w:p>
        </w:tc>
      </w:tr>
      <w:tr w:rsidR="00EB37E5" w:rsidRPr="006E5B0D" w14:paraId="5AC47EF8" w14:textId="77777777" w:rsidTr="00C70915">
        <w:tc>
          <w:tcPr>
            <w:tcW w:w="10490" w:type="dxa"/>
            <w:shd w:val="clear" w:color="auto" w:fill="auto"/>
          </w:tcPr>
          <w:p w14:paraId="21FBFA78" w14:textId="512F157C" w:rsidR="00EB37E5" w:rsidRPr="00687DAE" w:rsidRDefault="00BC1E2D" w:rsidP="00271573">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Deltagarna ombads rangordna de olika åtgärdernas effektivitet och de var eniga om att alternativ 4 skulle vara den mest ändamålsenliga åtgärden (4,08 på en skala från 1 till 5). Detta innefattar konsumentorganisationer (5,00), deltagare som identifierar sig som användare (4,22), anmälda organ (4,17), marknadskontrollmyndigheter (5,00) och tillverkare av produkter med digitala element (3,85), inbegripet tillverkare som är små och medelstora företag (4,05).</w:t>
            </w:r>
          </w:p>
        </w:tc>
      </w:tr>
      <w:tr w:rsidR="00EB37E5" w:rsidRPr="006E5B0D" w14:paraId="44229911" w14:textId="77777777" w:rsidTr="00C70915">
        <w:tc>
          <w:tcPr>
            <w:tcW w:w="10490" w:type="dxa"/>
            <w:tcBorders>
              <w:bottom w:val="single" w:sz="4" w:space="0" w:color="auto"/>
            </w:tcBorders>
            <w:shd w:val="clear" w:color="auto" w:fill="CCCCCC"/>
          </w:tcPr>
          <w:p w14:paraId="3F47E4D5" w14:textId="77777777" w:rsidR="00EB37E5" w:rsidRPr="006E5B0D" w:rsidRDefault="00EB37E5" w:rsidP="00C70915">
            <w:pPr>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C. Det rekommenderade alternativets konsekvenser</w:t>
            </w:r>
          </w:p>
        </w:tc>
      </w:tr>
      <w:tr w:rsidR="00EB37E5" w:rsidRPr="006E5B0D" w14:paraId="6C585E0F" w14:textId="77777777" w:rsidTr="00C70915">
        <w:tc>
          <w:tcPr>
            <w:tcW w:w="10490" w:type="dxa"/>
            <w:tcBorders>
              <w:bottom w:val="single" w:sz="4" w:space="0" w:color="auto"/>
            </w:tcBorders>
            <w:shd w:val="clear" w:color="auto" w:fill="E6E6E6"/>
          </w:tcPr>
          <w:p w14:paraId="7E570B45"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Vad är nyttan</w:t>
            </w:r>
            <w:r>
              <w:rPr>
                <w:rFonts w:ascii="Times New Roman" w:hAnsi="Times New Roman"/>
                <w:noProof/>
                <w:sz w:val="24"/>
              </w:rPr>
              <w:t xml:space="preserve"> </w:t>
            </w:r>
            <w:r>
              <w:rPr>
                <w:rFonts w:ascii="Times New Roman" w:hAnsi="Times New Roman"/>
                <w:b/>
                <w:noProof/>
                <w:sz w:val="24"/>
              </w:rPr>
              <w:t>med det rekommenderade alternativet (om det finns ett sådant alternativ, annars anges nyttan med de huvudsakliga alternativen)?</w:t>
            </w:r>
          </w:p>
        </w:tc>
      </w:tr>
      <w:tr w:rsidR="00EB37E5" w:rsidRPr="006E5B0D" w14:paraId="21FA1EA0" w14:textId="77777777" w:rsidTr="00C70915">
        <w:tc>
          <w:tcPr>
            <w:tcW w:w="10490" w:type="dxa"/>
            <w:tcBorders>
              <w:bottom w:val="single" w:sz="4" w:space="0" w:color="auto"/>
            </w:tcBorders>
            <w:shd w:val="clear" w:color="auto" w:fill="auto"/>
          </w:tcPr>
          <w:p w14:paraId="151D595E" w14:textId="508DF67B" w:rsidR="00EB37E5" w:rsidRPr="005B774F" w:rsidRDefault="00EB37E5" w:rsidP="00C310B1">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Det rekommenderade alternativet skulle innebära betydande fördelar för de olika intressenterna. För företagen skulle det förhindra att olikartade säkerhetsregler gäller för produkter med digitala element, och det skulle sänka kostnaderna för uppfyllande av kraven i cybersäkerhetslagstiftningen. Det skulle minska antalet cyberincidenter, kostnaden för incidenthantering och risken för skadat anseende. För EU som helhet beräknas att initiativet kan minska kostnaderna för incidenter som påverkar företag med i storleksordningen 180–290 miljarder euro per år. Det skulle också leda till ökad omsättning tack vare en ökad efterfrågan på produkter med digitala element. Det skulle förbättra företagens globala anseende och leda till en ökad efterfrågan också utanför EU. För slutanvändarna skulle det rekommenderade alternativet öka transparensen för säkerhetsegenskaper och underlätta användningen av produkter med digitala element. Konsumenter och medborgare skulle också gagnas av ett bättre skydd för sina grundläggande rättigheter, såsom personlig integritet och skydd av personuppgifter. </w:t>
            </w:r>
          </w:p>
        </w:tc>
      </w:tr>
      <w:tr w:rsidR="00EB37E5" w:rsidRPr="006E5B0D" w14:paraId="2532B880" w14:textId="77777777" w:rsidTr="00C70915">
        <w:tc>
          <w:tcPr>
            <w:tcW w:w="10490" w:type="dxa"/>
            <w:tcBorders>
              <w:bottom w:val="single" w:sz="4" w:space="0" w:color="auto"/>
            </w:tcBorders>
            <w:shd w:val="clear" w:color="auto" w:fill="E6E6E6"/>
          </w:tcPr>
          <w:p w14:paraId="1375B1CD"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Vad är kostnaderna för det rekommenderade alternativet (om det finns ett sådant alternativ, annars anges kostnaderna för de huvudsakliga alternativen)?</w:t>
            </w:r>
            <w:r>
              <w:rPr>
                <w:rFonts w:ascii="Times New Roman" w:hAnsi="Times New Roman"/>
                <w:noProof/>
                <w:sz w:val="24"/>
              </w:rPr>
              <w:t xml:space="preserve"> </w:t>
            </w:r>
          </w:p>
        </w:tc>
      </w:tr>
      <w:tr w:rsidR="00EB37E5" w:rsidRPr="006E5B0D" w14:paraId="23D9AF53" w14:textId="77777777" w:rsidTr="00C70915">
        <w:tc>
          <w:tcPr>
            <w:tcW w:w="10490" w:type="dxa"/>
            <w:tcBorders>
              <w:bottom w:val="single" w:sz="4" w:space="0" w:color="auto"/>
            </w:tcBorders>
            <w:shd w:val="clear" w:color="auto" w:fill="auto"/>
          </w:tcPr>
          <w:p w14:paraId="25DCD4BA" w14:textId="23762E7D" w:rsidR="00EB37E5" w:rsidRPr="00363479" w:rsidRDefault="00EB37E5" w:rsidP="00055F4F">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Det rekommenderade alternativet skulle medföra kostnader för överensstämmelse och kontroll av efterlevnad för företag, anmälda organ och offentliga myndigheter, inbegripet anmälande myndigheter och ackrediterings- och marknadskontrollmyndigheter. För programvaruutvecklare och hårdvarutillverkare kommer det att öka de direkta kostnaderna för uppfyllandet av nya cybersäkerhetskrav, bedömning av överensstämmelse, dokumentation och rapporteringsskyldigheter, uppgående till sammanlagt omkring 29 miljarder EUR för ett beräknat marknadsvärde för produkter med digitala element på upp till 1 485 miljarder EUR i omsättning. Slutanvändare, såsom slutanvändare som är företag, konsumenter och medborgare, kan drabbas av högre priser på produkter med digitala element. Detta bör dock ses mot bakgrund av de betydande fördelar som beskrivs ovan. För anmälda organ väntas merkostnaderna täckas genom en ökad omsättning. </w:t>
            </w:r>
          </w:p>
        </w:tc>
      </w:tr>
      <w:tr w:rsidR="00EB37E5" w:rsidRPr="006E5B0D" w14:paraId="1F4205DF" w14:textId="77777777" w:rsidTr="00C70915">
        <w:tc>
          <w:tcPr>
            <w:tcW w:w="10490" w:type="dxa"/>
            <w:tcBorders>
              <w:bottom w:val="single" w:sz="4" w:space="0" w:color="auto"/>
            </w:tcBorders>
            <w:shd w:val="clear" w:color="auto" w:fill="E6E6E6"/>
          </w:tcPr>
          <w:p w14:paraId="7127CF21"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Hur påverkas små och medelstora företag och konkurrenskraften? </w:t>
            </w:r>
          </w:p>
        </w:tc>
      </w:tr>
      <w:tr w:rsidR="00EB37E5" w:rsidRPr="006E5B0D" w14:paraId="5BD1E6EB" w14:textId="77777777" w:rsidTr="00C70915">
        <w:tc>
          <w:tcPr>
            <w:tcW w:w="10490" w:type="dxa"/>
            <w:tcBorders>
              <w:bottom w:val="single" w:sz="4" w:space="0" w:color="auto"/>
            </w:tcBorders>
            <w:shd w:val="clear" w:color="auto" w:fill="auto"/>
          </w:tcPr>
          <w:p w14:paraId="42E8109B" w14:textId="183DBD2B" w:rsidR="00EB37E5" w:rsidRPr="0014321F" w:rsidRDefault="00D465AC" w:rsidP="008121E8">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Små och medelstora företag kommer att påverkas av de nya kraven som både tillverkare och slutanvändare. När det gäller kostnaderna för att uppfylla kraven skulle de små och medelstora företagen i princip påverkas mer än större företag, som normalt har skalfördelar och större cybersäkerhetsmedvetenhet. Små och medelstora företag skulle dock få stora fördelar av initiativet eftersom cybersäkerhet som är inbyggd i produkter med digitala element skulle medföra betydande kostnadsbesparingar för dessa företag. Som tillverkare skulle små och medelstora företag gagnas av ökat förtroende hos slutanvändarna och nya kunder. En sömlös tillgång till den inre marknaden och minskad marknadsfragmentering är faktorer som kan vara ännu mer fördelaktiga för små och medelstora företag, eftersom de har sämre förutsättningar för att hantera en mångfald av regleringskrav. De små och medelstora företagen betonade behovet av en proportionell strategi och stödåtgärder, men stödde generellt tanken på lika spelregler för alla företag och trodde inte att de skulle missgynnas jämfört med större företag i ett scenario med övergripande obligatoriska krav.</w:t>
            </w:r>
          </w:p>
        </w:tc>
      </w:tr>
      <w:tr w:rsidR="00EB37E5" w:rsidRPr="006E5B0D" w14:paraId="49980AAA" w14:textId="77777777" w:rsidTr="00C70915">
        <w:tc>
          <w:tcPr>
            <w:tcW w:w="10490" w:type="dxa"/>
            <w:tcBorders>
              <w:bottom w:val="single" w:sz="4" w:space="0" w:color="auto"/>
            </w:tcBorders>
            <w:shd w:val="clear" w:color="auto" w:fill="E6E6E6"/>
          </w:tcPr>
          <w:p w14:paraId="1E94B2B2" w14:textId="77777777" w:rsidR="00EB37E5" w:rsidRPr="006E5B0D" w:rsidRDefault="00EB37E5" w:rsidP="00C70915">
            <w:pPr>
              <w:spacing w:before="120" w:after="120" w:line="240" w:lineRule="auto"/>
              <w:jc w:val="both"/>
              <w:rPr>
                <w:rFonts w:ascii="Times New Roman" w:eastAsia="Times New Roman" w:hAnsi="Times New Roman" w:cs="Times New Roman"/>
                <w:b/>
                <w:i/>
                <w:noProof/>
                <w:sz w:val="24"/>
                <w:szCs w:val="20"/>
              </w:rPr>
            </w:pPr>
            <w:r>
              <w:rPr>
                <w:rFonts w:ascii="Times New Roman" w:hAnsi="Times New Roman"/>
                <w:b/>
                <w:noProof/>
                <w:sz w:val="24"/>
              </w:rPr>
              <w:t>Påverkas medlemsstaternas budgetar och förvaltningar i betydande grad?</w:t>
            </w:r>
            <w:r>
              <w:rPr>
                <w:rFonts w:ascii="Times New Roman" w:hAnsi="Times New Roman"/>
                <w:noProof/>
                <w:sz w:val="24"/>
              </w:rPr>
              <w:t xml:space="preserve"> </w:t>
            </w:r>
          </w:p>
        </w:tc>
      </w:tr>
      <w:tr w:rsidR="00EB37E5" w:rsidRPr="006E5B0D" w14:paraId="2679FC60" w14:textId="77777777" w:rsidTr="00C70915">
        <w:tc>
          <w:tcPr>
            <w:tcW w:w="10490" w:type="dxa"/>
            <w:shd w:val="clear" w:color="auto" w:fill="auto"/>
          </w:tcPr>
          <w:p w14:paraId="68DDF7D8" w14:textId="77EC3594" w:rsidR="00EB37E5" w:rsidRPr="006E5B0D" w:rsidRDefault="004E722E" w:rsidP="00FC65B2">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Initiativet kommer att påverka nationella myndigheter, däribland nationella anmälande myndigheter, ackrediteringsmyndigheter och marknadskontrollmyndigheter som har ansvaret för att övervaka och kontrollera efterlevnaden av de föreslagna åtgärderna. Dessa myndigheter kommer att få  merkostnader för anpassning (t.ex. utbildning och personalresurser) och kontroll av efterlevnaden till följd av de nya kraven. De resurser som används av ackrediteringsorganen kompenseras dock och bärs huvudsakligen av organ för bedömning av överensstämmelse genom en upphandling av ackrediteringstjänster. </w:t>
            </w:r>
          </w:p>
        </w:tc>
      </w:tr>
      <w:tr w:rsidR="00EB37E5" w:rsidRPr="006E5B0D" w14:paraId="466EF5AC" w14:textId="77777777" w:rsidTr="00C70915">
        <w:tc>
          <w:tcPr>
            <w:tcW w:w="10490" w:type="dxa"/>
            <w:tcBorders>
              <w:bottom w:val="single" w:sz="4" w:space="0" w:color="auto"/>
            </w:tcBorders>
            <w:shd w:val="clear" w:color="auto" w:fill="E6E6E6"/>
          </w:tcPr>
          <w:p w14:paraId="30D3BFB9"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Uppstår andra betydande konsekvenser?</w:t>
            </w:r>
            <w:r>
              <w:rPr>
                <w:rFonts w:ascii="Times New Roman" w:hAnsi="Times New Roman"/>
                <w:noProof/>
                <w:sz w:val="24"/>
              </w:rPr>
              <w:t xml:space="preserve"> </w:t>
            </w:r>
          </w:p>
        </w:tc>
      </w:tr>
      <w:tr w:rsidR="00EB37E5" w:rsidRPr="006E5B0D" w14:paraId="362E86D8" w14:textId="77777777" w:rsidTr="00C70915">
        <w:tc>
          <w:tcPr>
            <w:tcW w:w="10490" w:type="dxa"/>
            <w:tcBorders>
              <w:bottom w:val="single" w:sz="4" w:space="0" w:color="auto"/>
            </w:tcBorders>
            <w:shd w:val="clear" w:color="auto" w:fill="auto"/>
          </w:tcPr>
          <w:p w14:paraId="29D39CAE" w14:textId="61CAFF33" w:rsidR="00EB37E5" w:rsidRPr="0014321F" w:rsidRDefault="00EB37E5">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Inga andra betydande negativa konsekvenser förväntas. Det rekommenderade alternativet skulle bidra till att minska antalet incidenter och incidenternas allvarlighetsgrad, inbegripet när det gäller personuppgiftsincidenter, och skulle ha positiva sociala effekter, såsom minskad cyberbrottslighet. Efterfrågan på säkerhetspersonal kommer sannolikt att öka och asymmetrierna i fråga om cybersäkerhetsinformation kommer att minska.</w:t>
            </w:r>
          </w:p>
        </w:tc>
      </w:tr>
      <w:tr w:rsidR="00EB37E5" w:rsidRPr="006E5B0D" w14:paraId="0C45CDA7" w14:textId="77777777" w:rsidTr="00C70915">
        <w:tc>
          <w:tcPr>
            <w:tcW w:w="10490" w:type="dxa"/>
            <w:tcBorders>
              <w:bottom w:val="single" w:sz="4" w:space="0" w:color="auto"/>
            </w:tcBorders>
            <w:shd w:val="clear" w:color="auto" w:fill="D9D9D9"/>
          </w:tcPr>
          <w:p w14:paraId="31F7D8D2" w14:textId="77777777" w:rsidR="00EB37E5" w:rsidRPr="006E5B0D" w:rsidRDefault="00EB37E5" w:rsidP="00C70915">
            <w:pPr>
              <w:spacing w:before="120" w:after="120" w:line="240" w:lineRule="auto"/>
              <w:jc w:val="both"/>
              <w:rPr>
                <w:rFonts w:ascii="Times New Roman" w:eastAsia="Times New Roman" w:hAnsi="Times New Roman" w:cs="Times New Roman"/>
                <w:i/>
                <w:noProof/>
                <w:sz w:val="24"/>
                <w:szCs w:val="20"/>
              </w:rPr>
            </w:pPr>
            <w:r>
              <w:rPr>
                <w:rFonts w:ascii="Times New Roman" w:hAnsi="Times New Roman"/>
                <w:b/>
                <w:noProof/>
                <w:sz w:val="24"/>
              </w:rPr>
              <w:t>Proportionalitetsprincipen</w:t>
            </w:r>
            <w:r>
              <w:rPr>
                <w:rFonts w:ascii="Times New Roman" w:hAnsi="Times New Roman"/>
                <w:noProof/>
                <w:sz w:val="24"/>
              </w:rPr>
              <w:t xml:space="preserve"> </w:t>
            </w:r>
          </w:p>
        </w:tc>
      </w:tr>
      <w:tr w:rsidR="00EB37E5" w:rsidRPr="006E5B0D" w14:paraId="31670EA5" w14:textId="77777777" w:rsidTr="00C70915">
        <w:tc>
          <w:tcPr>
            <w:tcW w:w="10490" w:type="dxa"/>
            <w:tcBorders>
              <w:bottom w:val="single" w:sz="4" w:space="0" w:color="auto"/>
            </w:tcBorders>
            <w:shd w:val="clear" w:color="auto" w:fill="auto"/>
          </w:tcPr>
          <w:p w14:paraId="6CEF3F94" w14:textId="1DAB1B08" w:rsidR="00EB37E5" w:rsidRPr="006E5B0D" w:rsidRDefault="00EB37E5" w:rsidP="00A53783">
            <w:pPr>
              <w:spacing w:before="120" w:after="120" w:line="240" w:lineRule="auto"/>
              <w:jc w:val="both"/>
              <w:rPr>
                <w:rFonts w:ascii="Times New Roman" w:eastAsia="Times New Roman" w:hAnsi="Times New Roman" w:cs="Times New Roman"/>
                <w:i/>
                <w:noProof/>
                <w:sz w:val="24"/>
                <w:szCs w:val="20"/>
              </w:rPr>
            </w:pPr>
            <w:r>
              <w:rPr>
                <w:rFonts w:ascii="Times New Roman" w:hAnsi="Times New Roman"/>
                <w:noProof/>
                <w:sz w:val="24"/>
              </w:rPr>
              <w:t>Det rekommenderade alternativet går inte utöver vad som är nödvändigt för att i tillräckligt hög grad uppnå de särskilda målen. Åtgärden skulle säkerställa att produkter med digitala element är säkra under hela sin livscykel och den skulle stå i proportion till de berörda riskerna.</w:t>
            </w:r>
            <w:r>
              <w:rPr>
                <w:noProof/>
              </w:rPr>
              <w:t xml:space="preserve"> </w:t>
            </w:r>
          </w:p>
        </w:tc>
      </w:tr>
      <w:tr w:rsidR="00EB37E5" w:rsidRPr="006E5B0D" w14:paraId="5DC924FB" w14:textId="77777777" w:rsidTr="00C70915">
        <w:tc>
          <w:tcPr>
            <w:tcW w:w="10490" w:type="dxa"/>
            <w:tcBorders>
              <w:bottom w:val="single" w:sz="4" w:space="0" w:color="auto"/>
            </w:tcBorders>
            <w:shd w:val="clear" w:color="auto" w:fill="C0C0C0"/>
          </w:tcPr>
          <w:p w14:paraId="59A9AFC6" w14:textId="77777777" w:rsidR="00EB37E5" w:rsidRPr="006E5B0D" w:rsidRDefault="00EB37E5" w:rsidP="00C70915">
            <w:pPr>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D. Uppföljning</w:t>
            </w:r>
          </w:p>
        </w:tc>
      </w:tr>
      <w:tr w:rsidR="00EB37E5" w:rsidRPr="006E5B0D" w14:paraId="7AD2DCB9" w14:textId="77777777" w:rsidTr="00C70915">
        <w:tc>
          <w:tcPr>
            <w:tcW w:w="10490" w:type="dxa"/>
            <w:tcBorders>
              <w:bottom w:val="single" w:sz="4" w:space="0" w:color="auto"/>
            </w:tcBorders>
            <w:shd w:val="clear" w:color="auto" w:fill="E6E6E6"/>
          </w:tcPr>
          <w:p w14:paraId="089C9A29" w14:textId="77777777" w:rsidR="00EB37E5" w:rsidRPr="006E5B0D" w:rsidRDefault="00EB37E5" w:rsidP="00C70915">
            <w:pPr>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När kommer åtgärderna att ses över? </w:t>
            </w:r>
          </w:p>
        </w:tc>
      </w:tr>
      <w:tr w:rsidR="00EB37E5" w:rsidRPr="006E5B0D" w14:paraId="4601EBC0" w14:textId="77777777" w:rsidTr="00C70915">
        <w:tc>
          <w:tcPr>
            <w:tcW w:w="10490" w:type="dxa"/>
            <w:tcBorders>
              <w:bottom w:val="single" w:sz="4" w:space="0" w:color="auto"/>
            </w:tcBorders>
            <w:shd w:val="clear" w:color="auto" w:fill="auto"/>
          </w:tcPr>
          <w:p w14:paraId="066AB081" w14:textId="3551CFB3" w:rsidR="00EB37E5" w:rsidRPr="006E5B0D" w:rsidRDefault="00832ADB" w:rsidP="00D201CE">
            <w:pPr>
              <w:pStyle w:val="CommentText"/>
              <w:spacing w:before="120" w:after="120"/>
              <w:jc w:val="both"/>
              <w:rPr>
                <w:noProof/>
              </w:rPr>
            </w:pPr>
            <w:r>
              <w:rPr>
                <w:rFonts w:ascii="Times New Roman" w:hAnsi="Times New Roman"/>
                <w:noProof/>
                <w:sz w:val="24"/>
              </w:rPr>
              <w:t xml:space="preserve">Kommissionen ska senast [36 månader efter den dag då initiativet börjar tillämpas] och därefter vart fjärde år, överlämna en rapport om utvärderingen och översynen av denna förordning till Europaparlamentet och rådet. </w:t>
            </w:r>
          </w:p>
        </w:tc>
      </w:tr>
    </w:tbl>
    <w:p w14:paraId="52BE0901" w14:textId="77777777" w:rsidR="00EB37E5" w:rsidRDefault="00EB37E5" w:rsidP="00A45775">
      <w:pPr>
        <w:spacing w:before="120" w:after="120" w:line="240" w:lineRule="auto"/>
        <w:rPr>
          <w:noProof/>
        </w:rPr>
      </w:pPr>
    </w:p>
    <w:sectPr w:rsidR="00EB37E5" w:rsidSect="0026613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67C7" w14:textId="77777777" w:rsidR="006C2D6F" w:rsidRDefault="006C2D6F" w:rsidP="0026613F">
      <w:pPr>
        <w:spacing w:after="0" w:line="240" w:lineRule="auto"/>
      </w:pPr>
      <w:r>
        <w:separator/>
      </w:r>
    </w:p>
  </w:endnote>
  <w:endnote w:type="continuationSeparator" w:id="0">
    <w:p w14:paraId="14FC3BC5" w14:textId="77777777" w:rsidR="006C2D6F" w:rsidRDefault="006C2D6F" w:rsidP="0026613F">
      <w:pPr>
        <w:spacing w:after="0" w:line="240" w:lineRule="auto"/>
      </w:pPr>
      <w:r>
        <w:continuationSeparator/>
      </w:r>
    </w:p>
  </w:endnote>
  <w:endnote w:type="continuationNotice" w:id="1">
    <w:p w14:paraId="78992FF2" w14:textId="77777777" w:rsidR="006C2D6F" w:rsidRDefault="006C2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64C4" w14:textId="77777777" w:rsidR="009A5E32" w:rsidRPr="009A5E32" w:rsidRDefault="009A5E32" w:rsidP="009A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6BDB" w14:textId="243D62C0" w:rsidR="00D742DE" w:rsidRPr="009A5E32" w:rsidRDefault="009A5E32" w:rsidP="009A5E32">
    <w:pPr>
      <w:pStyle w:val="FooterCoverPage"/>
      <w:rPr>
        <w:rFonts w:ascii="Arial" w:hAnsi="Arial" w:cs="Arial"/>
        <w:b/>
        <w:sz w:val="48"/>
      </w:rPr>
    </w:pPr>
    <w:r w:rsidRPr="009A5E32">
      <w:rPr>
        <w:rFonts w:ascii="Arial" w:hAnsi="Arial" w:cs="Arial"/>
        <w:b/>
        <w:sz w:val="48"/>
      </w:rPr>
      <w:t>SV</w:t>
    </w:r>
    <w:r w:rsidRPr="009A5E32">
      <w:rPr>
        <w:rFonts w:ascii="Arial" w:hAnsi="Arial" w:cs="Arial"/>
        <w:b/>
        <w:sz w:val="48"/>
      </w:rPr>
      <w:tab/>
    </w:r>
    <w:r w:rsidRPr="009A5E32">
      <w:rPr>
        <w:rFonts w:ascii="Arial" w:hAnsi="Arial" w:cs="Arial"/>
        <w:b/>
        <w:sz w:val="48"/>
      </w:rPr>
      <w:tab/>
    </w:r>
    <w:r w:rsidRPr="009A5E32">
      <w:tab/>
    </w:r>
    <w:r w:rsidRPr="009A5E32">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2283" w14:textId="77777777" w:rsidR="009A5E32" w:rsidRPr="009A5E32" w:rsidRDefault="009A5E32" w:rsidP="009A5E3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EA8A" w14:textId="77777777" w:rsidR="006C2D6F" w:rsidRDefault="006C2D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rPr>
        <w:noProof/>
      </w:rPr>
    </w:sdtEndPr>
    <w:sdtContent>
      <w:p w14:paraId="606EA2B1" w14:textId="1E62F832" w:rsidR="006C2D6F" w:rsidRDefault="006C2D6F" w:rsidP="00B072CD">
        <w:pPr>
          <w:pStyle w:val="Footer"/>
          <w:jc w:val="center"/>
        </w:pPr>
        <w:r>
          <w:fldChar w:fldCharType="begin"/>
        </w:r>
        <w:r>
          <w:instrText xml:space="preserve"> PAGE   \* MERGEFORMAT </w:instrText>
        </w:r>
        <w:r>
          <w:fldChar w:fldCharType="separate"/>
        </w:r>
        <w:r w:rsidR="009A5E32">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4CF" w14:textId="77777777" w:rsidR="006C2D6F" w:rsidRDefault="006C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438B" w14:textId="77777777" w:rsidR="006C2D6F" w:rsidRDefault="006C2D6F" w:rsidP="0026613F">
      <w:pPr>
        <w:spacing w:after="0" w:line="240" w:lineRule="auto"/>
      </w:pPr>
      <w:r>
        <w:separator/>
      </w:r>
    </w:p>
  </w:footnote>
  <w:footnote w:type="continuationSeparator" w:id="0">
    <w:p w14:paraId="2EB464C0" w14:textId="77777777" w:rsidR="006C2D6F" w:rsidRDefault="006C2D6F" w:rsidP="0026613F">
      <w:pPr>
        <w:spacing w:after="0" w:line="240" w:lineRule="auto"/>
      </w:pPr>
      <w:r>
        <w:continuationSeparator/>
      </w:r>
    </w:p>
  </w:footnote>
  <w:footnote w:type="continuationNotice" w:id="1">
    <w:p w14:paraId="1C72581B" w14:textId="77777777" w:rsidR="006C2D6F" w:rsidRDefault="006C2D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AEBC" w14:textId="77777777" w:rsidR="009A5E32" w:rsidRPr="009A5E32" w:rsidRDefault="009A5E32" w:rsidP="009A5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2F53" w14:textId="77777777" w:rsidR="009A5E32" w:rsidRPr="009A5E32" w:rsidRDefault="009A5E32" w:rsidP="009A5E3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BAF6" w14:textId="77777777" w:rsidR="009A5E32" w:rsidRPr="009A5E32" w:rsidRDefault="009A5E32" w:rsidP="009A5E3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6B3C" w14:textId="77777777" w:rsidR="006C2D6F" w:rsidRDefault="006C2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D943" w14:textId="77777777" w:rsidR="006C2D6F" w:rsidRDefault="006C2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5A66" w14:textId="77777777" w:rsidR="006C2D6F" w:rsidRDefault="006C2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9775C"/>
    <w:multiLevelType w:val="hybridMultilevel"/>
    <w:tmpl w:val="AA58A17C"/>
    <w:lvl w:ilvl="0" w:tplc="E8720FA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FDEE1D4A-2B92-4E28-BDD9-85A88D3D5A81"/>
    <w:docVar w:name="LW_COVERPAGE_TYPE" w:val="1"/>
    <w:docVar w:name="LW_CROSSREFERENCE" w:val="{COM(2022) 454 final} - {SEC(2022) 321 final} - {SWD(2022) 282 final}"/>
    <w:docVar w:name="LW_DocType" w:val="NORMAL"/>
    <w:docVar w:name="LW_EMISSION" w:val="15.9.2022"/>
    <w:docVar w:name="LW_EMISSION_ISODATE" w:val="2022-09-15"/>
    <w:docVar w:name="LW_EMISSION_LOCATION" w:val="BRX"/>
    <w:docVar w:name="LW_EMISSION_PREFIX" w:val="Bryssel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om övergripande cybersäkerhetskrav för produkter med digitala element och om ändring av förordning (EU) 2019/1020"/>
    <w:docVar w:name="LW_PART_NBR" w:val="1"/>
    <w:docVar w:name="LW_PART_NBR_TOTAL" w:val="1"/>
    <w:docVar w:name="LW_REF.INST.NEW" w:val="SWD"/>
    <w:docVar w:name="LW_REF.INST.NEW_ADOPTED" w:val="final"/>
    <w:docVar w:name="LW_REF.INST.NEW_TEXT" w:val="(2022)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cyberresiliensakten"/>
    <w:docVar w:name="LW_TYPE.DOC.CP" w:val="ARBETSDOKUMENT FRÅN KOMMISSIONENS AVDELNINGAR_x000b__x000b_SAMMANFATTNING AV KONSEKVENSBEDÖMNINGSRAPPORTEN_x000b_"/>
    <w:docVar w:name="LW_TYPEACTEPRINCIPAL.CP" w:val="förslag till Europaparlamentets och rådets förordning_x000b_"/>
    <w:docVar w:name="LwApiVersions" w:val="LW4CoDe 1.23.2.0; LW 8.0, Build 20211117"/>
  </w:docVars>
  <w:rsids>
    <w:rsidRoot w:val="0026613F"/>
    <w:rsid w:val="0001063A"/>
    <w:rsid w:val="00055F4F"/>
    <w:rsid w:val="0007629B"/>
    <w:rsid w:val="00085736"/>
    <w:rsid w:val="000945C5"/>
    <w:rsid w:val="000A048B"/>
    <w:rsid w:val="000A2EBD"/>
    <w:rsid w:val="000A310C"/>
    <w:rsid w:val="000B2F27"/>
    <w:rsid w:val="000B5EA4"/>
    <w:rsid w:val="00122043"/>
    <w:rsid w:val="00147909"/>
    <w:rsid w:val="00150326"/>
    <w:rsid w:val="001641FE"/>
    <w:rsid w:val="00186F07"/>
    <w:rsid w:val="00197B4E"/>
    <w:rsid w:val="00197F02"/>
    <w:rsid w:val="001A6C31"/>
    <w:rsid w:val="001C67E0"/>
    <w:rsid w:val="001E3F02"/>
    <w:rsid w:val="00203F45"/>
    <w:rsid w:val="00217884"/>
    <w:rsid w:val="00222989"/>
    <w:rsid w:val="00223132"/>
    <w:rsid w:val="002367A1"/>
    <w:rsid w:val="00243764"/>
    <w:rsid w:val="00247F76"/>
    <w:rsid w:val="00251332"/>
    <w:rsid w:val="002529A1"/>
    <w:rsid w:val="0026613F"/>
    <w:rsid w:val="00271573"/>
    <w:rsid w:val="002A659C"/>
    <w:rsid w:val="002C0364"/>
    <w:rsid w:val="002C3868"/>
    <w:rsid w:val="002E2CE9"/>
    <w:rsid w:val="002E5383"/>
    <w:rsid w:val="002E5457"/>
    <w:rsid w:val="003040C3"/>
    <w:rsid w:val="003142D5"/>
    <w:rsid w:val="003145B1"/>
    <w:rsid w:val="0031486D"/>
    <w:rsid w:val="00315B0F"/>
    <w:rsid w:val="00323916"/>
    <w:rsid w:val="00326EFF"/>
    <w:rsid w:val="003300D8"/>
    <w:rsid w:val="00330744"/>
    <w:rsid w:val="00332121"/>
    <w:rsid w:val="00346B05"/>
    <w:rsid w:val="003508ED"/>
    <w:rsid w:val="00365D9C"/>
    <w:rsid w:val="00367AD0"/>
    <w:rsid w:val="00370877"/>
    <w:rsid w:val="003822D9"/>
    <w:rsid w:val="00395B75"/>
    <w:rsid w:val="003A3ED5"/>
    <w:rsid w:val="003A4102"/>
    <w:rsid w:val="003B1660"/>
    <w:rsid w:val="003B3688"/>
    <w:rsid w:val="00406873"/>
    <w:rsid w:val="00451F68"/>
    <w:rsid w:val="00457FBC"/>
    <w:rsid w:val="00464A37"/>
    <w:rsid w:val="004708B5"/>
    <w:rsid w:val="00475734"/>
    <w:rsid w:val="004826A9"/>
    <w:rsid w:val="004A3979"/>
    <w:rsid w:val="004C58C4"/>
    <w:rsid w:val="004D0AA9"/>
    <w:rsid w:val="004D56E1"/>
    <w:rsid w:val="004D6284"/>
    <w:rsid w:val="004E203B"/>
    <w:rsid w:val="004E4D57"/>
    <w:rsid w:val="004E722E"/>
    <w:rsid w:val="004F7200"/>
    <w:rsid w:val="00500D49"/>
    <w:rsid w:val="00507818"/>
    <w:rsid w:val="00513388"/>
    <w:rsid w:val="005139E3"/>
    <w:rsid w:val="00515B2D"/>
    <w:rsid w:val="005378FB"/>
    <w:rsid w:val="00580DA5"/>
    <w:rsid w:val="00582E7D"/>
    <w:rsid w:val="00586308"/>
    <w:rsid w:val="0058665B"/>
    <w:rsid w:val="005A4875"/>
    <w:rsid w:val="005C399A"/>
    <w:rsid w:val="005C4312"/>
    <w:rsid w:val="005D43BA"/>
    <w:rsid w:val="005D5BF6"/>
    <w:rsid w:val="005E7B52"/>
    <w:rsid w:val="005F0959"/>
    <w:rsid w:val="005F4645"/>
    <w:rsid w:val="00601C70"/>
    <w:rsid w:val="00614924"/>
    <w:rsid w:val="00620C23"/>
    <w:rsid w:val="00622B95"/>
    <w:rsid w:val="00623F88"/>
    <w:rsid w:val="00624693"/>
    <w:rsid w:val="00626855"/>
    <w:rsid w:val="00637361"/>
    <w:rsid w:val="0067701C"/>
    <w:rsid w:val="00685834"/>
    <w:rsid w:val="0069033F"/>
    <w:rsid w:val="00691170"/>
    <w:rsid w:val="00697AF5"/>
    <w:rsid w:val="006A11DE"/>
    <w:rsid w:val="006B6C75"/>
    <w:rsid w:val="006C2D6F"/>
    <w:rsid w:val="006C78C3"/>
    <w:rsid w:val="006D6C78"/>
    <w:rsid w:val="006F5A5C"/>
    <w:rsid w:val="00710523"/>
    <w:rsid w:val="0071510F"/>
    <w:rsid w:val="007156F4"/>
    <w:rsid w:val="007209E2"/>
    <w:rsid w:val="00721A1E"/>
    <w:rsid w:val="00723DE6"/>
    <w:rsid w:val="007540F3"/>
    <w:rsid w:val="00754CA6"/>
    <w:rsid w:val="00787619"/>
    <w:rsid w:val="007A28F1"/>
    <w:rsid w:val="007B0B6C"/>
    <w:rsid w:val="007B5A24"/>
    <w:rsid w:val="007F1E79"/>
    <w:rsid w:val="00801B8C"/>
    <w:rsid w:val="00803908"/>
    <w:rsid w:val="00805F40"/>
    <w:rsid w:val="008121E8"/>
    <w:rsid w:val="00820646"/>
    <w:rsid w:val="00823286"/>
    <w:rsid w:val="00823F53"/>
    <w:rsid w:val="00832ADB"/>
    <w:rsid w:val="00844900"/>
    <w:rsid w:val="00845BD2"/>
    <w:rsid w:val="00852B28"/>
    <w:rsid w:val="00856CAE"/>
    <w:rsid w:val="00857F15"/>
    <w:rsid w:val="00860E59"/>
    <w:rsid w:val="00862A6A"/>
    <w:rsid w:val="00862F31"/>
    <w:rsid w:val="00882D57"/>
    <w:rsid w:val="00882ECC"/>
    <w:rsid w:val="00884919"/>
    <w:rsid w:val="008918F5"/>
    <w:rsid w:val="0089710B"/>
    <w:rsid w:val="0089780C"/>
    <w:rsid w:val="008C7773"/>
    <w:rsid w:val="008D71F5"/>
    <w:rsid w:val="008E67CC"/>
    <w:rsid w:val="00904B04"/>
    <w:rsid w:val="00915DBD"/>
    <w:rsid w:val="00940848"/>
    <w:rsid w:val="009674FD"/>
    <w:rsid w:val="00967FD5"/>
    <w:rsid w:val="00970B98"/>
    <w:rsid w:val="00982C15"/>
    <w:rsid w:val="009A0C6D"/>
    <w:rsid w:val="009A5E32"/>
    <w:rsid w:val="009C5D0A"/>
    <w:rsid w:val="009C6ECA"/>
    <w:rsid w:val="009C7177"/>
    <w:rsid w:val="009D1D3B"/>
    <w:rsid w:val="009D523F"/>
    <w:rsid w:val="009E5A47"/>
    <w:rsid w:val="009F33C3"/>
    <w:rsid w:val="009F6139"/>
    <w:rsid w:val="00A036CF"/>
    <w:rsid w:val="00A11B58"/>
    <w:rsid w:val="00A14F71"/>
    <w:rsid w:val="00A24D02"/>
    <w:rsid w:val="00A27DCD"/>
    <w:rsid w:val="00A44B45"/>
    <w:rsid w:val="00A45775"/>
    <w:rsid w:val="00A53783"/>
    <w:rsid w:val="00A5481A"/>
    <w:rsid w:val="00A5768C"/>
    <w:rsid w:val="00A624CA"/>
    <w:rsid w:val="00A6271A"/>
    <w:rsid w:val="00A705C1"/>
    <w:rsid w:val="00A708E1"/>
    <w:rsid w:val="00A86A10"/>
    <w:rsid w:val="00A97297"/>
    <w:rsid w:val="00AA58C8"/>
    <w:rsid w:val="00AC54EB"/>
    <w:rsid w:val="00AE01B5"/>
    <w:rsid w:val="00AE41F7"/>
    <w:rsid w:val="00AE47ED"/>
    <w:rsid w:val="00B072CD"/>
    <w:rsid w:val="00B1566B"/>
    <w:rsid w:val="00B22BFA"/>
    <w:rsid w:val="00B31507"/>
    <w:rsid w:val="00B610DC"/>
    <w:rsid w:val="00B6211E"/>
    <w:rsid w:val="00B7001E"/>
    <w:rsid w:val="00B7311D"/>
    <w:rsid w:val="00B90163"/>
    <w:rsid w:val="00BA230A"/>
    <w:rsid w:val="00BA4167"/>
    <w:rsid w:val="00BC06AD"/>
    <w:rsid w:val="00BC1E2D"/>
    <w:rsid w:val="00BC6094"/>
    <w:rsid w:val="00BD612A"/>
    <w:rsid w:val="00C11932"/>
    <w:rsid w:val="00C27A0B"/>
    <w:rsid w:val="00C310B1"/>
    <w:rsid w:val="00C37BB0"/>
    <w:rsid w:val="00C57D71"/>
    <w:rsid w:val="00C6298E"/>
    <w:rsid w:val="00C70915"/>
    <w:rsid w:val="00C87328"/>
    <w:rsid w:val="00C96AD6"/>
    <w:rsid w:val="00CA19EF"/>
    <w:rsid w:val="00CA510F"/>
    <w:rsid w:val="00CB466E"/>
    <w:rsid w:val="00CD01DD"/>
    <w:rsid w:val="00CD0A1A"/>
    <w:rsid w:val="00CD0FC5"/>
    <w:rsid w:val="00CF5B0E"/>
    <w:rsid w:val="00D02140"/>
    <w:rsid w:val="00D0214A"/>
    <w:rsid w:val="00D04AC6"/>
    <w:rsid w:val="00D154ED"/>
    <w:rsid w:val="00D201CE"/>
    <w:rsid w:val="00D20FD1"/>
    <w:rsid w:val="00D44210"/>
    <w:rsid w:val="00D465AC"/>
    <w:rsid w:val="00D56F25"/>
    <w:rsid w:val="00D57B80"/>
    <w:rsid w:val="00D609C8"/>
    <w:rsid w:val="00D62FDA"/>
    <w:rsid w:val="00D63B70"/>
    <w:rsid w:val="00D742DE"/>
    <w:rsid w:val="00DB2C1F"/>
    <w:rsid w:val="00DC18CE"/>
    <w:rsid w:val="00DC6AFF"/>
    <w:rsid w:val="00DC6E13"/>
    <w:rsid w:val="00DD1265"/>
    <w:rsid w:val="00DD2AA8"/>
    <w:rsid w:val="00DE682D"/>
    <w:rsid w:val="00E03C56"/>
    <w:rsid w:val="00E0597D"/>
    <w:rsid w:val="00E06338"/>
    <w:rsid w:val="00E13387"/>
    <w:rsid w:val="00E21574"/>
    <w:rsid w:val="00E21C13"/>
    <w:rsid w:val="00E3493C"/>
    <w:rsid w:val="00E52D20"/>
    <w:rsid w:val="00E56306"/>
    <w:rsid w:val="00E57484"/>
    <w:rsid w:val="00E654DA"/>
    <w:rsid w:val="00E67DDB"/>
    <w:rsid w:val="00E85E7D"/>
    <w:rsid w:val="00E862E9"/>
    <w:rsid w:val="00EA21C2"/>
    <w:rsid w:val="00EB37E5"/>
    <w:rsid w:val="00EE73A9"/>
    <w:rsid w:val="00EF2448"/>
    <w:rsid w:val="00EF71F4"/>
    <w:rsid w:val="00F04443"/>
    <w:rsid w:val="00F07DB3"/>
    <w:rsid w:val="00F110F0"/>
    <w:rsid w:val="00F1455D"/>
    <w:rsid w:val="00F31280"/>
    <w:rsid w:val="00F35CAE"/>
    <w:rsid w:val="00F52144"/>
    <w:rsid w:val="00F76A28"/>
    <w:rsid w:val="00F876C0"/>
    <w:rsid w:val="00F950B9"/>
    <w:rsid w:val="00F96C8E"/>
    <w:rsid w:val="00FA16A0"/>
    <w:rsid w:val="00FB2E05"/>
    <w:rsid w:val="00FB64B8"/>
    <w:rsid w:val="00FB785D"/>
    <w:rsid w:val="00FC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80FB0E"/>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paragraph" w:styleId="CommentText">
    <w:name w:val="annotation text"/>
    <w:basedOn w:val="Normal"/>
    <w:link w:val="CommentTextChar"/>
    <w:uiPriority w:val="29"/>
    <w:unhideWhenUsed/>
    <w:rsid w:val="00EB37E5"/>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29"/>
    <w:rsid w:val="00EB37E5"/>
    <w:rPr>
      <w:rFonts w:ascii="Arial" w:eastAsia="Arial" w:hAnsi="Arial" w:cs="Arial"/>
      <w:sz w:val="20"/>
      <w:szCs w:val="20"/>
      <w:lang w:bidi="en-US"/>
    </w:rPr>
  </w:style>
  <w:style w:type="paragraph" w:styleId="ListParagraph">
    <w:name w:val="List Paragraph"/>
    <w:aliases w:val="List Paragraph_Sections,1st level - Bullet List Paragraph,Lettre d'introduction,List Paragraph1,Medium Grid 1 - Accent 21,Bullet OFM,List Paragraph (numbered (a)),Bullet List,Normal bullet 2,Bullet list,Numbered List,Paragraphe EI,EC"/>
    <w:basedOn w:val="Normal"/>
    <w:link w:val="ListParagraphChar"/>
    <w:uiPriority w:val="34"/>
    <w:qFormat/>
    <w:rsid w:val="00EB37E5"/>
    <w:pPr>
      <w:ind w:left="720"/>
      <w:contextualSpacing/>
    </w:pPr>
  </w:style>
  <w:style w:type="character" w:customStyle="1" w:styleId="ListParagraphChar">
    <w:name w:val="List Paragraph Char"/>
    <w:aliases w:val="List Paragraph_Sections Char,1st level - Bullet List Paragraph Char,Lettre d'introduction Char,List Paragraph1 Char,Medium Grid 1 - Accent 21 Char,Bullet OFM Char,List Paragraph (numbered (a)) Char,Bullet List Char,Bullet list Char"/>
    <w:basedOn w:val="DefaultParagraphFont"/>
    <w:link w:val="ListParagraph"/>
    <w:uiPriority w:val="34"/>
    <w:qFormat/>
    <w:rsid w:val="00EB37E5"/>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4E4D57"/>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4E4D57"/>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iPriority w:val="99"/>
    <w:qFormat/>
    <w:rsid w:val="004E4D57"/>
    <w:rPr>
      <w:vertAlign w:val="superscript"/>
    </w:rPr>
  </w:style>
  <w:style w:type="paragraph" w:customStyle="1" w:styleId="CharCharChar1">
    <w:name w:val="Char Char Char1"/>
    <w:basedOn w:val="Normal"/>
    <w:link w:val="FootnoteReference"/>
    <w:uiPriority w:val="99"/>
    <w:rsid w:val="004E4D57"/>
    <w:pPr>
      <w:spacing w:after="160" w:line="240" w:lineRule="exact"/>
      <w:jc w:val="both"/>
    </w:pPr>
    <w:rPr>
      <w:vertAlign w:val="superscript"/>
    </w:rPr>
  </w:style>
  <w:style w:type="character" w:styleId="Hyperlink">
    <w:name w:val="Hyperlink"/>
    <w:basedOn w:val="DefaultParagraphFont"/>
    <w:uiPriority w:val="99"/>
    <w:unhideWhenUsed/>
    <w:qFormat/>
    <w:rsid w:val="00323916"/>
    <w:rPr>
      <w:color w:val="0000FF" w:themeColor="hyperlink"/>
      <w:u w:val="single"/>
    </w:rPr>
  </w:style>
  <w:style w:type="paragraph" w:styleId="BalloonText">
    <w:name w:val="Balloon Text"/>
    <w:basedOn w:val="Normal"/>
    <w:link w:val="BalloonTextChar"/>
    <w:uiPriority w:val="99"/>
    <w:semiHidden/>
    <w:unhideWhenUsed/>
    <w:rsid w:val="00395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75"/>
    <w:rPr>
      <w:rFonts w:ascii="Segoe UI" w:hAnsi="Segoe UI" w:cs="Segoe UI"/>
      <w:sz w:val="18"/>
      <w:szCs w:val="18"/>
    </w:rPr>
  </w:style>
  <w:style w:type="character" w:styleId="CommentReference">
    <w:name w:val="annotation reference"/>
    <w:basedOn w:val="DefaultParagraphFont"/>
    <w:uiPriority w:val="99"/>
    <w:semiHidden/>
    <w:unhideWhenUsed/>
    <w:rsid w:val="00A11B58"/>
    <w:rPr>
      <w:sz w:val="16"/>
      <w:szCs w:val="16"/>
    </w:rPr>
  </w:style>
  <w:style w:type="paragraph" w:styleId="CommentSubject">
    <w:name w:val="annotation subject"/>
    <w:basedOn w:val="CommentText"/>
    <w:next w:val="CommentText"/>
    <w:link w:val="CommentSubjectChar"/>
    <w:uiPriority w:val="99"/>
    <w:semiHidden/>
    <w:unhideWhenUsed/>
    <w:rsid w:val="00A11B58"/>
    <w:pPr>
      <w:widowControl/>
      <w:autoSpaceDE/>
      <w:autoSpaceDN/>
      <w:spacing w:after="20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A11B58"/>
    <w:rPr>
      <w:rFonts w:ascii="Arial" w:eastAsia="Arial" w:hAnsi="Arial" w:cs="Arial"/>
      <w:b/>
      <w:bCs/>
      <w:sz w:val="20"/>
      <w:szCs w:val="20"/>
      <w:lang w:bidi="en-US"/>
    </w:rPr>
  </w:style>
  <w:style w:type="paragraph" w:styleId="Revision">
    <w:name w:val="Revision"/>
    <w:hidden/>
    <w:uiPriority w:val="99"/>
    <w:semiHidden/>
    <w:rsid w:val="00D60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4845">
      <w:bodyDiv w:val="1"/>
      <w:marLeft w:val="0"/>
      <w:marRight w:val="0"/>
      <w:marTop w:val="0"/>
      <w:marBottom w:val="0"/>
      <w:divBdr>
        <w:top w:val="none" w:sz="0" w:space="0" w:color="auto"/>
        <w:left w:val="none" w:sz="0" w:space="0" w:color="auto"/>
        <w:bottom w:val="none" w:sz="0" w:space="0" w:color="auto"/>
        <w:right w:val="none" w:sz="0" w:space="0" w:color="auto"/>
      </w:divBdr>
    </w:div>
    <w:div w:id="1257901100">
      <w:bodyDiv w:val="1"/>
      <w:marLeft w:val="0"/>
      <w:marRight w:val="0"/>
      <w:marTop w:val="0"/>
      <w:marBottom w:val="0"/>
      <w:divBdr>
        <w:top w:val="none" w:sz="0" w:space="0" w:color="auto"/>
        <w:left w:val="none" w:sz="0" w:space="0" w:color="auto"/>
        <w:bottom w:val="none" w:sz="0" w:space="0" w:color="auto"/>
        <w:right w:val="none" w:sz="0" w:space="0" w:color="auto"/>
      </w:divBdr>
    </w:div>
    <w:div w:id="17740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11" ma:contentTypeDescription="Create a new document." ma:contentTypeScope="" ma:versionID="355810555cb5363fd5e594ea4c12216c">
  <xsd:schema xmlns:xsd="http://www.w3.org/2001/XMLSchema" xmlns:xs="http://www.w3.org/2001/XMLSchema" xmlns:p="http://schemas.microsoft.com/office/2006/metadata/properties" xmlns:ns3="a1e8a5da-a1c6-4ab6-9d74-9729d89e2e57" xmlns:ns4="866aabb8-7ec2-447a-a7ff-f911015037e7" xmlns:ns5="ea5fbecb-f629-44c5-b750-c70eb55bb12f" targetNamespace="http://schemas.microsoft.com/office/2006/metadata/properties" ma:root="true" ma:fieldsID="450d655108cb1ee3c69e0bc0c23a663d" ns3:_="" ns4:_="" ns5:_="">
    <xsd:import namespace="a1e8a5da-a1c6-4ab6-9d74-9729d89e2e57"/>
    <xsd:import namespace="866aabb8-7ec2-447a-a7ff-f911015037e7"/>
    <xsd:import namespace="ea5fbecb-f629-44c5-b750-c70eb55bb12f"/>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5fbecb-f629-44c5-b750-c70eb55bb1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UVNUSV5RWJH5-1065046114-2713</_dlc_DocId>
    <_dlc_DocIdUrl xmlns="866aabb8-7ec2-447a-a7ff-f911015037e7">
      <Url>https://myintracomm-collab.ec.europa.eu/dg/CONNECT/directorateH/UnitH2/_layouts/15/DocIdRedir.aspx?ID=UVNUSV5RWJH5-1065046114-2713</Url>
      <Description>UVNUSV5RWJH5-1065046114-2713</Description>
    </_dlc_DocIdUrl>
    <EC_Collab_DocumentLanguage xmlns="a1e8a5da-a1c6-4ab6-9d74-9729d89e2e57">EN</EC_Collab_DocumentLanguage>
    <EC_Collab_Reference xmlns="a1e8a5da-a1c6-4ab6-9d74-9729d89e2e5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9488-2A9A-430D-8FE3-FA9B282CDAE9}">
  <ds:schemaRefs>
    <ds:schemaRef ds:uri="http://schemas.microsoft.com/sharepoint/v3/contenttype/forms"/>
  </ds:schemaRefs>
</ds:datastoreItem>
</file>

<file path=customXml/itemProps2.xml><?xml version="1.0" encoding="utf-8"?>
<ds:datastoreItem xmlns:ds="http://schemas.openxmlformats.org/officeDocument/2006/customXml" ds:itemID="{385AE90E-3DF5-40E4-A49D-5E61E7D8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ea5fbecb-f629-44c5-b750-c70eb55b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34677-0A0A-4E69-B5C1-414BC3C7F9C0}">
  <ds:schemaRefs>
    <ds:schemaRef ds:uri="http://purl.org/dc/terms/"/>
    <ds:schemaRef ds:uri="http://schemas.openxmlformats.org/package/2006/metadata/core-properties"/>
    <ds:schemaRef ds:uri="http://schemas.microsoft.com/office/2006/documentManagement/types"/>
    <ds:schemaRef ds:uri="ea5fbecb-f629-44c5-b750-c70eb55bb12f"/>
    <ds:schemaRef ds:uri="a1e8a5da-a1c6-4ab6-9d74-9729d89e2e57"/>
    <ds:schemaRef ds:uri="http://purl.org/dc/elements/1.1/"/>
    <ds:schemaRef ds:uri="http://schemas.microsoft.com/office/2006/metadata/properties"/>
    <ds:schemaRef ds:uri="http://schemas.microsoft.com/office/infopath/2007/PartnerControl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FBEBD851-E71B-4D16-9EC3-355803EBCA47}">
  <ds:schemaRefs>
    <ds:schemaRef ds:uri="http://schemas.microsoft.com/sharepoint/events"/>
  </ds:schemaRefs>
</ds:datastoreItem>
</file>

<file path=customXml/itemProps5.xml><?xml version="1.0" encoding="utf-8"?>
<ds:datastoreItem xmlns:ds="http://schemas.openxmlformats.org/officeDocument/2006/customXml" ds:itemID="{2C9FE86F-3704-4E1E-BE9D-A57DA44B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1433</Words>
  <Characters>9507</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58</cp:revision>
  <dcterms:created xsi:type="dcterms:W3CDTF">2022-09-05T09:37:00Z</dcterms:created>
  <dcterms:modified xsi:type="dcterms:W3CDTF">2022-10-21T14:33:00Z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8.1, Build 20220902</vt:lpwstr>
  </property>
  <property fmtid="{D5CDD505-2E9C-101B-9397-08002B2CF9AE}" pid="8" name="Created using">
    <vt:lpwstr>LW 7.0.1, Build 20190916</vt:lpwstr>
  </property>
  <property fmtid="{D5CDD505-2E9C-101B-9397-08002B2CF9AE}" pid="9" name="ContentTypeId">
    <vt:lpwstr>0x010100258AA79CEB83498886A3A08681123250004A12162D02DF3441BA3BAFD48BC1BB6D</vt:lpwstr>
  </property>
  <property fmtid="{D5CDD505-2E9C-101B-9397-08002B2CF9AE}" pid="10" name="_dlc_DocIdItemGuid">
    <vt:lpwstr>6495fb4e-0216-4783-b194-fe4977e50b61</vt:lpwstr>
  </property>
</Properties>
</file>