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C9682" w14:textId="396D6087" w:rsidR="00391BE2" w:rsidRPr="00A3695F" w:rsidRDefault="00360ECE" w:rsidP="00360ECE">
      <w:pPr>
        <w:pStyle w:val="Pagedecouverture"/>
        <w:rPr>
          <w:noProof/>
          <w:lang w:val="pl-PL"/>
        </w:rPr>
      </w:pPr>
      <w:bookmarkStart w:id="0" w:name="LW_BM_COVERPAGE"/>
      <w:r>
        <w:rPr>
          <w:noProof/>
          <w:lang w:val="pl-PL"/>
        </w:rPr>
        <w:pict w14:anchorId="08620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15A937B-D25B-4BB2-97BC-77631F89AF04" style="width:455.25pt;height:324pt">
            <v:imagedata r:id="rId8" o:title=""/>
          </v:shape>
        </w:pict>
      </w:r>
    </w:p>
    <w:bookmarkEnd w:id="0"/>
    <w:p w14:paraId="4D56CCFF" w14:textId="77777777" w:rsidR="008310BD" w:rsidRPr="00A3695F" w:rsidRDefault="008310BD" w:rsidP="008310BD">
      <w:pPr>
        <w:pStyle w:val="Pagedecouverture"/>
        <w:rPr>
          <w:noProof/>
          <w:lang w:val="pl-PL"/>
        </w:rPr>
        <w:sectPr w:rsidR="008310BD" w:rsidRPr="00A3695F" w:rsidSect="00360EC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16032F53" w14:textId="77777777" w:rsidR="00840E05" w:rsidRPr="003937FF" w:rsidRDefault="00840E05" w:rsidP="00840E05">
      <w:pPr>
        <w:pStyle w:val="Heading11"/>
        <w:spacing w:before="480"/>
        <w:ind w:left="1077" w:firstLine="0"/>
        <w:rPr>
          <w:noProof/>
          <w:u w:val="none"/>
          <w:lang w:val="pl-PL"/>
        </w:rPr>
      </w:pPr>
      <w:bookmarkStart w:id="1" w:name="_GoBack"/>
      <w:bookmarkEnd w:id="1"/>
      <w:r w:rsidRPr="00A3695F">
        <w:rPr>
          <w:noProof/>
          <w:sz w:val="40"/>
          <w:lang w:val="en-GB" w:eastAsia="en-GB"/>
        </w:rPr>
        <w:lastRenderedPageBreak/>
        <mc:AlternateContent>
          <mc:Choice Requires="wps">
            <w:drawing>
              <wp:anchor distT="0" distB="0" distL="114300" distR="114300" simplePos="0" relativeHeight="251658240" behindDoc="1" locked="0" layoutInCell="1" allowOverlap="1" wp14:anchorId="4C93E9AD" wp14:editId="61787C3E">
                <wp:simplePos x="0" y="0"/>
                <wp:positionH relativeFrom="column">
                  <wp:posOffset>-894080</wp:posOffset>
                </wp:positionH>
                <wp:positionV relativeFrom="paragraph">
                  <wp:posOffset>-902140</wp:posOffset>
                </wp:positionV>
                <wp:extent cx="7550728" cy="1247389"/>
                <wp:effectExtent l="0" t="0" r="0" b="0"/>
                <wp:wrapNone/>
                <wp:docPr id="2" name="Rectangle 2"/>
                <wp:cNvGraphicFramePr/>
                <a:graphic xmlns:a="http://schemas.openxmlformats.org/drawingml/2006/main">
                  <a:graphicData uri="http://schemas.microsoft.com/office/word/2010/wordprocessingShape">
                    <wps:wsp>
                      <wps:cNvSpPr/>
                      <wps:spPr>
                        <a:xfrm>
                          <a:off x="0" y="0"/>
                          <a:ext cx="7550728" cy="1247389"/>
                        </a:xfrm>
                        <a:prstGeom prst="rect">
                          <a:avLst/>
                        </a:prstGeom>
                        <a:solidFill>
                          <a:srgbClr val="EDF2F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08B213" w14:textId="746CEE04" w:rsidR="003937FF" w:rsidRPr="00A3695F" w:rsidRDefault="003937FF" w:rsidP="001F57F0">
                            <w:pPr>
                              <w:spacing w:after="0"/>
                              <w:jc w:val="center"/>
                              <w:rPr>
                                <w:b/>
                                <w:lang w:val="pl-PL"/>
                              </w:rPr>
                            </w:pPr>
                            <w:r w:rsidRPr="00A3695F">
                              <w:rPr>
                                <w:rFonts w:ascii="EC Square Sans Pro" w:hAnsi="EC Square Sans Pro"/>
                                <w:b/>
                                <w:color w:val="0070C0"/>
                                <w:sz w:val="40"/>
                                <w:lang w:val="pl-PL"/>
                              </w:rPr>
                              <w:t>Egzekwowanie prawa Unii na rzecz Europy, która spełnia swoje zadania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93E9AD" id="Rectangle 2" o:spid="_x0000_s1026" style="position:absolute;left:0;text-align:left;margin-left:-70.4pt;margin-top:-71.05pt;width:594.55pt;height:98.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" fillcolor="#edf2f9" stroked="f" strokeweight="2pt">
                <v:textbox>
                  <w:txbxContent>
                    <w:p w14:paraId="2808B213" w14:textId="746CEE04" w:rsidR="003937FF" w:rsidRPr="00A3695F" w:rsidRDefault="003937FF" w:rsidP="001F57F0">
                      <w:pPr>
                        <w:spacing w:after="0"/>
                        <w:jc w:val="center"/>
                        <w:rPr>
                          <w:b/>
                          <w:lang w:val="pl-PL"/>
                        </w:rPr>
                      </w:pPr>
                      <w:r w:rsidRPr="00A3695F">
                        <w:rPr>
                          <w:rFonts w:ascii="EC Square Sans Pro" w:hAnsi="EC Square Sans Pro"/>
                          <w:b/>
                          <w:color w:val="0070C0"/>
                          <w:sz w:val="40"/>
                          <w:lang w:val="pl-PL"/>
                        </w:rPr>
                        <w:t>Egzekwowanie prawa Unii na rzecz Europy, która spełnia swoje zadania</w:t>
                      </w:r>
                    </w:p>
                  </w:txbxContent>
                </v:textbox>
              </v:rect>
            </w:pict>
          </mc:Fallback>
        </mc:AlternateContent>
      </w:r>
    </w:p>
    <w:p w14:paraId="133B5115" w14:textId="77777777" w:rsidR="00840E05" w:rsidRPr="003937FF" w:rsidRDefault="00840E05" w:rsidP="00840E05">
      <w:pPr>
        <w:pStyle w:val="Heading11"/>
        <w:spacing w:before="480"/>
        <w:ind w:left="1077" w:firstLine="0"/>
        <w:rPr>
          <w:noProof/>
          <w:u w:val="none"/>
          <w:lang w:val="pl-PL"/>
        </w:rPr>
      </w:pPr>
    </w:p>
    <w:p w14:paraId="65A24282" w14:textId="77777777" w:rsidR="006C2289" w:rsidRPr="003937FF" w:rsidRDefault="006C2289" w:rsidP="001F57F0">
      <w:pPr>
        <w:pStyle w:val="Heading11"/>
        <w:numPr>
          <w:ilvl w:val="0"/>
          <w:numId w:val="1"/>
        </w:numPr>
        <w:spacing w:before="480"/>
        <w:ind w:left="1077"/>
        <w:rPr>
          <w:noProof/>
          <w:u w:val="none"/>
          <w:lang w:val="pl-PL"/>
        </w:rPr>
      </w:pPr>
      <w:r w:rsidRPr="003937FF">
        <w:rPr>
          <w:noProof/>
          <w:u w:val="none"/>
          <w:lang w:val="pl-PL"/>
        </w:rPr>
        <w:t>WPROWADZENIE</w:t>
      </w:r>
    </w:p>
    <w:p w14:paraId="1CDE51B1" w14:textId="5623C562" w:rsidR="003061DD" w:rsidRPr="00A3695F" w:rsidRDefault="00025D73" w:rsidP="00FE0204">
      <w:pPr>
        <w:spacing w:after="120"/>
        <w:jc w:val="both"/>
        <w:rPr>
          <w:rFonts w:ascii="Times New Roman" w:eastAsia="Calibri" w:hAnsi="Times New Roman" w:cs="Times New Roman"/>
          <w:noProof/>
          <w:spacing w:val="-4"/>
          <w:sz w:val="24"/>
          <w:lang w:val="pl-PL"/>
        </w:rPr>
      </w:pPr>
      <w:r w:rsidRPr="00A3695F">
        <w:rPr>
          <w:rFonts w:ascii="Times New Roman" w:hAnsi="Times New Roman"/>
          <w:noProof/>
          <w:sz w:val="24"/>
          <w:lang w:val="pl-PL"/>
        </w:rPr>
        <w:t>Unia Europejska jest wspólnotą prawa opartą na wartościach wspólnych dla państw członkowskich</w:t>
      </w:r>
      <w:r w:rsidR="003937FF" w:rsidRPr="00A3695F">
        <w:rPr>
          <w:rFonts w:ascii="Times New Roman" w:hAnsi="Times New Roman"/>
          <w:noProof/>
          <w:sz w:val="24"/>
          <w:lang w:val="pl-PL"/>
        </w:rPr>
        <w:t>. U</w:t>
      </w:r>
      <w:r w:rsidR="003937FF">
        <w:rPr>
          <w:rFonts w:ascii="Times New Roman" w:hAnsi="Times New Roman"/>
          <w:noProof/>
          <w:sz w:val="24"/>
          <w:lang w:val="pl-PL"/>
        </w:rPr>
        <w:t> </w:t>
      </w:r>
      <w:r w:rsidR="003937FF" w:rsidRPr="00A3695F">
        <w:rPr>
          <w:rFonts w:ascii="Times New Roman" w:hAnsi="Times New Roman"/>
          <w:noProof/>
          <w:sz w:val="24"/>
          <w:lang w:val="pl-PL"/>
        </w:rPr>
        <w:t>jej</w:t>
      </w:r>
      <w:r w:rsidRPr="00A3695F">
        <w:rPr>
          <w:rFonts w:ascii="Times New Roman" w:hAnsi="Times New Roman"/>
          <w:noProof/>
          <w:sz w:val="24"/>
          <w:lang w:val="pl-PL"/>
        </w:rPr>
        <w:t xml:space="preserve"> podstaw leżą stosowanie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egz</w:t>
      </w:r>
      <w:r w:rsidRPr="00A3695F">
        <w:rPr>
          <w:rFonts w:ascii="Times New Roman" w:hAnsi="Times New Roman"/>
          <w:noProof/>
          <w:sz w:val="24"/>
          <w:lang w:val="pl-PL"/>
        </w:rPr>
        <w:t>ekwowanie prawa Unii oraz poszanowanie praworządności. Prawo jest największym atutem UE, dzięki któremu ludzie, przedsiębiorstwa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nas</w:t>
      </w:r>
      <w:r w:rsidRPr="00A3695F">
        <w:rPr>
          <w:rFonts w:ascii="Times New Roman" w:hAnsi="Times New Roman"/>
          <w:noProof/>
          <w:sz w:val="24"/>
          <w:lang w:val="pl-PL"/>
        </w:rPr>
        <w:t>ze środowisko czerpią korzyści</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ynależności do UE. Zasada pierwszeństwa prawa Unii opiera się na równości wobec Traktatów. Zapewnia ona równe prawa dla wszystkich osób</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cał</w:t>
      </w:r>
      <w:r w:rsidRPr="00A3695F">
        <w:rPr>
          <w:rFonts w:ascii="Times New Roman" w:hAnsi="Times New Roman"/>
          <w:noProof/>
          <w:sz w:val="24"/>
          <w:lang w:val="pl-PL"/>
        </w:rPr>
        <w:t>ej UE, co oznacza, że wszystkie przepisy prawa Unii powinny mieć to samo znaczenie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nal</w:t>
      </w:r>
      <w:r w:rsidRPr="00A3695F">
        <w:rPr>
          <w:rFonts w:ascii="Times New Roman" w:hAnsi="Times New Roman"/>
          <w:noProof/>
          <w:sz w:val="24"/>
          <w:lang w:val="pl-PL"/>
        </w:rPr>
        <w:t>eży je stosować</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tak</w:t>
      </w:r>
      <w:r w:rsidRPr="00A3695F">
        <w:rPr>
          <w:rFonts w:ascii="Times New Roman" w:hAnsi="Times New Roman"/>
          <w:noProof/>
          <w:sz w:val="24"/>
          <w:lang w:val="pl-PL"/>
        </w:rPr>
        <w:t>i sam sposób we wszystkich państwach członkowskich. Prawo stanowi podstawę, dzięki której UE może najlepiej wykorzystywać rynek wewnętrzny, dążyć do transformacji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kie</w:t>
      </w:r>
      <w:r w:rsidRPr="00A3695F">
        <w:rPr>
          <w:rFonts w:ascii="Times New Roman" w:hAnsi="Times New Roman"/>
          <w:noProof/>
          <w:sz w:val="24"/>
          <w:lang w:val="pl-PL"/>
        </w:rPr>
        <w:t>runku bardziej ekologicznej</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cyf</w:t>
      </w:r>
      <w:r w:rsidRPr="00A3695F">
        <w:rPr>
          <w:rFonts w:ascii="Times New Roman" w:hAnsi="Times New Roman"/>
          <w:noProof/>
          <w:sz w:val="24"/>
          <w:lang w:val="pl-PL"/>
        </w:rPr>
        <w:t>rowej Europy oraz chronić</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pro</w:t>
      </w:r>
      <w:r w:rsidRPr="00A3695F">
        <w:rPr>
          <w:rFonts w:ascii="Times New Roman" w:hAnsi="Times New Roman"/>
          <w:noProof/>
          <w:sz w:val="24"/>
          <w:lang w:val="pl-PL"/>
        </w:rPr>
        <w:t>mować nasze wartości, skuteczną współpracę sądową</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bez</w:t>
      </w:r>
      <w:r w:rsidRPr="00A3695F">
        <w:rPr>
          <w:rFonts w:ascii="Times New Roman" w:hAnsi="Times New Roman"/>
          <w:noProof/>
          <w:sz w:val="24"/>
          <w:lang w:val="pl-PL"/>
        </w:rPr>
        <w:t>pieczeństwo naszej Unii</w:t>
      </w:r>
      <w:r w:rsidR="003937FF" w:rsidRPr="00A3695F">
        <w:rPr>
          <w:rFonts w:ascii="Times New Roman" w:hAnsi="Times New Roman"/>
          <w:noProof/>
          <w:sz w:val="24"/>
          <w:lang w:val="pl-PL"/>
        </w:rPr>
        <w:t>. Z</w:t>
      </w:r>
      <w:r w:rsidR="003937FF">
        <w:rPr>
          <w:rFonts w:ascii="Times New Roman" w:hAnsi="Times New Roman"/>
          <w:noProof/>
          <w:sz w:val="24"/>
          <w:lang w:val="pl-PL"/>
        </w:rPr>
        <w:t> </w:t>
      </w:r>
      <w:r w:rsidR="003937FF" w:rsidRPr="00A3695F">
        <w:rPr>
          <w:rFonts w:ascii="Times New Roman" w:hAnsi="Times New Roman"/>
          <w:noProof/>
          <w:sz w:val="24"/>
          <w:lang w:val="pl-PL"/>
        </w:rPr>
        <w:t>teg</w:t>
      </w:r>
      <w:r w:rsidRPr="00A3695F">
        <w:rPr>
          <w:rFonts w:ascii="Times New Roman" w:hAnsi="Times New Roman"/>
          <w:noProof/>
          <w:sz w:val="24"/>
          <w:lang w:val="pl-PL"/>
        </w:rPr>
        <w:t>o względu system oparty na przepisach ma zasadnicze znaczenie dla wizji UE,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Eur</w:t>
      </w:r>
      <w:r w:rsidRPr="00A3695F">
        <w:rPr>
          <w:rFonts w:ascii="Times New Roman" w:hAnsi="Times New Roman"/>
          <w:noProof/>
          <w:sz w:val="24"/>
          <w:lang w:val="pl-PL"/>
        </w:rPr>
        <w:t>opie i na całym świecie,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sta</w:t>
      </w:r>
      <w:r w:rsidRPr="00A3695F">
        <w:rPr>
          <w:rFonts w:ascii="Times New Roman" w:hAnsi="Times New Roman"/>
          <w:noProof/>
          <w:sz w:val="24"/>
          <w:lang w:val="pl-PL"/>
        </w:rPr>
        <w:t>nowi warunek wstępny sprawiedliwości, demokracji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pos</w:t>
      </w:r>
      <w:r w:rsidRPr="00A3695F">
        <w:rPr>
          <w:rFonts w:ascii="Times New Roman" w:hAnsi="Times New Roman"/>
          <w:noProof/>
          <w:sz w:val="24"/>
          <w:lang w:val="pl-PL"/>
        </w:rPr>
        <w:t>zanowania praw podstawowych. Komisja zdecydowana jest podejmować większe wysiłki na rzecz promowania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estrzegania praw człowieka, podstawowych wolności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pra</w:t>
      </w:r>
      <w:r w:rsidRPr="00A3695F">
        <w:rPr>
          <w:rFonts w:ascii="Times New Roman" w:hAnsi="Times New Roman"/>
          <w:noProof/>
          <w:sz w:val="24"/>
          <w:lang w:val="pl-PL"/>
        </w:rPr>
        <w:t>worządności. Najważniejsze kierunki prac, takie jak roczne sprawozdania na temat praworządności</w:t>
      </w:r>
      <w:r w:rsidRPr="00A3695F">
        <w:rPr>
          <w:rStyle w:val="FootnoteReference"/>
          <w:rFonts w:ascii="Times New Roman" w:hAnsi="Times New Roman" w:cs="Times New Roman"/>
          <w:noProof/>
          <w:sz w:val="24"/>
          <w:lang w:val="pl-PL"/>
        </w:rPr>
        <w:footnoteReference w:id="2"/>
      </w:r>
      <w:r w:rsidRPr="00A3695F">
        <w:rPr>
          <w:rFonts w:ascii="Times New Roman" w:hAnsi="Times New Roman"/>
          <w:noProof/>
          <w:sz w:val="24"/>
          <w:lang w:val="pl-PL"/>
        </w:rPr>
        <w:t>,</w:t>
      </w:r>
      <w:r w:rsidRPr="00A3695F">
        <w:rPr>
          <w:rFonts w:ascii="Arial" w:hAnsi="Arial"/>
          <w:noProof/>
          <w:sz w:val="24"/>
          <w:lang w:val="pl-PL"/>
        </w:rPr>
        <w:t xml:space="preserve"> </w:t>
      </w:r>
      <w:r w:rsidRPr="00A3695F">
        <w:rPr>
          <w:rFonts w:ascii="Times New Roman" w:hAnsi="Times New Roman"/>
          <w:noProof/>
          <w:sz w:val="24"/>
          <w:lang w:val="pl-PL"/>
        </w:rPr>
        <w:t>europejski plan działania na rzecz demokracji</w:t>
      </w:r>
      <w:r w:rsidRPr="00A3695F">
        <w:rPr>
          <w:rStyle w:val="FootnoteReference"/>
          <w:rFonts w:ascii="Times New Roman" w:eastAsia="Calibri" w:hAnsi="Times New Roman" w:cs="Times New Roman"/>
          <w:noProof/>
          <w:spacing w:val="-4"/>
          <w:sz w:val="24"/>
          <w:lang w:val="pl-PL"/>
        </w:rPr>
        <w:footnoteReference w:id="3"/>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odn</w:t>
      </w:r>
      <w:r w:rsidRPr="00A3695F">
        <w:rPr>
          <w:rFonts w:ascii="Times New Roman" w:hAnsi="Times New Roman"/>
          <w:noProof/>
          <w:sz w:val="24"/>
          <w:lang w:val="pl-PL"/>
        </w:rPr>
        <w:t>owiona strategia wdrażania Karty praw podstawowych UE</w:t>
      </w:r>
      <w:r w:rsidRPr="00A3695F">
        <w:rPr>
          <w:rStyle w:val="FootnoteReference"/>
          <w:rFonts w:ascii="Times New Roman" w:eastAsia="Calibri" w:hAnsi="Times New Roman" w:cs="Times New Roman"/>
          <w:noProof/>
          <w:spacing w:val="-4"/>
          <w:sz w:val="24"/>
          <w:lang w:val="pl-PL"/>
        </w:rPr>
        <w:footnoteReference w:id="4"/>
      </w:r>
      <w:r w:rsidRPr="00A3695F">
        <w:rPr>
          <w:rFonts w:ascii="Times New Roman" w:hAnsi="Times New Roman"/>
          <w:noProof/>
          <w:sz w:val="24"/>
          <w:lang w:val="pl-PL"/>
        </w:rPr>
        <w:t xml:space="preserve"> („Karta”), przyczyniają się łącznie do znacznej intensyfikacji działań służących wzmocnieniu prawnych</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dem</w:t>
      </w:r>
      <w:r w:rsidRPr="00A3695F">
        <w:rPr>
          <w:rFonts w:ascii="Times New Roman" w:hAnsi="Times New Roman"/>
          <w:noProof/>
          <w:sz w:val="24"/>
          <w:lang w:val="pl-PL"/>
        </w:rPr>
        <w:t xml:space="preserve">okratycznych fundamentów UE. </w:t>
      </w:r>
    </w:p>
    <w:p w14:paraId="17F0AC53" w14:textId="63738227" w:rsidR="00025D73" w:rsidRPr="00A3695F" w:rsidRDefault="009F62E2" w:rsidP="00FE0204">
      <w:pPr>
        <w:spacing w:after="120"/>
        <w:jc w:val="both"/>
        <w:rPr>
          <w:rFonts w:ascii="Times New Roman" w:hAnsi="Times New Roman" w:cs="Times New Roman"/>
          <w:noProof/>
          <w:sz w:val="24"/>
          <w:lang w:val="pl-PL"/>
        </w:rPr>
      </w:pPr>
      <w:r w:rsidRPr="00A3695F">
        <w:rPr>
          <w:rFonts w:ascii="Times New Roman" w:hAnsi="Times New Roman"/>
          <w:noProof/>
          <w:sz w:val="24"/>
          <w:lang w:val="pl-PL"/>
        </w:rPr>
        <w:t>Egzekwowanie prawa Unii ma zasadnicze znaczenie dla realizacji tego celu. Jest to jedno</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pod</w:t>
      </w:r>
      <w:r w:rsidRPr="00A3695F">
        <w:rPr>
          <w:rFonts w:ascii="Times New Roman" w:hAnsi="Times New Roman"/>
          <w:noProof/>
          <w:sz w:val="24"/>
          <w:lang w:val="pl-PL"/>
        </w:rPr>
        <w:t>stawowych zadań Komisji, której</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Tra</w:t>
      </w:r>
      <w:r w:rsidRPr="00A3695F">
        <w:rPr>
          <w:rFonts w:ascii="Times New Roman" w:hAnsi="Times New Roman"/>
          <w:noProof/>
          <w:sz w:val="24"/>
          <w:lang w:val="pl-PL"/>
        </w:rPr>
        <w:t>ktatach UE podpisanych przez państwa członkowskie powierzono rolę „strażniczki traktatów”</w:t>
      </w:r>
      <w:r w:rsidRPr="00A3695F">
        <w:rPr>
          <w:rStyle w:val="FootnoteReference"/>
          <w:rFonts w:ascii="Times New Roman" w:hAnsi="Times New Roman" w:cs="Times New Roman"/>
          <w:noProof/>
          <w:sz w:val="24"/>
          <w:lang w:val="pl-PL"/>
        </w:rPr>
        <w:footnoteReference w:id="5"/>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pra</w:t>
      </w:r>
      <w:r w:rsidRPr="00A3695F">
        <w:rPr>
          <w:rFonts w:ascii="Times New Roman" w:hAnsi="Times New Roman"/>
          <w:noProof/>
          <w:sz w:val="24"/>
          <w:lang w:val="pl-PL"/>
        </w:rPr>
        <w:t>wa Unii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sze</w:t>
      </w:r>
      <w:r w:rsidRPr="00A3695F">
        <w:rPr>
          <w:rFonts w:ascii="Times New Roman" w:hAnsi="Times New Roman"/>
          <w:noProof/>
          <w:sz w:val="24"/>
          <w:lang w:val="pl-PL"/>
        </w:rPr>
        <w:t>rszym zakresie. Za sprawą tej nadrzędnej roli Komisja ponosi główną odpowiedzialność za egzekwowanie prawa. Główny sposób,</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jak</w:t>
      </w:r>
      <w:r w:rsidRPr="00A3695F">
        <w:rPr>
          <w:rFonts w:ascii="Times New Roman" w:hAnsi="Times New Roman"/>
          <w:noProof/>
          <w:sz w:val="24"/>
          <w:lang w:val="pl-PL"/>
        </w:rPr>
        <w:t>i pełni ona tę rolę, polega na współpracy</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stwami członkowskimi,</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tak</w:t>
      </w:r>
      <w:r w:rsidRPr="00A3695F">
        <w:rPr>
          <w:rFonts w:ascii="Times New Roman" w:hAnsi="Times New Roman"/>
          <w:noProof/>
          <w:sz w:val="24"/>
          <w:lang w:val="pl-PL"/>
        </w:rPr>
        <w:t>że monitorowaniu wdrażania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sto</w:t>
      </w:r>
      <w:r w:rsidRPr="00A3695F">
        <w:rPr>
          <w:rFonts w:ascii="Times New Roman" w:hAnsi="Times New Roman"/>
          <w:noProof/>
          <w:sz w:val="24"/>
          <w:lang w:val="pl-PL"/>
        </w:rPr>
        <w:t>sowania przez nie prawa Unii</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nin</w:t>
      </w:r>
      <w:r w:rsidRPr="00A3695F">
        <w:rPr>
          <w:rFonts w:ascii="Times New Roman" w:hAnsi="Times New Roman"/>
          <w:noProof/>
          <w:sz w:val="24"/>
          <w:lang w:val="pl-PL"/>
        </w:rPr>
        <w:t>iejszym komunikacie bardziej szczegółowo opisano sposób,</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jak</w:t>
      </w:r>
      <w:r w:rsidRPr="00A3695F">
        <w:rPr>
          <w:rFonts w:ascii="Times New Roman" w:hAnsi="Times New Roman"/>
          <w:noProof/>
          <w:sz w:val="24"/>
          <w:lang w:val="pl-PL"/>
        </w:rPr>
        <w:t>i Komisja wypełnia to zadanie podczas opracowywania przepisów UE, ich transpozycji do prawa krajowego, wdrażania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sto</w:t>
      </w:r>
      <w:r w:rsidRPr="00A3695F">
        <w:rPr>
          <w:rFonts w:ascii="Times New Roman" w:hAnsi="Times New Roman"/>
          <w:noProof/>
          <w:sz w:val="24"/>
          <w:lang w:val="pl-PL"/>
        </w:rPr>
        <w:t>sowania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pra</w:t>
      </w:r>
      <w:r w:rsidRPr="00A3695F">
        <w:rPr>
          <w:rFonts w:ascii="Times New Roman" w:hAnsi="Times New Roman"/>
          <w:noProof/>
          <w:sz w:val="24"/>
          <w:lang w:val="pl-PL"/>
        </w:rPr>
        <w:t>ktyce. Tak jak Komisja skupia się na ochronie praworządności, zapobiegając pojawianiu się problemów, najlepszym sposobem na egzekwowanie prawa Unii jest zapobieganie jego naruszaniu. Codzienna współpraca między Komisją</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stwami członkowskimi ma zasadnicze znaczenie dla zapewnienia wczesnej zgodności</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episami. Ostatecznie jednak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tym</w:t>
      </w:r>
      <w:r w:rsidRPr="00A3695F">
        <w:rPr>
          <w:rFonts w:ascii="Times New Roman" w:hAnsi="Times New Roman"/>
          <w:noProof/>
          <w:sz w:val="24"/>
          <w:lang w:val="pl-PL"/>
        </w:rPr>
        <w:t xml:space="preserve"> możliwość zaskarżenia państwa członkowskiego do Trybunału Sprawiedliwości Unii Europejskiej („Trybunał Sprawiedliwości”), są często konieczne, aby rozwiązać problem naruszenia prawa Unii.</w:t>
      </w:r>
    </w:p>
    <w:p w14:paraId="070FA866" w14:textId="184E4FF1" w:rsidR="002D6D61" w:rsidRPr="00A3695F" w:rsidRDefault="00304CEE" w:rsidP="00FE0204">
      <w:pPr>
        <w:spacing w:after="120"/>
        <w:jc w:val="both"/>
        <w:rPr>
          <w:rFonts w:ascii="Times New Roman" w:hAnsi="Times New Roman" w:cs="Times New Roman"/>
          <w:noProof/>
          <w:sz w:val="24"/>
          <w:lang w:val="pl-PL"/>
        </w:rPr>
      </w:pPr>
      <w:r w:rsidRPr="00A3695F">
        <w:rPr>
          <w:rFonts w:ascii="Times New Roman" w:hAnsi="Times New Roman"/>
          <w:noProof/>
          <w:sz w:val="24"/>
          <w:lang w:val="pl-PL"/>
        </w:rPr>
        <w:t>Dzięki skutecznemu egzekwowaniu przepisów ludzie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edsiębiorstwa w UE możliwie najwcześniej korzystają ze wspólnie uzgodnionych przepisów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mog</w:t>
      </w:r>
      <w:r w:rsidRPr="00A3695F">
        <w:rPr>
          <w:rFonts w:ascii="Times New Roman" w:hAnsi="Times New Roman"/>
          <w:noProof/>
          <w:sz w:val="24"/>
          <w:lang w:val="pl-PL"/>
        </w:rPr>
        <w:t>ą liczyć na to, że jeżeli mieszkają lub pracują gdziekolwiek na terenie UE, ich prawa podstawowe będą przestrzegane</w:t>
      </w:r>
      <w:r w:rsidR="003937FF" w:rsidRPr="00A3695F">
        <w:rPr>
          <w:rFonts w:ascii="Times New Roman" w:hAnsi="Times New Roman"/>
          <w:noProof/>
          <w:sz w:val="24"/>
          <w:lang w:val="pl-PL"/>
        </w:rPr>
        <w:t>. Z</w:t>
      </w:r>
      <w:r w:rsidR="003937FF">
        <w:rPr>
          <w:rFonts w:ascii="Times New Roman" w:hAnsi="Times New Roman"/>
          <w:noProof/>
          <w:sz w:val="24"/>
          <w:lang w:val="pl-PL"/>
        </w:rPr>
        <w:t> </w:t>
      </w:r>
      <w:r w:rsidR="003937FF" w:rsidRPr="00A3695F">
        <w:rPr>
          <w:rFonts w:ascii="Times New Roman" w:hAnsi="Times New Roman"/>
          <w:noProof/>
          <w:sz w:val="24"/>
          <w:lang w:val="pl-PL"/>
        </w:rPr>
        <w:t>teg</w:t>
      </w:r>
      <w:r w:rsidRPr="00A3695F">
        <w:rPr>
          <w:rFonts w:ascii="Times New Roman" w:hAnsi="Times New Roman"/>
          <w:noProof/>
          <w:sz w:val="24"/>
          <w:lang w:val="pl-PL"/>
        </w:rPr>
        <w:t>o względu Komisja wspiera państwa członkowskie na wczesnym etapie procesu włączania przepisów UE do ich porządku prawnego, aby zapewnić poprawne wdrażanie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sto</w:t>
      </w:r>
      <w:r w:rsidRPr="00A3695F">
        <w:rPr>
          <w:rFonts w:ascii="Times New Roman" w:hAnsi="Times New Roman"/>
          <w:noProof/>
          <w:sz w:val="24"/>
          <w:lang w:val="pl-PL"/>
        </w:rPr>
        <w:t>sowanie prawa Unii od samego początku. To wyjaśnia również, dlaczego dane liczbowe dotyczące samych postępowań</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 niekoniecznie stanowią dobrą miarę działań Komisji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zak</w:t>
      </w:r>
      <w:r w:rsidRPr="00A3695F">
        <w:rPr>
          <w:rFonts w:ascii="Times New Roman" w:hAnsi="Times New Roman"/>
          <w:noProof/>
          <w:sz w:val="24"/>
          <w:lang w:val="pl-PL"/>
        </w:rPr>
        <w:t>resie egzekwowania przepisów, gdyż Komisja stara się zapobiegać występowaniu naruszeń,</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jeż</w:t>
      </w:r>
      <w:r w:rsidRPr="00A3695F">
        <w:rPr>
          <w:rFonts w:ascii="Times New Roman" w:hAnsi="Times New Roman"/>
          <w:noProof/>
          <w:sz w:val="24"/>
          <w:lang w:val="pl-PL"/>
        </w:rPr>
        <w:t>eli jednak wystąpią – doprowadzić do jak najszybszego ich zakończenia.</w:t>
      </w:r>
    </w:p>
    <w:p w14:paraId="7EBC0607" w14:textId="68E4B6EE" w:rsidR="00025D73" w:rsidRPr="00A3695F" w:rsidRDefault="004365E4" w:rsidP="00FE0204">
      <w:pPr>
        <w:spacing w:after="120"/>
        <w:jc w:val="both"/>
        <w:rPr>
          <w:rFonts w:ascii="Times New Roman" w:hAnsi="Times New Roman" w:cs="Times New Roman"/>
          <w:noProof/>
          <w:sz w:val="24"/>
          <w:lang w:val="pl-PL"/>
        </w:rPr>
      </w:pPr>
      <w:r w:rsidRPr="00A3695F">
        <w:rPr>
          <w:rFonts w:ascii="Times New Roman" w:hAnsi="Times New Roman"/>
          <w:noProof/>
          <w:sz w:val="24"/>
          <w:lang w:val="pl-PL"/>
        </w:rPr>
        <w:t>Oprócz Komisji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rzą</w:t>
      </w:r>
      <w:r w:rsidRPr="00A3695F">
        <w:rPr>
          <w:rFonts w:ascii="Times New Roman" w:hAnsi="Times New Roman"/>
          <w:noProof/>
          <w:sz w:val="24"/>
          <w:lang w:val="pl-PL"/>
        </w:rPr>
        <w:t>dów krajowych inne podmioty również odgrywają kluczową rolę</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sku</w:t>
      </w:r>
      <w:r w:rsidRPr="00A3695F">
        <w:rPr>
          <w:rFonts w:ascii="Times New Roman" w:hAnsi="Times New Roman"/>
          <w:noProof/>
          <w:sz w:val="24"/>
          <w:lang w:val="pl-PL"/>
        </w:rPr>
        <w:t>tecznym stosowaniu prawa Unii. Niektóre</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nic</w:t>
      </w:r>
      <w:r w:rsidRPr="00A3695F">
        <w:rPr>
          <w:rFonts w:ascii="Times New Roman" w:hAnsi="Times New Roman"/>
          <w:noProof/>
          <w:sz w:val="24"/>
          <w:lang w:val="pl-PL"/>
        </w:rPr>
        <w:t>h pełnią rolę formalną, np. sądy krajowe, krajowe organy ds. konkurencji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org</w:t>
      </w:r>
      <w:r w:rsidRPr="00A3695F">
        <w:rPr>
          <w:rFonts w:ascii="Times New Roman" w:hAnsi="Times New Roman"/>
          <w:noProof/>
          <w:sz w:val="24"/>
          <w:lang w:val="pl-PL"/>
        </w:rPr>
        <w:t>any regulacyjne lub organy nadzoru, takie jak organy nadzoru ds. konsumentów lub niezależne organy nadzoru ds. ochrony danych. Społeczeństwo obywatelskie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oso</w:t>
      </w:r>
      <w:r w:rsidRPr="00A3695F">
        <w:rPr>
          <w:rFonts w:ascii="Times New Roman" w:hAnsi="Times New Roman"/>
          <w:noProof/>
          <w:sz w:val="24"/>
          <w:lang w:val="pl-PL"/>
        </w:rPr>
        <w:t>by fizyczne również pomagają</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zwr</w:t>
      </w:r>
      <w:r w:rsidRPr="00A3695F">
        <w:rPr>
          <w:rFonts w:ascii="Times New Roman" w:hAnsi="Times New Roman"/>
          <w:noProof/>
          <w:sz w:val="24"/>
          <w:lang w:val="pl-PL"/>
        </w:rPr>
        <w:t>óceniu uwagi na możliwe naruszenia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pot</w:t>
      </w:r>
      <w:r w:rsidRPr="00A3695F">
        <w:rPr>
          <w:rFonts w:ascii="Times New Roman" w:hAnsi="Times New Roman"/>
          <w:noProof/>
          <w:sz w:val="24"/>
          <w:lang w:val="pl-PL"/>
        </w:rPr>
        <w:t>rzebę zajęcia się tymi naruszeniami.</w:t>
      </w:r>
    </w:p>
    <w:p w14:paraId="0E40247F" w14:textId="38C44C3C" w:rsidR="00025D73" w:rsidRPr="00A3695F" w:rsidRDefault="00025D73" w:rsidP="00FE0204">
      <w:pPr>
        <w:spacing w:after="120"/>
        <w:jc w:val="both"/>
        <w:rPr>
          <w:rFonts w:ascii="Times New Roman" w:hAnsi="Times New Roman" w:cs="Times New Roman"/>
          <w:noProof/>
          <w:sz w:val="24"/>
          <w:lang w:val="pl-PL"/>
        </w:rPr>
      </w:pPr>
      <w:r w:rsidRPr="00A3695F">
        <w:rPr>
          <w:rFonts w:ascii="Times New Roman" w:hAnsi="Times New Roman"/>
          <w:noProof/>
          <w:sz w:val="24"/>
          <w:lang w:val="pl-PL"/>
        </w:rPr>
        <w:t>W niniejszym komunikacie opisano,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jak</w:t>
      </w:r>
      <w:r w:rsidRPr="00A3695F">
        <w:rPr>
          <w:rFonts w:ascii="Times New Roman" w:hAnsi="Times New Roman"/>
          <w:noProof/>
          <w:sz w:val="24"/>
          <w:lang w:val="pl-PL"/>
        </w:rPr>
        <w:t>i sposób Komisja pogłębia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roz</w:t>
      </w:r>
      <w:r w:rsidRPr="00A3695F">
        <w:rPr>
          <w:rFonts w:ascii="Times New Roman" w:hAnsi="Times New Roman"/>
          <w:noProof/>
          <w:sz w:val="24"/>
          <w:lang w:val="pl-PL"/>
        </w:rPr>
        <w:t>wija swoje prace nad egzekwowaniem przepisów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zapewnienia, aby wszystkie państwa członkowskie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rów</w:t>
      </w:r>
      <w:r w:rsidRPr="00A3695F">
        <w:rPr>
          <w:rFonts w:ascii="Times New Roman" w:hAnsi="Times New Roman"/>
          <w:noProof/>
          <w:sz w:val="24"/>
          <w:lang w:val="pl-PL"/>
        </w:rPr>
        <w:t>nym stopniu przestrzegały prawa Unii, oraz</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maksymalizacji konkretnych korzyści, jakie przynoszą prace służące wdrażaniu</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egz</w:t>
      </w:r>
      <w:r w:rsidRPr="00A3695F">
        <w:rPr>
          <w:rFonts w:ascii="Times New Roman" w:hAnsi="Times New Roman"/>
          <w:noProof/>
          <w:sz w:val="24"/>
          <w:lang w:val="pl-PL"/>
        </w:rPr>
        <w:t>ekwowaniu tych przepisów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cod</w:t>
      </w:r>
      <w:r w:rsidRPr="00A3695F">
        <w:rPr>
          <w:rFonts w:ascii="Times New Roman" w:hAnsi="Times New Roman"/>
          <w:noProof/>
          <w:sz w:val="24"/>
          <w:lang w:val="pl-PL"/>
        </w:rPr>
        <w:t>ziennym życiu ludzi w UE</w:t>
      </w:r>
      <w:r w:rsidRPr="00A3695F">
        <w:rPr>
          <w:rStyle w:val="FootnoteReference"/>
          <w:rFonts w:ascii="Times New Roman" w:hAnsi="Times New Roman" w:cs="Times New Roman"/>
          <w:noProof/>
          <w:sz w:val="24"/>
          <w:lang w:val="pl-PL"/>
        </w:rPr>
        <w:footnoteReference w:id="6"/>
      </w:r>
      <w:r w:rsidRPr="00A3695F">
        <w:rPr>
          <w:rFonts w:ascii="Times New Roman" w:hAnsi="Times New Roman"/>
          <w:noProof/>
          <w:sz w:val="24"/>
          <w:lang w:val="pl-PL"/>
        </w:rPr>
        <w:t xml:space="preserve">. </w:t>
      </w:r>
    </w:p>
    <w:p w14:paraId="4DC4C99E" w14:textId="77777777" w:rsidR="006C2289" w:rsidRPr="003937FF" w:rsidRDefault="006C2289" w:rsidP="001F57F0">
      <w:pPr>
        <w:pStyle w:val="Heading11"/>
        <w:numPr>
          <w:ilvl w:val="0"/>
          <w:numId w:val="1"/>
        </w:numPr>
        <w:spacing w:before="480"/>
        <w:ind w:left="1077"/>
        <w:rPr>
          <w:noProof/>
          <w:u w:val="none"/>
          <w:lang w:val="pl-PL"/>
        </w:rPr>
      </w:pPr>
      <w:r w:rsidRPr="003937FF">
        <w:rPr>
          <w:noProof/>
          <w:u w:val="none"/>
          <w:lang w:val="pl-PL"/>
        </w:rPr>
        <w:t>CZERPANIE KORZYŚCI Z PRAWA UNII</w:t>
      </w:r>
    </w:p>
    <w:p w14:paraId="1177960E" w14:textId="3280F6D8" w:rsidR="006C2289" w:rsidRPr="00A3695F" w:rsidRDefault="007D42CB" w:rsidP="006C2289">
      <w:pPr>
        <w:jc w:val="both"/>
        <w:rPr>
          <w:rFonts w:ascii="Times New Roman" w:hAnsi="Times New Roman" w:cs="Times New Roman"/>
          <w:noProof/>
          <w:sz w:val="24"/>
          <w:lang w:val="pl-PL"/>
        </w:rPr>
      </w:pPr>
      <w:r w:rsidRPr="00A3695F">
        <w:rPr>
          <w:rFonts w:ascii="Times New Roman" w:hAnsi="Times New Roman"/>
          <w:noProof/>
          <w:sz w:val="24"/>
          <w:lang w:val="pl-PL"/>
        </w:rPr>
        <w:t>Ludzie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edsiębiorstwa liczą na to, że wspólnie uzgodnione przepisy UE będą szybko</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pop</w:t>
      </w:r>
      <w:r w:rsidRPr="00A3695F">
        <w:rPr>
          <w:rFonts w:ascii="Times New Roman" w:hAnsi="Times New Roman"/>
          <w:noProof/>
          <w:sz w:val="24"/>
          <w:lang w:val="pl-PL"/>
        </w:rPr>
        <w:t>rawnie wdrażane lub transponowane do prawa krajowego, państwa członkowskie będą</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peł</w:t>
      </w:r>
      <w:r w:rsidRPr="00A3695F">
        <w:rPr>
          <w:rFonts w:ascii="Times New Roman" w:hAnsi="Times New Roman"/>
          <w:noProof/>
          <w:sz w:val="24"/>
          <w:lang w:val="pl-PL"/>
        </w:rPr>
        <w:t>ni je stosowały. Egzekwowanie przepisów UE ma zasadnicze znaczenie dla realizacji unijnej polityki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wią</w:t>
      </w:r>
      <w:r w:rsidRPr="00A3695F">
        <w:rPr>
          <w:rFonts w:ascii="Times New Roman" w:hAnsi="Times New Roman"/>
          <w:noProof/>
          <w:sz w:val="24"/>
          <w:lang w:val="pl-PL"/>
        </w:rPr>
        <w:t>że się nierozerwalnie</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ksz</w:t>
      </w:r>
      <w:r w:rsidRPr="00A3695F">
        <w:rPr>
          <w:rFonts w:ascii="Times New Roman" w:hAnsi="Times New Roman"/>
          <w:noProof/>
          <w:sz w:val="24"/>
          <w:lang w:val="pl-PL"/>
        </w:rPr>
        <w:t>tałtowaniem polityki. Podczas stanowienia przepisów UE odbywa się skrupulatny proces oceny obowiązujących przepisów krajowych</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uni</w:t>
      </w:r>
      <w:r w:rsidRPr="00A3695F">
        <w:rPr>
          <w:rFonts w:ascii="Times New Roman" w:hAnsi="Times New Roman"/>
          <w:noProof/>
          <w:sz w:val="24"/>
          <w:lang w:val="pl-PL"/>
        </w:rPr>
        <w:t>jnych, konsultacji publicznych</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oce</w:t>
      </w:r>
      <w:r w:rsidRPr="00A3695F">
        <w:rPr>
          <w:rFonts w:ascii="Times New Roman" w:hAnsi="Times New Roman"/>
          <w:noProof/>
          <w:sz w:val="24"/>
          <w:lang w:val="pl-PL"/>
        </w:rPr>
        <w:t>ny wpływu na środowisko, społeczeństwo</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gos</w:t>
      </w:r>
      <w:r w:rsidRPr="00A3695F">
        <w:rPr>
          <w:rFonts w:ascii="Times New Roman" w:hAnsi="Times New Roman"/>
          <w:noProof/>
          <w:sz w:val="24"/>
          <w:lang w:val="pl-PL"/>
        </w:rPr>
        <w:t>podarkę</w:t>
      </w:r>
      <w:r w:rsidRPr="00A3695F">
        <w:rPr>
          <w:rStyle w:val="FootnoteReference"/>
          <w:rFonts w:ascii="Times New Roman" w:hAnsi="Times New Roman" w:cs="Times New Roman"/>
          <w:noProof/>
          <w:sz w:val="24"/>
          <w:lang w:val="pl-PL"/>
        </w:rPr>
        <w:footnoteReference w:id="7"/>
      </w:r>
      <w:r w:rsidRPr="00A3695F">
        <w:rPr>
          <w:rFonts w:ascii="Times New Roman" w:hAnsi="Times New Roman"/>
          <w:noProof/>
          <w:sz w:val="24"/>
          <w:lang w:val="pl-PL"/>
        </w:rPr>
        <w:t>. Przyjęcie tych przepisów jest efektem włączającego</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ejrzystego procesu legislacyjnego,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któ</w:t>
      </w:r>
      <w:r w:rsidRPr="00A3695F">
        <w:rPr>
          <w:rFonts w:ascii="Times New Roman" w:hAnsi="Times New Roman"/>
          <w:noProof/>
          <w:sz w:val="24"/>
          <w:lang w:val="pl-PL"/>
        </w:rPr>
        <w:t>rym biorą udział Parlament Europejski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Rad</w:t>
      </w:r>
      <w:r w:rsidRPr="00A3695F">
        <w:rPr>
          <w:rFonts w:ascii="Times New Roman" w:hAnsi="Times New Roman"/>
          <w:noProof/>
          <w:sz w:val="24"/>
          <w:lang w:val="pl-PL"/>
        </w:rPr>
        <w:t>a, aby politycy</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dec</w:t>
      </w:r>
      <w:r w:rsidRPr="00A3695F">
        <w:rPr>
          <w:rFonts w:ascii="Times New Roman" w:hAnsi="Times New Roman"/>
          <w:noProof/>
          <w:sz w:val="24"/>
          <w:lang w:val="pl-PL"/>
        </w:rPr>
        <w:t>ydenci mogli zabrać głos co do sposobu wdrażania omawianych przepisów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pra</w:t>
      </w:r>
      <w:r w:rsidRPr="00A3695F">
        <w:rPr>
          <w:rFonts w:ascii="Times New Roman" w:hAnsi="Times New Roman"/>
          <w:noProof/>
          <w:sz w:val="24"/>
          <w:lang w:val="pl-PL"/>
        </w:rPr>
        <w:t>ktyce. Jeżeli przyjęte akty prawne mają wywrzeć zamierzony wpływ, muszą być stosowane we wszystkich państwach członkowskich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cał</w:t>
      </w:r>
      <w:r w:rsidRPr="00A3695F">
        <w:rPr>
          <w:rFonts w:ascii="Times New Roman" w:hAnsi="Times New Roman"/>
          <w:noProof/>
          <w:sz w:val="24"/>
          <w:lang w:val="pl-PL"/>
        </w:rPr>
        <w:t>ości,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spo</w:t>
      </w:r>
      <w:r w:rsidRPr="00A3695F">
        <w:rPr>
          <w:rFonts w:ascii="Times New Roman" w:hAnsi="Times New Roman"/>
          <w:noProof/>
          <w:sz w:val="24"/>
          <w:lang w:val="pl-PL"/>
        </w:rPr>
        <w:t>sób prawidłowy</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jed</w:t>
      </w:r>
      <w:r w:rsidRPr="00A3695F">
        <w:rPr>
          <w:rFonts w:ascii="Times New Roman" w:hAnsi="Times New Roman"/>
          <w:noProof/>
          <w:sz w:val="24"/>
          <w:lang w:val="pl-PL"/>
        </w:rPr>
        <w:t>nakowy,</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zac</w:t>
      </w:r>
      <w:r w:rsidRPr="00A3695F">
        <w:rPr>
          <w:rFonts w:ascii="Times New Roman" w:hAnsi="Times New Roman"/>
          <w:noProof/>
          <w:sz w:val="24"/>
          <w:lang w:val="pl-PL"/>
        </w:rPr>
        <w:t>howaniem wyznaczonych terminów.</w:t>
      </w:r>
    </w:p>
    <w:tbl>
      <w:tblPr>
        <w:tblStyle w:val="law"/>
        <w:tblW w:w="0" w:type="auto"/>
        <w:shd w:val="clear" w:color="auto" w:fill="EDF2F9"/>
        <w:tblLook w:val="04A0" w:firstRow="1" w:lastRow="0" w:firstColumn="1" w:lastColumn="0" w:noHBand="0" w:noVBand="1"/>
      </w:tblPr>
      <w:tblGrid>
        <w:gridCol w:w="9288"/>
      </w:tblGrid>
      <w:tr w:rsidR="005828BD" w:rsidRPr="00A3695F" w14:paraId="2ECFD239" w14:textId="77777777" w:rsidTr="001F57F0">
        <w:tc>
          <w:tcPr>
            <w:tcW w:w="9288" w:type="dxa"/>
            <w:shd w:val="clear" w:color="auto" w:fill="EDF2F9"/>
          </w:tcPr>
          <w:p w14:paraId="33C460E4" w14:textId="469FFAF5" w:rsidR="005828BD" w:rsidRPr="003937FF" w:rsidRDefault="005828BD" w:rsidP="006E12BE">
            <w:pPr>
              <w:pStyle w:val="Style2"/>
              <w:rPr>
                <w:noProof/>
                <w:lang w:val="pl-PL"/>
              </w:rPr>
            </w:pPr>
            <w:r w:rsidRPr="003937FF">
              <w:rPr>
                <w:noProof/>
                <w:lang w:val="pl-PL"/>
              </w:rPr>
              <w:t>Umożliwienie ludziom pracy</w:t>
            </w:r>
            <w:r w:rsidR="003937FF" w:rsidRPr="003937FF">
              <w:rPr>
                <w:noProof/>
                <w:lang w:val="pl-PL"/>
              </w:rPr>
              <w:t xml:space="preserve"> i</w:t>
            </w:r>
            <w:r w:rsidR="003937FF">
              <w:rPr>
                <w:rFonts w:ascii="Calibri" w:hAnsi="Calibri" w:cs="Calibri"/>
                <w:noProof/>
                <w:lang w:val="pl-PL"/>
              </w:rPr>
              <w:t> </w:t>
            </w:r>
            <w:r w:rsidR="003937FF" w:rsidRPr="003937FF">
              <w:rPr>
                <w:noProof/>
                <w:lang w:val="pl-PL"/>
              </w:rPr>
              <w:t>pro</w:t>
            </w:r>
            <w:r w:rsidRPr="003937FF">
              <w:rPr>
                <w:noProof/>
                <w:lang w:val="pl-PL"/>
              </w:rPr>
              <w:t>wadzenia działalności wszędzie w UE</w:t>
            </w:r>
          </w:p>
          <w:p w14:paraId="0FC5E173" w14:textId="70AA1264" w:rsidR="009D038E" w:rsidRPr="00A3695F" w:rsidRDefault="005828BD" w:rsidP="009D038E">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 xml:space="preserve">Przepisy UE dotyczące </w:t>
            </w:r>
            <w:r w:rsidRPr="003937FF">
              <w:rPr>
                <w:rFonts w:ascii="Times New Roman" w:hAnsi="Times New Roman"/>
                <w:b/>
                <w:noProof/>
                <w:sz w:val="24"/>
                <w:lang w:val="pl-PL"/>
              </w:rPr>
              <w:t>uznawania kwalifikacji zawodowych</w:t>
            </w:r>
            <w:r w:rsidRPr="00A3695F">
              <w:rPr>
                <w:rFonts w:ascii="Times New Roman" w:hAnsi="Times New Roman"/>
                <w:noProof/>
                <w:sz w:val="24"/>
                <w:lang w:val="pl-PL"/>
              </w:rPr>
              <w:t xml:space="preserve"> ułatwiają wysoko wykwalifikowanym specjalistom świadczenie usług</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cał</w:t>
            </w:r>
            <w:r w:rsidRPr="00A3695F">
              <w:rPr>
                <w:rFonts w:ascii="Times New Roman" w:hAnsi="Times New Roman"/>
                <w:noProof/>
                <w:sz w:val="24"/>
                <w:lang w:val="pl-PL"/>
              </w:rPr>
              <w:t>ej UE,</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jed</w:t>
            </w:r>
            <w:r w:rsidRPr="00A3695F">
              <w:rPr>
                <w:rFonts w:ascii="Times New Roman" w:hAnsi="Times New Roman"/>
                <w:noProof/>
                <w:sz w:val="24"/>
                <w:lang w:val="pl-PL"/>
              </w:rPr>
              <w:t>nocześnie gwarantują lepszą ochronę konsumentów. Państwa członkowskie wdrożyły jednak te przepisy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nie</w:t>
            </w:r>
            <w:r w:rsidRPr="00A3695F">
              <w:rPr>
                <w:rFonts w:ascii="Times New Roman" w:hAnsi="Times New Roman"/>
                <w:noProof/>
                <w:sz w:val="24"/>
                <w:lang w:val="pl-PL"/>
              </w:rPr>
              <w:t>jednolity sposób, przez co procedury obowiązujące pracowników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oso</w:t>
            </w:r>
            <w:r w:rsidRPr="00A3695F">
              <w:rPr>
                <w:rFonts w:ascii="Times New Roman" w:hAnsi="Times New Roman"/>
                <w:noProof/>
                <w:sz w:val="24"/>
                <w:lang w:val="pl-PL"/>
              </w:rPr>
              <w:t>by samozatrudnione są</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nie</w:t>
            </w:r>
            <w:r w:rsidRPr="00A3695F">
              <w:rPr>
                <w:rFonts w:ascii="Times New Roman" w:hAnsi="Times New Roman"/>
                <w:noProof/>
                <w:sz w:val="24"/>
                <w:lang w:val="pl-PL"/>
              </w:rPr>
              <w:t>których państwach członkowskich bardziej uciążliwe niż</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inn</w:t>
            </w:r>
            <w:r w:rsidRPr="00A3695F">
              <w:rPr>
                <w:rFonts w:ascii="Times New Roman" w:hAnsi="Times New Roman"/>
                <w:noProof/>
                <w:sz w:val="24"/>
                <w:lang w:val="pl-PL"/>
              </w:rPr>
              <w:t>ych</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kon</w:t>
            </w:r>
            <w:r w:rsidRPr="00A3695F">
              <w:rPr>
                <w:rFonts w:ascii="Times New Roman" w:hAnsi="Times New Roman"/>
                <w:noProof/>
                <w:sz w:val="24"/>
                <w:lang w:val="pl-PL"/>
              </w:rPr>
              <w:t>sekwencji postępowań</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w:t>
            </w:r>
            <w:r w:rsidRPr="003937FF">
              <w:rPr>
                <w:rFonts w:ascii="Times New Roman" w:hAnsi="Times New Roman"/>
                <w:noProof/>
                <w:sz w:val="24"/>
                <w:lang w:val="pl-PL"/>
              </w:rPr>
              <w:t>m</w:t>
            </w:r>
            <w:r w:rsidR="003937FF" w:rsidRPr="003937FF">
              <w:rPr>
                <w:rFonts w:ascii="Times New Roman" w:hAnsi="Times New Roman"/>
                <w:noProof/>
                <w:sz w:val="24"/>
                <w:lang w:val="pl-PL"/>
              </w:rPr>
              <w:t xml:space="preserve"> </w:t>
            </w:r>
            <w:r w:rsidRPr="003937FF">
              <w:rPr>
                <w:rFonts w:ascii="Times New Roman" w:hAnsi="Times New Roman"/>
                <w:noProof/>
                <w:sz w:val="24"/>
                <w:lang w:val="pl-PL"/>
              </w:rPr>
              <w:t>p</w:t>
            </w:r>
            <w:r w:rsidRPr="00A3695F">
              <w:rPr>
                <w:rFonts w:ascii="Times New Roman" w:hAnsi="Times New Roman"/>
                <w:noProof/>
                <w:sz w:val="24"/>
                <w:lang w:val="pl-PL"/>
              </w:rPr>
              <w:t>aństwa członkowskie zmieniły swoje ustawodawstwo, zapewniając, aby obywatele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edsiębiorstwa czerpały korzyści</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tyc</w:t>
            </w:r>
            <w:r w:rsidRPr="00A3695F">
              <w:rPr>
                <w:rFonts w:ascii="Times New Roman" w:hAnsi="Times New Roman"/>
                <w:noProof/>
                <w:sz w:val="24"/>
                <w:lang w:val="pl-PL"/>
              </w:rPr>
              <w:t>h przepisów. Ponadto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wyn</w:t>
            </w:r>
            <w:r w:rsidRPr="00A3695F">
              <w:rPr>
                <w:rFonts w:ascii="Times New Roman" w:hAnsi="Times New Roman"/>
                <w:noProof/>
                <w:sz w:val="24"/>
                <w:lang w:val="pl-PL"/>
              </w:rPr>
              <w:t>iku współpracy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ram</w:t>
            </w:r>
            <w:r w:rsidRPr="00A3695F">
              <w:rPr>
                <w:rFonts w:ascii="Times New Roman" w:hAnsi="Times New Roman"/>
                <w:noProof/>
                <w:sz w:val="24"/>
                <w:lang w:val="pl-PL"/>
              </w:rPr>
              <w:t>ach Grupy Zadaniowej ds. Egzekwowania Przepisów dotyczących Jednolitego Rynku państwa członkowskie usunęły 217 pozycji</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wyk</w:t>
            </w:r>
            <w:r w:rsidRPr="00A3695F">
              <w:rPr>
                <w:rFonts w:ascii="Times New Roman" w:hAnsi="Times New Roman"/>
                <w:noProof/>
                <w:sz w:val="24"/>
                <w:lang w:val="pl-PL"/>
              </w:rPr>
              <w:t>azu zawodów,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odn</w:t>
            </w:r>
            <w:r w:rsidRPr="00A3695F">
              <w:rPr>
                <w:rFonts w:ascii="Times New Roman" w:hAnsi="Times New Roman"/>
                <w:noProof/>
                <w:sz w:val="24"/>
                <w:lang w:val="pl-PL"/>
              </w:rPr>
              <w:t>iesieniu do których niezbędne jest przeprowadzenie wstępnego sprawdzenia kwalifikacji, co ułatwia pracownikom świadczenie usług</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tyc</w:t>
            </w:r>
            <w:r w:rsidRPr="00A3695F">
              <w:rPr>
                <w:rFonts w:ascii="Times New Roman" w:hAnsi="Times New Roman"/>
                <w:noProof/>
                <w:sz w:val="24"/>
                <w:lang w:val="pl-PL"/>
              </w:rPr>
              <w:t xml:space="preserve">h państwach członkowskich. </w:t>
            </w:r>
          </w:p>
          <w:p w14:paraId="3566AB5B" w14:textId="67468FD2" w:rsidR="005828BD" w:rsidRPr="00A3695F" w:rsidRDefault="005828BD" w:rsidP="005828BD">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 xml:space="preserve">Lepsza koordynacja krajowych </w:t>
            </w:r>
            <w:r w:rsidRPr="003937FF">
              <w:rPr>
                <w:rFonts w:ascii="Times New Roman" w:hAnsi="Times New Roman"/>
                <w:b/>
                <w:noProof/>
                <w:sz w:val="24"/>
                <w:lang w:val="pl-PL"/>
              </w:rPr>
              <w:t>systemów zabezpieczenia społecznego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stwach członkowskich również pomaga ludziom</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sku</w:t>
            </w:r>
            <w:r w:rsidRPr="00A3695F">
              <w:rPr>
                <w:rFonts w:ascii="Times New Roman" w:hAnsi="Times New Roman"/>
                <w:noProof/>
                <w:sz w:val="24"/>
                <w:lang w:val="pl-PL"/>
              </w:rPr>
              <w:t>tecznym korzystaniu</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pra</w:t>
            </w:r>
            <w:r w:rsidRPr="00A3695F">
              <w:rPr>
                <w:rFonts w:ascii="Times New Roman" w:hAnsi="Times New Roman"/>
                <w:noProof/>
                <w:sz w:val="24"/>
                <w:lang w:val="pl-PL"/>
              </w:rPr>
              <w:t>wa do swobodnego przemieszczania się. Aby chronić swobodne przemieszczanie się pracowników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koo</w:t>
            </w:r>
            <w:r w:rsidRPr="00A3695F">
              <w:rPr>
                <w:rFonts w:ascii="Times New Roman" w:hAnsi="Times New Roman"/>
                <w:noProof/>
                <w:sz w:val="24"/>
                <w:lang w:val="pl-PL"/>
              </w:rPr>
              <w:t>rdynację systemów zabezpieczenia społecznego, Komisja wszczęła postępowania przeciwko dwóm państwom członkowskim za przyznawanie niższych kwot świadczeń rodzinnych pracującym tam obywatelom UE, jeżeli ich dzieci mieszkają</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stwie członkowskim,</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któ</w:t>
            </w:r>
            <w:r w:rsidRPr="00A3695F">
              <w:rPr>
                <w:rFonts w:ascii="Times New Roman" w:hAnsi="Times New Roman"/>
                <w:noProof/>
                <w:sz w:val="24"/>
                <w:lang w:val="pl-PL"/>
              </w:rPr>
              <w:t>rym uznaje się, że koszty życia są niższe</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jed</w:t>
            </w:r>
            <w:r w:rsidRPr="00A3695F">
              <w:rPr>
                <w:rFonts w:ascii="Times New Roman" w:hAnsi="Times New Roman"/>
                <w:noProof/>
                <w:sz w:val="24"/>
                <w:lang w:val="pl-PL"/>
              </w:rPr>
              <w:t>nym</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tyc</w:t>
            </w:r>
            <w:r w:rsidRPr="00A3695F">
              <w:rPr>
                <w:rFonts w:ascii="Times New Roman" w:hAnsi="Times New Roman"/>
                <w:noProof/>
                <w:sz w:val="24"/>
                <w:lang w:val="pl-PL"/>
              </w:rPr>
              <w:t>h przypadków stanowisko Komisji znalazło już potwierdzenie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wyr</w:t>
            </w:r>
            <w:r w:rsidRPr="00A3695F">
              <w:rPr>
                <w:rFonts w:ascii="Times New Roman" w:hAnsi="Times New Roman"/>
                <w:noProof/>
                <w:sz w:val="24"/>
                <w:lang w:val="pl-PL"/>
              </w:rPr>
              <w:t>oku Trybunału Sprawiedliwości, który orzekł, że dostosowywanie świadczeń rodzinnych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zal</w:t>
            </w:r>
            <w:r w:rsidRPr="00A3695F">
              <w:rPr>
                <w:rFonts w:ascii="Times New Roman" w:hAnsi="Times New Roman"/>
                <w:noProof/>
                <w:sz w:val="24"/>
                <w:lang w:val="pl-PL"/>
              </w:rPr>
              <w:t>eżności od państwa miejsca zamieszkania dzieci beneficjenta jest nielegalne.</w:t>
            </w:r>
          </w:p>
          <w:p w14:paraId="3EC88CD6" w14:textId="1BAAE0E6" w:rsidR="005828BD" w:rsidRPr="00A3695F" w:rsidRDefault="005828BD" w:rsidP="005828BD">
            <w:pPr>
              <w:spacing w:after="120" w:line="276" w:lineRule="auto"/>
              <w:jc w:val="both"/>
              <w:rPr>
                <w:rFonts w:ascii="Times New Roman" w:hAnsi="Times New Roman" w:cs="Times New Roman"/>
                <w:noProof/>
                <w:lang w:val="pl-PL"/>
              </w:rPr>
            </w:pPr>
            <w:r w:rsidRPr="00A3695F">
              <w:rPr>
                <w:rFonts w:ascii="Times New Roman" w:hAnsi="Times New Roman"/>
                <w:noProof/>
                <w:sz w:val="24"/>
                <w:lang w:val="pl-PL"/>
              </w:rPr>
              <w:t xml:space="preserve">Mechanizm współpracy </w:t>
            </w:r>
            <w:r w:rsidRPr="003937FF">
              <w:rPr>
                <w:rFonts w:ascii="Times New Roman" w:hAnsi="Times New Roman"/>
                <w:b/>
                <w:noProof/>
                <w:sz w:val="24"/>
                <w:lang w:val="pl-PL"/>
              </w:rPr>
              <w:t>SOLVIT</w:t>
            </w:r>
            <w:r w:rsidRPr="00A3695F">
              <w:rPr>
                <w:rFonts w:ascii="Times New Roman" w:hAnsi="Times New Roman"/>
                <w:noProof/>
                <w:sz w:val="24"/>
                <w:lang w:val="pl-PL"/>
              </w:rPr>
              <w:t xml:space="preserve"> służący rozwiązywaniu problemów transgranicznych umożliwia wcześniejsze identyfikowanie możliwych naruszeń prawa Unii oraz natychmiastowe dochodzenie roszczeń przez poszkodowane przedsiębiorstwa lub osoby fizyczne. Mechanizm ten oferuje rozwiązania praktycznych problemów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ogr</w:t>
            </w:r>
            <w:r w:rsidRPr="00A3695F">
              <w:rPr>
                <w:rFonts w:ascii="Times New Roman" w:hAnsi="Times New Roman"/>
                <w:noProof/>
                <w:sz w:val="24"/>
                <w:lang w:val="pl-PL"/>
              </w:rPr>
              <w:t>aniczeń, jakie napotykają osoby pracujące, mieszkające lub prowadzące działalność gospodarczą</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inn</w:t>
            </w:r>
            <w:r w:rsidRPr="00A3695F">
              <w:rPr>
                <w:rFonts w:ascii="Times New Roman" w:hAnsi="Times New Roman"/>
                <w:noProof/>
                <w:sz w:val="24"/>
                <w:lang w:val="pl-PL"/>
              </w:rPr>
              <w:t>ych państwach członkowskich</w:t>
            </w:r>
            <w:r w:rsidRPr="00A3695F">
              <w:rPr>
                <w:rStyle w:val="FootnoteReference"/>
                <w:rFonts w:ascii="Times New Roman" w:hAnsi="Times New Roman" w:cs="Times New Roman"/>
                <w:noProof/>
                <w:sz w:val="24"/>
                <w:lang w:val="pl-PL"/>
              </w:rPr>
              <w:footnoteReference w:id="8"/>
            </w:r>
            <w:r w:rsidRPr="00A3695F">
              <w:rPr>
                <w:rFonts w:ascii="Times New Roman" w:hAnsi="Times New Roman"/>
                <w:noProof/>
                <w:sz w:val="24"/>
                <w:lang w:val="pl-PL"/>
              </w:rPr>
              <w:t>. Organy krajowe, które tworzą sieć SOLVIT, pracują wspólnie nad stosowaniem przepisów UE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czę</w:t>
            </w:r>
            <w:r w:rsidRPr="00A3695F">
              <w:rPr>
                <w:rFonts w:ascii="Times New Roman" w:hAnsi="Times New Roman"/>
                <w:noProof/>
                <w:sz w:val="24"/>
                <w:lang w:val="pl-PL"/>
              </w:rPr>
              <w:t>sto korzystają</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pom</w:t>
            </w:r>
            <w:r w:rsidRPr="00A3695F">
              <w:rPr>
                <w:rFonts w:ascii="Times New Roman" w:hAnsi="Times New Roman"/>
                <w:noProof/>
                <w:sz w:val="24"/>
                <w:lang w:val="pl-PL"/>
              </w:rPr>
              <w:t>ocy</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wie</w:t>
            </w:r>
            <w:r w:rsidRPr="00A3695F">
              <w:rPr>
                <w:rFonts w:ascii="Times New Roman" w:hAnsi="Times New Roman"/>
                <w:noProof/>
                <w:sz w:val="24"/>
                <w:lang w:val="pl-PL"/>
              </w:rPr>
              <w:t>dzy fachowej Komisji</w:t>
            </w:r>
            <w:r w:rsidRPr="00A3695F">
              <w:rPr>
                <w:rStyle w:val="FootnoteReference"/>
                <w:rFonts w:ascii="Times New Roman" w:hAnsi="Times New Roman" w:cs="Times New Roman"/>
                <w:noProof/>
                <w:sz w:val="24"/>
                <w:lang w:val="pl-PL"/>
              </w:rPr>
              <w:footnoteReference w:id="9"/>
            </w:r>
            <w:r w:rsidRPr="00A3695F">
              <w:rPr>
                <w:rFonts w:ascii="Times New Roman" w:hAnsi="Times New Roman"/>
                <w:noProof/>
                <w:sz w:val="24"/>
                <w:lang w:val="pl-PL"/>
              </w:rPr>
              <w:t>. Krajowe centra SOLVIT nie tylko znajdują rozwiązania dotyczące licznych sytuacji indywidualnych osób, lecz również pomagają rozpoznać</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roz</w:t>
            </w:r>
            <w:r w:rsidRPr="00A3695F">
              <w:rPr>
                <w:rFonts w:ascii="Times New Roman" w:hAnsi="Times New Roman"/>
                <w:noProof/>
                <w:sz w:val="24"/>
                <w:lang w:val="pl-PL"/>
              </w:rPr>
              <w:t>wiązywać problemy strukturalne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sto</w:t>
            </w:r>
            <w:r w:rsidRPr="00A3695F">
              <w:rPr>
                <w:rFonts w:ascii="Times New Roman" w:hAnsi="Times New Roman"/>
                <w:noProof/>
                <w:sz w:val="24"/>
                <w:lang w:val="pl-PL"/>
              </w:rPr>
              <w:t>sowaniu prawa Unii</w:t>
            </w:r>
            <w:r w:rsidRPr="00A3695F">
              <w:rPr>
                <w:rStyle w:val="FootnoteReference"/>
                <w:rFonts w:ascii="Times New Roman" w:hAnsi="Times New Roman" w:cs="Times New Roman"/>
                <w:noProof/>
                <w:sz w:val="24"/>
                <w:lang w:val="pl-PL"/>
              </w:rPr>
              <w:footnoteReference w:id="10"/>
            </w:r>
            <w:r w:rsidRPr="00A3695F">
              <w:rPr>
                <w:rFonts w:ascii="Times New Roman" w:hAnsi="Times New Roman"/>
                <w:noProof/>
                <w:sz w:val="24"/>
                <w:lang w:val="pl-PL"/>
              </w:rPr>
              <w:t>.</w:t>
            </w:r>
          </w:p>
        </w:tc>
      </w:tr>
    </w:tbl>
    <w:p w14:paraId="75C09E6F" w14:textId="77777777" w:rsidR="00047115" w:rsidRPr="00A3695F" w:rsidRDefault="00047115" w:rsidP="00D44AF4">
      <w:pPr>
        <w:spacing w:after="0"/>
        <w:jc w:val="both"/>
        <w:rPr>
          <w:rFonts w:ascii="Times New Roman" w:hAnsi="Times New Roman" w:cs="Times New Roman"/>
          <w:noProof/>
          <w:lang w:val="pl-PL"/>
        </w:rPr>
      </w:pPr>
    </w:p>
    <w:p w14:paraId="798AFE55" w14:textId="645AC096" w:rsidR="006C2289" w:rsidRPr="00A3695F" w:rsidRDefault="00214522" w:rsidP="006C2289">
      <w:pPr>
        <w:jc w:val="both"/>
        <w:rPr>
          <w:rFonts w:ascii="Times New Roman" w:hAnsi="Times New Roman" w:cs="Times New Roman"/>
          <w:noProof/>
          <w:sz w:val="24"/>
          <w:lang w:val="pl-PL"/>
        </w:rPr>
      </w:pPr>
      <w:r w:rsidRPr="00A3695F">
        <w:rPr>
          <w:rFonts w:ascii="Times New Roman" w:hAnsi="Times New Roman"/>
          <w:noProof/>
          <w:sz w:val="24"/>
          <w:lang w:val="pl-PL"/>
        </w:rPr>
        <w:t>Brak zgodności</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episami ma swoją cenę. Może on oznaczać opóźnienie ochrony praw podstawowych lub jej węższy zakres, podważanie takich praw jak równe traktowanie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swo</w:t>
      </w:r>
      <w:r w:rsidRPr="00A3695F">
        <w:rPr>
          <w:rFonts w:ascii="Times New Roman" w:hAnsi="Times New Roman"/>
          <w:noProof/>
          <w:sz w:val="24"/>
          <w:lang w:val="pl-PL"/>
        </w:rPr>
        <w:t>bodne przemieszczanie się. Może utrwalać obciążenia spoczywające na obywatelach</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edsiębiorstwach. Może oznaczać, że szkody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śro</w:t>
      </w:r>
      <w:r w:rsidRPr="00A3695F">
        <w:rPr>
          <w:rFonts w:ascii="Times New Roman" w:hAnsi="Times New Roman"/>
          <w:noProof/>
          <w:sz w:val="24"/>
          <w:lang w:val="pl-PL"/>
        </w:rPr>
        <w:t>dowisku będą trwałe. Może oznaczać słabszą lub opóźniającą się ochronę konsumentów lub pracowników, lub ochronę osób ubiegających się</w:t>
      </w:r>
      <w:r w:rsidR="003937FF" w:rsidRPr="00A3695F">
        <w:rPr>
          <w:rFonts w:ascii="Times New Roman" w:hAnsi="Times New Roman"/>
          <w:noProof/>
          <w:sz w:val="24"/>
          <w:lang w:val="pl-PL"/>
        </w:rPr>
        <w:t xml:space="preserve"> o</w:t>
      </w:r>
      <w:r w:rsidR="003937FF">
        <w:rPr>
          <w:rFonts w:ascii="Times New Roman" w:hAnsi="Times New Roman"/>
          <w:noProof/>
          <w:sz w:val="24"/>
          <w:lang w:val="pl-PL"/>
        </w:rPr>
        <w:t> </w:t>
      </w:r>
      <w:r w:rsidR="003937FF" w:rsidRPr="00A3695F">
        <w:rPr>
          <w:rFonts w:ascii="Times New Roman" w:hAnsi="Times New Roman"/>
          <w:noProof/>
          <w:sz w:val="24"/>
          <w:lang w:val="pl-PL"/>
        </w:rPr>
        <w:t>azy</w:t>
      </w:r>
      <w:r w:rsidRPr="00A3695F">
        <w:rPr>
          <w:rFonts w:ascii="Times New Roman" w:hAnsi="Times New Roman"/>
          <w:noProof/>
          <w:sz w:val="24"/>
          <w:lang w:val="pl-PL"/>
        </w:rPr>
        <w:t>l. Ma to szczególny wpływ na osoby pracujące za granicą, podróżujące za granicę lub przekraczające granice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inn</w:t>
      </w:r>
      <w:r w:rsidRPr="00A3695F">
        <w:rPr>
          <w:rFonts w:ascii="Times New Roman" w:hAnsi="Times New Roman"/>
          <w:noProof/>
          <w:sz w:val="24"/>
          <w:lang w:val="pl-PL"/>
        </w:rPr>
        <w:t>ych celach</w:t>
      </w:r>
      <w:r w:rsidRPr="00A3695F">
        <w:rPr>
          <w:rFonts w:ascii="Times New Roman" w:hAnsi="Times New Roman" w:cs="Times New Roman"/>
          <w:noProof/>
          <w:sz w:val="24"/>
          <w:vertAlign w:val="superscript"/>
          <w:lang w:val="pl-PL"/>
        </w:rPr>
        <w:footnoteReference w:id="11"/>
      </w:r>
      <w:r w:rsidRPr="00A3695F">
        <w:rPr>
          <w:rFonts w:ascii="Times New Roman" w:hAnsi="Times New Roman"/>
          <w:noProof/>
          <w:sz w:val="24"/>
          <w:lang w:val="pl-PL"/>
        </w:rPr>
        <w:t>, zmuszone dostosowywać się do odmiennych przepisów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zal</w:t>
      </w:r>
      <w:r w:rsidRPr="00A3695F">
        <w:rPr>
          <w:rFonts w:ascii="Times New Roman" w:hAnsi="Times New Roman"/>
          <w:noProof/>
          <w:sz w:val="24"/>
          <w:lang w:val="pl-PL"/>
        </w:rPr>
        <w:t>eżności od sposobu stosowania prawa Unii. Błędne stosowanie przepisów UE zakłóca również konkurencję na jednolitym rynku, zmniejszając równe szanse dla przedsiębiorstw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cał</w:t>
      </w:r>
      <w:r w:rsidRPr="00A3695F">
        <w:rPr>
          <w:rFonts w:ascii="Times New Roman" w:hAnsi="Times New Roman"/>
          <w:noProof/>
          <w:sz w:val="24"/>
          <w:lang w:val="pl-PL"/>
        </w:rPr>
        <w:t>ej UE.</w:t>
      </w:r>
    </w:p>
    <w:p w14:paraId="644C0660" w14:textId="21BE1BFB" w:rsidR="00D54B64" w:rsidRPr="00A3695F" w:rsidRDefault="00697C66" w:rsidP="006C2289">
      <w:pPr>
        <w:jc w:val="both"/>
        <w:rPr>
          <w:rFonts w:ascii="Times New Roman" w:hAnsi="Times New Roman" w:cs="Times New Roman"/>
          <w:noProof/>
          <w:sz w:val="24"/>
          <w:lang w:val="pl-PL"/>
        </w:rPr>
      </w:pPr>
      <w:r w:rsidRPr="00A3695F">
        <w:rPr>
          <w:rFonts w:ascii="Times New Roman" w:hAnsi="Times New Roman"/>
          <w:noProof/>
          <w:sz w:val="24"/>
          <w:lang w:val="pl-PL"/>
        </w:rPr>
        <w:t>Gdy państwa członkowskie naruszają przepisy UE, wprowadzając lub tolerując przeszkody na jednolitym rynku, aby stworzyć korzystną sytuację dla przedsiębiorstw, potencjalne korzyści są często krótkotrwałe, natomiast długotrwały wpływ, jaki wywiera to na przedsiębiorstwa, może być znacznie bardziej szkodliwy, przez co wszystkim przedsiębiorstwom będzie znacznie trudniej korzystać</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moż</w:t>
      </w:r>
      <w:r w:rsidRPr="00A3695F">
        <w:rPr>
          <w:rFonts w:ascii="Times New Roman" w:hAnsi="Times New Roman"/>
          <w:noProof/>
          <w:sz w:val="24"/>
          <w:lang w:val="pl-PL"/>
        </w:rPr>
        <w:t>liwości, jakie oferuje im jednolity rynek</w:t>
      </w:r>
      <w:r w:rsidRPr="00A3695F">
        <w:rPr>
          <w:rStyle w:val="FootnoteReference"/>
          <w:rFonts w:ascii="Times New Roman" w:hAnsi="Times New Roman" w:cs="Times New Roman"/>
          <w:noProof/>
          <w:sz w:val="24"/>
          <w:lang w:val="pl-PL"/>
        </w:rPr>
        <w:footnoteReference w:id="12"/>
      </w:r>
      <w:r w:rsidRPr="00A3695F">
        <w:rPr>
          <w:rFonts w:ascii="Times New Roman" w:hAnsi="Times New Roman"/>
          <w:noProof/>
          <w:sz w:val="24"/>
          <w:lang w:val="pl-PL"/>
        </w:rPr>
        <w:t>.</w:t>
      </w:r>
    </w:p>
    <w:tbl>
      <w:tblPr>
        <w:tblStyle w:val="law"/>
        <w:tblW w:w="0" w:type="auto"/>
        <w:shd w:val="clear" w:color="auto" w:fill="EDF2F9"/>
        <w:tblLook w:val="04A0" w:firstRow="1" w:lastRow="0" w:firstColumn="1" w:lastColumn="0" w:noHBand="0" w:noVBand="1"/>
      </w:tblPr>
      <w:tblGrid>
        <w:gridCol w:w="9288"/>
      </w:tblGrid>
      <w:tr w:rsidR="006C2289" w:rsidRPr="00A3695F" w14:paraId="5266620C" w14:textId="77777777" w:rsidTr="001F57F0">
        <w:tc>
          <w:tcPr>
            <w:tcW w:w="9288" w:type="dxa"/>
            <w:shd w:val="clear" w:color="auto" w:fill="EDF2F9"/>
          </w:tcPr>
          <w:p w14:paraId="539D88AF" w14:textId="77777777" w:rsidR="00064F82" w:rsidRPr="003937FF" w:rsidRDefault="00064F82" w:rsidP="006E12BE">
            <w:pPr>
              <w:pStyle w:val="Style2"/>
              <w:rPr>
                <w:noProof/>
                <w:lang w:val="pl-PL"/>
              </w:rPr>
            </w:pPr>
            <w:r w:rsidRPr="003937FF">
              <w:rPr>
                <w:noProof/>
                <w:lang w:val="pl-PL"/>
              </w:rPr>
              <w:t>Koszty nieprawidłowego lub niepełnego stosowania przepisów</w:t>
            </w:r>
          </w:p>
          <w:p w14:paraId="5D918C6C" w14:textId="42FC30E7" w:rsidR="00473990" w:rsidRPr="00A3695F" w:rsidRDefault="006C2289" w:rsidP="00473990">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 xml:space="preserve">Bariery, jakie istnieją na </w:t>
            </w:r>
            <w:r w:rsidRPr="003937FF">
              <w:rPr>
                <w:rFonts w:ascii="Times New Roman" w:hAnsi="Times New Roman"/>
                <w:b/>
                <w:noProof/>
                <w:sz w:val="24"/>
                <w:lang w:val="pl-PL"/>
              </w:rPr>
              <w:t>jednolitym rynku</w:t>
            </w:r>
            <w:r w:rsidRPr="00A3695F">
              <w:rPr>
                <w:rFonts w:ascii="Times New Roman" w:hAnsi="Times New Roman"/>
                <w:noProof/>
                <w:sz w:val="24"/>
                <w:lang w:val="pl-PL"/>
              </w:rPr>
              <w:t>,</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wie</w:t>
            </w:r>
            <w:r w:rsidRPr="00A3695F">
              <w:rPr>
                <w:rFonts w:ascii="Times New Roman" w:hAnsi="Times New Roman"/>
                <w:noProof/>
                <w:sz w:val="24"/>
                <w:lang w:val="pl-PL"/>
              </w:rPr>
              <w:t>lu przypadkach wynikają</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nie</w:t>
            </w:r>
            <w:r w:rsidRPr="00A3695F">
              <w:rPr>
                <w:rFonts w:ascii="Times New Roman" w:hAnsi="Times New Roman"/>
                <w:noProof/>
                <w:sz w:val="24"/>
                <w:lang w:val="pl-PL"/>
              </w:rPr>
              <w:t>prawidłowego lub niepełnego stosowania Traktatów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episów UE</w:t>
            </w:r>
            <w:r w:rsidRPr="00A3695F">
              <w:rPr>
                <w:rStyle w:val="FootnoteReference"/>
                <w:rFonts w:ascii="Times New Roman" w:hAnsi="Times New Roman" w:cs="Times New Roman"/>
                <w:noProof/>
                <w:sz w:val="24"/>
                <w:lang w:val="pl-PL"/>
              </w:rPr>
              <w:footnoteReference w:id="13"/>
            </w:r>
            <w:r w:rsidRPr="00A3695F">
              <w:rPr>
                <w:rFonts w:ascii="Times New Roman" w:hAnsi="Times New Roman"/>
                <w:noProof/>
                <w:sz w:val="24"/>
                <w:lang w:val="pl-PL"/>
              </w:rPr>
              <w:t>. Problem ten dotyczy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szc</w:t>
            </w:r>
            <w:r w:rsidRPr="00A3695F">
              <w:rPr>
                <w:rFonts w:ascii="Times New Roman" w:hAnsi="Times New Roman"/>
                <w:noProof/>
                <w:sz w:val="24"/>
                <w:lang w:val="pl-PL"/>
              </w:rPr>
              <w:t>zególności MŚP</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edsiębiorstw typu start-up, gdyż</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pie</w:t>
            </w:r>
            <w:r w:rsidRPr="00A3695F">
              <w:rPr>
                <w:rFonts w:ascii="Times New Roman" w:hAnsi="Times New Roman"/>
                <w:noProof/>
                <w:sz w:val="24"/>
                <w:lang w:val="pl-PL"/>
              </w:rPr>
              <w:t>rwszej kolejności odczuwają one obciążenia administracyjne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zło</w:t>
            </w:r>
            <w:r w:rsidRPr="00A3695F">
              <w:rPr>
                <w:rFonts w:ascii="Times New Roman" w:hAnsi="Times New Roman"/>
                <w:noProof/>
                <w:sz w:val="24"/>
                <w:lang w:val="pl-PL"/>
              </w:rPr>
              <w:t>żoność przepisów, szczególnie przy przekraczaniu granic</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prowadzenia działalności gospodarczej na jednolitym rynku. Błędne stosowanie przepisów utrudnia również osiągnięcie korzyści skali, jakie oferuje jednolity rynek, co działa na niekorzyść konsumentów. Niespójne przepisy działają</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szc</w:t>
            </w:r>
            <w:r w:rsidRPr="00A3695F">
              <w:rPr>
                <w:rFonts w:ascii="Times New Roman" w:hAnsi="Times New Roman"/>
                <w:noProof/>
                <w:sz w:val="24"/>
                <w:lang w:val="pl-PL"/>
              </w:rPr>
              <w:t>zególności na szkodę regionów transgranicznych</w:t>
            </w:r>
            <w:r w:rsidRPr="00A3695F">
              <w:rPr>
                <w:rFonts w:ascii="Times New Roman" w:hAnsi="Times New Roman" w:cs="Times New Roman"/>
                <w:noProof/>
                <w:sz w:val="24"/>
                <w:vertAlign w:val="superscript"/>
                <w:lang w:val="pl-PL"/>
              </w:rPr>
              <w:footnoteReference w:id="14"/>
            </w:r>
            <w:r w:rsidRPr="00A3695F">
              <w:rPr>
                <w:rFonts w:ascii="Times New Roman" w:hAnsi="Times New Roman"/>
                <w:noProof/>
                <w:sz w:val="24"/>
                <w:lang w:val="pl-PL"/>
              </w:rPr>
              <w:t>.</w:t>
            </w:r>
          </w:p>
          <w:p w14:paraId="33C4E5D3" w14:textId="3CD829F9" w:rsidR="00D83F44" w:rsidRPr="00A3695F" w:rsidRDefault="00D83F44" w:rsidP="00D83F44">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 xml:space="preserve">Zdecydowane egzekwowanie </w:t>
            </w:r>
            <w:r w:rsidRPr="003937FF">
              <w:rPr>
                <w:rFonts w:ascii="Times New Roman" w:hAnsi="Times New Roman"/>
                <w:b/>
                <w:noProof/>
                <w:sz w:val="24"/>
                <w:lang w:val="pl-PL"/>
              </w:rPr>
              <w:t>reguł konkurencji</w:t>
            </w:r>
            <w:r w:rsidRPr="00A3695F">
              <w:rPr>
                <w:rFonts w:ascii="Times New Roman" w:hAnsi="Times New Roman"/>
                <w:noProof/>
                <w:sz w:val="24"/>
                <w:lang w:val="pl-PL"/>
              </w:rPr>
              <w:t xml:space="preserve"> ma zasadnicze znaczenie dla przedsiębiorstw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kon</w:t>
            </w:r>
            <w:r w:rsidRPr="00A3695F">
              <w:rPr>
                <w:rFonts w:ascii="Times New Roman" w:hAnsi="Times New Roman"/>
                <w:noProof/>
                <w:sz w:val="24"/>
                <w:lang w:val="pl-PL"/>
              </w:rPr>
              <w:t>sumentów, aby mogli oni czerpać korzyści</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jed</w:t>
            </w:r>
            <w:r w:rsidRPr="00A3695F">
              <w:rPr>
                <w:rFonts w:ascii="Times New Roman" w:hAnsi="Times New Roman"/>
                <w:noProof/>
                <w:sz w:val="24"/>
                <w:lang w:val="pl-PL"/>
              </w:rPr>
              <w:t>nolitego rynku. Nieprawidłowe stosowanie tych reguł ogranicza równe szanse dla przedsiębiorstw, co może przełożyć się na wyższe ceny</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mni</w:t>
            </w:r>
            <w:r w:rsidRPr="00A3695F">
              <w:rPr>
                <w:rFonts w:ascii="Times New Roman" w:hAnsi="Times New Roman"/>
                <w:noProof/>
                <w:sz w:val="24"/>
                <w:lang w:val="pl-PL"/>
              </w:rPr>
              <w:t>ejszy wybór dla konsumentów.</w:t>
            </w:r>
          </w:p>
          <w:p w14:paraId="23B19A48" w14:textId="592AB550" w:rsidR="002F5352" w:rsidRPr="00A3695F" w:rsidRDefault="006C2289" w:rsidP="00C65CE5">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Wdrażanie unijnej polityki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pra</w:t>
            </w:r>
            <w:r w:rsidRPr="00A3695F">
              <w:rPr>
                <w:rFonts w:ascii="Times New Roman" w:hAnsi="Times New Roman"/>
                <w:noProof/>
                <w:sz w:val="24"/>
                <w:lang w:val="pl-PL"/>
              </w:rPr>
              <w:t xml:space="preserve">wa </w:t>
            </w:r>
            <w:r w:rsidRPr="003937FF">
              <w:rPr>
                <w:rFonts w:ascii="Times New Roman" w:hAnsi="Times New Roman"/>
                <w:b/>
                <w:noProof/>
                <w:sz w:val="24"/>
                <w:lang w:val="pl-PL"/>
              </w:rPr>
              <w:t>ochrony środowiska</w:t>
            </w:r>
            <w:r w:rsidRPr="00A3695F">
              <w:rPr>
                <w:rFonts w:ascii="Times New Roman" w:hAnsi="Times New Roman"/>
                <w:noProof/>
                <w:sz w:val="24"/>
                <w:lang w:val="pl-PL"/>
              </w:rPr>
              <w:t xml:space="preserve"> nie tylko ma zasadnicze znaczenie dla zdrowego środowiska, lecz tworzy także nowe możliwości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zak</w:t>
            </w:r>
            <w:r w:rsidRPr="00A3695F">
              <w:rPr>
                <w:rFonts w:ascii="Times New Roman" w:hAnsi="Times New Roman"/>
                <w:noProof/>
                <w:sz w:val="24"/>
                <w:lang w:val="pl-PL"/>
              </w:rPr>
              <w:t>resie wzrostu gospodarczego, zatrudnienia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kon</w:t>
            </w:r>
            <w:r w:rsidRPr="00A3695F">
              <w:rPr>
                <w:rFonts w:ascii="Times New Roman" w:hAnsi="Times New Roman"/>
                <w:noProof/>
                <w:sz w:val="24"/>
                <w:lang w:val="pl-PL"/>
              </w:rPr>
              <w:t>kurencyjności. Pełne wdrożenie unijnych przepisów dotyczących ochrony środowiska może również pomóc gospodarce UE zaoszczędzić około 55 mld EUR rocznie na kosztach ochrony zdrowia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bez</w:t>
            </w:r>
            <w:r w:rsidRPr="00A3695F">
              <w:rPr>
                <w:rFonts w:ascii="Times New Roman" w:hAnsi="Times New Roman"/>
                <w:noProof/>
                <w:sz w:val="24"/>
                <w:lang w:val="pl-PL"/>
              </w:rPr>
              <w:t>pośrednich kosztach ponoszonych przez środowisko</w:t>
            </w:r>
            <w:r w:rsidRPr="00A3695F">
              <w:rPr>
                <w:rStyle w:val="FootnoteReference"/>
                <w:rFonts w:ascii="Times New Roman" w:hAnsi="Times New Roman" w:cs="Times New Roman"/>
                <w:noProof/>
                <w:sz w:val="24"/>
                <w:lang w:val="pl-PL"/>
              </w:rPr>
              <w:footnoteReference w:id="15"/>
            </w:r>
            <w:r w:rsidRPr="00A3695F">
              <w:rPr>
                <w:rFonts w:ascii="Times New Roman" w:hAnsi="Times New Roman"/>
                <w:noProof/>
                <w:sz w:val="24"/>
                <w:lang w:val="pl-PL"/>
              </w:rPr>
              <w:t>.</w:t>
            </w:r>
          </w:p>
          <w:p w14:paraId="6F7892B2" w14:textId="7DA76898" w:rsidR="009807C2" w:rsidRPr="003937FF" w:rsidRDefault="00043F86" w:rsidP="006E12BE">
            <w:pPr>
              <w:pStyle w:val="Style2"/>
              <w:rPr>
                <w:noProof/>
                <w:lang w:val="pl-PL"/>
              </w:rPr>
            </w:pPr>
            <w:r w:rsidRPr="003937FF">
              <w:rPr>
                <w:noProof/>
                <w:lang w:val="pl-PL"/>
              </w:rPr>
              <w:t>Korzyści wynikające</w:t>
            </w:r>
            <w:r w:rsidR="003937FF" w:rsidRPr="003937FF">
              <w:rPr>
                <w:noProof/>
                <w:lang w:val="pl-PL"/>
              </w:rPr>
              <w:t xml:space="preserve"> z</w:t>
            </w:r>
            <w:r w:rsidR="003937FF">
              <w:rPr>
                <w:rFonts w:ascii="Calibri" w:hAnsi="Calibri" w:cs="Calibri"/>
                <w:noProof/>
                <w:lang w:val="pl-PL"/>
              </w:rPr>
              <w:t> </w:t>
            </w:r>
            <w:r w:rsidR="003937FF" w:rsidRPr="003937FF">
              <w:rPr>
                <w:noProof/>
                <w:lang w:val="pl-PL"/>
              </w:rPr>
              <w:t>szy</w:t>
            </w:r>
            <w:r w:rsidRPr="003937FF">
              <w:rPr>
                <w:noProof/>
                <w:lang w:val="pl-PL"/>
              </w:rPr>
              <w:t xml:space="preserve">bkiego wdrożenia nowych unijnych przepisów podatkowych </w:t>
            </w:r>
          </w:p>
          <w:p w14:paraId="7FA0AEFF" w14:textId="5964614E" w:rsidR="00126C67" w:rsidRPr="00A3695F" w:rsidRDefault="009807C2" w:rsidP="00441EBE">
            <w:pPr>
              <w:spacing w:after="120" w:line="276" w:lineRule="auto"/>
              <w:jc w:val="both"/>
              <w:rPr>
                <w:rFonts w:ascii="Times New Roman" w:hAnsi="Times New Roman" w:cs="Times New Roman"/>
                <w:noProof/>
                <w:lang w:val="pl-PL"/>
              </w:rPr>
            </w:pPr>
            <w:r w:rsidRPr="00A3695F">
              <w:rPr>
                <w:rFonts w:ascii="Times New Roman" w:hAnsi="Times New Roman"/>
                <w:noProof/>
                <w:sz w:val="24"/>
                <w:lang w:val="pl-PL"/>
              </w:rPr>
              <w:t xml:space="preserve">Nowe </w:t>
            </w:r>
            <w:r w:rsidRPr="003937FF">
              <w:rPr>
                <w:rFonts w:ascii="Times New Roman" w:hAnsi="Times New Roman"/>
                <w:b/>
                <w:noProof/>
                <w:sz w:val="24"/>
                <w:lang w:val="pl-PL"/>
              </w:rPr>
              <w:t>przepisy dotyczące podatku od wartości dodanej (VAT)</w:t>
            </w:r>
            <w:r w:rsidR="003937FF" w:rsidRPr="003937FF">
              <w:rPr>
                <w:rFonts w:ascii="Times New Roman" w:hAnsi="Times New Roman"/>
                <w:b/>
                <w:noProof/>
                <w:sz w:val="24"/>
                <w:lang w:val="pl-PL"/>
              </w:rPr>
              <w:t xml:space="preserve"> w</w:t>
            </w:r>
            <w:r w:rsidR="003937FF">
              <w:rPr>
                <w:rFonts w:ascii="Times New Roman" w:hAnsi="Times New Roman"/>
                <w:b/>
                <w:noProof/>
                <w:sz w:val="24"/>
                <w:lang w:val="pl-PL"/>
              </w:rPr>
              <w:t> </w:t>
            </w:r>
            <w:r w:rsidR="003937FF" w:rsidRPr="003937FF">
              <w:rPr>
                <w:rFonts w:ascii="Times New Roman" w:hAnsi="Times New Roman"/>
                <w:b/>
                <w:noProof/>
                <w:sz w:val="24"/>
                <w:lang w:val="pl-PL"/>
              </w:rPr>
              <w:t>han</w:t>
            </w:r>
            <w:r w:rsidRPr="003937FF">
              <w:rPr>
                <w:rFonts w:ascii="Times New Roman" w:hAnsi="Times New Roman"/>
                <w:b/>
                <w:noProof/>
                <w:sz w:val="24"/>
                <w:lang w:val="pl-PL"/>
              </w:rPr>
              <w:t>dlu elektronicznym</w:t>
            </w:r>
            <w:r w:rsidRPr="00A3695F">
              <w:rPr>
                <w:rFonts w:ascii="Times New Roman" w:hAnsi="Times New Roman"/>
                <w:noProof/>
                <w:sz w:val="24"/>
                <w:lang w:val="pl-PL"/>
              </w:rPr>
              <w:t xml:space="preserve"> weszły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życ</w:t>
            </w:r>
            <w:r w:rsidRPr="00A3695F">
              <w:rPr>
                <w:rFonts w:ascii="Times New Roman" w:hAnsi="Times New Roman"/>
                <w:noProof/>
                <w:sz w:val="24"/>
                <w:lang w:val="pl-PL"/>
              </w:rPr>
              <w:t>ie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2</w:t>
            </w:r>
            <w:r w:rsidRPr="00A3695F">
              <w:rPr>
                <w:rFonts w:ascii="Times New Roman" w:hAnsi="Times New Roman"/>
                <w:noProof/>
                <w:sz w:val="24"/>
                <w:lang w:val="pl-PL"/>
              </w:rPr>
              <w:t>0</w:t>
            </w:r>
            <w:r w:rsidRPr="003937FF">
              <w:rPr>
                <w:rFonts w:ascii="Times New Roman" w:hAnsi="Times New Roman"/>
                <w:noProof/>
                <w:sz w:val="24"/>
                <w:lang w:val="pl-PL"/>
              </w:rPr>
              <w:t>21</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Fonts w:ascii="Times New Roman" w:hAnsi="Times New Roman"/>
                <w:noProof/>
                <w:sz w:val="24"/>
                <w:lang w:val="pl-PL"/>
              </w:rPr>
              <w:t xml:space="preserve"> jako część prac służących zapewnieniu bardziej wyrównanych warunków działania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upr</w:t>
            </w:r>
            <w:r w:rsidRPr="00A3695F">
              <w:rPr>
                <w:rFonts w:ascii="Times New Roman" w:hAnsi="Times New Roman"/>
                <w:noProof/>
                <w:sz w:val="24"/>
                <w:lang w:val="pl-PL"/>
              </w:rPr>
              <w:t>oszczeniu VAT-u. Sprzedawcy internetowi mogą się teraz rejestrować na portalu elektronicznym (w punkcie kompleksowej obsługi)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wyp</w:t>
            </w:r>
            <w:r w:rsidRPr="00A3695F">
              <w:rPr>
                <w:rFonts w:ascii="Times New Roman" w:hAnsi="Times New Roman"/>
                <w:noProof/>
                <w:sz w:val="24"/>
                <w:lang w:val="pl-PL"/>
              </w:rPr>
              <w:t>ełniać tam wszystkie swoje zobowiązania związane</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pod</w:t>
            </w:r>
            <w:r w:rsidRPr="00A3695F">
              <w:rPr>
                <w:rFonts w:ascii="Times New Roman" w:hAnsi="Times New Roman"/>
                <w:noProof/>
                <w:sz w:val="24"/>
                <w:lang w:val="pl-PL"/>
              </w:rPr>
              <w:t>atkiem VAT dotyczące sprzedaży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cał</w:t>
            </w:r>
            <w:r w:rsidRPr="00A3695F">
              <w:rPr>
                <w:rFonts w:ascii="Times New Roman" w:hAnsi="Times New Roman"/>
                <w:noProof/>
                <w:sz w:val="24"/>
                <w:lang w:val="pl-PL"/>
              </w:rPr>
              <w:t>ej UE. Komisja zapewniła wsparcie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wyt</w:t>
            </w:r>
            <w:r w:rsidRPr="00A3695F">
              <w:rPr>
                <w:rFonts w:ascii="Times New Roman" w:hAnsi="Times New Roman"/>
                <w:noProof/>
                <w:sz w:val="24"/>
                <w:lang w:val="pl-PL"/>
              </w:rPr>
              <w:t>yczne dotyczące nowych przepisów zarówno państwom członkowskim, jak</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zai</w:t>
            </w:r>
            <w:r w:rsidRPr="00A3695F">
              <w:rPr>
                <w:rFonts w:ascii="Times New Roman" w:hAnsi="Times New Roman"/>
                <w:noProof/>
                <w:sz w:val="24"/>
                <w:lang w:val="pl-PL"/>
              </w:rPr>
              <w:t>nteresowanym stronom, których przepisy te dotyczą. Pomogło to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awnym wdrażaniu nowych przepisów dotyczących podatku VAT</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han</w:t>
            </w:r>
            <w:r w:rsidRPr="00A3695F">
              <w:rPr>
                <w:rFonts w:ascii="Times New Roman" w:hAnsi="Times New Roman"/>
                <w:noProof/>
                <w:sz w:val="24"/>
                <w:lang w:val="pl-PL"/>
              </w:rPr>
              <w:t>dlu elektronicznym oraz</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zgr</w:t>
            </w:r>
            <w:r w:rsidRPr="00A3695F">
              <w:rPr>
                <w:rFonts w:ascii="Times New Roman" w:hAnsi="Times New Roman"/>
                <w:noProof/>
                <w:sz w:val="24"/>
                <w:lang w:val="pl-PL"/>
              </w:rPr>
              <w:t>omadzeniu za pośrednictwem nowego portalu 8,8 mld EUR przychodów</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tyt</w:t>
            </w:r>
            <w:r w:rsidRPr="00A3695F">
              <w:rPr>
                <w:rFonts w:ascii="Times New Roman" w:hAnsi="Times New Roman"/>
                <w:noProof/>
                <w:sz w:val="24"/>
                <w:lang w:val="pl-PL"/>
              </w:rPr>
              <w:t>ułu podatku VAT,</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3937FF">
              <w:rPr>
                <w:rFonts w:ascii="Times New Roman" w:hAnsi="Times New Roman"/>
                <w:noProof/>
                <w:sz w:val="24"/>
                <w:lang w:val="pl-PL"/>
              </w:rPr>
              <w:t>tym </w:t>
            </w:r>
            <w:r w:rsidRPr="003937FF">
              <w:rPr>
                <w:rFonts w:ascii="Times New Roman" w:hAnsi="Times New Roman"/>
                <w:noProof/>
                <w:sz w:val="24"/>
                <w:lang w:val="pl-PL"/>
              </w:rPr>
              <w:t>7</w:t>
            </w:r>
            <w:r w:rsidRPr="00A3695F">
              <w:rPr>
                <w:rFonts w:ascii="Times New Roman" w:hAnsi="Times New Roman"/>
                <w:noProof/>
                <w:sz w:val="24"/>
                <w:lang w:val="pl-PL"/>
              </w:rPr>
              <w:t>00 mln EUR nowych przychodów</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tyt</w:t>
            </w:r>
            <w:r w:rsidRPr="00A3695F">
              <w:rPr>
                <w:rFonts w:ascii="Times New Roman" w:hAnsi="Times New Roman"/>
                <w:noProof/>
                <w:sz w:val="24"/>
                <w:lang w:val="pl-PL"/>
              </w:rPr>
              <w:t>ułu podatku VAT</w:t>
            </w:r>
            <w:r w:rsidRPr="00A3695F">
              <w:rPr>
                <w:rFonts w:ascii="Times New Roman" w:hAnsi="Times New Roman" w:cs="Times New Roman"/>
                <w:noProof/>
                <w:sz w:val="24"/>
                <w:vertAlign w:val="superscript"/>
                <w:lang w:val="pl-PL"/>
              </w:rPr>
              <w:footnoteReference w:id="16"/>
            </w:r>
            <w:r w:rsidRPr="00A3695F">
              <w:rPr>
                <w:rFonts w:ascii="Times New Roman" w:hAnsi="Times New Roman"/>
                <w:noProof/>
                <w:sz w:val="24"/>
                <w:lang w:val="pl-PL"/>
              </w:rPr>
              <w:t>, oraz</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rej</w:t>
            </w:r>
            <w:r w:rsidRPr="00A3695F">
              <w:rPr>
                <w:rFonts w:ascii="Times New Roman" w:hAnsi="Times New Roman"/>
                <w:noProof/>
                <w:sz w:val="24"/>
                <w:lang w:val="pl-PL"/>
              </w:rPr>
              <w:t>estracji 100 000 sprzedawców internetowych za pośrednictwem platformy elektronicznej.</w:t>
            </w:r>
            <w:r w:rsidRPr="00A3695F">
              <w:rPr>
                <w:rFonts w:ascii="Times New Roman" w:hAnsi="Times New Roman"/>
                <w:noProof/>
                <w:lang w:val="pl-PL"/>
              </w:rPr>
              <w:t xml:space="preserve"> </w:t>
            </w:r>
          </w:p>
        </w:tc>
      </w:tr>
    </w:tbl>
    <w:p w14:paraId="3CCC587A" w14:textId="77777777" w:rsidR="00DD2C9F" w:rsidRPr="00A3695F" w:rsidRDefault="00DD2C9F" w:rsidP="00A70C25">
      <w:pPr>
        <w:spacing w:after="0"/>
        <w:jc w:val="both"/>
        <w:rPr>
          <w:rFonts w:ascii="Times New Roman" w:hAnsi="Times New Roman" w:cs="Times New Roman"/>
          <w:noProof/>
          <w:lang w:val="pl-PL"/>
        </w:rPr>
      </w:pPr>
    </w:p>
    <w:p w14:paraId="53C3A07E" w14:textId="46FA236F" w:rsidR="006C2289" w:rsidRPr="00A3695F" w:rsidRDefault="00C65CE5" w:rsidP="00CA0233">
      <w:pPr>
        <w:spacing w:after="240"/>
        <w:jc w:val="both"/>
        <w:rPr>
          <w:rFonts w:ascii="Times New Roman" w:hAnsi="Times New Roman" w:cs="Times New Roman"/>
          <w:noProof/>
          <w:sz w:val="24"/>
          <w:lang w:val="pl-PL"/>
        </w:rPr>
      </w:pPr>
      <w:r w:rsidRPr="00A3695F">
        <w:rPr>
          <w:rFonts w:ascii="Times New Roman" w:hAnsi="Times New Roman"/>
          <w:noProof/>
          <w:sz w:val="24"/>
          <w:lang w:val="pl-PL"/>
        </w:rPr>
        <w:t>Pełne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spó</w:t>
      </w:r>
      <w:r w:rsidRPr="00A3695F">
        <w:rPr>
          <w:rFonts w:ascii="Times New Roman" w:hAnsi="Times New Roman"/>
          <w:noProof/>
          <w:sz w:val="24"/>
          <w:lang w:val="pl-PL"/>
        </w:rPr>
        <w:t>jne stosowanie przez państwa członkowskie przepisów UE jest istotne dla zachowania pewności prawa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zau</w:t>
      </w:r>
      <w:r w:rsidRPr="00A3695F">
        <w:rPr>
          <w:rFonts w:ascii="Times New Roman" w:hAnsi="Times New Roman"/>
          <w:noProof/>
          <w:sz w:val="24"/>
          <w:lang w:val="pl-PL"/>
        </w:rPr>
        <w:t>fania, jakim ludzie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edsiębiorstwa darzą krajowe instytucje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cał</w:t>
      </w:r>
      <w:r w:rsidRPr="00A3695F">
        <w:rPr>
          <w:rFonts w:ascii="Times New Roman" w:hAnsi="Times New Roman"/>
          <w:noProof/>
          <w:sz w:val="24"/>
          <w:lang w:val="pl-PL"/>
        </w:rPr>
        <w:t>ą UE. Dotyczy to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szc</w:t>
      </w:r>
      <w:r w:rsidRPr="00A3695F">
        <w:rPr>
          <w:rFonts w:ascii="Times New Roman" w:hAnsi="Times New Roman"/>
          <w:noProof/>
          <w:sz w:val="24"/>
          <w:lang w:val="pl-PL"/>
        </w:rPr>
        <w:t>zególności naszych wspólnych wartości, praw podstawowych, praworządności, czterech podstawowych wolności UE oraz funkcjonowania jednolitego rynku</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dąż</w:t>
      </w:r>
      <w:r w:rsidRPr="00A3695F">
        <w:rPr>
          <w:rFonts w:ascii="Times New Roman" w:hAnsi="Times New Roman"/>
          <w:noProof/>
          <w:sz w:val="24"/>
          <w:lang w:val="pl-PL"/>
        </w:rPr>
        <w:t>eniu do Unii równości niezbędne jest przestrzeganie zasad równości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nie</w:t>
      </w:r>
      <w:r w:rsidRPr="00A3695F">
        <w:rPr>
          <w:rFonts w:ascii="Times New Roman" w:hAnsi="Times New Roman"/>
          <w:noProof/>
          <w:sz w:val="24"/>
          <w:lang w:val="pl-PL"/>
        </w:rPr>
        <w:t>dyskryminacji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cał</w:t>
      </w:r>
      <w:r w:rsidRPr="00A3695F">
        <w:rPr>
          <w:rFonts w:ascii="Times New Roman" w:hAnsi="Times New Roman"/>
          <w:noProof/>
          <w:sz w:val="24"/>
          <w:lang w:val="pl-PL"/>
        </w:rPr>
        <w:t>ej UE oraz zapewnienie, aby obywatele mogli korzystać</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tak</w:t>
      </w:r>
      <w:r w:rsidRPr="00A3695F">
        <w:rPr>
          <w:rFonts w:ascii="Times New Roman" w:hAnsi="Times New Roman"/>
          <w:noProof/>
          <w:sz w:val="24"/>
          <w:lang w:val="pl-PL"/>
        </w:rPr>
        <w:t>iego samego stopnia ochrony swoich praw niezależnie od miejsca w UE,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któ</w:t>
      </w:r>
      <w:r w:rsidRPr="00A3695F">
        <w:rPr>
          <w:rFonts w:ascii="Times New Roman" w:hAnsi="Times New Roman"/>
          <w:noProof/>
          <w:sz w:val="24"/>
          <w:lang w:val="pl-PL"/>
        </w:rPr>
        <w:t>rym mieszkają.</w:t>
      </w:r>
    </w:p>
    <w:tbl>
      <w:tblPr>
        <w:tblStyle w:val="law"/>
        <w:tblW w:w="0" w:type="auto"/>
        <w:shd w:val="clear" w:color="auto" w:fill="EDF2F9"/>
        <w:tblLook w:val="04A0" w:firstRow="1" w:lastRow="0" w:firstColumn="1" w:lastColumn="0" w:noHBand="0" w:noVBand="1"/>
      </w:tblPr>
      <w:tblGrid>
        <w:gridCol w:w="9288"/>
      </w:tblGrid>
      <w:tr w:rsidR="009F637A" w:rsidRPr="00A3695F" w14:paraId="4FF8C91B" w14:textId="77777777" w:rsidTr="001F57F0">
        <w:tc>
          <w:tcPr>
            <w:tcW w:w="9288" w:type="dxa"/>
            <w:shd w:val="clear" w:color="auto" w:fill="EDF2F9"/>
          </w:tcPr>
          <w:p w14:paraId="54B0EF45" w14:textId="77777777" w:rsidR="009F637A" w:rsidRPr="003937FF" w:rsidRDefault="009F637A" w:rsidP="006E12BE">
            <w:pPr>
              <w:pStyle w:val="Style2"/>
              <w:rPr>
                <w:noProof/>
                <w:lang w:val="pl-PL"/>
              </w:rPr>
            </w:pPr>
            <w:r w:rsidRPr="003937FF">
              <w:rPr>
                <w:noProof/>
                <w:lang w:val="pl-PL"/>
              </w:rPr>
              <w:t xml:space="preserve">Ochrona obywatelstwa Unii </w:t>
            </w:r>
          </w:p>
          <w:p w14:paraId="22D809AD" w14:textId="4C0E97FB" w:rsidR="008A65A4" w:rsidRPr="003937FF" w:rsidRDefault="00691058" w:rsidP="009F637A">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Programy obywatelstwa dla inwestorów obowiązujące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nie</w:t>
            </w:r>
            <w:r w:rsidRPr="00A3695F">
              <w:rPr>
                <w:rFonts w:ascii="Times New Roman" w:hAnsi="Times New Roman"/>
                <w:noProof/>
                <w:sz w:val="24"/>
                <w:lang w:val="pl-PL"/>
              </w:rPr>
              <w:t>których państwach członkowskich wzbudziły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ost</w:t>
            </w:r>
            <w:r w:rsidRPr="00A3695F">
              <w:rPr>
                <w:rFonts w:ascii="Times New Roman" w:hAnsi="Times New Roman"/>
                <w:noProof/>
                <w:sz w:val="24"/>
                <w:lang w:val="pl-PL"/>
              </w:rPr>
              <w:t>atnich latach głębokie obawy. Systematyczne przyznawanie obywatelstwa,</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tym</w:t>
            </w:r>
            <w:r w:rsidRPr="00A3695F">
              <w:rPr>
                <w:rFonts w:ascii="Times New Roman" w:hAnsi="Times New Roman"/>
                <w:noProof/>
                <w:sz w:val="24"/>
                <w:lang w:val="pl-PL"/>
              </w:rPr>
              <w:t xml:space="preserve"> samym obywatelstwa Unii,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zam</w:t>
            </w:r>
            <w:r w:rsidRPr="00A3695F">
              <w:rPr>
                <w:rFonts w:ascii="Times New Roman" w:hAnsi="Times New Roman"/>
                <w:noProof/>
                <w:sz w:val="24"/>
                <w:lang w:val="pl-PL"/>
              </w:rPr>
              <w:t>ian za wcześniej ustaloną płatność oraz bez rzeczywistego związku</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stwem członkowskim stanowi naruszenie koncepcji obywatelstwa Unii, jak również zasady lojalnej współpracy. Stwarza ono również duże ryzyko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zak</w:t>
            </w:r>
            <w:r w:rsidRPr="00A3695F">
              <w:rPr>
                <w:rFonts w:ascii="Times New Roman" w:hAnsi="Times New Roman"/>
                <w:noProof/>
                <w:sz w:val="24"/>
                <w:lang w:val="pl-PL"/>
              </w:rPr>
              <w:t>resie bezpieczeństwa, prania pieniędzy, uchylania się od opodatkowania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kor</w:t>
            </w:r>
            <w:r w:rsidRPr="00A3695F">
              <w:rPr>
                <w:rFonts w:ascii="Times New Roman" w:hAnsi="Times New Roman"/>
                <w:noProof/>
                <w:sz w:val="24"/>
                <w:lang w:val="pl-PL"/>
              </w:rPr>
              <w:t>upcji. Podtrzymując stanowisko, że obywatelstwo Unii nie jest na sprzedaż oraz że należy niezwłocznie uchylić wszelkie istniejące programy obywatelstwa dla inwestorów, Komisja wszczęła przełomowe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 przeciwko dwóm państwom członkowskim</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ski</w:t>
            </w:r>
            <w:r w:rsidRPr="00A3695F">
              <w:rPr>
                <w:rFonts w:ascii="Times New Roman" w:hAnsi="Times New Roman"/>
                <w:noProof/>
                <w:sz w:val="24"/>
                <w:lang w:val="pl-PL"/>
              </w:rPr>
              <w:t>erowała ostatecznie jedną</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tyc</w:t>
            </w:r>
            <w:r w:rsidRPr="00A3695F">
              <w:rPr>
                <w:rFonts w:ascii="Times New Roman" w:hAnsi="Times New Roman"/>
                <w:noProof/>
                <w:sz w:val="24"/>
                <w:lang w:val="pl-PL"/>
              </w:rPr>
              <w:t>h spraw do Trybunału Sprawiedliwości. Ponadto Komisja pozostaje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kon</w:t>
            </w:r>
            <w:r w:rsidRPr="00A3695F">
              <w:rPr>
                <w:rFonts w:ascii="Times New Roman" w:hAnsi="Times New Roman"/>
                <w:noProof/>
                <w:sz w:val="24"/>
                <w:lang w:val="pl-PL"/>
              </w:rPr>
              <w:t>takcie</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dru</w:t>
            </w:r>
            <w:r w:rsidRPr="00A3695F">
              <w:rPr>
                <w:rFonts w:ascii="Times New Roman" w:hAnsi="Times New Roman"/>
                <w:noProof/>
                <w:sz w:val="24"/>
                <w:lang w:val="pl-PL"/>
              </w:rPr>
              <w:t>gim państwem członkowskim, które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mię</w:t>
            </w:r>
            <w:r w:rsidRPr="00A3695F">
              <w:rPr>
                <w:rFonts w:ascii="Times New Roman" w:hAnsi="Times New Roman"/>
                <w:noProof/>
                <w:sz w:val="24"/>
                <w:lang w:val="pl-PL"/>
              </w:rPr>
              <w:t>dzyczasie zniosło swój program obywatelstwa dla inwestorów</w:t>
            </w:r>
            <w:r w:rsidRPr="003937FF">
              <w:rPr>
                <w:rFonts w:ascii="Times New Roman" w:hAnsi="Times New Roman"/>
                <w:noProof/>
                <w:sz w:val="24"/>
                <w:lang w:val="pl-PL"/>
              </w:rPr>
              <w:t>.</w:t>
            </w:r>
            <w:r w:rsidR="003937FF" w:rsidRPr="003937FF">
              <w:rPr>
                <w:rFonts w:ascii="Times New Roman" w:hAnsi="Times New Roman"/>
                <w:noProof/>
                <w:sz w:val="24"/>
                <w:lang w:val="pl-PL"/>
              </w:rPr>
              <w:t xml:space="preserve"> </w:t>
            </w:r>
          </w:p>
          <w:p w14:paraId="54F802FE" w14:textId="04DF63D1" w:rsidR="006640AE" w:rsidRPr="003937FF" w:rsidRDefault="006640AE" w:rsidP="006640AE">
            <w:pPr>
              <w:pStyle w:val="Style2"/>
              <w:rPr>
                <w:noProof/>
                <w:lang w:val="pl-PL"/>
              </w:rPr>
            </w:pPr>
            <w:r w:rsidRPr="003937FF">
              <w:rPr>
                <w:noProof/>
                <w:lang w:val="pl-PL"/>
              </w:rPr>
              <w:t>Utrzymanie równości</w:t>
            </w:r>
            <w:r w:rsidR="003937FF" w:rsidRPr="003937FF">
              <w:rPr>
                <w:noProof/>
                <w:lang w:val="pl-PL"/>
              </w:rPr>
              <w:t xml:space="preserve"> i</w:t>
            </w:r>
            <w:r w:rsidR="003937FF">
              <w:rPr>
                <w:rFonts w:ascii="Calibri" w:hAnsi="Calibri" w:cs="Calibri"/>
                <w:noProof/>
                <w:lang w:val="pl-PL"/>
              </w:rPr>
              <w:t> </w:t>
            </w:r>
            <w:r w:rsidR="003937FF" w:rsidRPr="003937FF">
              <w:rPr>
                <w:noProof/>
                <w:lang w:val="pl-PL"/>
              </w:rPr>
              <w:t>nie</w:t>
            </w:r>
            <w:r w:rsidRPr="003937FF">
              <w:rPr>
                <w:noProof/>
                <w:lang w:val="pl-PL"/>
              </w:rPr>
              <w:t>dyskryminacji</w:t>
            </w:r>
          </w:p>
          <w:p w14:paraId="4997BF9C" w14:textId="697CAFB8" w:rsidR="006640AE" w:rsidRPr="00A3695F" w:rsidRDefault="006640AE" w:rsidP="006640AE">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Poszanowanie godności osoby ludzkiej</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rów</w:t>
            </w:r>
            <w:r w:rsidRPr="00A3695F">
              <w:rPr>
                <w:rFonts w:ascii="Times New Roman" w:hAnsi="Times New Roman"/>
                <w:noProof/>
                <w:sz w:val="24"/>
                <w:lang w:val="pl-PL"/>
              </w:rPr>
              <w:t>ności to podstawowe wartości UE zapisane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3937FF">
              <w:rPr>
                <w:rFonts w:ascii="Times New Roman" w:hAnsi="Times New Roman"/>
                <w:noProof/>
                <w:sz w:val="24"/>
                <w:lang w:val="pl-PL"/>
              </w:rPr>
              <w:t>art</w:t>
            </w:r>
            <w:r w:rsidRPr="003937FF">
              <w:rPr>
                <w:rFonts w:ascii="Times New Roman" w:hAnsi="Times New Roman"/>
                <w:noProof/>
                <w:sz w:val="24"/>
                <w:lang w:val="pl-PL"/>
              </w:rPr>
              <w:t>.</w:t>
            </w:r>
            <w:r w:rsidR="003937FF" w:rsidRPr="003937FF">
              <w:rPr>
                <w:rFonts w:ascii="Times New Roman" w:hAnsi="Times New Roman"/>
                <w:noProof/>
                <w:sz w:val="24"/>
                <w:lang w:val="pl-PL"/>
              </w:rPr>
              <w:t> </w:t>
            </w:r>
            <w:r w:rsidRPr="003937FF">
              <w:rPr>
                <w:rFonts w:ascii="Times New Roman" w:hAnsi="Times New Roman"/>
                <w:noProof/>
                <w:sz w:val="24"/>
                <w:lang w:val="pl-PL"/>
              </w:rPr>
              <w:t>2</w:t>
            </w:r>
            <w:r w:rsidRPr="00A3695F">
              <w:rPr>
                <w:rFonts w:ascii="Times New Roman" w:hAnsi="Times New Roman"/>
                <w:noProof/>
                <w:sz w:val="24"/>
                <w:lang w:val="pl-PL"/>
              </w:rPr>
              <w:t xml:space="preserve"> Traktatu</w:t>
            </w:r>
            <w:r w:rsidR="003937FF" w:rsidRPr="00A3695F">
              <w:rPr>
                <w:rFonts w:ascii="Times New Roman" w:hAnsi="Times New Roman"/>
                <w:noProof/>
                <w:sz w:val="24"/>
                <w:lang w:val="pl-PL"/>
              </w:rPr>
              <w:t xml:space="preserve"> o</w:t>
            </w:r>
            <w:r w:rsidR="003937FF">
              <w:rPr>
                <w:rFonts w:ascii="Times New Roman" w:hAnsi="Times New Roman"/>
                <w:noProof/>
                <w:sz w:val="24"/>
                <w:lang w:val="pl-PL"/>
              </w:rPr>
              <w:t> </w:t>
            </w:r>
            <w:r w:rsidR="003937FF" w:rsidRPr="00A3695F">
              <w:rPr>
                <w:rFonts w:ascii="Times New Roman" w:hAnsi="Times New Roman"/>
                <w:noProof/>
                <w:sz w:val="24"/>
                <w:lang w:val="pl-PL"/>
              </w:rPr>
              <w:t>Uni</w:t>
            </w:r>
            <w:r w:rsidRPr="00A3695F">
              <w:rPr>
                <w:rFonts w:ascii="Times New Roman" w:hAnsi="Times New Roman"/>
                <w:noProof/>
                <w:sz w:val="24"/>
                <w:lang w:val="pl-PL"/>
              </w:rPr>
              <w:t>i Europejskiej. Wartości te nie są jedynie normami etycznymi, lecz stanowią one prawa podstawowe zapisane</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Kar</w:t>
            </w:r>
            <w:r w:rsidRPr="00A3695F">
              <w:rPr>
                <w:rFonts w:ascii="Times New Roman" w:hAnsi="Times New Roman"/>
                <w:noProof/>
                <w:sz w:val="24"/>
                <w:lang w:val="pl-PL"/>
              </w:rPr>
              <w:t>cie</w:t>
            </w:r>
            <w:r w:rsidRPr="00A3695F">
              <w:rPr>
                <w:rStyle w:val="FootnoteReference"/>
                <w:rFonts w:ascii="Times New Roman" w:hAnsi="Times New Roman" w:cs="Times New Roman"/>
                <w:noProof/>
                <w:sz w:val="24"/>
                <w:lang w:val="pl-PL"/>
              </w:rPr>
              <w:footnoteReference w:id="17"/>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ogó</w:t>
            </w:r>
            <w:r w:rsidRPr="00A3695F">
              <w:rPr>
                <w:rFonts w:ascii="Times New Roman" w:hAnsi="Times New Roman"/>
                <w:noProof/>
                <w:sz w:val="24"/>
                <w:lang w:val="pl-PL"/>
              </w:rPr>
              <w:t>lne zasady prawa Unii. Komisja podjęła kroki służące ochronie praw osób LGBTIQ</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ost</w:t>
            </w:r>
            <w:r w:rsidRPr="00A3695F">
              <w:rPr>
                <w:rFonts w:ascii="Times New Roman" w:hAnsi="Times New Roman"/>
                <w:noProof/>
                <w:sz w:val="24"/>
                <w:lang w:val="pl-PL"/>
              </w:rPr>
              <w:t>atecznie zaskarżyła jedno państwo członkowskie do Trybunału Sprawiedliwości</w:t>
            </w:r>
            <w:r w:rsidR="003937FF" w:rsidRPr="00A3695F">
              <w:rPr>
                <w:noProof/>
                <w:sz w:val="24"/>
                <w:lang w:val="pl-PL"/>
              </w:rPr>
              <w:t xml:space="preserve"> </w:t>
            </w:r>
            <w:r w:rsidR="003937FF" w:rsidRPr="00A3695F">
              <w:rPr>
                <w:rFonts w:ascii="Times New Roman" w:hAnsi="Times New Roman"/>
                <w:noProof/>
                <w:sz w:val="24"/>
                <w:lang w:val="pl-PL"/>
              </w:rPr>
              <w:t>w</w:t>
            </w:r>
            <w:r w:rsidR="003937FF">
              <w:rPr>
                <w:noProof/>
                <w:sz w:val="24"/>
                <w:lang w:val="pl-PL"/>
              </w:rPr>
              <w:t> </w:t>
            </w:r>
            <w:r w:rsidR="003937FF" w:rsidRPr="00A3695F">
              <w:rPr>
                <w:rFonts w:ascii="Times New Roman" w:hAnsi="Times New Roman"/>
                <w:noProof/>
                <w:sz w:val="24"/>
                <w:lang w:val="pl-PL"/>
              </w:rPr>
              <w:t>zwi</w:t>
            </w:r>
            <w:r w:rsidRPr="00A3695F">
              <w:rPr>
                <w:rFonts w:ascii="Times New Roman" w:hAnsi="Times New Roman"/>
                <w:noProof/>
                <w:sz w:val="24"/>
                <w:lang w:val="pl-PL"/>
              </w:rPr>
              <w:t>ązku</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kra</w:t>
            </w:r>
            <w:r w:rsidRPr="00A3695F">
              <w:rPr>
                <w:rFonts w:ascii="Times New Roman" w:hAnsi="Times New Roman"/>
                <w:noProof/>
                <w:sz w:val="24"/>
                <w:lang w:val="pl-PL"/>
              </w:rPr>
              <w:t xml:space="preserve">jowym ustawodawstwem dyskryminującym osoby ze względu na orientację seksualną lub tożsamość płciową. </w:t>
            </w:r>
          </w:p>
          <w:p w14:paraId="5D9EAEBE" w14:textId="343BE024" w:rsidR="006640AE" w:rsidRPr="00A3695F" w:rsidRDefault="006640AE" w:rsidP="006640AE">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W odniesieniu do równości płci,</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kon</w:t>
            </w:r>
            <w:r w:rsidRPr="00A3695F">
              <w:rPr>
                <w:rFonts w:ascii="Times New Roman" w:hAnsi="Times New Roman"/>
                <w:noProof/>
                <w:sz w:val="24"/>
                <w:lang w:val="pl-PL"/>
              </w:rPr>
              <w:t>kretniej</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zwi</w:t>
            </w:r>
            <w:r w:rsidRPr="00A3695F">
              <w:rPr>
                <w:rFonts w:ascii="Times New Roman" w:hAnsi="Times New Roman"/>
                <w:noProof/>
                <w:sz w:val="24"/>
                <w:lang w:val="pl-PL"/>
              </w:rPr>
              <w:t>ązku</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zab</w:t>
            </w:r>
            <w:r w:rsidRPr="00A3695F">
              <w:rPr>
                <w:rFonts w:ascii="Times New Roman" w:hAnsi="Times New Roman"/>
                <w:noProof/>
                <w:sz w:val="24"/>
                <w:lang w:val="pl-PL"/>
              </w:rPr>
              <w:t>ezpieczeniem społecznym, Komisja podjęła kroki przeciwko jednemu państwu członkowskiemu</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zwi</w:t>
            </w:r>
            <w:r w:rsidRPr="00A3695F">
              <w:rPr>
                <w:rFonts w:ascii="Times New Roman" w:hAnsi="Times New Roman"/>
                <w:noProof/>
                <w:sz w:val="24"/>
                <w:lang w:val="pl-PL"/>
              </w:rPr>
              <w:t>ązku</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jeg</w:t>
            </w:r>
            <w:r w:rsidRPr="00A3695F">
              <w:rPr>
                <w:rFonts w:ascii="Times New Roman" w:hAnsi="Times New Roman"/>
                <w:noProof/>
                <w:sz w:val="24"/>
                <w:lang w:val="pl-PL"/>
              </w:rPr>
              <w:t>o prawem emerytalnym, które pośrednio dyskryminuje kobiety przy obliczaniu okresu składkowego wymaganego do uzyskania prawa do emerytury.</w:t>
            </w:r>
          </w:p>
          <w:p w14:paraId="2BA29E85" w14:textId="77777777" w:rsidR="00DD2C9F" w:rsidRPr="003937FF" w:rsidRDefault="00DD2C9F" w:rsidP="00DD2C9F">
            <w:pPr>
              <w:spacing w:after="120" w:line="276" w:lineRule="auto"/>
              <w:jc w:val="both"/>
              <w:rPr>
                <w:rFonts w:ascii="EC Square Sans Pro" w:hAnsi="EC Square Sans Pro" w:cs="Times New Roman"/>
                <w:b/>
                <w:i/>
                <w:noProof/>
                <w:color w:val="0070C0"/>
                <w:sz w:val="24"/>
                <w:lang w:val="pl-PL"/>
              </w:rPr>
            </w:pPr>
            <w:r w:rsidRPr="003937FF">
              <w:rPr>
                <w:rFonts w:ascii="EC Square Sans Pro" w:hAnsi="EC Square Sans Pro"/>
                <w:b/>
                <w:i/>
                <w:noProof/>
                <w:color w:val="0070C0"/>
                <w:sz w:val="24"/>
                <w:lang w:val="pl-PL"/>
              </w:rPr>
              <w:t xml:space="preserve">Obrona wolności mediów </w:t>
            </w:r>
          </w:p>
          <w:p w14:paraId="18A81296" w14:textId="2B95E322" w:rsidR="00DD2C9F" w:rsidRPr="00A3695F" w:rsidRDefault="00DD2C9F" w:rsidP="00DD2C9F">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Gwarancja wolności mediów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wol</w:t>
            </w:r>
            <w:r w:rsidRPr="00A3695F">
              <w:rPr>
                <w:rFonts w:ascii="Times New Roman" w:hAnsi="Times New Roman"/>
                <w:noProof/>
                <w:sz w:val="24"/>
                <w:lang w:val="pl-PL"/>
              </w:rPr>
              <w:t>ności słowa stanowi podstawę otwartego, demokratycznego</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zró</w:t>
            </w:r>
            <w:r w:rsidRPr="00A3695F">
              <w:rPr>
                <w:rFonts w:ascii="Times New Roman" w:hAnsi="Times New Roman"/>
                <w:noProof/>
                <w:sz w:val="24"/>
                <w:lang w:val="pl-PL"/>
              </w:rPr>
              <w:t>wnoważonego społeczeństwa cyfrowego. Dostawcy usług medialnych muszą mieć dostęp do rynku na niedyskryminacyjnych,</w:t>
            </w:r>
            <w:r w:rsidRPr="00A3695F">
              <w:rPr>
                <w:noProof/>
                <w:lang w:val="pl-PL"/>
              </w:rPr>
              <w:t xml:space="preserve"> </w:t>
            </w:r>
            <w:r w:rsidRPr="00A3695F">
              <w:rPr>
                <w:rFonts w:ascii="Times New Roman" w:hAnsi="Times New Roman"/>
                <w:noProof/>
                <w:sz w:val="24"/>
                <w:lang w:val="pl-PL"/>
              </w:rPr>
              <w:t>proporcjonalnych</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obi</w:t>
            </w:r>
            <w:r w:rsidRPr="00A3695F">
              <w:rPr>
                <w:rFonts w:ascii="Times New Roman" w:hAnsi="Times New Roman"/>
                <w:noProof/>
                <w:sz w:val="24"/>
                <w:lang w:val="pl-PL"/>
              </w:rPr>
              <w:t>ektywnie uzasadnionych warunkach, tak aby mogli pracować</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spo</w:t>
            </w:r>
            <w:r w:rsidRPr="00A3695F">
              <w:rPr>
                <w:rFonts w:ascii="Times New Roman" w:hAnsi="Times New Roman"/>
                <w:noProof/>
                <w:sz w:val="24"/>
                <w:lang w:val="pl-PL"/>
              </w:rPr>
              <w:t>sób swobodny</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nie</w:t>
            </w:r>
            <w:r w:rsidRPr="00A3695F">
              <w:rPr>
                <w:rFonts w:ascii="Times New Roman" w:hAnsi="Times New Roman"/>
                <w:noProof/>
                <w:sz w:val="24"/>
                <w:lang w:val="pl-PL"/>
              </w:rPr>
              <w:t>zależny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każ</w:t>
            </w:r>
            <w:r w:rsidRPr="00A3695F">
              <w:rPr>
                <w:rFonts w:ascii="Times New Roman" w:hAnsi="Times New Roman"/>
                <w:noProof/>
                <w:sz w:val="24"/>
                <w:lang w:val="pl-PL"/>
              </w:rPr>
              <w:t>dym miejscu</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Uni</w:t>
            </w:r>
            <w:r w:rsidRPr="00A3695F">
              <w:rPr>
                <w:rFonts w:ascii="Times New Roman" w:hAnsi="Times New Roman"/>
                <w:noProof/>
                <w:sz w:val="24"/>
                <w:lang w:val="pl-PL"/>
              </w:rPr>
              <w:t>i Europejskiej. Komisja zaskarżyła jedno państwo członkowskie do Trybunału Sprawiedliwości za naruszenie przepisów telekomunikacyjnych na rynku wewnętrznym</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łam</w:t>
            </w:r>
            <w:r w:rsidRPr="00A3695F">
              <w:rPr>
                <w:rFonts w:ascii="Times New Roman" w:hAnsi="Times New Roman"/>
                <w:noProof/>
                <w:sz w:val="24"/>
                <w:lang w:val="pl-PL"/>
              </w:rPr>
              <w:t>anie wolności słowa zapisanej</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Kar</w:t>
            </w:r>
            <w:r w:rsidRPr="00A3695F">
              <w:rPr>
                <w:rFonts w:ascii="Times New Roman" w:hAnsi="Times New Roman"/>
                <w:noProof/>
                <w:sz w:val="24"/>
                <w:lang w:val="pl-PL"/>
              </w:rPr>
              <w:t>cie.</w:t>
            </w:r>
          </w:p>
          <w:p w14:paraId="02DDB5CD" w14:textId="03E0C4CF" w:rsidR="008A65A4" w:rsidRPr="003937FF" w:rsidRDefault="00490027" w:rsidP="008A65A4">
            <w:pPr>
              <w:spacing w:after="120"/>
              <w:jc w:val="both"/>
              <w:rPr>
                <w:rFonts w:ascii="EC Square Sans Pro" w:hAnsi="EC Square Sans Pro" w:cs="Times New Roman"/>
                <w:b/>
                <w:i/>
                <w:noProof/>
                <w:color w:val="0070C0"/>
                <w:sz w:val="24"/>
                <w:lang w:val="pl-PL"/>
              </w:rPr>
            </w:pPr>
            <w:r w:rsidRPr="003937FF">
              <w:rPr>
                <w:rFonts w:ascii="EC Square Sans Pro" w:hAnsi="EC Square Sans Pro"/>
                <w:b/>
                <w:i/>
                <w:noProof/>
                <w:color w:val="0070C0"/>
                <w:sz w:val="24"/>
                <w:lang w:val="pl-PL"/>
              </w:rPr>
              <w:t>Wspieranie legalnej migracji</w:t>
            </w:r>
            <w:r w:rsidR="003937FF" w:rsidRPr="003937FF">
              <w:rPr>
                <w:rFonts w:ascii="EC Square Sans Pro" w:hAnsi="EC Square Sans Pro"/>
                <w:b/>
                <w:i/>
                <w:noProof/>
                <w:color w:val="0070C0"/>
                <w:sz w:val="24"/>
                <w:lang w:val="pl-PL"/>
              </w:rPr>
              <w:t xml:space="preserve"> i</w:t>
            </w:r>
            <w:r w:rsidR="003937FF">
              <w:rPr>
                <w:rFonts w:ascii="Calibri" w:hAnsi="Calibri" w:cs="Calibri"/>
                <w:b/>
                <w:i/>
                <w:noProof/>
                <w:color w:val="0070C0"/>
                <w:sz w:val="24"/>
                <w:lang w:val="pl-PL"/>
              </w:rPr>
              <w:t> </w:t>
            </w:r>
            <w:r w:rsidR="003937FF" w:rsidRPr="003937FF">
              <w:rPr>
                <w:rFonts w:ascii="EC Square Sans Pro" w:hAnsi="EC Square Sans Pro"/>
                <w:b/>
                <w:i/>
                <w:noProof/>
                <w:color w:val="0070C0"/>
                <w:sz w:val="24"/>
                <w:lang w:val="pl-PL"/>
              </w:rPr>
              <w:t>rów</w:t>
            </w:r>
            <w:r w:rsidRPr="003937FF">
              <w:rPr>
                <w:rFonts w:ascii="EC Square Sans Pro" w:hAnsi="EC Square Sans Pro"/>
                <w:b/>
                <w:i/>
                <w:noProof/>
                <w:color w:val="0070C0"/>
                <w:sz w:val="24"/>
                <w:lang w:val="pl-PL"/>
              </w:rPr>
              <w:t xml:space="preserve">nego traktowania obywateli państw trzecich </w:t>
            </w:r>
          </w:p>
          <w:p w14:paraId="0E941A85" w14:textId="640C23A0" w:rsidR="009F637A" w:rsidRPr="003937FF" w:rsidRDefault="008A65A4" w:rsidP="008A65A4">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Przyciąganie talentów</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 trzecich zarówno wzbogaca nasze społeczeństwo, jak</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jes</w:t>
            </w:r>
            <w:r w:rsidRPr="00A3695F">
              <w:rPr>
                <w:rFonts w:ascii="Times New Roman" w:hAnsi="Times New Roman"/>
                <w:noProof/>
                <w:sz w:val="24"/>
                <w:lang w:val="pl-PL"/>
              </w:rPr>
              <w:t>t korzystne dla naszych gospodarek</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episach UE przewidziano wspólne warunki wjazdu</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pob</w:t>
            </w:r>
            <w:r w:rsidRPr="00A3695F">
              <w:rPr>
                <w:rFonts w:ascii="Times New Roman" w:hAnsi="Times New Roman"/>
                <w:noProof/>
                <w:sz w:val="24"/>
                <w:lang w:val="pl-PL"/>
              </w:rPr>
              <w:t>ytu dla niektórych kategorii obywateli</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 niebędących członkami UE oraz traktowanie na równi</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oby</w:t>
            </w:r>
            <w:r w:rsidRPr="00A3695F">
              <w:rPr>
                <w:rFonts w:ascii="Times New Roman" w:hAnsi="Times New Roman"/>
                <w:noProof/>
                <w:sz w:val="24"/>
                <w:lang w:val="pl-PL"/>
              </w:rPr>
              <w:t>watelami Unii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kil</w:t>
            </w:r>
            <w:r w:rsidRPr="00A3695F">
              <w:rPr>
                <w:rFonts w:ascii="Times New Roman" w:hAnsi="Times New Roman"/>
                <w:noProof/>
                <w:sz w:val="24"/>
                <w:lang w:val="pl-PL"/>
              </w:rPr>
              <w:t>ku obszarach. Komisja podjęła kroki przeciwko kilku państwom członkowskim ze względu na wprowadzenie przez nie nieuzasadnionych przeszkód dla obywateli państw trzecich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dos</w:t>
            </w:r>
            <w:r w:rsidRPr="00A3695F">
              <w:rPr>
                <w:rFonts w:ascii="Times New Roman" w:hAnsi="Times New Roman"/>
                <w:noProof/>
                <w:sz w:val="24"/>
                <w:lang w:val="pl-PL"/>
              </w:rPr>
              <w:t>tępie do zatrudnienia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pro</w:t>
            </w:r>
            <w:r w:rsidRPr="00A3695F">
              <w:rPr>
                <w:rFonts w:ascii="Times New Roman" w:hAnsi="Times New Roman"/>
                <w:noProof/>
                <w:sz w:val="24"/>
                <w:lang w:val="pl-PL"/>
              </w:rPr>
              <w:t>wadzenia działalności na własny rachunek. Komisja wszczęła również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uwa</w:t>
            </w:r>
            <w:r w:rsidRPr="00A3695F">
              <w:rPr>
                <w:rFonts w:ascii="Times New Roman" w:hAnsi="Times New Roman"/>
                <w:noProof/>
                <w:sz w:val="24"/>
                <w:lang w:val="pl-PL"/>
              </w:rPr>
              <w:t>gi na nadmierne obciążenia przy rozpatrywaniu wniosków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unijnych zezwoleń</w:t>
            </w:r>
            <w:r w:rsidRPr="00A3695F">
              <w:rPr>
                <w:rStyle w:val="FootnoteReference"/>
                <w:rFonts w:ascii="Times New Roman" w:hAnsi="Times New Roman" w:cs="Times New Roman"/>
                <w:noProof/>
                <w:sz w:val="24"/>
                <w:lang w:val="pl-PL"/>
              </w:rPr>
              <w:footnoteReference w:id="18"/>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rez</w:t>
            </w:r>
            <w:r w:rsidRPr="00A3695F">
              <w:rPr>
                <w:rFonts w:ascii="Times New Roman" w:hAnsi="Times New Roman"/>
                <w:noProof/>
                <w:sz w:val="24"/>
                <w:lang w:val="pl-PL"/>
              </w:rPr>
              <w:t>ultacie kilka państw członkowskich zmieniło swoje przepisy krajowe tak, aby były zgodne</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pra</w:t>
            </w:r>
            <w:r w:rsidRPr="00A3695F">
              <w:rPr>
                <w:rFonts w:ascii="Times New Roman" w:hAnsi="Times New Roman"/>
                <w:noProof/>
                <w:sz w:val="24"/>
                <w:lang w:val="pl-PL"/>
              </w:rPr>
              <w:t>wem Unii, dzięki czemu mieszkanie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pra</w:t>
            </w:r>
            <w:r w:rsidRPr="00A3695F">
              <w:rPr>
                <w:rFonts w:ascii="Times New Roman" w:hAnsi="Times New Roman"/>
                <w:noProof/>
                <w:sz w:val="24"/>
                <w:lang w:val="pl-PL"/>
              </w:rPr>
              <w:t>ca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Eur</w:t>
            </w:r>
            <w:r w:rsidRPr="00A3695F">
              <w:rPr>
                <w:rFonts w:ascii="Times New Roman" w:hAnsi="Times New Roman"/>
                <w:noProof/>
                <w:sz w:val="24"/>
                <w:lang w:val="pl-PL"/>
              </w:rPr>
              <w:t>opie stały się dla wykwalifikowanych obywateli państw trzecich łatwiejsze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atr</w:t>
            </w:r>
            <w:r w:rsidRPr="00A3695F">
              <w:rPr>
                <w:rFonts w:ascii="Times New Roman" w:hAnsi="Times New Roman"/>
                <w:noProof/>
                <w:sz w:val="24"/>
                <w:lang w:val="pl-PL"/>
              </w:rPr>
              <w:t>akcyjniejsze</w:t>
            </w:r>
            <w:r w:rsidRPr="003937FF">
              <w:rPr>
                <w:rFonts w:ascii="Times New Roman" w:hAnsi="Times New Roman"/>
                <w:noProof/>
                <w:sz w:val="24"/>
                <w:lang w:val="pl-PL"/>
              </w:rPr>
              <w:t>.</w:t>
            </w:r>
            <w:r w:rsidR="003937FF" w:rsidRPr="003937FF">
              <w:rPr>
                <w:rFonts w:ascii="Times New Roman" w:hAnsi="Times New Roman"/>
                <w:noProof/>
                <w:sz w:val="24"/>
                <w:lang w:val="pl-PL"/>
              </w:rPr>
              <w:t xml:space="preserve"> </w:t>
            </w:r>
          </w:p>
          <w:p w14:paraId="62CA17C4" w14:textId="026F287D" w:rsidR="009F637A" w:rsidRPr="003937FF" w:rsidRDefault="009F637A" w:rsidP="006E12BE">
            <w:pPr>
              <w:pStyle w:val="Style2"/>
              <w:rPr>
                <w:noProof/>
                <w:lang w:val="pl-PL"/>
              </w:rPr>
            </w:pPr>
            <w:r w:rsidRPr="003937FF">
              <w:rPr>
                <w:noProof/>
                <w:lang w:val="pl-PL"/>
              </w:rPr>
              <w:t>Zwalczanie nawoływania do nienawiści</w:t>
            </w:r>
            <w:r w:rsidR="003937FF" w:rsidRPr="003937FF">
              <w:rPr>
                <w:noProof/>
                <w:lang w:val="pl-PL"/>
              </w:rPr>
              <w:t xml:space="preserve"> z</w:t>
            </w:r>
            <w:r w:rsidR="003937FF">
              <w:rPr>
                <w:rFonts w:ascii="Calibri" w:hAnsi="Calibri" w:cs="Calibri"/>
                <w:noProof/>
                <w:lang w:val="pl-PL"/>
              </w:rPr>
              <w:t> </w:t>
            </w:r>
            <w:r w:rsidR="003937FF" w:rsidRPr="003937FF">
              <w:rPr>
                <w:noProof/>
                <w:lang w:val="pl-PL"/>
              </w:rPr>
              <w:t>pob</w:t>
            </w:r>
            <w:r w:rsidRPr="003937FF">
              <w:rPr>
                <w:noProof/>
                <w:lang w:val="pl-PL"/>
              </w:rPr>
              <w:t>udek rasistowskich</w:t>
            </w:r>
            <w:r w:rsidR="003937FF" w:rsidRPr="003937FF">
              <w:rPr>
                <w:noProof/>
                <w:lang w:val="pl-PL"/>
              </w:rPr>
              <w:t xml:space="preserve"> i</w:t>
            </w:r>
            <w:r w:rsidR="003937FF">
              <w:rPr>
                <w:rFonts w:ascii="Calibri" w:hAnsi="Calibri" w:cs="Calibri"/>
                <w:noProof/>
                <w:lang w:val="pl-PL"/>
              </w:rPr>
              <w:t> </w:t>
            </w:r>
            <w:r w:rsidR="003937FF" w:rsidRPr="003937FF">
              <w:rPr>
                <w:noProof/>
                <w:lang w:val="pl-PL"/>
              </w:rPr>
              <w:t>kse</w:t>
            </w:r>
            <w:r w:rsidRPr="003937FF">
              <w:rPr>
                <w:noProof/>
                <w:lang w:val="pl-PL"/>
              </w:rPr>
              <w:t>nofobicznych oraz przestępstw</w:t>
            </w:r>
            <w:r w:rsidR="003937FF" w:rsidRPr="003937FF">
              <w:rPr>
                <w:noProof/>
                <w:lang w:val="pl-PL"/>
              </w:rPr>
              <w:t xml:space="preserve"> z</w:t>
            </w:r>
            <w:r w:rsidR="003937FF">
              <w:rPr>
                <w:rFonts w:ascii="Calibri" w:hAnsi="Calibri" w:cs="Calibri"/>
                <w:noProof/>
                <w:lang w:val="pl-PL"/>
              </w:rPr>
              <w:t> </w:t>
            </w:r>
            <w:r w:rsidR="003937FF" w:rsidRPr="003937FF">
              <w:rPr>
                <w:noProof/>
                <w:lang w:val="pl-PL"/>
              </w:rPr>
              <w:t>nie</w:t>
            </w:r>
            <w:r w:rsidRPr="003937FF">
              <w:rPr>
                <w:noProof/>
                <w:lang w:val="pl-PL"/>
              </w:rPr>
              <w:t>nawiści</w:t>
            </w:r>
          </w:p>
          <w:p w14:paraId="7DFE9490" w14:textId="5E9B401A" w:rsidR="009F637A" w:rsidRPr="00A3695F" w:rsidRDefault="009F637A" w:rsidP="00FE0204">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Nawoływanie do nienawiści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estępstwa</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nie</w:t>
            </w:r>
            <w:r w:rsidRPr="00A3695F">
              <w:rPr>
                <w:rFonts w:ascii="Times New Roman" w:hAnsi="Times New Roman"/>
                <w:noProof/>
                <w:sz w:val="24"/>
                <w:lang w:val="pl-PL"/>
              </w:rPr>
              <w:t>nawiści są nie tylko szkodliwe dla osób, których dotyczą,</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spo</w:t>
            </w:r>
            <w:r w:rsidRPr="00A3695F">
              <w:rPr>
                <w:rFonts w:ascii="Times New Roman" w:hAnsi="Times New Roman"/>
                <w:noProof/>
                <w:sz w:val="24"/>
                <w:lang w:val="pl-PL"/>
              </w:rPr>
              <w:t>łeczeństwa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ogó</w:t>
            </w:r>
            <w:r w:rsidRPr="00A3695F">
              <w:rPr>
                <w:rFonts w:ascii="Times New Roman" w:hAnsi="Times New Roman"/>
                <w:noProof/>
                <w:sz w:val="24"/>
                <w:lang w:val="pl-PL"/>
              </w:rPr>
              <w:t>lnym ujęciu, lecz również uderzają</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fun</w:t>
            </w:r>
            <w:r w:rsidRPr="00A3695F">
              <w:rPr>
                <w:rFonts w:ascii="Times New Roman" w:hAnsi="Times New Roman"/>
                <w:noProof/>
                <w:sz w:val="24"/>
                <w:lang w:val="pl-PL"/>
              </w:rPr>
              <w:t>damentalne wartości UE. Kluczem do osiągnięcia skutecznego egzekwowania przepisów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tym</w:t>
            </w:r>
            <w:r w:rsidRPr="00A3695F">
              <w:rPr>
                <w:rFonts w:ascii="Times New Roman" w:hAnsi="Times New Roman"/>
                <w:noProof/>
                <w:sz w:val="24"/>
                <w:lang w:val="pl-PL"/>
              </w:rPr>
              <w:t xml:space="preserve"> zakresie jest położenie nacisku na wdrażanie decyzji ramowej</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2</w:t>
            </w:r>
            <w:r w:rsidRPr="00A3695F">
              <w:rPr>
                <w:rFonts w:ascii="Times New Roman" w:hAnsi="Times New Roman"/>
                <w:noProof/>
                <w:sz w:val="24"/>
                <w:lang w:val="pl-PL"/>
              </w:rPr>
              <w:t>0</w:t>
            </w:r>
            <w:r w:rsidRPr="003937FF">
              <w:rPr>
                <w:rFonts w:ascii="Times New Roman" w:hAnsi="Times New Roman"/>
                <w:noProof/>
                <w:sz w:val="24"/>
                <w:lang w:val="pl-PL"/>
              </w:rPr>
              <w:t>08</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zwalczania nawoływania do nienawiści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estępstw</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nie</w:t>
            </w:r>
            <w:r w:rsidRPr="00A3695F">
              <w:rPr>
                <w:rFonts w:ascii="Times New Roman" w:hAnsi="Times New Roman"/>
                <w:noProof/>
                <w:sz w:val="24"/>
                <w:lang w:val="pl-PL"/>
              </w:rPr>
              <w:t>nawiści</w:t>
            </w:r>
            <w:r w:rsidRPr="00A3695F">
              <w:rPr>
                <w:rStyle w:val="FootnoteReference"/>
                <w:rFonts w:ascii="Times New Roman" w:hAnsi="Times New Roman" w:cs="Times New Roman"/>
                <w:noProof/>
                <w:sz w:val="24"/>
                <w:lang w:val="pl-PL"/>
              </w:rPr>
              <w:footnoteReference w:id="19"/>
            </w:r>
            <w:r w:rsidRPr="00A3695F">
              <w:rPr>
                <w:rFonts w:ascii="Times New Roman" w:hAnsi="Times New Roman"/>
                <w:noProof/>
                <w:sz w:val="24"/>
                <w:lang w:val="pl-PL"/>
              </w:rPr>
              <w:t>. Komisja jest zdecydowana zapewnić skuteczną kryminalizację nawoływania do nienawiści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estępstw</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nie</w:t>
            </w:r>
            <w:r w:rsidRPr="00A3695F">
              <w:rPr>
                <w:rFonts w:ascii="Times New Roman" w:hAnsi="Times New Roman"/>
                <w:noProof/>
                <w:sz w:val="24"/>
                <w:lang w:val="pl-PL"/>
              </w:rPr>
              <w:t>nawiści,</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yjęta przez nią strategia przyniosła znaczne postępy we wdrażaniu wśród państw członkowskich</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tym</w:t>
            </w:r>
            <w:r w:rsidRPr="00A3695F">
              <w:rPr>
                <w:rFonts w:ascii="Times New Roman" w:hAnsi="Times New Roman"/>
                <w:noProof/>
                <w:sz w:val="24"/>
                <w:lang w:val="pl-PL"/>
              </w:rPr>
              <w:t xml:space="preserve"> względzie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raz</w:t>
            </w:r>
            <w:r w:rsidRPr="00A3695F">
              <w:rPr>
                <w:rFonts w:ascii="Times New Roman" w:hAnsi="Times New Roman"/>
                <w:noProof/>
                <w:sz w:val="24"/>
                <w:lang w:val="pl-PL"/>
              </w:rPr>
              <w:t>ie potrzeby Komisja zamierza wszczynać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 co potwierdziła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uni</w:t>
            </w:r>
            <w:r w:rsidRPr="00A3695F">
              <w:rPr>
                <w:rFonts w:ascii="Times New Roman" w:hAnsi="Times New Roman"/>
                <w:noProof/>
                <w:sz w:val="24"/>
                <w:lang w:val="pl-PL"/>
              </w:rPr>
              <w:t>jnym planie działania przeciwko rasizmowi</w:t>
            </w:r>
            <w:r w:rsidRPr="00A3695F">
              <w:rPr>
                <w:rStyle w:val="FootnoteReference"/>
                <w:rFonts w:ascii="Times New Roman" w:hAnsi="Times New Roman" w:cs="Times New Roman"/>
                <w:noProof/>
                <w:sz w:val="24"/>
                <w:lang w:val="pl-PL"/>
              </w:rPr>
              <w:footnoteReference w:id="20"/>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nas</w:t>
            </w:r>
            <w:r w:rsidRPr="00A3695F">
              <w:rPr>
                <w:rFonts w:ascii="Times New Roman" w:hAnsi="Times New Roman"/>
                <w:noProof/>
                <w:sz w:val="24"/>
                <w:lang w:val="pl-PL"/>
              </w:rPr>
              <w:t>tępstwie szeregu spraw dotyczących uchybienia zobowiązaniom państwa członkowskiego wszczętych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lat</w:t>
            </w:r>
            <w:r w:rsidRPr="00A3695F">
              <w:rPr>
                <w:rFonts w:ascii="Times New Roman" w:hAnsi="Times New Roman"/>
                <w:noProof/>
                <w:sz w:val="24"/>
                <w:lang w:val="pl-PL"/>
              </w:rPr>
              <w:t>ach 2020–2021 kilka państw członkowskich rozpoczęło procedury, aby zmienić swoje ustawodawstwo, lub przyjęło już nowe zmiany legislacyjne. Na przykład zmiany przyjęte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jed</w:t>
            </w:r>
            <w:r w:rsidRPr="00A3695F">
              <w:rPr>
                <w:rFonts w:ascii="Times New Roman" w:hAnsi="Times New Roman"/>
                <w:noProof/>
                <w:sz w:val="24"/>
                <w:lang w:val="pl-PL"/>
              </w:rPr>
              <w:t>nym</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 członkowskich przyczyniły się do surowszej kryminalizacji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ści</w:t>
            </w:r>
            <w:r w:rsidRPr="00A3695F">
              <w:rPr>
                <w:rFonts w:ascii="Times New Roman" w:hAnsi="Times New Roman"/>
                <w:noProof/>
                <w:sz w:val="24"/>
                <w:lang w:val="pl-PL"/>
              </w:rPr>
              <w:t>gania karnego przestępstw polegających na nawoływaniu do nienawiści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estępstw</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nie</w:t>
            </w:r>
            <w:r w:rsidRPr="00A3695F">
              <w:rPr>
                <w:rFonts w:ascii="Times New Roman" w:hAnsi="Times New Roman"/>
                <w:noProof/>
                <w:sz w:val="24"/>
                <w:lang w:val="pl-PL"/>
              </w:rPr>
              <w:t>nawiści oraz poprawy ochrony mniejszości przed tymi przestępstwami.</w:t>
            </w:r>
          </w:p>
          <w:p w14:paraId="2A965AC4" w14:textId="77777777" w:rsidR="008A65A4" w:rsidRPr="003937FF" w:rsidRDefault="008A65A4" w:rsidP="008A65A4">
            <w:pPr>
              <w:spacing w:after="120"/>
              <w:jc w:val="both"/>
              <w:rPr>
                <w:rFonts w:ascii="EC Square Sans Pro" w:hAnsi="EC Square Sans Pro" w:cs="Times New Roman"/>
                <w:b/>
                <w:i/>
                <w:noProof/>
                <w:color w:val="0070C0"/>
                <w:sz w:val="24"/>
                <w:lang w:val="pl-PL"/>
              </w:rPr>
            </w:pPr>
            <w:r w:rsidRPr="003937FF">
              <w:rPr>
                <w:rFonts w:ascii="EC Square Sans Pro" w:hAnsi="EC Square Sans Pro"/>
                <w:b/>
                <w:i/>
                <w:noProof/>
                <w:color w:val="0070C0"/>
                <w:sz w:val="24"/>
                <w:lang w:val="pl-PL"/>
              </w:rPr>
              <w:t>Łączenie sił przeciwko terroryzmowi</w:t>
            </w:r>
          </w:p>
          <w:p w14:paraId="6524CDD1" w14:textId="2B5149DA" w:rsidR="008A65A4" w:rsidRPr="00A3695F" w:rsidRDefault="008A65A4" w:rsidP="00EA432D">
            <w:pPr>
              <w:spacing w:after="120" w:line="276" w:lineRule="auto"/>
              <w:jc w:val="both"/>
              <w:rPr>
                <w:rFonts w:ascii="Times New Roman" w:hAnsi="Times New Roman" w:cs="Times New Roman"/>
                <w:noProof/>
                <w:lang w:val="pl-PL"/>
              </w:rPr>
            </w:pPr>
            <w:r w:rsidRPr="00A3695F">
              <w:rPr>
                <w:rFonts w:ascii="Times New Roman" w:hAnsi="Times New Roman"/>
                <w:noProof/>
                <w:sz w:val="24"/>
                <w:lang w:val="pl-PL"/>
              </w:rPr>
              <w:t>Akty terrorystyczne stanowią jedno</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naj</w:t>
            </w:r>
            <w:r w:rsidRPr="00A3695F">
              <w:rPr>
                <w:rFonts w:ascii="Times New Roman" w:hAnsi="Times New Roman"/>
                <w:noProof/>
                <w:sz w:val="24"/>
                <w:lang w:val="pl-PL"/>
              </w:rPr>
              <w:t>poważniejszych pogwałceń podstawowych wolności, na których opiera się Unia. Ataki terrorystyczne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stwach członkowskich UE dobitnie przypomniały, że policja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pro</w:t>
            </w:r>
            <w:r w:rsidRPr="00A3695F">
              <w:rPr>
                <w:rFonts w:ascii="Times New Roman" w:hAnsi="Times New Roman"/>
                <w:noProof/>
                <w:sz w:val="24"/>
                <w:lang w:val="pl-PL"/>
              </w:rPr>
              <w:t>kuratura potrzebują skuteczniejszych narzędzi zapobiegania przestępstwom terrorystycznym</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ich</w:t>
            </w:r>
            <w:r w:rsidRPr="00A3695F">
              <w:rPr>
                <w:rFonts w:ascii="Times New Roman" w:hAnsi="Times New Roman"/>
                <w:noProof/>
                <w:sz w:val="24"/>
                <w:lang w:val="pl-PL"/>
              </w:rPr>
              <w:t xml:space="preserve"> zwalczania. Dyrektywa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zwalczania terroryzmu</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2</w:t>
            </w:r>
            <w:r w:rsidRPr="00A3695F">
              <w:rPr>
                <w:rFonts w:ascii="Times New Roman" w:hAnsi="Times New Roman"/>
                <w:noProof/>
                <w:sz w:val="24"/>
                <w:lang w:val="pl-PL"/>
              </w:rPr>
              <w:t>0</w:t>
            </w:r>
            <w:r w:rsidRPr="003937FF">
              <w:rPr>
                <w:rFonts w:ascii="Times New Roman" w:hAnsi="Times New Roman"/>
                <w:noProof/>
                <w:sz w:val="24"/>
                <w:lang w:val="pl-PL"/>
              </w:rPr>
              <w:t>17</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Style w:val="FootnoteReference"/>
                <w:rFonts w:ascii="Times New Roman" w:hAnsi="Times New Roman" w:cs="Times New Roman"/>
                <w:noProof/>
                <w:sz w:val="24"/>
                <w:lang w:val="pl-PL"/>
              </w:rPr>
              <w:footnoteReference w:id="21"/>
            </w:r>
            <w:r w:rsidRPr="00A3695F">
              <w:rPr>
                <w:rFonts w:ascii="Times New Roman" w:hAnsi="Times New Roman"/>
                <w:noProof/>
                <w:sz w:val="24"/>
                <w:lang w:val="pl-PL"/>
              </w:rPr>
              <w:t xml:space="preserve"> stanowi podstawę działań wymiaru sprawiedliwości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awach karnych państw członkowskich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rea</w:t>
            </w:r>
            <w:r w:rsidRPr="00A3695F">
              <w:rPr>
                <w:rFonts w:ascii="Times New Roman" w:hAnsi="Times New Roman"/>
                <w:noProof/>
                <w:sz w:val="24"/>
                <w:lang w:val="pl-PL"/>
              </w:rPr>
              <w:t>kcji na terroryzm</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jes</w:t>
            </w:r>
            <w:r w:rsidRPr="00A3695F">
              <w:rPr>
                <w:rFonts w:ascii="Times New Roman" w:hAnsi="Times New Roman"/>
                <w:noProof/>
                <w:sz w:val="24"/>
                <w:lang w:val="pl-PL"/>
              </w:rPr>
              <w:t>t kluczową częścią ram unii bezpieczeństwa UE. Komisja wszczęła postępowanie przeciwko kilku państwom członkowskim</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zapewnienia, aby istniały warunki prawne umożliwiające organom krajowym współpracę</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wym</w:t>
            </w:r>
            <w:r w:rsidRPr="00A3695F">
              <w:rPr>
                <w:rFonts w:ascii="Times New Roman" w:hAnsi="Times New Roman"/>
                <w:noProof/>
                <w:sz w:val="24"/>
                <w:lang w:val="pl-PL"/>
              </w:rPr>
              <w:t>ianę informacji na temat zagrożeń terrorystycznych.</w:t>
            </w:r>
          </w:p>
        </w:tc>
      </w:tr>
    </w:tbl>
    <w:p w14:paraId="1647E628" w14:textId="77777777" w:rsidR="00FC3A61" w:rsidRPr="003937FF" w:rsidRDefault="00011600" w:rsidP="001F57F0">
      <w:pPr>
        <w:pStyle w:val="Heading11"/>
        <w:numPr>
          <w:ilvl w:val="0"/>
          <w:numId w:val="1"/>
        </w:numPr>
        <w:spacing w:before="480"/>
        <w:ind w:left="1077"/>
        <w:rPr>
          <w:caps/>
          <w:noProof/>
          <w:u w:val="none"/>
          <w:lang w:val="pl-PL"/>
        </w:rPr>
      </w:pPr>
      <w:r w:rsidRPr="003937FF">
        <w:rPr>
          <w:caps/>
          <w:noProof/>
          <w:u w:val="none"/>
          <w:lang w:val="pl-PL"/>
        </w:rPr>
        <w:t xml:space="preserve">WDRAŻANIE </w:t>
      </w:r>
      <w:r w:rsidRPr="003937FF">
        <w:rPr>
          <w:noProof/>
          <w:u w:val="none"/>
          <w:lang w:val="pl-PL"/>
        </w:rPr>
        <w:t>I</w:t>
      </w:r>
      <w:r w:rsidRPr="003937FF">
        <w:rPr>
          <w:caps/>
          <w:noProof/>
          <w:u w:val="none"/>
          <w:lang w:val="pl-PL"/>
        </w:rPr>
        <w:t xml:space="preserve"> STOSOWANIE PRAWA UNII: WSPÓLNE STARANIA</w:t>
      </w:r>
    </w:p>
    <w:p w14:paraId="5F553BBC" w14:textId="30F0C217" w:rsidR="00E56810" w:rsidRPr="00A3695F" w:rsidRDefault="00011600" w:rsidP="00E56810">
      <w:pPr>
        <w:jc w:val="both"/>
        <w:rPr>
          <w:rFonts w:ascii="Times New Roman" w:hAnsi="Times New Roman" w:cs="Times New Roman"/>
          <w:noProof/>
          <w:sz w:val="24"/>
          <w:lang w:val="pl-PL"/>
        </w:rPr>
      </w:pPr>
      <w:r w:rsidRPr="00A3695F">
        <w:rPr>
          <w:rFonts w:ascii="Times New Roman" w:hAnsi="Times New Roman"/>
          <w:noProof/>
          <w:sz w:val="24"/>
          <w:lang w:val="pl-PL"/>
        </w:rPr>
        <w:t>Komisja sprawuje nadzór nad poszanowaniem prawa Unii przez państwa członkowskie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wyk</w:t>
      </w:r>
      <w:r w:rsidRPr="00A3695F">
        <w:rPr>
          <w:rFonts w:ascii="Times New Roman" w:hAnsi="Times New Roman"/>
          <w:noProof/>
          <w:sz w:val="24"/>
          <w:lang w:val="pl-PL"/>
        </w:rPr>
        <w:t>orzystuje różnorodne narzędzia, aby promować</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egz</w:t>
      </w:r>
      <w:r w:rsidRPr="00A3695F">
        <w:rPr>
          <w:rFonts w:ascii="Times New Roman" w:hAnsi="Times New Roman"/>
          <w:noProof/>
          <w:sz w:val="24"/>
          <w:lang w:val="pl-PL"/>
        </w:rPr>
        <w:t>ekwować jego prawidłowe stosowanie,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tym</w:t>
      </w:r>
      <w:r w:rsidRPr="00A3695F">
        <w:rPr>
          <w:rFonts w:ascii="Times New Roman" w:hAnsi="Times New Roman"/>
          <w:noProof/>
          <w:sz w:val="24"/>
          <w:lang w:val="pl-PL"/>
        </w:rPr>
        <w:t xml:space="preserve">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 Skuteczne stosowanie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egz</w:t>
      </w:r>
      <w:r w:rsidRPr="00A3695F">
        <w:rPr>
          <w:rFonts w:ascii="Times New Roman" w:hAnsi="Times New Roman"/>
          <w:noProof/>
          <w:sz w:val="24"/>
          <w:lang w:val="pl-PL"/>
        </w:rPr>
        <w:t>ekwowanie obowiązujących przepisów wymaga jednak, aby inne podmioty również</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nic</w:t>
      </w:r>
      <w:r w:rsidRPr="00A3695F">
        <w:rPr>
          <w:rFonts w:ascii="Times New Roman" w:hAnsi="Times New Roman"/>
          <w:noProof/>
          <w:sz w:val="24"/>
          <w:lang w:val="pl-PL"/>
        </w:rPr>
        <w:t>h uczestniczyły. Egzekwowanie przepisów wymaga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pie</w:t>
      </w:r>
      <w:r w:rsidRPr="00A3695F">
        <w:rPr>
          <w:rFonts w:ascii="Times New Roman" w:hAnsi="Times New Roman"/>
          <w:noProof/>
          <w:sz w:val="24"/>
          <w:lang w:val="pl-PL"/>
        </w:rPr>
        <w:t>rwszej kolejności ścisłej współpracy</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stwami członkowskimi,</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tak</w:t>
      </w:r>
      <w:r w:rsidRPr="00A3695F">
        <w:rPr>
          <w:rFonts w:ascii="Times New Roman" w:hAnsi="Times New Roman"/>
          <w:noProof/>
          <w:sz w:val="24"/>
          <w:lang w:val="pl-PL"/>
        </w:rPr>
        <w:t>że</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wys</w:t>
      </w:r>
      <w:r w:rsidRPr="00A3695F">
        <w:rPr>
          <w:rFonts w:ascii="Times New Roman" w:hAnsi="Times New Roman"/>
          <w:noProof/>
          <w:sz w:val="24"/>
          <w:lang w:val="pl-PL"/>
        </w:rPr>
        <w:t>pecjalizowanymi organami, takimi jak organy ochrony konsumentów lub organy ochrony danych, organy ochrony konkurencji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org</w:t>
      </w:r>
      <w:r w:rsidRPr="00A3695F">
        <w:rPr>
          <w:rFonts w:ascii="Times New Roman" w:hAnsi="Times New Roman"/>
          <w:noProof/>
          <w:sz w:val="24"/>
          <w:lang w:val="pl-PL"/>
        </w:rPr>
        <w:t>any regulacyjne, organizacje pozarządowe, przedsiębiorstwa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ogó</w:t>
      </w:r>
      <w:r w:rsidRPr="00A3695F">
        <w:rPr>
          <w:rFonts w:ascii="Times New Roman" w:hAnsi="Times New Roman"/>
          <w:noProof/>
          <w:sz w:val="24"/>
          <w:lang w:val="pl-PL"/>
        </w:rPr>
        <w:t>ł społeczeństwa. Aby system mógł działać skutecznie, musi polegać na pełnym zaangażowaniu organów krajowych odpowiedzialnych za prawidłowe stosowanie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egz</w:t>
      </w:r>
      <w:r w:rsidRPr="00A3695F">
        <w:rPr>
          <w:rFonts w:ascii="Times New Roman" w:hAnsi="Times New Roman"/>
          <w:noProof/>
          <w:sz w:val="24"/>
          <w:lang w:val="pl-PL"/>
        </w:rPr>
        <w:t>ekwowanie prawa, oraz na udziale ogółu społeczeństwa, społeczeństwa obywatelskiego, przedsiębiorstw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inn</w:t>
      </w:r>
      <w:r w:rsidRPr="00A3695F">
        <w:rPr>
          <w:rFonts w:ascii="Times New Roman" w:hAnsi="Times New Roman"/>
          <w:noProof/>
          <w:sz w:val="24"/>
          <w:lang w:val="pl-PL"/>
        </w:rPr>
        <w:t>ych podmiotów, aby móc zidentyfikować potencjalne naruszenia.</w:t>
      </w:r>
    </w:p>
    <w:p w14:paraId="63E185C5" w14:textId="57C279B5" w:rsidR="00AC7432" w:rsidRPr="00A3695F" w:rsidRDefault="00D54B64" w:rsidP="00D54B64">
      <w:pPr>
        <w:jc w:val="both"/>
        <w:rPr>
          <w:rFonts w:ascii="Times New Roman" w:hAnsi="Times New Roman" w:cs="Times New Roman"/>
          <w:noProof/>
          <w:sz w:val="24"/>
          <w:lang w:val="pl-PL"/>
        </w:rPr>
      </w:pPr>
      <w:r w:rsidRPr="00A3695F">
        <w:rPr>
          <w:rFonts w:ascii="Times New Roman" w:hAnsi="Times New Roman"/>
          <w:noProof/>
          <w:sz w:val="24"/>
          <w:lang w:val="pl-PL"/>
        </w:rPr>
        <w:t xml:space="preserve">Gdy </w:t>
      </w:r>
      <w:r w:rsidRPr="003937FF">
        <w:rPr>
          <w:rFonts w:ascii="Times New Roman" w:hAnsi="Times New Roman"/>
          <w:b/>
          <w:noProof/>
          <w:sz w:val="24"/>
          <w:lang w:val="pl-PL"/>
        </w:rPr>
        <w:t>sądy krajowe</w:t>
      </w:r>
      <w:r w:rsidRPr="00A3695F">
        <w:rPr>
          <w:rFonts w:ascii="Times New Roman" w:hAnsi="Times New Roman"/>
          <w:noProof/>
          <w:sz w:val="24"/>
          <w:lang w:val="pl-PL"/>
        </w:rPr>
        <w:t xml:space="preserve"> stosują prawo Unii, są sądami UE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maj</w:t>
      </w:r>
      <w:r w:rsidRPr="00A3695F">
        <w:rPr>
          <w:rFonts w:ascii="Times New Roman" w:hAnsi="Times New Roman"/>
          <w:noProof/>
          <w:sz w:val="24"/>
          <w:lang w:val="pl-PL"/>
        </w:rPr>
        <w:t>ą do odegrania szczególnie istotną rolę</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sys</w:t>
      </w:r>
      <w:r w:rsidRPr="00A3695F">
        <w:rPr>
          <w:rFonts w:ascii="Times New Roman" w:hAnsi="Times New Roman"/>
          <w:noProof/>
          <w:sz w:val="24"/>
          <w:lang w:val="pl-PL"/>
        </w:rPr>
        <w:t>temie egzekwowania prawa</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ypadku naruszenia praw obywateli Unii lub unijnych przedsiębiorstw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stwach członkowskich należy zapewnić im dostęp do szybkiego</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sku</w:t>
      </w:r>
      <w:r w:rsidRPr="00A3695F">
        <w:rPr>
          <w:rFonts w:ascii="Times New Roman" w:hAnsi="Times New Roman"/>
          <w:noProof/>
          <w:sz w:val="24"/>
          <w:lang w:val="pl-PL"/>
        </w:rPr>
        <w:t>tecznego krajowego środka prawnego zgodnie</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zas</w:t>
      </w:r>
      <w:r w:rsidRPr="00A3695F">
        <w:rPr>
          <w:rFonts w:ascii="Times New Roman" w:hAnsi="Times New Roman"/>
          <w:noProof/>
          <w:sz w:val="24"/>
          <w:lang w:val="pl-PL"/>
        </w:rPr>
        <w:t>adą skutecznej ochrony prawnej</w:t>
      </w:r>
      <w:r w:rsidRPr="00A3695F">
        <w:rPr>
          <w:rStyle w:val="FootnoteReference"/>
          <w:rFonts w:ascii="Times New Roman" w:hAnsi="Times New Roman" w:cs="Times New Roman"/>
          <w:noProof/>
          <w:sz w:val="24"/>
          <w:lang w:val="pl-PL"/>
        </w:rPr>
        <w:footnoteReference w:id="22"/>
      </w:r>
      <w:r w:rsidR="003937FF" w:rsidRPr="00A3695F">
        <w:rPr>
          <w:rFonts w:ascii="Times New Roman" w:hAnsi="Times New Roman"/>
          <w:noProof/>
          <w:sz w:val="24"/>
          <w:lang w:val="pl-PL"/>
        </w:rPr>
        <w:t>. Z</w:t>
      </w:r>
      <w:r w:rsidR="003937FF">
        <w:rPr>
          <w:rFonts w:ascii="Times New Roman" w:hAnsi="Times New Roman"/>
          <w:noProof/>
          <w:sz w:val="24"/>
          <w:lang w:val="pl-PL"/>
        </w:rPr>
        <w:t> </w:t>
      </w:r>
      <w:r w:rsidR="003937FF" w:rsidRPr="00A3695F">
        <w:rPr>
          <w:rFonts w:ascii="Times New Roman" w:hAnsi="Times New Roman"/>
          <w:noProof/>
          <w:sz w:val="24"/>
          <w:lang w:val="pl-PL"/>
        </w:rPr>
        <w:t>teg</w:t>
      </w:r>
      <w:r w:rsidRPr="00A3695F">
        <w:rPr>
          <w:rFonts w:ascii="Times New Roman" w:hAnsi="Times New Roman"/>
          <w:noProof/>
          <w:sz w:val="24"/>
          <w:lang w:val="pl-PL"/>
        </w:rPr>
        <w:t>o względu muszą one być niezależne, bezstronne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ust</w:t>
      </w:r>
      <w:r w:rsidRPr="00A3695F">
        <w:rPr>
          <w:rFonts w:ascii="Times New Roman" w:hAnsi="Times New Roman"/>
          <w:noProof/>
          <w:sz w:val="24"/>
          <w:lang w:val="pl-PL"/>
        </w:rPr>
        <w:t>anowione na mocy prawa.</w:t>
      </w:r>
    </w:p>
    <w:p w14:paraId="5DD5B4AD" w14:textId="7D87E861" w:rsidR="00B824F4" w:rsidRPr="00A3695F" w:rsidRDefault="008965BE" w:rsidP="004D38A9">
      <w:pPr>
        <w:jc w:val="both"/>
        <w:rPr>
          <w:rFonts w:ascii="Times New Roman" w:hAnsi="Times New Roman" w:cs="Times New Roman"/>
          <w:noProof/>
          <w:sz w:val="24"/>
          <w:lang w:val="pl-PL"/>
        </w:rPr>
      </w:pPr>
      <w:r w:rsidRPr="00A3695F">
        <w:rPr>
          <w:rFonts w:ascii="Times New Roman" w:hAnsi="Times New Roman"/>
          <w:noProof/>
          <w:sz w:val="24"/>
          <w:lang w:val="pl-PL"/>
        </w:rPr>
        <w:t>Jednocześnie sądy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stwach członkowskich mają prawo do kierowania pytań do Trybunału Sprawiedliwości,</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w</w:t>
      </w:r>
      <w:r w:rsidR="003937FF">
        <w:rPr>
          <w:rFonts w:ascii="Times New Roman" w:hAnsi="Times New Roman"/>
          <w:noProof/>
          <w:sz w:val="24"/>
          <w:lang w:val="pl-PL"/>
        </w:rPr>
        <w:t> </w:t>
      </w:r>
      <w:r w:rsidR="003937FF" w:rsidRPr="00A3695F">
        <w:rPr>
          <w:rFonts w:ascii="Times New Roman" w:hAnsi="Times New Roman"/>
          <w:noProof/>
          <w:sz w:val="24"/>
          <w:lang w:val="pl-PL"/>
        </w:rPr>
        <w:t>nie</w:t>
      </w:r>
      <w:r w:rsidRPr="00A3695F">
        <w:rPr>
          <w:rFonts w:ascii="Times New Roman" w:hAnsi="Times New Roman"/>
          <w:noProof/>
          <w:sz w:val="24"/>
          <w:lang w:val="pl-PL"/>
        </w:rPr>
        <w:t>których przypadkach nawet taki obowiązek, jeżeli nie mają pewności co do wykładni lub sposobu stosowania prawa Unii. Dialog ten, odbywający się za pośrednictwem odesłań prejudycjalnych do Trybunału Sprawiedliwości, ma zasadnicze znaczenie dla jednolitego stosowania prawa Unii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opa</w:t>
      </w:r>
      <w:r w:rsidRPr="00A3695F">
        <w:rPr>
          <w:rFonts w:ascii="Times New Roman" w:hAnsi="Times New Roman"/>
          <w:noProof/>
          <w:sz w:val="24"/>
          <w:lang w:val="pl-PL"/>
        </w:rPr>
        <w:t>rciu</w:t>
      </w:r>
      <w:r w:rsidR="003937FF" w:rsidRPr="00A3695F">
        <w:rPr>
          <w:rFonts w:ascii="Times New Roman" w:hAnsi="Times New Roman"/>
          <w:noProof/>
          <w:sz w:val="24"/>
          <w:lang w:val="pl-PL"/>
        </w:rPr>
        <w:t xml:space="preserve"> o</w:t>
      </w:r>
      <w:r w:rsidR="003937FF">
        <w:rPr>
          <w:rFonts w:ascii="Times New Roman" w:hAnsi="Times New Roman"/>
          <w:noProof/>
          <w:sz w:val="24"/>
          <w:lang w:val="pl-PL"/>
        </w:rPr>
        <w:t> </w:t>
      </w:r>
      <w:r w:rsidR="003937FF" w:rsidRPr="00A3695F">
        <w:rPr>
          <w:rFonts w:ascii="Times New Roman" w:hAnsi="Times New Roman"/>
          <w:noProof/>
          <w:sz w:val="24"/>
          <w:lang w:val="pl-PL"/>
        </w:rPr>
        <w:t>zas</w:t>
      </w:r>
      <w:r w:rsidRPr="00A3695F">
        <w:rPr>
          <w:rFonts w:ascii="Times New Roman" w:hAnsi="Times New Roman"/>
          <w:noProof/>
          <w:sz w:val="24"/>
          <w:lang w:val="pl-PL"/>
        </w:rPr>
        <w:t>adę pierwszeństwa prawa Unii oraz dla przestrzegania praw obywateli</w:t>
      </w:r>
      <w:r w:rsidRPr="00A3695F">
        <w:rPr>
          <w:rStyle w:val="FootnoteReference"/>
          <w:rFonts w:ascii="Times New Roman" w:hAnsi="Times New Roman" w:cs="Times New Roman"/>
          <w:noProof/>
          <w:sz w:val="24"/>
          <w:lang w:val="pl-PL"/>
        </w:rPr>
        <w:footnoteReference w:id="23"/>
      </w:r>
      <w:r w:rsidRPr="00A3695F">
        <w:rPr>
          <w:rFonts w:ascii="Times New Roman" w:hAnsi="Times New Roman"/>
          <w:noProof/>
          <w:sz w:val="24"/>
          <w:lang w:val="pl-PL"/>
        </w:rPr>
        <w:t>. Komisja systematycznie korzysta ze swojego prawa do przedstawiania uwag we wszystkich postępowaniach dotyczących pytań prejudycjalnych toczących się przed Trybunałem Sprawiedliwości</w:t>
      </w:r>
      <w:r w:rsidRPr="00A3695F">
        <w:rPr>
          <w:rStyle w:val="FootnoteReference"/>
          <w:rFonts w:ascii="Times New Roman" w:hAnsi="Times New Roman" w:cs="Times New Roman"/>
          <w:noProof/>
          <w:sz w:val="24"/>
          <w:lang w:val="pl-PL"/>
        </w:rPr>
        <w:footnoteReference w:id="24"/>
      </w:r>
      <w:r w:rsidRPr="00A3695F">
        <w:rPr>
          <w:rFonts w:ascii="Times New Roman" w:hAnsi="Times New Roman"/>
          <w:noProof/>
          <w:sz w:val="24"/>
          <w:lang w:val="pl-PL"/>
        </w:rPr>
        <w:t>. Jeżeli Trybunał stwierdzi naruszenie prawa Unii, sąd odsyłający ma obowiązek zaradzenia temu naruszeniu</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kon</w:t>
      </w:r>
      <w:r w:rsidRPr="00A3695F">
        <w:rPr>
          <w:rFonts w:ascii="Times New Roman" w:hAnsi="Times New Roman"/>
          <w:noProof/>
          <w:sz w:val="24"/>
          <w:lang w:val="pl-PL"/>
        </w:rPr>
        <w:t xml:space="preserve">kretnej toczącej się przed nim sprawie. </w:t>
      </w:r>
    </w:p>
    <w:p w14:paraId="6A813014" w14:textId="63CA152D" w:rsidR="004D38A9" w:rsidRPr="00A3695F" w:rsidRDefault="000E62D4" w:rsidP="004D38A9">
      <w:pPr>
        <w:jc w:val="both"/>
        <w:rPr>
          <w:rFonts w:ascii="Times New Roman" w:hAnsi="Times New Roman" w:cs="Times New Roman"/>
          <w:noProof/>
          <w:sz w:val="24"/>
          <w:lang w:val="pl-PL"/>
        </w:rPr>
      </w:pPr>
      <w:r w:rsidRPr="00A3695F">
        <w:rPr>
          <w:rFonts w:ascii="Times New Roman" w:hAnsi="Times New Roman"/>
          <w:noProof/>
          <w:sz w:val="24"/>
          <w:lang w:val="pl-PL"/>
        </w:rPr>
        <w:t>Ponadto Komisja nie tylko monitoruje, czy dane państwo członkowskie zastosowało się do orzeczenia, lecz zapewnia również, aby wszystkie pozostałe państwa członkowskie tak samo zastosowały normę ustaloną przez Trybunał Sprawiedliwości. Wzrost</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cza</w:t>
      </w:r>
      <w:r w:rsidRPr="00A3695F">
        <w:rPr>
          <w:rFonts w:ascii="Times New Roman" w:hAnsi="Times New Roman"/>
          <w:noProof/>
          <w:sz w:val="24"/>
          <w:lang w:val="pl-PL"/>
        </w:rPr>
        <w:t>sem liczby orzeczeń</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try</w:t>
      </w:r>
      <w:r w:rsidRPr="00A3695F">
        <w:rPr>
          <w:rFonts w:ascii="Times New Roman" w:hAnsi="Times New Roman"/>
          <w:noProof/>
          <w:sz w:val="24"/>
          <w:lang w:val="pl-PL"/>
        </w:rPr>
        <w:t>bie prejudycjalnym</w:t>
      </w:r>
      <w:r w:rsidRPr="00A3695F">
        <w:rPr>
          <w:rStyle w:val="FootnoteReference"/>
          <w:rFonts w:ascii="Times New Roman" w:hAnsi="Times New Roman" w:cs="Times New Roman"/>
          <w:noProof/>
          <w:sz w:val="24"/>
          <w:lang w:val="pl-PL"/>
        </w:rPr>
        <w:footnoteReference w:id="25"/>
      </w:r>
      <w:r w:rsidRPr="00A3695F">
        <w:rPr>
          <w:rFonts w:ascii="Times New Roman" w:hAnsi="Times New Roman"/>
          <w:noProof/>
          <w:sz w:val="24"/>
          <w:lang w:val="pl-PL"/>
        </w:rPr>
        <w:t xml:space="preserve"> oraz interwencje Komisji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tyc</w:t>
      </w:r>
      <w:r w:rsidRPr="00A3695F">
        <w:rPr>
          <w:rFonts w:ascii="Times New Roman" w:hAnsi="Times New Roman"/>
          <w:noProof/>
          <w:sz w:val="24"/>
          <w:lang w:val="pl-PL"/>
        </w:rPr>
        <w:t>h sprawach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zna</w:t>
      </w:r>
      <w:r w:rsidRPr="00A3695F">
        <w:rPr>
          <w:rFonts w:ascii="Times New Roman" w:hAnsi="Times New Roman"/>
          <w:noProof/>
          <w:sz w:val="24"/>
          <w:lang w:val="pl-PL"/>
        </w:rPr>
        <w:t>cznym stopniu przyczyniły się zatem do lepszego egzekwowania prawa Unii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stwach członkowskich. Ponadto Komisja wszczęła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zwi</w:t>
      </w:r>
      <w:r w:rsidRPr="00A3695F">
        <w:rPr>
          <w:rFonts w:ascii="Times New Roman" w:hAnsi="Times New Roman"/>
          <w:noProof/>
          <w:sz w:val="24"/>
          <w:lang w:val="pl-PL"/>
        </w:rPr>
        <w:t>ązku</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nar</w:t>
      </w:r>
      <w:r w:rsidRPr="00A3695F">
        <w:rPr>
          <w:rFonts w:ascii="Times New Roman" w:hAnsi="Times New Roman"/>
          <w:noProof/>
          <w:sz w:val="24"/>
          <w:lang w:val="pl-PL"/>
        </w:rPr>
        <w:t>uszaniem zasad autonomii, pierwszeństwa, skuteczności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jed</w:t>
      </w:r>
      <w:r w:rsidRPr="00A3695F">
        <w:rPr>
          <w:rFonts w:ascii="Times New Roman" w:hAnsi="Times New Roman"/>
          <w:noProof/>
          <w:sz w:val="24"/>
          <w:lang w:val="pl-PL"/>
        </w:rPr>
        <w:t>nolitego stosowania prawa Unii,</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tak</w:t>
      </w:r>
      <w:r w:rsidRPr="00A3695F">
        <w:rPr>
          <w:rFonts w:ascii="Times New Roman" w:hAnsi="Times New Roman"/>
          <w:noProof/>
          <w:sz w:val="24"/>
          <w:lang w:val="pl-PL"/>
        </w:rPr>
        <w:t xml:space="preserve">że poszanowania autorytetu Trybunału Sprawiedliwości. </w:t>
      </w:r>
    </w:p>
    <w:p w14:paraId="791E6A4B" w14:textId="38ADAB4F" w:rsidR="00E757A5" w:rsidRPr="00A3695F" w:rsidRDefault="004D38A9" w:rsidP="00CA0233">
      <w:pPr>
        <w:spacing w:after="360"/>
        <w:jc w:val="both"/>
        <w:rPr>
          <w:rFonts w:ascii="Times New Roman" w:hAnsi="Times New Roman" w:cs="Times New Roman"/>
          <w:noProof/>
          <w:sz w:val="24"/>
          <w:lang w:val="pl-PL"/>
        </w:rPr>
      </w:pPr>
      <w:r w:rsidRPr="00A3695F">
        <w:rPr>
          <w:rFonts w:ascii="Times New Roman" w:hAnsi="Times New Roman"/>
          <w:noProof/>
          <w:sz w:val="24"/>
          <w:lang w:val="pl-PL"/>
        </w:rPr>
        <w:t>Komisja realizuje europejską strategię szkolenia kadr wymiaru sprawiedliwości</w:t>
      </w:r>
      <w:r w:rsidRPr="00A3695F">
        <w:rPr>
          <w:rStyle w:val="FootnoteReference"/>
          <w:rFonts w:ascii="Times New Roman" w:hAnsi="Times New Roman" w:cs="Times New Roman"/>
          <w:noProof/>
          <w:sz w:val="24"/>
          <w:lang w:val="pl-PL"/>
        </w:rPr>
        <w:footnoteReference w:id="26"/>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 xml:space="preserve">u zapewnienia, aby </w:t>
      </w:r>
      <w:r w:rsidRPr="003937FF">
        <w:rPr>
          <w:rFonts w:ascii="Times New Roman" w:hAnsi="Times New Roman"/>
          <w:b/>
          <w:noProof/>
          <w:sz w:val="24"/>
          <w:lang w:val="pl-PL"/>
        </w:rPr>
        <w:t>pracownicy wymiaru sprawiedliwości</w:t>
      </w:r>
      <w:r w:rsidRPr="00A3695F">
        <w:rPr>
          <w:rFonts w:ascii="Times New Roman" w:hAnsi="Times New Roman"/>
          <w:noProof/>
          <w:sz w:val="24"/>
          <w:lang w:val="pl-PL"/>
        </w:rPr>
        <w:t xml:space="preserve"> tacy jak sędziowie, prokuratorzy, adwokaci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edstawiciele innych zawodów zaangażowanych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adm</w:t>
      </w:r>
      <w:r w:rsidRPr="00A3695F">
        <w:rPr>
          <w:rFonts w:ascii="Times New Roman" w:hAnsi="Times New Roman"/>
          <w:noProof/>
          <w:sz w:val="24"/>
          <w:lang w:val="pl-PL"/>
        </w:rPr>
        <w:t>inistrację wymiaru sprawiedliwości, znali prawo Unii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uni</w:t>
      </w:r>
      <w:r w:rsidRPr="00A3695F">
        <w:rPr>
          <w:rFonts w:ascii="Times New Roman" w:hAnsi="Times New Roman"/>
          <w:noProof/>
          <w:sz w:val="24"/>
          <w:lang w:val="pl-PL"/>
        </w:rPr>
        <w:t>jne instrumenty współpracy sądowej oraz posiadali właściwe umiejętności, aby przestrzegać praworządności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sto</w:t>
      </w:r>
      <w:r w:rsidRPr="00A3695F">
        <w:rPr>
          <w:rFonts w:ascii="Times New Roman" w:hAnsi="Times New Roman"/>
          <w:noProof/>
          <w:sz w:val="24"/>
          <w:lang w:val="pl-PL"/>
        </w:rPr>
        <w:t>sować prawo Unii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swo</w:t>
      </w:r>
      <w:r w:rsidRPr="00A3695F">
        <w:rPr>
          <w:rFonts w:ascii="Times New Roman" w:hAnsi="Times New Roman"/>
          <w:noProof/>
          <w:sz w:val="24"/>
          <w:lang w:val="pl-PL"/>
        </w:rPr>
        <w:t>ich krajach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spo</w:t>
      </w:r>
      <w:r w:rsidRPr="00A3695F">
        <w:rPr>
          <w:rFonts w:ascii="Times New Roman" w:hAnsi="Times New Roman"/>
          <w:noProof/>
          <w:sz w:val="24"/>
          <w:lang w:val="pl-PL"/>
        </w:rPr>
        <w:t>sób prawidłowy</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spó</w:t>
      </w:r>
      <w:r w:rsidRPr="00A3695F">
        <w:rPr>
          <w:rFonts w:ascii="Times New Roman" w:hAnsi="Times New Roman"/>
          <w:noProof/>
          <w:sz w:val="24"/>
          <w:lang w:val="pl-PL"/>
        </w:rPr>
        <w:t>jny.</w:t>
      </w:r>
    </w:p>
    <w:tbl>
      <w:tblPr>
        <w:tblStyle w:val="law"/>
        <w:tblW w:w="0" w:type="auto"/>
        <w:shd w:val="clear" w:color="auto" w:fill="EDF2F9"/>
        <w:tblLook w:val="04A0" w:firstRow="1" w:lastRow="0" w:firstColumn="1" w:lastColumn="0" w:noHBand="0" w:noVBand="1"/>
      </w:tblPr>
      <w:tblGrid>
        <w:gridCol w:w="9288"/>
      </w:tblGrid>
      <w:tr w:rsidR="00D54B64" w:rsidRPr="00A3695F" w14:paraId="13B18EC3" w14:textId="77777777" w:rsidTr="001F57F0">
        <w:tc>
          <w:tcPr>
            <w:tcW w:w="9288" w:type="dxa"/>
            <w:shd w:val="clear" w:color="auto" w:fill="EDF2F9"/>
          </w:tcPr>
          <w:p w14:paraId="1EE0C931" w14:textId="5BBB75F1" w:rsidR="00D54B64" w:rsidRPr="003937FF" w:rsidRDefault="00D54B64" w:rsidP="006E12BE">
            <w:pPr>
              <w:pStyle w:val="Style2"/>
              <w:jc w:val="left"/>
              <w:rPr>
                <w:noProof/>
                <w:lang w:val="pl-PL"/>
              </w:rPr>
            </w:pPr>
            <w:r w:rsidRPr="003937FF">
              <w:rPr>
                <w:noProof/>
                <w:lang w:val="pl-PL"/>
              </w:rPr>
              <w:t>Postępy we wdrażaniu przepisów podatkowych UE poprzez interwencje</w:t>
            </w:r>
            <w:r w:rsidR="003937FF" w:rsidRPr="003937FF">
              <w:rPr>
                <w:noProof/>
                <w:lang w:val="pl-PL"/>
              </w:rPr>
              <w:t xml:space="preserve"> w</w:t>
            </w:r>
            <w:r w:rsidR="003937FF">
              <w:rPr>
                <w:rFonts w:ascii="Calibri" w:hAnsi="Calibri" w:cs="Calibri"/>
                <w:noProof/>
                <w:lang w:val="pl-PL"/>
              </w:rPr>
              <w:t> </w:t>
            </w:r>
            <w:r w:rsidR="003937FF" w:rsidRPr="003937FF">
              <w:rPr>
                <w:noProof/>
                <w:lang w:val="pl-PL"/>
              </w:rPr>
              <w:t>pos</w:t>
            </w:r>
            <w:r w:rsidRPr="003937FF">
              <w:rPr>
                <w:noProof/>
                <w:lang w:val="pl-PL"/>
              </w:rPr>
              <w:t>taci orzeczeń</w:t>
            </w:r>
            <w:r w:rsidR="003937FF" w:rsidRPr="003937FF">
              <w:rPr>
                <w:noProof/>
                <w:lang w:val="pl-PL"/>
              </w:rPr>
              <w:t xml:space="preserve"> w</w:t>
            </w:r>
            <w:r w:rsidR="003937FF">
              <w:rPr>
                <w:rFonts w:ascii="Calibri" w:hAnsi="Calibri" w:cs="Calibri"/>
                <w:noProof/>
                <w:lang w:val="pl-PL"/>
              </w:rPr>
              <w:t> </w:t>
            </w:r>
            <w:r w:rsidR="003937FF" w:rsidRPr="003937FF">
              <w:rPr>
                <w:noProof/>
                <w:lang w:val="pl-PL"/>
              </w:rPr>
              <w:t>try</w:t>
            </w:r>
            <w:r w:rsidRPr="003937FF">
              <w:rPr>
                <w:noProof/>
                <w:lang w:val="pl-PL"/>
              </w:rPr>
              <w:t>bie prejudycjalnym</w:t>
            </w:r>
          </w:p>
          <w:p w14:paraId="30931FB7" w14:textId="76A557F7" w:rsidR="00D54B64" w:rsidRPr="00A3695F" w:rsidRDefault="00D54B64" w:rsidP="00C65CE5">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W obszarze opodatkowania orzeczenia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try</w:t>
            </w:r>
            <w:r w:rsidRPr="00A3695F">
              <w:rPr>
                <w:rFonts w:ascii="Times New Roman" w:hAnsi="Times New Roman"/>
                <w:noProof/>
                <w:sz w:val="24"/>
                <w:lang w:val="pl-PL"/>
              </w:rPr>
              <w:t>bie prejudycjalnym to dla Komisji istotne narzędzie zapewniania prawidłowego stosowania prawa Unii.</w:t>
            </w:r>
          </w:p>
          <w:p w14:paraId="17346AD4" w14:textId="02AF6F6B" w:rsidR="00D54B64" w:rsidRPr="00A3695F" w:rsidRDefault="00D54B64" w:rsidP="00C65CE5">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 xml:space="preserve">W przypadku </w:t>
            </w:r>
            <w:r w:rsidRPr="003937FF">
              <w:rPr>
                <w:rFonts w:ascii="Times New Roman" w:hAnsi="Times New Roman"/>
                <w:b/>
                <w:noProof/>
                <w:sz w:val="24"/>
                <w:lang w:val="pl-PL"/>
              </w:rPr>
              <w:t>podatków bezpośrednich</w:t>
            </w:r>
            <w:r w:rsidRPr="00A3695F">
              <w:rPr>
                <w:rFonts w:ascii="Times New Roman" w:hAnsi="Times New Roman"/>
                <w:noProof/>
                <w:sz w:val="24"/>
                <w:lang w:val="pl-PL"/>
              </w:rPr>
              <w:t xml:space="preserve"> orzeczenia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try</w:t>
            </w:r>
            <w:r w:rsidRPr="00A3695F">
              <w:rPr>
                <w:rFonts w:ascii="Times New Roman" w:hAnsi="Times New Roman"/>
                <w:noProof/>
                <w:sz w:val="24"/>
                <w:lang w:val="pl-PL"/>
              </w:rPr>
              <w:t>bie prejudycjalnym dotyczą konkretnych transgranicznych przeszkód</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swo</w:t>
            </w:r>
            <w:r w:rsidRPr="00A3695F">
              <w:rPr>
                <w:rFonts w:ascii="Times New Roman" w:hAnsi="Times New Roman"/>
                <w:noProof/>
                <w:sz w:val="24"/>
                <w:lang w:val="pl-PL"/>
              </w:rPr>
              <w:t>bodzie przemieszczania się wynikających</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kra</w:t>
            </w:r>
            <w:r w:rsidRPr="00A3695F">
              <w:rPr>
                <w:rFonts w:ascii="Times New Roman" w:hAnsi="Times New Roman"/>
                <w:noProof/>
                <w:sz w:val="24"/>
                <w:lang w:val="pl-PL"/>
              </w:rPr>
              <w:t>jowych systemów podatkowych. Na przykład Trybunał Sprawiedliwości orzekł</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try</w:t>
            </w:r>
            <w:r w:rsidRPr="00A3695F">
              <w:rPr>
                <w:rFonts w:ascii="Times New Roman" w:hAnsi="Times New Roman"/>
                <w:noProof/>
                <w:sz w:val="24"/>
                <w:lang w:val="pl-PL"/>
              </w:rPr>
              <w:t>bie prejudycjalnym, że obywatele wpłacający datki na organizacje charytatywne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inn</w:t>
            </w:r>
            <w:r w:rsidRPr="00A3695F">
              <w:rPr>
                <w:rFonts w:ascii="Times New Roman" w:hAnsi="Times New Roman"/>
                <w:noProof/>
                <w:sz w:val="24"/>
                <w:lang w:val="pl-PL"/>
              </w:rPr>
              <w:t>ym państwie członkowskim powinni korzystać</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tak</w:t>
            </w:r>
            <w:r w:rsidRPr="00A3695F">
              <w:rPr>
                <w:rFonts w:ascii="Times New Roman" w:hAnsi="Times New Roman"/>
                <w:noProof/>
                <w:sz w:val="24"/>
                <w:lang w:val="pl-PL"/>
              </w:rPr>
              <w:t>ich samych ulg podatkowych, jak gdyby wpłacali pieniądze na porównywalną organizację charytatywną we własnym państwie członkowskim</w:t>
            </w:r>
            <w:r w:rsidRPr="00A3695F">
              <w:rPr>
                <w:rStyle w:val="FootnoteReference"/>
                <w:rFonts w:ascii="Times New Roman" w:hAnsi="Times New Roman" w:cs="Times New Roman"/>
                <w:noProof/>
                <w:sz w:val="24"/>
                <w:lang w:val="pl-PL"/>
              </w:rPr>
              <w:footnoteReference w:id="27"/>
            </w:r>
            <w:r w:rsidRPr="00A3695F">
              <w:rPr>
                <w:rFonts w:ascii="Times New Roman" w:hAnsi="Times New Roman"/>
                <w:noProof/>
                <w:sz w:val="24"/>
                <w:lang w:val="pl-PL"/>
              </w:rPr>
              <w:t>.</w:t>
            </w:r>
          </w:p>
          <w:p w14:paraId="50F2F519" w14:textId="5289DD37" w:rsidR="00D54B64" w:rsidRPr="00A3695F" w:rsidRDefault="00D54B64" w:rsidP="00572B2C">
            <w:pPr>
              <w:spacing w:after="120" w:line="276" w:lineRule="auto"/>
              <w:jc w:val="both"/>
              <w:rPr>
                <w:rFonts w:ascii="Times New Roman" w:hAnsi="Times New Roman" w:cs="Times New Roman"/>
                <w:noProof/>
                <w:lang w:val="pl-PL"/>
              </w:rPr>
            </w:pPr>
            <w:r w:rsidRPr="00A3695F">
              <w:rPr>
                <w:rFonts w:ascii="Times New Roman" w:hAnsi="Times New Roman"/>
                <w:noProof/>
                <w:sz w:val="24"/>
                <w:lang w:val="pl-PL"/>
              </w:rPr>
              <w:t xml:space="preserve">W przypadku </w:t>
            </w:r>
            <w:r w:rsidRPr="003937FF">
              <w:rPr>
                <w:rFonts w:ascii="Times New Roman" w:hAnsi="Times New Roman"/>
                <w:b/>
                <w:noProof/>
                <w:sz w:val="24"/>
                <w:lang w:val="pl-PL"/>
              </w:rPr>
              <w:t>podatku pośredniego</w:t>
            </w:r>
            <w:r w:rsidRPr="00A3695F">
              <w:rPr>
                <w:rFonts w:ascii="Times New Roman" w:hAnsi="Times New Roman"/>
                <w:noProof/>
                <w:sz w:val="24"/>
                <w:lang w:val="pl-PL"/>
              </w:rPr>
              <w:t xml:space="preserve"> orzeczenia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try</w:t>
            </w:r>
            <w:r w:rsidRPr="00A3695F">
              <w:rPr>
                <w:rFonts w:ascii="Times New Roman" w:hAnsi="Times New Roman"/>
                <w:noProof/>
                <w:sz w:val="24"/>
                <w:lang w:val="pl-PL"/>
              </w:rPr>
              <w:t>bie prejudycjalnym, po których nastąpił dialog między Komisją</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stwami członkowskimi, sprawiły, że państwa członkowskie zmieniły swoje ustawodawstwo. Stało się tak</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ypadku jednego państwa członkowskiego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dotyczącej użytkowania pojazdów</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zag</w:t>
            </w:r>
            <w:r w:rsidRPr="00A3695F">
              <w:rPr>
                <w:rFonts w:ascii="Times New Roman" w:hAnsi="Times New Roman"/>
                <w:noProof/>
                <w:sz w:val="24"/>
                <w:lang w:val="pl-PL"/>
              </w:rPr>
              <w:t>ranicznymi tablicami rejestracyjnymi</w:t>
            </w:r>
            <w:r w:rsidRPr="00A3695F">
              <w:rPr>
                <w:rStyle w:val="FootnoteReference"/>
                <w:rFonts w:ascii="Times New Roman" w:hAnsi="Times New Roman" w:cs="Times New Roman"/>
                <w:noProof/>
                <w:sz w:val="24"/>
                <w:lang w:val="pl-PL"/>
              </w:rPr>
              <w:footnoteReference w:id="28"/>
            </w:r>
            <w:r w:rsidRPr="00A3695F">
              <w:rPr>
                <w:rFonts w:ascii="Times New Roman" w:hAnsi="Times New Roman"/>
                <w:noProof/>
                <w:sz w:val="24"/>
                <w:lang w:val="pl-PL"/>
              </w:rPr>
              <w:t xml:space="preserve"> oraz</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 xml:space="preserve">ypadku </w:t>
            </w:r>
            <w:r w:rsidRPr="00A3695F">
              <w:rPr>
                <w:rStyle w:val="Hyperlink"/>
                <w:rFonts w:ascii="Times New Roman" w:hAnsi="Times New Roman"/>
                <w:noProof/>
                <w:sz w:val="24"/>
                <w:u w:val="none"/>
                <w:lang w:val="pl-PL"/>
              </w:rPr>
              <w:t>innego państwa członkowskiego</w:t>
            </w:r>
            <w:r w:rsidR="003937FF" w:rsidRPr="00A3695F">
              <w:rPr>
                <w:rStyle w:val="Hyperlink"/>
                <w:rFonts w:ascii="Times New Roman" w:hAnsi="Times New Roman"/>
                <w:noProof/>
                <w:sz w:val="24"/>
                <w:u w:val="none"/>
                <w:lang w:val="pl-PL"/>
              </w:rPr>
              <w:t xml:space="preserve"> </w:t>
            </w:r>
            <w:r w:rsidR="003937FF" w:rsidRPr="00A3695F">
              <w:rPr>
                <w:rFonts w:ascii="Times New Roman" w:hAnsi="Times New Roman"/>
                <w:noProof/>
                <w:sz w:val="24"/>
                <w:lang w:val="pl-PL"/>
              </w:rPr>
              <w:t>w</w:t>
            </w:r>
            <w:r w:rsidR="003937FF">
              <w:rPr>
                <w:rStyle w:val="Hyperlink"/>
                <w:rFonts w:ascii="Times New Roman" w:hAnsi="Times New Roman"/>
                <w:noProof/>
                <w:sz w:val="24"/>
                <w:u w:val="none"/>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dotyczącej restrykcyjnych warunków odnoszących się do podatku VAT</w:t>
            </w:r>
            <w:r w:rsidRPr="00A3695F">
              <w:rPr>
                <w:rStyle w:val="FootnoteReference"/>
                <w:rFonts w:ascii="Times New Roman" w:hAnsi="Times New Roman" w:cs="Times New Roman"/>
                <w:noProof/>
                <w:sz w:val="24"/>
                <w:lang w:val="pl-PL"/>
              </w:rPr>
              <w:footnoteReference w:id="29"/>
            </w:r>
            <w:r w:rsidRPr="00A3695F">
              <w:rPr>
                <w:rFonts w:ascii="Times New Roman" w:hAnsi="Times New Roman"/>
                <w:noProof/>
                <w:sz w:val="24"/>
                <w:lang w:val="pl-PL"/>
              </w:rPr>
              <w:t>.</w:t>
            </w:r>
            <w:r w:rsidRPr="00A3695F">
              <w:rPr>
                <w:rFonts w:ascii="Times New Roman" w:hAnsi="Times New Roman"/>
                <w:noProof/>
                <w:lang w:val="pl-PL"/>
              </w:rPr>
              <w:t xml:space="preserve"> </w:t>
            </w:r>
          </w:p>
        </w:tc>
      </w:tr>
    </w:tbl>
    <w:p w14:paraId="1DBE77AE" w14:textId="77777777" w:rsidR="00FE0204" w:rsidRPr="00A3695F" w:rsidRDefault="00FE0204" w:rsidP="00FE0204">
      <w:pPr>
        <w:spacing w:after="0"/>
        <w:jc w:val="both"/>
        <w:rPr>
          <w:rFonts w:ascii="Times New Roman" w:hAnsi="Times New Roman" w:cs="Times New Roman"/>
          <w:noProof/>
          <w:lang w:val="pl-PL"/>
        </w:rPr>
      </w:pPr>
    </w:p>
    <w:p w14:paraId="2F020177" w14:textId="364D3938" w:rsidR="00F50806" w:rsidRPr="00A3695F" w:rsidRDefault="00F50806" w:rsidP="00FE0204">
      <w:pPr>
        <w:jc w:val="both"/>
        <w:rPr>
          <w:rFonts w:ascii="Times New Roman" w:hAnsi="Times New Roman" w:cs="Times New Roman"/>
          <w:noProof/>
          <w:sz w:val="24"/>
          <w:lang w:val="pl-PL"/>
        </w:rPr>
      </w:pPr>
      <w:r w:rsidRPr="003937FF">
        <w:rPr>
          <w:rFonts w:ascii="Times New Roman" w:hAnsi="Times New Roman"/>
          <w:b/>
          <w:noProof/>
          <w:sz w:val="24"/>
          <w:lang w:val="pl-PL"/>
        </w:rPr>
        <w:t>Parlamenty narodowe</w:t>
      </w:r>
      <w:r w:rsidRPr="00A3695F">
        <w:rPr>
          <w:rFonts w:ascii="Times New Roman" w:hAnsi="Times New Roman"/>
          <w:noProof/>
          <w:sz w:val="24"/>
          <w:lang w:val="pl-PL"/>
        </w:rPr>
        <w:t xml:space="preserve"> mają również istotną rolę do odegrania polegającą na współpracy</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rzą</w:t>
      </w:r>
      <w:r w:rsidRPr="00A3695F">
        <w:rPr>
          <w:rFonts w:ascii="Times New Roman" w:hAnsi="Times New Roman"/>
          <w:noProof/>
          <w:sz w:val="24"/>
          <w:lang w:val="pl-PL"/>
        </w:rPr>
        <w:t>dami krajowymi nad przyjmowaniem przepisów służących transpozycji dyrektyw UE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wdr</w:t>
      </w:r>
      <w:r w:rsidRPr="00A3695F">
        <w:rPr>
          <w:rFonts w:ascii="Times New Roman" w:hAnsi="Times New Roman"/>
          <w:noProof/>
          <w:sz w:val="24"/>
          <w:lang w:val="pl-PL"/>
        </w:rPr>
        <w:t>ażaniu niektórych rozporządzeń poprzez przepisy krajowe. Komisja przyjęła restrykcyjny kurs</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kwe</w:t>
      </w:r>
      <w:r w:rsidRPr="00A3695F">
        <w:rPr>
          <w:rFonts w:ascii="Times New Roman" w:hAnsi="Times New Roman"/>
          <w:noProof/>
          <w:sz w:val="24"/>
          <w:lang w:val="pl-PL"/>
        </w:rPr>
        <w:t>stii braku transpozycji dyrektyw, wykorzystując pełen potencjał instrumentu ustanowionego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3937FF">
        <w:rPr>
          <w:rFonts w:ascii="Times New Roman" w:hAnsi="Times New Roman"/>
          <w:noProof/>
          <w:sz w:val="24"/>
          <w:lang w:val="pl-PL"/>
        </w:rPr>
        <w:t>art</w:t>
      </w:r>
      <w:r w:rsidRPr="003937FF">
        <w:rPr>
          <w:rFonts w:ascii="Times New Roman" w:hAnsi="Times New Roman"/>
          <w:noProof/>
          <w:sz w:val="24"/>
          <w:lang w:val="pl-PL"/>
        </w:rPr>
        <w:t>.</w:t>
      </w:r>
      <w:r w:rsidR="003937FF" w:rsidRPr="003937FF">
        <w:rPr>
          <w:rFonts w:ascii="Times New Roman" w:hAnsi="Times New Roman"/>
          <w:noProof/>
          <w:sz w:val="24"/>
          <w:lang w:val="pl-PL"/>
        </w:rPr>
        <w:t> </w:t>
      </w:r>
      <w:r w:rsidRPr="003937FF">
        <w:rPr>
          <w:rFonts w:ascii="Times New Roman" w:hAnsi="Times New Roman"/>
          <w:noProof/>
          <w:sz w:val="24"/>
          <w:lang w:val="pl-PL"/>
        </w:rPr>
        <w:t>2</w:t>
      </w:r>
      <w:r w:rsidRPr="00A3695F">
        <w:rPr>
          <w:rFonts w:ascii="Times New Roman" w:hAnsi="Times New Roman"/>
          <w:noProof/>
          <w:sz w:val="24"/>
          <w:lang w:val="pl-PL"/>
        </w:rPr>
        <w:t xml:space="preserve">60 </w:t>
      </w:r>
      <w:r w:rsidRPr="003937FF">
        <w:rPr>
          <w:rFonts w:ascii="Times New Roman" w:hAnsi="Times New Roman"/>
          <w:noProof/>
          <w:sz w:val="24"/>
          <w:lang w:val="pl-PL"/>
        </w:rPr>
        <w:t>ust.</w:t>
      </w:r>
      <w:r w:rsidR="003937FF" w:rsidRPr="003937FF">
        <w:rPr>
          <w:rFonts w:ascii="Times New Roman" w:hAnsi="Times New Roman"/>
          <w:noProof/>
          <w:sz w:val="24"/>
          <w:lang w:val="pl-PL"/>
        </w:rPr>
        <w:t> </w:t>
      </w:r>
      <w:r w:rsidRPr="003937FF">
        <w:rPr>
          <w:rFonts w:ascii="Times New Roman" w:hAnsi="Times New Roman"/>
          <w:noProof/>
          <w:sz w:val="24"/>
          <w:lang w:val="pl-PL"/>
        </w:rPr>
        <w:t>3</w:t>
      </w:r>
      <w:r w:rsidRPr="00A3695F">
        <w:rPr>
          <w:rFonts w:ascii="Times New Roman" w:hAnsi="Times New Roman"/>
          <w:noProof/>
          <w:sz w:val="24"/>
          <w:lang w:val="pl-PL"/>
        </w:rPr>
        <w:t xml:space="preserve"> TFUE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wpr</w:t>
      </w:r>
      <w:r w:rsidRPr="00A3695F">
        <w:rPr>
          <w:rFonts w:ascii="Times New Roman" w:hAnsi="Times New Roman"/>
          <w:noProof/>
          <w:sz w:val="24"/>
          <w:lang w:val="pl-PL"/>
        </w:rPr>
        <w:t>owadzonego Traktatem</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Liz</w:t>
      </w:r>
      <w:r w:rsidRPr="00A3695F">
        <w:rPr>
          <w:rFonts w:ascii="Times New Roman" w:hAnsi="Times New Roman"/>
          <w:noProof/>
          <w:sz w:val="24"/>
          <w:lang w:val="pl-PL"/>
        </w:rPr>
        <w:t>bony: Komisja automatycznie wszczyna sprawy</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sys</w:t>
      </w:r>
      <w:r w:rsidRPr="00A3695F">
        <w:rPr>
          <w:rFonts w:ascii="Times New Roman" w:hAnsi="Times New Roman"/>
          <w:noProof/>
          <w:sz w:val="24"/>
          <w:lang w:val="pl-PL"/>
        </w:rPr>
        <w:t>tematycznie zwraca się do Trybunału</w:t>
      </w:r>
      <w:r w:rsidR="003937FF" w:rsidRPr="00A3695F">
        <w:rPr>
          <w:rFonts w:ascii="Times New Roman" w:hAnsi="Times New Roman"/>
          <w:noProof/>
          <w:sz w:val="24"/>
          <w:lang w:val="pl-PL"/>
        </w:rPr>
        <w:t xml:space="preserve"> o</w:t>
      </w:r>
      <w:r w:rsidR="003937FF">
        <w:rPr>
          <w:rFonts w:ascii="Times New Roman" w:hAnsi="Times New Roman"/>
          <w:noProof/>
          <w:sz w:val="24"/>
          <w:lang w:val="pl-PL"/>
        </w:rPr>
        <w:t> </w:t>
      </w:r>
      <w:r w:rsidR="003937FF" w:rsidRPr="00A3695F">
        <w:rPr>
          <w:rFonts w:ascii="Times New Roman" w:hAnsi="Times New Roman"/>
          <w:noProof/>
          <w:sz w:val="24"/>
          <w:lang w:val="pl-PL"/>
        </w:rPr>
        <w:t>nał</w:t>
      </w:r>
      <w:r w:rsidRPr="00A3695F">
        <w:rPr>
          <w:rFonts w:ascii="Times New Roman" w:hAnsi="Times New Roman"/>
          <w:noProof/>
          <w:sz w:val="24"/>
          <w:lang w:val="pl-PL"/>
        </w:rPr>
        <w:t>ożenie kar finansowych, jeżeli państwa członkowskie nie dokonają terminowej transpozycji dyrektyw. Podejście to przyniosło istotne rezultaty,</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lic</w:t>
      </w:r>
      <w:r w:rsidRPr="00A3695F">
        <w:rPr>
          <w:rFonts w:ascii="Times New Roman" w:hAnsi="Times New Roman"/>
          <w:noProof/>
          <w:sz w:val="24"/>
          <w:lang w:val="pl-PL"/>
        </w:rPr>
        <w:t>zba spraw dotyczących niedopełnienia obowiązku zgłoszenia, które Komisja musiała przekazać do Trybunału Sprawiedliwości, spadła</w:t>
      </w:r>
      <w:r w:rsidR="003937FF" w:rsidRPr="00A3695F">
        <w:rPr>
          <w:rFonts w:ascii="Times New Roman" w:hAnsi="Times New Roman"/>
          <w:noProof/>
          <w:sz w:val="24"/>
          <w:lang w:val="pl-PL"/>
        </w:rPr>
        <w:t xml:space="preserve"> o</w:t>
      </w:r>
      <w:r w:rsidR="003937FF">
        <w:rPr>
          <w:rFonts w:ascii="Times New Roman" w:hAnsi="Times New Roman"/>
          <w:noProof/>
          <w:sz w:val="24"/>
          <w:lang w:val="pl-PL"/>
        </w:rPr>
        <w:t> </w:t>
      </w:r>
      <w:r w:rsidR="003937FF" w:rsidRPr="00A3695F">
        <w:rPr>
          <w:rFonts w:ascii="Times New Roman" w:hAnsi="Times New Roman"/>
          <w:noProof/>
          <w:sz w:val="24"/>
          <w:lang w:val="pl-PL"/>
        </w:rPr>
        <w:t>pon</w:t>
      </w:r>
      <w:r w:rsidRPr="00A3695F">
        <w:rPr>
          <w:rFonts w:ascii="Times New Roman" w:hAnsi="Times New Roman"/>
          <w:noProof/>
          <w:sz w:val="24"/>
          <w:lang w:val="pl-PL"/>
        </w:rPr>
        <w:t>ad połowę od wejścia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życ</w:t>
      </w:r>
      <w:r w:rsidRPr="00A3695F">
        <w:rPr>
          <w:rFonts w:ascii="Times New Roman" w:hAnsi="Times New Roman"/>
          <w:noProof/>
          <w:sz w:val="24"/>
          <w:lang w:val="pl-PL"/>
        </w:rPr>
        <w:t>ie Traktatu</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Liz</w:t>
      </w:r>
      <w:r w:rsidRPr="00A3695F">
        <w:rPr>
          <w:rFonts w:ascii="Times New Roman" w:hAnsi="Times New Roman"/>
          <w:noProof/>
          <w:sz w:val="24"/>
          <w:lang w:val="pl-PL"/>
        </w:rPr>
        <w:t>bony. Liczba spraw dotyczących uchybienia zobowiązaniom państwa członkowskiego wszczętych</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teg</w:t>
      </w:r>
      <w:r w:rsidRPr="00A3695F">
        <w:rPr>
          <w:rFonts w:ascii="Times New Roman" w:hAnsi="Times New Roman"/>
          <w:noProof/>
          <w:sz w:val="24"/>
          <w:lang w:val="pl-PL"/>
        </w:rPr>
        <w:t>o tytułu, że państwa członkowskie nie zgłosiły Komisji swoich krajowych środków transpozycji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ter</w:t>
      </w:r>
      <w:r w:rsidRPr="00A3695F">
        <w:rPr>
          <w:rFonts w:ascii="Times New Roman" w:hAnsi="Times New Roman"/>
          <w:noProof/>
          <w:sz w:val="24"/>
          <w:lang w:val="pl-PL"/>
        </w:rPr>
        <w:t>minie określonym</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uni</w:t>
      </w:r>
      <w:r w:rsidRPr="00A3695F">
        <w:rPr>
          <w:rFonts w:ascii="Times New Roman" w:hAnsi="Times New Roman"/>
          <w:noProof/>
          <w:sz w:val="24"/>
          <w:lang w:val="pl-PL"/>
        </w:rPr>
        <w:t>jnych dyrektywach, wciąż jest jednak wysoka. Krajowi ustawodawcy odgrywają istotną rolę</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zap</w:t>
      </w:r>
      <w:r w:rsidRPr="00A3695F">
        <w:rPr>
          <w:rFonts w:ascii="Times New Roman" w:hAnsi="Times New Roman"/>
          <w:noProof/>
          <w:sz w:val="24"/>
          <w:lang w:val="pl-PL"/>
        </w:rPr>
        <w:t>ewnianiu zarówno terminowej, jak</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peł</w:t>
      </w:r>
      <w:r w:rsidRPr="00A3695F">
        <w:rPr>
          <w:rFonts w:ascii="Times New Roman" w:hAnsi="Times New Roman"/>
          <w:noProof/>
          <w:sz w:val="24"/>
          <w:lang w:val="pl-PL"/>
        </w:rPr>
        <w:t>nej transpozycji: powiadamiając Komisję</w:t>
      </w:r>
      <w:r w:rsidR="003937FF" w:rsidRPr="00A3695F">
        <w:rPr>
          <w:rFonts w:ascii="Times New Roman" w:hAnsi="Times New Roman"/>
          <w:noProof/>
          <w:sz w:val="24"/>
          <w:lang w:val="pl-PL"/>
        </w:rPr>
        <w:t xml:space="preserve"> o</w:t>
      </w:r>
      <w:r w:rsidR="003937FF">
        <w:rPr>
          <w:rFonts w:ascii="Times New Roman" w:hAnsi="Times New Roman"/>
          <w:noProof/>
          <w:sz w:val="24"/>
          <w:lang w:val="pl-PL"/>
        </w:rPr>
        <w:t> </w:t>
      </w:r>
      <w:r w:rsidR="003937FF" w:rsidRPr="00A3695F">
        <w:rPr>
          <w:rFonts w:ascii="Times New Roman" w:hAnsi="Times New Roman"/>
          <w:noProof/>
          <w:sz w:val="24"/>
          <w:lang w:val="pl-PL"/>
        </w:rPr>
        <w:t>kra</w:t>
      </w:r>
      <w:r w:rsidRPr="00A3695F">
        <w:rPr>
          <w:rFonts w:ascii="Times New Roman" w:hAnsi="Times New Roman"/>
          <w:noProof/>
          <w:sz w:val="24"/>
          <w:lang w:val="pl-PL"/>
        </w:rPr>
        <w:t>jowych środkach transpozycji, państwa członkowskie muszą wyraźnie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ejrzyście wyjaśnić,</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jak</w:t>
      </w:r>
      <w:r w:rsidRPr="00A3695F">
        <w:rPr>
          <w:rFonts w:ascii="Times New Roman" w:hAnsi="Times New Roman"/>
          <w:noProof/>
          <w:sz w:val="24"/>
          <w:lang w:val="pl-PL"/>
        </w:rPr>
        <w:t>i sposób transponowały każdy</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episów dyrektywy</w:t>
      </w:r>
      <w:r w:rsidRPr="00A3695F">
        <w:rPr>
          <w:rStyle w:val="FootnoteReference"/>
          <w:rFonts w:ascii="Times New Roman" w:hAnsi="Times New Roman" w:cs="Times New Roman"/>
          <w:noProof/>
          <w:sz w:val="24"/>
          <w:lang w:val="pl-PL"/>
        </w:rPr>
        <w:footnoteReference w:id="30"/>
      </w:r>
      <w:r w:rsidRPr="00A3695F">
        <w:rPr>
          <w:rFonts w:ascii="Times New Roman" w:hAnsi="Times New Roman"/>
          <w:noProof/>
          <w:sz w:val="24"/>
          <w:lang w:val="pl-PL"/>
        </w:rPr>
        <w:t xml:space="preserve">. </w:t>
      </w:r>
    </w:p>
    <w:p w14:paraId="7AFEEEFE" w14:textId="4FAD0602" w:rsidR="00416FB6" w:rsidRPr="00A3695F" w:rsidRDefault="00E64154" w:rsidP="00FE0204">
      <w:pPr>
        <w:jc w:val="both"/>
        <w:rPr>
          <w:rFonts w:ascii="Times New Roman" w:hAnsi="Times New Roman" w:cs="Times New Roman"/>
          <w:noProof/>
          <w:sz w:val="24"/>
          <w:lang w:val="pl-PL"/>
        </w:rPr>
      </w:pPr>
      <w:r w:rsidRPr="003937FF">
        <w:rPr>
          <w:rFonts w:ascii="Times New Roman" w:hAnsi="Times New Roman"/>
          <w:b/>
          <w:noProof/>
          <w:sz w:val="24"/>
          <w:lang w:val="pl-PL"/>
        </w:rPr>
        <w:t>Inne istotne podmioty</w:t>
      </w:r>
      <w:r w:rsidRPr="00A3695F">
        <w:rPr>
          <w:rFonts w:ascii="Times New Roman" w:hAnsi="Times New Roman"/>
          <w:noProof/>
          <w:sz w:val="24"/>
          <w:lang w:val="pl-PL"/>
        </w:rPr>
        <w:t>, które mają do odegrania ważną rolę</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egz</w:t>
      </w:r>
      <w:r w:rsidRPr="00A3695F">
        <w:rPr>
          <w:rFonts w:ascii="Times New Roman" w:hAnsi="Times New Roman"/>
          <w:noProof/>
          <w:sz w:val="24"/>
          <w:lang w:val="pl-PL"/>
        </w:rPr>
        <w:t>ekwowaniu prawa Unii, obejmują: sektorowe organy regulacyjne, kontrolne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wyk</w:t>
      </w:r>
      <w:r w:rsidRPr="00A3695F">
        <w:rPr>
          <w:rFonts w:ascii="Times New Roman" w:hAnsi="Times New Roman"/>
          <w:noProof/>
          <w:sz w:val="24"/>
          <w:lang w:val="pl-PL"/>
        </w:rPr>
        <w:t>onawcze, krajowe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reg</w:t>
      </w:r>
      <w:r w:rsidRPr="00A3695F">
        <w:rPr>
          <w:rFonts w:ascii="Times New Roman" w:hAnsi="Times New Roman"/>
          <w:noProof/>
          <w:sz w:val="24"/>
          <w:lang w:val="pl-PL"/>
        </w:rPr>
        <w:t>ionalne organy nadzoru, prokuratorów, krajowych rzeczników praw obywatelskich</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org</w:t>
      </w:r>
      <w:r w:rsidRPr="00A3695F">
        <w:rPr>
          <w:rFonts w:ascii="Times New Roman" w:hAnsi="Times New Roman"/>
          <w:noProof/>
          <w:sz w:val="24"/>
          <w:lang w:val="pl-PL"/>
        </w:rPr>
        <w:t>any ds. równości. Komisja koncentruje swoje działania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zak</w:t>
      </w:r>
      <w:r w:rsidRPr="00A3695F">
        <w:rPr>
          <w:rFonts w:ascii="Times New Roman" w:hAnsi="Times New Roman"/>
          <w:noProof/>
          <w:sz w:val="24"/>
          <w:lang w:val="pl-PL"/>
        </w:rPr>
        <w:t>resie egzekwowania przepisów na zapewnianiu, aby organy krajowe były odpowiednio wyposażone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zdo</w:t>
      </w:r>
      <w:r w:rsidRPr="00A3695F">
        <w:rPr>
          <w:rFonts w:ascii="Times New Roman" w:hAnsi="Times New Roman"/>
          <w:noProof/>
          <w:sz w:val="24"/>
          <w:lang w:val="pl-PL"/>
        </w:rPr>
        <w:t>lne do wypełniania swoich obowiązków, analizując konflikty interesów, niezależność</w:t>
      </w:r>
      <w:r w:rsidRPr="00A3695F">
        <w:rPr>
          <w:rStyle w:val="FootnoteReference"/>
          <w:rFonts w:ascii="Times New Roman" w:hAnsi="Times New Roman" w:cs="Times New Roman"/>
          <w:noProof/>
          <w:sz w:val="24"/>
          <w:lang w:val="pl-PL"/>
        </w:rPr>
        <w:footnoteReference w:id="31"/>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zat</w:t>
      </w:r>
      <w:r w:rsidRPr="00A3695F">
        <w:rPr>
          <w:rFonts w:ascii="Times New Roman" w:hAnsi="Times New Roman"/>
          <w:noProof/>
          <w:sz w:val="24"/>
          <w:lang w:val="pl-PL"/>
        </w:rPr>
        <w:t>rudnienie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tak</w:t>
      </w:r>
      <w:r w:rsidRPr="00A3695F">
        <w:rPr>
          <w:rFonts w:ascii="Times New Roman" w:hAnsi="Times New Roman"/>
          <w:noProof/>
          <w:sz w:val="24"/>
          <w:lang w:val="pl-PL"/>
        </w:rPr>
        <w:t>ich organach. Komisja wspiera również aktywnie państwa członkowskie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ich</w:t>
      </w:r>
      <w:r w:rsidRPr="00A3695F">
        <w:rPr>
          <w:rFonts w:ascii="Times New Roman" w:hAnsi="Times New Roman"/>
          <w:noProof/>
          <w:sz w:val="24"/>
          <w:lang w:val="pl-PL"/>
        </w:rPr>
        <w:t xml:space="preserve"> staraniach</w:t>
      </w:r>
      <w:r w:rsidR="003937FF" w:rsidRPr="00A3695F">
        <w:rPr>
          <w:rFonts w:ascii="Times New Roman" w:hAnsi="Times New Roman"/>
          <w:noProof/>
          <w:sz w:val="24"/>
          <w:lang w:val="pl-PL"/>
        </w:rPr>
        <w:t xml:space="preserve"> o</w:t>
      </w:r>
      <w:r w:rsidR="003937FF">
        <w:rPr>
          <w:rFonts w:ascii="Times New Roman" w:hAnsi="Times New Roman"/>
          <w:noProof/>
          <w:sz w:val="24"/>
          <w:lang w:val="pl-PL"/>
        </w:rPr>
        <w:t> </w:t>
      </w:r>
      <w:r w:rsidR="003937FF" w:rsidRPr="00A3695F">
        <w:rPr>
          <w:rFonts w:ascii="Times New Roman" w:hAnsi="Times New Roman"/>
          <w:noProof/>
          <w:sz w:val="24"/>
          <w:lang w:val="pl-PL"/>
        </w:rPr>
        <w:t>wdr</w:t>
      </w:r>
      <w:r w:rsidRPr="00A3695F">
        <w:rPr>
          <w:rFonts w:ascii="Times New Roman" w:hAnsi="Times New Roman"/>
          <w:noProof/>
          <w:sz w:val="24"/>
          <w:lang w:val="pl-PL"/>
        </w:rPr>
        <w:t>ożenie przepisów, zapewniając wsparcie techniczne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fin</w:t>
      </w:r>
      <w:r w:rsidRPr="00A3695F">
        <w:rPr>
          <w:rFonts w:ascii="Times New Roman" w:hAnsi="Times New Roman"/>
          <w:noProof/>
          <w:sz w:val="24"/>
          <w:lang w:val="pl-PL"/>
        </w:rPr>
        <w:t>ansowe oraz wiedzę fachową stanowiącą podstawę reform strukturalnych</w:t>
      </w:r>
      <w:r w:rsidRPr="00A3695F">
        <w:rPr>
          <w:rStyle w:val="FootnoteReference"/>
          <w:rFonts w:ascii="Times New Roman" w:hAnsi="Times New Roman" w:cs="Times New Roman"/>
          <w:noProof/>
          <w:sz w:val="24"/>
          <w:lang w:val="pl-PL"/>
        </w:rPr>
        <w:footnoteReference w:id="32"/>
      </w:r>
      <w:r w:rsidRPr="00A3695F">
        <w:rPr>
          <w:rFonts w:ascii="Times New Roman" w:hAnsi="Times New Roman"/>
          <w:noProof/>
          <w:sz w:val="24"/>
          <w:lang w:val="pl-PL"/>
        </w:rPr>
        <w:t>, jak również specjalistyczne programy szkoleniowe</w:t>
      </w:r>
      <w:r w:rsidRPr="00A3695F">
        <w:rPr>
          <w:rStyle w:val="FootnoteReference"/>
          <w:rFonts w:ascii="Times New Roman" w:hAnsi="Times New Roman" w:cs="Times New Roman"/>
          <w:noProof/>
          <w:sz w:val="24"/>
          <w:lang w:val="pl-PL"/>
        </w:rPr>
        <w:footnoteReference w:id="33"/>
      </w:r>
      <w:r w:rsidRPr="00A3695F">
        <w:rPr>
          <w:rFonts w:ascii="Times New Roman" w:hAnsi="Times New Roman"/>
          <w:noProof/>
          <w:sz w:val="24"/>
          <w:lang w:val="pl-PL"/>
        </w:rPr>
        <w:t>. Przekazała na przykład krajowym organom nadzoru ds. ochrony danych dotacje, aby wesprzeć ich prace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egz</w:t>
      </w:r>
      <w:r w:rsidRPr="00A3695F">
        <w:rPr>
          <w:rFonts w:ascii="Times New Roman" w:hAnsi="Times New Roman"/>
          <w:noProof/>
          <w:sz w:val="24"/>
          <w:lang w:val="pl-PL"/>
        </w:rPr>
        <w:t>ekwowaniu ogólnego rozporządzenia</w:t>
      </w:r>
      <w:r w:rsidR="003937FF" w:rsidRPr="00A3695F">
        <w:rPr>
          <w:rFonts w:ascii="Times New Roman" w:hAnsi="Times New Roman"/>
          <w:noProof/>
          <w:sz w:val="24"/>
          <w:lang w:val="pl-PL"/>
        </w:rPr>
        <w:t xml:space="preserve"> o</w:t>
      </w:r>
      <w:r w:rsidR="003937FF">
        <w:rPr>
          <w:rFonts w:ascii="Times New Roman" w:hAnsi="Times New Roman"/>
          <w:noProof/>
          <w:sz w:val="24"/>
          <w:lang w:val="pl-PL"/>
        </w:rPr>
        <w:t> </w:t>
      </w:r>
      <w:r w:rsidR="003937FF" w:rsidRPr="00A3695F">
        <w:rPr>
          <w:rFonts w:ascii="Times New Roman" w:hAnsi="Times New Roman"/>
          <w:noProof/>
          <w:sz w:val="24"/>
          <w:lang w:val="pl-PL"/>
        </w:rPr>
        <w:t>och</w:t>
      </w:r>
      <w:r w:rsidRPr="00A3695F">
        <w:rPr>
          <w:rFonts w:ascii="Times New Roman" w:hAnsi="Times New Roman"/>
          <w:noProof/>
          <w:sz w:val="24"/>
          <w:lang w:val="pl-PL"/>
        </w:rPr>
        <w:t>ronie danych</w:t>
      </w:r>
      <w:r w:rsidRPr="00A3695F">
        <w:rPr>
          <w:rStyle w:val="FootnoteReference"/>
          <w:rFonts w:ascii="Times New Roman" w:hAnsi="Times New Roman" w:cs="Times New Roman"/>
          <w:noProof/>
          <w:sz w:val="24"/>
          <w:lang w:val="pl-PL"/>
        </w:rPr>
        <w:footnoteReference w:id="34"/>
      </w:r>
      <w:r w:rsidRPr="00A3695F">
        <w:rPr>
          <w:rFonts w:ascii="Times New Roman" w:hAnsi="Times New Roman"/>
          <w:noProof/>
          <w:sz w:val="24"/>
          <w:lang w:val="pl-PL"/>
        </w:rPr>
        <w:t>. Komisja wszczęła również przeciwko państwom członkowskim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zapewnienia, aby organy te były niezależne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dys</w:t>
      </w:r>
      <w:r w:rsidRPr="00A3695F">
        <w:rPr>
          <w:rFonts w:ascii="Times New Roman" w:hAnsi="Times New Roman"/>
          <w:noProof/>
          <w:sz w:val="24"/>
          <w:lang w:val="pl-PL"/>
        </w:rPr>
        <w:t xml:space="preserve">ponowały niezbędnymi uprawnieniami umożliwiającymi im karanie za naruszenia tego rozporządzenia. </w:t>
      </w:r>
    </w:p>
    <w:p w14:paraId="21239264" w14:textId="1137861E" w:rsidR="00E565A4" w:rsidRPr="00A3695F" w:rsidRDefault="001F1830" w:rsidP="00FE0204">
      <w:pPr>
        <w:jc w:val="both"/>
        <w:rPr>
          <w:rFonts w:ascii="Times New Roman" w:hAnsi="Times New Roman" w:cs="Times New Roman"/>
          <w:noProof/>
          <w:sz w:val="24"/>
          <w:lang w:val="pl-PL"/>
        </w:rPr>
      </w:pPr>
      <w:r w:rsidRPr="00A3695F">
        <w:rPr>
          <w:rFonts w:ascii="Times New Roman" w:hAnsi="Times New Roman"/>
          <w:noProof/>
          <w:sz w:val="24"/>
          <w:lang w:val="pl-PL"/>
        </w:rPr>
        <w:t>Pomocne są również specjalne inicjatywy UE, np. transgraniczne mechanizmy dochodzenia roszczeń, takie jak SOLVIT, europejskie postępowanie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drobnych roszczeń lub europejskie internetowe rozstrzyganie sporów</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sek</w:t>
      </w:r>
      <w:r w:rsidRPr="00A3695F">
        <w:rPr>
          <w:rFonts w:ascii="Times New Roman" w:hAnsi="Times New Roman"/>
          <w:noProof/>
          <w:sz w:val="24"/>
          <w:lang w:val="pl-PL"/>
        </w:rPr>
        <w:t>torze finansowym trzy europejskie organy nadzoru</w:t>
      </w:r>
      <w:r w:rsidRPr="00A3695F">
        <w:rPr>
          <w:rStyle w:val="FootnoteReference"/>
          <w:rFonts w:ascii="Times New Roman" w:hAnsi="Times New Roman" w:cs="Times New Roman"/>
          <w:noProof/>
          <w:sz w:val="24"/>
          <w:lang w:val="pl-PL"/>
        </w:rPr>
        <w:footnoteReference w:id="35"/>
      </w:r>
      <w:r w:rsidRPr="00A3695F">
        <w:rPr>
          <w:rFonts w:ascii="Times New Roman" w:hAnsi="Times New Roman"/>
          <w:noProof/>
          <w:sz w:val="24"/>
          <w:lang w:val="pl-PL"/>
        </w:rPr>
        <w:t xml:space="preserve"> są uprawnione do prowadzenia kontroli właściwych organów krajowych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oceny zgodności przepisów krajowych przyjmowanych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ram</w:t>
      </w:r>
      <w:r w:rsidRPr="00A3695F">
        <w:rPr>
          <w:rFonts w:ascii="Times New Roman" w:hAnsi="Times New Roman"/>
          <w:noProof/>
          <w:sz w:val="24"/>
          <w:lang w:val="pl-PL"/>
        </w:rPr>
        <w:t>ach wdrażania prawa Unii. Organy te są również właściwe do prowadzenia dochodzeń</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pod</w:t>
      </w:r>
      <w:r w:rsidRPr="00A3695F">
        <w:rPr>
          <w:rFonts w:ascii="Times New Roman" w:hAnsi="Times New Roman"/>
          <w:noProof/>
          <w:sz w:val="24"/>
          <w:lang w:val="pl-PL"/>
        </w:rPr>
        <w:t>ejmowania działania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ypadku, gdy właściwe organy krajowe nie wypełnią swoich zobowiązań wynikających</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pra</w:t>
      </w:r>
      <w:r w:rsidRPr="00A3695F">
        <w:rPr>
          <w:rFonts w:ascii="Times New Roman" w:hAnsi="Times New Roman"/>
          <w:noProof/>
          <w:sz w:val="24"/>
          <w:lang w:val="pl-PL"/>
        </w:rPr>
        <w:t>wa Unii. Dzięki temu możliwe jest zapewnienie spójnego</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sku</w:t>
      </w:r>
      <w:r w:rsidRPr="00A3695F">
        <w:rPr>
          <w:rFonts w:ascii="Times New Roman" w:hAnsi="Times New Roman"/>
          <w:noProof/>
          <w:sz w:val="24"/>
          <w:lang w:val="pl-PL"/>
        </w:rPr>
        <w:t>tecznego stosowania prawa Unii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sek</w:t>
      </w:r>
      <w:r w:rsidRPr="00A3695F">
        <w:rPr>
          <w:rFonts w:ascii="Times New Roman" w:hAnsi="Times New Roman"/>
          <w:noProof/>
          <w:sz w:val="24"/>
          <w:lang w:val="pl-PL"/>
        </w:rPr>
        <w:t>torze finansowym.</w:t>
      </w:r>
    </w:p>
    <w:tbl>
      <w:tblPr>
        <w:tblStyle w:val="law"/>
        <w:tblW w:w="0" w:type="auto"/>
        <w:shd w:val="clear" w:color="auto" w:fill="EDF2F9"/>
        <w:tblLook w:val="04A0" w:firstRow="1" w:lastRow="0" w:firstColumn="1" w:lastColumn="0" w:noHBand="0" w:noVBand="1"/>
      </w:tblPr>
      <w:tblGrid>
        <w:gridCol w:w="9288"/>
      </w:tblGrid>
      <w:tr w:rsidR="00941A87" w:rsidRPr="00A3695F" w14:paraId="6438C8EF" w14:textId="77777777" w:rsidTr="001F57F0">
        <w:tc>
          <w:tcPr>
            <w:tcW w:w="9288" w:type="dxa"/>
            <w:shd w:val="clear" w:color="auto" w:fill="EDF2F9"/>
          </w:tcPr>
          <w:p w14:paraId="6CB3D394" w14:textId="7219B491" w:rsidR="00064F82" w:rsidRPr="003937FF" w:rsidRDefault="00064F82" w:rsidP="006E12BE">
            <w:pPr>
              <w:pStyle w:val="Style2"/>
              <w:rPr>
                <w:noProof/>
                <w:lang w:val="pl-PL"/>
              </w:rPr>
            </w:pPr>
            <w:r w:rsidRPr="003937FF">
              <w:rPr>
                <w:noProof/>
                <w:lang w:val="pl-PL"/>
              </w:rPr>
              <w:t>Rola Europejskich Centrów Konsumenckich</w:t>
            </w:r>
            <w:r w:rsidRPr="003937FF">
              <w:rPr>
                <w:rStyle w:val="FootnoteReference"/>
                <w:rFonts w:ascii="Times New Roman" w:hAnsi="Times New Roman"/>
                <w:noProof/>
                <w:lang w:val="pl-PL"/>
              </w:rPr>
              <w:footnoteReference w:id="36"/>
            </w:r>
            <w:r w:rsidR="003937FF" w:rsidRPr="003937FF">
              <w:rPr>
                <w:noProof/>
                <w:lang w:val="pl-PL"/>
              </w:rPr>
              <w:t xml:space="preserve"> w</w:t>
            </w:r>
            <w:r w:rsidR="003937FF">
              <w:rPr>
                <w:rFonts w:ascii="Calibri" w:hAnsi="Calibri" w:cs="Calibri"/>
                <w:noProof/>
                <w:lang w:val="pl-PL"/>
              </w:rPr>
              <w:t> </w:t>
            </w:r>
            <w:r w:rsidR="003937FF" w:rsidRPr="003937FF">
              <w:rPr>
                <w:noProof/>
                <w:lang w:val="pl-PL"/>
              </w:rPr>
              <w:t>egz</w:t>
            </w:r>
            <w:r w:rsidRPr="003937FF">
              <w:rPr>
                <w:noProof/>
                <w:lang w:val="pl-PL"/>
              </w:rPr>
              <w:t>ekwowaniu prawa ochrony konsumentów</w:t>
            </w:r>
          </w:p>
          <w:p w14:paraId="49C8B905" w14:textId="7CBCC30A" w:rsidR="00064F82" w:rsidRPr="00A3695F" w:rsidRDefault="00064F82" w:rsidP="00D745A7">
            <w:pPr>
              <w:spacing w:after="120" w:line="276" w:lineRule="auto"/>
              <w:jc w:val="both"/>
              <w:rPr>
                <w:rFonts w:ascii="Times New Roman" w:hAnsi="Times New Roman" w:cs="Times New Roman"/>
                <w:noProof/>
                <w:sz w:val="24"/>
                <w:lang w:val="pl-PL"/>
              </w:rPr>
            </w:pPr>
            <w:r w:rsidRPr="003937FF">
              <w:rPr>
                <w:rFonts w:ascii="Times New Roman" w:hAnsi="Times New Roman"/>
                <w:b/>
                <w:noProof/>
                <w:sz w:val="24"/>
                <w:lang w:val="pl-PL"/>
              </w:rPr>
              <w:t>Europejskie Centra Konsumenckie</w:t>
            </w:r>
            <w:r w:rsidRPr="00A3695F">
              <w:rPr>
                <w:rFonts w:ascii="Times New Roman" w:hAnsi="Times New Roman"/>
                <w:noProof/>
                <w:sz w:val="24"/>
                <w:lang w:val="pl-PL"/>
              </w:rPr>
              <w:t xml:space="preserve"> odgrywają zasadniczą rolę</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wyk</w:t>
            </w:r>
            <w:r w:rsidRPr="00A3695F">
              <w:rPr>
                <w:rFonts w:ascii="Times New Roman" w:hAnsi="Times New Roman"/>
                <w:noProof/>
                <w:sz w:val="24"/>
                <w:lang w:val="pl-PL"/>
              </w:rPr>
              <w:t>rywaniu potencjalnych powszechnych naruszeń prawa ochrony konsumentów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pod</w:t>
            </w:r>
            <w:r w:rsidRPr="00A3695F">
              <w:rPr>
                <w:rFonts w:ascii="Times New Roman" w:hAnsi="Times New Roman"/>
                <w:noProof/>
                <w:sz w:val="24"/>
                <w:lang w:val="pl-PL"/>
              </w:rPr>
              <w:t>ejmowaniu działań przeciwko takim naruszeniom. Są to m.in. działania służące zapewnieniu, aby systemy rezerwacji miejsc noclegowych online były wolne od technik manipulacji, takich jak: ukrywanie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ran</w:t>
            </w:r>
            <w:r w:rsidRPr="00A3695F">
              <w:rPr>
                <w:rFonts w:ascii="Times New Roman" w:hAnsi="Times New Roman"/>
                <w:noProof/>
                <w:sz w:val="24"/>
                <w:lang w:val="pl-PL"/>
              </w:rPr>
              <w:t>kingu informacji</w:t>
            </w:r>
            <w:r w:rsidR="003937FF" w:rsidRPr="00A3695F">
              <w:rPr>
                <w:rFonts w:ascii="Times New Roman" w:hAnsi="Times New Roman"/>
                <w:noProof/>
                <w:sz w:val="24"/>
                <w:lang w:val="pl-PL"/>
              </w:rPr>
              <w:t xml:space="preserve"> o</w:t>
            </w:r>
            <w:r w:rsidR="003937FF">
              <w:rPr>
                <w:rFonts w:ascii="Times New Roman" w:hAnsi="Times New Roman"/>
                <w:noProof/>
                <w:sz w:val="24"/>
                <w:lang w:val="pl-PL"/>
              </w:rPr>
              <w:t> </w:t>
            </w:r>
            <w:r w:rsidR="003937FF" w:rsidRPr="00A3695F">
              <w:rPr>
                <w:rFonts w:ascii="Times New Roman" w:hAnsi="Times New Roman"/>
                <w:noProof/>
                <w:sz w:val="24"/>
                <w:lang w:val="pl-PL"/>
              </w:rPr>
              <w:t>spo</w:t>
            </w:r>
            <w:r w:rsidRPr="00A3695F">
              <w:rPr>
                <w:rFonts w:ascii="Times New Roman" w:hAnsi="Times New Roman"/>
                <w:noProof/>
                <w:sz w:val="24"/>
                <w:lang w:val="pl-PL"/>
              </w:rPr>
              <w:t>nsorowaniu, nieuzasadnione wywieranie presji czasowej na użytkowników lub przedstawianie rabatów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spo</w:t>
            </w:r>
            <w:r w:rsidRPr="00A3695F">
              <w:rPr>
                <w:rFonts w:ascii="Times New Roman" w:hAnsi="Times New Roman"/>
                <w:noProof/>
                <w:sz w:val="24"/>
                <w:lang w:val="pl-PL"/>
              </w:rPr>
              <w:t>sób wprowadzający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błą</w:t>
            </w:r>
            <w:r w:rsidRPr="00A3695F">
              <w:rPr>
                <w:rFonts w:ascii="Times New Roman" w:hAnsi="Times New Roman"/>
                <w:noProof/>
                <w:sz w:val="24"/>
                <w:lang w:val="pl-PL"/>
              </w:rPr>
              <w:t>d.</w:t>
            </w:r>
          </w:p>
          <w:p w14:paraId="346ED028" w14:textId="6C2D5E73" w:rsidR="00033C26" w:rsidRPr="00A3695F" w:rsidRDefault="005A76B0" w:rsidP="00D745A7">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W 20</w:t>
            </w:r>
            <w:r w:rsidRPr="003937FF">
              <w:rPr>
                <w:rFonts w:ascii="Times New Roman" w:hAnsi="Times New Roman"/>
                <w:noProof/>
                <w:sz w:val="24"/>
                <w:lang w:val="pl-PL"/>
              </w:rPr>
              <w:t>20</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Fonts w:ascii="Times New Roman" w:hAnsi="Times New Roman"/>
                <w:noProof/>
                <w:sz w:val="24"/>
                <w:lang w:val="pl-PL"/>
              </w:rPr>
              <w:t>,</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nas</w:t>
            </w:r>
            <w:r w:rsidRPr="00A3695F">
              <w:rPr>
                <w:rFonts w:ascii="Times New Roman" w:hAnsi="Times New Roman"/>
                <w:noProof/>
                <w:sz w:val="24"/>
                <w:lang w:val="pl-PL"/>
              </w:rPr>
              <w:t xml:space="preserve">tępstwie </w:t>
            </w:r>
            <w:r w:rsidRPr="003937FF">
              <w:rPr>
                <w:rFonts w:ascii="Times New Roman" w:hAnsi="Times New Roman"/>
                <w:b/>
                <w:noProof/>
                <w:sz w:val="24"/>
                <w:lang w:val="pl-PL"/>
              </w:rPr>
              <w:t>dialogu</w:t>
            </w:r>
            <w:r w:rsidR="003937FF" w:rsidRPr="003937FF">
              <w:rPr>
                <w:rFonts w:ascii="Times New Roman" w:hAnsi="Times New Roman"/>
                <w:b/>
                <w:noProof/>
                <w:sz w:val="24"/>
                <w:lang w:val="pl-PL"/>
              </w:rPr>
              <w:t xml:space="preserve"> z</w:t>
            </w:r>
            <w:r w:rsidR="003937FF">
              <w:rPr>
                <w:rFonts w:ascii="Times New Roman" w:hAnsi="Times New Roman"/>
                <w:b/>
                <w:noProof/>
                <w:sz w:val="24"/>
                <w:lang w:val="pl-PL"/>
              </w:rPr>
              <w:t> </w:t>
            </w:r>
            <w:r w:rsidR="003937FF" w:rsidRPr="003937FF">
              <w:rPr>
                <w:rFonts w:ascii="Times New Roman" w:hAnsi="Times New Roman"/>
                <w:b/>
                <w:noProof/>
                <w:sz w:val="24"/>
                <w:lang w:val="pl-PL"/>
              </w:rPr>
              <w:t>Kom</w:t>
            </w:r>
            <w:r w:rsidRPr="003937FF">
              <w:rPr>
                <w:rFonts w:ascii="Times New Roman" w:hAnsi="Times New Roman"/>
                <w:b/>
                <w:noProof/>
                <w:sz w:val="24"/>
                <w:lang w:val="pl-PL"/>
              </w:rPr>
              <w:t>isją</w:t>
            </w:r>
            <w:r w:rsidR="003937FF" w:rsidRPr="003937FF">
              <w:rPr>
                <w:rFonts w:ascii="Times New Roman" w:hAnsi="Times New Roman"/>
                <w:b/>
                <w:noProof/>
                <w:sz w:val="24"/>
                <w:lang w:val="pl-PL"/>
              </w:rPr>
              <w:t xml:space="preserve"> i</w:t>
            </w:r>
            <w:r w:rsidR="003937FF">
              <w:rPr>
                <w:rFonts w:ascii="Times New Roman" w:hAnsi="Times New Roman"/>
                <w:b/>
                <w:noProof/>
                <w:sz w:val="24"/>
                <w:lang w:val="pl-PL"/>
              </w:rPr>
              <w:t> </w:t>
            </w:r>
            <w:r w:rsidR="003937FF" w:rsidRPr="003937FF">
              <w:rPr>
                <w:rFonts w:ascii="Times New Roman" w:hAnsi="Times New Roman"/>
                <w:b/>
                <w:noProof/>
                <w:sz w:val="24"/>
                <w:lang w:val="pl-PL"/>
              </w:rPr>
              <w:t>org</w:t>
            </w:r>
            <w:r w:rsidRPr="003937FF">
              <w:rPr>
                <w:rFonts w:ascii="Times New Roman" w:hAnsi="Times New Roman"/>
                <w:b/>
                <w:noProof/>
                <w:sz w:val="24"/>
                <w:lang w:val="pl-PL"/>
              </w:rPr>
              <w:t>anami krajowymi</w:t>
            </w:r>
            <w:r w:rsidRPr="00A3695F">
              <w:rPr>
                <w:rFonts w:ascii="Times New Roman" w:hAnsi="Times New Roman"/>
                <w:noProof/>
                <w:sz w:val="24"/>
                <w:lang w:val="pl-PL"/>
              </w:rPr>
              <w:t>, czołowe platformy rezerwacji miejsc noclegowych zmieniły sposób,</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jak</w:t>
            </w:r>
            <w:r w:rsidRPr="00A3695F">
              <w:rPr>
                <w:rFonts w:ascii="Times New Roman" w:hAnsi="Times New Roman"/>
                <w:noProof/>
                <w:sz w:val="24"/>
                <w:lang w:val="pl-PL"/>
              </w:rPr>
              <w:t>i przedstawiają konsumentom oferty, zniżki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cen</w:t>
            </w:r>
            <w:r w:rsidRPr="00A3695F">
              <w:rPr>
                <w:rFonts w:ascii="Times New Roman" w:hAnsi="Times New Roman"/>
                <w:noProof/>
                <w:sz w:val="24"/>
                <w:lang w:val="pl-PL"/>
              </w:rPr>
              <w:t>y, tak aby użytkownicy mogli dokonywać świadomego porównania zgodnie</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wym</w:t>
            </w:r>
            <w:r w:rsidRPr="00A3695F">
              <w:rPr>
                <w:rFonts w:ascii="Times New Roman" w:hAnsi="Times New Roman"/>
                <w:noProof/>
                <w:sz w:val="24"/>
                <w:lang w:val="pl-PL"/>
              </w:rPr>
              <w:t>ogami unijnego prawa ochrony konsumentów. Zaliczało się do tego unikanie przedstawiania oferty jako ograniczonej</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cza</w:t>
            </w:r>
            <w:r w:rsidRPr="00A3695F">
              <w:rPr>
                <w:rFonts w:ascii="Times New Roman" w:hAnsi="Times New Roman"/>
                <w:noProof/>
                <w:sz w:val="24"/>
                <w:lang w:val="pl-PL"/>
              </w:rPr>
              <w:t>sie, jeżeli ta sama cena pozostałaby dostępna później, oraz wyjaśnienie sposobu szeregowania wyników. Podobny dialog doprowadził do tego, że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2</w:t>
            </w:r>
            <w:r w:rsidRPr="00A3695F">
              <w:rPr>
                <w:rFonts w:ascii="Times New Roman" w:hAnsi="Times New Roman"/>
                <w:noProof/>
                <w:sz w:val="24"/>
                <w:lang w:val="pl-PL"/>
              </w:rPr>
              <w:t>0</w:t>
            </w:r>
            <w:r w:rsidRPr="003937FF">
              <w:rPr>
                <w:rFonts w:ascii="Times New Roman" w:hAnsi="Times New Roman"/>
                <w:noProof/>
                <w:sz w:val="24"/>
                <w:lang w:val="pl-PL"/>
              </w:rPr>
              <w:t>22</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Fonts w:ascii="Times New Roman" w:hAnsi="Times New Roman"/>
                <w:noProof/>
                <w:sz w:val="24"/>
                <w:lang w:val="pl-PL"/>
              </w:rPr>
              <w:t xml:space="preserve"> duża internetowa platforma handlowa dostosowała swoje praktyki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zak</w:t>
            </w:r>
            <w:r w:rsidRPr="00A3695F">
              <w:rPr>
                <w:rFonts w:ascii="Times New Roman" w:hAnsi="Times New Roman"/>
                <w:noProof/>
                <w:sz w:val="24"/>
                <w:lang w:val="pl-PL"/>
              </w:rPr>
              <w:t>resie anulowania do unijnych przepisów konsumenckich. Dzięki temu konsumenci będą mogli łatwiej niż</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eszłości zrezygnować</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abo</w:t>
            </w:r>
            <w:r w:rsidRPr="00A3695F">
              <w:rPr>
                <w:rFonts w:ascii="Times New Roman" w:hAnsi="Times New Roman"/>
                <w:noProof/>
                <w:sz w:val="24"/>
                <w:lang w:val="pl-PL"/>
              </w:rPr>
              <w:t>namentu na usługi premium, do czego potrzeba będzie tylko dwóch kliknięć oraz widocznego</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wyr</w:t>
            </w:r>
            <w:r w:rsidRPr="00A3695F">
              <w:rPr>
                <w:rFonts w:ascii="Times New Roman" w:hAnsi="Times New Roman"/>
                <w:noProof/>
                <w:sz w:val="24"/>
                <w:lang w:val="pl-PL"/>
              </w:rPr>
              <w:t>aźnego przycisku „Anuluj”.</w:t>
            </w:r>
          </w:p>
          <w:p w14:paraId="1A34521F" w14:textId="07C971D1" w:rsidR="002267EE" w:rsidRPr="003937FF" w:rsidRDefault="002267EE" w:rsidP="001F57F0">
            <w:pPr>
              <w:pStyle w:val="Style2"/>
              <w:rPr>
                <w:noProof/>
                <w:lang w:val="pl-PL"/>
              </w:rPr>
            </w:pPr>
            <w:r w:rsidRPr="003937FF">
              <w:rPr>
                <w:noProof/>
                <w:lang w:val="pl-PL"/>
              </w:rPr>
              <w:t>Szkolenie MŚP</w:t>
            </w:r>
            <w:r w:rsidR="003937FF" w:rsidRPr="003937FF">
              <w:rPr>
                <w:noProof/>
                <w:lang w:val="pl-PL"/>
              </w:rPr>
              <w:t xml:space="preserve"> w</w:t>
            </w:r>
            <w:r w:rsidR="003937FF">
              <w:rPr>
                <w:rFonts w:ascii="Calibri" w:hAnsi="Calibri" w:cs="Calibri"/>
                <w:noProof/>
                <w:lang w:val="pl-PL"/>
              </w:rPr>
              <w:t> </w:t>
            </w:r>
            <w:r w:rsidR="003937FF" w:rsidRPr="003937FF">
              <w:rPr>
                <w:noProof/>
                <w:lang w:val="pl-PL"/>
              </w:rPr>
              <w:t>zak</w:t>
            </w:r>
            <w:r w:rsidRPr="003937FF">
              <w:rPr>
                <w:noProof/>
                <w:lang w:val="pl-PL"/>
              </w:rPr>
              <w:t>resie prawa ochrony konsumentów</w:t>
            </w:r>
          </w:p>
          <w:p w14:paraId="643F1C97" w14:textId="0740F724" w:rsidR="00DC3EC3" w:rsidRPr="00A3695F" w:rsidRDefault="00087675" w:rsidP="00D745A7">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Projekt „Consumer Law Ready”</w:t>
            </w:r>
            <w:r w:rsidRPr="00A3695F">
              <w:rPr>
                <w:rStyle w:val="FootnoteReference"/>
                <w:rFonts w:ascii="Times New Roman" w:hAnsi="Times New Roman" w:cs="Times New Roman"/>
                <w:noProof/>
                <w:sz w:val="24"/>
                <w:lang w:val="pl-PL"/>
              </w:rPr>
              <w:footnoteReference w:id="37"/>
            </w:r>
            <w:r w:rsidRPr="00A3695F">
              <w:rPr>
                <w:rFonts w:ascii="Times New Roman" w:hAnsi="Times New Roman"/>
                <w:noProof/>
                <w:sz w:val="24"/>
                <w:vertAlign w:val="superscript"/>
                <w:lang w:val="pl-PL"/>
              </w:rPr>
              <w:t xml:space="preserve"> </w:t>
            </w:r>
            <w:r w:rsidRPr="00A3695F">
              <w:rPr>
                <w:rFonts w:ascii="Times New Roman" w:hAnsi="Times New Roman"/>
                <w:noProof/>
                <w:sz w:val="24"/>
                <w:lang w:val="pl-PL"/>
              </w:rPr>
              <w:t>to ogólnounijny program szkoleniowy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zak</w:t>
            </w:r>
            <w:r w:rsidRPr="00A3695F">
              <w:rPr>
                <w:rFonts w:ascii="Times New Roman" w:hAnsi="Times New Roman"/>
                <w:noProof/>
                <w:sz w:val="24"/>
                <w:lang w:val="pl-PL"/>
              </w:rPr>
              <w:t>resie prawa ochrony konsumentów przeznaczony dla małych</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śre</w:t>
            </w:r>
            <w:r w:rsidRPr="00A3695F">
              <w:rPr>
                <w:rFonts w:ascii="Times New Roman" w:hAnsi="Times New Roman"/>
                <w:noProof/>
                <w:sz w:val="24"/>
                <w:lang w:val="pl-PL"/>
              </w:rPr>
              <w:t>dnich przedsiębiorstw. Główny instruktor wyznaczony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każ</w:t>
            </w:r>
            <w:r w:rsidRPr="00A3695F">
              <w:rPr>
                <w:rFonts w:ascii="Times New Roman" w:hAnsi="Times New Roman"/>
                <w:noProof/>
                <w:sz w:val="24"/>
                <w:lang w:val="pl-PL"/>
              </w:rPr>
              <w:t>dym państwie członkowskim prowadzi szkolenie pośredników, którzy następnie szkolą MŚP. Pomoże to zminimalizować naruszenia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zwi</w:t>
            </w:r>
            <w:r w:rsidRPr="00A3695F">
              <w:rPr>
                <w:rFonts w:ascii="Times New Roman" w:hAnsi="Times New Roman"/>
                <w:noProof/>
                <w:sz w:val="24"/>
                <w:lang w:val="pl-PL"/>
              </w:rPr>
              <w:t>ększyć świadomość</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zak</w:t>
            </w:r>
            <w:r w:rsidRPr="00A3695F">
              <w:rPr>
                <w:rFonts w:ascii="Times New Roman" w:hAnsi="Times New Roman"/>
                <w:noProof/>
                <w:sz w:val="24"/>
                <w:lang w:val="pl-PL"/>
              </w:rPr>
              <w:t xml:space="preserve">resie funkcjonowania unijnego prawa ochrony konsumentów. </w:t>
            </w:r>
          </w:p>
        </w:tc>
      </w:tr>
    </w:tbl>
    <w:p w14:paraId="7181713B" w14:textId="77777777" w:rsidR="00CE194A" w:rsidRPr="003937FF" w:rsidRDefault="00CE194A" w:rsidP="001F57F0">
      <w:pPr>
        <w:pStyle w:val="Heading11"/>
        <w:numPr>
          <w:ilvl w:val="0"/>
          <w:numId w:val="1"/>
        </w:numPr>
        <w:spacing w:before="480"/>
        <w:ind w:left="1077"/>
        <w:rPr>
          <w:noProof/>
          <w:u w:val="none"/>
          <w:lang w:val="pl-PL"/>
        </w:rPr>
      </w:pPr>
      <w:r w:rsidRPr="003937FF">
        <w:rPr>
          <w:noProof/>
          <w:u w:val="none"/>
          <w:lang w:val="pl-PL"/>
        </w:rPr>
        <w:t>INTELIGENTNE EGZEKWOWANIE – ZAPOBIEGANIE NARUSZENIOM PRAWA UNII OD SAMEGO POCZĄTKU</w:t>
      </w:r>
    </w:p>
    <w:p w14:paraId="0DE1E0AB" w14:textId="2BF17800" w:rsidR="00064F82" w:rsidRPr="00A3695F" w:rsidRDefault="00064F82" w:rsidP="00064F82">
      <w:pPr>
        <w:jc w:val="both"/>
        <w:rPr>
          <w:rFonts w:ascii="Times New Roman" w:hAnsi="Times New Roman" w:cs="Times New Roman"/>
          <w:noProof/>
          <w:sz w:val="24"/>
          <w:lang w:val="pl-PL"/>
        </w:rPr>
      </w:pPr>
      <w:r w:rsidRPr="00A3695F">
        <w:rPr>
          <w:rFonts w:ascii="Times New Roman" w:hAnsi="Times New Roman"/>
          <w:noProof/>
          <w:sz w:val="24"/>
          <w:lang w:val="pl-PL"/>
        </w:rPr>
        <w:t>Aby przewidywać naruszenia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ich</w:t>
      </w:r>
      <w:r w:rsidRPr="00A3695F">
        <w:rPr>
          <w:rFonts w:ascii="Times New Roman" w:hAnsi="Times New Roman"/>
          <w:noProof/>
          <w:sz w:val="24"/>
          <w:lang w:val="pl-PL"/>
        </w:rPr>
        <w:t xml:space="preserve"> unikać, Komisja bierze pod uwagę kwestie związane</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wdr</w:t>
      </w:r>
      <w:r w:rsidRPr="00A3695F">
        <w:rPr>
          <w:rFonts w:ascii="Times New Roman" w:hAnsi="Times New Roman"/>
          <w:noProof/>
          <w:sz w:val="24"/>
          <w:lang w:val="pl-PL"/>
        </w:rPr>
        <w:t>ażaniem</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egz</w:t>
      </w:r>
      <w:r w:rsidRPr="00A3695F">
        <w:rPr>
          <w:rFonts w:ascii="Times New Roman" w:hAnsi="Times New Roman"/>
          <w:noProof/>
          <w:sz w:val="24"/>
          <w:lang w:val="pl-PL"/>
        </w:rPr>
        <w:t>ekwowaniem prawa już przy opracowywaniu wniosków dotyczących przepisów UE. Strategie wdrażania</w:t>
      </w:r>
      <w:r w:rsidRPr="00A3695F">
        <w:rPr>
          <w:rStyle w:val="FootnoteReference"/>
          <w:rFonts w:ascii="Times New Roman" w:hAnsi="Times New Roman" w:cs="Times New Roman"/>
          <w:noProof/>
          <w:sz w:val="24"/>
          <w:lang w:val="pl-PL"/>
        </w:rPr>
        <w:footnoteReference w:id="38"/>
      </w:r>
      <w:r w:rsidRPr="00A3695F">
        <w:rPr>
          <w:rFonts w:ascii="Times New Roman" w:hAnsi="Times New Roman"/>
          <w:noProof/>
          <w:sz w:val="24"/>
          <w:lang w:val="pl-PL"/>
        </w:rPr>
        <w:t xml:space="preserve"> opracowane przez Komisję we współpracy</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adm</w:t>
      </w:r>
      <w:r w:rsidRPr="00A3695F">
        <w:rPr>
          <w:rFonts w:ascii="Times New Roman" w:hAnsi="Times New Roman"/>
          <w:noProof/>
          <w:sz w:val="24"/>
          <w:lang w:val="pl-PL"/>
        </w:rPr>
        <w:t>inistracjami krajowymi pomagają określić główne wyzwania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zak</w:t>
      </w:r>
      <w:r w:rsidRPr="00A3695F">
        <w:rPr>
          <w:rFonts w:ascii="Times New Roman" w:hAnsi="Times New Roman"/>
          <w:noProof/>
          <w:sz w:val="24"/>
          <w:lang w:val="pl-PL"/>
        </w:rPr>
        <w:t>resie transpozycji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sto</w:t>
      </w:r>
      <w:r w:rsidRPr="00A3695F">
        <w:rPr>
          <w:rFonts w:ascii="Times New Roman" w:hAnsi="Times New Roman"/>
          <w:noProof/>
          <w:sz w:val="24"/>
          <w:lang w:val="pl-PL"/>
        </w:rPr>
        <w:t>sowania przepisów UE, przed którymi stoją państwa członkowskie, oraz wskazują narzędzia, którymi Komisja posługuje się, by wspomagać przestrzeganie przepisów.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2F9"/>
        <w:tblLook w:val="04A0" w:firstRow="1" w:lastRow="0" w:firstColumn="1" w:lastColumn="0" w:noHBand="0" w:noVBand="1"/>
      </w:tblPr>
      <w:tblGrid>
        <w:gridCol w:w="9288"/>
      </w:tblGrid>
      <w:tr w:rsidR="001F57F0" w:rsidRPr="00A3695F" w14:paraId="5A4F43D1" w14:textId="77777777" w:rsidTr="001F57F0">
        <w:tc>
          <w:tcPr>
            <w:tcW w:w="9288" w:type="dxa"/>
            <w:shd w:val="clear" w:color="auto" w:fill="EDF2F9"/>
          </w:tcPr>
          <w:p w14:paraId="2D74B9E4" w14:textId="3ECDEC5E" w:rsidR="001F57F0" w:rsidRPr="003937FF" w:rsidRDefault="001F57F0" w:rsidP="001F57F0">
            <w:pPr>
              <w:pStyle w:val="Style2"/>
              <w:rPr>
                <w:noProof/>
                <w:lang w:val="pl-PL"/>
              </w:rPr>
            </w:pPr>
            <w:r w:rsidRPr="003937FF">
              <w:rPr>
                <w:noProof/>
                <w:lang w:val="pl-PL"/>
              </w:rPr>
              <w:t>Pomaganie państwom członkowskim</w:t>
            </w:r>
            <w:r w:rsidR="003937FF" w:rsidRPr="003937FF">
              <w:rPr>
                <w:noProof/>
                <w:lang w:val="pl-PL"/>
              </w:rPr>
              <w:t xml:space="preserve"> w</w:t>
            </w:r>
            <w:r w:rsidR="003937FF">
              <w:rPr>
                <w:rFonts w:ascii="Calibri" w:hAnsi="Calibri" w:cs="Calibri"/>
                <w:noProof/>
                <w:lang w:val="pl-PL"/>
              </w:rPr>
              <w:t> </w:t>
            </w:r>
            <w:r w:rsidR="003937FF" w:rsidRPr="003937FF">
              <w:rPr>
                <w:noProof/>
                <w:lang w:val="pl-PL"/>
              </w:rPr>
              <w:t>prz</w:t>
            </w:r>
            <w:r w:rsidRPr="003937FF">
              <w:rPr>
                <w:noProof/>
                <w:lang w:val="pl-PL"/>
              </w:rPr>
              <w:t>ygotowaniu się do wdrożenia</w:t>
            </w:r>
          </w:p>
          <w:p w14:paraId="720C3B63" w14:textId="5083E45B" w:rsidR="001F57F0" w:rsidRPr="00A3695F" w:rsidRDefault="001F57F0" w:rsidP="001F57F0">
            <w:pPr>
              <w:pStyle w:val="Style2"/>
              <w:spacing w:line="276" w:lineRule="auto"/>
              <w:rPr>
                <w:rFonts w:ascii="Times New Roman" w:hAnsi="Times New Roman"/>
                <w:b w:val="0"/>
                <w:i w:val="0"/>
                <w:noProof/>
                <w:lang w:val="pl-PL"/>
              </w:rPr>
            </w:pPr>
            <w:r w:rsidRPr="003937FF">
              <w:rPr>
                <w:rFonts w:ascii="Times New Roman" w:hAnsi="Times New Roman"/>
                <w:i w:val="0"/>
                <w:noProof/>
                <w:lang w:val="pl-PL"/>
              </w:rPr>
              <w:t>Rozporządzenie</w:t>
            </w:r>
            <w:r w:rsidR="003937FF" w:rsidRPr="003937FF">
              <w:rPr>
                <w:rFonts w:ascii="Times New Roman" w:hAnsi="Times New Roman"/>
                <w:i w:val="0"/>
                <w:noProof/>
                <w:lang w:val="pl-PL"/>
              </w:rPr>
              <w:t xml:space="preserve"> w</w:t>
            </w:r>
            <w:r w:rsidR="003937FF">
              <w:rPr>
                <w:rFonts w:ascii="Times New Roman" w:hAnsi="Times New Roman"/>
                <w:i w:val="0"/>
                <w:noProof/>
                <w:lang w:val="pl-PL"/>
              </w:rPr>
              <w:t> </w:t>
            </w:r>
            <w:r w:rsidR="003937FF" w:rsidRPr="003937FF">
              <w:rPr>
                <w:rFonts w:ascii="Times New Roman" w:hAnsi="Times New Roman"/>
                <w:i w:val="0"/>
                <w:noProof/>
                <w:lang w:val="pl-PL"/>
              </w:rPr>
              <w:t>spr</w:t>
            </w:r>
            <w:r w:rsidRPr="003937FF">
              <w:rPr>
                <w:rFonts w:ascii="Times New Roman" w:hAnsi="Times New Roman"/>
                <w:i w:val="0"/>
                <w:noProof/>
                <w:lang w:val="pl-PL"/>
              </w:rPr>
              <w:t>awie oceny technologii medycznych</w:t>
            </w:r>
            <w:r w:rsidRPr="00A3695F">
              <w:rPr>
                <w:rStyle w:val="FootnoteReference"/>
                <w:rFonts w:ascii="Times New Roman" w:hAnsi="Times New Roman"/>
                <w:b w:val="0"/>
                <w:i w:val="0"/>
                <w:noProof/>
                <w:lang w:val="pl-PL"/>
              </w:rPr>
              <w:footnoteReference w:id="39"/>
            </w:r>
            <w:r w:rsidRPr="00A3695F">
              <w:rPr>
                <w:rFonts w:ascii="Times New Roman" w:hAnsi="Times New Roman"/>
                <w:b w:val="0"/>
                <w:i w:val="0"/>
                <w:noProof/>
                <w:lang w:val="pl-PL"/>
              </w:rPr>
              <w:t xml:space="preserve"> ma na celu poprawę dostępu pacjentów w UE do innowacyjnych technologii</w:t>
            </w:r>
            <w:r w:rsidR="003937FF" w:rsidRPr="00A3695F">
              <w:rPr>
                <w:rFonts w:ascii="Times New Roman" w:hAnsi="Times New Roman"/>
                <w:b w:val="0"/>
                <w:i w:val="0"/>
                <w:noProof/>
                <w:lang w:val="pl-PL"/>
              </w:rPr>
              <w:t xml:space="preserve"> w</w:t>
            </w:r>
            <w:r w:rsidR="003937FF">
              <w:rPr>
                <w:rFonts w:ascii="Times New Roman" w:hAnsi="Times New Roman"/>
                <w:b w:val="0"/>
                <w:i w:val="0"/>
                <w:noProof/>
                <w:lang w:val="pl-PL"/>
              </w:rPr>
              <w:t> </w:t>
            </w:r>
            <w:r w:rsidR="003937FF" w:rsidRPr="00A3695F">
              <w:rPr>
                <w:rFonts w:ascii="Times New Roman" w:hAnsi="Times New Roman"/>
                <w:b w:val="0"/>
                <w:i w:val="0"/>
                <w:noProof/>
                <w:lang w:val="pl-PL"/>
              </w:rPr>
              <w:t>dzi</w:t>
            </w:r>
            <w:r w:rsidRPr="00A3695F">
              <w:rPr>
                <w:rFonts w:ascii="Times New Roman" w:hAnsi="Times New Roman"/>
                <w:b w:val="0"/>
                <w:i w:val="0"/>
                <w:noProof/>
                <w:lang w:val="pl-PL"/>
              </w:rPr>
              <w:t>edzinie zdrowia, między innymi związanych</w:t>
            </w:r>
            <w:r w:rsidR="003937FF" w:rsidRPr="00A3695F">
              <w:rPr>
                <w:rFonts w:ascii="Times New Roman" w:hAnsi="Times New Roman"/>
                <w:b w:val="0"/>
                <w:i w:val="0"/>
                <w:noProof/>
                <w:lang w:val="pl-PL"/>
              </w:rPr>
              <w:t xml:space="preserve"> z</w:t>
            </w:r>
            <w:r w:rsidR="003937FF">
              <w:rPr>
                <w:rFonts w:ascii="Times New Roman" w:hAnsi="Times New Roman"/>
                <w:b w:val="0"/>
                <w:i w:val="0"/>
                <w:noProof/>
                <w:lang w:val="pl-PL"/>
              </w:rPr>
              <w:t> </w:t>
            </w:r>
            <w:r w:rsidR="003937FF" w:rsidRPr="00A3695F">
              <w:rPr>
                <w:rFonts w:ascii="Times New Roman" w:hAnsi="Times New Roman"/>
                <w:b w:val="0"/>
                <w:i w:val="0"/>
                <w:noProof/>
                <w:lang w:val="pl-PL"/>
              </w:rPr>
              <w:t>lek</w:t>
            </w:r>
            <w:r w:rsidRPr="00A3695F">
              <w:rPr>
                <w:rFonts w:ascii="Times New Roman" w:hAnsi="Times New Roman"/>
                <w:b w:val="0"/>
                <w:i w:val="0"/>
                <w:noProof/>
                <w:lang w:val="pl-PL"/>
              </w:rPr>
              <w:t>ami</w:t>
            </w:r>
            <w:r w:rsidR="003937FF" w:rsidRPr="00A3695F">
              <w:rPr>
                <w:rFonts w:ascii="Times New Roman" w:hAnsi="Times New Roman"/>
                <w:b w:val="0"/>
                <w:i w:val="0"/>
                <w:noProof/>
                <w:lang w:val="pl-PL"/>
              </w:rPr>
              <w:t xml:space="preserve"> i</w:t>
            </w:r>
            <w:r w:rsidR="003937FF">
              <w:rPr>
                <w:rFonts w:ascii="Times New Roman" w:hAnsi="Times New Roman"/>
                <w:b w:val="0"/>
                <w:i w:val="0"/>
                <w:noProof/>
                <w:lang w:val="pl-PL"/>
              </w:rPr>
              <w:t> </w:t>
            </w:r>
            <w:r w:rsidR="003937FF" w:rsidRPr="00A3695F">
              <w:rPr>
                <w:rFonts w:ascii="Times New Roman" w:hAnsi="Times New Roman"/>
                <w:b w:val="0"/>
                <w:i w:val="0"/>
                <w:noProof/>
                <w:lang w:val="pl-PL"/>
              </w:rPr>
              <w:t>wyr</w:t>
            </w:r>
            <w:r w:rsidRPr="00A3695F">
              <w:rPr>
                <w:rFonts w:ascii="Times New Roman" w:hAnsi="Times New Roman"/>
                <w:b w:val="0"/>
                <w:i w:val="0"/>
                <w:noProof/>
                <w:lang w:val="pl-PL"/>
              </w:rPr>
              <w:t>obami medycznymi. Komisja opublikowała plan kroczący</w:t>
            </w:r>
            <w:r w:rsidRPr="00A3695F">
              <w:rPr>
                <w:rStyle w:val="FootnoteReference"/>
                <w:rFonts w:ascii="Times New Roman" w:hAnsi="Times New Roman"/>
                <w:b w:val="0"/>
                <w:i w:val="0"/>
                <w:noProof/>
                <w:lang w:val="pl-PL"/>
              </w:rPr>
              <w:footnoteReference w:id="40"/>
            </w:r>
            <w:r w:rsidRPr="00A3695F">
              <w:rPr>
                <w:rFonts w:ascii="Times New Roman" w:hAnsi="Times New Roman"/>
                <w:b w:val="0"/>
                <w:i w:val="0"/>
                <w:noProof/>
                <w:lang w:val="pl-PL"/>
              </w:rPr>
              <w:t xml:space="preserve"> służący wsparciu organów krajowych, podmiotów opracowujących technologię medyczną</w:t>
            </w:r>
            <w:r w:rsidR="003937FF" w:rsidRPr="00A3695F">
              <w:rPr>
                <w:rFonts w:ascii="Times New Roman" w:hAnsi="Times New Roman"/>
                <w:b w:val="0"/>
                <w:i w:val="0"/>
                <w:noProof/>
                <w:lang w:val="pl-PL"/>
              </w:rPr>
              <w:t xml:space="preserve"> i</w:t>
            </w:r>
            <w:r w:rsidR="003937FF">
              <w:rPr>
                <w:rFonts w:ascii="Times New Roman" w:hAnsi="Times New Roman"/>
                <w:b w:val="0"/>
                <w:i w:val="0"/>
                <w:noProof/>
                <w:lang w:val="pl-PL"/>
              </w:rPr>
              <w:t> </w:t>
            </w:r>
            <w:r w:rsidR="003937FF" w:rsidRPr="00A3695F">
              <w:rPr>
                <w:rFonts w:ascii="Times New Roman" w:hAnsi="Times New Roman"/>
                <w:b w:val="0"/>
                <w:i w:val="0"/>
                <w:noProof/>
                <w:lang w:val="pl-PL"/>
              </w:rPr>
              <w:t>zai</w:t>
            </w:r>
            <w:r w:rsidRPr="00A3695F">
              <w:rPr>
                <w:rFonts w:ascii="Times New Roman" w:hAnsi="Times New Roman"/>
                <w:b w:val="0"/>
                <w:i w:val="0"/>
                <w:noProof/>
                <w:lang w:val="pl-PL"/>
              </w:rPr>
              <w:t>nteresowanych stron we wdrożeniu tego aktu prawnego, gdy zacznie on obowiązywać</w:t>
            </w:r>
            <w:r w:rsidR="003937FF" w:rsidRPr="00A3695F">
              <w:rPr>
                <w:rFonts w:ascii="Times New Roman" w:hAnsi="Times New Roman"/>
                <w:b w:val="0"/>
                <w:i w:val="0"/>
                <w:noProof/>
                <w:lang w:val="pl-PL"/>
              </w:rPr>
              <w:t xml:space="preserve"> w</w:t>
            </w:r>
            <w:r w:rsidR="003937FF">
              <w:rPr>
                <w:rFonts w:ascii="Times New Roman" w:hAnsi="Times New Roman"/>
                <w:b w:val="0"/>
                <w:i w:val="0"/>
                <w:noProof/>
                <w:lang w:val="pl-PL"/>
              </w:rPr>
              <w:t> </w:t>
            </w:r>
            <w:r w:rsidR="003937FF" w:rsidRPr="00A3695F">
              <w:rPr>
                <w:rFonts w:ascii="Times New Roman" w:hAnsi="Times New Roman"/>
                <w:b w:val="0"/>
                <w:i w:val="0"/>
                <w:noProof/>
                <w:lang w:val="pl-PL"/>
              </w:rPr>
              <w:t>2</w:t>
            </w:r>
            <w:r w:rsidRPr="00A3695F">
              <w:rPr>
                <w:rFonts w:ascii="Times New Roman" w:hAnsi="Times New Roman"/>
                <w:b w:val="0"/>
                <w:i w:val="0"/>
                <w:noProof/>
                <w:lang w:val="pl-PL"/>
              </w:rPr>
              <w:t>0</w:t>
            </w:r>
            <w:r w:rsidRPr="003937FF">
              <w:rPr>
                <w:rFonts w:ascii="Times New Roman" w:hAnsi="Times New Roman"/>
                <w:b w:val="0"/>
                <w:i w:val="0"/>
                <w:noProof/>
                <w:lang w:val="pl-PL"/>
              </w:rPr>
              <w:t>25</w:t>
            </w:r>
            <w:r w:rsidR="003937FF" w:rsidRPr="003937FF">
              <w:rPr>
                <w:rFonts w:ascii="Times New Roman" w:hAnsi="Times New Roman"/>
                <w:b w:val="0"/>
                <w:i w:val="0"/>
                <w:noProof/>
                <w:lang w:val="pl-PL"/>
              </w:rPr>
              <w:t> </w:t>
            </w:r>
            <w:r w:rsidRPr="003937FF">
              <w:rPr>
                <w:rFonts w:ascii="Times New Roman" w:hAnsi="Times New Roman"/>
                <w:b w:val="0"/>
                <w:i w:val="0"/>
                <w:noProof/>
                <w:lang w:val="pl-PL"/>
              </w:rPr>
              <w:t>r.</w:t>
            </w:r>
          </w:p>
        </w:tc>
      </w:tr>
    </w:tbl>
    <w:p w14:paraId="2DE996B2" w14:textId="77777777" w:rsidR="001F57F0" w:rsidRPr="00A3695F" w:rsidRDefault="001F57F0" w:rsidP="004C03AC">
      <w:pPr>
        <w:spacing w:after="0"/>
        <w:jc w:val="both"/>
        <w:rPr>
          <w:rFonts w:ascii="Times New Roman" w:hAnsi="Times New Roman" w:cs="Times New Roman"/>
          <w:noProof/>
          <w:lang w:val="pl-PL"/>
        </w:rPr>
      </w:pPr>
    </w:p>
    <w:p w14:paraId="75470879" w14:textId="64A829D7" w:rsidR="00CC3F9E" w:rsidRPr="00A3695F" w:rsidRDefault="00583E4C" w:rsidP="001146ED">
      <w:pPr>
        <w:jc w:val="both"/>
        <w:rPr>
          <w:rFonts w:ascii="Times New Roman" w:hAnsi="Times New Roman" w:cs="Times New Roman"/>
          <w:noProof/>
          <w:sz w:val="24"/>
          <w:lang w:val="pl-PL"/>
        </w:rPr>
      </w:pPr>
      <w:r w:rsidRPr="00A3695F">
        <w:rPr>
          <w:rFonts w:ascii="Times New Roman" w:hAnsi="Times New Roman"/>
          <w:noProof/>
          <w:sz w:val="24"/>
          <w:lang w:val="pl-PL"/>
        </w:rPr>
        <w:t>Aby uniknąć rozbieżnych interpretacji nowo przyjętych przepisów UE oraz wspierać wspólne rozumienie obowiązujących przepisów, Komisja zapewnia państwom członkowskim, przedsiębiorstwom, zainteresowanym stronom</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ogó</w:t>
      </w:r>
      <w:r w:rsidRPr="00A3695F">
        <w:rPr>
          <w:rFonts w:ascii="Times New Roman" w:hAnsi="Times New Roman"/>
          <w:noProof/>
          <w:sz w:val="24"/>
          <w:lang w:val="pl-PL"/>
        </w:rPr>
        <w:t>łowi społeczeństwa praktyczne wytyczne</w:t>
      </w:r>
      <w:r w:rsidRPr="00A3695F">
        <w:rPr>
          <w:rStyle w:val="FootnoteReference"/>
          <w:rFonts w:ascii="Times New Roman" w:hAnsi="Times New Roman" w:cs="Times New Roman"/>
          <w:noProof/>
          <w:sz w:val="24"/>
          <w:lang w:val="pl-PL"/>
        </w:rPr>
        <w:footnoteReference w:id="41"/>
      </w:r>
      <w:r w:rsidRPr="00A3695F">
        <w:rPr>
          <w:rFonts w:ascii="Times New Roman" w:hAnsi="Times New Roman"/>
          <w:noProof/>
          <w:sz w:val="24"/>
          <w:lang w:val="pl-PL"/>
        </w:rPr>
        <w:t xml:space="preserve"> dotyczące rozumienia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sto</w:t>
      </w:r>
      <w:r w:rsidRPr="00A3695F">
        <w:rPr>
          <w:rFonts w:ascii="Times New Roman" w:hAnsi="Times New Roman"/>
          <w:noProof/>
          <w:sz w:val="24"/>
          <w:lang w:val="pl-PL"/>
        </w:rPr>
        <w:t>sowania konkretnych aspektów prawa Unii.</w:t>
      </w:r>
    </w:p>
    <w:p w14:paraId="411CF3AE" w14:textId="0CF9DF1E" w:rsidR="001E2380" w:rsidRPr="00A3695F" w:rsidRDefault="00D12685" w:rsidP="003C77B9">
      <w:pPr>
        <w:jc w:val="both"/>
        <w:rPr>
          <w:rFonts w:ascii="Times New Roman" w:hAnsi="Times New Roman" w:cs="Times New Roman"/>
          <w:noProof/>
          <w:sz w:val="24"/>
          <w:lang w:val="pl-PL"/>
        </w:rPr>
      </w:pPr>
      <w:r w:rsidRPr="00A3695F">
        <w:rPr>
          <w:rFonts w:ascii="Times New Roman" w:hAnsi="Times New Roman"/>
          <w:noProof/>
          <w:sz w:val="24"/>
          <w:lang w:val="pl-PL"/>
        </w:rPr>
        <w:t>Wytyczne te mogą na przykład mieć postać wytycznych dotyczących wykładni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sto</w:t>
      </w:r>
      <w:r w:rsidRPr="00A3695F">
        <w:rPr>
          <w:rFonts w:ascii="Times New Roman" w:hAnsi="Times New Roman"/>
          <w:noProof/>
          <w:sz w:val="24"/>
          <w:lang w:val="pl-PL"/>
        </w:rPr>
        <w:t>sowania prawa Unii lub „często zadawanych pytań” opublikowanych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int</w:t>
      </w:r>
      <w:r w:rsidRPr="00A3695F">
        <w:rPr>
          <w:rFonts w:ascii="Times New Roman" w:hAnsi="Times New Roman"/>
          <w:noProof/>
          <w:sz w:val="24"/>
          <w:lang w:val="pl-PL"/>
        </w:rPr>
        <w:t>ernecie. Wydano je we wszystkich najważniejszych obszarach polityki</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szc</w:t>
      </w:r>
      <w:r w:rsidRPr="00A3695F">
        <w:rPr>
          <w:rFonts w:ascii="Times New Roman" w:hAnsi="Times New Roman"/>
          <w:noProof/>
          <w:sz w:val="24"/>
          <w:lang w:val="pl-PL"/>
        </w:rPr>
        <w:t>zególności Komisja wykorzystuje wytyczne, aby towarzyszyć państwom członkowskim</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pro</w:t>
      </w:r>
      <w:r w:rsidRPr="00A3695F">
        <w:rPr>
          <w:rFonts w:ascii="Times New Roman" w:hAnsi="Times New Roman"/>
          <w:noProof/>
          <w:sz w:val="24"/>
          <w:lang w:val="pl-PL"/>
        </w:rPr>
        <w:t>cesie transpozycji dyrektyw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sto</w:t>
      </w:r>
      <w:r w:rsidRPr="00A3695F">
        <w:rPr>
          <w:rFonts w:ascii="Times New Roman" w:hAnsi="Times New Roman"/>
          <w:noProof/>
          <w:sz w:val="24"/>
          <w:lang w:val="pl-PL"/>
        </w:rPr>
        <w:t>sowania rozporządzeń, rozpoczynającym się zazwyczaj bezpośrednio po przyjęciu aktu,</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tak</w:t>
      </w:r>
      <w:r w:rsidRPr="00A3695F">
        <w:rPr>
          <w:rFonts w:ascii="Times New Roman" w:hAnsi="Times New Roman"/>
          <w:noProof/>
          <w:sz w:val="24"/>
          <w:lang w:val="pl-PL"/>
        </w:rPr>
        <w:t>że aby konsolidować orzecznictwo Trybunału Sprawiedliwości</w:t>
      </w:r>
      <w:r w:rsidRPr="00A3695F">
        <w:rPr>
          <w:rStyle w:val="FootnoteReference"/>
          <w:rFonts w:ascii="Times New Roman" w:hAnsi="Times New Roman" w:cs="Times New Roman"/>
          <w:noProof/>
          <w:sz w:val="24"/>
          <w:lang w:val="pl-PL"/>
        </w:rPr>
        <w:footnoteReference w:id="42"/>
      </w:r>
      <w:r w:rsidRPr="00A3695F">
        <w:rPr>
          <w:rFonts w:ascii="Times New Roman" w:hAnsi="Times New Roman"/>
          <w:noProof/>
          <w:sz w:val="24"/>
          <w:lang w:val="pl-PL"/>
        </w:rPr>
        <w:t>.</w:t>
      </w:r>
    </w:p>
    <w:tbl>
      <w:tblPr>
        <w:tblStyle w:val="law"/>
        <w:tblW w:w="9288" w:type="dxa"/>
        <w:shd w:val="clear" w:color="auto" w:fill="DBE5F1" w:themeFill="accent1" w:themeFillTint="33"/>
        <w:tblLook w:val="04A0" w:firstRow="1" w:lastRow="0" w:firstColumn="1" w:lastColumn="0" w:noHBand="0" w:noVBand="1"/>
      </w:tblPr>
      <w:tblGrid>
        <w:gridCol w:w="9288"/>
      </w:tblGrid>
      <w:tr w:rsidR="00DB60C8" w:rsidRPr="00A3695F" w14:paraId="689006AC" w14:textId="77777777" w:rsidTr="001F57F0">
        <w:tc>
          <w:tcPr>
            <w:tcW w:w="9288" w:type="dxa"/>
            <w:shd w:val="clear" w:color="auto" w:fill="EDF2F9"/>
          </w:tcPr>
          <w:p w14:paraId="0EBD3F71" w14:textId="16EB2FE5" w:rsidR="003C77B9" w:rsidRPr="003937FF" w:rsidRDefault="003C77B9" w:rsidP="006E12BE">
            <w:pPr>
              <w:pStyle w:val="Style2"/>
              <w:rPr>
                <w:noProof/>
                <w:lang w:val="pl-PL"/>
              </w:rPr>
            </w:pPr>
            <w:r w:rsidRPr="003937FF">
              <w:rPr>
                <w:noProof/>
                <w:lang w:val="pl-PL"/>
              </w:rPr>
              <w:t>Wytyczne Komisji mające pomóc</w:t>
            </w:r>
            <w:r w:rsidR="003937FF" w:rsidRPr="003937FF">
              <w:rPr>
                <w:noProof/>
                <w:lang w:val="pl-PL"/>
              </w:rPr>
              <w:t xml:space="preserve"> w</w:t>
            </w:r>
            <w:r w:rsidR="003937FF">
              <w:rPr>
                <w:rFonts w:ascii="Calibri" w:hAnsi="Calibri" w:cs="Calibri"/>
                <w:noProof/>
                <w:lang w:val="pl-PL"/>
              </w:rPr>
              <w:t> </w:t>
            </w:r>
            <w:r w:rsidR="003937FF" w:rsidRPr="003937FF">
              <w:rPr>
                <w:noProof/>
                <w:lang w:val="pl-PL"/>
              </w:rPr>
              <w:t>pra</w:t>
            </w:r>
            <w:r w:rsidRPr="003937FF">
              <w:rPr>
                <w:noProof/>
                <w:lang w:val="pl-PL"/>
              </w:rPr>
              <w:t>ktycznym stosowaniu prawodawstwa</w:t>
            </w:r>
          </w:p>
          <w:p w14:paraId="0D3794BE" w14:textId="2400924C" w:rsidR="00DA3350" w:rsidRPr="00A3695F" w:rsidRDefault="005E6774" w:rsidP="00D745A7">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 xml:space="preserve">Wytyczne Komisji dotyczące stosowania </w:t>
            </w:r>
            <w:r w:rsidRPr="003937FF">
              <w:rPr>
                <w:rFonts w:ascii="Times New Roman" w:hAnsi="Times New Roman"/>
                <w:noProof/>
                <w:sz w:val="24"/>
                <w:lang w:val="pl-PL"/>
              </w:rPr>
              <w:t>art.</w:t>
            </w:r>
            <w:r w:rsidR="003937FF" w:rsidRPr="003937FF">
              <w:rPr>
                <w:rFonts w:ascii="Times New Roman" w:hAnsi="Times New Roman"/>
                <w:noProof/>
                <w:sz w:val="24"/>
                <w:lang w:val="pl-PL"/>
              </w:rPr>
              <w:t> </w:t>
            </w:r>
            <w:r w:rsidRPr="003937FF">
              <w:rPr>
                <w:rFonts w:ascii="Times New Roman" w:hAnsi="Times New Roman"/>
                <w:noProof/>
                <w:sz w:val="24"/>
                <w:lang w:val="pl-PL"/>
              </w:rPr>
              <w:t>1</w:t>
            </w:r>
            <w:r w:rsidRPr="00A3695F">
              <w:rPr>
                <w:rFonts w:ascii="Times New Roman" w:hAnsi="Times New Roman"/>
                <w:noProof/>
                <w:sz w:val="24"/>
                <w:lang w:val="pl-PL"/>
              </w:rPr>
              <w:t xml:space="preserve">7 </w:t>
            </w:r>
            <w:r w:rsidRPr="003937FF">
              <w:rPr>
                <w:rFonts w:ascii="Times New Roman" w:hAnsi="Times New Roman"/>
                <w:b/>
                <w:noProof/>
                <w:sz w:val="24"/>
                <w:lang w:val="pl-PL"/>
              </w:rPr>
              <w:t>dyrektywy</w:t>
            </w:r>
            <w:r w:rsidR="003937FF" w:rsidRPr="003937FF">
              <w:rPr>
                <w:rFonts w:ascii="Times New Roman" w:hAnsi="Times New Roman"/>
                <w:b/>
                <w:noProof/>
                <w:sz w:val="24"/>
                <w:lang w:val="pl-PL"/>
              </w:rPr>
              <w:t xml:space="preserve"> w</w:t>
            </w:r>
            <w:r w:rsidR="003937FF">
              <w:rPr>
                <w:rFonts w:ascii="Times New Roman" w:hAnsi="Times New Roman"/>
                <w:b/>
                <w:noProof/>
                <w:sz w:val="24"/>
                <w:lang w:val="pl-PL"/>
              </w:rPr>
              <w:t> </w:t>
            </w:r>
            <w:r w:rsidR="003937FF" w:rsidRPr="003937FF">
              <w:rPr>
                <w:rFonts w:ascii="Times New Roman" w:hAnsi="Times New Roman"/>
                <w:b/>
                <w:noProof/>
                <w:sz w:val="24"/>
                <w:lang w:val="pl-PL"/>
              </w:rPr>
              <w:t>spr</w:t>
            </w:r>
            <w:r w:rsidRPr="003937FF">
              <w:rPr>
                <w:rFonts w:ascii="Times New Roman" w:hAnsi="Times New Roman"/>
                <w:b/>
                <w:noProof/>
                <w:sz w:val="24"/>
                <w:lang w:val="pl-PL"/>
              </w:rPr>
              <w:t>awie prawa autorskiego</w:t>
            </w:r>
            <w:r w:rsidRPr="00A3695F">
              <w:rPr>
                <w:rStyle w:val="FootnoteReference"/>
                <w:rFonts w:ascii="Times New Roman" w:hAnsi="Times New Roman" w:cs="Times New Roman"/>
                <w:noProof/>
                <w:sz w:val="24"/>
                <w:lang w:val="pl-PL"/>
              </w:rPr>
              <w:footnoteReference w:id="43"/>
            </w:r>
            <w:r w:rsidRPr="00A3695F">
              <w:rPr>
                <w:rFonts w:ascii="Times New Roman" w:hAnsi="Times New Roman"/>
                <w:noProof/>
                <w:sz w:val="24"/>
                <w:lang w:val="pl-PL"/>
              </w:rPr>
              <w:t xml:space="preserve"> przyczyniają się do spójnego stosowania we wszystkich państwach członkowskich nowych przepisów dotyczących platform udostępniania treści. Wytyczne są praktycznym dokumentem służącym wyjaśnieniu użytkownikom</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pod</w:t>
            </w:r>
            <w:r w:rsidRPr="00A3695F">
              <w:rPr>
                <w:rFonts w:ascii="Times New Roman" w:hAnsi="Times New Roman"/>
                <w:noProof/>
                <w:sz w:val="24"/>
                <w:lang w:val="pl-PL"/>
              </w:rPr>
              <w:t>miotom praw tego, co można,</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cze</w:t>
            </w:r>
            <w:r w:rsidRPr="00A3695F">
              <w:rPr>
                <w:rFonts w:ascii="Times New Roman" w:hAnsi="Times New Roman"/>
                <w:noProof/>
                <w:sz w:val="24"/>
                <w:lang w:val="pl-PL"/>
              </w:rPr>
              <w:t>go nie można zamieszczać bez zgody podmiotu praw autorskich, oraz kiedy można żądać od platform usunięcia lub przeglądu treści zamieszczonych przez użytkowników.</w:t>
            </w:r>
          </w:p>
          <w:p w14:paraId="2851E377" w14:textId="68A02C68" w:rsidR="00315D25" w:rsidRPr="00A3695F" w:rsidRDefault="00315D25" w:rsidP="00D745A7">
            <w:pPr>
              <w:spacing w:after="120" w:line="276" w:lineRule="auto"/>
              <w:jc w:val="both"/>
              <w:rPr>
                <w:rFonts w:ascii="Times New Roman" w:hAnsi="Times New Roman" w:cs="Times New Roman"/>
                <w:noProof/>
                <w:lang w:val="pl-PL"/>
              </w:rPr>
            </w:pPr>
            <w:r w:rsidRPr="00A3695F">
              <w:rPr>
                <w:rFonts w:ascii="Times New Roman" w:hAnsi="Times New Roman"/>
                <w:noProof/>
                <w:sz w:val="24"/>
                <w:lang w:val="pl-PL"/>
              </w:rPr>
              <w:t xml:space="preserve">Po przyjęciu </w:t>
            </w:r>
            <w:r w:rsidRPr="003937FF">
              <w:rPr>
                <w:rFonts w:ascii="Times New Roman" w:hAnsi="Times New Roman"/>
                <w:b/>
                <w:noProof/>
                <w:sz w:val="24"/>
                <w:lang w:val="pl-PL"/>
              </w:rPr>
              <w:t>pakietu na rzecz mobilności</w:t>
            </w:r>
            <w:r w:rsidRPr="003937FF">
              <w:rPr>
                <w:rStyle w:val="FootnoteReference"/>
                <w:rFonts w:ascii="Times New Roman" w:hAnsi="Times New Roman" w:cs="Times New Roman"/>
                <w:b/>
                <w:noProof/>
                <w:sz w:val="24"/>
                <w:lang w:val="pl-PL"/>
              </w:rPr>
              <w:footnoteReference w:id="44"/>
            </w:r>
            <w:r w:rsidRPr="00A3695F">
              <w:rPr>
                <w:rFonts w:ascii="Times New Roman" w:hAnsi="Times New Roman"/>
                <w:noProof/>
                <w:sz w:val="24"/>
                <w:lang w:val="pl-PL"/>
              </w:rPr>
              <w:t xml:space="preserve"> Komisja wydała wytyczne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for</w:t>
            </w:r>
            <w:r w:rsidRPr="00A3695F">
              <w:rPr>
                <w:rFonts w:ascii="Times New Roman" w:hAnsi="Times New Roman"/>
                <w:noProof/>
                <w:sz w:val="24"/>
                <w:lang w:val="pl-PL"/>
              </w:rPr>
              <w:t>mie pytań</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odp</w:t>
            </w:r>
            <w:r w:rsidRPr="00A3695F">
              <w:rPr>
                <w:rFonts w:ascii="Times New Roman" w:hAnsi="Times New Roman"/>
                <w:noProof/>
                <w:sz w:val="24"/>
                <w:lang w:val="pl-PL"/>
              </w:rPr>
              <w:t>owiedzi oraz wytyczne na temat wykładni szeregu zbiorów nowych przepisów dotyczących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szc</w:t>
            </w:r>
            <w:r w:rsidRPr="00A3695F">
              <w:rPr>
                <w:rFonts w:ascii="Times New Roman" w:hAnsi="Times New Roman"/>
                <w:noProof/>
                <w:sz w:val="24"/>
                <w:lang w:val="pl-PL"/>
              </w:rPr>
              <w:t>zególności czasu prowadzenia pojazdu</w:t>
            </w:r>
            <w:r w:rsidRPr="00A3695F">
              <w:rPr>
                <w:rStyle w:val="FootnoteReference"/>
                <w:rFonts w:ascii="Times New Roman" w:hAnsi="Times New Roman" w:cs="Times New Roman"/>
                <w:noProof/>
                <w:sz w:val="24"/>
                <w:lang w:val="pl-PL"/>
              </w:rPr>
              <w:footnoteReference w:id="45"/>
            </w:r>
            <w:r w:rsidRPr="00A3695F">
              <w:rPr>
                <w:rFonts w:ascii="Times New Roman" w:hAnsi="Times New Roman"/>
                <w:noProof/>
                <w:sz w:val="24"/>
                <w:lang w:val="pl-PL"/>
              </w:rPr>
              <w:t>, delegowania kierowców</w:t>
            </w:r>
            <w:r w:rsidRPr="00A3695F">
              <w:rPr>
                <w:rStyle w:val="FootnoteReference"/>
                <w:rFonts w:ascii="Times New Roman" w:hAnsi="Times New Roman" w:cs="Times New Roman"/>
                <w:noProof/>
                <w:sz w:val="24"/>
                <w:lang w:val="pl-PL"/>
              </w:rPr>
              <w:footnoteReference w:id="46"/>
            </w:r>
            <w:r w:rsidRPr="00A3695F">
              <w:rPr>
                <w:rFonts w:ascii="Times New Roman" w:hAnsi="Times New Roman"/>
                <w:noProof/>
                <w:sz w:val="24"/>
                <w:lang w:val="pl-PL"/>
              </w:rPr>
              <w:t>, inteligentnych tachografów</w:t>
            </w:r>
            <w:r w:rsidRPr="00A3695F">
              <w:rPr>
                <w:rStyle w:val="FootnoteReference"/>
                <w:rFonts w:ascii="Times New Roman" w:hAnsi="Times New Roman" w:cs="Times New Roman"/>
                <w:noProof/>
                <w:sz w:val="24"/>
                <w:lang w:val="pl-PL"/>
              </w:rPr>
              <w:footnoteReference w:id="47"/>
            </w:r>
            <w:r w:rsidRPr="00A3695F">
              <w:rPr>
                <w:rFonts w:ascii="Times New Roman" w:hAnsi="Times New Roman"/>
                <w:noProof/>
                <w:sz w:val="24"/>
                <w:lang w:val="pl-PL"/>
              </w:rPr>
              <w:t xml:space="preserve"> oraz obowiązku powrotu pojazdów do bazy eksploatacyjnej</w:t>
            </w:r>
            <w:r w:rsidRPr="00A3695F">
              <w:rPr>
                <w:rStyle w:val="FootnoteReference"/>
                <w:rFonts w:ascii="Times New Roman" w:hAnsi="Times New Roman" w:cs="Times New Roman"/>
                <w:noProof/>
                <w:sz w:val="24"/>
                <w:lang w:val="pl-PL"/>
              </w:rPr>
              <w:footnoteReference w:id="48"/>
            </w:r>
            <w:r w:rsidRPr="00A3695F">
              <w:rPr>
                <w:rFonts w:ascii="Times New Roman" w:hAnsi="Times New Roman"/>
                <w:noProof/>
                <w:sz w:val="24"/>
                <w:lang w:val="pl-PL"/>
              </w:rPr>
              <w:t>. Wytyczne te mają pomóc zainteresowanym stronom</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pra</w:t>
            </w:r>
            <w:r w:rsidRPr="00A3695F">
              <w:rPr>
                <w:rFonts w:ascii="Times New Roman" w:hAnsi="Times New Roman"/>
                <w:noProof/>
                <w:sz w:val="24"/>
                <w:lang w:val="pl-PL"/>
              </w:rPr>
              <w:t>widłowym stosowaniu tych przepisów,</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stwom członkowskim –</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ich</w:t>
            </w:r>
            <w:r w:rsidRPr="00A3695F">
              <w:rPr>
                <w:rFonts w:ascii="Times New Roman" w:hAnsi="Times New Roman"/>
                <w:noProof/>
                <w:sz w:val="24"/>
                <w:lang w:val="pl-PL"/>
              </w:rPr>
              <w:t xml:space="preserve"> transpozycji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kon</w:t>
            </w:r>
            <w:r w:rsidRPr="00A3695F">
              <w:rPr>
                <w:rFonts w:ascii="Times New Roman" w:hAnsi="Times New Roman"/>
                <w:noProof/>
                <w:sz w:val="24"/>
                <w:lang w:val="pl-PL"/>
              </w:rPr>
              <w:t>sekwentnym egzekwowaniu.</w:t>
            </w:r>
          </w:p>
        </w:tc>
      </w:tr>
    </w:tbl>
    <w:p w14:paraId="785CE865" w14:textId="77777777" w:rsidR="004C03AC" w:rsidRPr="00A3695F" w:rsidRDefault="004C03AC" w:rsidP="004C03AC">
      <w:pPr>
        <w:spacing w:after="0"/>
        <w:jc w:val="both"/>
        <w:rPr>
          <w:rFonts w:ascii="Times New Roman" w:hAnsi="Times New Roman" w:cs="Times New Roman"/>
          <w:noProof/>
          <w:sz w:val="24"/>
          <w:lang w:val="pl-PL"/>
        </w:rPr>
      </w:pPr>
    </w:p>
    <w:p w14:paraId="51AAC524" w14:textId="7BF9FE2C" w:rsidR="00C264DB" w:rsidRPr="00A3695F" w:rsidRDefault="002A7DBD" w:rsidP="00CA0233">
      <w:pPr>
        <w:spacing w:after="360"/>
        <w:jc w:val="both"/>
        <w:rPr>
          <w:rFonts w:ascii="Times New Roman" w:hAnsi="Times New Roman" w:cs="Times New Roman"/>
          <w:noProof/>
          <w:sz w:val="24"/>
          <w:lang w:val="pl-PL"/>
        </w:rPr>
      </w:pPr>
      <w:r w:rsidRPr="00A3695F">
        <w:rPr>
          <w:rFonts w:ascii="Times New Roman" w:hAnsi="Times New Roman"/>
          <w:noProof/>
          <w:sz w:val="24"/>
          <w:lang w:val="pl-PL"/>
        </w:rPr>
        <w:t xml:space="preserve">Aby promować skuteczne wdrażanie prawa Unii we wszystkich obszarach polityki, Komisja wykorzystuje również wiele innych </w:t>
      </w:r>
      <w:r w:rsidRPr="003937FF">
        <w:rPr>
          <w:rFonts w:ascii="Times New Roman" w:hAnsi="Times New Roman"/>
          <w:b/>
          <w:i/>
          <w:noProof/>
          <w:sz w:val="24"/>
          <w:lang w:val="pl-PL"/>
        </w:rPr>
        <w:t>narzędzi opartych na spotkaniach</w:t>
      </w:r>
      <w:r w:rsidRPr="00A3695F">
        <w:rPr>
          <w:rFonts w:ascii="Times New Roman" w:hAnsi="Times New Roman"/>
          <w:noProof/>
          <w:sz w:val="24"/>
          <w:lang w:val="pl-PL"/>
        </w:rPr>
        <w:t>, takich jak: komitety, sieci, grupy ekspertów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war</w:t>
      </w:r>
      <w:r w:rsidRPr="00A3695F">
        <w:rPr>
          <w:rFonts w:ascii="Times New Roman" w:hAnsi="Times New Roman"/>
          <w:noProof/>
          <w:sz w:val="24"/>
          <w:lang w:val="pl-PL"/>
        </w:rPr>
        <w:t>sztaty. Grupy te umożliwiają państwom członkowskim dzielenie się dobrymi praktykami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oma</w:t>
      </w:r>
      <w:r w:rsidRPr="00A3695F">
        <w:rPr>
          <w:rFonts w:ascii="Times New Roman" w:hAnsi="Times New Roman"/>
          <w:noProof/>
          <w:sz w:val="24"/>
          <w:lang w:val="pl-PL"/>
        </w:rPr>
        <w:t>wianie problemów napotkanych przy stosowaniu przepisów UE. Komisja może wówczas na wczesnym etapie zidentyfikować trudności związane</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wdr</w:t>
      </w:r>
      <w:r w:rsidRPr="00A3695F">
        <w:rPr>
          <w:rFonts w:ascii="Times New Roman" w:hAnsi="Times New Roman"/>
          <w:noProof/>
          <w:sz w:val="24"/>
          <w:lang w:val="pl-PL"/>
        </w:rPr>
        <w:t>ażaniem</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pod</w:t>
      </w:r>
      <w:r w:rsidRPr="00A3695F">
        <w:rPr>
          <w:rFonts w:ascii="Times New Roman" w:hAnsi="Times New Roman"/>
          <w:noProof/>
          <w:sz w:val="24"/>
          <w:lang w:val="pl-PL"/>
        </w:rPr>
        <w:t>jąć prace nad ewentualnymi środkami zaradczymi,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tym</w:t>
      </w:r>
      <w:r w:rsidRPr="00A3695F">
        <w:rPr>
          <w:rFonts w:ascii="Times New Roman" w:hAnsi="Times New Roman"/>
          <w:noProof/>
          <w:sz w:val="24"/>
          <w:lang w:val="pl-PL"/>
        </w:rPr>
        <w:t xml:space="preserve"> wykorzystaniem narzędzi informatycznych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wsparcia efektywniejszego</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sku</w:t>
      </w:r>
      <w:r w:rsidRPr="00A3695F">
        <w:rPr>
          <w:rFonts w:ascii="Times New Roman" w:hAnsi="Times New Roman"/>
          <w:noProof/>
          <w:sz w:val="24"/>
          <w:lang w:val="pl-PL"/>
        </w:rPr>
        <w:t>teczniejszego wdrażania. Kluczowym forum na rzecz poprawy stosowania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egz</w:t>
      </w:r>
      <w:r w:rsidRPr="00A3695F">
        <w:rPr>
          <w:rFonts w:ascii="Times New Roman" w:hAnsi="Times New Roman"/>
          <w:noProof/>
          <w:sz w:val="24"/>
          <w:lang w:val="pl-PL"/>
        </w:rPr>
        <w:t>ekwowania prawa jest Grupa Zadaniowa ds. Egzekwowania Przepisów dotyczących Jednolitego Rynku, którą utworzono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2</w:t>
      </w:r>
      <w:r w:rsidRPr="00A3695F">
        <w:rPr>
          <w:rFonts w:ascii="Times New Roman" w:hAnsi="Times New Roman"/>
          <w:noProof/>
          <w:sz w:val="24"/>
          <w:lang w:val="pl-PL"/>
        </w:rPr>
        <w:t>0</w:t>
      </w:r>
      <w:r w:rsidRPr="003937FF">
        <w:rPr>
          <w:rFonts w:ascii="Times New Roman" w:hAnsi="Times New Roman"/>
          <w:noProof/>
          <w:sz w:val="24"/>
          <w:lang w:val="pl-PL"/>
        </w:rPr>
        <w:t>20</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nas</w:t>
      </w:r>
      <w:r w:rsidRPr="00A3695F">
        <w:rPr>
          <w:rFonts w:ascii="Times New Roman" w:hAnsi="Times New Roman"/>
          <w:noProof/>
          <w:sz w:val="24"/>
          <w:lang w:val="pl-PL"/>
        </w:rPr>
        <w:t>tępstwie konkluzji Rady Europejskiej</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polityki przemysłowej</w:t>
      </w:r>
      <w:r w:rsidRPr="00A3695F">
        <w:rPr>
          <w:rStyle w:val="FootnoteReference"/>
          <w:rFonts w:ascii="Times New Roman" w:hAnsi="Times New Roman" w:cs="Times New Roman"/>
          <w:noProof/>
          <w:sz w:val="24"/>
          <w:lang w:val="pl-PL"/>
        </w:rPr>
        <w:footnoteReference w:id="49"/>
      </w:r>
      <w:r w:rsidRPr="00A3695F">
        <w:rPr>
          <w:rFonts w:ascii="Times New Roman" w:hAnsi="Times New Roman"/>
          <w:noProof/>
          <w:sz w:val="24"/>
          <w:lang w:val="pl-PL"/>
        </w:rPr>
        <w:t>. Głównym elementem prac tej grupy jest analiza barier</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egz</w:t>
      </w:r>
      <w:r w:rsidRPr="00A3695F">
        <w:rPr>
          <w:rFonts w:ascii="Times New Roman" w:hAnsi="Times New Roman"/>
          <w:noProof/>
          <w:sz w:val="24"/>
          <w:lang w:val="pl-PL"/>
        </w:rPr>
        <w:t>ekwowaniu przepisów dotyczących jednolitego rynku oraz opracowywanie praktycznych rozwiązań.</w:t>
      </w:r>
    </w:p>
    <w:p w14:paraId="4D015BA5" w14:textId="77777777" w:rsidR="000E390D" w:rsidRPr="00A3695F" w:rsidRDefault="000E390D" w:rsidP="00CA0233">
      <w:pPr>
        <w:spacing w:after="360"/>
        <w:jc w:val="both"/>
        <w:rPr>
          <w:rFonts w:ascii="Times New Roman" w:hAnsi="Times New Roman" w:cs="Times New Roman"/>
          <w:noProof/>
          <w:sz w:val="24"/>
          <w:lang w:val="pl-P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88"/>
      </w:tblGrid>
      <w:tr w:rsidR="003C77B9" w:rsidRPr="00A3695F" w14:paraId="70D66658" w14:textId="77777777" w:rsidTr="001F57F0">
        <w:trPr>
          <w:trHeight w:val="60"/>
        </w:trPr>
        <w:tc>
          <w:tcPr>
            <w:tcW w:w="9288" w:type="dxa"/>
            <w:shd w:val="clear" w:color="auto" w:fill="EDF2F9"/>
          </w:tcPr>
          <w:p w14:paraId="1F59E187" w14:textId="77777777" w:rsidR="00812C16" w:rsidRPr="003937FF" w:rsidRDefault="00812C16" w:rsidP="006E12BE">
            <w:pPr>
              <w:pStyle w:val="Style2"/>
              <w:rPr>
                <w:noProof/>
                <w:lang w:val="pl-PL"/>
              </w:rPr>
            </w:pPr>
            <w:r w:rsidRPr="003937FF">
              <w:rPr>
                <w:noProof/>
                <w:lang w:val="pl-PL"/>
              </w:rPr>
              <w:t>Zapobieganie barierom na jednolitym rynku, zanim się pojawią</w:t>
            </w:r>
          </w:p>
          <w:p w14:paraId="562DBDA6" w14:textId="07727E90" w:rsidR="00994F0E" w:rsidRPr="00A3695F" w:rsidRDefault="00812C16" w:rsidP="000B5A4E">
            <w:pPr>
              <w:spacing w:after="120" w:line="276" w:lineRule="auto"/>
              <w:ind w:left="113" w:right="113"/>
              <w:jc w:val="both"/>
              <w:rPr>
                <w:rFonts w:ascii="Times New Roman" w:hAnsi="Times New Roman" w:cs="Times New Roman"/>
                <w:noProof/>
                <w:sz w:val="24"/>
                <w:lang w:val="pl-PL"/>
              </w:rPr>
            </w:pPr>
            <w:r w:rsidRPr="00A3695F">
              <w:rPr>
                <w:rFonts w:ascii="Times New Roman" w:hAnsi="Times New Roman"/>
                <w:noProof/>
                <w:sz w:val="24"/>
                <w:lang w:val="pl-PL"/>
              </w:rPr>
              <w:t xml:space="preserve">W </w:t>
            </w:r>
            <w:r w:rsidRPr="003937FF">
              <w:rPr>
                <w:rFonts w:ascii="Times New Roman" w:hAnsi="Times New Roman"/>
                <w:b/>
                <w:noProof/>
                <w:sz w:val="24"/>
                <w:lang w:val="pl-PL"/>
              </w:rPr>
              <w:t>dyrektywie</w:t>
            </w:r>
            <w:r w:rsidR="003937FF" w:rsidRPr="003937FF">
              <w:rPr>
                <w:rFonts w:ascii="Times New Roman" w:hAnsi="Times New Roman"/>
                <w:b/>
                <w:noProof/>
                <w:sz w:val="24"/>
                <w:lang w:val="pl-PL"/>
              </w:rPr>
              <w:t xml:space="preserve"> w</w:t>
            </w:r>
            <w:r w:rsidR="003937FF">
              <w:rPr>
                <w:rFonts w:ascii="Times New Roman" w:hAnsi="Times New Roman"/>
                <w:b/>
                <w:noProof/>
                <w:sz w:val="24"/>
                <w:lang w:val="pl-PL"/>
              </w:rPr>
              <w:t> </w:t>
            </w:r>
            <w:r w:rsidR="003937FF" w:rsidRPr="003937FF">
              <w:rPr>
                <w:rFonts w:ascii="Times New Roman" w:hAnsi="Times New Roman"/>
                <w:b/>
                <w:noProof/>
                <w:sz w:val="24"/>
                <w:lang w:val="pl-PL"/>
              </w:rPr>
              <w:t>spr</w:t>
            </w:r>
            <w:r w:rsidRPr="003937FF">
              <w:rPr>
                <w:rFonts w:ascii="Times New Roman" w:hAnsi="Times New Roman"/>
                <w:b/>
                <w:noProof/>
                <w:sz w:val="24"/>
                <w:lang w:val="pl-PL"/>
              </w:rPr>
              <w:t>awie przejrzystości na jednolitym rynku</w:t>
            </w:r>
            <w:r w:rsidRPr="00A3695F">
              <w:rPr>
                <w:rStyle w:val="FootnoteReference"/>
                <w:rFonts w:ascii="Times New Roman" w:hAnsi="Times New Roman" w:cs="Times New Roman"/>
                <w:noProof/>
                <w:sz w:val="24"/>
                <w:lang w:val="pl-PL"/>
              </w:rPr>
              <w:footnoteReference w:id="50"/>
            </w:r>
            <w:r w:rsidRPr="00A3695F">
              <w:rPr>
                <w:rFonts w:ascii="Times New Roman" w:hAnsi="Times New Roman"/>
                <w:noProof/>
                <w:sz w:val="24"/>
                <w:lang w:val="pl-PL"/>
              </w:rPr>
              <w:t xml:space="preserve"> zobowiązano państwa członkowskie do </w:t>
            </w:r>
            <w:r w:rsidRPr="003937FF">
              <w:rPr>
                <w:rFonts w:ascii="Times New Roman" w:hAnsi="Times New Roman"/>
                <w:b/>
                <w:noProof/>
                <w:sz w:val="24"/>
                <w:lang w:val="pl-PL"/>
              </w:rPr>
              <w:t>powiadamiania Komisji</w:t>
            </w:r>
            <w:r w:rsidR="003937FF" w:rsidRPr="003937FF">
              <w:rPr>
                <w:rFonts w:ascii="Times New Roman" w:hAnsi="Times New Roman"/>
                <w:b/>
                <w:noProof/>
                <w:sz w:val="24"/>
                <w:lang w:val="pl-PL"/>
              </w:rPr>
              <w:t xml:space="preserve"> o</w:t>
            </w:r>
            <w:r w:rsidR="003937FF">
              <w:rPr>
                <w:rFonts w:ascii="Times New Roman" w:hAnsi="Times New Roman"/>
                <w:b/>
                <w:noProof/>
                <w:sz w:val="24"/>
                <w:lang w:val="pl-PL"/>
              </w:rPr>
              <w:t> </w:t>
            </w:r>
            <w:r w:rsidR="003937FF" w:rsidRPr="003937FF">
              <w:rPr>
                <w:rFonts w:ascii="Times New Roman" w:hAnsi="Times New Roman"/>
                <w:b/>
                <w:noProof/>
                <w:sz w:val="24"/>
                <w:lang w:val="pl-PL"/>
              </w:rPr>
              <w:t>pro</w:t>
            </w:r>
            <w:r w:rsidRPr="003937FF">
              <w:rPr>
                <w:rFonts w:ascii="Times New Roman" w:hAnsi="Times New Roman"/>
                <w:b/>
                <w:noProof/>
                <w:sz w:val="24"/>
                <w:lang w:val="pl-PL"/>
              </w:rPr>
              <w:t>jektach krajowych przepisów technicznych</w:t>
            </w:r>
            <w:r w:rsidRPr="00A3695F">
              <w:rPr>
                <w:rFonts w:ascii="Times New Roman" w:hAnsi="Times New Roman"/>
                <w:noProof/>
                <w:sz w:val="24"/>
                <w:lang w:val="pl-PL"/>
              </w:rPr>
              <w:t xml:space="preserve"> przed ich przyjęciem, aby uniknąć tworzenia barier na jednolitym rynku. Ten mechanizm powiadamiania przyczynił się do pozytywnej praktyki wymiany informacji, dialogu</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wsp</w:t>
            </w:r>
            <w:r w:rsidRPr="00A3695F">
              <w:rPr>
                <w:rFonts w:ascii="Times New Roman" w:hAnsi="Times New Roman"/>
                <w:noProof/>
                <w:sz w:val="24"/>
                <w:lang w:val="pl-PL"/>
              </w:rPr>
              <w:t>ółpracy między państwami członkowskimi</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Kom</w:t>
            </w:r>
            <w:r w:rsidRPr="00A3695F">
              <w:rPr>
                <w:rFonts w:ascii="Times New Roman" w:hAnsi="Times New Roman"/>
                <w:noProof/>
                <w:sz w:val="24"/>
                <w:lang w:val="pl-PL"/>
              </w:rPr>
              <w:t>isją oraz między samymi państwami członkowskimi</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ram</w:t>
            </w:r>
            <w:r w:rsidRPr="00A3695F">
              <w:rPr>
                <w:rFonts w:ascii="Times New Roman" w:hAnsi="Times New Roman"/>
                <w:noProof/>
                <w:sz w:val="24"/>
                <w:lang w:val="pl-PL"/>
              </w:rPr>
              <w:t>ach tego mechanizmu wymienia się również dobre praktyki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rozwiązania wspólnych problemów dotyczących przepisów technicznych, zwłaszcza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now</w:t>
            </w:r>
            <w:r w:rsidRPr="00A3695F">
              <w:rPr>
                <w:rFonts w:ascii="Times New Roman" w:hAnsi="Times New Roman"/>
                <w:noProof/>
                <w:sz w:val="24"/>
                <w:lang w:val="pl-PL"/>
              </w:rPr>
              <w:t>o uregulowanych sektorach, takich jak usługi cyfrowe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now</w:t>
            </w:r>
            <w:r w:rsidRPr="00A3695F">
              <w:rPr>
                <w:rFonts w:ascii="Times New Roman" w:hAnsi="Times New Roman"/>
                <w:noProof/>
                <w:sz w:val="24"/>
                <w:lang w:val="pl-PL"/>
              </w:rPr>
              <w:t>e technologie. Mechanizm ten nie tylko pozwolił uniknąć ustanowienia nowych przepisów naruszających prawo Unii, lecz także był pomocny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sto</w:t>
            </w:r>
            <w:r w:rsidRPr="00A3695F">
              <w:rPr>
                <w:rFonts w:ascii="Times New Roman" w:hAnsi="Times New Roman"/>
                <w:noProof/>
                <w:sz w:val="24"/>
                <w:lang w:val="pl-PL"/>
              </w:rPr>
              <w:t xml:space="preserve">sowaniu zasady wzajemnego uznawania. </w:t>
            </w:r>
          </w:p>
          <w:p w14:paraId="33D17FB1" w14:textId="7719F75D" w:rsidR="000B5A4E" w:rsidRPr="00A3695F" w:rsidRDefault="00A67D78" w:rsidP="000B5A4E">
            <w:pPr>
              <w:spacing w:after="120" w:line="276" w:lineRule="auto"/>
              <w:ind w:left="113" w:right="113"/>
              <w:jc w:val="both"/>
              <w:rPr>
                <w:rFonts w:ascii="Times New Roman" w:hAnsi="Times New Roman" w:cs="Times New Roman"/>
                <w:noProof/>
                <w:sz w:val="24"/>
                <w:lang w:val="pl-PL"/>
              </w:rPr>
            </w:pPr>
            <w:r w:rsidRPr="00A3695F">
              <w:rPr>
                <w:rFonts w:ascii="Times New Roman" w:hAnsi="Times New Roman"/>
                <w:noProof/>
                <w:sz w:val="24"/>
                <w:lang w:val="pl-PL"/>
              </w:rPr>
              <w:t>W obszarze usług procedura powiadamiania przewidziana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dyr</w:t>
            </w:r>
            <w:r w:rsidRPr="00A3695F">
              <w:rPr>
                <w:rFonts w:ascii="Times New Roman" w:hAnsi="Times New Roman"/>
                <w:noProof/>
                <w:sz w:val="24"/>
                <w:lang w:val="pl-PL"/>
              </w:rPr>
              <w:t>ektywie usługowej</w:t>
            </w:r>
            <w:r w:rsidRPr="00A3695F">
              <w:rPr>
                <w:rFonts w:ascii="Times New Roman" w:hAnsi="Times New Roman" w:cs="Times New Roman"/>
                <w:noProof/>
                <w:sz w:val="24"/>
                <w:vertAlign w:val="superscript"/>
                <w:lang w:val="pl-PL"/>
              </w:rPr>
              <w:footnoteReference w:id="51"/>
            </w:r>
            <w:r w:rsidRPr="00A3695F">
              <w:rPr>
                <w:rFonts w:ascii="Times New Roman" w:hAnsi="Times New Roman"/>
                <w:noProof/>
                <w:sz w:val="24"/>
                <w:lang w:val="pl-PL"/>
              </w:rPr>
              <w:t xml:space="preserve"> ma zapobiegać tworzeniu nieuzasadnionych barier regulacyjnych na jednolitym rynku. Komisja aktywnie zachęca państwa członkowskie do zapewnienia przejrzystości środków, które wprowadzają</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zak</w:t>
            </w:r>
            <w:r w:rsidRPr="00A3695F">
              <w:rPr>
                <w:rFonts w:ascii="Times New Roman" w:hAnsi="Times New Roman"/>
                <w:noProof/>
                <w:sz w:val="24"/>
                <w:lang w:val="pl-PL"/>
              </w:rPr>
              <w:t>resie usług,</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sta</w:t>
            </w:r>
            <w:r w:rsidRPr="00A3695F">
              <w:rPr>
                <w:rFonts w:ascii="Times New Roman" w:hAnsi="Times New Roman"/>
                <w:noProof/>
                <w:sz w:val="24"/>
                <w:lang w:val="pl-PL"/>
              </w:rPr>
              <w:t>le dąży do zwiększenia efektywności tej procedury powiadamiania.</w:t>
            </w:r>
          </w:p>
          <w:p w14:paraId="071C82D8" w14:textId="35D95611" w:rsidR="00D76569" w:rsidRPr="00A3695F" w:rsidRDefault="00D76569" w:rsidP="000B5A4E">
            <w:pPr>
              <w:spacing w:after="120" w:line="276" w:lineRule="auto"/>
              <w:ind w:left="113" w:right="113"/>
              <w:jc w:val="both"/>
              <w:rPr>
                <w:rFonts w:ascii="Times New Roman" w:hAnsi="Times New Roman" w:cs="Times New Roman"/>
                <w:noProof/>
                <w:sz w:val="24"/>
                <w:lang w:val="pl-PL"/>
              </w:rPr>
            </w:pPr>
            <w:r w:rsidRPr="003937FF">
              <w:rPr>
                <w:rFonts w:ascii="Times New Roman" w:hAnsi="Times New Roman"/>
                <w:b/>
                <w:noProof/>
                <w:sz w:val="24"/>
                <w:lang w:val="pl-PL"/>
              </w:rPr>
              <w:t>Dyrektywa</w:t>
            </w:r>
            <w:r w:rsidR="003937FF" w:rsidRPr="003937FF">
              <w:rPr>
                <w:rFonts w:ascii="Times New Roman" w:hAnsi="Times New Roman"/>
                <w:b/>
                <w:noProof/>
                <w:sz w:val="24"/>
                <w:lang w:val="pl-PL"/>
              </w:rPr>
              <w:t xml:space="preserve"> w</w:t>
            </w:r>
            <w:r w:rsidR="003937FF">
              <w:rPr>
                <w:rFonts w:ascii="Times New Roman" w:hAnsi="Times New Roman"/>
                <w:b/>
                <w:noProof/>
                <w:sz w:val="24"/>
                <w:lang w:val="pl-PL"/>
              </w:rPr>
              <w:t> </w:t>
            </w:r>
            <w:r w:rsidR="003937FF" w:rsidRPr="003937FF">
              <w:rPr>
                <w:rFonts w:ascii="Times New Roman" w:hAnsi="Times New Roman"/>
                <w:b/>
                <w:noProof/>
                <w:sz w:val="24"/>
                <w:lang w:val="pl-PL"/>
              </w:rPr>
              <w:t>spr</w:t>
            </w:r>
            <w:r w:rsidRPr="003937FF">
              <w:rPr>
                <w:rFonts w:ascii="Times New Roman" w:hAnsi="Times New Roman"/>
                <w:b/>
                <w:noProof/>
                <w:sz w:val="24"/>
                <w:lang w:val="pl-PL"/>
              </w:rPr>
              <w:t>awie analizy proporcjonalności</w:t>
            </w:r>
            <w:r w:rsidRPr="00A3695F">
              <w:rPr>
                <w:rFonts w:ascii="Times New Roman" w:hAnsi="Times New Roman"/>
                <w:noProof/>
                <w:sz w:val="24"/>
                <w:lang w:val="pl-PL"/>
              </w:rPr>
              <w:t xml:space="preserve"> jest kolejnym narzędziem, które zapobiega powstawaniu nowych barier na jednolitym rynku usług świadczonych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ram</w:t>
            </w:r>
            <w:r w:rsidRPr="00A3695F">
              <w:rPr>
                <w:rFonts w:ascii="Times New Roman" w:hAnsi="Times New Roman"/>
                <w:noProof/>
                <w:sz w:val="24"/>
                <w:lang w:val="pl-PL"/>
              </w:rPr>
              <w:t>ach zawodów regulowanych. Wszelkie nowe krajowe regulacje dotyczące zawodów muszą być poddane dogłębnej ocenie,</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 xml:space="preserve">ed ich przyjęciem konieczne jest wykazanie proporcjonalności. </w:t>
            </w:r>
          </w:p>
          <w:p w14:paraId="6BD44E44" w14:textId="1B8E7994" w:rsidR="003C77B9" w:rsidRPr="003937FF" w:rsidRDefault="00222FE2" w:rsidP="006E12BE">
            <w:pPr>
              <w:pStyle w:val="Style2"/>
              <w:rPr>
                <w:noProof/>
                <w:lang w:val="pl-PL"/>
              </w:rPr>
            </w:pPr>
            <w:r w:rsidRPr="003937FF">
              <w:rPr>
                <w:noProof/>
                <w:lang w:val="pl-PL"/>
              </w:rPr>
              <w:t>Współpraca</w:t>
            </w:r>
            <w:r w:rsidR="003937FF" w:rsidRPr="003937FF">
              <w:rPr>
                <w:noProof/>
                <w:lang w:val="pl-PL"/>
              </w:rPr>
              <w:t xml:space="preserve"> z</w:t>
            </w:r>
            <w:r w:rsidR="003937FF">
              <w:rPr>
                <w:rFonts w:ascii="Calibri" w:hAnsi="Calibri" w:cs="Calibri"/>
                <w:noProof/>
                <w:lang w:val="pl-PL"/>
              </w:rPr>
              <w:t> </w:t>
            </w:r>
            <w:r w:rsidR="003937FF" w:rsidRPr="003937FF">
              <w:rPr>
                <w:noProof/>
                <w:lang w:val="pl-PL"/>
              </w:rPr>
              <w:t>pań</w:t>
            </w:r>
            <w:r w:rsidRPr="003937FF">
              <w:rPr>
                <w:noProof/>
                <w:lang w:val="pl-PL"/>
              </w:rPr>
              <w:t>stwami członkowskimi</w:t>
            </w:r>
            <w:r w:rsidR="003937FF" w:rsidRPr="003937FF">
              <w:rPr>
                <w:noProof/>
                <w:lang w:val="pl-PL"/>
              </w:rPr>
              <w:t xml:space="preserve"> w</w:t>
            </w:r>
            <w:r w:rsidR="003937FF">
              <w:rPr>
                <w:rFonts w:ascii="Calibri" w:hAnsi="Calibri" w:cs="Calibri"/>
                <w:noProof/>
                <w:lang w:val="pl-PL"/>
              </w:rPr>
              <w:t> </w:t>
            </w:r>
            <w:r w:rsidR="003937FF" w:rsidRPr="003937FF">
              <w:rPr>
                <w:noProof/>
                <w:lang w:val="pl-PL"/>
              </w:rPr>
              <w:t>cel</w:t>
            </w:r>
            <w:r w:rsidRPr="003937FF">
              <w:rPr>
                <w:noProof/>
                <w:lang w:val="pl-PL"/>
              </w:rPr>
              <w:t>u poprawy egzekwowania prawa</w:t>
            </w:r>
          </w:p>
          <w:p w14:paraId="4ACB7094" w14:textId="3F71599E" w:rsidR="0018362E" w:rsidRPr="003937FF" w:rsidRDefault="0018362E" w:rsidP="00D745A7">
            <w:pPr>
              <w:spacing w:after="120" w:line="276" w:lineRule="auto"/>
              <w:ind w:left="113" w:right="113"/>
              <w:jc w:val="both"/>
              <w:rPr>
                <w:rFonts w:ascii="Times New Roman" w:hAnsi="Times New Roman" w:cs="Times New Roman"/>
                <w:b/>
                <w:i/>
                <w:noProof/>
                <w:sz w:val="24"/>
                <w:lang w:val="pl-PL"/>
              </w:rPr>
            </w:pPr>
            <w:r w:rsidRPr="00A3695F">
              <w:rPr>
                <w:rFonts w:ascii="Times New Roman" w:hAnsi="Times New Roman"/>
                <w:noProof/>
                <w:sz w:val="24"/>
                <w:lang w:val="pl-PL"/>
              </w:rPr>
              <w:t>Grupę ekspertów ds. dyrektywy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dostępności stron internetowych (WADEX)</w:t>
            </w:r>
            <w:r w:rsidRPr="00A3695F">
              <w:rPr>
                <w:rStyle w:val="FootnoteReference"/>
                <w:rFonts w:ascii="Times New Roman" w:hAnsi="Times New Roman" w:cs="Times New Roman"/>
                <w:noProof/>
                <w:sz w:val="24"/>
                <w:lang w:val="pl-PL"/>
              </w:rPr>
              <w:footnoteReference w:id="52"/>
            </w:r>
            <w:r w:rsidRPr="00A3695F">
              <w:rPr>
                <w:rFonts w:ascii="Times New Roman" w:hAnsi="Times New Roman"/>
                <w:noProof/>
                <w:sz w:val="24"/>
                <w:lang w:val="pl-PL"/>
              </w:rPr>
              <w:t xml:space="preserve"> powołano, by wspierała Komisję we wdrożeniu dyrektywy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 xml:space="preserve">awie </w:t>
            </w:r>
            <w:r w:rsidRPr="003937FF">
              <w:rPr>
                <w:rFonts w:ascii="Times New Roman" w:hAnsi="Times New Roman"/>
                <w:b/>
                <w:noProof/>
                <w:sz w:val="24"/>
                <w:lang w:val="pl-PL"/>
              </w:rPr>
              <w:t>dostępności stron internetowych</w:t>
            </w:r>
            <w:r w:rsidRPr="00A3695F">
              <w:rPr>
                <w:rStyle w:val="FootnoteReference"/>
                <w:rFonts w:ascii="Times New Roman" w:hAnsi="Times New Roman" w:cs="Times New Roman"/>
                <w:noProof/>
                <w:sz w:val="24"/>
                <w:lang w:val="pl-PL"/>
              </w:rPr>
              <w:footnoteReference w:id="53"/>
            </w:r>
            <w:r w:rsidRPr="00A3695F">
              <w:rPr>
                <w:rFonts w:ascii="Times New Roman" w:hAnsi="Times New Roman"/>
                <w:noProof/>
                <w:sz w:val="24"/>
                <w:lang w:val="pl-PL"/>
              </w:rPr>
              <w:t xml:space="preserve"> oraz by stanowiła forum wymiany dobrych praktyk</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doś</w:t>
            </w:r>
            <w:r w:rsidRPr="00A3695F">
              <w:rPr>
                <w:rFonts w:ascii="Times New Roman" w:hAnsi="Times New Roman"/>
                <w:noProof/>
                <w:sz w:val="24"/>
                <w:lang w:val="pl-PL"/>
              </w:rPr>
              <w:t>wiadczeń</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tej</w:t>
            </w:r>
            <w:r w:rsidRPr="00A3695F">
              <w:rPr>
                <w:rFonts w:ascii="Times New Roman" w:hAnsi="Times New Roman"/>
                <w:noProof/>
                <w:sz w:val="24"/>
                <w:lang w:val="pl-PL"/>
              </w:rPr>
              <w:t xml:space="preserve"> dziedzinie między państwami członkowskimi</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lat</w:t>
            </w:r>
            <w:r w:rsidRPr="00A3695F">
              <w:rPr>
                <w:rFonts w:ascii="Times New Roman" w:hAnsi="Times New Roman"/>
                <w:noProof/>
                <w:sz w:val="24"/>
                <w:lang w:val="pl-PL"/>
              </w:rPr>
              <w:t>ach 2020–2022 odbywały się comiesięczne seminaria internetowe, które pomogły zapewnić stosowanie przez państwa członkowskie wspólnego podejścia oraz terminowe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efe</w:t>
            </w:r>
            <w:r w:rsidRPr="00A3695F">
              <w:rPr>
                <w:rFonts w:ascii="Times New Roman" w:hAnsi="Times New Roman"/>
                <w:noProof/>
                <w:sz w:val="24"/>
                <w:lang w:val="pl-PL"/>
              </w:rPr>
              <w:t>ktywne składanie pierwszych sprawozdań państw członkowskich</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mon</w:t>
            </w:r>
            <w:r w:rsidRPr="00A3695F">
              <w:rPr>
                <w:rFonts w:ascii="Times New Roman" w:hAnsi="Times New Roman"/>
                <w:noProof/>
                <w:sz w:val="24"/>
                <w:lang w:val="pl-PL"/>
              </w:rPr>
              <w:t>itorowania stron internetowych</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apl</w:t>
            </w:r>
            <w:r w:rsidRPr="00A3695F">
              <w:rPr>
                <w:rFonts w:ascii="Times New Roman" w:hAnsi="Times New Roman"/>
                <w:noProof/>
                <w:sz w:val="24"/>
                <w:lang w:val="pl-PL"/>
              </w:rPr>
              <w:t>ikacji mobilnych. Ze sprawozdań tych wynika, że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tym</w:t>
            </w:r>
            <w:r w:rsidRPr="00A3695F">
              <w:rPr>
                <w:rFonts w:ascii="Times New Roman" w:hAnsi="Times New Roman"/>
                <w:noProof/>
                <w:sz w:val="24"/>
                <w:lang w:val="pl-PL"/>
              </w:rPr>
              <w:t xml:space="preserve"> okresie państwa członkowskie zbadały ponad 10 000 stron internetowych</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3</w:t>
            </w:r>
            <w:r w:rsidRPr="00A3695F">
              <w:rPr>
                <w:rFonts w:ascii="Times New Roman" w:hAnsi="Times New Roman"/>
                <w:noProof/>
                <w:sz w:val="24"/>
                <w:lang w:val="pl-PL"/>
              </w:rPr>
              <w:t>00 aplikacji mobilnych. Działanie to przyczyniło się do poprawy dostępności treści internetowych na stronach internetowych</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w:t>
            </w:r>
            <w:r w:rsidR="003937FF">
              <w:rPr>
                <w:rFonts w:ascii="Times New Roman" w:hAnsi="Times New Roman"/>
                <w:noProof/>
                <w:sz w:val="24"/>
                <w:lang w:val="pl-PL"/>
              </w:rPr>
              <w:t> </w:t>
            </w:r>
            <w:r w:rsidR="003937FF" w:rsidRPr="00A3695F">
              <w:rPr>
                <w:rFonts w:ascii="Times New Roman" w:hAnsi="Times New Roman"/>
                <w:noProof/>
                <w:sz w:val="24"/>
                <w:lang w:val="pl-PL"/>
              </w:rPr>
              <w:t>apl</w:t>
            </w:r>
            <w:r w:rsidRPr="00A3695F">
              <w:rPr>
                <w:rFonts w:ascii="Times New Roman" w:hAnsi="Times New Roman"/>
                <w:noProof/>
                <w:sz w:val="24"/>
                <w:lang w:val="pl-PL"/>
              </w:rPr>
              <w:t>ikacjach mobilnych sektora publicznego oraz do zwiększenia świadomości na ich temat.</w:t>
            </w:r>
          </w:p>
          <w:p w14:paraId="79AAAA90" w14:textId="1BA4DC45" w:rsidR="0018362E" w:rsidRPr="003937FF" w:rsidRDefault="0018362E" w:rsidP="006E12BE">
            <w:pPr>
              <w:pStyle w:val="Style2"/>
              <w:rPr>
                <w:noProof/>
                <w:lang w:val="pl-PL"/>
              </w:rPr>
            </w:pPr>
            <w:r w:rsidRPr="003937FF">
              <w:rPr>
                <w:noProof/>
                <w:lang w:val="pl-PL"/>
              </w:rPr>
              <w:t>Wykorzystanie narzędzi informatycznych do ułatwienia przestrzegania</w:t>
            </w:r>
            <w:r w:rsidR="003937FF" w:rsidRPr="003937FF">
              <w:rPr>
                <w:noProof/>
                <w:lang w:val="pl-PL"/>
              </w:rPr>
              <w:t xml:space="preserve"> i</w:t>
            </w:r>
            <w:r w:rsidR="003937FF">
              <w:rPr>
                <w:rFonts w:ascii="Calibri" w:hAnsi="Calibri" w:cs="Calibri"/>
                <w:noProof/>
                <w:lang w:val="pl-PL"/>
              </w:rPr>
              <w:t> </w:t>
            </w:r>
            <w:r w:rsidR="003937FF" w:rsidRPr="003937FF">
              <w:rPr>
                <w:noProof/>
                <w:lang w:val="pl-PL"/>
              </w:rPr>
              <w:t>egz</w:t>
            </w:r>
            <w:r w:rsidRPr="003937FF">
              <w:rPr>
                <w:noProof/>
                <w:lang w:val="pl-PL"/>
              </w:rPr>
              <w:t>ekwowania prawa</w:t>
            </w:r>
          </w:p>
          <w:p w14:paraId="235E5D7C" w14:textId="65C36BF4" w:rsidR="00064F82" w:rsidRPr="00A3695F" w:rsidRDefault="00064F82" w:rsidP="004C03AC">
            <w:pPr>
              <w:spacing w:after="120" w:line="276" w:lineRule="auto"/>
              <w:ind w:left="113" w:right="113"/>
              <w:jc w:val="both"/>
              <w:rPr>
                <w:rFonts w:ascii="Times New Roman" w:hAnsi="Times New Roman" w:cs="Times New Roman"/>
                <w:noProof/>
                <w:sz w:val="24"/>
                <w:lang w:val="pl-PL"/>
              </w:rPr>
            </w:pPr>
            <w:r w:rsidRPr="003937FF">
              <w:rPr>
                <w:rFonts w:ascii="Times New Roman" w:hAnsi="Times New Roman"/>
                <w:b/>
                <w:noProof/>
                <w:sz w:val="24"/>
                <w:lang w:val="pl-PL"/>
              </w:rPr>
              <w:t>System wymiany informacji na rynku wewnętrznym</w:t>
            </w:r>
            <w:r w:rsidRPr="00A3695F">
              <w:rPr>
                <w:rFonts w:ascii="Times New Roman" w:hAnsi="Times New Roman"/>
                <w:noProof/>
                <w:sz w:val="24"/>
                <w:lang w:val="pl-PL"/>
              </w:rPr>
              <w:t xml:space="preserve"> (IMI)</w:t>
            </w:r>
            <w:r w:rsidRPr="00A3695F">
              <w:rPr>
                <w:rStyle w:val="FootnoteReference"/>
                <w:rFonts w:ascii="Times New Roman" w:hAnsi="Times New Roman" w:cs="Times New Roman"/>
                <w:noProof/>
                <w:sz w:val="24"/>
                <w:lang w:val="pl-PL"/>
              </w:rPr>
              <w:footnoteReference w:id="54"/>
            </w:r>
            <w:r w:rsidRPr="00A3695F">
              <w:rPr>
                <w:rFonts w:ascii="Times New Roman" w:hAnsi="Times New Roman"/>
                <w:noProof/>
                <w:sz w:val="24"/>
                <w:lang w:val="pl-PL"/>
              </w:rPr>
              <w:t xml:space="preserve"> jest internetowym narzędziem informatycznym, które ułatwia administracjom publicznym państw członkowskich współpracę administracyjną</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zak</w:t>
            </w:r>
            <w:r w:rsidRPr="00A3695F">
              <w:rPr>
                <w:rFonts w:ascii="Times New Roman" w:hAnsi="Times New Roman"/>
                <w:noProof/>
                <w:sz w:val="24"/>
                <w:lang w:val="pl-PL"/>
              </w:rPr>
              <w:t>resie przepisów dotyczących jednolitego rynku. Może to być pomocne dla społeczeństwa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dla</w:t>
            </w:r>
            <w:r w:rsidRPr="00A3695F">
              <w:rPr>
                <w:rFonts w:ascii="Times New Roman" w:hAnsi="Times New Roman"/>
                <w:noProof/>
                <w:sz w:val="24"/>
                <w:lang w:val="pl-PL"/>
              </w:rPr>
              <w:t xml:space="preserve"> przedsiębiorstw prowadzących działalność transgraniczną. System ten jest przyjazny dla środowiska, bezpieczny</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wie</w:t>
            </w:r>
            <w:r w:rsidRPr="00A3695F">
              <w:rPr>
                <w:rFonts w:ascii="Times New Roman" w:hAnsi="Times New Roman"/>
                <w:noProof/>
                <w:sz w:val="24"/>
                <w:lang w:val="pl-PL"/>
              </w:rPr>
              <w:t>lojęzyczny, zmniejsza obciążenie administracyjne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wsp</w:t>
            </w:r>
            <w:r w:rsidRPr="00A3695F">
              <w:rPr>
                <w:rFonts w:ascii="Times New Roman" w:hAnsi="Times New Roman"/>
                <w:noProof/>
                <w:sz w:val="24"/>
                <w:lang w:val="pl-PL"/>
              </w:rPr>
              <w:t>iera 19 obszarów polityki.</w:t>
            </w:r>
          </w:p>
          <w:p w14:paraId="76352B98" w14:textId="49569581" w:rsidR="003C77B9" w:rsidRPr="00A3695F" w:rsidRDefault="00315D25" w:rsidP="004C03AC">
            <w:pPr>
              <w:spacing w:after="120" w:line="276" w:lineRule="auto"/>
              <w:ind w:left="113" w:right="113"/>
              <w:jc w:val="both"/>
              <w:rPr>
                <w:rFonts w:ascii="Times New Roman" w:hAnsi="Times New Roman" w:cs="Times New Roman"/>
                <w:noProof/>
                <w:sz w:val="24"/>
                <w:lang w:val="pl-PL"/>
              </w:rPr>
            </w:pPr>
            <w:r w:rsidRPr="00A3695F">
              <w:rPr>
                <w:rFonts w:ascii="Times New Roman" w:hAnsi="Times New Roman"/>
                <w:noProof/>
                <w:sz w:val="24"/>
                <w:lang w:val="pl-PL"/>
              </w:rPr>
              <w:t>Można go dostosować do wspomagania konkretnych celów. Na przykład</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2</w:t>
            </w:r>
            <w:r w:rsidRPr="00A3695F">
              <w:rPr>
                <w:rFonts w:ascii="Times New Roman" w:hAnsi="Times New Roman"/>
                <w:noProof/>
                <w:sz w:val="24"/>
                <w:lang w:val="pl-PL"/>
              </w:rPr>
              <w:t>0</w:t>
            </w:r>
            <w:r w:rsidRPr="003937FF">
              <w:rPr>
                <w:rFonts w:ascii="Times New Roman" w:hAnsi="Times New Roman"/>
                <w:noProof/>
                <w:sz w:val="24"/>
                <w:lang w:val="pl-PL"/>
              </w:rPr>
              <w:t>22</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Fonts w:ascii="Times New Roman" w:hAnsi="Times New Roman"/>
                <w:noProof/>
                <w:sz w:val="24"/>
                <w:lang w:val="pl-PL"/>
              </w:rPr>
              <w:t xml:space="preserve"> uruchomiono trzy nowe moduły Komisji, aby ułatwić transgraniczne egzekwowanie nowych przepisów wprowadzonych pakietem na rzecz mobilności,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szc</w:t>
            </w:r>
            <w:r w:rsidRPr="00A3695F">
              <w:rPr>
                <w:rFonts w:ascii="Times New Roman" w:hAnsi="Times New Roman"/>
                <w:noProof/>
                <w:sz w:val="24"/>
                <w:lang w:val="pl-PL"/>
              </w:rPr>
              <w:t>zególności dotyczących delegowania kierowców, powrotu kierowcy</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pow</w:t>
            </w:r>
            <w:r w:rsidRPr="00A3695F">
              <w:rPr>
                <w:rFonts w:ascii="Times New Roman" w:hAnsi="Times New Roman"/>
                <w:noProof/>
                <w:sz w:val="24"/>
                <w:lang w:val="pl-PL"/>
              </w:rPr>
              <w:t xml:space="preserve">rotu pojazdu. Ponadto utworzono nowy publiczny interfejs połączony z IMI, aby ułatwić przewoźnikom drogowym </w:t>
            </w:r>
            <w:r w:rsidRPr="003937FF">
              <w:rPr>
                <w:rFonts w:ascii="Times New Roman" w:hAnsi="Times New Roman"/>
                <w:b/>
                <w:noProof/>
                <w:sz w:val="24"/>
                <w:lang w:val="pl-PL"/>
              </w:rPr>
              <w:t>składanie zgłoszeń delegowania</w:t>
            </w:r>
            <w:r w:rsidRPr="00A3695F">
              <w:rPr>
                <w:rFonts w:ascii="Times New Roman" w:hAnsi="Times New Roman"/>
                <w:noProof/>
                <w:sz w:val="24"/>
                <w:lang w:val="pl-PL"/>
              </w:rPr>
              <w:t xml:space="preserve"> właściwym organom państw członkowskich, do których delegują swoich kierowców. Przewoźnicy drogowi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cał</w:t>
            </w:r>
            <w:r w:rsidRPr="00A3695F">
              <w:rPr>
                <w:rFonts w:ascii="Times New Roman" w:hAnsi="Times New Roman"/>
                <w:noProof/>
                <w:sz w:val="24"/>
                <w:lang w:val="pl-PL"/>
              </w:rPr>
              <w:t>ej Europie mogą teraz składać zgłoszenia delegowania całkowicie przez internet</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bar</w:t>
            </w:r>
            <w:r w:rsidRPr="00A3695F">
              <w:rPr>
                <w:rFonts w:ascii="Times New Roman" w:hAnsi="Times New Roman"/>
                <w:noProof/>
                <w:sz w:val="24"/>
                <w:lang w:val="pl-PL"/>
              </w:rPr>
              <w:t>dzo prosty sposób, oszczędzając czas</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pie</w:t>
            </w:r>
            <w:r w:rsidRPr="00A3695F">
              <w:rPr>
                <w:rFonts w:ascii="Times New Roman" w:hAnsi="Times New Roman"/>
                <w:noProof/>
                <w:sz w:val="24"/>
                <w:lang w:val="pl-PL"/>
              </w:rPr>
              <w:t>niądze. Od momentu uruchomienia tego interfejsu złożono ponad 10 mln zgłoszeń delegowania.</w:t>
            </w:r>
          </w:p>
        </w:tc>
      </w:tr>
    </w:tbl>
    <w:p w14:paraId="6C212F2F" w14:textId="77777777" w:rsidR="0018362E" w:rsidRPr="00A3695F" w:rsidRDefault="0018362E" w:rsidP="00A70C25">
      <w:pPr>
        <w:spacing w:after="0"/>
        <w:jc w:val="both"/>
        <w:rPr>
          <w:rFonts w:ascii="Times New Roman" w:hAnsi="Times New Roman" w:cs="Times New Roman"/>
          <w:noProof/>
          <w:lang w:val="pl-PL"/>
        </w:rPr>
      </w:pPr>
    </w:p>
    <w:p w14:paraId="501C0998" w14:textId="78CB7FC7" w:rsidR="00C264DB" w:rsidRPr="00A3695F" w:rsidRDefault="005A750F" w:rsidP="00C264DB">
      <w:pPr>
        <w:jc w:val="both"/>
        <w:rPr>
          <w:rFonts w:ascii="Times New Roman" w:hAnsi="Times New Roman" w:cs="Times New Roman"/>
          <w:noProof/>
          <w:sz w:val="24"/>
          <w:lang w:val="pl-PL"/>
        </w:rPr>
      </w:pPr>
      <w:r w:rsidRPr="00A3695F">
        <w:rPr>
          <w:rFonts w:ascii="Times New Roman" w:hAnsi="Times New Roman"/>
          <w:noProof/>
          <w:sz w:val="24"/>
          <w:lang w:val="pl-PL"/>
        </w:rPr>
        <w:t>Poza komitetami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gru</w:t>
      </w:r>
      <w:r w:rsidRPr="00A3695F">
        <w:rPr>
          <w:rFonts w:ascii="Times New Roman" w:hAnsi="Times New Roman"/>
          <w:noProof/>
          <w:sz w:val="24"/>
          <w:lang w:val="pl-PL"/>
        </w:rPr>
        <w:t xml:space="preserve">pami ekspertów Komisja organizuje również </w:t>
      </w:r>
      <w:r w:rsidRPr="003937FF">
        <w:rPr>
          <w:rFonts w:ascii="Times New Roman" w:hAnsi="Times New Roman"/>
          <w:b/>
          <w:noProof/>
          <w:sz w:val="24"/>
          <w:lang w:val="pl-PL"/>
        </w:rPr>
        <w:t>dwustronne spotkania</w:t>
      </w:r>
      <w:r w:rsidR="003937FF" w:rsidRPr="003937FF">
        <w:rPr>
          <w:rFonts w:ascii="Times New Roman" w:hAnsi="Times New Roman"/>
          <w:b/>
          <w:noProof/>
          <w:sz w:val="24"/>
          <w:lang w:val="pl-PL"/>
        </w:rPr>
        <w:t xml:space="preserve"> z</w:t>
      </w:r>
      <w:r w:rsidR="003937FF">
        <w:rPr>
          <w:rFonts w:ascii="Times New Roman" w:hAnsi="Times New Roman"/>
          <w:b/>
          <w:noProof/>
          <w:sz w:val="24"/>
          <w:lang w:val="pl-PL"/>
        </w:rPr>
        <w:t> </w:t>
      </w:r>
      <w:r w:rsidR="003937FF" w:rsidRPr="003937FF">
        <w:rPr>
          <w:rFonts w:ascii="Times New Roman" w:hAnsi="Times New Roman"/>
          <w:b/>
          <w:noProof/>
          <w:sz w:val="24"/>
          <w:lang w:val="pl-PL"/>
        </w:rPr>
        <w:t>pań</w:t>
      </w:r>
      <w:r w:rsidRPr="003937FF">
        <w:rPr>
          <w:rFonts w:ascii="Times New Roman" w:hAnsi="Times New Roman"/>
          <w:b/>
          <w:noProof/>
          <w:sz w:val="24"/>
          <w:lang w:val="pl-PL"/>
        </w:rPr>
        <w:t>stwami członkowskimi na potrzeby przeglądu zgodności</w:t>
      </w:r>
      <w:r w:rsidR="003937FF" w:rsidRPr="003937FF">
        <w:rPr>
          <w:rFonts w:ascii="Times New Roman" w:hAnsi="Times New Roman"/>
          <w:b/>
          <w:noProof/>
          <w:sz w:val="24"/>
          <w:lang w:val="pl-PL"/>
        </w:rPr>
        <w:t xml:space="preserve"> w</w:t>
      </w:r>
      <w:r w:rsidR="003937FF">
        <w:rPr>
          <w:rFonts w:ascii="Times New Roman" w:hAnsi="Times New Roman"/>
          <w:b/>
          <w:noProof/>
          <w:sz w:val="24"/>
          <w:lang w:val="pl-PL"/>
        </w:rPr>
        <w:t> </w:t>
      </w:r>
      <w:r w:rsidR="003937FF" w:rsidRPr="003937FF">
        <w:rPr>
          <w:rFonts w:ascii="Times New Roman" w:hAnsi="Times New Roman"/>
          <w:b/>
          <w:noProof/>
          <w:sz w:val="24"/>
          <w:lang w:val="pl-PL"/>
        </w:rPr>
        <w:t>dan</w:t>
      </w:r>
      <w:r w:rsidRPr="003937FF">
        <w:rPr>
          <w:rFonts w:ascii="Times New Roman" w:hAnsi="Times New Roman"/>
          <w:b/>
          <w:noProof/>
          <w:sz w:val="24"/>
          <w:lang w:val="pl-PL"/>
        </w:rPr>
        <w:t>ym obszarze polityki</w:t>
      </w:r>
      <w:r w:rsidRPr="00A3695F">
        <w:rPr>
          <w:rFonts w:ascii="Times New Roman" w:hAnsi="Times New Roman"/>
          <w:noProof/>
          <w:sz w:val="24"/>
          <w:lang w:val="pl-PL"/>
        </w:rPr>
        <w:t>. Spotkania te umożliwiają Komisji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dan</w:t>
      </w:r>
      <w:r w:rsidRPr="00A3695F">
        <w:rPr>
          <w:rFonts w:ascii="Times New Roman" w:hAnsi="Times New Roman"/>
          <w:noProof/>
          <w:sz w:val="24"/>
          <w:lang w:val="pl-PL"/>
        </w:rPr>
        <w:t>emu państwu członkowskiemu przegląd wszystkich wszczętych postępowań</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pro</w:t>
      </w:r>
      <w:r w:rsidRPr="00A3695F">
        <w:rPr>
          <w:rFonts w:ascii="Times New Roman" w:hAnsi="Times New Roman"/>
          <w:noProof/>
          <w:sz w:val="24"/>
          <w:lang w:val="pl-PL"/>
        </w:rPr>
        <w:t>cedur EU Pilot</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tej</w:t>
      </w:r>
      <w:r w:rsidRPr="00A3695F">
        <w:rPr>
          <w:rFonts w:ascii="Times New Roman" w:hAnsi="Times New Roman"/>
          <w:noProof/>
          <w:sz w:val="24"/>
          <w:lang w:val="pl-PL"/>
        </w:rPr>
        <w:t xml:space="preserve"> konkretnej dziedzinie. Okazały się one przydatne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okr</w:t>
      </w:r>
      <w:r w:rsidRPr="00A3695F">
        <w:rPr>
          <w:rFonts w:ascii="Times New Roman" w:hAnsi="Times New Roman"/>
          <w:noProof/>
          <w:sz w:val="24"/>
          <w:lang w:val="pl-PL"/>
        </w:rPr>
        <w:t>eślaniu</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roz</w:t>
      </w:r>
      <w:r w:rsidRPr="00A3695F">
        <w:rPr>
          <w:rFonts w:ascii="Times New Roman" w:hAnsi="Times New Roman"/>
          <w:noProof/>
          <w:sz w:val="24"/>
          <w:lang w:val="pl-PL"/>
        </w:rPr>
        <w:t>wiązywaniu problemów przekrojowych, oszczędzaniu czasu dzięki rozpatrywaniu kilku spraw podczas jednego spotkania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roz</w:t>
      </w:r>
      <w:r w:rsidRPr="00A3695F">
        <w:rPr>
          <w:rFonts w:ascii="Times New Roman" w:hAnsi="Times New Roman"/>
          <w:noProof/>
          <w:sz w:val="24"/>
          <w:lang w:val="pl-PL"/>
        </w:rPr>
        <w:t>wijaniu wzajemnego zrozumienia między organami krajowymi</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słu</w:t>
      </w:r>
      <w:r w:rsidRPr="00A3695F">
        <w:rPr>
          <w:rFonts w:ascii="Times New Roman" w:hAnsi="Times New Roman"/>
          <w:noProof/>
          <w:sz w:val="24"/>
          <w:lang w:val="pl-PL"/>
        </w:rPr>
        <w:t xml:space="preserve">żbami Komisji. </w:t>
      </w:r>
    </w:p>
    <w:p w14:paraId="5EA8FF3B" w14:textId="755C8B25" w:rsidR="00C369F3" w:rsidRPr="003937FF" w:rsidRDefault="00C369F3" w:rsidP="00C264DB">
      <w:pPr>
        <w:jc w:val="both"/>
        <w:rPr>
          <w:rFonts w:ascii="Times New Roman" w:hAnsi="Times New Roman" w:cs="Times New Roman"/>
          <w:b/>
          <w:i/>
          <w:noProof/>
          <w:sz w:val="24"/>
          <w:lang w:val="pl-PL"/>
        </w:rPr>
      </w:pPr>
      <w:r w:rsidRPr="003937FF">
        <w:rPr>
          <w:rFonts w:ascii="Times New Roman" w:hAnsi="Times New Roman"/>
          <w:b/>
          <w:i/>
          <w:noProof/>
          <w:sz w:val="24"/>
          <w:lang w:val="pl-PL"/>
        </w:rPr>
        <w:t>Powiązanie polityki</w:t>
      </w:r>
      <w:r w:rsidR="003937FF" w:rsidRPr="003937FF">
        <w:rPr>
          <w:rFonts w:ascii="Times New Roman" w:hAnsi="Times New Roman"/>
          <w:b/>
          <w:i/>
          <w:noProof/>
          <w:sz w:val="24"/>
          <w:lang w:val="pl-PL"/>
        </w:rPr>
        <w:t xml:space="preserve"> i</w:t>
      </w:r>
      <w:r w:rsidR="003937FF">
        <w:rPr>
          <w:rFonts w:ascii="Times New Roman" w:hAnsi="Times New Roman"/>
          <w:b/>
          <w:i/>
          <w:noProof/>
          <w:sz w:val="24"/>
          <w:lang w:val="pl-PL"/>
        </w:rPr>
        <w:t> </w:t>
      </w:r>
      <w:r w:rsidR="003937FF" w:rsidRPr="003937FF">
        <w:rPr>
          <w:rFonts w:ascii="Times New Roman" w:hAnsi="Times New Roman"/>
          <w:b/>
          <w:i/>
          <w:noProof/>
          <w:sz w:val="24"/>
          <w:lang w:val="pl-PL"/>
        </w:rPr>
        <w:t>wsp</w:t>
      </w:r>
      <w:r w:rsidRPr="003937FF">
        <w:rPr>
          <w:rFonts w:ascii="Times New Roman" w:hAnsi="Times New Roman"/>
          <w:b/>
          <w:i/>
          <w:noProof/>
          <w:sz w:val="24"/>
          <w:lang w:val="pl-PL"/>
        </w:rPr>
        <w:t>arcia UE</w:t>
      </w:r>
    </w:p>
    <w:p w14:paraId="145473AC" w14:textId="386A6B08" w:rsidR="009E49ED" w:rsidRPr="00A3695F" w:rsidRDefault="007A7E8D" w:rsidP="009E49ED">
      <w:pPr>
        <w:jc w:val="both"/>
        <w:rPr>
          <w:rFonts w:ascii="Times New Roman" w:hAnsi="Times New Roman" w:cs="Times New Roman"/>
          <w:noProof/>
          <w:sz w:val="24"/>
          <w:lang w:val="pl-PL"/>
        </w:rPr>
      </w:pPr>
      <w:r w:rsidRPr="00A3695F">
        <w:rPr>
          <w:rFonts w:ascii="Times New Roman" w:hAnsi="Times New Roman"/>
          <w:noProof/>
          <w:sz w:val="24"/>
          <w:lang w:val="pl-PL"/>
        </w:rPr>
        <w:t>Wsparcie finansowe ze strony UE również okazało się skutecznym narzędziem zachęcającym państwa członkowskie do przeprowadzenia reform oraz,</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sto</w:t>
      </w:r>
      <w:r w:rsidRPr="00A3695F">
        <w:rPr>
          <w:rFonts w:ascii="Times New Roman" w:hAnsi="Times New Roman"/>
          <w:noProof/>
          <w:sz w:val="24"/>
          <w:lang w:val="pl-PL"/>
        </w:rPr>
        <w:t>sownych przypadkach, do szybszego osiągnięcia celów określonych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pra</w:t>
      </w:r>
      <w:r w:rsidRPr="00A3695F">
        <w:rPr>
          <w:rFonts w:ascii="Times New Roman" w:hAnsi="Times New Roman"/>
          <w:noProof/>
          <w:sz w:val="24"/>
          <w:lang w:val="pl-PL"/>
        </w:rPr>
        <w:t>wie Unii. Wsparcie to obejmuje europejskie fundusze strukturalne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inw</w:t>
      </w:r>
      <w:r w:rsidRPr="00A3695F">
        <w:rPr>
          <w:rFonts w:ascii="Times New Roman" w:hAnsi="Times New Roman"/>
          <w:noProof/>
          <w:sz w:val="24"/>
          <w:lang w:val="pl-PL"/>
        </w:rPr>
        <w:t>estycyjne, takie jak Europejski Fundusz Morski, Rybacki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Akw</w:t>
      </w:r>
      <w:r w:rsidRPr="00A3695F">
        <w:rPr>
          <w:rFonts w:ascii="Times New Roman" w:hAnsi="Times New Roman"/>
          <w:noProof/>
          <w:sz w:val="24"/>
          <w:lang w:val="pl-PL"/>
        </w:rPr>
        <w:t>akultury lub fundusze polityki spójności, finansowanie za pośrednictwem programów „Cła”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Fis</w:t>
      </w:r>
      <w:r w:rsidRPr="00A3695F">
        <w:rPr>
          <w:rFonts w:ascii="Times New Roman" w:hAnsi="Times New Roman"/>
          <w:noProof/>
          <w:sz w:val="24"/>
          <w:lang w:val="pl-PL"/>
        </w:rPr>
        <w:t>calis oraz dotacje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poż</w:t>
      </w:r>
      <w:r w:rsidRPr="00A3695F">
        <w:rPr>
          <w:rFonts w:ascii="Times New Roman" w:hAnsi="Times New Roman"/>
          <w:noProof/>
          <w:sz w:val="24"/>
          <w:lang w:val="pl-PL"/>
        </w:rPr>
        <w:t>yczki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ram</w:t>
      </w:r>
      <w:r w:rsidRPr="00A3695F">
        <w:rPr>
          <w:rFonts w:ascii="Times New Roman" w:hAnsi="Times New Roman"/>
          <w:noProof/>
          <w:sz w:val="24"/>
          <w:lang w:val="pl-PL"/>
        </w:rPr>
        <w:t>ach Instrumentu na rzecz Odbudowy</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Zwi</w:t>
      </w:r>
      <w:r w:rsidRPr="00A3695F">
        <w:rPr>
          <w:rFonts w:ascii="Times New Roman" w:hAnsi="Times New Roman"/>
          <w:noProof/>
          <w:sz w:val="24"/>
          <w:lang w:val="pl-PL"/>
        </w:rPr>
        <w:t>ększania Odporności (RRF)</w:t>
      </w:r>
      <w:r w:rsidRPr="00A3695F">
        <w:rPr>
          <w:rStyle w:val="FootnoteReference"/>
          <w:rFonts w:ascii="Times New Roman" w:hAnsi="Times New Roman" w:cs="Times New Roman"/>
          <w:noProof/>
          <w:sz w:val="24"/>
          <w:lang w:val="pl-PL"/>
        </w:rPr>
        <w:footnoteReference w:id="55"/>
      </w:r>
      <w:r w:rsidRPr="00A3695F">
        <w:rPr>
          <w:rFonts w:ascii="Times New Roman" w:hAnsi="Times New Roman"/>
          <w:noProof/>
          <w:sz w:val="24"/>
          <w:lang w:val="pl-PL"/>
        </w:rPr>
        <w:t>.</w:t>
      </w:r>
    </w:p>
    <w:p w14:paraId="06E63CEB" w14:textId="5D1055D2" w:rsidR="009E49ED" w:rsidRPr="00A3695F" w:rsidRDefault="009E49ED" w:rsidP="009E49ED">
      <w:pPr>
        <w:jc w:val="both"/>
        <w:rPr>
          <w:rFonts w:ascii="Times New Roman" w:hAnsi="Times New Roman" w:cs="Times New Roman"/>
          <w:noProof/>
          <w:sz w:val="24"/>
          <w:lang w:val="pl-PL"/>
        </w:rPr>
      </w:pPr>
      <w:r w:rsidRPr="00A3695F">
        <w:rPr>
          <w:rFonts w:ascii="Times New Roman" w:hAnsi="Times New Roman"/>
          <w:noProof/>
          <w:sz w:val="24"/>
          <w:lang w:val="pl-PL"/>
        </w:rPr>
        <w:t>RRF ma na celu złagodzenie gospodarczych</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spo</w:t>
      </w:r>
      <w:r w:rsidRPr="00A3695F">
        <w:rPr>
          <w:rFonts w:ascii="Times New Roman" w:hAnsi="Times New Roman"/>
          <w:noProof/>
          <w:sz w:val="24"/>
          <w:lang w:val="pl-PL"/>
        </w:rPr>
        <w:t>łecznych skutków pandemii koronawirusa oraz zapewnienie, by europejskie gospodarki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spo</w:t>
      </w:r>
      <w:r w:rsidRPr="00A3695F">
        <w:rPr>
          <w:rFonts w:ascii="Times New Roman" w:hAnsi="Times New Roman"/>
          <w:noProof/>
          <w:sz w:val="24"/>
          <w:lang w:val="pl-PL"/>
        </w:rPr>
        <w:t>łeczeństwa były bardziej zrównoważone, odporne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lep</w:t>
      </w:r>
      <w:r w:rsidRPr="00A3695F">
        <w:rPr>
          <w:rFonts w:ascii="Times New Roman" w:hAnsi="Times New Roman"/>
          <w:noProof/>
          <w:sz w:val="24"/>
          <w:lang w:val="pl-PL"/>
        </w:rPr>
        <w:t>iej przygotowane na wyzwania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moż</w:t>
      </w:r>
      <w:r w:rsidRPr="00A3695F">
        <w:rPr>
          <w:rFonts w:ascii="Times New Roman" w:hAnsi="Times New Roman"/>
          <w:noProof/>
          <w:sz w:val="24"/>
          <w:lang w:val="pl-PL"/>
        </w:rPr>
        <w:t>liwości związane</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tra</w:t>
      </w:r>
      <w:r w:rsidRPr="00A3695F">
        <w:rPr>
          <w:rFonts w:ascii="Times New Roman" w:hAnsi="Times New Roman"/>
          <w:noProof/>
          <w:sz w:val="24"/>
          <w:lang w:val="pl-PL"/>
        </w:rPr>
        <w:t>nsformacją ekologiczną</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cyf</w:t>
      </w:r>
      <w:r w:rsidRPr="00A3695F">
        <w:rPr>
          <w:rFonts w:ascii="Times New Roman" w:hAnsi="Times New Roman"/>
          <w:noProof/>
          <w:sz w:val="24"/>
          <w:lang w:val="pl-PL"/>
        </w:rPr>
        <w:t>rową. Instrument ten jest tymczasowym narzędziem służącym odbudowie. Umożliwia on Komisji pozyskiwanie środków finansowych, aby pomóc państwom członkowskim</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rea</w:t>
      </w:r>
      <w:r w:rsidRPr="00A3695F">
        <w:rPr>
          <w:rFonts w:ascii="Times New Roman" w:hAnsi="Times New Roman"/>
          <w:noProof/>
          <w:sz w:val="24"/>
          <w:lang w:val="pl-PL"/>
        </w:rPr>
        <w:t>lizacji reform</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inw</w:t>
      </w:r>
      <w:r w:rsidRPr="00A3695F">
        <w:rPr>
          <w:rFonts w:ascii="Times New Roman" w:hAnsi="Times New Roman"/>
          <w:noProof/>
          <w:sz w:val="24"/>
          <w:lang w:val="pl-PL"/>
        </w:rPr>
        <w:t>estycji, które przewidziały one we własnych planach krajowych zgodnie</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pri</w:t>
      </w:r>
      <w:r w:rsidRPr="00A3695F">
        <w:rPr>
          <w:rFonts w:ascii="Times New Roman" w:hAnsi="Times New Roman"/>
          <w:noProof/>
          <w:sz w:val="24"/>
          <w:lang w:val="pl-PL"/>
        </w:rPr>
        <w:t>orytetami UE oraz które stanowią odpowiedź na wyzwania określone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zal</w:t>
      </w:r>
      <w:r w:rsidRPr="00A3695F">
        <w:rPr>
          <w:rFonts w:ascii="Times New Roman" w:hAnsi="Times New Roman"/>
          <w:noProof/>
          <w:sz w:val="24"/>
          <w:lang w:val="pl-PL"/>
        </w:rPr>
        <w:t>eceniach dla poszczególnych krajów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ram</w:t>
      </w:r>
      <w:r w:rsidRPr="00A3695F">
        <w:rPr>
          <w:rFonts w:ascii="Times New Roman" w:hAnsi="Times New Roman"/>
          <w:noProof/>
          <w:sz w:val="24"/>
          <w:lang w:val="pl-PL"/>
        </w:rPr>
        <w:t>ach europejskiego semestru</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zak</w:t>
      </w:r>
      <w:r w:rsidRPr="00A3695F">
        <w:rPr>
          <w:rFonts w:ascii="Times New Roman" w:hAnsi="Times New Roman"/>
          <w:noProof/>
          <w:sz w:val="24"/>
          <w:lang w:val="pl-PL"/>
        </w:rPr>
        <w:t>resie koordynacji polityki gospodarczej</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spo</w:t>
      </w:r>
      <w:r w:rsidRPr="00A3695F">
        <w:rPr>
          <w:rFonts w:ascii="Times New Roman" w:hAnsi="Times New Roman"/>
          <w:noProof/>
          <w:sz w:val="24"/>
          <w:lang w:val="pl-PL"/>
        </w:rPr>
        <w:t>łecznej. Chociaż RRF nie jest narzędziem egzekwowania prawa, państwa członkowskie muszą zrealizować te priorytety, przełożone na kamienie milowe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war</w:t>
      </w:r>
      <w:r w:rsidRPr="00A3695F">
        <w:rPr>
          <w:rFonts w:ascii="Times New Roman" w:hAnsi="Times New Roman"/>
          <w:noProof/>
          <w:sz w:val="24"/>
          <w:lang w:val="pl-PL"/>
        </w:rPr>
        <w:t>tości docelowe, aby otrzymać wypłaty środków.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88"/>
      </w:tblGrid>
      <w:tr w:rsidR="009E49ED" w:rsidRPr="00A3695F" w14:paraId="3C15C575" w14:textId="77777777" w:rsidTr="001F57F0">
        <w:tc>
          <w:tcPr>
            <w:tcW w:w="9288" w:type="dxa"/>
            <w:shd w:val="clear" w:color="auto" w:fill="EDF2F9"/>
          </w:tcPr>
          <w:p w14:paraId="49BBB606" w14:textId="77777777" w:rsidR="009E49ED" w:rsidRPr="003937FF" w:rsidRDefault="009E49ED" w:rsidP="006E12BE">
            <w:pPr>
              <w:pStyle w:val="Style2"/>
              <w:rPr>
                <w:noProof/>
                <w:lang w:val="pl-PL"/>
              </w:rPr>
            </w:pPr>
            <w:r w:rsidRPr="003937FF">
              <w:rPr>
                <w:noProof/>
                <w:lang w:val="pl-PL"/>
              </w:rPr>
              <w:t xml:space="preserve">RRF pomaga UE osiągnąć cel neutralności klimatycznej </w:t>
            </w:r>
          </w:p>
          <w:p w14:paraId="4142D5ED" w14:textId="027498CF" w:rsidR="009E49ED" w:rsidRPr="00A3695F" w:rsidRDefault="009E49ED" w:rsidP="00D745A7">
            <w:pPr>
              <w:spacing w:after="120" w:line="276" w:lineRule="auto"/>
              <w:ind w:left="113" w:right="113"/>
              <w:jc w:val="both"/>
              <w:rPr>
                <w:rFonts w:ascii="Times New Roman" w:hAnsi="Times New Roman" w:cs="Times New Roman"/>
                <w:noProof/>
                <w:sz w:val="24"/>
                <w:lang w:val="pl-PL"/>
              </w:rPr>
            </w:pPr>
            <w:r w:rsidRPr="00A3695F">
              <w:rPr>
                <w:rFonts w:ascii="Times New Roman" w:hAnsi="Times New Roman"/>
                <w:noProof/>
                <w:sz w:val="24"/>
                <w:lang w:val="pl-PL"/>
              </w:rPr>
              <w:t>Aby przyspieszyć transformację ekologiczną,</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szc</w:t>
            </w:r>
            <w:r w:rsidRPr="00A3695F">
              <w:rPr>
                <w:rFonts w:ascii="Times New Roman" w:hAnsi="Times New Roman"/>
                <w:noProof/>
                <w:sz w:val="24"/>
                <w:lang w:val="pl-PL"/>
              </w:rPr>
              <w:t>zególności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świ</w:t>
            </w:r>
            <w:r w:rsidRPr="00A3695F">
              <w:rPr>
                <w:rFonts w:ascii="Times New Roman" w:hAnsi="Times New Roman"/>
                <w:noProof/>
                <w:sz w:val="24"/>
                <w:lang w:val="pl-PL"/>
              </w:rPr>
              <w:t xml:space="preserve">etle celów pakietu „Gotowi </w:t>
            </w:r>
            <w:r w:rsidRPr="003937FF">
              <w:rPr>
                <w:rFonts w:ascii="Times New Roman" w:hAnsi="Times New Roman"/>
                <w:noProof/>
                <w:sz w:val="24"/>
                <w:lang w:val="pl-PL"/>
              </w:rPr>
              <w:t>na</w:t>
            </w:r>
            <w:r w:rsidR="003937FF" w:rsidRPr="003937FF">
              <w:rPr>
                <w:rFonts w:ascii="Times New Roman" w:hAnsi="Times New Roman"/>
                <w:noProof/>
                <w:sz w:val="24"/>
                <w:lang w:val="pl-PL"/>
              </w:rPr>
              <w:t> </w:t>
            </w:r>
            <w:r w:rsidRPr="003937FF">
              <w:rPr>
                <w:rFonts w:ascii="Times New Roman" w:hAnsi="Times New Roman"/>
                <w:noProof/>
                <w:sz w:val="24"/>
                <w:lang w:val="pl-PL"/>
              </w:rPr>
              <w:t>5</w:t>
            </w:r>
            <w:r w:rsidRPr="00A3695F">
              <w:rPr>
                <w:rFonts w:ascii="Times New Roman" w:hAnsi="Times New Roman"/>
                <w:noProof/>
                <w:sz w:val="24"/>
                <w:lang w:val="pl-PL"/>
              </w:rPr>
              <w:t>5”, wiele państw członkowskich koncentruje się</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swo</w:t>
            </w:r>
            <w:r w:rsidRPr="00A3695F">
              <w:rPr>
                <w:rFonts w:ascii="Times New Roman" w:hAnsi="Times New Roman"/>
                <w:noProof/>
                <w:sz w:val="24"/>
                <w:lang w:val="pl-PL"/>
              </w:rPr>
              <w:t>ich krajowych planach odbudowy</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zwi</w:t>
            </w:r>
            <w:r w:rsidRPr="00A3695F">
              <w:rPr>
                <w:rFonts w:ascii="Times New Roman" w:hAnsi="Times New Roman"/>
                <w:noProof/>
                <w:sz w:val="24"/>
                <w:lang w:val="pl-PL"/>
              </w:rPr>
              <w:t>ększania odporności na sektorach transportu</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bud</w:t>
            </w:r>
            <w:r w:rsidRPr="00A3695F">
              <w:rPr>
                <w:rFonts w:ascii="Times New Roman" w:hAnsi="Times New Roman"/>
                <w:noProof/>
                <w:sz w:val="24"/>
                <w:lang w:val="pl-PL"/>
              </w:rPr>
              <w:t>ownictwa. Instrument ten będzie wykorzystywany m.in. do wspierania inwestycji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ter</w:t>
            </w:r>
            <w:r w:rsidRPr="00A3695F">
              <w:rPr>
                <w:rFonts w:ascii="Times New Roman" w:hAnsi="Times New Roman"/>
                <w:noProof/>
                <w:sz w:val="24"/>
                <w:lang w:val="pl-PL"/>
              </w:rPr>
              <w:t>momodernizację budynków, do ekologizacji floty pojazdów oraz do wspierania przesunięcia międzygałęziowego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kie</w:t>
            </w:r>
            <w:r w:rsidRPr="00A3695F">
              <w:rPr>
                <w:rFonts w:ascii="Times New Roman" w:hAnsi="Times New Roman"/>
                <w:noProof/>
                <w:sz w:val="24"/>
                <w:lang w:val="pl-PL"/>
              </w:rPr>
              <w:t>runku transportu kolejowego. Przykładowo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jed</w:t>
            </w:r>
            <w:r w:rsidRPr="00A3695F">
              <w:rPr>
                <w:rFonts w:ascii="Times New Roman" w:hAnsi="Times New Roman"/>
                <w:noProof/>
                <w:sz w:val="24"/>
                <w:lang w:val="pl-PL"/>
              </w:rPr>
              <w:t>nym</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 członkowskich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ram</w:t>
            </w:r>
            <w:r w:rsidRPr="00A3695F">
              <w:rPr>
                <w:rFonts w:ascii="Times New Roman" w:hAnsi="Times New Roman"/>
                <w:noProof/>
                <w:sz w:val="24"/>
                <w:lang w:val="pl-PL"/>
              </w:rPr>
              <w:t>ach planu sfinansowana zostanie dotacja przyznawana właścicielom domów jako pomoc</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pok</w:t>
            </w:r>
            <w:r w:rsidRPr="00A3695F">
              <w:rPr>
                <w:rFonts w:ascii="Times New Roman" w:hAnsi="Times New Roman"/>
                <w:noProof/>
                <w:sz w:val="24"/>
                <w:lang w:val="pl-PL"/>
              </w:rPr>
              <w:t>ryciu kosztów wymiany ogrzewania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wen</w:t>
            </w:r>
            <w:r w:rsidRPr="00A3695F">
              <w:rPr>
                <w:rFonts w:ascii="Times New Roman" w:hAnsi="Times New Roman"/>
                <w:noProof/>
                <w:sz w:val="24"/>
                <w:lang w:val="pl-PL"/>
              </w:rPr>
              <w:t>tylacji lub audytów energetycznych domów jednorodzinnych lub mieszkań</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bud</w:t>
            </w:r>
            <w:r w:rsidRPr="00A3695F">
              <w:rPr>
                <w:rFonts w:ascii="Times New Roman" w:hAnsi="Times New Roman"/>
                <w:noProof/>
                <w:sz w:val="24"/>
                <w:lang w:val="pl-PL"/>
              </w:rPr>
              <w:t>ynkach wielorodzinnych. Inwestycje te posłużą sfinansowaniu termomodernizacji 400 000 gospodarstw domowych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tym</w:t>
            </w:r>
            <w:r w:rsidRPr="00A3695F">
              <w:rPr>
                <w:rFonts w:ascii="Times New Roman" w:hAnsi="Times New Roman"/>
                <w:noProof/>
                <w:sz w:val="24"/>
                <w:lang w:val="pl-PL"/>
              </w:rPr>
              <w:t xml:space="preserve"> państwie członkowskim. </w:t>
            </w:r>
          </w:p>
        </w:tc>
      </w:tr>
    </w:tbl>
    <w:p w14:paraId="2A44E39C" w14:textId="77777777" w:rsidR="009E49ED" w:rsidRPr="00A3695F" w:rsidRDefault="009E49ED" w:rsidP="004C03AC">
      <w:pPr>
        <w:spacing w:after="0" w:line="283" w:lineRule="auto"/>
        <w:jc w:val="both"/>
        <w:rPr>
          <w:rFonts w:ascii="Times New Roman" w:hAnsi="Times New Roman" w:cs="Times New Roman"/>
          <w:noProof/>
          <w:sz w:val="24"/>
          <w:lang w:val="pl-PL"/>
        </w:rPr>
      </w:pPr>
    </w:p>
    <w:p w14:paraId="3E84B7EE" w14:textId="7807EFE7" w:rsidR="002322E4" w:rsidRPr="00A3695F" w:rsidRDefault="00E50A67" w:rsidP="00E50A67">
      <w:pPr>
        <w:spacing w:after="120" w:line="283" w:lineRule="auto"/>
        <w:jc w:val="both"/>
        <w:rPr>
          <w:rFonts w:ascii="Times New Roman" w:hAnsi="Times New Roman" w:cs="Times New Roman"/>
          <w:noProof/>
          <w:sz w:val="24"/>
          <w:lang w:val="pl-PL"/>
        </w:rPr>
      </w:pPr>
      <w:r w:rsidRPr="00A3695F">
        <w:rPr>
          <w:rFonts w:ascii="Times New Roman" w:hAnsi="Times New Roman"/>
          <w:noProof/>
          <w:sz w:val="24"/>
          <w:lang w:val="pl-PL"/>
        </w:rPr>
        <w:t xml:space="preserve">Wykorzystanie </w:t>
      </w:r>
      <w:r w:rsidRPr="003937FF">
        <w:rPr>
          <w:rFonts w:ascii="Times New Roman" w:hAnsi="Times New Roman"/>
          <w:b/>
          <w:noProof/>
          <w:sz w:val="24"/>
          <w:lang w:val="pl-PL"/>
        </w:rPr>
        <w:t>warunków współfinansowania</w:t>
      </w:r>
      <w:r w:rsidRPr="00A3695F">
        <w:rPr>
          <w:rFonts w:ascii="Times New Roman" w:hAnsi="Times New Roman"/>
          <w:noProof/>
          <w:sz w:val="24"/>
          <w:lang w:val="pl-PL"/>
        </w:rPr>
        <w:t xml:space="preserve"> związanych na przykład</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wyp</w:t>
      </w:r>
      <w:r w:rsidRPr="00A3695F">
        <w:rPr>
          <w:rFonts w:ascii="Times New Roman" w:hAnsi="Times New Roman"/>
          <w:noProof/>
          <w:sz w:val="24"/>
          <w:lang w:val="pl-PL"/>
        </w:rPr>
        <w:t>łatą środków</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fun</w:t>
      </w:r>
      <w:r w:rsidRPr="00A3695F">
        <w:rPr>
          <w:rFonts w:ascii="Times New Roman" w:hAnsi="Times New Roman"/>
          <w:noProof/>
          <w:sz w:val="24"/>
          <w:lang w:val="pl-PL"/>
        </w:rPr>
        <w:t>duszy regionalnych na potrzeby rozwoju infrastruktury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ram</w:t>
      </w:r>
      <w:r w:rsidRPr="00A3695F">
        <w:rPr>
          <w:rFonts w:ascii="Times New Roman" w:hAnsi="Times New Roman"/>
          <w:noProof/>
          <w:sz w:val="24"/>
          <w:lang w:val="pl-PL"/>
        </w:rPr>
        <w:t>ach polityki spójności UE również okazało się silną zachętą dla państw członkowskich do przyspieszenia działań</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pop</w:t>
      </w:r>
      <w:r w:rsidRPr="00A3695F">
        <w:rPr>
          <w:rFonts w:ascii="Times New Roman" w:hAnsi="Times New Roman"/>
          <w:noProof/>
          <w:sz w:val="24"/>
          <w:lang w:val="pl-PL"/>
        </w:rPr>
        <w:t>rawy zgodności</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odn</w:t>
      </w:r>
      <w:r w:rsidRPr="00A3695F">
        <w:rPr>
          <w:rFonts w:ascii="Times New Roman" w:hAnsi="Times New Roman"/>
          <w:noProof/>
          <w:sz w:val="24"/>
          <w:lang w:val="pl-PL"/>
        </w:rPr>
        <w:t>ośnym prawem Unii.</w:t>
      </w:r>
    </w:p>
    <w:tbl>
      <w:tblPr>
        <w:tblStyle w:val="TableGrid"/>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88"/>
      </w:tblGrid>
      <w:tr w:rsidR="00761218" w:rsidRPr="00A3695F" w14:paraId="67F8AB67" w14:textId="77777777" w:rsidTr="001F57F0">
        <w:tc>
          <w:tcPr>
            <w:tcW w:w="9288" w:type="dxa"/>
            <w:shd w:val="clear" w:color="auto" w:fill="EDF2F9"/>
          </w:tcPr>
          <w:p w14:paraId="0490F1BE" w14:textId="68BCA185" w:rsidR="0066432F" w:rsidRPr="003937FF" w:rsidRDefault="0066432F" w:rsidP="006E12BE">
            <w:pPr>
              <w:pStyle w:val="Style2"/>
              <w:rPr>
                <w:noProof/>
                <w:lang w:val="pl-PL"/>
              </w:rPr>
            </w:pPr>
            <w:r w:rsidRPr="003937FF">
              <w:rPr>
                <w:noProof/>
                <w:lang w:val="pl-PL"/>
              </w:rPr>
              <w:t>Stosowanie warunków finansowania</w:t>
            </w:r>
            <w:r w:rsidR="003937FF" w:rsidRPr="003937FF">
              <w:rPr>
                <w:noProof/>
                <w:lang w:val="pl-PL"/>
              </w:rPr>
              <w:t xml:space="preserve"> w</w:t>
            </w:r>
            <w:r w:rsidR="003937FF">
              <w:rPr>
                <w:rFonts w:ascii="Calibri" w:hAnsi="Calibri" w:cs="Calibri"/>
                <w:noProof/>
                <w:lang w:val="pl-PL"/>
              </w:rPr>
              <w:t> </w:t>
            </w:r>
            <w:r w:rsidR="003937FF" w:rsidRPr="003937FF">
              <w:rPr>
                <w:noProof/>
                <w:lang w:val="pl-PL"/>
              </w:rPr>
              <w:t>cel</w:t>
            </w:r>
            <w:r w:rsidRPr="003937FF">
              <w:rPr>
                <w:noProof/>
                <w:lang w:val="pl-PL"/>
              </w:rPr>
              <w:t>u zapewnienia zgodności</w:t>
            </w:r>
            <w:r w:rsidR="003937FF" w:rsidRPr="003937FF">
              <w:rPr>
                <w:noProof/>
                <w:lang w:val="pl-PL"/>
              </w:rPr>
              <w:t xml:space="preserve"> z</w:t>
            </w:r>
            <w:r w:rsidR="003937FF">
              <w:rPr>
                <w:rFonts w:ascii="Calibri" w:hAnsi="Calibri" w:cs="Calibri"/>
                <w:noProof/>
                <w:lang w:val="pl-PL"/>
              </w:rPr>
              <w:t> </w:t>
            </w:r>
            <w:r w:rsidR="003937FF" w:rsidRPr="003937FF">
              <w:rPr>
                <w:noProof/>
                <w:lang w:val="pl-PL"/>
              </w:rPr>
              <w:t>prz</w:t>
            </w:r>
            <w:r w:rsidRPr="003937FF">
              <w:rPr>
                <w:noProof/>
                <w:lang w:val="pl-PL"/>
              </w:rPr>
              <w:t>episami</w:t>
            </w:r>
            <w:r w:rsidR="003937FF" w:rsidRPr="003937FF">
              <w:rPr>
                <w:noProof/>
                <w:lang w:val="pl-PL"/>
              </w:rPr>
              <w:t xml:space="preserve"> w</w:t>
            </w:r>
            <w:r w:rsidR="003937FF">
              <w:rPr>
                <w:rFonts w:ascii="Calibri" w:hAnsi="Calibri" w:cs="Calibri"/>
                <w:noProof/>
                <w:lang w:val="pl-PL"/>
              </w:rPr>
              <w:t> </w:t>
            </w:r>
            <w:r w:rsidR="003937FF" w:rsidRPr="003937FF">
              <w:rPr>
                <w:noProof/>
                <w:lang w:val="pl-PL"/>
              </w:rPr>
              <w:t>sek</w:t>
            </w:r>
            <w:r w:rsidRPr="003937FF">
              <w:rPr>
                <w:noProof/>
                <w:lang w:val="pl-PL"/>
              </w:rPr>
              <w:t>torach gospodarki wodnej</w:t>
            </w:r>
            <w:r w:rsidR="003937FF" w:rsidRPr="003937FF">
              <w:rPr>
                <w:noProof/>
                <w:lang w:val="pl-PL"/>
              </w:rPr>
              <w:t xml:space="preserve"> i</w:t>
            </w:r>
            <w:r w:rsidR="003937FF">
              <w:rPr>
                <w:rFonts w:ascii="Calibri" w:hAnsi="Calibri" w:cs="Calibri"/>
                <w:noProof/>
                <w:lang w:val="pl-PL"/>
              </w:rPr>
              <w:t> </w:t>
            </w:r>
            <w:r w:rsidR="003937FF" w:rsidRPr="003937FF">
              <w:rPr>
                <w:noProof/>
                <w:lang w:val="pl-PL"/>
              </w:rPr>
              <w:t>gos</w:t>
            </w:r>
            <w:r w:rsidRPr="003937FF">
              <w:rPr>
                <w:noProof/>
                <w:lang w:val="pl-PL"/>
              </w:rPr>
              <w:t>podarki odpadami</w:t>
            </w:r>
          </w:p>
          <w:p w14:paraId="4796B60D" w14:textId="06173ACF" w:rsidR="00DC3EC3" w:rsidRPr="00A3695F" w:rsidRDefault="00DA53B1" w:rsidP="00D745A7">
            <w:pPr>
              <w:spacing w:after="120" w:line="276" w:lineRule="auto"/>
              <w:ind w:left="113" w:right="113"/>
              <w:jc w:val="both"/>
              <w:rPr>
                <w:rFonts w:ascii="Times New Roman" w:hAnsi="Times New Roman" w:cs="Times New Roman"/>
                <w:noProof/>
                <w:sz w:val="24"/>
                <w:lang w:val="pl-PL"/>
              </w:rPr>
            </w:pPr>
            <w:r w:rsidRPr="00A3695F">
              <w:rPr>
                <w:rFonts w:ascii="Times New Roman" w:hAnsi="Times New Roman"/>
                <w:noProof/>
                <w:sz w:val="24"/>
                <w:lang w:val="pl-PL"/>
              </w:rPr>
              <w:t>Inwestycje niezbędne do osiągnięcia pełnej zgodności</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episami UE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tak</w:t>
            </w:r>
            <w:r w:rsidRPr="00A3695F">
              <w:rPr>
                <w:rFonts w:ascii="Times New Roman" w:hAnsi="Times New Roman"/>
                <w:noProof/>
                <w:sz w:val="24"/>
                <w:lang w:val="pl-PL"/>
              </w:rPr>
              <w:t>ich sektorach, jak gospodarka wodna lub gospodarka odpadami, są znaczne: łączne wydatki niezbędne do zapewnienia zgodności</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 xml:space="preserve">episami </w:t>
            </w:r>
            <w:r w:rsidRPr="003937FF">
              <w:rPr>
                <w:rFonts w:ascii="Times New Roman" w:hAnsi="Times New Roman"/>
                <w:noProof/>
                <w:sz w:val="24"/>
                <w:lang w:val="pl-PL"/>
              </w:rPr>
              <w:t>do</w:t>
            </w:r>
            <w:r w:rsidR="003937FF" w:rsidRPr="003937FF">
              <w:rPr>
                <w:rFonts w:ascii="Times New Roman" w:hAnsi="Times New Roman"/>
                <w:noProof/>
                <w:sz w:val="24"/>
                <w:lang w:val="pl-PL"/>
              </w:rPr>
              <w:t> </w:t>
            </w:r>
            <w:r w:rsidRPr="003937FF">
              <w:rPr>
                <w:rFonts w:ascii="Times New Roman" w:hAnsi="Times New Roman"/>
                <w:noProof/>
                <w:sz w:val="24"/>
                <w:lang w:val="pl-PL"/>
              </w:rPr>
              <w:t>2</w:t>
            </w:r>
            <w:r w:rsidRPr="00A3695F">
              <w:rPr>
                <w:rFonts w:ascii="Times New Roman" w:hAnsi="Times New Roman"/>
                <w:noProof/>
                <w:sz w:val="24"/>
                <w:lang w:val="pl-PL"/>
              </w:rPr>
              <w:t>0</w:t>
            </w:r>
            <w:r w:rsidRPr="003937FF">
              <w:rPr>
                <w:rFonts w:ascii="Times New Roman" w:hAnsi="Times New Roman"/>
                <w:noProof/>
                <w:sz w:val="24"/>
                <w:lang w:val="pl-PL"/>
              </w:rPr>
              <w:t>30</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zak</w:t>
            </w:r>
            <w:r w:rsidRPr="00A3695F">
              <w:rPr>
                <w:rFonts w:ascii="Times New Roman" w:hAnsi="Times New Roman"/>
                <w:noProof/>
                <w:sz w:val="24"/>
                <w:lang w:val="pl-PL"/>
              </w:rPr>
              <w:t>resie zaopatrzenia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wod</w:t>
            </w:r>
            <w:r w:rsidRPr="00A3695F">
              <w:rPr>
                <w:rFonts w:ascii="Times New Roman" w:hAnsi="Times New Roman"/>
                <w:noProof/>
                <w:sz w:val="24"/>
                <w:lang w:val="pl-PL"/>
              </w:rPr>
              <w:t>ę</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inf</w:t>
            </w:r>
            <w:r w:rsidRPr="00A3695F">
              <w:rPr>
                <w:rFonts w:ascii="Times New Roman" w:hAnsi="Times New Roman"/>
                <w:noProof/>
                <w:sz w:val="24"/>
                <w:lang w:val="pl-PL"/>
              </w:rPr>
              <w:t>rastruktury sanitarnej wynoszą 255 mld EUR we wszystkich 27 państwach członkowskich</w:t>
            </w:r>
            <w:r w:rsidRPr="00A3695F">
              <w:rPr>
                <w:rStyle w:val="FootnoteReference"/>
                <w:rFonts w:ascii="Times New Roman" w:hAnsi="Times New Roman" w:cs="Times New Roman"/>
                <w:noProof/>
                <w:sz w:val="24"/>
                <w:lang w:val="pl-PL"/>
              </w:rPr>
              <w:footnoteReference w:id="56"/>
            </w:r>
            <w:r w:rsidRPr="00A3695F">
              <w:rPr>
                <w:rFonts w:ascii="Times New Roman" w:hAnsi="Times New Roman"/>
                <w:noProof/>
                <w:sz w:val="24"/>
                <w:lang w:val="pl-PL"/>
              </w:rPr>
              <w:t>. Podobnie dodatkowe inwestycje konieczne do osiągnięcia celów końcowych dotyczących gospodarki</w:t>
            </w:r>
            <w:r w:rsidR="003937FF" w:rsidRPr="00A3695F">
              <w:rPr>
                <w:rFonts w:ascii="Times New Roman" w:hAnsi="Times New Roman"/>
                <w:noProof/>
                <w:sz w:val="24"/>
                <w:lang w:val="pl-PL"/>
              </w:rPr>
              <w:t xml:space="preserve"> o</w:t>
            </w:r>
            <w:r w:rsidR="003937FF">
              <w:rPr>
                <w:rFonts w:ascii="Times New Roman" w:hAnsi="Times New Roman"/>
                <w:noProof/>
                <w:sz w:val="24"/>
                <w:lang w:val="pl-PL"/>
              </w:rPr>
              <w:t> </w:t>
            </w:r>
            <w:r w:rsidR="003937FF" w:rsidRPr="00A3695F">
              <w:rPr>
                <w:rFonts w:ascii="Times New Roman" w:hAnsi="Times New Roman"/>
                <w:noProof/>
                <w:sz w:val="24"/>
                <w:lang w:val="pl-PL"/>
              </w:rPr>
              <w:t>obi</w:t>
            </w:r>
            <w:r w:rsidRPr="00A3695F">
              <w:rPr>
                <w:rFonts w:ascii="Times New Roman" w:hAnsi="Times New Roman"/>
                <w:noProof/>
                <w:sz w:val="24"/>
                <w:lang w:val="pl-PL"/>
              </w:rPr>
              <w:t>egu zamkniętym</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gos</w:t>
            </w:r>
            <w:r w:rsidRPr="00A3695F">
              <w:rPr>
                <w:rFonts w:ascii="Times New Roman" w:hAnsi="Times New Roman"/>
                <w:noProof/>
                <w:sz w:val="24"/>
                <w:lang w:val="pl-PL"/>
              </w:rPr>
              <w:t xml:space="preserve">podarowania odpadami szacuje się </w:t>
            </w:r>
            <w:r w:rsidRPr="003937FF">
              <w:rPr>
                <w:rFonts w:ascii="Times New Roman" w:hAnsi="Times New Roman"/>
                <w:noProof/>
                <w:sz w:val="24"/>
                <w:lang w:val="pl-PL"/>
              </w:rPr>
              <w:t>na</w:t>
            </w:r>
            <w:r w:rsidR="003937FF" w:rsidRPr="003937FF">
              <w:rPr>
                <w:rFonts w:ascii="Times New Roman" w:hAnsi="Times New Roman"/>
                <w:noProof/>
                <w:sz w:val="24"/>
                <w:lang w:val="pl-PL"/>
              </w:rPr>
              <w:t> </w:t>
            </w:r>
            <w:r w:rsidRPr="003937FF">
              <w:rPr>
                <w:rFonts w:ascii="Times New Roman" w:hAnsi="Times New Roman"/>
                <w:noProof/>
                <w:sz w:val="24"/>
                <w:lang w:val="pl-PL"/>
              </w:rPr>
              <w:t>1</w:t>
            </w:r>
            <w:r w:rsidRPr="00A3695F">
              <w:rPr>
                <w:rFonts w:ascii="Times New Roman" w:hAnsi="Times New Roman"/>
                <w:noProof/>
                <w:sz w:val="24"/>
                <w:lang w:val="pl-PL"/>
              </w:rPr>
              <w:t xml:space="preserve">3–28 mld EUR rocznie </w:t>
            </w:r>
            <w:r w:rsidRPr="003937FF">
              <w:rPr>
                <w:rFonts w:ascii="Times New Roman" w:hAnsi="Times New Roman"/>
                <w:noProof/>
                <w:sz w:val="24"/>
                <w:lang w:val="pl-PL"/>
              </w:rPr>
              <w:t>do</w:t>
            </w:r>
            <w:r w:rsidR="003937FF" w:rsidRPr="003937FF">
              <w:rPr>
                <w:rFonts w:ascii="Times New Roman" w:hAnsi="Times New Roman"/>
                <w:noProof/>
                <w:sz w:val="24"/>
                <w:lang w:val="pl-PL"/>
              </w:rPr>
              <w:t> </w:t>
            </w:r>
            <w:r w:rsidRPr="003937FF">
              <w:rPr>
                <w:rFonts w:ascii="Times New Roman" w:hAnsi="Times New Roman"/>
                <w:noProof/>
                <w:sz w:val="24"/>
                <w:lang w:val="pl-PL"/>
              </w:rPr>
              <w:t>2</w:t>
            </w:r>
            <w:r w:rsidRPr="00A3695F">
              <w:rPr>
                <w:rFonts w:ascii="Times New Roman" w:hAnsi="Times New Roman"/>
                <w:noProof/>
                <w:sz w:val="24"/>
                <w:lang w:val="pl-PL"/>
              </w:rPr>
              <w:t>0</w:t>
            </w:r>
            <w:r w:rsidRPr="003937FF">
              <w:rPr>
                <w:rFonts w:ascii="Times New Roman" w:hAnsi="Times New Roman"/>
                <w:noProof/>
                <w:sz w:val="24"/>
                <w:lang w:val="pl-PL"/>
              </w:rPr>
              <w:t>30</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Style w:val="FootnoteReference"/>
                <w:rFonts w:ascii="Times New Roman" w:hAnsi="Times New Roman" w:cs="Times New Roman"/>
                <w:noProof/>
                <w:sz w:val="24"/>
                <w:lang w:val="pl-PL"/>
              </w:rPr>
              <w:footnoteReference w:id="57"/>
            </w:r>
            <w:r w:rsidRPr="00A3695F">
              <w:rPr>
                <w:rFonts w:ascii="Times New Roman" w:hAnsi="Times New Roman"/>
                <w:noProof/>
                <w:sz w:val="24"/>
                <w:lang w:val="pl-PL"/>
              </w:rPr>
              <w:t xml:space="preserve"> Jest to niezbędne, aby zmodernizować system gospodarowania odpadami poprzez usprawnienie zbierania, sortowania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pon</w:t>
            </w:r>
            <w:r w:rsidRPr="00A3695F">
              <w:rPr>
                <w:rFonts w:ascii="Times New Roman" w:hAnsi="Times New Roman"/>
                <w:noProof/>
                <w:sz w:val="24"/>
                <w:lang w:val="pl-PL"/>
              </w:rPr>
              <w:t>ownego przetwarzania odpadów, przetwarzania bioodpadów oraz cyfryzacji rejestrów.</w:t>
            </w:r>
          </w:p>
          <w:p w14:paraId="7BD2FB1E" w14:textId="515F3147" w:rsidR="00761218" w:rsidRPr="00A3695F" w:rsidRDefault="00DC3EC3" w:rsidP="00153DB8">
            <w:pPr>
              <w:spacing w:after="120" w:line="276" w:lineRule="auto"/>
              <w:ind w:left="113" w:right="113"/>
              <w:jc w:val="both"/>
              <w:rPr>
                <w:noProof/>
                <w:sz w:val="24"/>
                <w:lang w:val="pl-PL"/>
              </w:rPr>
            </w:pPr>
            <w:r w:rsidRPr="00A3695F">
              <w:rPr>
                <w:rFonts w:ascii="Times New Roman" w:hAnsi="Times New Roman"/>
                <w:noProof/>
                <w:sz w:val="24"/>
                <w:lang w:val="pl-PL"/>
              </w:rPr>
              <w:t>Niektóre państwa członkowskie polegają na przykład na funduszach spójności UE, jeżeli chodzi</w:t>
            </w:r>
            <w:r w:rsidR="003937FF" w:rsidRPr="00A3695F">
              <w:rPr>
                <w:rFonts w:ascii="Times New Roman" w:hAnsi="Times New Roman"/>
                <w:noProof/>
                <w:sz w:val="24"/>
                <w:lang w:val="pl-PL"/>
              </w:rPr>
              <w:t xml:space="preserve"> o</w:t>
            </w:r>
            <w:r w:rsidR="003937FF">
              <w:rPr>
                <w:rFonts w:ascii="Times New Roman" w:hAnsi="Times New Roman"/>
                <w:noProof/>
                <w:sz w:val="24"/>
                <w:lang w:val="pl-PL"/>
              </w:rPr>
              <w:t> </w:t>
            </w:r>
            <w:r w:rsidR="003937FF" w:rsidRPr="00A3695F">
              <w:rPr>
                <w:rFonts w:ascii="Times New Roman" w:hAnsi="Times New Roman"/>
                <w:noProof/>
                <w:sz w:val="24"/>
                <w:lang w:val="pl-PL"/>
              </w:rPr>
              <w:t>fin</w:t>
            </w:r>
            <w:r w:rsidRPr="00A3695F">
              <w:rPr>
                <w:rFonts w:ascii="Times New Roman" w:hAnsi="Times New Roman"/>
                <w:noProof/>
                <w:sz w:val="24"/>
                <w:lang w:val="pl-PL"/>
              </w:rPr>
              <w:t>ansowanie niezbędnych inwestycji. Dostęp do współfinansowania unijnego zależy jednak od spełnienia szczegółowych wymogów</w:t>
            </w:r>
            <w:r w:rsidRPr="00A3695F">
              <w:rPr>
                <w:rStyle w:val="FootnoteReference"/>
                <w:rFonts w:ascii="Times New Roman" w:hAnsi="Times New Roman" w:cs="Times New Roman"/>
                <w:noProof/>
                <w:sz w:val="24"/>
                <w:lang w:val="pl-PL"/>
              </w:rPr>
              <w:footnoteReference w:id="58"/>
            </w:r>
            <w:r w:rsidRPr="00A3695F">
              <w:rPr>
                <w:rFonts w:ascii="Times New Roman" w:hAnsi="Times New Roman"/>
                <w:noProof/>
                <w:sz w:val="24"/>
                <w:lang w:val="pl-PL"/>
              </w:rPr>
              <w:t>. Państwa członkowskie otrzymują współfinansowanie tylko wtedy, gdy spełniają szereg warunków określonych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pra</w:t>
            </w:r>
            <w:r w:rsidRPr="00A3695F">
              <w:rPr>
                <w:rFonts w:ascii="Times New Roman" w:hAnsi="Times New Roman"/>
                <w:noProof/>
                <w:sz w:val="24"/>
                <w:lang w:val="pl-PL"/>
              </w:rPr>
              <w:t>wie Unii (takich jak przygotowanie planów gospodarki odpadami lub zaplanowanie wymaganych inwestycji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sek</w:t>
            </w:r>
            <w:r w:rsidRPr="00A3695F">
              <w:rPr>
                <w:rFonts w:ascii="Times New Roman" w:hAnsi="Times New Roman"/>
                <w:noProof/>
                <w:sz w:val="24"/>
                <w:lang w:val="pl-PL"/>
              </w:rPr>
              <w:t>torze gospodarki wodnej). Służy to zapewnieniu, aby współfinansowanie unijne było wykorzystywane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spo</w:t>
            </w:r>
            <w:r w:rsidRPr="00A3695F">
              <w:rPr>
                <w:rFonts w:ascii="Times New Roman" w:hAnsi="Times New Roman"/>
                <w:noProof/>
                <w:sz w:val="24"/>
                <w:lang w:val="pl-PL"/>
              </w:rPr>
              <w:t>sób efektywny oraz umożliwiło utworzenie kluczowej infrastruktury środowiskowej</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spe</w:t>
            </w:r>
            <w:r w:rsidRPr="00A3695F">
              <w:rPr>
                <w:rFonts w:ascii="Times New Roman" w:hAnsi="Times New Roman"/>
                <w:noProof/>
                <w:sz w:val="24"/>
                <w:lang w:val="pl-PL"/>
              </w:rPr>
              <w:t>łnienie norm określonych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episach UE dotyczących odpadów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wod</w:t>
            </w:r>
            <w:r w:rsidRPr="00A3695F">
              <w:rPr>
                <w:rFonts w:ascii="Times New Roman" w:hAnsi="Times New Roman"/>
                <w:noProof/>
                <w:sz w:val="24"/>
                <w:lang w:val="pl-PL"/>
              </w:rPr>
              <w:t>y.</w:t>
            </w:r>
          </w:p>
        </w:tc>
      </w:tr>
    </w:tbl>
    <w:p w14:paraId="49D471D9" w14:textId="77777777" w:rsidR="00D24785" w:rsidRPr="00A3695F" w:rsidRDefault="00D24785" w:rsidP="004C03AC">
      <w:pPr>
        <w:spacing w:after="0"/>
        <w:rPr>
          <w:rFonts w:ascii="Times New Roman" w:hAnsi="Times New Roman" w:cs="Times New Roman"/>
          <w:noProof/>
          <w:sz w:val="24"/>
          <w:lang w:val="pl-PL"/>
        </w:rPr>
      </w:pPr>
    </w:p>
    <w:p w14:paraId="76206D17" w14:textId="35DB545D" w:rsidR="00A3515A" w:rsidRPr="00A3695F" w:rsidRDefault="00A3515A" w:rsidP="004C03AC">
      <w:pPr>
        <w:jc w:val="both"/>
        <w:rPr>
          <w:rFonts w:ascii="Times New Roman" w:hAnsi="Times New Roman" w:cs="Times New Roman"/>
          <w:noProof/>
          <w:sz w:val="24"/>
          <w:lang w:val="pl-PL"/>
        </w:rPr>
      </w:pPr>
      <w:r w:rsidRPr="00A3695F">
        <w:rPr>
          <w:rFonts w:ascii="Times New Roman" w:hAnsi="Times New Roman"/>
          <w:noProof/>
          <w:sz w:val="24"/>
          <w:lang w:val="pl-PL"/>
        </w:rPr>
        <w:t>Poszanowanie praworządności ma kluczowe znaczenie dla należytego zarządzania finansami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ram</w:t>
      </w:r>
      <w:r w:rsidRPr="00A3695F">
        <w:rPr>
          <w:rFonts w:ascii="Times New Roman" w:hAnsi="Times New Roman"/>
          <w:noProof/>
          <w:sz w:val="24"/>
          <w:lang w:val="pl-PL"/>
        </w:rPr>
        <w:t>ach budżetu Unii oraz dla skutecznego wykorzystania finansowania unijnego. Od 1 stycznia 20</w:t>
      </w:r>
      <w:r w:rsidRPr="003937FF">
        <w:rPr>
          <w:rFonts w:ascii="Times New Roman" w:hAnsi="Times New Roman"/>
          <w:noProof/>
          <w:sz w:val="24"/>
          <w:lang w:val="pl-PL"/>
        </w:rPr>
        <w:t>21</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Fonts w:ascii="Times New Roman" w:hAnsi="Times New Roman"/>
          <w:noProof/>
          <w:sz w:val="24"/>
          <w:lang w:val="pl-PL"/>
        </w:rPr>
        <w:t xml:space="preserve"> obowiązuje rozporządzenie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warunkowości</w:t>
      </w:r>
      <w:r w:rsidRPr="00A3695F">
        <w:rPr>
          <w:rStyle w:val="FootnoteReference"/>
          <w:rFonts w:ascii="Times New Roman" w:hAnsi="Times New Roman" w:cs="Times New Roman"/>
          <w:noProof/>
          <w:sz w:val="24"/>
          <w:lang w:val="pl-PL"/>
        </w:rPr>
        <w:footnoteReference w:id="59"/>
      </w:r>
      <w:r w:rsidRPr="00A3695F">
        <w:rPr>
          <w:rFonts w:ascii="Times New Roman" w:hAnsi="Times New Roman"/>
          <w:noProof/>
          <w:sz w:val="24"/>
          <w:lang w:val="pl-PL"/>
        </w:rPr>
        <w:t>, które służy ochronie budżetu UE przed skutkami naruszeń praworządności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stwach członkowskich. 2 marca 20</w:t>
      </w:r>
      <w:r w:rsidRPr="003937FF">
        <w:rPr>
          <w:rFonts w:ascii="Times New Roman" w:hAnsi="Times New Roman"/>
          <w:noProof/>
          <w:sz w:val="24"/>
          <w:lang w:val="pl-PL"/>
        </w:rPr>
        <w:t>22</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Fonts w:ascii="Times New Roman" w:hAnsi="Times New Roman"/>
          <w:noProof/>
          <w:sz w:val="24"/>
          <w:lang w:val="pl-PL"/>
        </w:rPr>
        <w:t xml:space="preserve"> Komisja opublikowała wytyczne dotyczące stosowania ogólnego systemu warunkowości. Pierwszy wniosek dotyczący decyzji wykonawczej Rady przyjęto 18 września 20</w:t>
      </w:r>
      <w:r w:rsidRPr="003937FF">
        <w:rPr>
          <w:rFonts w:ascii="Times New Roman" w:hAnsi="Times New Roman"/>
          <w:noProof/>
          <w:sz w:val="24"/>
          <w:lang w:val="pl-PL"/>
        </w:rPr>
        <w:t>22</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Style w:val="FootnoteReference"/>
          <w:rFonts w:ascii="Times New Roman" w:hAnsi="Times New Roman" w:cs="Times New Roman"/>
          <w:noProof/>
          <w:sz w:val="24"/>
          <w:lang w:val="pl-PL"/>
        </w:rPr>
        <w:footnoteReference w:id="60"/>
      </w:r>
    </w:p>
    <w:p w14:paraId="550614B3" w14:textId="13DCD386" w:rsidR="00F80583" w:rsidRPr="003937FF" w:rsidRDefault="00F80583" w:rsidP="004C03AC">
      <w:pPr>
        <w:jc w:val="both"/>
        <w:rPr>
          <w:rFonts w:ascii="Times New Roman" w:hAnsi="Times New Roman" w:cs="Times New Roman"/>
          <w:b/>
          <w:noProof/>
          <w:sz w:val="24"/>
          <w:lang w:val="pl-PL"/>
        </w:rPr>
      </w:pPr>
      <w:r w:rsidRPr="00A3695F">
        <w:rPr>
          <w:rFonts w:ascii="Times New Roman" w:hAnsi="Times New Roman"/>
          <w:noProof/>
          <w:sz w:val="24"/>
          <w:lang w:val="pl-PL"/>
        </w:rPr>
        <w:t>Oprócz wsparcia finansowego Komisja zapewnia również państwom członkowskim dostosowaną do potrzeb wiedzę techniczną</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ram</w:t>
      </w:r>
      <w:r w:rsidRPr="00A3695F">
        <w:rPr>
          <w:rFonts w:ascii="Times New Roman" w:hAnsi="Times New Roman"/>
          <w:noProof/>
          <w:sz w:val="24"/>
          <w:lang w:val="pl-PL"/>
        </w:rPr>
        <w:t>ach Instrumentu Wsparcia Technicznego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opracowania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wdr</w:t>
      </w:r>
      <w:r w:rsidRPr="00A3695F">
        <w:rPr>
          <w:rFonts w:ascii="Times New Roman" w:hAnsi="Times New Roman"/>
          <w:noProof/>
          <w:sz w:val="24"/>
          <w:lang w:val="pl-PL"/>
        </w:rPr>
        <w:t>ożenia reform. Instrument Wsparcia Technicznego wspiera organy krajowe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zwi</w:t>
      </w:r>
      <w:r w:rsidRPr="00A3695F">
        <w:rPr>
          <w:rFonts w:ascii="Times New Roman" w:hAnsi="Times New Roman"/>
          <w:noProof/>
          <w:sz w:val="24"/>
          <w:lang w:val="pl-PL"/>
        </w:rPr>
        <w:t>ększaniu ich zdolności do projektowania, opracowywania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wdr</w:t>
      </w:r>
      <w:r w:rsidRPr="00A3695F">
        <w:rPr>
          <w:rFonts w:ascii="Times New Roman" w:hAnsi="Times New Roman"/>
          <w:noProof/>
          <w:sz w:val="24"/>
          <w:lang w:val="pl-PL"/>
        </w:rPr>
        <w:t>ażania reform zwiększających odporność</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sze</w:t>
      </w:r>
      <w:r w:rsidRPr="00A3695F">
        <w:rPr>
          <w:rFonts w:ascii="Times New Roman" w:hAnsi="Times New Roman"/>
          <w:noProof/>
          <w:sz w:val="24"/>
          <w:lang w:val="pl-PL"/>
        </w:rPr>
        <w:t>regu dziedzin (współpraca administracyjna, praworządność, reforma systemów wymiaru sprawiedliwości, wzmocnienie nadzoru finansowego oraz skuteczniejsze zwalczanie nadużyć finansowych, korupcji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pra</w:t>
      </w:r>
      <w:r w:rsidRPr="00A3695F">
        <w:rPr>
          <w:rFonts w:ascii="Times New Roman" w:hAnsi="Times New Roman"/>
          <w:noProof/>
          <w:sz w:val="24"/>
          <w:lang w:val="pl-PL"/>
        </w:rPr>
        <w:t xml:space="preserve">nia pieniędzy). </w:t>
      </w:r>
    </w:p>
    <w:tbl>
      <w:tblPr>
        <w:tblStyle w:val="law"/>
        <w:tblpPr w:leftFromText="180" w:rightFromText="180" w:vertAnchor="text" w:horzAnchor="margin" w:tblpY="123"/>
        <w:tblW w:w="0" w:type="auto"/>
        <w:tblLook w:val="04A0" w:firstRow="1" w:lastRow="0" w:firstColumn="1" w:lastColumn="0" w:noHBand="0" w:noVBand="1"/>
      </w:tblPr>
      <w:tblGrid>
        <w:gridCol w:w="9288"/>
      </w:tblGrid>
      <w:tr w:rsidR="00F80583" w:rsidRPr="00A3695F" w14:paraId="73D4D005" w14:textId="77777777" w:rsidTr="001F57F0">
        <w:tc>
          <w:tcPr>
            <w:tcW w:w="9288" w:type="dxa"/>
            <w:shd w:val="clear" w:color="auto" w:fill="EDF2F9"/>
          </w:tcPr>
          <w:p w14:paraId="6554EEEB" w14:textId="1A1DD379" w:rsidR="00F80583" w:rsidRPr="003937FF" w:rsidRDefault="007646E1" w:rsidP="006E12BE">
            <w:pPr>
              <w:pStyle w:val="Style2"/>
              <w:jc w:val="left"/>
              <w:rPr>
                <w:noProof/>
                <w:lang w:val="pl-PL"/>
              </w:rPr>
            </w:pPr>
            <w:r w:rsidRPr="003937FF">
              <w:rPr>
                <w:noProof/>
                <w:lang w:val="pl-PL"/>
              </w:rPr>
              <w:t>Promowanie dobrej administracji publicznej za pośrednictwem PACE (wymiany</w:t>
            </w:r>
            <w:r w:rsidR="003937FF" w:rsidRPr="003937FF">
              <w:rPr>
                <w:noProof/>
                <w:lang w:val="pl-PL"/>
              </w:rPr>
              <w:t xml:space="preserve"> w</w:t>
            </w:r>
            <w:r w:rsidR="003937FF">
              <w:rPr>
                <w:rFonts w:ascii="Calibri" w:hAnsi="Calibri" w:cs="Calibri"/>
                <w:noProof/>
                <w:lang w:val="pl-PL"/>
              </w:rPr>
              <w:t> </w:t>
            </w:r>
            <w:r w:rsidR="003937FF" w:rsidRPr="003937FF">
              <w:rPr>
                <w:noProof/>
                <w:lang w:val="pl-PL"/>
              </w:rPr>
              <w:t>ram</w:t>
            </w:r>
            <w:r w:rsidRPr="003937FF">
              <w:rPr>
                <w:noProof/>
                <w:lang w:val="pl-PL"/>
              </w:rPr>
              <w:t>ach współpracy administracji publicznej)</w:t>
            </w:r>
          </w:p>
          <w:p w14:paraId="065E89B0" w14:textId="41FA2DA9" w:rsidR="00F80583" w:rsidRPr="00A3695F" w:rsidRDefault="007646E1" w:rsidP="00EE7B8E">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Administracja publiczna jest bezpośrednim łącznikiem między UE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oby</w:t>
            </w:r>
            <w:r w:rsidRPr="00A3695F">
              <w:rPr>
                <w:rFonts w:ascii="Times New Roman" w:hAnsi="Times New Roman"/>
                <w:noProof/>
                <w:sz w:val="24"/>
                <w:lang w:val="pl-PL"/>
              </w:rPr>
              <w:t>watelami, ponieważ przekłada prawo</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pro</w:t>
            </w:r>
            <w:r w:rsidRPr="00A3695F">
              <w:rPr>
                <w:rFonts w:ascii="Times New Roman" w:hAnsi="Times New Roman"/>
                <w:noProof/>
                <w:sz w:val="24"/>
                <w:lang w:val="pl-PL"/>
              </w:rPr>
              <w:t>gramy Unii na konkretne działania. Jakość administracji publicznej jest czynnikiem decydującym</w:t>
            </w:r>
            <w:r w:rsidR="003937FF" w:rsidRPr="00A3695F">
              <w:rPr>
                <w:rFonts w:ascii="Times New Roman" w:hAnsi="Times New Roman"/>
                <w:noProof/>
                <w:sz w:val="24"/>
                <w:lang w:val="pl-PL"/>
              </w:rPr>
              <w:t xml:space="preserve"> o</w:t>
            </w:r>
            <w:r w:rsidR="003937FF">
              <w:rPr>
                <w:rFonts w:ascii="Times New Roman" w:hAnsi="Times New Roman"/>
                <w:noProof/>
                <w:sz w:val="24"/>
                <w:lang w:val="pl-PL"/>
              </w:rPr>
              <w:t> </w:t>
            </w:r>
            <w:r w:rsidR="003937FF" w:rsidRPr="00A3695F">
              <w:rPr>
                <w:rFonts w:ascii="Times New Roman" w:hAnsi="Times New Roman"/>
                <w:noProof/>
                <w:sz w:val="24"/>
                <w:lang w:val="pl-PL"/>
              </w:rPr>
              <w:t>kon</w:t>
            </w:r>
            <w:r w:rsidRPr="00A3695F">
              <w:rPr>
                <w:rFonts w:ascii="Times New Roman" w:hAnsi="Times New Roman"/>
                <w:noProof/>
                <w:sz w:val="24"/>
                <w:lang w:val="pl-PL"/>
              </w:rPr>
              <w:t>kurencyjności państw członkowskich,</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tym</w:t>
            </w:r>
            <w:r w:rsidRPr="00A3695F">
              <w:rPr>
                <w:rFonts w:ascii="Times New Roman" w:hAnsi="Times New Roman"/>
                <w:noProof/>
                <w:sz w:val="24"/>
                <w:lang w:val="pl-PL"/>
              </w:rPr>
              <w:t xml:space="preserve"> samym całej UE</w:t>
            </w:r>
            <w:r w:rsidRPr="00A3695F">
              <w:rPr>
                <w:rStyle w:val="FootnoteReference"/>
                <w:rFonts w:ascii="Times New Roman" w:hAnsi="Times New Roman" w:cs="Times New Roman"/>
                <w:noProof/>
                <w:sz w:val="24"/>
                <w:lang w:val="pl-PL"/>
              </w:rPr>
              <w:footnoteReference w:id="61"/>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ram</w:t>
            </w:r>
            <w:r w:rsidRPr="00A3695F">
              <w:rPr>
                <w:rFonts w:ascii="Times New Roman" w:hAnsi="Times New Roman"/>
                <w:noProof/>
                <w:sz w:val="24"/>
                <w:lang w:val="pl-PL"/>
              </w:rPr>
              <w:t>ach Instrumentu Wsparcia Technicznego Komisja prowadzi pilotażową inicjatywę wymiany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ram</w:t>
            </w:r>
            <w:r w:rsidRPr="00A3695F">
              <w:rPr>
                <w:rFonts w:ascii="Times New Roman" w:hAnsi="Times New Roman"/>
                <w:noProof/>
                <w:sz w:val="24"/>
                <w:lang w:val="pl-PL"/>
              </w:rPr>
              <w:t xml:space="preserve">ach współpracy administracji publicznej (PACE), która polega na czasowym oddelegowaniu urzędników do innego państwa </w:t>
            </w:r>
            <w:r w:rsidR="00A3695F" w:rsidRPr="00A3695F">
              <w:rPr>
                <w:rFonts w:ascii="Times New Roman" w:hAnsi="Times New Roman"/>
                <w:noProof/>
                <w:sz w:val="24"/>
                <w:lang w:val="pl-PL"/>
              </w:rPr>
              <w:t>członkowskiego. Program</w:t>
            </w:r>
            <w:r w:rsidRPr="00A3695F">
              <w:rPr>
                <w:rFonts w:ascii="Times New Roman" w:hAnsi="Times New Roman"/>
                <w:noProof/>
                <w:sz w:val="24"/>
                <w:lang w:val="pl-PL"/>
              </w:rPr>
              <w:t xml:space="preserve"> ten umożliwia uczestnikom zdobycie wiedzy</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umi</w:t>
            </w:r>
            <w:r w:rsidRPr="00A3695F">
              <w:rPr>
                <w:rFonts w:ascii="Times New Roman" w:hAnsi="Times New Roman"/>
                <w:noProof/>
                <w:sz w:val="24"/>
                <w:lang w:val="pl-PL"/>
              </w:rPr>
              <w:t>ejętności, stworzenie więzi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ost</w:t>
            </w:r>
            <w:r w:rsidRPr="00A3695F">
              <w:rPr>
                <w:rFonts w:ascii="Times New Roman" w:hAnsi="Times New Roman"/>
                <w:noProof/>
                <w:sz w:val="24"/>
                <w:lang w:val="pl-PL"/>
              </w:rPr>
              <w:t xml:space="preserve">atecznie przyczynienie się do powstania prawdziwej europejskiej przestrzeni administracyjnej. </w:t>
            </w:r>
          </w:p>
        </w:tc>
      </w:tr>
    </w:tbl>
    <w:p w14:paraId="463D3AAA" w14:textId="77777777" w:rsidR="00E83900" w:rsidRPr="003937FF" w:rsidRDefault="000C55F1" w:rsidP="00D44AF4">
      <w:pPr>
        <w:pStyle w:val="Heading11"/>
        <w:numPr>
          <w:ilvl w:val="0"/>
          <w:numId w:val="1"/>
        </w:numPr>
        <w:spacing w:before="480"/>
        <w:ind w:left="1077"/>
        <w:contextualSpacing w:val="0"/>
        <w:rPr>
          <w:noProof/>
          <w:u w:val="none"/>
          <w:lang w:val="pl-PL"/>
        </w:rPr>
      </w:pPr>
      <w:r w:rsidRPr="003937FF">
        <w:rPr>
          <w:noProof/>
          <w:u w:val="none"/>
          <w:lang w:val="pl-PL"/>
        </w:rPr>
        <w:t>WCZESNE WYKRYWANIE NARUSZEŃ PRAWA UNII I ROZSTRZYGANIE W ICH SPRAWIE</w:t>
      </w:r>
    </w:p>
    <w:p w14:paraId="3600667F" w14:textId="3949A888" w:rsidR="00E50A67" w:rsidRPr="003937FF" w:rsidRDefault="00E50A67" w:rsidP="00E50A67">
      <w:pPr>
        <w:spacing w:after="120"/>
        <w:jc w:val="both"/>
        <w:rPr>
          <w:rFonts w:ascii="Times New Roman" w:hAnsi="Times New Roman" w:cs="Times New Roman"/>
          <w:b/>
          <w:i/>
          <w:noProof/>
          <w:sz w:val="24"/>
          <w:lang w:val="pl-PL"/>
        </w:rPr>
      </w:pPr>
      <w:r w:rsidRPr="003937FF">
        <w:rPr>
          <w:rFonts w:ascii="Times New Roman" w:hAnsi="Times New Roman"/>
          <w:b/>
          <w:i/>
          <w:noProof/>
          <w:sz w:val="24"/>
          <w:lang w:val="pl-PL"/>
        </w:rPr>
        <w:t>Większa przejrzystość</w:t>
      </w:r>
      <w:r w:rsidR="003937FF" w:rsidRPr="003937FF">
        <w:rPr>
          <w:rFonts w:ascii="Times New Roman" w:hAnsi="Times New Roman"/>
          <w:b/>
          <w:i/>
          <w:noProof/>
          <w:sz w:val="24"/>
          <w:lang w:val="pl-PL"/>
        </w:rPr>
        <w:t xml:space="preserve"> i</w:t>
      </w:r>
      <w:r w:rsidR="003937FF">
        <w:rPr>
          <w:rFonts w:ascii="Times New Roman" w:hAnsi="Times New Roman"/>
          <w:b/>
          <w:i/>
          <w:noProof/>
          <w:sz w:val="24"/>
          <w:lang w:val="pl-PL"/>
        </w:rPr>
        <w:t> </w:t>
      </w:r>
      <w:r w:rsidR="003937FF" w:rsidRPr="003937FF">
        <w:rPr>
          <w:rFonts w:ascii="Times New Roman" w:hAnsi="Times New Roman"/>
          <w:b/>
          <w:i/>
          <w:noProof/>
          <w:sz w:val="24"/>
          <w:lang w:val="pl-PL"/>
        </w:rPr>
        <w:t>mec</w:t>
      </w:r>
      <w:r w:rsidRPr="003937FF">
        <w:rPr>
          <w:rFonts w:ascii="Times New Roman" w:hAnsi="Times New Roman"/>
          <w:b/>
          <w:i/>
          <w:noProof/>
          <w:sz w:val="24"/>
          <w:lang w:val="pl-PL"/>
        </w:rPr>
        <w:t>hanizmy monitorowania służące identyfikowaniu problemów</w:t>
      </w:r>
    </w:p>
    <w:p w14:paraId="4868EEB4" w14:textId="2B222832" w:rsidR="00AD4DBE" w:rsidRPr="00A3695F" w:rsidRDefault="00E50A67" w:rsidP="00E50A67">
      <w:pPr>
        <w:spacing w:after="120"/>
        <w:jc w:val="both"/>
        <w:rPr>
          <w:rFonts w:ascii="Times New Roman" w:hAnsi="Times New Roman" w:cs="Times New Roman"/>
          <w:noProof/>
          <w:sz w:val="24"/>
          <w:lang w:val="pl-PL"/>
        </w:rPr>
      </w:pPr>
      <w:r w:rsidRPr="00A3695F">
        <w:rPr>
          <w:rFonts w:ascii="Times New Roman" w:hAnsi="Times New Roman"/>
          <w:noProof/>
          <w:sz w:val="24"/>
          <w:lang w:val="pl-PL"/>
        </w:rPr>
        <w:t>Większa przejrzystość, publikacja informacji na temat przestrzegania przepisów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mec</w:t>
      </w:r>
      <w:r w:rsidRPr="00A3695F">
        <w:rPr>
          <w:rFonts w:ascii="Times New Roman" w:hAnsi="Times New Roman"/>
          <w:noProof/>
          <w:sz w:val="24"/>
          <w:lang w:val="pl-PL"/>
        </w:rPr>
        <w:t>hanizmy regularnego monitorowania również okazały się skuteczne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zac</w:t>
      </w:r>
      <w:r w:rsidRPr="00A3695F">
        <w:rPr>
          <w:rFonts w:ascii="Times New Roman" w:hAnsi="Times New Roman"/>
          <w:noProof/>
          <w:sz w:val="24"/>
          <w:lang w:val="pl-PL"/>
        </w:rPr>
        <w:t>hęcaniu państw członkowskich do szybszego zapewnienia zgodności</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 xml:space="preserve">episami lub przynajmniej identyfikacji obszarów, które wymagają dalszej uwagi. </w:t>
      </w:r>
    </w:p>
    <w:p w14:paraId="7C9A3DB0" w14:textId="05E19BF0" w:rsidR="00E50A67" w:rsidRPr="00A3695F" w:rsidRDefault="00AD4DBE" w:rsidP="00E50A67">
      <w:pPr>
        <w:spacing w:after="120"/>
        <w:jc w:val="both"/>
        <w:rPr>
          <w:rFonts w:ascii="Times New Roman" w:hAnsi="Times New Roman" w:cs="Times New Roman"/>
          <w:noProof/>
          <w:sz w:val="24"/>
          <w:lang w:val="pl-PL"/>
        </w:rPr>
      </w:pPr>
      <w:r w:rsidRPr="00A3695F">
        <w:rPr>
          <w:rFonts w:ascii="Times New Roman" w:hAnsi="Times New Roman"/>
          <w:noProof/>
          <w:sz w:val="24"/>
          <w:lang w:val="pl-PL"/>
        </w:rPr>
        <w:t>Publikacja sprawozdań na ten temat umożliwia społeczeństwu śledzenie wyników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poz</w:t>
      </w:r>
      <w:r w:rsidRPr="00A3695F">
        <w:rPr>
          <w:rFonts w:ascii="Times New Roman" w:hAnsi="Times New Roman"/>
          <w:noProof/>
          <w:sz w:val="24"/>
          <w:lang w:val="pl-PL"/>
        </w:rPr>
        <w:t>iomu zgodności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pos</w:t>
      </w:r>
      <w:r w:rsidRPr="00A3695F">
        <w:rPr>
          <w:rFonts w:ascii="Times New Roman" w:hAnsi="Times New Roman"/>
          <w:noProof/>
          <w:sz w:val="24"/>
          <w:lang w:val="pl-PL"/>
        </w:rPr>
        <w:t>zczególnych obszarach polityki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dan</w:t>
      </w:r>
      <w:r w:rsidRPr="00A3695F">
        <w:rPr>
          <w:rFonts w:ascii="Times New Roman" w:hAnsi="Times New Roman"/>
          <w:noProof/>
          <w:sz w:val="24"/>
          <w:lang w:val="pl-PL"/>
        </w:rPr>
        <w:t>ym państwie członkowskim, zwiększa świadomość wśród przedsiębiorstw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zyja debacie publicznej. Tablice wyników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inn</w:t>
      </w:r>
      <w:r w:rsidRPr="00A3695F">
        <w:rPr>
          <w:rFonts w:ascii="Times New Roman" w:hAnsi="Times New Roman"/>
          <w:noProof/>
          <w:sz w:val="24"/>
          <w:lang w:val="pl-PL"/>
        </w:rPr>
        <w:t>e podobne oceny pomagają ukierunkować te prace za pomocą takich narzędzi, jak: tabela wyników rynku wewnętrznego</w:t>
      </w:r>
      <w:r w:rsidRPr="00A3695F">
        <w:rPr>
          <w:rStyle w:val="FootnoteReference"/>
          <w:rFonts w:ascii="Times New Roman" w:hAnsi="Times New Roman" w:cs="Times New Roman"/>
          <w:noProof/>
          <w:sz w:val="24"/>
          <w:lang w:val="pl-PL"/>
        </w:rPr>
        <w:footnoteReference w:id="62"/>
      </w:r>
      <w:r w:rsidRPr="00A3695F">
        <w:rPr>
          <w:rFonts w:ascii="Times New Roman" w:hAnsi="Times New Roman"/>
          <w:noProof/>
          <w:sz w:val="24"/>
          <w:lang w:val="pl-PL"/>
        </w:rPr>
        <w:t>, sprawozdania dotyczące poszczególnych krajów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ram</w:t>
      </w:r>
      <w:r w:rsidRPr="00A3695F">
        <w:rPr>
          <w:rFonts w:ascii="Times New Roman" w:hAnsi="Times New Roman"/>
          <w:noProof/>
          <w:sz w:val="24"/>
          <w:lang w:val="pl-PL"/>
        </w:rPr>
        <w:t>ach europejskiego semestru</w:t>
      </w:r>
      <w:r w:rsidRPr="00A3695F">
        <w:rPr>
          <w:rStyle w:val="FootnoteReference"/>
          <w:rFonts w:ascii="Times New Roman" w:hAnsi="Times New Roman" w:cs="Times New Roman"/>
          <w:noProof/>
          <w:sz w:val="24"/>
          <w:lang w:val="pl-PL"/>
        </w:rPr>
        <w:footnoteReference w:id="63"/>
      </w:r>
      <w:r w:rsidRPr="00A3695F">
        <w:rPr>
          <w:rFonts w:ascii="Times New Roman" w:hAnsi="Times New Roman"/>
          <w:noProof/>
          <w:sz w:val="24"/>
          <w:lang w:val="pl-PL"/>
        </w:rPr>
        <w:t>, przegląd wdrażania polityki ochrony środowiska</w:t>
      </w:r>
      <w:r w:rsidRPr="00A3695F">
        <w:rPr>
          <w:rStyle w:val="FootnoteReference"/>
          <w:rFonts w:ascii="Times New Roman" w:hAnsi="Times New Roman" w:cs="Times New Roman"/>
          <w:noProof/>
          <w:sz w:val="24"/>
          <w:lang w:val="pl-PL"/>
        </w:rPr>
        <w:footnoteReference w:id="64"/>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tow</w:t>
      </w:r>
      <w:r w:rsidRPr="00A3695F">
        <w:rPr>
          <w:rFonts w:ascii="Times New Roman" w:hAnsi="Times New Roman"/>
          <w:noProof/>
          <w:sz w:val="24"/>
          <w:lang w:val="pl-PL"/>
        </w:rPr>
        <w:t>arzysząca mu interaktywna mapa naruszeń prawa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tej</w:t>
      </w:r>
      <w:r w:rsidRPr="00A3695F">
        <w:rPr>
          <w:rFonts w:ascii="Times New Roman" w:hAnsi="Times New Roman"/>
          <w:noProof/>
          <w:sz w:val="24"/>
          <w:lang w:val="pl-PL"/>
        </w:rPr>
        <w:t xml:space="preserve"> dziedzinie</w:t>
      </w:r>
      <w:r w:rsidRPr="00A3695F">
        <w:rPr>
          <w:rStyle w:val="FootnoteReference"/>
          <w:rFonts w:ascii="Times New Roman" w:hAnsi="Times New Roman" w:cs="Times New Roman"/>
          <w:noProof/>
          <w:sz w:val="24"/>
          <w:lang w:val="pl-PL"/>
        </w:rPr>
        <w:footnoteReference w:id="65"/>
      </w:r>
      <w:r w:rsidRPr="00A3695F">
        <w:rPr>
          <w:rFonts w:ascii="Times New Roman" w:hAnsi="Times New Roman"/>
          <w:noProof/>
          <w:sz w:val="24"/>
          <w:lang w:val="pl-PL"/>
        </w:rPr>
        <w:t xml:space="preserve"> lub publikacja reakcji Komisji na powiadomienia otrzymane od państw członkowskich na mocy dyrektywy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przejrzystości na jednolitym rynku. Inne instrumenty, takie jak sprawozdanie na temat praworządności lub unijna tablica wyników wymiaru sprawiedliwości</w:t>
      </w:r>
      <w:r w:rsidRPr="00A3695F">
        <w:rPr>
          <w:rStyle w:val="FootnoteReference"/>
          <w:rFonts w:ascii="Times New Roman" w:hAnsi="Times New Roman" w:cs="Times New Roman"/>
          <w:noProof/>
          <w:sz w:val="24"/>
          <w:lang w:val="pl-PL"/>
        </w:rPr>
        <w:footnoteReference w:id="66"/>
      </w:r>
      <w:r w:rsidRPr="00A3695F">
        <w:rPr>
          <w:rFonts w:ascii="Times New Roman" w:hAnsi="Times New Roman"/>
          <w:noProof/>
          <w:sz w:val="24"/>
          <w:lang w:val="pl-PL"/>
        </w:rPr>
        <w:t>, umożliwiają wgląd</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roz</w:t>
      </w:r>
      <w:r w:rsidRPr="00A3695F">
        <w:rPr>
          <w:rFonts w:ascii="Times New Roman" w:hAnsi="Times New Roman"/>
          <w:noProof/>
          <w:sz w:val="24"/>
          <w:lang w:val="pl-PL"/>
        </w:rPr>
        <w:t>wój sytuacji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pos</w:t>
      </w:r>
      <w:r w:rsidRPr="00A3695F">
        <w:rPr>
          <w:rFonts w:ascii="Times New Roman" w:hAnsi="Times New Roman"/>
          <w:noProof/>
          <w:sz w:val="24"/>
          <w:lang w:val="pl-PL"/>
        </w:rPr>
        <w:t>zczególnych państwach członkowskich,</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per</w:t>
      </w:r>
      <w:r w:rsidRPr="00A3695F">
        <w:rPr>
          <w:rFonts w:ascii="Times New Roman" w:hAnsi="Times New Roman"/>
          <w:noProof/>
          <w:sz w:val="24"/>
          <w:lang w:val="pl-PL"/>
        </w:rPr>
        <w:t>spektywy istotnej dla skutecznego egzekwowania prawa Unii. Dobrze funkcjonujący krajowy system wymiaru sprawiedliwości ma zasadnicze znaczenie dla zapewnienia skutecznej ochrony sądowej praw obywateli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edsiębiorstw, wynikających</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pra</w:t>
      </w:r>
      <w:r w:rsidRPr="00A3695F">
        <w:rPr>
          <w:rFonts w:ascii="Times New Roman" w:hAnsi="Times New Roman"/>
          <w:noProof/>
          <w:sz w:val="24"/>
          <w:lang w:val="pl-PL"/>
        </w:rPr>
        <w:t>wa Unii</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nie</w:t>
      </w:r>
      <w:r w:rsidRPr="00A3695F">
        <w:rPr>
          <w:rFonts w:ascii="Times New Roman" w:hAnsi="Times New Roman"/>
          <w:noProof/>
          <w:sz w:val="24"/>
          <w:lang w:val="pl-PL"/>
        </w:rPr>
        <w:t>których konkretnych obszarach polityki Komisja publikuje informacje na temat stanu transpozycji dyrektyw przez państwa członkowskie</w:t>
      </w:r>
      <w:r w:rsidRPr="00A3695F">
        <w:rPr>
          <w:rFonts w:ascii="Times New Roman" w:hAnsi="Times New Roman" w:cs="Times New Roman"/>
          <w:noProof/>
          <w:sz w:val="24"/>
          <w:vertAlign w:val="superscript"/>
          <w:lang w:val="pl-PL"/>
        </w:rPr>
        <w:footnoteReference w:id="67"/>
      </w:r>
      <w:r w:rsidRPr="00A3695F">
        <w:rPr>
          <w:rFonts w:ascii="Times New Roman" w:hAnsi="Times New Roman"/>
          <w:noProof/>
          <w:sz w:val="24"/>
          <w:lang w:val="pl-PL"/>
        </w:rPr>
        <w:t>.</w:t>
      </w:r>
    </w:p>
    <w:p w14:paraId="443D8206" w14:textId="4C8F5743" w:rsidR="001E422A" w:rsidRPr="00A3695F" w:rsidRDefault="00E50A67" w:rsidP="0047108C">
      <w:pPr>
        <w:spacing w:after="240"/>
        <w:jc w:val="both"/>
        <w:rPr>
          <w:rFonts w:ascii="Times New Roman" w:hAnsi="Times New Roman" w:cs="Times New Roman"/>
          <w:noProof/>
          <w:sz w:val="24"/>
          <w:lang w:val="pl-PL"/>
        </w:rPr>
      </w:pPr>
      <w:r w:rsidRPr="00A3695F">
        <w:rPr>
          <w:rFonts w:ascii="Times New Roman" w:hAnsi="Times New Roman"/>
          <w:noProof/>
          <w:sz w:val="24"/>
          <w:lang w:val="pl-PL"/>
        </w:rPr>
        <w:t>Komisja często składa również sprawozdania na temat wdrażania konkretnych instrumentów lub obszarów prawa Unii. Sprawozdania te mają na celu nie tylko informowanie społeczeństwa</w:t>
      </w:r>
      <w:r w:rsidR="003937FF" w:rsidRPr="00A3695F">
        <w:rPr>
          <w:rFonts w:ascii="Times New Roman" w:hAnsi="Times New Roman"/>
          <w:noProof/>
          <w:sz w:val="24"/>
          <w:lang w:val="pl-PL"/>
        </w:rPr>
        <w:t xml:space="preserve"> o</w:t>
      </w:r>
      <w:r w:rsidR="003937FF">
        <w:rPr>
          <w:rFonts w:ascii="Times New Roman" w:hAnsi="Times New Roman"/>
          <w:noProof/>
          <w:sz w:val="24"/>
          <w:lang w:val="pl-PL"/>
        </w:rPr>
        <w:t> </w:t>
      </w:r>
      <w:r w:rsidR="003937FF" w:rsidRPr="00A3695F">
        <w:rPr>
          <w:rFonts w:ascii="Times New Roman" w:hAnsi="Times New Roman"/>
          <w:noProof/>
          <w:sz w:val="24"/>
          <w:lang w:val="pl-PL"/>
        </w:rPr>
        <w:t>obs</w:t>
      </w:r>
      <w:r w:rsidRPr="00A3695F">
        <w:rPr>
          <w:rFonts w:ascii="Times New Roman" w:hAnsi="Times New Roman"/>
          <w:noProof/>
          <w:sz w:val="24"/>
          <w:lang w:val="pl-PL"/>
        </w:rPr>
        <w:t>zarach,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któ</w:t>
      </w:r>
      <w:r w:rsidRPr="00A3695F">
        <w:rPr>
          <w:rFonts w:ascii="Times New Roman" w:hAnsi="Times New Roman"/>
          <w:noProof/>
          <w:sz w:val="24"/>
          <w:lang w:val="pl-PL"/>
        </w:rPr>
        <w:t>rych prawa obywateli są zagrożone, lecz także określenie ogólnych tendencji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pro</w:t>
      </w:r>
      <w:r w:rsidRPr="00A3695F">
        <w:rPr>
          <w:rFonts w:ascii="Times New Roman" w:hAnsi="Times New Roman"/>
          <w:noProof/>
          <w:sz w:val="24"/>
          <w:lang w:val="pl-PL"/>
        </w:rPr>
        <w:t>blemów, co jest pomocne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pod</w:t>
      </w:r>
      <w:r w:rsidRPr="00A3695F">
        <w:rPr>
          <w:rFonts w:ascii="Times New Roman" w:hAnsi="Times New Roman"/>
          <w:noProof/>
          <w:sz w:val="24"/>
          <w:lang w:val="pl-PL"/>
        </w:rPr>
        <w:t>ejmowaniu działań wobec państw członkowskich</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sta</w:t>
      </w:r>
      <w:r w:rsidRPr="00A3695F">
        <w:rPr>
          <w:rFonts w:ascii="Times New Roman" w:hAnsi="Times New Roman"/>
          <w:noProof/>
          <w:sz w:val="24"/>
          <w:lang w:val="pl-PL"/>
        </w:rPr>
        <w:t>nowi inspirację do ewentualnego przeglądu prawa.</w:t>
      </w:r>
    </w:p>
    <w:tbl>
      <w:tblPr>
        <w:tblStyle w:val="law"/>
        <w:tblW w:w="0" w:type="auto"/>
        <w:shd w:val="clear" w:color="auto" w:fill="EDF2F9"/>
        <w:tblLook w:val="04A0" w:firstRow="1" w:lastRow="0" w:firstColumn="1" w:lastColumn="0" w:noHBand="0" w:noVBand="1"/>
      </w:tblPr>
      <w:tblGrid>
        <w:gridCol w:w="9288"/>
      </w:tblGrid>
      <w:tr w:rsidR="00E50A67" w:rsidRPr="00A3695F" w14:paraId="37926718" w14:textId="77777777" w:rsidTr="001F57F0">
        <w:tc>
          <w:tcPr>
            <w:tcW w:w="9288" w:type="dxa"/>
            <w:shd w:val="clear" w:color="auto" w:fill="EDF2F9"/>
          </w:tcPr>
          <w:p w14:paraId="06B1E80A" w14:textId="77777777" w:rsidR="00E50A67" w:rsidRPr="003937FF" w:rsidRDefault="00E50A67" w:rsidP="006E12BE">
            <w:pPr>
              <w:pStyle w:val="Style2"/>
              <w:rPr>
                <w:noProof/>
                <w:lang w:val="pl-PL"/>
              </w:rPr>
            </w:pPr>
            <w:r w:rsidRPr="003937FF">
              <w:rPr>
                <w:noProof/>
                <w:lang w:val="pl-PL"/>
              </w:rPr>
              <w:t>Ocena Schengen</w:t>
            </w:r>
          </w:p>
          <w:p w14:paraId="721F8286" w14:textId="63FF385B" w:rsidR="006B108B" w:rsidRPr="00A3695F" w:rsidRDefault="0055359F" w:rsidP="00D24785">
            <w:pPr>
              <w:pStyle w:val="ListParagraph"/>
              <w:spacing w:after="120" w:line="276" w:lineRule="auto"/>
              <w:ind w:left="113"/>
              <w:contextualSpacing w:val="0"/>
              <w:jc w:val="both"/>
              <w:rPr>
                <w:rFonts w:ascii="Times New Roman" w:hAnsi="Times New Roman" w:cs="Times New Roman"/>
                <w:noProof/>
                <w:sz w:val="24"/>
                <w:lang w:val="pl-PL"/>
              </w:rPr>
            </w:pPr>
            <w:r w:rsidRPr="00A3695F">
              <w:rPr>
                <w:rFonts w:ascii="Times New Roman" w:hAnsi="Times New Roman"/>
                <w:noProof/>
                <w:sz w:val="24"/>
                <w:lang w:val="pl-PL"/>
              </w:rPr>
              <w:t>Dobrze funkcjonująca strefa Schengen</w:t>
            </w:r>
            <w:r w:rsidRPr="00A3695F">
              <w:rPr>
                <w:rStyle w:val="FootnoteReference"/>
                <w:rFonts w:ascii="Times New Roman" w:hAnsi="Times New Roman" w:cs="Times New Roman"/>
                <w:noProof/>
                <w:sz w:val="24"/>
                <w:lang w:val="pl-PL"/>
              </w:rPr>
              <w:footnoteReference w:id="68"/>
            </w:r>
            <w:r w:rsidRPr="00A3695F">
              <w:rPr>
                <w:rFonts w:ascii="Times New Roman" w:hAnsi="Times New Roman"/>
                <w:noProof/>
                <w:sz w:val="24"/>
                <w:lang w:val="pl-PL"/>
              </w:rPr>
              <w:t xml:space="preserve"> zależy od prawidłowego</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sku</w:t>
            </w:r>
            <w:r w:rsidRPr="00A3695F">
              <w:rPr>
                <w:rFonts w:ascii="Times New Roman" w:hAnsi="Times New Roman"/>
                <w:noProof/>
                <w:sz w:val="24"/>
                <w:lang w:val="pl-PL"/>
              </w:rPr>
              <w:t>tecznego wdrażania dorobku Schengen oraz od wzajemnego zaufania między państwami członkowskimi. Mechanizm oceny</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mon</w:t>
            </w:r>
            <w:r w:rsidRPr="00A3695F">
              <w:rPr>
                <w:rFonts w:ascii="Times New Roman" w:hAnsi="Times New Roman"/>
                <w:noProof/>
                <w:sz w:val="24"/>
                <w:lang w:val="pl-PL"/>
              </w:rPr>
              <w:t>itorowania Schengen</w:t>
            </w:r>
            <w:r w:rsidRPr="00A3695F">
              <w:rPr>
                <w:rStyle w:val="FootnoteReference"/>
                <w:rFonts w:ascii="Times New Roman" w:hAnsi="Times New Roman" w:cs="Times New Roman"/>
                <w:noProof/>
                <w:sz w:val="24"/>
                <w:lang w:val="pl-PL"/>
              </w:rPr>
              <w:footnoteReference w:id="69"/>
            </w:r>
            <w:r w:rsidRPr="00A3695F">
              <w:rPr>
                <w:rFonts w:ascii="Times New Roman" w:hAnsi="Times New Roman"/>
                <w:noProof/>
                <w:sz w:val="24"/>
                <w:lang w:val="pl-PL"/>
              </w:rPr>
              <w:t xml:space="preserve"> przewiduje obiektywne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bez</w:t>
            </w:r>
            <w:r w:rsidRPr="00A3695F">
              <w:rPr>
                <w:rFonts w:ascii="Times New Roman" w:hAnsi="Times New Roman"/>
                <w:noProof/>
                <w:sz w:val="24"/>
                <w:lang w:val="pl-PL"/>
              </w:rPr>
              <w:t>stronne oceny, aby można było szybko identyfikować</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nap</w:t>
            </w:r>
            <w:r w:rsidRPr="00A3695F">
              <w:rPr>
                <w:rFonts w:ascii="Times New Roman" w:hAnsi="Times New Roman"/>
                <w:noProof/>
                <w:sz w:val="24"/>
                <w:lang w:val="pl-PL"/>
              </w:rPr>
              <w:t>rawiać niedociągnięcia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sto</w:t>
            </w:r>
            <w:r w:rsidRPr="00A3695F">
              <w:rPr>
                <w:rFonts w:ascii="Times New Roman" w:hAnsi="Times New Roman"/>
                <w:noProof/>
                <w:sz w:val="24"/>
                <w:lang w:val="pl-PL"/>
              </w:rPr>
              <w:t>sowaniu przepisów Schengen. Komisja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 członkowskie przeprowadzają wizyty oceniające, po których Rada wydaje państwom członkowskim zalecenia dotyczące działań naprawczych. Mechanizm ten zaktualizowano</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udo</w:t>
            </w:r>
            <w:r w:rsidRPr="00A3695F">
              <w:rPr>
                <w:rFonts w:ascii="Times New Roman" w:hAnsi="Times New Roman"/>
                <w:noProof/>
                <w:sz w:val="24"/>
                <w:lang w:val="pl-PL"/>
              </w:rPr>
              <w:t>skonalono</w:t>
            </w:r>
            <w:r w:rsidRPr="00A3695F">
              <w:rPr>
                <w:rStyle w:val="FootnoteReference"/>
                <w:rFonts w:ascii="Times New Roman" w:hAnsi="Times New Roman" w:cs="Times New Roman"/>
                <w:noProof/>
                <w:sz w:val="24"/>
                <w:lang w:val="pl-PL"/>
              </w:rPr>
              <w:footnoteReference w:id="70"/>
            </w:r>
            <w:r w:rsidRPr="00A3695F">
              <w:rPr>
                <w:rFonts w:ascii="Times New Roman" w:hAnsi="Times New Roman"/>
                <w:noProof/>
                <w:sz w:val="24"/>
                <w:lang w:val="pl-PL"/>
              </w:rPr>
              <w:t>,</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usp</w:t>
            </w:r>
            <w:r w:rsidRPr="00A3695F">
              <w:rPr>
                <w:rFonts w:ascii="Times New Roman" w:hAnsi="Times New Roman"/>
                <w:noProof/>
                <w:sz w:val="24"/>
                <w:lang w:val="pl-PL"/>
              </w:rPr>
              <w:t>rawniona procedura zapewnia szybkie eliminowanie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szc</w:t>
            </w:r>
            <w:r w:rsidRPr="00A3695F">
              <w:rPr>
                <w:rFonts w:ascii="Times New Roman" w:hAnsi="Times New Roman"/>
                <w:noProof/>
                <w:sz w:val="24"/>
                <w:lang w:val="pl-PL"/>
              </w:rPr>
              <w:t>zególności poważnych niedociągnięć.</w:t>
            </w:r>
          </w:p>
          <w:p w14:paraId="3DDF460A" w14:textId="77777777" w:rsidR="00C966E8" w:rsidRPr="003937FF" w:rsidRDefault="00F47E68" w:rsidP="006E12BE">
            <w:pPr>
              <w:pStyle w:val="Style2"/>
              <w:rPr>
                <w:noProof/>
                <w:lang w:val="pl-PL"/>
              </w:rPr>
            </w:pPr>
            <w:r w:rsidRPr="003937FF">
              <w:rPr>
                <w:noProof/>
                <w:lang w:val="pl-PL"/>
              </w:rPr>
              <w:t>Sprawozdanie na temat praworządności</w:t>
            </w:r>
          </w:p>
          <w:p w14:paraId="398ED51C" w14:textId="4C62D2E8" w:rsidR="0036596E" w:rsidRPr="00A3695F" w:rsidRDefault="00C966E8" w:rsidP="001451A1">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Roczne sprawozdanie na temat praworządności</w:t>
            </w:r>
            <w:r w:rsidRPr="00A3695F">
              <w:rPr>
                <w:rStyle w:val="FootnoteReference"/>
                <w:rFonts w:ascii="Times New Roman" w:hAnsi="Times New Roman" w:cs="Times New Roman"/>
                <w:noProof/>
                <w:sz w:val="24"/>
                <w:lang w:val="pl-PL"/>
              </w:rPr>
              <w:footnoteReference w:id="71"/>
            </w:r>
            <w:r w:rsidRPr="00A3695F">
              <w:rPr>
                <w:rFonts w:ascii="Times New Roman" w:hAnsi="Times New Roman"/>
                <w:noProof/>
                <w:sz w:val="24"/>
                <w:lang w:val="pl-PL"/>
              </w:rPr>
              <w:t xml:space="preserve"> jest centralnym elementem europejskiego mechanizmu praworządności</w:t>
            </w:r>
            <w:r w:rsidRPr="00A3695F">
              <w:rPr>
                <w:rStyle w:val="FootnoteReference"/>
                <w:rFonts w:ascii="Times New Roman" w:hAnsi="Times New Roman" w:cs="Times New Roman"/>
                <w:noProof/>
                <w:sz w:val="24"/>
                <w:lang w:val="pl-PL"/>
              </w:rPr>
              <w:footnoteReference w:id="72"/>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lip</w:t>
            </w:r>
            <w:r w:rsidRPr="00A3695F">
              <w:rPr>
                <w:rFonts w:ascii="Times New Roman" w:hAnsi="Times New Roman"/>
                <w:noProof/>
                <w:sz w:val="24"/>
                <w:lang w:val="pl-PL"/>
              </w:rPr>
              <w:t>cu 20</w:t>
            </w:r>
            <w:r w:rsidRPr="003937FF">
              <w:rPr>
                <w:rFonts w:ascii="Times New Roman" w:hAnsi="Times New Roman"/>
                <w:noProof/>
                <w:sz w:val="24"/>
                <w:lang w:val="pl-PL"/>
              </w:rPr>
              <w:t>22</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Fonts w:ascii="Times New Roman" w:hAnsi="Times New Roman"/>
                <w:noProof/>
                <w:sz w:val="24"/>
                <w:lang w:val="pl-PL"/>
              </w:rPr>
              <w:t xml:space="preserve"> Komisja przedstawiła trzecie roczne sprawozdanie na temat praworządności zawierające 27 rozdziałów dotyczących poszczególnych państw. Sprawozdanie to jest efektem ścisłego dialogu</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org</w:t>
            </w:r>
            <w:r w:rsidRPr="00A3695F">
              <w:rPr>
                <w:rFonts w:ascii="Times New Roman" w:hAnsi="Times New Roman"/>
                <w:noProof/>
                <w:sz w:val="24"/>
                <w:lang w:val="pl-PL"/>
              </w:rPr>
              <w:t>anami krajowymi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zai</w:t>
            </w:r>
            <w:r w:rsidRPr="00A3695F">
              <w:rPr>
                <w:rFonts w:ascii="Times New Roman" w:hAnsi="Times New Roman"/>
                <w:noProof/>
                <w:sz w:val="24"/>
                <w:lang w:val="pl-PL"/>
              </w:rPr>
              <w:t>nteresowanymi stronami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obe</w:t>
            </w:r>
            <w:r w:rsidRPr="00A3695F">
              <w:rPr>
                <w:rFonts w:ascii="Times New Roman" w:hAnsi="Times New Roman"/>
                <w:noProof/>
                <w:sz w:val="24"/>
                <w:lang w:val="pl-PL"/>
              </w:rPr>
              <w:t>jmuje obiektywną</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bez</w:t>
            </w:r>
            <w:r w:rsidRPr="00A3695F">
              <w:rPr>
                <w:rFonts w:ascii="Times New Roman" w:hAnsi="Times New Roman"/>
                <w:noProof/>
                <w:sz w:val="24"/>
                <w:lang w:val="pl-PL"/>
              </w:rPr>
              <w:t>stronną analizę czterech kluczowych filarów praworządności we wszystkich państwach członkowskich: systemu wymiaru sprawiedliwości, ram antykorupcyjnych, pluralizmu</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wol</w:t>
            </w:r>
            <w:r w:rsidRPr="00A3695F">
              <w:rPr>
                <w:rFonts w:ascii="Times New Roman" w:hAnsi="Times New Roman"/>
                <w:noProof/>
                <w:sz w:val="24"/>
                <w:lang w:val="pl-PL"/>
              </w:rPr>
              <w:t>ności mediów oraz innych kwestii instytucjonalnych związanych</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mec</w:t>
            </w:r>
            <w:r w:rsidRPr="00A3695F">
              <w:rPr>
                <w:rFonts w:ascii="Times New Roman" w:hAnsi="Times New Roman"/>
                <w:noProof/>
                <w:sz w:val="24"/>
                <w:lang w:val="pl-PL"/>
              </w:rPr>
              <w:t>hanizmami kontroli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rów</w:t>
            </w:r>
            <w:r w:rsidRPr="00A3695F">
              <w:rPr>
                <w:rFonts w:ascii="Times New Roman" w:hAnsi="Times New Roman"/>
                <w:noProof/>
                <w:sz w:val="24"/>
                <w:lang w:val="pl-PL"/>
              </w:rPr>
              <w:t>nowagi. Od 20</w:t>
            </w:r>
            <w:r w:rsidRPr="003937FF">
              <w:rPr>
                <w:rFonts w:ascii="Times New Roman" w:hAnsi="Times New Roman"/>
                <w:noProof/>
                <w:sz w:val="24"/>
                <w:lang w:val="pl-PL"/>
              </w:rPr>
              <w:t>22</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Fonts w:ascii="Times New Roman" w:hAnsi="Times New Roman"/>
                <w:noProof/>
                <w:sz w:val="24"/>
                <w:lang w:val="pl-PL"/>
              </w:rPr>
              <w:t xml:space="preserve"> sprawozdanie zawiera szczegółowe zalecenia dla poszczególnych państw członkowskich. Zgodnie</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zap</w:t>
            </w:r>
            <w:r w:rsidRPr="00A3695F">
              <w:rPr>
                <w:rFonts w:ascii="Times New Roman" w:hAnsi="Times New Roman"/>
                <w:noProof/>
                <w:sz w:val="24"/>
                <w:lang w:val="pl-PL"/>
              </w:rPr>
              <w:t>obiegawczym charakterem sprawozdania celem tych zaleceń jest udzielenie państwom członkowskim pomocy</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wsp</w:t>
            </w:r>
            <w:r w:rsidRPr="00A3695F">
              <w:rPr>
                <w:rFonts w:ascii="Times New Roman" w:hAnsi="Times New Roman"/>
                <w:noProof/>
                <w:sz w:val="24"/>
                <w:lang w:val="pl-PL"/>
              </w:rPr>
              <w:t>arcia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wys</w:t>
            </w:r>
            <w:r w:rsidRPr="00A3695F">
              <w:rPr>
                <w:rFonts w:ascii="Times New Roman" w:hAnsi="Times New Roman"/>
                <w:noProof/>
                <w:sz w:val="24"/>
                <w:lang w:val="pl-PL"/>
              </w:rPr>
              <w:t>iłkach na rzecz realizacji trwających lub planowanych reform oraz pomocy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ust</w:t>
            </w:r>
            <w:r w:rsidRPr="00A3695F">
              <w:rPr>
                <w:rFonts w:ascii="Times New Roman" w:hAnsi="Times New Roman"/>
                <w:noProof/>
                <w:sz w:val="24"/>
                <w:lang w:val="pl-PL"/>
              </w:rPr>
              <w:t>aleniu, gdzie mogą być potrzebne usprawnienia lub działania uzupełniające ostatnie zmiany lub reformy</w:t>
            </w:r>
            <w:r w:rsidRPr="00A3695F">
              <w:rPr>
                <w:rStyle w:val="FootnoteReference"/>
                <w:rFonts w:ascii="Times New Roman" w:hAnsi="Times New Roman" w:cs="Times New Roman"/>
                <w:noProof/>
                <w:sz w:val="24"/>
                <w:lang w:val="pl-PL"/>
              </w:rPr>
              <w:footnoteReference w:id="73"/>
            </w:r>
            <w:r w:rsidRPr="00A3695F">
              <w:rPr>
                <w:rFonts w:ascii="Times New Roman" w:hAnsi="Times New Roman"/>
                <w:noProof/>
                <w:sz w:val="24"/>
                <w:lang w:val="pl-PL"/>
              </w:rPr>
              <w:t>.</w:t>
            </w:r>
          </w:p>
        </w:tc>
      </w:tr>
    </w:tbl>
    <w:p w14:paraId="0689C7FB" w14:textId="77777777" w:rsidR="00E50A67" w:rsidRPr="003937FF" w:rsidRDefault="00E50A67" w:rsidP="0047108C">
      <w:pPr>
        <w:spacing w:after="0"/>
        <w:jc w:val="both"/>
        <w:rPr>
          <w:rFonts w:ascii="Times New Roman" w:hAnsi="Times New Roman" w:cs="Times New Roman"/>
          <w:i/>
          <w:noProof/>
          <w:sz w:val="24"/>
          <w:lang w:val="pl-PL"/>
        </w:rPr>
      </w:pPr>
    </w:p>
    <w:p w14:paraId="6EC9ADDD" w14:textId="3ADAAE76" w:rsidR="00E83900" w:rsidRPr="003937FF" w:rsidRDefault="00056835" w:rsidP="00A70C25">
      <w:pPr>
        <w:spacing w:after="120"/>
        <w:jc w:val="both"/>
        <w:rPr>
          <w:rFonts w:ascii="Times New Roman" w:hAnsi="Times New Roman" w:cs="Times New Roman"/>
          <w:b/>
          <w:i/>
          <w:noProof/>
          <w:sz w:val="24"/>
          <w:lang w:val="pl-PL"/>
        </w:rPr>
      </w:pPr>
      <w:r w:rsidRPr="003937FF">
        <w:rPr>
          <w:rFonts w:ascii="Times New Roman" w:hAnsi="Times New Roman"/>
          <w:b/>
          <w:i/>
          <w:noProof/>
          <w:sz w:val="24"/>
          <w:lang w:val="pl-PL"/>
        </w:rPr>
        <w:t>Przeprowadzanie audytów</w:t>
      </w:r>
      <w:r w:rsidR="003937FF" w:rsidRPr="003937FF">
        <w:rPr>
          <w:rFonts w:ascii="Times New Roman" w:hAnsi="Times New Roman"/>
          <w:b/>
          <w:i/>
          <w:noProof/>
          <w:sz w:val="24"/>
          <w:lang w:val="pl-PL"/>
        </w:rPr>
        <w:t xml:space="preserve"> w</w:t>
      </w:r>
      <w:r w:rsidR="003937FF">
        <w:rPr>
          <w:rFonts w:ascii="Times New Roman" w:hAnsi="Times New Roman"/>
          <w:b/>
          <w:i/>
          <w:noProof/>
          <w:sz w:val="24"/>
          <w:lang w:val="pl-PL"/>
        </w:rPr>
        <w:t> </w:t>
      </w:r>
      <w:r w:rsidR="003937FF" w:rsidRPr="003937FF">
        <w:rPr>
          <w:rFonts w:ascii="Times New Roman" w:hAnsi="Times New Roman"/>
          <w:b/>
          <w:i/>
          <w:noProof/>
          <w:sz w:val="24"/>
          <w:lang w:val="pl-PL"/>
        </w:rPr>
        <w:t>cel</w:t>
      </w:r>
      <w:r w:rsidRPr="003937FF">
        <w:rPr>
          <w:rFonts w:ascii="Times New Roman" w:hAnsi="Times New Roman"/>
          <w:b/>
          <w:i/>
          <w:noProof/>
          <w:sz w:val="24"/>
          <w:lang w:val="pl-PL"/>
        </w:rPr>
        <w:t>u sprawdzenia zgodności</w:t>
      </w:r>
    </w:p>
    <w:p w14:paraId="4A1FF4A4" w14:textId="0091E8C1" w:rsidR="00E83900" w:rsidRPr="00A3695F" w:rsidRDefault="00E83900" w:rsidP="00A70C25">
      <w:pPr>
        <w:spacing w:after="120"/>
        <w:jc w:val="both"/>
        <w:rPr>
          <w:rFonts w:ascii="Times New Roman" w:hAnsi="Times New Roman" w:cs="Times New Roman"/>
          <w:noProof/>
          <w:sz w:val="24"/>
          <w:lang w:val="pl-PL"/>
        </w:rPr>
      </w:pPr>
      <w:r w:rsidRPr="00A3695F">
        <w:rPr>
          <w:rFonts w:ascii="Times New Roman" w:hAnsi="Times New Roman"/>
          <w:noProof/>
          <w:sz w:val="24"/>
          <w:lang w:val="pl-PL"/>
        </w:rPr>
        <w:t>W niektórych obszarach prawa Unii Komisja przeprowadza audyty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sprawdzenia, czy państwa członkowskie przestrzegają przepisów UE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pra</w:t>
      </w:r>
      <w:r w:rsidRPr="00A3695F">
        <w:rPr>
          <w:rFonts w:ascii="Times New Roman" w:hAnsi="Times New Roman"/>
          <w:noProof/>
          <w:sz w:val="24"/>
          <w:lang w:val="pl-PL"/>
        </w:rPr>
        <w:t>ktyce, oraz na potrzeby oceny kontroli krajowych.</w:t>
      </w:r>
    </w:p>
    <w:p w14:paraId="46F90D12" w14:textId="2692CF78" w:rsidR="00843C3C" w:rsidRPr="00A3695F" w:rsidRDefault="004C03AC" w:rsidP="0047108C">
      <w:pPr>
        <w:spacing w:after="240"/>
        <w:jc w:val="both"/>
        <w:rPr>
          <w:rFonts w:ascii="Times New Roman" w:hAnsi="Times New Roman" w:cs="Times New Roman"/>
          <w:noProof/>
          <w:sz w:val="24"/>
          <w:lang w:val="pl-PL"/>
        </w:rPr>
      </w:pPr>
      <w:r w:rsidRPr="00A3695F">
        <w:rPr>
          <w:rFonts w:ascii="Times New Roman" w:hAnsi="Times New Roman"/>
          <w:noProof/>
          <w:sz w:val="24"/>
          <w:lang w:val="pl-PL"/>
        </w:rPr>
        <w:t>Audyty są podstawowym narzędziem ochrony budżetu UE. Pomagają one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wyk</w:t>
      </w:r>
      <w:r w:rsidRPr="00A3695F">
        <w:rPr>
          <w:rFonts w:ascii="Times New Roman" w:hAnsi="Times New Roman"/>
          <w:noProof/>
          <w:sz w:val="24"/>
          <w:lang w:val="pl-PL"/>
        </w:rPr>
        <w:t>rywaniu nienależnych płatności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odz</w:t>
      </w:r>
      <w:r w:rsidRPr="00A3695F">
        <w:rPr>
          <w:rFonts w:ascii="Times New Roman" w:hAnsi="Times New Roman"/>
          <w:noProof/>
          <w:sz w:val="24"/>
          <w:lang w:val="pl-PL"/>
        </w:rPr>
        <w:t>yskiwaniu kwot nienależnie wypłaconych przez państwo członkowskie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wyn</w:t>
      </w:r>
      <w:r w:rsidRPr="00A3695F">
        <w:rPr>
          <w:rFonts w:ascii="Times New Roman" w:hAnsi="Times New Roman"/>
          <w:noProof/>
          <w:sz w:val="24"/>
          <w:lang w:val="pl-PL"/>
        </w:rPr>
        <w:t>iku nieprzestrzegania przepisów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zas</w:t>
      </w:r>
      <w:r w:rsidRPr="00A3695F">
        <w:rPr>
          <w:rFonts w:ascii="Times New Roman" w:hAnsi="Times New Roman"/>
          <w:noProof/>
          <w:sz w:val="24"/>
          <w:lang w:val="pl-PL"/>
        </w:rPr>
        <w:t>ad należytego zarządzania finansami. Zalecenia wynikające</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aud</w:t>
      </w:r>
      <w:r w:rsidRPr="00A3695F">
        <w:rPr>
          <w:rFonts w:ascii="Times New Roman" w:hAnsi="Times New Roman"/>
          <w:noProof/>
          <w:sz w:val="24"/>
          <w:lang w:val="pl-PL"/>
        </w:rPr>
        <w:t>ytów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pla</w:t>
      </w:r>
      <w:r w:rsidRPr="00A3695F">
        <w:rPr>
          <w:rFonts w:ascii="Times New Roman" w:hAnsi="Times New Roman"/>
          <w:noProof/>
          <w:sz w:val="24"/>
          <w:lang w:val="pl-PL"/>
        </w:rPr>
        <w:t>ny działania inicjowane przez państwa członkowskie na wniosek Komisji często bezpośrednio prowadzą do lepszego wdrażania przepisów przez organy państw członkowskich.</w:t>
      </w:r>
    </w:p>
    <w:tbl>
      <w:tblPr>
        <w:tblStyle w:val="law"/>
        <w:tblW w:w="0" w:type="auto"/>
        <w:shd w:val="clear" w:color="auto" w:fill="EDF2F9"/>
        <w:tblLook w:val="04A0" w:firstRow="1" w:lastRow="0" w:firstColumn="1" w:lastColumn="0" w:noHBand="0" w:noVBand="1"/>
      </w:tblPr>
      <w:tblGrid>
        <w:gridCol w:w="9288"/>
      </w:tblGrid>
      <w:tr w:rsidR="005828BD" w:rsidRPr="00A3695F" w14:paraId="4DF7DC89" w14:textId="77777777" w:rsidTr="001F57F0">
        <w:tc>
          <w:tcPr>
            <w:tcW w:w="9288" w:type="dxa"/>
            <w:shd w:val="clear" w:color="auto" w:fill="EDF2F9"/>
          </w:tcPr>
          <w:p w14:paraId="5B774F0B" w14:textId="6819082C" w:rsidR="005828BD" w:rsidRPr="003937FF" w:rsidRDefault="005828BD" w:rsidP="006E12BE">
            <w:pPr>
              <w:pStyle w:val="Style2"/>
              <w:rPr>
                <w:noProof/>
                <w:lang w:val="pl-PL"/>
              </w:rPr>
            </w:pPr>
            <w:r w:rsidRPr="003937FF">
              <w:rPr>
                <w:noProof/>
                <w:lang w:val="pl-PL"/>
              </w:rPr>
              <w:t>Ochrona unijnych norm bezpieczeństwa żywności</w:t>
            </w:r>
            <w:r w:rsidR="003937FF" w:rsidRPr="003937FF">
              <w:rPr>
                <w:noProof/>
                <w:lang w:val="pl-PL"/>
              </w:rPr>
              <w:t xml:space="preserve"> i</w:t>
            </w:r>
            <w:r w:rsidR="003937FF">
              <w:rPr>
                <w:rFonts w:ascii="Calibri" w:hAnsi="Calibri" w:cs="Calibri"/>
                <w:noProof/>
                <w:lang w:val="pl-PL"/>
              </w:rPr>
              <w:t> </w:t>
            </w:r>
            <w:r w:rsidR="003937FF" w:rsidRPr="003937FF">
              <w:rPr>
                <w:noProof/>
                <w:lang w:val="pl-PL"/>
              </w:rPr>
              <w:t>pas</w:t>
            </w:r>
            <w:r w:rsidRPr="003937FF">
              <w:rPr>
                <w:noProof/>
                <w:lang w:val="pl-PL"/>
              </w:rPr>
              <w:t>z</w:t>
            </w:r>
          </w:p>
          <w:p w14:paraId="0B203B3B" w14:textId="39F66BEC" w:rsidR="005828BD" w:rsidRPr="00A3695F" w:rsidRDefault="005828BD" w:rsidP="005828BD">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Mieszkańcy UE oczekują przestrzegania rygorystycznych norm bezpieczeństwa żywności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pas</w:t>
            </w:r>
            <w:r w:rsidRPr="00A3695F">
              <w:rPr>
                <w:rFonts w:ascii="Times New Roman" w:hAnsi="Times New Roman"/>
                <w:noProof/>
                <w:sz w:val="24"/>
                <w:lang w:val="pl-PL"/>
              </w:rPr>
              <w:t>z oraz zdrowia zwierząt</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roś</w:t>
            </w:r>
            <w:r w:rsidRPr="00A3695F">
              <w:rPr>
                <w:rFonts w:ascii="Times New Roman" w:hAnsi="Times New Roman"/>
                <w:noProof/>
                <w:sz w:val="24"/>
                <w:lang w:val="pl-PL"/>
              </w:rPr>
              <w:t>lin. Ochronie tych norm służą kontrole,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tym</w:t>
            </w:r>
            <w:r w:rsidRPr="00A3695F">
              <w:rPr>
                <w:rFonts w:ascii="Times New Roman" w:hAnsi="Times New Roman"/>
                <w:noProof/>
                <w:sz w:val="24"/>
                <w:lang w:val="pl-PL"/>
              </w:rPr>
              <w:t xml:space="preserve"> audyty,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stwach członkowskich</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stwach trzecich, które eksportują do UE rośliny, zwierzęta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żyw</w:t>
            </w:r>
            <w:r w:rsidRPr="00A3695F">
              <w:rPr>
                <w:rFonts w:ascii="Times New Roman" w:hAnsi="Times New Roman"/>
                <w:noProof/>
                <w:sz w:val="24"/>
                <w:lang w:val="pl-PL"/>
              </w:rPr>
              <w:t>ność</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lat</w:t>
            </w:r>
            <w:r w:rsidRPr="00A3695F">
              <w:rPr>
                <w:rFonts w:ascii="Times New Roman" w:hAnsi="Times New Roman"/>
                <w:noProof/>
                <w:sz w:val="24"/>
                <w:lang w:val="pl-PL"/>
              </w:rPr>
              <w:t>ach 2019–2020 Komisja przeprowadziła 170 audytów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pod</w:t>
            </w:r>
            <w:r w:rsidRPr="00A3695F">
              <w:rPr>
                <w:rFonts w:ascii="Times New Roman" w:hAnsi="Times New Roman"/>
                <w:noProof/>
                <w:sz w:val="24"/>
                <w:lang w:val="pl-PL"/>
              </w:rPr>
              <w:t>obnych kontroli systemów kontroli urzędowych państw członkowskich,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wyn</w:t>
            </w:r>
            <w:r w:rsidRPr="00A3695F">
              <w:rPr>
                <w:rFonts w:ascii="Times New Roman" w:hAnsi="Times New Roman"/>
                <w:noProof/>
                <w:sz w:val="24"/>
                <w:lang w:val="pl-PL"/>
              </w:rPr>
              <w:t>iku których wydano 527 zaleceń dla państw członkowskich</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eważającej liczbie przypadków państwa członkowskie podjęły działania naprawcze lub</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zad</w:t>
            </w:r>
            <w:r w:rsidRPr="00A3695F">
              <w:rPr>
                <w:rFonts w:ascii="Times New Roman" w:hAnsi="Times New Roman"/>
                <w:noProof/>
                <w:sz w:val="24"/>
                <w:lang w:val="pl-PL"/>
              </w:rPr>
              <w:t>owalający sposób zobowiązały się do wyeliminowania niedociągnięć. W 20</w:t>
            </w:r>
            <w:r w:rsidRPr="003937FF">
              <w:rPr>
                <w:rFonts w:ascii="Times New Roman" w:hAnsi="Times New Roman"/>
                <w:noProof/>
                <w:sz w:val="24"/>
                <w:lang w:val="pl-PL"/>
              </w:rPr>
              <w:t>20</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Fonts w:ascii="Times New Roman" w:hAnsi="Times New Roman"/>
                <w:noProof/>
                <w:sz w:val="24"/>
                <w:lang w:val="pl-PL"/>
              </w:rPr>
              <w:t xml:space="preserve"> około 17 mln podmiotów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łań</w:t>
            </w:r>
            <w:r w:rsidRPr="00A3695F">
              <w:rPr>
                <w:rFonts w:ascii="Times New Roman" w:hAnsi="Times New Roman"/>
                <w:noProof/>
                <w:sz w:val="24"/>
                <w:lang w:val="pl-PL"/>
              </w:rPr>
              <w:t>cuchu rolno-spożywczym zostało poddanych kontrolom urzędowym prowadzonym przez organy krajowe. Organy te przeprowadziły ponad cztery miliony kontroli tych podmiotów. Pomogło to organom krajowym</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lep</w:t>
            </w:r>
            <w:r w:rsidRPr="00A3695F">
              <w:rPr>
                <w:rFonts w:ascii="Times New Roman" w:hAnsi="Times New Roman"/>
                <w:noProof/>
                <w:sz w:val="24"/>
                <w:lang w:val="pl-PL"/>
              </w:rPr>
              <w:t>szym egzekwowaniu rygorystycznych unijnych norm bezpieczeństwa żywności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pas</w:t>
            </w:r>
            <w:r w:rsidRPr="00A3695F">
              <w:rPr>
                <w:rFonts w:ascii="Times New Roman" w:hAnsi="Times New Roman"/>
                <w:noProof/>
                <w:sz w:val="24"/>
                <w:lang w:val="pl-PL"/>
              </w:rPr>
              <w:t>z.</w:t>
            </w:r>
          </w:p>
          <w:p w14:paraId="6E8CFEED" w14:textId="0B722A71" w:rsidR="005828BD" w:rsidRPr="003937FF" w:rsidRDefault="005828BD" w:rsidP="006E12BE">
            <w:pPr>
              <w:pStyle w:val="Style2"/>
              <w:jc w:val="left"/>
              <w:rPr>
                <w:noProof/>
                <w:lang w:val="pl-PL"/>
              </w:rPr>
            </w:pPr>
            <w:r w:rsidRPr="003937FF">
              <w:rPr>
                <w:noProof/>
                <w:lang w:val="pl-PL"/>
              </w:rPr>
              <w:t>Opracowanie planów działania</w:t>
            </w:r>
            <w:r w:rsidR="003937FF" w:rsidRPr="003937FF">
              <w:rPr>
                <w:noProof/>
                <w:lang w:val="pl-PL"/>
              </w:rPr>
              <w:t xml:space="preserve"> w</w:t>
            </w:r>
            <w:r w:rsidR="003937FF">
              <w:rPr>
                <w:rFonts w:ascii="Calibri" w:hAnsi="Calibri" w:cs="Calibri"/>
                <w:noProof/>
                <w:lang w:val="pl-PL"/>
              </w:rPr>
              <w:t> </w:t>
            </w:r>
            <w:r w:rsidR="003937FF" w:rsidRPr="003937FF">
              <w:rPr>
                <w:noProof/>
                <w:lang w:val="pl-PL"/>
              </w:rPr>
              <w:t>cel</w:t>
            </w:r>
            <w:r w:rsidRPr="003937FF">
              <w:rPr>
                <w:noProof/>
                <w:lang w:val="pl-PL"/>
              </w:rPr>
              <w:t>u poprawy przestrzegania wspólnych przepisów dotyczących rybołówstwa</w:t>
            </w:r>
          </w:p>
          <w:p w14:paraId="321CC8A7" w14:textId="7839B84E" w:rsidR="005828BD" w:rsidRPr="00A3695F" w:rsidRDefault="005828BD" w:rsidP="005828BD">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Komisja przeprowadza inspekcje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stwach członkowskich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sprawdzenia,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jak</w:t>
            </w:r>
            <w:r w:rsidRPr="00A3695F">
              <w:rPr>
                <w:rFonts w:ascii="Times New Roman" w:hAnsi="Times New Roman"/>
                <w:noProof/>
                <w:sz w:val="24"/>
                <w:lang w:val="pl-PL"/>
              </w:rPr>
              <w:t>i sposób wdrażają one kontrole rybołówstwa</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ypadku stwierdzenia systematycznych uchybień</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zak</w:t>
            </w:r>
            <w:r w:rsidRPr="00A3695F">
              <w:rPr>
                <w:rFonts w:ascii="Times New Roman" w:hAnsi="Times New Roman"/>
                <w:noProof/>
                <w:sz w:val="24"/>
                <w:lang w:val="pl-PL"/>
              </w:rPr>
              <w:t>resie kontroli Komisja opracowuje wraz</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stwami członkowskimi plany działania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wzmocnienia ich systemów kontroli. Te plany działania pomagają Komisji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mon</w:t>
            </w:r>
            <w:r w:rsidRPr="00A3695F">
              <w:rPr>
                <w:rFonts w:ascii="Times New Roman" w:hAnsi="Times New Roman"/>
                <w:noProof/>
                <w:sz w:val="24"/>
                <w:lang w:val="pl-PL"/>
              </w:rPr>
              <w:t>itorowaniu wdrażania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stwach członkowskich systemów kontroli rybołówstwa, które mają zasadnicze znaczenie dla zapewnienia zrównoważonego rybołówstwa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zdr</w:t>
            </w:r>
            <w:r w:rsidRPr="00A3695F">
              <w:rPr>
                <w:rFonts w:ascii="Times New Roman" w:hAnsi="Times New Roman"/>
                <w:noProof/>
                <w:sz w:val="24"/>
                <w:lang w:val="pl-PL"/>
              </w:rPr>
              <w:t>owych stad ryb, oraz postępów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tyc</w:t>
            </w:r>
            <w:r w:rsidRPr="00A3695F">
              <w:rPr>
                <w:rFonts w:ascii="Times New Roman" w:hAnsi="Times New Roman"/>
                <w:noProof/>
                <w:sz w:val="24"/>
                <w:lang w:val="pl-PL"/>
              </w:rPr>
              <w:t>h systemach. Doprowadziło to do bardziej wiarygodnego raportowania połowów i do udoskonalenia systemów wykrywania naruszeń wspólnej polityki rybołówstwa.</w:t>
            </w:r>
          </w:p>
          <w:p w14:paraId="154A8091" w14:textId="2E038577" w:rsidR="0084216D" w:rsidRPr="003937FF" w:rsidRDefault="0084216D" w:rsidP="006E12BE">
            <w:pPr>
              <w:pStyle w:val="Style2"/>
              <w:jc w:val="left"/>
              <w:rPr>
                <w:noProof/>
                <w:lang w:val="pl-PL"/>
              </w:rPr>
            </w:pPr>
            <w:r w:rsidRPr="003937FF">
              <w:rPr>
                <w:noProof/>
                <w:lang w:val="pl-PL"/>
              </w:rPr>
              <w:t>Zapewnienie prawidłowości płatności</w:t>
            </w:r>
            <w:r w:rsidR="003937FF" w:rsidRPr="003937FF">
              <w:rPr>
                <w:noProof/>
                <w:lang w:val="pl-PL"/>
              </w:rPr>
              <w:t xml:space="preserve"> w</w:t>
            </w:r>
            <w:r w:rsidR="003937FF">
              <w:rPr>
                <w:rFonts w:ascii="Calibri" w:hAnsi="Calibri" w:cs="Calibri"/>
                <w:noProof/>
                <w:lang w:val="pl-PL"/>
              </w:rPr>
              <w:t> </w:t>
            </w:r>
            <w:r w:rsidR="003937FF" w:rsidRPr="003937FF">
              <w:rPr>
                <w:noProof/>
                <w:lang w:val="pl-PL"/>
              </w:rPr>
              <w:t>dzi</w:t>
            </w:r>
            <w:r w:rsidRPr="003937FF">
              <w:rPr>
                <w:noProof/>
                <w:lang w:val="pl-PL"/>
              </w:rPr>
              <w:t>edzinie rolnictwa</w:t>
            </w:r>
          </w:p>
          <w:p w14:paraId="6633029B" w14:textId="372B3497" w:rsidR="0084216D" w:rsidRPr="00A3695F" w:rsidRDefault="00026262" w:rsidP="00026262">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Komisja przeprowadza regularne audyty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stwach członkowskich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sprawdzenia, czy przestrzegają one przepisów UE regulujących wsparcie udzielane rolnikom</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inn</w:t>
            </w:r>
            <w:r w:rsidRPr="00A3695F">
              <w:rPr>
                <w:rFonts w:ascii="Times New Roman" w:hAnsi="Times New Roman"/>
                <w:noProof/>
                <w:sz w:val="24"/>
                <w:lang w:val="pl-PL"/>
              </w:rPr>
              <w:t>ym beneficjentom</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ram</w:t>
            </w:r>
            <w:r w:rsidRPr="00A3695F">
              <w:rPr>
                <w:rFonts w:ascii="Times New Roman" w:hAnsi="Times New Roman"/>
                <w:noProof/>
                <w:sz w:val="24"/>
                <w:lang w:val="pl-PL"/>
              </w:rPr>
              <w:t>ach wspólnej polityki rolnej</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ypadku niezgodności lub braków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sys</w:t>
            </w:r>
            <w:r w:rsidRPr="00A3695F">
              <w:rPr>
                <w:rFonts w:ascii="Times New Roman" w:hAnsi="Times New Roman"/>
                <w:noProof/>
                <w:sz w:val="24"/>
                <w:lang w:val="pl-PL"/>
              </w:rPr>
              <w:t>temie kontroli Komisja może zawiesić finansowanie unijne lub odzyskać je od państw członkowskich. Te korekty finansowe okazały się skutecznymi mechanizmami korygowania popełnionych błędów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och</w:t>
            </w:r>
            <w:r w:rsidRPr="00A3695F">
              <w:rPr>
                <w:rFonts w:ascii="Times New Roman" w:hAnsi="Times New Roman"/>
                <w:noProof/>
                <w:sz w:val="24"/>
                <w:lang w:val="pl-PL"/>
              </w:rPr>
              <w:t>rony budżetu UE. Dodatkowo, aby wzmocnić systemy kontroli państw członkowskich, Komisja wymaga od państwa członkowskiego wdrożenia planu działania.</w:t>
            </w:r>
          </w:p>
        </w:tc>
      </w:tr>
    </w:tbl>
    <w:p w14:paraId="38D440A6" w14:textId="77777777" w:rsidR="00E83900" w:rsidRPr="00A3695F" w:rsidRDefault="00E83900" w:rsidP="00A70C25">
      <w:pPr>
        <w:spacing w:after="0"/>
        <w:jc w:val="both"/>
        <w:rPr>
          <w:rFonts w:ascii="Times New Roman" w:hAnsi="Times New Roman" w:cs="Times New Roman"/>
          <w:noProof/>
          <w:sz w:val="24"/>
          <w:lang w:val="pl-PL"/>
        </w:rPr>
      </w:pPr>
    </w:p>
    <w:p w14:paraId="41C0E1B8" w14:textId="1BB275ED" w:rsidR="00E83900" w:rsidRPr="003937FF" w:rsidRDefault="00A456BB" w:rsidP="00A70C25">
      <w:pPr>
        <w:spacing w:after="120"/>
        <w:jc w:val="both"/>
        <w:rPr>
          <w:rFonts w:ascii="Times New Roman" w:hAnsi="Times New Roman" w:cs="Times New Roman"/>
          <w:b/>
          <w:i/>
          <w:noProof/>
          <w:sz w:val="24"/>
          <w:lang w:val="pl-PL"/>
        </w:rPr>
      </w:pPr>
      <w:r w:rsidRPr="003937FF">
        <w:rPr>
          <w:rFonts w:ascii="Times New Roman" w:hAnsi="Times New Roman"/>
          <w:b/>
          <w:i/>
          <w:noProof/>
          <w:sz w:val="24"/>
          <w:lang w:val="pl-PL"/>
        </w:rPr>
        <w:t>Procedura poprzedzająca wszczęcie postępowania</w:t>
      </w:r>
      <w:r w:rsidR="003937FF" w:rsidRPr="003937FF">
        <w:rPr>
          <w:rFonts w:ascii="Times New Roman" w:hAnsi="Times New Roman"/>
          <w:b/>
          <w:i/>
          <w:noProof/>
          <w:sz w:val="24"/>
          <w:lang w:val="pl-PL"/>
        </w:rPr>
        <w:t xml:space="preserve"> w</w:t>
      </w:r>
      <w:r w:rsidR="003937FF">
        <w:rPr>
          <w:rFonts w:ascii="Times New Roman" w:hAnsi="Times New Roman"/>
          <w:b/>
          <w:i/>
          <w:noProof/>
          <w:sz w:val="24"/>
          <w:lang w:val="pl-PL"/>
        </w:rPr>
        <w:t> </w:t>
      </w:r>
      <w:r w:rsidR="003937FF" w:rsidRPr="003937FF">
        <w:rPr>
          <w:rFonts w:ascii="Times New Roman" w:hAnsi="Times New Roman"/>
          <w:b/>
          <w:i/>
          <w:noProof/>
          <w:sz w:val="24"/>
          <w:lang w:val="pl-PL"/>
        </w:rPr>
        <w:t>spr</w:t>
      </w:r>
      <w:r w:rsidRPr="003937FF">
        <w:rPr>
          <w:rFonts w:ascii="Times New Roman" w:hAnsi="Times New Roman"/>
          <w:b/>
          <w:i/>
          <w:noProof/>
          <w:sz w:val="24"/>
          <w:lang w:val="pl-PL"/>
        </w:rPr>
        <w:t>awie uchybienia zobowiązaniom państwa członkowskiego (EU Pilot)</w:t>
      </w:r>
    </w:p>
    <w:p w14:paraId="1FA01947" w14:textId="52ECAA90" w:rsidR="004E30A9" w:rsidRPr="00A3695F" w:rsidRDefault="008C708B" w:rsidP="00A70C25">
      <w:pPr>
        <w:spacing w:after="120"/>
        <w:jc w:val="both"/>
        <w:rPr>
          <w:rFonts w:ascii="Times New Roman" w:eastAsia="Times New Roman" w:hAnsi="Times New Roman" w:cs="Times New Roman"/>
          <w:noProof/>
          <w:sz w:val="24"/>
          <w:lang w:val="pl-PL"/>
        </w:rPr>
      </w:pPr>
      <w:r w:rsidRPr="00A3695F">
        <w:rPr>
          <w:rFonts w:ascii="Times New Roman" w:hAnsi="Times New Roman"/>
          <w:noProof/>
          <w:sz w:val="24"/>
          <w:lang w:val="pl-PL"/>
        </w:rPr>
        <w:t>W przypadku gdy pomimo działań zapobiegawczych</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wsp</w:t>
      </w:r>
      <w:r w:rsidRPr="00A3695F">
        <w:rPr>
          <w:rFonts w:ascii="Times New Roman" w:hAnsi="Times New Roman"/>
          <w:noProof/>
          <w:sz w:val="24"/>
          <w:lang w:val="pl-PL"/>
        </w:rPr>
        <w:t>arcia udzielanego państwom członkowskim Komisja stwierdzi możliwe naruszenie prawa Unii, może podjąć decyzję</w:t>
      </w:r>
      <w:r w:rsidR="003937FF" w:rsidRPr="00A3695F">
        <w:rPr>
          <w:rFonts w:ascii="Times New Roman" w:hAnsi="Times New Roman"/>
          <w:noProof/>
          <w:sz w:val="24"/>
          <w:lang w:val="pl-PL"/>
        </w:rPr>
        <w:t xml:space="preserve"> o</w:t>
      </w:r>
      <w:r w:rsidR="003937FF">
        <w:rPr>
          <w:rFonts w:ascii="Times New Roman" w:hAnsi="Times New Roman"/>
          <w:noProof/>
          <w:sz w:val="24"/>
          <w:lang w:val="pl-PL"/>
        </w:rPr>
        <w:t> </w:t>
      </w:r>
      <w:r w:rsidR="003937FF" w:rsidRPr="00A3695F">
        <w:rPr>
          <w:rFonts w:ascii="Times New Roman" w:hAnsi="Times New Roman"/>
          <w:noProof/>
          <w:sz w:val="24"/>
          <w:lang w:val="pl-PL"/>
        </w:rPr>
        <w:t>zas</w:t>
      </w:r>
      <w:r w:rsidRPr="00A3695F">
        <w:rPr>
          <w:rFonts w:ascii="Times New Roman" w:hAnsi="Times New Roman"/>
          <w:noProof/>
          <w:sz w:val="24"/>
          <w:lang w:val="pl-PL"/>
        </w:rPr>
        <w:t>tosowaniu procedury poprzedzającej wszczęcie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 znanej jako EU Pilot</w:t>
      </w:r>
      <w:r w:rsidRPr="00A3695F">
        <w:rPr>
          <w:rStyle w:val="FootnoteReference"/>
          <w:rFonts w:ascii="Times New Roman" w:hAnsi="Times New Roman" w:cs="Times New Roman"/>
          <w:noProof/>
          <w:sz w:val="24"/>
          <w:lang w:val="pl-PL"/>
        </w:rPr>
        <w:footnoteReference w:id="74"/>
      </w:r>
      <w:r w:rsidRPr="00A3695F">
        <w:rPr>
          <w:rFonts w:ascii="Times New Roman" w:hAnsi="Times New Roman"/>
          <w:noProof/>
          <w:sz w:val="24"/>
          <w:lang w:val="pl-PL"/>
        </w:rPr>
        <w:t>. Narzędzie to jest stosowane, gdy przynosi wartość dodaną:</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2</w:t>
      </w:r>
      <w:r w:rsidRPr="00A3695F">
        <w:rPr>
          <w:rFonts w:ascii="Times New Roman" w:hAnsi="Times New Roman"/>
          <w:noProof/>
          <w:sz w:val="24"/>
          <w:lang w:val="pl-PL"/>
        </w:rPr>
        <w:t>0</w:t>
      </w:r>
      <w:r w:rsidRPr="003937FF">
        <w:rPr>
          <w:rFonts w:ascii="Times New Roman" w:hAnsi="Times New Roman"/>
          <w:noProof/>
          <w:sz w:val="24"/>
          <w:lang w:val="pl-PL"/>
        </w:rPr>
        <w:t>21</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Fonts w:ascii="Times New Roman" w:hAnsi="Times New Roman"/>
          <w:noProof/>
          <w:sz w:val="24"/>
          <w:lang w:val="pl-PL"/>
        </w:rPr>
        <w:t xml:space="preserve"> procedurą EU Pilot poprzedzono 33</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3</w:t>
      </w:r>
      <w:r w:rsidRPr="00A3695F">
        <w:rPr>
          <w:rFonts w:ascii="Times New Roman" w:hAnsi="Times New Roman"/>
          <w:noProof/>
          <w:sz w:val="24"/>
          <w:lang w:val="pl-PL"/>
        </w:rPr>
        <w:t>02 postępowań</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 wszczętych przez Komisję po dochodzeniach</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wła</w:t>
      </w:r>
      <w:r w:rsidRPr="00A3695F">
        <w:rPr>
          <w:rFonts w:ascii="Times New Roman" w:hAnsi="Times New Roman"/>
          <w:noProof/>
          <w:sz w:val="24"/>
          <w:lang w:val="pl-PL"/>
        </w:rPr>
        <w:t>snej inicjatywy lub</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nas</w:t>
      </w:r>
      <w:r w:rsidRPr="00A3695F">
        <w:rPr>
          <w:rFonts w:ascii="Times New Roman" w:hAnsi="Times New Roman"/>
          <w:noProof/>
          <w:sz w:val="24"/>
          <w:lang w:val="pl-PL"/>
        </w:rPr>
        <w:t>tępstwie skarg</w:t>
      </w:r>
      <w:r w:rsidRPr="00A3695F">
        <w:rPr>
          <w:rStyle w:val="FootnoteReference"/>
          <w:rFonts w:ascii="Times New Roman" w:hAnsi="Times New Roman" w:cs="Times New Roman"/>
          <w:noProof/>
          <w:sz w:val="24"/>
          <w:lang w:val="pl-PL"/>
        </w:rPr>
        <w:footnoteReference w:id="75"/>
      </w:r>
      <w:r w:rsidRPr="00A3695F">
        <w:rPr>
          <w:rFonts w:ascii="Times New Roman" w:hAnsi="Times New Roman"/>
          <w:noProof/>
          <w:sz w:val="24"/>
          <w:lang w:val="pl-PL"/>
        </w:rPr>
        <w:t>. Jest to narzędzie,</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któ</w:t>
      </w:r>
      <w:r w:rsidRPr="00A3695F">
        <w:rPr>
          <w:rFonts w:ascii="Times New Roman" w:hAnsi="Times New Roman"/>
          <w:noProof/>
          <w:sz w:val="24"/>
          <w:lang w:val="pl-PL"/>
        </w:rPr>
        <w:t>rego można korzystać, jeżeli może prowadzić do szybszego osiągnięcia zgodności</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episami niż formalne postępowanie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 Umożliwia ono Komisji rozstrzyganie szeregu spraw na etapie EU Pilot bez konieczności wszczynania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 Może to mieć miejsce na przykład wówczas, gdy uchybienia mają charakter techniczny. Narzędzie to może również okazać się przydatne,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ypadku gdy Komisja pragnie zebrać informacje na temat stanu faktycznego lub prawnego niezbędne do przeprowadzenia oceny</w:t>
      </w:r>
      <w:r w:rsidRPr="00A3695F">
        <w:rPr>
          <w:rStyle w:val="FootnoteReference"/>
          <w:rFonts w:ascii="Times New Roman" w:hAnsi="Times New Roman" w:cs="Times New Roman"/>
          <w:noProof/>
          <w:sz w:val="24"/>
          <w:lang w:val="pl-PL"/>
        </w:rPr>
        <w:footnoteReference w:id="76"/>
      </w:r>
      <w:r w:rsidRPr="00A3695F">
        <w:rPr>
          <w:rFonts w:ascii="Times New Roman" w:hAnsi="Times New Roman"/>
          <w:noProof/>
          <w:sz w:val="24"/>
          <w:lang w:val="pl-PL"/>
        </w:rPr>
        <w:t>. Nie jest ono stosowane, gdy naruszenie jest dobrze udokumentowane, oczywiste lub gdy dane państwo członkowskie przyznało się do niego, ani nie jest wykorzystywane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bar</w:t>
      </w:r>
      <w:r w:rsidRPr="00A3695F">
        <w:rPr>
          <w:rFonts w:ascii="Times New Roman" w:hAnsi="Times New Roman"/>
          <w:noProof/>
          <w:sz w:val="24"/>
          <w:lang w:val="pl-PL"/>
        </w:rPr>
        <w:t>dziej drażliwych kwestiach,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ypadku których dyskusje na szczeblu technicznym rzadziej prowadzą do pozytywnego rezultatu. Komisja musi również zabezpieczyć się przed ryzykiem, że taka procedura spowoduje niepotrzebne opóźnienia: jeżeli procedura staje się nadmiernie czasochłonna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nie</w:t>
      </w:r>
      <w:r w:rsidRPr="00A3695F">
        <w:rPr>
          <w:rFonts w:ascii="Times New Roman" w:hAnsi="Times New Roman"/>
          <w:noProof/>
          <w:sz w:val="24"/>
          <w:lang w:val="pl-PL"/>
        </w:rPr>
        <w:t xml:space="preserve"> przynosi znaczących postępów lub</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ypadku braku współpracy ze strony państwa członkowskiego, Komisja kończy procedurę EU Pilot</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echodzi do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w:t>
      </w:r>
    </w:p>
    <w:p w14:paraId="5BF66C91" w14:textId="1F776CAA" w:rsidR="00E71C83" w:rsidRPr="00A3695F" w:rsidRDefault="00D34D31" w:rsidP="0047108C">
      <w:pPr>
        <w:spacing w:after="240"/>
        <w:jc w:val="both"/>
        <w:rPr>
          <w:rFonts w:ascii="Times New Roman" w:eastAsia="Times New Roman" w:hAnsi="Times New Roman" w:cs="Times New Roman"/>
          <w:noProof/>
          <w:sz w:val="24"/>
          <w:lang w:val="pl-PL"/>
        </w:rPr>
      </w:pPr>
      <w:r w:rsidRPr="00A3695F">
        <w:rPr>
          <w:rFonts w:ascii="Times New Roman" w:hAnsi="Times New Roman"/>
          <w:noProof/>
          <w:sz w:val="24"/>
          <w:lang w:val="pl-PL"/>
        </w:rPr>
        <w:t>Z czasem procedura EU Pilot dowiodła swojej wartości. Zastosowano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nie</w:t>
      </w:r>
      <w:r w:rsidRPr="00A3695F">
        <w:rPr>
          <w:rFonts w:ascii="Times New Roman" w:hAnsi="Times New Roman"/>
          <w:noProof/>
          <w:sz w:val="24"/>
          <w:lang w:val="pl-PL"/>
        </w:rPr>
        <w:t>j podejście polegające na wykorzystaniu otwartości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wza</w:t>
      </w:r>
      <w:r w:rsidRPr="00A3695F">
        <w:rPr>
          <w:rFonts w:ascii="Times New Roman" w:hAnsi="Times New Roman"/>
          <w:noProof/>
          <w:sz w:val="24"/>
          <w:lang w:val="pl-PL"/>
        </w:rPr>
        <w:t>jemnego zaufania między państwami członkowskimi</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Kom</w:t>
      </w:r>
      <w:r w:rsidRPr="00A3695F">
        <w:rPr>
          <w:rFonts w:ascii="Times New Roman" w:hAnsi="Times New Roman"/>
          <w:noProof/>
          <w:sz w:val="24"/>
          <w:lang w:val="pl-PL"/>
        </w:rPr>
        <w:t>isją, by szybciej osiągnąć zgodność</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episami. W 20</w:t>
      </w:r>
      <w:r w:rsidRPr="003937FF">
        <w:rPr>
          <w:rFonts w:ascii="Times New Roman" w:hAnsi="Times New Roman"/>
          <w:noProof/>
          <w:sz w:val="24"/>
          <w:lang w:val="pl-PL"/>
        </w:rPr>
        <w:t>21</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Fonts w:ascii="Times New Roman" w:hAnsi="Times New Roman"/>
          <w:noProof/>
          <w:sz w:val="24"/>
          <w:lang w:val="pl-PL"/>
        </w:rPr>
        <w:t xml:space="preserve"> ponad 8</w:t>
      </w:r>
      <w:r w:rsidRPr="003937FF">
        <w:rPr>
          <w:rFonts w:ascii="Times New Roman" w:hAnsi="Times New Roman"/>
          <w:noProof/>
          <w:sz w:val="24"/>
          <w:lang w:val="pl-PL"/>
        </w:rPr>
        <w:t>0</w:t>
      </w:r>
      <w:r w:rsidR="003937FF" w:rsidRPr="003937FF">
        <w:rPr>
          <w:rFonts w:ascii="Times New Roman" w:hAnsi="Times New Roman"/>
          <w:noProof/>
          <w:sz w:val="24"/>
          <w:lang w:val="pl-PL"/>
        </w:rPr>
        <w:t> </w:t>
      </w:r>
      <w:r w:rsidRPr="003937FF">
        <w:rPr>
          <w:rFonts w:ascii="Times New Roman" w:hAnsi="Times New Roman"/>
          <w:noProof/>
          <w:sz w:val="24"/>
          <w:lang w:val="pl-PL"/>
        </w:rPr>
        <w:t>%</w:t>
      </w:r>
      <w:r w:rsidRPr="00A3695F">
        <w:rPr>
          <w:rFonts w:ascii="Times New Roman" w:hAnsi="Times New Roman"/>
          <w:noProof/>
          <w:sz w:val="24"/>
          <w:lang w:val="pl-PL"/>
        </w:rPr>
        <w:t xml:space="preserve"> procedur EU Pilot zakończyło się</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spo</w:t>
      </w:r>
      <w:r w:rsidRPr="00A3695F">
        <w:rPr>
          <w:rFonts w:ascii="Times New Roman" w:hAnsi="Times New Roman"/>
          <w:noProof/>
          <w:sz w:val="24"/>
          <w:lang w:val="pl-PL"/>
        </w:rPr>
        <w:t>sób zadowalający</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ypadkach,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któ</w:t>
      </w:r>
      <w:r w:rsidRPr="00A3695F">
        <w:rPr>
          <w:rFonts w:ascii="Times New Roman" w:hAnsi="Times New Roman"/>
          <w:noProof/>
          <w:sz w:val="24"/>
          <w:lang w:val="pl-PL"/>
        </w:rPr>
        <w:t>rych się to nie udaje, wszczynane są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w:t>
      </w:r>
    </w:p>
    <w:tbl>
      <w:tblPr>
        <w:tblStyle w:val="law"/>
        <w:tblW w:w="0" w:type="auto"/>
        <w:shd w:val="clear" w:color="auto" w:fill="EDF2F9"/>
        <w:tblLook w:val="04A0" w:firstRow="1" w:lastRow="0" w:firstColumn="1" w:lastColumn="0" w:noHBand="0" w:noVBand="1"/>
      </w:tblPr>
      <w:tblGrid>
        <w:gridCol w:w="9288"/>
      </w:tblGrid>
      <w:tr w:rsidR="007C759C" w:rsidRPr="00A3695F" w14:paraId="357FE883" w14:textId="77777777" w:rsidTr="001F57F0">
        <w:tc>
          <w:tcPr>
            <w:tcW w:w="9288" w:type="dxa"/>
            <w:shd w:val="clear" w:color="auto" w:fill="EDF2F9"/>
          </w:tcPr>
          <w:p w14:paraId="17AFE439" w14:textId="71F16FD7" w:rsidR="007C759C" w:rsidRPr="003937FF" w:rsidRDefault="008D1C80" w:rsidP="006E12BE">
            <w:pPr>
              <w:pStyle w:val="Style2"/>
              <w:jc w:val="left"/>
              <w:rPr>
                <w:noProof/>
                <w:lang w:val="pl-PL"/>
              </w:rPr>
            </w:pPr>
            <w:r w:rsidRPr="003937FF">
              <w:rPr>
                <w:noProof/>
                <w:lang w:val="pl-PL"/>
              </w:rPr>
              <w:t>Procedura EU Pilot mająca na celu zapewnienie możliwości posługiwania się kontem IBAN</w:t>
            </w:r>
            <w:r w:rsidR="003937FF" w:rsidRPr="003937FF">
              <w:rPr>
                <w:noProof/>
                <w:lang w:val="pl-PL"/>
              </w:rPr>
              <w:t xml:space="preserve"> w</w:t>
            </w:r>
            <w:r w:rsidR="003937FF">
              <w:rPr>
                <w:rFonts w:ascii="Calibri" w:hAnsi="Calibri" w:cs="Calibri"/>
                <w:noProof/>
                <w:lang w:val="pl-PL"/>
              </w:rPr>
              <w:t> </w:t>
            </w:r>
            <w:r w:rsidR="003937FF" w:rsidRPr="003937FF">
              <w:rPr>
                <w:noProof/>
                <w:lang w:val="pl-PL"/>
              </w:rPr>
              <w:t>dow</w:t>
            </w:r>
            <w:r w:rsidRPr="003937FF">
              <w:rPr>
                <w:noProof/>
                <w:lang w:val="pl-PL"/>
              </w:rPr>
              <w:t>olnym państwie członkowskim</w:t>
            </w:r>
          </w:p>
          <w:p w14:paraId="51D3279D" w14:textId="2EA80CDA" w:rsidR="00644514" w:rsidRPr="00A3695F" w:rsidRDefault="007C759C" w:rsidP="004232DB">
            <w:pPr>
              <w:autoSpaceDE w:val="0"/>
              <w:autoSpaceDN w:val="0"/>
              <w:adjustRightInd w:val="0"/>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Rozporządzenie ustanawiające jednolity obszar płatności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eur</w:t>
            </w:r>
            <w:r w:rsidRPr="00A3695F">
              <w:rPr>
                <w:rFonts w:ascii="Times New Roman" w:hAnsi="Times New Roman"/>
                <w:noProof/>
                <w:sz w:val="24"/>
                <w:lang w:val="pl-PL"/>
              </w:rPr>
              <w:t>o (SEPA)</w:t>
            </w:r>
            <w:r w:rsidRPr="00A3695F">
              <w:rPr>
                <w:rStyle w:val="FootnoteReference"/>
                <w:rFonts w:ascii="Times New Roman" w:hAnsi="Times New Roman" w:cs="Times New Roman"/>
                <w:noProof/>
                <w:sz w:val="24"/>
                <w:lang w:val="pl-PL"/>
              </w:rPr>
              <w:footnoteReference w:id="77"/>
            </w:r>
            <w:r w:rsidRPr="00A3695F">
              <w:rPr>
                <w:rFonts w:ascii="Times New Roman" w:hAnsi="Times New Roman"/>
                <w:noProof/>
                <w:sz w:val="24"/>
                <w:lang w:val="pl-PL"/>
              </w:rPr>
              <w:t xml:space="preserve"> służy zapewnieniu, aby każdy rachunek bankowy w UE można było wykorzystywać do transgranicznych poleceń przelewu</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pol</w:t>
            </w:r>
            <w:r w:rsidRPr="00A3695F">
              <w:rPr>
                <w:rFonts w:ascii="Times New Roman" w:hAnsi="Times New Roman"/>
                <w:noProof/>
                <w:sz w:val="24"/>
                <w:lang w:val="pl-PL"/>
              </w:rPr>
              <w:t>eceń zapłaty równie łatwo jak do tego rodzaju poleceń krajowych. Jednak</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nie</w:t>
            </w:r>
            <w:r w:rsidRPr="00A3695F">
              <w:rPr>
                <w:rFonts w:ascii="Times New Roman" w:hAnsi="Times New Roman"/>
                <w:noProof/>
                <w:sz w:val="24"/>
                <w:lang w:val="pl-PL"/>
              </w:rPr>
              <w:t>których państwach członkowskich kluczowi odbiorcy płatności, tacy jak przedsiębiorstwa telekomunikacyjne, organy podatkowe lub instytucje zabezpieczenia społecznego, nie akceptowali kodu IBAN,</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zwi</w:t>
            </w:r>
            <w:r w:rsidRPr="00A3695F">
              <w:rPr>
                <w:rFonts w:ascii="Times New Roman" w:hAnsi="Times New Roman"/>
                <w:noProof/>
                <w:sz w:val="24"/>
                <w:lang w:val="pl-PL"/>
              </w:rPr>
              <w:t>ązku</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czy</w:t>
            </w:r>
            <w:r w:rsidRPr="00A3695F">
              <w:rPr>
                <w:rFonts w:ascii="Times New Roman" w:hAnsi="Times New Roman"/>
                <w:noProof/>
                <w:sz w:val="24"/>
                <w:lang w:val="pl-PL"/>
              </w:rPr>
              <w:t>m rachunków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inn</w:t>
            </w:r>
            <w:r w:rsidRPr="00A3695F">
              <w:rPr>
                <w:rFonts w:ascii="Times New Roman" w:hAnsi="Times New Roman"/>
                <w:noProof/>
                <w:sz w:val="24"/>
                <w:lang w:val="pl-PL"/>
              </w:rPr>
              <w:t>ych państwach UE nie można było wykorzystywać do poleceń zapłaty ani do przekazywania takich środków, jak zwrot podatku lub emerytury</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lat</w:t>
            </w:r>
            <w:r w:rsidRPr="00A3695F">
              <w:rPr>
                <w:rFonts w:ascii="Times New Roman" w:hAnsi="Times New Roman"/>
                <w:noProof/>
                <w:sz w:val="24"/>
                <w:lang w:val="pl-PL"/>
              </w:rPr>
              <w:t>ach 2016–2021 Komisja rozpoczęła procedury EU Pilot</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udz</w:t>
            </w:r>
            <w:r w:rsidRPr="00A3695F">
              <w:rPr>
                <w:rFonts w:ascii="Times New Roman" w:hAnsi="Times New Roman"/>
                <w:noProof/>
                <w:sz w:val="24"/>
                <w:lang w:val="pl-PL"/>
              </w:rPr>
              <w:t>iałem pięciu państw członkowskich</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rez</w:t>
            </w:r>
            <w:r w:rsidRPr="00A3695F">
              <w:rPr>
                <w:rFonts w:ascii="Times New Roman" w:hAnsi="Times New Roman"/>
                <w:noProof/>
                <w:sz w:val="24"/>
                <w:lang w:val="pl-PL"/>
              </w:rPr>
              <w:t>ultacie państwa te zmieniły lub zmieniają swoje ramy prawne, aby przeciwdziałać naruszeniom</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zap</w:t>
            </w:r>
            <w:r w:rsidRPr="00A3695F">
              <w:rPr>
                <w:rFonts w:ascii="Times New Roman" w:hAnsi="Times New Roman"/>
                <w:noProof/>
                <w:sz w:val="24"/>
                <w:lang w:val="pl-PL"/>
              </w:rPr>
              <w:t>ewnić odpowiednie sankcje</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trz</w:t>
            </w:r>
            <w:r w:rsidRPr="00A3695F">
              <w:rPr>
                <w:rFonts w:ascii="Times New Roman" w:hAnsi="Times New Roman"/>
                <w:noProof/>
                <w:sz w:val="24"/>
                <w:lang w:val="pl-PL"/>
              </w:rPr>
              <w:t>ech przypadkach Komisja wszczęła również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zapewnienia, aby właściwe organy krajowe były wystarczająco uprawnione do monitorowania przestrzegania przepisów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nak</w:t>
            </w:r>
            <w:r w:rsidRPr="00A3695F">
              <w:rPr>
                <w:rFonts w:ascii="Times New Roman" w:hAnsi="Times New Roman"/>
                <w:noProof/>
                <w:sz w:val="24"/>
                <w:lang w:val="pl-PL"/>
              </w:rPr>
              <w:t>ładania sankcji. Doprowadziło to również do zmian legislacyjnych służących przyznaniu tym organom niezbędnych uprawnień.</w:t>
            </w:r>
          </w:p>
          <w:p w14:paraId="2CA381C3" w14:textId="77777777" w:rsidR="00507027" w:rsidRPr="003937FF" w:rsidRDefault="00507027" w:rsidP="006E12BE">
            <w:pPr>
              <w:pStyle w:val="Style2"/>
              <w:rPr>
                <w:noProof/>
                <w:lang w:val="pl-PL"/>
              </w:rPr>
            </w:pPr>
            <w:r w:rsidRPr="003937FF">
              <w:rPr>
                <w:noProof/>
                <w:lang w:val="pl-PL"/>
              </w:rPr>
              <w:t>Procedura EU Pilot mająca na celu poprawę transgranicznego dostępu do opieki zdrowotnej</w:t>
            </w:r>
            <w:r w:rsidRPr="003937FF">
              <w:rPr>
                <w:rStyle w:val="FootnoteReference"/>
                <w:rFonts w:ascii="Times New Roman" w:hAnsi="Times New Roman"/>
                <w:noProof/>
                <w:lang w:val="pl-PL"/>
              </w:rPr>
              <w:footnoteReference w:id="78"/>
            </w:r>
          </w:p>
          <w:p w14:paraId="17B5D382" w14:textId="515D3806" w:rsidR="00507027" w:rsidRPr="00A3695F" w:rsidRDefault="00427F2B" w:rsidP="00897A16">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Pacjenci mają prawo do dostępu do opieki zdrowotnej</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dow</w:t>
            </w:r>
            <w:r w:rsidRPr="00A3695F">
              <w:rPr>
                <w:rFonts w:ascii="Times New Roman" w:hAnsi="Times New Roman"/>
                <w:noProof/>
                <w:sz w:val="24"/>
                <w:lang w:val="pl-PL"/>
              </w:rPr>
              <w:t>olnym państwie członkowskim i do zwrotu kosztów opieki zdrowotnej za granicą przez ich kraj pochodzenia. Ponieważ niektóre państwa członkowskie nieprawidłowo transponowały do prawodawstwa krajowego przepisy UE dotyczące praw pacjentów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tra</w:t>
            </w:r>
            <w:r w:rsidRPr="00A3695F">
              <w:rPr>
                <w:rFonts w:ascii="Times New Roman" w:hAnsi="Times New Roman"/>
                <w:noProof/>
                <w:sz w:val="24"/>
                <w:lang w:val="pl-PL"/>
              </w:rPr>
              <w:t>nsgranicznej opiece zdrowotnej, Komisja wszczęła procedury EU Pilot, aby szybko poprawić</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tyc</w:t>
            </w:r>
            <w:r w:rsidRPr="00A3695F">
              <w:rPr>
                <w:rFonts w:ascii="Times New Roman" w:hAnsi="Times New Roman"/>
                <w:noProof/>
                <w:sz w:val="24"/>
                <w:lang w:val="pl-PL"/>
              </w:rPr>
              <w:t>h państwach dostęp do bezpiecznej</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wys</w:t>
            </w:r>
            <w:r w:rsidRPr="00A3695F">
              <w:rPr>
                <w:rFonts w:ascii="Times New Roman" w:hAnsi="Times New Roman"/>
                <w:noProof/>
                <w:sz w:val="24"/>
                <w:lang w:val="pl-PL"/>
              </w:rPr>
              <w:t>okiej jakości transgranicznej opieki zdrowotnej. Chociaż przeciwko trzem państwom członkowskim wszczęto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ypadku dziewięciu państw procedura EU Pilot zakończyła się powodzeniem</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wię</w:t>
            </w:r>
            <w:r w:rsidRPr="00A3695F">
              <w:rPr>
                <w:rFonts w:ascii="Times New Roman" w:hAnsi="Times New Roman"/>
                <w:noProof/>
                <w:sz w:val="24"/>
                <w:lang w:val="pl-PL"/>
              </w:rPr>
              <w:t>kszości tych przypadków państwa członkowskie zmieniły przepisy lub praktyki administracyjne, aby dostosować je do przepisów UE</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rez</w:t>
            </w:r>
            <w:r w:rsidRPr="00A3695F">
              <w:rPr>
                <w:rFonts w:ascii="Times New Roman" w:hAnsi="Times New Roman"/>
                <w:noProof/>
                <w:sz w:val="24"/>
                <w:lang w:val="pl-PL"/>
              </w:rPr>
              <w:t>ultacie pacjenci odnoszą korzyści dzięki mniej uciążliwym wymogom dotyczącym uprzedniej zgody, uproszczonym procedurom administracyjnym</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bar</w:t>
            </w:r>
            <w:r w:rsidRPr="00A3695F">
              <w:rPr>
                <w:rFonts w:ascii="Times New Roman" w:hAnsi="Times New Roman"/>
                <w:noProof/>
                <w:sz w:val="24"/>
                <w:lang w:val="pl-PL"/>
              </w:rPr>
              <w:t>dziej przejrzystym informacjom na temat transgranicznej opieki zdrowotnej, czego ogólnym skutkiem jest obecnie łatwiejszy dostęp pacjentów do usług opieki zdrowotnej</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inn</w:t>
            </w:r>
            <w:r w:rsidRPr="00A3695F">
              <w:rPr>
                <w:rFonts w:ascii="Times New Roman" w:hAnsi="Times New Roman"/>
                <w:noProof/>
                <w:sz w:val="24"/>
                <w:lang w:val="pl-PL"/>
              </w:rPr>
              <w:t>ych państwach członkowskich.</w:t>
            </w:r>
          </w:p>
        </w:tc>
      </w:tr>
    </w:tbl>
    <w:p w14:paraId="0707AB9B" w14:textId="77777777" w:rsidR="008678DC" w:rsidRPr="00A3695F" w:rsidRDefault="008678DC" w:rsidP="00EF22E3">
      <w:pPr>
        <w:spacing w:before="120" w:after="0"/>
        <w:jc w:val="center"/>
        <w:rPr>
          <w:rFonts w:ascii="Times New Roman" w:hAnsi="Times New Roman"/>
          <w:noProof/>
          <w:lang w:val="pl-PL"/>
        </w:rPr>
      </w:pPr>
      <w:r w:rsidRPr="00A3695F">
        <w:rPr>
          <w:rFonts w:ascii="Times New Roman" w:hAnsi="Times New Roman"/>
          <w:noProof/>
          <w:sz w:val="24"/>
          <w:lang w:val="en-GB" w:eastAsia="en-GB"/>
        </w:rPr>
        <w:drawing>
          <wp:inline distT="0" distB="0" distL="0" distR="0" wp14:anchorId="66435407" wp14:editId="6F5E86FA">
            <wp:extent cx="4621237" cy="2433710"/>
            <wp:effectExtent l="38100" t="38100" r="103505" b="100330"/>
            <wp:docPr id="4"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40962A" w14:textId="77777777" w:rsidR="0099696B" w:rsidRPr="003937FF" w:rsidRDefault="0040316F" w:rsidP="008678DC">
      <w:pPr>
        <w:pStyle w:val="Heading11"/>
        <w:numPr>
          <w:ilvl w:val="0"/>
          <w:numId w:val="1"/>
        </w:numPr>
        <w:spacing w:before="360"/>
        <w:ind w:left="1077"/>
        <w:contextualSpacing w:val="0"/>
        <w:rPr>
          <w:noProof/>
          <w:u w:val="none"/>
          <w:lang w:val="pl-PL"/>
        </w:rPr>
      </w:pPr>
      <w:r w:rsidRPr="003937FF">
        <w:rPr>
          <w:noProof/>
          <w:u w:val="none"/>
          <w:lang w:val="pl-PL"/>
        </w:rPr>
        <w:t>SKUTECZNE KORZYSTANIE Z POSTĘPOWAŃ W SPRAWIE UCHYBIENIA ZOBOWIĄZANIOM PAŃSTWA CZŁONKOWSKIEGO</w:t>
      </w:r>
    </w:p>
    <w:p w14:paraId="66CD8D97" w14:textId="4AAFA959" w:rsidR="0000026B" w:rsidRPr="00A3695F" w:rsidRDefault="0099696B" w:rsidP="00A70C25">
      <w:pPr>
        <w:spacing w:after="120"/>
        <w:jc w:val="both"/>
        <w:rPr>
          <w:rFonts w:ascii="Times New Roman" w:hAnsi="Times New Roman" w:cs="Times New Roman"/>
          <w:noProof/>
          <w:sz w:val="24"/>
          <w:lang w:val="pl-PL"/>
        </w:rPr>
      </w:pPr>
      <w:r w:rsidRPr="00A3695F">
        <w:rPr>
          <w:rFonts w:ascii="Times New Roman" w:hAnsi="Times New Roman"/>
          <w:noProof/>
          <w:sz w:val="24"/>
          <w:lang w:val="pl-PL"/>
        </w:rPr>
        <w:t>Polityka Komisji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zak</w:t>
      </w:r>
      <w:r w:rsidRPr="00A3695F">
        <w:rPr>
          <w:rFonts w:ascii="Times New Roman" w:hAnsi="Times New Roman"/>
          <w:noProof/>
          <w:sz w:val="24"/>
          <w:lang w:val="pl-PL"/>
        </w:rPr>
        <w:t>resie egzekwowania prawa</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cza</w:t>
      </w:r>
      <w:r w:rsidRPr="00A3695F">
        <w:rPr>
          <w:rFonts w:ascii="Times New Roman" w:hAnsi="Times New Roman"/>
          <w:noProof/>
          <w:sz w:val="24"/>
          <w:lang w:val="pl-PL"/>
        </w:rPr>
        <w:t>sem ewoluowała. Od 20</w:t>
      </w:r>
      <w:r w:rsidRPr="003937FF">
        <w:rPr>
          <w:rFonts w:ascii="Times New Roman" w:hAnsi="Times New Roman"/>
          <w:noProof/>
          <w:sz w:val="24"/>
          <w:lang w:val="pl-PL"/>
        </w:rPr>
        <w:t>17</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Fonts w:ascii="Times New Roman" w:hAnsi="Times New Roman"/>
          <w:noProof/>
          <w:sz w:val="24"/>
          <w:lang w:val="pl-PL"/>
        </w:rPr>
        <w:t xml:space="preserve"> Komisja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cor</w:t>
      </w:r>
      <w:r w:rsidRPr="00A3695F">
        <w:rPr>
          <w:rFonts w:ascii="Times New Roman" w:hAnsi="Times New Roman"/>
          <w:noProof/>
          <w:sz w:val="24"/>
          <w:lang w:val="pl-PL"/>
        </w:rPr>
        <w:t>az większym stopniu koncentruje się na kwestiach,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któ</w:t>
      </w:r>
      <w:r w:rsidRPr="00A3695F">
        <w:rPr>
          <w:rFonts w:ascii="Times New Roman" w:hAnsi="Times New Roman"/>
          <w:noProof/>
          <w:sz w:val="24"/>
          <w:lang w:val="pl-PL"/>
        </w:rPr>
        <w:t>rych jej interwencje mogą zmaksymalizować wartość dodaną oraz wpłynąć na życie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dzi</w:t>
      </w:r>
      <w:r w:rsidRPr="00A3695F">
        <w:rPr>
          <w:rFonts w:ascii="Times New Roman" w:hAnsi="Times New Roman"/>
          <w:noProof/>
          <w:sz w:val="24"/>
          <w:lang w:val="pl-PL"/>
        </w:rPr>
        <w:t>ałalność jak największej liczby osób</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edsiębiorstw</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zwi</w:t>
      </w:r>
      <w:r w:rsidRPr="00A3695F">
        <w:rPr>
          <w:rFonts w:ascii="Times New Roman" w:hAnsi="Times New Roman"/>
          <w:noProof/>
          <w:sz w:val="24"/>
          <w:lang w:val="pl-PL"/>
        </w:rPr>
        <w:t>ązku</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tym</w:t>
      </w:r>
      <w:r w:rsidRPr="00A3695F">
        <w:rPr>
          <w:rFonts w:ascii="Times New Roman" w:hAnsi="Times New Roman"/>
          <w:noProof/>
          <w:sz w:val="24"/>
          <w:lang w:val="pl-PL"/>
        </w:rPr>
        <w:t xml:space="preserve"> Komisja nadal realizuje strategiczne podejście, cele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pri</w:t>
      </w:r>
      <w:r w:rsidRPr="00A3695F">
        <w:rPr>
          <w:rFonts w:ascii="Times New Roman" w:hAnsi="Times New Roman"/>
          <w:noProof/>
          <w:sz w:val="24"/>
          <w:lang w:val="pl-PL"/>
        </w:rPr>
        <w:t>orytety, które określiła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kom</w:t>
      </w:r>
      <w:r w:rsidRPr="00A3695F">
        <w:rPr>
          <w:rFonts w:ascii="Times New Roman" w:hAnsi="Times New Roman"/>
          <w:noProof/>
          <w:sz w:val="24"/>
          <w:lang w:val="pl-PL"/>
        </w:rPr>
        <w:t>unikacie</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2</w:t>
      </w:r>
      <w:r w:rsidRPr="00A3695F">
        <w:rPr>
          <w:rFonts w:ascii="Times New Roman" w:hAnsi="Times New Roman"/>
          <w:noProof/>
          <w:sz w:val="24"/>
          <w:lang w:val="pl-PL"/>
        </w:rPr>
        <w:t>0</w:t>
      </w:r>
      <w:r w:rsidRPr="003937FF">
        <w:rPr>
          <w:rFonts w:ascii="Times New Roman" w:hAnsi="Times New Roman"/>
          <w:noProof/>
          <w:sz w:val="24"/>
          <w:lang w:val="pl-PL"/>
        </w:rPr>
        <w:t>16</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Fonts w:ascii="Times New Roman" w:hAnsi="Times New Roman"/>
          <w:noProof/>
          <w:sz w:val="24"/>
          <w:lang w:val="pl-PL"/>
        </w:rPr>
        <w:t xml:space="preserve"> „Prawo Unii: lepsze wyniki dzięki lepszemu stosowaniu”. </w:t>
      </w:r>
    </w:p>
    <w:p w14:paraId="76BDCCDE" w14:textId="4B19844E" w:rsidR="001241F8" w:rsidRPr="00A3695F" w:rsidRDefault="0099696B" w:rsidP="0047108C">
      <w:pPr>
        <w:spacing w:after="240"/>
        <w:jc w:val="both"/>
        <w:rPr>
          <w:rFonts w:ascii="Times New Roman" w:hAnsi="Times New Roman" w:cs="Times New Roman"/>
          <w:noProof/>
          <w:sz w:val="24"/>
          <w:lang w:val="pl-PL"/>
        </w:rPr>
      </w:pPr>
      <w:r w:rsidRPr="00A3695F">
        <w:rPr>
          <w:rFonts w:ascii="Times New Roman" w:hAnsi="Times New Roman"/>
          <w:noProof/>
          <w:sz w:val="24"/>
          <w:lang w:val="pl-PL"/>
        </w:rPr>
        <w:t>Głównym celem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 jest dopilnowanie, aby państwa członkowskie zapewniały skuteczność prawa UE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int</w:t>
      </w:r>
      <w:r w:rsidRPr="00A3695F">
        <w:rPr>
          <w:rFonts w:ascii="Times New Roman" w:hAnsi="Times New Roman"/>
          <w:noProof/>
          <w:sz w:val="24"/>
          <w:lang w:val="pl-PL"/>
        </w:rPr>
        <w:t>eresie ogólnym,</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nie</w:t>
      </w:r>
      <w:r w:rsidRPr="00A3695F">
        <w:rPr>
          <w:rFonts w:ascii="Times New Roman" w:hAnsi="Times New Roman"/>
          <w:noProof/>
          <w:sz w:val="24"/>
          <w:lang w:val="pl-PL"/>
        </w:rPr>
        <w:t xml:space="preserve"> zaspokojenie indywidualnego dochodzenia roszczeń. Strategiczne podejście Komisji oznacza zatem, że postępowania takie rzadko dotyczą kwestii indywidualnych, lecz raczej problemów systemowych</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str</w:t>
      </w:r>
      <w:r w:rsidRPr="00A3695F">
        <w:rPr>
          <w:rFonts w:ascii="Times New Roman" w:hAnsi="Times New Roman"/>
          <w:noProof/>
          <w:sz w:val="24"/>
          <w:lang w:val="pl-PL"/>
        </w:rPr>
        <w:t>ukturalnych mających wpływ na dużą liczbę osób lub przedsiębiorstw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dan</w:t>
      </w:r>
      <w:r w:rsidRPr="00A3695F">
        <w:rPr>
          <w:rFonts w:ascii="Times New Roman" w:hAnsi="Times New Roman"/>
          <w:noProof/>
          <w:sz w:val="24"/>
          <w:lang w:val="pl-PL"/>
        </w:rPr>
        <w:t>ym państwie członkowskim lub</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cał</w:t>
      </w:r>
      <w:r w:rsidRPr="00A3695F">
        <w:rPr>
          <w:rFonts w:ascii="Times New Roman" w:hAnsi="Times New Roman"/>
          <w:noProof/>
          <w:sz w:val="24"/>
          <w:lang w:val="pl-PL"/>
        </w:rPr>
        <w:t>ej Unii.</w:t>
      </w:r>
    </w:p>
    <w:tbl>
      <w:tblPr>
        <w:tblStyle w:val="law"/>
        <w:tblW w:w="0" w:type="auto"/>
        <w:tblLook w:val="04A0" w:firstRow="1" w:lastRow="0" w:firstColumn="1" w:lastColumn="0" w:noHBand="0" w:noVBand="1"/>
      </w:tblPr>
      <w:tblGrid>
        <w:gridCol w:w="9288"/>
      </w:tblGrid>
      <w:tr w:rsidR="005828BD" w:rsidRPr="00A3695F" w14:paraId="7CBE79C3" w14:textId="77777777" w:rsidTr="001F57F0">
        <w:tc>
          <w:tcPr>
            <w:tcW w:w="9288" w:type="dxa"/>
            <w:shd w:val="clear" w:color="auto" w:fill="EDF2F9"/>
          </w:tcPr>
          <w:p w14:paraId="6A6959E1" w14:textId="7771C9DB" w:rsidR="005828BD" w:rsidRPr="003937FF" w:rsidRDefault="005828BD" w:rsidP="006E12BE">
            <w:pPr>
              <w:pStyle w:val="Style2"/>
              <w:jc w:val="left"/>
              <w:rPr>
                <w:noProof/>
                <w:lang w:val="pl-PL"/>
              </w:rPr>
            </w:pPr>
            <w:r w:rsidRPr="003937FF">
              <w:rPr>
                <w:noProof/>
                <w:lang w:val="pl-PL"/>
              </w:rPr>
              <w:t>Zajmowanie się wieloma osobnymi nieprawidłowościami</w:t>
            </w:r>
            <w:r w:rsidR="003937FF" w:rsidRPr="003937FF">
              <w:rPr>
                <w:noProof/>
                <w:lang w:val="pl-PL"/>
              </w:rPr>
              <w:t xml:space="preserve"> w</w:t>
            </w:r>
            <w:r w:rsidR="003937FF">
              <w:rPr>
                <w:rFonts w:ascii="Calibri" w:hAnsi="Calibri" w:cs="Calibri"/>
                <w:noProof/>
                <w:lang w:val="pl-PL"/>
              </w:rPr>
              <w:t> </w:t>
            </w:r>
            <w:r w:rsidR="003937FF" w:rsidRPr="003937FF">
              <w:rPr>
                <w:noProof/>
                <w:lang w:val="pl-PL"/>
              </w:rPr>
              <w:t>ram</w:t>
            </w:r>
            <w:r w:rsidRPr="003937FF">
              <w:rPr>
                <w:noProof/>
                <w:lang w:val="pl-PL"/>
              </w:rPr>
              <w:t>ach jednego postępowania</w:t>
            </w:r>
            <w:r w:rsidR="003937FF" w:rsidRPr="003937FF">
              <w:rPr>
                <w:noProof/>
                <w:lang w:val="pl-PL"/>
              </w:rPr>
              <w:t xml:space="preserve"> w</w:t>
            </w:r>
            <w:r w:rsidR="003937FF">
              <w:rPr>
                <w:rFonts w:ascii="Calibri" w:hAnsi="Calibri" w:cs="Calibri"/>
                <w:noProof/>
                <w:lang w:val="pl-PL"/>
              </w:rPr>
              <w:t> </w:t>
            </w:r>
            <w:r w:rsidR="003937FF" w:rsidRPr="003937FF">
              <w:rPr>
                <w:noProof/>
                <w:lang w:val="pl-PL"/>
              </w:rPr>
              <w:t>spr</w:t>
            </w:r>
            <w:r w:rsidRPr="003937FF">
              <w:rPr>
                <w:noProof/>
                <w:lang w:val="pl-PL"/>
              </w:rPr>
              <w:t>awie uchybienia zobowiązaniom państwa członkowskiego</w:t>
            </w:r>
          </w:p>
          <w:p w14:paraId="66AA090B" w14:textId="2BB86709" w:rsidR="005828BD" w:rsidRPr="00A3695F" w:rsidRDefault="005828BD" w:rsidP="008C536A">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W dziedzinie środowiska Komisja dawniej zwykle wszczynała indywidualne postępowania dotyczące jednego składowiska odpadów niespełniającego wymogów lub jednej aglomeracji, która nie przestrzegała przepisów dotyczących ścieków komunalnych. Obecnie koncentruje się na sprawach systemowych, zajmując się czasami setkami aglomeracji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ram</w:t>
            </w:r>
            <w:r w:rsidRPr="00A3695F">
              <w:rPr>
                <w:rFonts w:ascii="Times New Roman" w:hAnsi="Times New Roman"/>
                <w:noProof/>
                <w:sz w:val="24"/>
                <w:lang w:val="pl-PL"/>
              </w:rPr>
              <w:t>ach jednej sprawy dotyczącej oczyszczania ścieków komunalnych lub dziesiątkami składowisk</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awach dotyczących odpadów</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ten</w:t>
            </w:r>
            <w:r w:rsidRPr="00A3695F">
              <w:rPr>
                <w:rFonts w:ascii="Times New Roman" w:hAnsi="Times New Roman"/>
                <w:noProof/>
                <w:sz w:val="24"/>
                <w:lang w:val="pl-PL"/>
              </w:rPr>
              <w:t xml:space="preserve"> sposób dużo skuteczniej można doprowadzić do przestrzegania przepisów we wszystkich regionach danego państwa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dro</w:t>
            </w:r>
            <w:r w:rsidRPr="00A3695F">
              <w:rPr>
                <w:rFonts w:ascii="Times New Roman" w:hAnsi="Times New Roman"/>
                <w:noProof/>
                <w:sz w:val="24"/>
                <w:lang w:val="pl-PL"/>
              </w:rPr>
              <w:t>dze jednego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w:t>
            </w:r>
          </w:p>
          <w:p w14:paraId="2429D1F3" w14:textId="709CF0F7" w:rsidR="00933B26" w:rsidRPr="003937FF" w:rsidRDefault="00933B26" w:rsidP="00933B26">
            <w:pPr>
              <w:spacing w:after="120" w:line="276" w:lineRule="auto"/>
              <w:jc w:val="both"/>
              <w:rPr>
                <w:rFonts w:ascii="EC Square Sans Pro" w:hAnsi="EC Square Sans Pro" w:cs="Times New Roman"/>
                <w:b/>
                <w:i/>
                <w:noProof/>
                <w:color w:val="0070C0"/>
                <w:sz w:val="24"/>
                <w:lang w:val="pl-PL"/>
              </w:rPr>
            </w:pPr>
            <w:r w:rsidRPr="003937FF">
              <w:rPr>
                <w:rFonts w:ascii="EC Square Sans Pro" w:hAnsi="EC Square Sans Pro"/>
                <w:b/>
                <w:i/>
                <w:noProof/>
                <w:color w:val="0070C0"/>
                <w:sz w:val="24"/>
                <w:lang w:val="pl-PL"/>
              </w:rPr>
              <w:t>Postępowanie</w:t>
            </w:r>
            <w:r w:rsidR="003937FF" w:rsidRPr="003937FF">
              <w:rPr>
                <w:rFonts w:ascii="EC Square Sans Pro" w:hAnsi="EC Square Sans Pro"/>
                <w:b/>
                <w:i/>
                <w:noProof/>
                <w:color w:val="0070C0"/>
                <w:sz w:val="24"/>
                <w:lang w:val="pl-PL"/>
              </w:rPr>
              <w:t xml:space="preserve"> w</w:t>
            </w:r>
            <w:r w:rsidR="003937FF">
              <w:rPr>
                <w:rFonts w:ascii="Calibri" w:hAnsi="Calibri" w:cs="Calibri"/>
                <w:b/>
                <w:i/>
                <w:noProof/>
                <w:color w:val="0070C0"/>
                <w:sz w:val="24"/>
                <w:lang w:val="pl-PL"/>
              </w:rPr>
              <w:t> </w:t>
            </w:r>
            <w:r w:rsidR="003937FF" w:rsidRPr="003937FF">
              <w:rPr>
                <w:rFonts w:ascii="EC Square Sans Pro" w:hAnsi="EC Square Sans Pro"/>
                <w:b/>
                <w:i/>
                <w:noProof/>
                <w:color w:val="0070C0"/>
                <w:sz w:val="24"/>
                <w:lang w:val="pl-PL"/>
              </w:rPr>
              <w:t>kwe</w:t>
            </w:r>
            <w:r w:rsidRPr="003937FF">
              <w:rPr>
                <w:rFonts w:ascii="EC Square Sans Pro" w:hAnsi="EC Square Sans Pro"/>
                <w:b/>
                <w:i/>
                <w:noProof/>
                <w:color w:val="0070C0"/>
                <w:sz w:val="24"/>
                <w:lang w:val="pl-PL"/>
              </w:rPr>
              <w:t>stiach dotyczących ogólnych zasad podniesionych</w:t>
            </w:r>
            <w:r w:rsidR="003937FF" w:rsidRPr="003937FF">
              <w:rPr>
                <w:rFonts w:ascii="EC Square Sans Pro" w:hAnsi="EC Square Sans Pro"/>
                <w:b/>
                <w:i/>
                <w:noProof/>
                <w:color w:val="0070C0"/>
                <w:sz w:val="24"/>
                <w:lang w:val="pl-PL"/>
              </w:rPr>
              <w:t xml:space="preserve"> w</w:t>
            </w:r>
            <w:r w:rsidR="003937FF">
              <w:rPr>
                <w:rFonts w:ascii="Calibri" w:hAnsi="Calibri" w:cs="Calibri"/>
                <w:b/>
                <w:i/>
                <w:noProof/>
                <w:color w:val="0070C0"/>
                <w:sz w:val="24"/>
                <w:lang w:val="pl-PL"/>
              </w:rPr>
              <w:t> </w:t>
            </w:r>
            <w:r w:rsidR="003937FF" w:rsidRPr="003937FF">
              <w:rPr>
                <w:rFonts w:ascii="EC Square Sans Pro" w:hAnsi="EC Square Sans Pro"/>
                <w:b/>
                <w:i/>
                <w:noProof/>
                <w:color w:val="0070C0"/>
                <w:sz w:val="24"/>
                <w:lang w:val="pl-PL"/>
              </w:rPr>
              <w:t>ska</w:t>
            </w:r>
            <w:r w:rsidRPr="003937FF">
              <w:rPr>
                <w:rFonts w:ascii="EC Square Sans Pro" w:hAnsi="EC Square Sans Pro"/>
                <w:b/>
                <w:i/>
                <w:noProof/>
                <w:color w:val="0070C0"/>
                <w:sz w:val="24"/>
                <w:lang w:val="pl-PL"/>
              </w:rPr>
              <w:t>rdze</w:t>
            </w:r>
          </w:p>
          <w:p w14:paraId="736820C7" w14:textId="0C95F67C" w:rsidR="00933B26" w:rsidRPr="00A3695F" w:rsidRDefault="00933B26" w:rsidP="001451A1">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Zapisane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Kar</w:t>
            </w:r>
            <w:r w:rsidRPr="00A3695F">
              <w:rPr>
                <w:rFonts w:ascii="Times New Roman" w:hAnsi="Times New Roman"/>
                <w:noProof/>
                <w:sz w:val="24"/>
                <w:lang w:val="pl-PL"/>
              </w:rPr>
              <w:t>cie prawo do swobodnego stowarzyszania się stanowi jedną</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zas</w:t>
            </w:r>
            <w:r w:rsidRPr="00A3695F">
              <w:rPr>
                <w:rFonts w:ascii="Times New Roman" w:hAnsi="Times New Roman"/>
                <w:noProof/>
                <w:sz w:val="24"/>
                <w:lang w:val="pl-PL"/>
              </w:rPr>
              <w:t>adniczych podstaw demokratycznego</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plu</w:t>
            </w:r>
            <w:r w:rsidRPr="00A3695F">
              <w:rPr>
                <w:rFonts w:ascii="Times New Roman" w:hAnsi="Times New Roman"/>
                <w:noProof/>
                <w:sz w:val="24"/>
                <w:lang w:val="pl-PL"/>
              </w:rPr>
              <w:t>ralistycznego społeczeństwa</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tej</w:t>
            </w:r>
            <w:r w:rsidRPr="00A3695F">
              <w:rPr>
                <w:rFonts w:ascii="Times New Roman" w:hAnsi="Times New Roman"/>
                <w:noProof/>
                <w:sz w:val="24"/>
                <w:lang w:val="pl-PL"/>
              </w:rPr>
              <w:t xml:space="preserve"> kwestii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ram</w:t>
            </w:r>
            <w:r w:rsidRPr="00A3695F">
              <w:rPr>
                <w:rFonts w:ascii="Times New Roman" w:hAnsi="Times New Roman"/>
                <w:noProof/>
                <w:sz w:val="24"/>
                <w:lang w:val="pl-PL"/>
              </w:rPr>
              <w:t>ach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 które Komisja wszczęła na podstawie skargi, Trybunał Sprawiedliwości orzekł, że prawodawstwo krajowe jednego</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 członkowskich ogranicza swobodny przepływ kapitału oraz podstawowe prawa do ochrony danych osobowych</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wol</w:t>
            </w:r>
            <w:r w:rsidRPr="00A3695F">
              <w:rPr>
                <w:rFonts w:ascii="Times New Roman" w:hAnsi="Times New Roman"/>
                <w:noProof/>
                <w:sz w:val="24"/>
                <w:lang w:val="pl-PL"/>
              </w:rPr>
              <w:t>ności stowarzyszania się.</w:t>
            </w:r>
          </w:p>
        </w:tc>
      </w:tr>
    </w:tbl>
    <w:p w14:paraId="32521744" w14:textId="77777777" w:rsidR="005828BD" w:rsidRPr="00A3695F" w:rsidRDefault="005828BD" w:rsidP="00D44AF4">
      <w:pPr>
        <w:spacing w:after="0"/>
        <w:jc w:val="both"/>
        <w:rPr>
          <w:rFonts w:ascii="Times New Roman" w:hAnsi="Times New Roman" w:cs="Times New Roman"/>
          <w:noProof/>
          <w:sz w:val="24"/>
          <w:lang w:val="pl-PL"/>
        </w:rPr>
      </w:pPr>
    </w:p>
    <w:p w14:paraId="12535510" w14:textId="2CEC0C4B" w:rsidR="00247FFC" w:rsidRPr="00A3695F" w:rsidRDefault="0099696B" w:rsidP="00D44AF4">
      <w:pPr>
        <w:spacing w:after="120"/>
        <w:jc w:val="both"/>
        <w:rPr>
          <w:rFonts w:ascii="Times New Roman" w:hAnsi="Times New Roman" w:cs="Times New Roman"/>
          <w:noProof/>
          <w:sz w:val="24"/>
          <w:lang w:val="pl-PL"/>
        </w:rPr>
      </w:pPr>
      <w:r w:rsidRPr="00A3695F">
        <w:rPr>
          <w:rFonts w:ascii="Times New Roman" w:hAnsi="Times New Roman"/>
          <w:noProof/>
          <w:sz w:val="24"/>
          <w:lang w:val="pl-PL"/>
        </w:rPr>
        <w:t>Odosobnionymi przypadkami ewentualnego nieprawidłowego stosowania prawa Unii, które nie dotyczą kwestii zasadniczych (takich jak nieprawidłowa transpozycja dyrektywy lub utrudnianie postępowania prejudycjalnego)</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w:t>
      </w:r>
      <w:r w:rsidR="003937FF">
        <w:rPr>
          <w:rFonts w:ascii="Times New Roman" w:hAnsi="Times New Roman"/>
          <w:noProof/>
          <w:sz w:val="24"/>
          <w:lang w:val="pl-PL"/>
        </w:rPr>
        <w:t> </w:t>
      </w:r>
      <w:r w:rsidR="003937FF" w:rsidRPr="00A3695F">
        <w:rPr>
          <w:rFonts w:ascii="Times New Roman" w:hAnsi="Times New Roman"/>
          <w:noProof/>
          <w:sz w:val="24"/>
          <w:lang w:val="pl-PL"/>
        </w:rPr>
        <w:t>któ</w:t>
      </w:r>
      <w:r w:rsidRPr="00A3695F">
        <w:rPr>
          <w:rFonts w:ascii="Times New Roman" w:hAnsi="Times New Roman"/>
          <w:noProof/>
          <w:sz w:val="24"/>
          <w:lang w:val="pl-PL"/>
        </w:rPr>
        <w:t>rych nie ma dowodów na istnienie ogólnej praktyki lub niedociągnięć systemowych, skuteczniej zajmują się organy rozjemcze bliższe podmiotom, na które wpływa naruszenie. Organy te mogą oferować szybkie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bez</w:t>
      </w:r>
      <w:r w:rsidRPr="00A3695F">
        <w:rPr>
          <w:rFonts w:ascii="Times New Roman" w:hAnsi="Times New Roman"/>
          <w:noProof/>
          <w:sz w:val="24"/>
          <w:lang w:val="pl-PL"/>
        </w:rPr>
        <w:t>pośrednie rozwiązania. Pomijając trudność związaną</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bad</w:t>
      </w:r>
      <w:r w:rsidRPr="00A3695F">
        <w:rPr>
          <w:rFonts w:ascii="Times New Roman" w:hAnsi="Times New Roman"/>
          <w:noProof/>
          <w:sz w:val="24"/>
          <w:lang w:val="pl-PL"/>
        </w:rPr>
        <w:t>aniem takich przypadków na miejscu oraz czas trwania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 na szczeblu UE, wyrok Trybunału Sprawiedliwości jest skierowany do państwa członkowskiego</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moż</w:t>
      </w:r>
      <w:r w:rsidRPr="00A3695F">
        <w:rPr>
          <w:rFonts w:ascii="Times New Roman" w:hAnsi="Times New Roman"/>
          <w:noProof/>
          <w:sz w:val="24"/>
          <w:lang w:val="pl-PL"/>
        </w:rPr>
        <w:t>e jedynie pośrednio rozwiązywać problem danej osoby. Trybunał Sprawiedliwości nie może nakazać państwu członkowskiemu wypłaty odszkodowania na rzecz osoby, która została poszkodowana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wyn</w:t>
      </w:r>
      <w:r w:rsidRPr="00A3695F">
        <w:rPr>
          <w:rFonts w:ascii="Times New Roman" w:hAnsi="Times New Roman"/>
          <w:noProof/>
          <w:sz w:val="24"/>
          <w:lang w:val="pl-PL"/>
        </w:rPr>
        <w:t>iku naruszenia prawa Unii. Aby ubiegać się</w:t>
      </w:r>
      <w:r w:rsidR="003937FF" w:rsidRPr="00A3695F">
        <w:rPr>
          <w:rFonts w:ascii="Times New Roman" w:hAnsi="Times New Roman"/>
          <w:noProof/>
          <w:sz w:val="24"/>
          <w:lang w:val="pl-PL"/>
        </w:rPr>
        <w:t xml:space="preserve"> o</w:t>
      </w:r>
      <w:r w:rsidR="003937FF">
        <w:rPr>
          <w:rFonts w:ascii="Times New Roman" w:hAnsi="Times New Roman"/>
          <w:noProof/>
          <w:sz w:val="24"/>
          <w:lang w:val="pl-PL"/>
        </w:rPr>
        <w:t> </w:t>
      </w:r>
      <w:r w:rsidR="003937FF" w:rsidRPr="00A3695F">
        <w:rPr>
          <w:rFonts w:ascii="Times New Roman" w:hAnsi="Times New Roman"/>
          <w:noProof/>
          <w:sz w:val="24"/>
          <w:lang w:val="pl-PL"/>
        </w:rPr>
        <w:t>ods</w:t>
      </w:r>
      <w:r w:rsidRPr="00A3695F">
        <w:rPr>
          <w:rFonts w:ascii="Times New Roman" w:hAnsi="Times New Roman"/>
          <w:noProof/>
          <w:sz w:val="24"/>
          <w:lang w:val="pl-PL"/>
        </w:rPr>
        <w:t>zkodowanie lub uchylenie środka krajowego, skarżący nadal muszą wnieść sprawę do sądu krajowego.</w:t>
      </w:r>
    </w:p>
    <w:p w14:paraId="21F2F39F" w14:textId="1C71EBF4" w:rsidR="0099696B" w:rsidRPr="00A3695F" w:rsidRDefault="0099696B" w:rsidP="00D44AF4">
      <w:pPr>
        <w:spacing w:after="120"/>
        <w:jc w:val="both"/>
        <w:rPr>
          <w:rFonts w:ascii="Times New Roman" w:hAnsi="Times New Roman" w:cs="Times New Roman"/>
          <w:noProof/>
          <w:sz w:val="24"/>
          <w:lang w:val="pl-PL"/>
        </w:rPr>
      </w:pPr>
      <w:r w:rsidRPr="00A3695F">
        <w:rPr>
          <w:rFonts w:ascii="Times New Roman" w:hAnsi="Times New Roman"/>
          <w:noProof/>
          <w:sz w:val="24"/>
          <w:lang w:val="pl-PL"/>
        </w:rPr>
        <w:t>Komisja otrzymuje około 4 000 skarg rocznie</w:t>
      </w:r>
      <w:r w:rsidRPr="00A3695F">
        <w:rPr>
          <w:rStyle w:val="FootnoteReference"/>
          <w:rFonts w:ascii="Times New Roman" w:hAnsi="Times New Roman" w:cs="Times New Roman"/>
          <w:noProof/>
          <w:sz w:val="24"/>
          <w:lang w:val="pl-PL"/>
        </w:rPr>
        <w:footnoteReference w:id="79"/>
      </w:r>
      <w:r w:rsidRPr="00A3695F">
        <w:rPr>
          <w:rFonts w:ascii="Times New Roman" w:hAnsi="Times New Roman"/>
          <w:noProof/>
          <w:sz w:val="24"/>
          <w:lang w:val="pl-PL"/>
        </w:rPr>
        <w:t>. Wpływa do niej również wiele petycji dotyczących prawa Unii, przekazywanych przez Komisję Petycji Parlamentu Europejskiego. Nawet jeśli Komisja nie bada każdego przypadku możliwego niewłaściwego stosowania prawa Unii, nadal ceni skargi, pytania wymagające odpowiedzi na piśmie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pet</w:t>
      </w:r>
      <w:r w:rsidRPr="00A3695F">
        <w:rPr>
          <w:rFonts w:ascii="Times New Roman" w:hAnsi="Times New Roman"/>
          <w:noProof/>
          <w:sz w:val="24"/>
          <w:lang w:val="pl-PL"/>
        </w:rPr>
        <w:t>ycje jako źródło informacji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sze</w:t>
      </w:r>
      <w:r w:rsidRPr="00A3695F">
        <w:rPr>
          <w:rFonts w:ascii="Times New Roman" w:hAnsi="Times New Roman"/>
          <w:noProof/>
          <w:sz w:val="24"/>
          <w:lang w:val="pl-PL"/>
        </w:rPr>
        <w:t>rszych sprawach związanych</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sys</w:t>
      </w:r>
      <w:r w:rsidRPr="00A3695F">
        <w:rPr>
          <w:rFonts w:ascii="Times New Roman" w:hAnsi="Times New Roman"/>
          <w:noProof/>
          <w:sz w:val="24"/>
          <w:lang w:val="pl-PL"/>
        </w:rPr>
        <w:t>temowymi lub strukturalnymi naruszeniami prawa Unii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stwach członkowskich.</w:t>
      </w:r>
    </w:p>
    <w:p w14:paraId="0078E612" w14:textId="0FB560F5" w:rsidR="0099696B" w:rsidRPr="00A3695F" w:rsidRDefault="0099696B" w:rsidP="00A70C25">
      <w:pPr>
        <w:spacing w:after="120"/>
        <w:jc w:val="both"/>
        <w:rPr>
          <w:rFonts w:ascii="Times New Roman" w:hAnsi="Times New Roman" w:cs="Times New Roman"/>
          <w:noProof/>
          <w:sz w:val="24"/>
          <w:lang w:val="pl-PL"/>
        </w:rPr>
      </w:pPr>
      <w:r w:rsidRPr="00A3695F">
        <w:rPr>
          <w:rFonts w:ascii="Times New Roman" w:hAnsi="Times New Roman"/>
          <w:noProof/>
          <w:sz w:val="24"/>
          <w:lang w:val="pl-PL"/>
        </w:rPr>
        <w:t>Z tym strategicznym podejściem wiąże się wymóg, aby przepisy krajowe zapewniał</w:t>
      </w:r>
      <w:r w:rsidRPr="003937FF">
        <w:rPr>
          <w:rFonts w:ascii="Times New Roman" w:hAnsi="Times New Roman"/>
          <w:noProof/>
          <w:sz w:val="24"/>
          <w:lang w:val="pl-PL"/>
        </w:rPr>
        <w:t>y</w:t>
      </w:r>
      <w:r w:rsidR="003937FF" w:rsidRPr="003937FF">
        <w:rPr>
          <w:rFonts w:ascii="Times New Roman" w:hAnsi="Times New Roman"/>
          <w:noProof/>
          <w:sz w:val="24"/>
          <w:lang w:val="pl-PL"/>
        </w:rPr>
        <w:t xml:space="preserve"> </w:t>
      </w:r>
      <w:r w:rsidRPr="003937FF">
        <w:rPr>
          <w:rFonts w:ascii="Times New Roman" w:hAnsi="Times New Roman"/>
          <w:noProof/>
          <w:sz w:val="24"/>
          <w:lang w:val="pl-PL"/>
        </w:rPr>
        <w:t>–</w:t>
      </w:r>
      <w:r w:rsidRPr="00A3695F">
        <w:rPr>
          <w:rFonts w:ascii="Times New Roman" w:hAnsi="Times New Roman"/>
          <w:noProof/>
          <w:sz w:val="24"/>
          <w:lang w:val="pl-PL"/>
        </w:rPr>
        <w:t xml:space="preserve"> za pośrednictwem niezależnego</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efe</w:t>
      </w:r>
      <w:r w:rsidRPr="00A3695F">
        <w:rPr>
          <w:rFonts w:ascii="Times New Roman" w:hAnsi="Times New Roman"/>
          <w:noProof/>
          <w:sz w:val="24"/>
          <w:lang w:val="pl-PL"/>
        </w:rPr>
        <w:t>ktywnego systemu sądowego – skuteczne procedury odwoławcze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ypadku naruszenia prawa Unii. Dlatego też Komisja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spo</w:t>
      </w:r>
      <w:r w:rsidRPr="00A3695F">
        <w:rPr>
          <w:rFonts w:ascii="Times New Roman" w:hAnsi="Times New Roman"/>
          <w:noProof/>
          <w:sz w:val="24"/>
          <w:lang w:val="pl-PL"/>
        </w:rPr>
        <w:t>sób szczególnie priorytetowy traktuje naruszenia, które wpływają na zdolność krajowych systemów sądowych do działania na rzecz skutecznego stosowania prawa Unii. Równocześnie Komisja koncentruje swoje wysiłki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zak</w:t>
      </w:r>
      <w:r w:rsidRPr="00A3695F">
        <w:rPr>
          <w:rFonts w:ascii="Times New Roman" w:hAnsi="Times New Roman"/>
          <w:noProof/>
          <w:sz w:val="24"/>
          <w:lang w:val="pl-PL"/>
        </w:rPr>
        <w:t>resie egzekwowania prawa na zapewnieniu, aby organy krajowe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org</w:t>
      </w:r>
      <w:r w:rsidRPr="00A3695F">
        <w:rPr>
          <w:rFonts w:ascii="Times New Roman" w:hAnsi="Times New Roman"/>
          <w:noProof/>
          <w:sz w:val="24"/>
          <w:lang w:val="pl-PL"/>
        </w:rPr>
        <w:t>any regulacyjne były przygotowane – pod względem uprawnień</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zas</w:t>
      </w:r>
      <w:r w:rsidRPr="00A3695F">
        <w:rPr>
          <w:rFonts w:ascii="Times New Roman" w:hAnsi="Times New Roman"/>
          <w:noProof/>
          <w:sz w:val="24"/>
          <w:lang w:val="pl-PL"/>
        </w:rPr>
        <w:t>obów – do zagwarantowania skutecznego dochodzenia roszczeń oraz aby krajowe środki wdrażające prawo Unii przewidywały odpowiednie kary za naruszenia tego prawa.</w:t>
      </w:r>
    </w:p>
    <w:p w14:paraId="391EE2B5" w14:textId="5F543716" w:rsidR="00D24785" w:rsidRPr="00A3695F" w:rsidRDefault="000C53A9" w:rsidP="0047108C">
      <w:pPr>
        <w:spacing w:after="240"/>
        <w:jc w:val="both"/>
        <w:rPr>
          <w:rFonts w:ascii="Times New Roman" w:hAnsi="Times New Roman" w:cs="Times New Roman"/>
          <w:noProof/>
          <w:sz w:val="24"/>
          <w:lang w:val="pl-PL"/>
        </w:rPr>
      </w:pPr>
      <w:r w:rsidRPr="00A3695F">
        <w:rPr>
          <w:rFonts w:ascii="Times New Roman" w:hAnsi="Times New Roman"/>
          <w:noProof/>
          <w:sz w:val="24"/>
          <w:lang w:val="pl-PL"/>
        </w:rPr>
        <w:t>Celem Komisji jest dopilnowanie, aby państwa członkowskie możliwie szybko zastosowały się do prawa Unii. Komisja</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zad</w:t>
      </w:r>
      <w:r w:rsidRPr="00A3695F">
        <w:rPr>
          <w:rFonts w:ascii="Times New Roman" w:hAnsi="Times New Roman"/>
          <w:noProof/>
          <w:sz w:val="24"/>
          <w:lang w:val="pl-PL"/>
        </w:rPr>
        <w:t>owoleniem przyjmuje fakt, że większość naruszeń prawa jest eliminowana na wczesnym etapie postępowania</w:t>
      </w:r>
      <w:r w:rsidRPr="00A3695F">
        <w:rPr>
          <w:rStyle w:val="FootnoteReference"/>
          <w:rFonts w:ascii="Times New Roman" w:hAnsi="Times New Roman" w:cs="Times New Roman"/>
          <w:noProof/>
          <w:sz w:val="24"/>
          <w:lang w:val="pl-PL"/>
        </w:rPr>
        <w:footnoteReference w:id="80"/>
      </w:r>
      <w:r w:rsidRPr="00A3695F">
        <w:rPr>
          <w:rFonts w:ascii="Times New Roman" w:hAnsi="Times New Roman"/>
          <w:noProof/>
          <w:sz w:val="24"/>
          <w:lang w:val="pl-PL"/>
        </w:rPr>
        <w:t xml:space="preserve"> – ponad 9</w:t>
      </w:r>
      <w:r w:rsidRPr="003937FF">
        <w:rPr>
          <w:rFonts w:ascii="Times New Roman" w:hAnsi="Times New Roman"/>
          <w:noProof/>
          <w:sz w:val="24"/>
          <w:lang w:val="pl-PL"/>
        </w:rPr>
        <w:t>0</w:t>
      </w:r>
      <w:r w:rsidR="003937FF" w:rsidRPr="003937FF">
        <w:rPr>
          <w:rFonts w:ascii="Times New Roman" w:hAnsi="Times New Roman"/>
          <w:noProof/>
          <w:sz w:val="24"/>
          <w:lang w:val="pl-PL"/>
        </w:rPr>
        <w:t> </w:t>
      </w:r>
      <w:r w:rsidRPr="003937FF">
        <w:rPr>
          <w:rFonts w:ascii="Times New Roman" w:hAnsi="Times New Roman"/>
          <w:noProof/>
          <w:sz w:val="24"/>
          <w:lang w:val="pl-PL"/>
        </w:rPr>
        <w:t>%</w:t>
      </w:r>
      <w:r w:rsidRPr="00A3695F">
        <w:rPr>
          <w:rFonts w:ascii="Times New Roman" w:hAnsi="Times New Roman"/>
          <w:noProof/>
          <w:sz w:val="24"/>
          <w:lang w:val="pl-PL"/>
        </w:rPr>
        <w:t xml:space="preserve"> postępowań</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 jest rozstrzygane przed skierowaniem sprawy do Trybunału Sprawiedliwości. Rozwiązanie problemów bez konieczności wnoszenia sprawy do Trybunału Sprawiedliwości zapewnia szybsze osiągnięcie zgodności</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episami oraz pozwala zaoszczędzić czas</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pie</w:t>
      </w:r>
      <w:r w:rsidRPr="00A3695F">
        <w:rPr>
          <w:rFonts w:ascii="Times New Roman" w:hAnsi="Times New Roman"/>
          <w:noProof/>
          <w:sz w:val="24"/>
          <w:lang w:val="pl-PL"/>
        </w:rPr>
        <w:t>niądze. Państwa członkowskie są zobowiązane dołożyć wszelkich starań, aby jak najszybciej zastosować się do orzeczenia Trybunału. Jeżeli jednak pomimo orzeczenia Trybunału państwo członkowskie nadal nie usunie naruszenia, Komisja może ponownie skierować sprawę do Trybunału Sprawiedliwości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wys</w:t>
      </w:r>
      <w:r w:rsidRPr="00A3695F">
        <w:rPr>
          <w:rFonts w:ascii="Times New Roman" w:hAnsi="Times New Roman"/>
          <w:noProof/>
          <w:sz w:val="24"/>
          <w:lang w:val="pl-PL"/>
        </w:rPr>
        <w:t>tąpić</w:t>
      </w:r>
      <w:r w:rsidR="003937FF" w:rsidRPr="00A3695F">
        <w:rPr>
          <w:rFonts w:ascii="Times New Roman" w:hAnsi="Times New Roman"/>
          <w:noProof/>
          <w:sz w:val="24"/>
          <w:lang w:val="pl-PL"/>
        </w:rPr>
        <w:t xml:space="preserve"> o</w:t>
      </w:r>
      <w:r w:rsidR="003937FF">
        <w:rPr>
          <w:rFonts w:ascii="Times New Roman" w:hAnsi="Times New Roman"/>
          <w:noProof/>
          <w:sz w:val="24"/>
          <w:lang w:val="pl-PL"/>
        </w:rPr>
        <w:t> </w:t>
      </w:r>
      <w:r w:rsidR="003937FF" w:rsidRPr="00A3695F">
        <w:rPr>
          <w:rFonts w:ascii="Times New Roman" w:hAnsi="Times New Roman"/>
          <w:noProof/>
          <w:sz w:val="24"/>
          <w:lang w:val="pl-PL"/>
        </w:rPr>
        <w:t>nał</w:t>
      </w:r>
      <w:r w:rsidRPr="00A3695F">
        <w:rPr>
          <w:rFonts w:ascii="Times New Roman" w:hAnsi="Times New Roman"/>
          <w:noProof/>
          <w:sz w:val="24"/>
          <w:lang w:val="pl-PL"/>
        </w:rPr>
        <w:t>ożenie na to państwo kar finansowych</w:t>
      </w:r>
      <w:r w:rsidRPr="00A3695F">
        <w:rPr>
          <w:rStyle w:val="FootnoteReference"/>
          <w:rFonts w:ascii="Times New Roman" w:hAnsi="Times New Roman" w:cs="Times New Roman"/>
          <w:noProof/>
          <w:sz w:val="24"/>
          <w:lang w:val="pl-PL"/>
        </w:rPr>
        <w:footnoteReference w:id="81"/>
      </w:r>
      <w:r w:rsidRPr="00A3695F">
        <w:rPr>
          <w:rFonts w:ascii="Times New Roman" w:hAnsi="Times New Roman"/>
          <w:noProof/>
          <w:sz w:val="24"/>
          <w:lang w:val="pl-PL"/>
        </w:rPr>
        <w:t>.</w:t>
      </w:r>
    </w:p>
    <w:p w14:paraId="70EC0CFF" w14:textId="0C66DD4C" w:rsidR="00D63711" w:rsidRPr="00A3695F" w:rsidRDefault="00DB7A80" w:rsidP="00D63711">
      <w:pPr>
        <w:spacing w:after="240"/>
        <w:jc w:val="center"/>
        <w:rPr>
          <w:rFonts w:ascii="Times New Roman" w:hAnsi="Times New Roman" w:cs="Times New Roman"/>
          <w:noProof/>
          <w:sz w:val="24"/>
          <w:lang w:val="pl-PL"/>
        </w:rPr>
      </w:pPr>
      <w:r w:rsidRPr="00A3695F">
        <w:rPr>
          <w:noProof/>
          <w:lang w:val="en-GB" w:eastAsia="en-GB"/>
        </w:rPr>
        <w:drawing>
          <wp:inline distT="0" distB="0" distL="0" distR="0" wp14:anchorId="1484730E" wp14:editId="56240AD5">
            <wp:extent cx="5324622" cy="2981962"/>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46680" cy="2994315"/>
                    </a:xfrm>
                    <a:prstGeom prst="rect">
                      <a:avLst/>
                    </a:prstGeom>
                    <a:noFill/>
                    <a:ln>
                      <a:noFill/>
                    </a:ln>
                  </pic:spPr>
                </pic:pic>
              </a:graphicData>
            </a:graphic>
          </wp:inline>
        </w:drawing>
      </w:r>
    </w:p>
    <w:tbl>
      <w:tblPr>
        <w:tblStyle w:val="law"/>
        <w:tblW w:w="0" w:type="auto"/>
        <w:tblLook w:val="04A0" w:firstRow="1" w:lastRow="0" w:firstColumn="1" w:lastColumn="0" w:noHBand="0" w:noVBand="1"/>
      </w:tblPr>
      <w:tblGrid>
        <w:gridCol w:w="9288"/>
      </w:tblGrid>
      <w:tr w:rsidR="0099696B" w:rsidRPr="00A3695F" w14:paraId="7CFA0644" w14:textId="77777777" w:rsidTr="001F57F0">
        <w:tc>
          <w:tcPr>
            <w:tcW w:w="9288" w:type="dxa"/>
            <w:shd w:val="clear" w:color="auto" w:fill="EDF2F9"/>
          </w:tcPr>
          <w:p w14:paraId="2ABB96BD" w14:textId="1E94AEF2" w:rsidR="0099696B" w:rsidRPr="003937FF" w:rsidRDefault="0099696B" w:rsidP="006E12BE">
            <w:pPr>
              <w:pStyle w:val="Style2"/>
              <w:rPr>
                <w:noProof/>
                <w:lang w:val="pl-PL"/>
              </w:rPr>
            </w:pPr>
            <w:r w:rsidRPr="003937FF">
              <w:rPr>
                <w:noProof/>
                <w:lang w:val="pl-PL"/>
              </w:rPr>
              <w:t>Skuteczne postępowanie</w:t>
            </w:r>
            <w:r w:rsidR="003937FF" w:rsidRPr="003937FF">
              <w:rPr>
                <w:noProof/>
                <w:lang w:val="pl-PL"/>
              </w:rPr>
              <w:t xml:space="preserve"> w</w:t>
            </w:r>
            <w:r w:rsidR="003937FF">
              <w:rPr>
                <w:rFonts w:ascii="Calibri" w:hAnsi="Calibri" w:cs="Calibri"/>
                <w:noProof/>
                <w:lang w:val="pl-PL"/>
              </w:rPr>
              <w:t> </w:t>
            </w:r>
            <w:r w:rsidR="003937FF" w:rsidRPr="003937FF">
              <w:rPr>
                <w:noProof/>
                <w:lang w:val="pl-PL"/>
              </w:rPr>
              <w:t>spr</w:t>
            </w:r>
            <w:r w:rsidRPr="003937FF">
              <w:rPr>
                <w:noProof/>
                <w:lang w:val="pl-PL"/>
              </w:rPr>
              <w:t>awie uchybienia zobowiązaniom państwa członkowskiego</w:t>
            </w:r>
          </w:p>
          <w:p w14:paraId="79928D20" w14:textId="000A47C3" w:rsidR="0099696B" w:rsidRPr="00A3695F" w:rsidRDefault="00702710" w:rsidP="006200CA">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 xml:space="preserve">Prawo Unii dotyczące </w:t>
            </w:r>
            <w:r w:rsidRPr="003937FF">
              <w:rPr>
                <w:rFonts w:ascii="Times New Roman" w:hAnsi="Times New Roman"/>
                <w:b/>
                <w:noProof/>
                <w:sz w:val="24"/>
                <w:lang w:val="pl-PL"/>
              </w:rPr>
              <w:t>zanieczyszczenia powietrza</w:t>
            </w:r>
            <w:r w:rsidRPr="00A3695F">
              <w:rPr>
                <w:rFonts w:ascii="Times New Roman" w:hAnsi="Times New Roman"/>
                <w:noProof/>
                <w:sz w:val="24"/>
                <w:lang w:val="pl-PL"/>
              </w:rPr>
              <w:t xml:space="preserve"> to obszar,</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któ</w:t>
            </w:r>
            <w:r w:rsidRPr="00A3695F">
              <w:rPr>
                <w:rFonts w:ascii="Times New Roman" w:hAnsi="Times New Roman"/>
                <w:noProof/>
                <w:sz w:val="24"/>
                <w:lang w:val="pl-PL"/>
              </w:rPr>
              <w:t>rym zapewnienie przestrzegania przepisów może wiązać się</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wys</w:t>
            </w:r>
            <w:r w:rsidRPr="00A3695F">
              <w:rPr>
                <w:rFonts w:ascii="Times New Roman" w:hAnsi="Times New Roman"/>
                <w:noProof/>
                <w:sz w:val="24"/>
                <w:lang w:val="pl-PL"/>
              </w:rPr>
              <w:t>okimi kosztami ekonomicznymi, ale nieprzestrzeganie tego prawa kosztuje życie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pow</w:t>
            </w:r>
            <w:r w:rsidRPr="00A3695F">
              <w:rPr>
                <w:rFonts w:ascii="Times New Roman" w:hAnsi="Times New Roman"/>
                <w:noProof/>
                <w:sz w:val="24"/>
                <w:lang w:val="pl-PL"/>
              </w:rPr>
              <w:t>oduje poważne choroby. Nieprzestrzeganie tego prawa skutkuje dużą liczbą postępowań</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 Do lipca 20</w:t>
            </w:r>
            <w:r w:rsidRPr="003937FF">
              <w:rPr>
                <w:rFonts w:ascii="Times New Roman" w:hAnsi="Times New Roman"/>
                <w:noProof/>
                <w:sz w:val="24"/>
                <w:lang w:val="pl-PL"/>
              </w:rPr>
              <w:t>22</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Fonts w:ascii="Times New Roman" w:hAnsi="Times New Roman"/>
                <w:noProof/>
                <w:sz w:val="24"/>
                <w:lang w:val="pl-PL"/>
              </w:rPr>
              <w:t xml:space="preserve"> Komisja wszczęła 28 postępowań</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zwi</w:t>
            </w:r>
            <w:r w:rsidRPr="00A3695F">
              <w:rPr>
                <w:rFonts w:ascii="Times New Roman" w:hAnsi="Times New Roman"/>
                <w:noProof/>
                <w:sz w:val="24"/>
                <w:lang w:val="pl-PL"/>
              </w:rPr>
              <w:t>ązku</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nie</w:t>
            </w:r>
            <w:r w:rsidRPr="00A3695F">
              <w:rPr>
                <w:rFonts w:ascii="Times New Roman" w:hAnsi="Times New Roman"/>
                <w:noProof/>
                <w:sz w:val="24"/>
                <w:lang w:val="pl-PL"/>
              </w:rPr>
              <w:t>stosowaniem przez 18 państw członkowskich dyrektywy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jakości powietrza</w:t>
            </w:r>
            <w:r w:rsidRPr="00A3695F">
              <w:rPr>
                <w:rStyle w:val="FootnoteReference"/>
                <w:rFonts w:ascii="Times New Roman" w:hAnsi="Times New Roman" w:cs="Times New Roman"/>
                <w:noProof/>
                <w:sz w:val="24"/>
                <w:lang w:val="pl-PL"/>
              </w:rPr>
              <w:footnoteReference w:id="82"/>
            </w:r>
            <w:r w:rsidRPr="00A3695F">
              <w:rPr>
                <w:rFonts w:ascii="Times New Roman" w:hAnsi="Times New Roman"/>
                <w:noProof/>
                <w:sz w:val="24"/>
                <w:lang w:val="pl-PL"/>
              </w:rPr>
              <w:t>. Do Trybunału Sprawiedliwości skierowano 15 spraw,</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któ</w:t>
            </w:r>
            <w:r w:rsidRPr="00A3695F">
              <w:rPr>
                <w:rFonts w:ascii="Times New Roman" w:hAnsi="Times New Roman"/>
                <w:noProof/>
                <w:sz w:val="24"/>
                <w:lang w:val="pl-PL"/>
              </w:rPr>
              <w:t>rych 10 zakończyło się wydaniem orzeczenia. Jedną</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tyc</w:t>
            </w:r>
            <w:r w:rsidRPr="00A3695F">
              <w:rPr>
                <w:rFonts w:ascii="Times New Roman" w:hAnsi="Times New Roman"/>
                <w:noProof/>
                <w:sz w:val="24"/>
                <w:lang w:val="pl-PL"/>
              </w:rPr>
              <w:t>h spraw po raz drugi skierowano do Trybunału,</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zwi</w:t>
            </w:r>
            <w:r w:rsidRPr="00A3695F">
              <w:rPr>
                <w:rFonts w:ascii="Times New Roman" w:hAnsi="Times New Roman"/>
                <w:noProof/>
                <w:sz w:val="24"/>
                <w:lang w:val="pl-PL"/>
              </w:rPr>
              <w:t>ązku</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czy</w:t>
            </w:r>
            <w:r w:rsidRPr="00A3695F">
              <w:rPr>
                <w:rFonts w:ascii="Times New Roman" w:hAnsi="Times New Roman"/>
                <w:noProof/>
                <w:sz w:val="24"/>
                <w:lang w:val="pl-PL"/>
              </w:rPr>
              <w:t>m może dojść do nałożenia grzywien. Te działania na rzecz egzekwowania prawa odegrały zasadniczą rolę</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zmn</w:t>
            </w:r>
            <w:r w:rsidRPr="00A3695F">
              <w:rPr>
                <w:rFonts w:ascii="Times New Roman" w:hAnsi="Times New Roman"/>
                <w:noProof/>
                <w:sz w:val="24"/>
                <w:lang w:val="pl-PL"/>
              </w:rPr>
              <w:t>iejszeniu liczby stref jakości powietrza,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któ</w:t>
            </w:r>
            <w:r w:rsidRPr="00A3695F">
              <w:rPr>
                <w:rFonts w:ascii="Times New Roman" w:hAnsi="Times New Roman"/>
                <w:noProof/>
                <w:sz w:val="24"/>
                <w:lang w:val="pl-PL"/>
              </w:rPr>
              <w:t>rych przekroczone były dopuszczone prawem wartości dla pyłu zawieszonego,</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9</w:t>
            </w:r>
            <w:r w:rsidRPr="00A3695F">
              <w:rPr>
                <w:rFonts w:ascii="Times New Roman" w:hAnsi="Times New Roman"/>
                <w:noProof/>
                <w:sz w:val="24"/>
                <w:lang w:val="pl-PL"/>
              </w:rPr>
              <w:t>1</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2</w:t>
            </w:r>
            <w:r w:rsidRPr="00A3695F">
              <w:rPr>
                <w:rFonts w:ascii="Times New Roman" w:hAnsi="Times New Roman"/>
                <w:noProof/>
                <w:sz w:val="24"/>
                <w:lang w:val="pl-PL"/>
              </w:rPr>
              <w:t>0</w:t>
            </w:r>
            <w:r w:rsidRPr="003937FF">
              <w:rPr>
                <w:rFonts w:ascii="Times New Roman" w:hAnsi="Times New Roman"/>
                <w:noProof/>
                <w:sz w:val="24"/>
                <w:lang w:val="pl-PL"/>
              </w:rPr>
              <w:t>19</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Fonts w:ascii="Times New Roman" w:hAnsi="Times New Roman"/>
                <w:noProof/>
                <w:sz w:val="24"/>
                <w:lang w:val="pl-PL"/>
              </w:rPr>
              <w:t xml:space="preserve"> </w:t>
            </w:r>
            <w:r w:rsidRPr="003937FF">
              <w:rPr>
                <w:rFonts w:ascii="Times New Roman" w:hAnsi="Times New Roman"/>
                <w:noProof/>
                <w:sz w:val="24"/>
                <w:lang w:val="pl-PL"/>
              </w:rPr>
              <w:t>do</w:t>
            </w:r>
            <w:r w:rsidR="003937FF" w:rsidRPr="003937FF">
              <w:rPr>
                <w:rFonts w:ascii="Times New Roman" w:hAnsi="Times New Roman"/>
                <w:noProof/>
                <w:sz w:val="24"/>
                <w:lang w:val="pl-PL"/>
              </w:rPr>
              <w:t> </w:t>
            </w:r>
            <w:r w:rsidRPr="003937FF">
              <w:rPr>
                <w:rFonts w:ascii="Times New Roman" w:hAnsi="Times New Roman"/>
                <w:noProof/>
                <w:sz w:val="24"/>
                <w:lang w:val="pl-PL"/>
              </w:rPr>
              <w:t>5</w:t>
            </w:r>
            <w:r w:rsidRPr="00A3695F">
              <w:rPr>
                <w:rFonts w:ascii="Times New Roman" w:hAnsi="Times New Roman"/>
                <w:noProof/>
                <w:sz w:val="24"/>
                <w:lang w:val="pl-PL"/>
              </w:rPr>
              <w:t>5</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2</w:t>
            </w:r>
            <w:r w:rsidRPr="00A3695F">
              <w:rPr>
                <w:rFonts w:ascii="Times New Roman" w:hAnsi="Times New Roman"/>
                <w:noProof/>
                <w:sz w:val="24"/>
                <w:lang w:val="pl-PL"/>
              </w:rPr>
              <w:t>0</w:t>
            </w:r>
            <w:r w:rsidRPr="003937FF">
              <w:rPr>
                <w:rFonts w:ascii="Times New Roman" w:hAnsi="Times New Roman"/>
                <w:noProof/>
                <w:sz w:val="24"/>
                <w:lang w:val="pl-PL"/>
              </w:rPr>
              <w:t>21</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Style w:val="FootnoteReference"/>
                <w:rFonts w:ascii="Times New Roman" w:hAnsi="Times New Roman" w:cs="Times New Roman"/>
                <w:noProof/>
                <w:sz w:val="24"/>
                <w:lang w:val="pl-PL"/>
              </w:rPr>
              <w:footnoteReference w:id="83"/>
            </w:r>
            <w:r w:rsidRPr="00A3695F">
              <w:rPr>
                <w:rFonts w:ascii="Times New Roman" w:hAnsi="Times New Roman"/>
                <w:noProof/>
                <w:sz w:val="24"/>
                <w:lang w:val="pl-PL"/>
              </w:rPr>
              <w:t xml:space="preserve"> oraz</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zmn</w:t>
            </w:r>
            <w:r w:rsidRPr="00A3695F">
              <w:rPr>
                <w:rFonts w:ascii="Times New Roman" w:hAnsi="Times New Roman"/>
                <w:noProof/>
                <w:sz w:val="24"/>
                <w:lang w:val="pl-PL"/>
              </w:rPr>
              <w:t>iejszeniu liczby stref</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ekroczonymi stężeniami dwutlenku azotu</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6</w:t>
            </w:r>
            <w:r w:rsidRPr="00A3695F">
              <w:rPr>
                <w:rFonts w:ascii="Times New Roman" w:hAnsi="Times New Roman"/>
                <w:noProof/>
                <w:sz w:val="24"/>
                <w:lang w:val="pl-PL"/>
              </w:rPr>
              <w:t xml:space="preserve">8 </w:t>
            </w:r>
            <w:r w:rsidRPr="003937FF">
              <w:rPr>
                <w:rFonts w:ascii="Times New Roman" w:hAnsi="Times New Roman"/>
                <w:noProof/>
                <w:sz w:val="24"/>
                <w:lang w:val="pl-PL"/>
              </w:rPr>
              <w:t>do</w:t>
            </w:r>
            <w:r w:rsidR="003937FF" w:rsidRPr="003937FF">
              <w:rPr>
                <w:rFonts w:ascii="Times New Roman" w:hAnsi="Times New Roman"/>
                <w:noProof/>
                <w:sz w:val="24"/>
                <w:lang w:val="pl-PL"/>
              </w:rPr>
              <w:t> </w:t>
            </w:r>
            <w:r w:rsidRPr="003937FF">
              <w:rPr>
                <w:rFonts w:ascii="Times New Roman" w:hAnsi="Times New Roman"/>
                <w:noProof/>
                <w:sz w:val="24"/>
                <w:lang w:val="pl-PL"/>
              </w:rPr>
              <w:t>2</w:t>
            </w:r>
            <w:r w:rsidRPr="00A3695F">
              <w:rPr>
                <w:rFonts w:ascii="Times New Roman" w:hAnsi="Times New Roman"/>
                <w:noProof/>
                <w:sz w:val="24"/>
                <w:lang w:val="pl-PL"/>
              </w:rPr>
              <w:t>3</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2</w:t>
            </w:r>
            <w:r w:rsidRPr="00A3695F">
              <w:rPr>
                <w:rFonts w:ascii="Times New Roman" w:hAnsi="Times New Roman"/>
                <w:noProof/>
                <w:sz w:val="24"/>
                <w:lang w:val="pl-PL"/>
              </w:rPr>
              <w:t>0</w:t>
            </w:r>
            <w:r w:rsidRPr="003937FF">
              <w:rPr>
                <w:rFonts w:ascii="Times New Roman" w:hAnsi="Times New Roman"/>
                <w:noProof/>
                <w:sz w:val="24"/>
                <w:lang w:val="pl-PL"/>
              </w:rPr>
              <w:t>21</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Fonts w:ascii="Times New Roman" w:hAnsi="Times New Roman"/>
                <w:noProof/>
                <w:sz w:val="24"/>
                <w:lang w:val="pl-PL"/>
              </w:rPr>
              <w:t xml:space="preserve"> Oznacza to, że mieszkańcy szeregu miast</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cał</w:t>
            </w:r>
            <w:r w:rsidRPr="00A3695F">
              <w:rPr>
                <w:rFonts w:ascii="Times New Roman" w:hAnsi="Times New Roman"/>
                <w:noProof/>
                <w:sz w:val="24"/>
                <w:lang w:val="pl-PL"/>
              </w:rPr>
              <w:t>ej Europie mogą teraz cieszyć się czystszym powietrzem. Stosowanie przepisów UE dotyczących jakości powietrza przyczyniło się do spadku liczby przedwczesnych zgonów związanych</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zan</w:t>
            </w:r>
            <w:r w:rsidRPr="00A3695F">
              <w:rPr>
                <w:rFonts w:ascii="Times New Roman" w:hAnsi="Times New Roman"/>
                <w:noProof/>
                <w:sz w:val="24"/>
                <w:lang w:val="pl-PL"/>
              </w:rPr>
              <w:t>ieczyszczeniem powietrza</w:t>
            </w:r>
            <w:r w:rsidR="003937FF" w:rsidRPr="00A3695F">
              <w:rPr>
                <w:rFonts w:ascii="Times New Roman" w:hAnsi="Times New Roman"/>
                <w:noProof/>
                <w:sz w:val="24"/>
                <w:lang w:val="pl-PL"/>
              </w:rPr>
              <w:t xml:space="preserve"> o</w:t>
            </w:r>
            <w:r w:rsidR="003937FF">
              <w:rPr>
                <w:rFonts w:ascii="Times New Roman" w:hAnsi="Times New Roman"/>
                <w:noProof/>
                <w:sz w:val="24"/>
                <w:lang w:val="pl-PL"/>
              </w:rPr>
              <w:t> </w:t>
            </w:r>
            <w:r w:rsidR="003937FF" w:rsidRPr="00A3695F">
              <w:rPr>
                <w:rFonts w:ascii="Times New Roman" w:hAnsi="Times New Roman"/>
                <w:noProof/>
                <w:sz w:val="24"/>
                <w:lang w:val="pl-PL"/>
              </w:rPr>
              <w:t>jed</w:t>
            </w:r>
            <w:r w:rsidRPr="00A3695F">
              <w:rPr>
                <w:rFonts w:ascii="Times New Roman" w:hAnsi="Times New Roman"/>
                <w:noProof/>
                <w:sz w:val="24"/>
                <w:lang w:val="pl-PL"/>
              </w:rPr>
              <w:t xml:space="preserve">ną trzecią </w:t>
            </w:r>
            <w:r w:rsidRPr="003937FF">
              <w:rPr>
                <w:rFonts w:ascii="Times New Roman" w:hAnsi="Times New Roman"/>
                <w:noProof/>
                <w:sz w:val="24"/>
                <w:lang w:val="pl-PL"/>
              </w:rPr>
              <w:t>od</w:t>
            </w:r>
            <w:r w:rsidR="003937FF" w:rsidRPr="003937FF">
              <w:rPr>
                <w:rFonts w:ascii="Times New Roman" w:hAnsi="Times New Roman"/>
                <w:noProof/>
                <w:sz w:val="24"/>
                <w:lang w:val="pl-PL"/>
              </w:rPr>
              <w:t> </w:t>
            </w:r>
            <w:r w:rsidRPr="003937FF">
              <w:rPr>
                <w:rFonts w:ascii="Times New Roman" w:hAnsi="Times New Roman"/>
                <w:noProof/>
                <w:sz w:val="24"/>
                <w:lang w:val="pl-PL"/>
              </w:rPr>
              <w:t>2</w:t>
            </w:r>
            <w:r w:rsidRPr="00A3695F">
              <w:rPr>
                <w:rFonts w:ascii="Times New Roman" w:hAnsi="Times New Roman"/>
                <w:noProof/>
                <w:sz w:val="24"/>
                <w:lang w:val="pl-PL"/>
              </w:rPr>
              <w:t>0</w:t>
            </w:r>
            <w:r w:rsidRPr="003937FF">
              <w:rPr>
                <w:rFonts w:ascii="Times New Roman" w:hAnsi="Times New Roman"/>
                <w:noProof/>
                <w:sz w:val="24"/>
                <w:lang w:val="pl-PL"/>
              </w:rPr>
              <w:t>05</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Fonts w:ascii="Times New Roman" w:hAnsi="Times New Roman"/>
                <w:noProof/>
                <w:sz w:val="24"/>
                <w:lang w:val="pl-PL"/>
              </w:rPr>
              <w:t>, dzięki czemu uratowano życie ponad 150 000 osób</w:t>
            </w:r>
            <w:r w:rsidRPr="00A3695F">
              <w:rPr>
                <w:rStyle w:val="FootnoteReference"/>
                <w:rFonts w:ascii="Times New Roman" w:hAnsi="Times New Roman" w:cs="Times New Roman"/>
                <w:noProof/>
                <w:sz w:val="24"/>
                <w:lang w:val="pl-PL"/>
              </w:rPr>
              <w:footnoteReference w:id="84"/>
            </w:r>
            <w:r w:rsidRPr="00A3695F">
              <w:rPr>
                <w:rFonts w:ascii="Times New Roman" w:hAnsi="Times New Roman"/>
                <w:noProof/>
                <w:sz w:val="24"/>
                <w:lang w:val="pl-PL"/>
              </w:rPr>
              <w:t>.</w:t>
            </w:r>
          </w:p>
          <w:p w14:paraId="063CF4DF" w14:textId="19EE4CA2" w:rsidR="00665F33" w:rsidRPr="00A3695F" w:rsidRDefault="00665F33" w:rsidP="00665F33">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 xml:space="preserve">Komisja zwraca szczególną uwagę na </w:t>
            </w:r>
            <w:r w:rsidRPr="003937FF">
              <w:rPr>
                <w:rFonts w:ascii="Times New Roman" w:hAnsi="Times New Roman"/>
                <w:b/>
                <w:noProof/>
                <w:sz w:val="24"/>
                <w:lang w:val="pl-PL"/>
              </w:rPr>
              <w:t>ochronę europejskich lasów</w:t>
            </w:r>
            <w:r w:rsidRPr="00A3695F">
              <w:rPr>
                <w:rFonts w:ascii="Times New Roman" w:hAnsi="Times New Roman"/>
                <w:noProof/>
                <w:sz w:val="24"/>
                <w:lang w:val="pl-PL"/>
              </w:rPr>
              <w:t>, ponieważ magazynują one znaczne zasoby węgla, usuwają dwutlenek węgla</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atm</w:t>
            </w:r>
            <w:r w:rsidRPr="00A3695F">
              <w:rPr>
                <w:rFonts w:ascii="Times New Roman" w:hAnsi="Times New Roman"/>
                <w:noProof/>
                <w:sz w:val="24"/>
                <w:lang w:val="pl-PL"/>
              </w:rPr>
              <w:t>osfery</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maj</w:t>
            </w:r>
            <w:r w:rsidRPr="00A3695F">
              <w:rPr>
                <w:rFonts w:ascii="Times New Roman" w:hAnsi="Times New Roman"/>
                <w:noProof/>
                <w:sz w:val="24"/>
                <w:lang w:val="pl-PL"/>
              </w:rPr>
              <w:t>ą kapitalne znaczenie dla różnorodności biologicznej oraz świadczenia najważniejszych usług ekosystemowych</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ypadkach gdy państwa członkowskie systematycznie nie przeciwdziałały pogorszeniu stanu siedlisk leśnych wskutek nielegalnego pozyskiwania drewna lub nieprzepisowych praktyk</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zak</w:t>
            </w:r>
            <w:r w:rsidRPr="00A3695F">
              <w:rPr>
                <w:rFonts w:ascii="Times New Roman" w:hAnsi="Times New Roman"/>
                <w:noProof/>
                <w:sz w:val="24"/>
                <w:lang w:val="pl-PL"/>
              </w:rPr>
              <w:t>resie gospodarki leśnej, Komisja wszczynała postępowanie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 wykorzystując obrazy satelitarne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wykazania tego pogorszenia. Przeciwko czterem państwom toczy się szereg postępowań</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Try</w:t>
            </w:r>
            <w:r w:rsidRPr="00A3695F">
              <w:rPr>
                <w:rFonts w:ascii="Times New Roman" w:hAnsi="Times New Roman"/>
                <w:noProof/>
                <w:sz w:val="24"/>
                <w:lang w:val="pl-PL"/>
              </w:rPr>
              <w:t>bunał Sprawiedliwości wydał już orzeczenie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jed</w:t>
            </w:r>
            <w:r w:rsidRPr="00A3695F">
              <w:rPr>
                <w:rFonts w:ascii="Times New Roman" w:hAnsi="Times New Roman"/>
                <w:noProof/>
                <w:sz w:val="24"/>
                <w:lang w:val="pl-PL"/>
              </w:rPr>
              <w:t>nej</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tyc</w:t>
            </w:r>
            <w:r w:rsidRPr="00A3695F">
              <w:rPr>
                <w:rFonts w:ascii="Times New Roman" w:hAnsi="Times New Roman"/>
                <w:noProof/>
                <w:sz w:val="24"/>
                <w:lang w:val="pl-PL"/>
              </w:rPr>
              <w:t>h spraw</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pod</w:t>
            </w:r>
            <w:r w:rsidRPr="00A3695F">
              <w:rPr>
                <w:rFonts w:ascii="Times New Roman" w:hAnsi="Times New Roman"/>
                <w:noProof/>
                <w:sz w:val="24"/>
                <w:lang w:val="pl-PL"/>
              </w:rPr>
              <w:t>obnym postępowaniu przed Trybunałem</w:t>
            </w:r>
            <w:r w:rsidRPr="00A3695F">
              <w:rPr>
                <w:noProof/>
                <w:sz w:val="24"/>
                <w:lang w:val="pl-PL"/>
              </w:rPr>
              <w:t xml:space="preserve"> </w:t>
            </w:r>
            <w:r w:rsidRPr="00A3695F">
              <w:rPr>
                <w:rFonts w:ascii="Times New Roman" w:hAnsi="Times New Roman"/>
                <w:noProof/>
                <w:sz w:val="24"/>
                <w:lang w:val="pl-PL"/>
              </w:rPr>
              <w:t xml:space="preserve">dotyczącym ochrony lasów Komisja, powołując się na </w:t>
            </w:r>
            <w:r w:rsidRPr="003937FF">
              <w:rPr>
                <w:rFonts w:ascii="Times New Roman" w:hAnsi="Times New Roman"/>
                <w:noProof/>
                <w:sz w:val="24"/>
                <w:lang w:val="pl-PL"/>
              </w:rPr>
              <w:t>art.</w:t>
            </w:r>
            <w:r w:rsidR="003937FF" w:rsidRPr="003937FF">
              <w:rPr>
                <w:rFonts w:ascii="Times New Roman" w:hAnsi="Times New Roman"/>
                <w:noProof/>
                <w:sz w:val="24"/>
                <w:lang w:val="pl-PL"/>
              </w:rPr>
              <w:t> </w:t>
            </w:r>
            <w:r w:rsidRPr="003937FF">
              <w:rPr>
                <w:rFonts w:ascii="Times New Roman" w:hAnsi="Times New Roman"/>
                <w:noProof/>
                <w:sz w:val="24"/>
                <w:lang w:val="pl-PL"/>
              </w:rPr>
              <w:t>2</w:t>
            </w:r>
            <w:r w:rsidRPr="00A3695F">
              <w:rPr>
                <w:rFonts w:ascii="Times New Roman" w:hAnsi="Times New Roman"/>
                <w:noProof/>
                <w:sz w:val="24"/>
                <w:lang w:val="pl-PL"/>
              </w:rPr>
              <w:t>79 TFUE, wystąpiła do Trybunału</w:t>
            </w:r>
            <w:r w:rsidR="003937FF" w:rsidRPr="00A3695F">
              <w:rPr>
                <w:rFonts w:ascii="Times New Roman" w:hAnsi="Times New Roman"/>
                <w:noProof/>
                <w:sz w:val="24"/>
                <w:lang w:val="pl-PL"/>
              </w:rPr>
              <w:t xml:space="preserve"> o</w:t>
            </w:r>
            <w:r w:rsidR="003937FF">
              <w:rPr>
                <w:rFonts w:ascii="Times New Roman" w:hAnsi="Times New Roman"/>
                <w:noProof/>
                <w:sz w:val="24"/>
                <w:lang w:val="pl-PL"/>
              </w:rPr>
              <w:t> </w:t>
            </w:r>
            <w:r w:rsidR="003937FF" w:rsidRPr="00A3695F">
              <w:rPr>
                <w:rFonts w:ascii="Times New Roman" w:hAnsi="Times New Roman"/>
                <w:noProof/>
                <w:sz w:val="24"/>
                <w:lang w:val="pl-PL"/>
              </w:rPr>
              <w:t>zas</w:t>
            </w:r>
            <w:r w:rsidRPr="00A3695F">
              <w:rPr>
                <w:rFonts w:ascii="Times New Roman" w:hAnsi="Times New Roman"/>
                <w:noProof/>
                <w:sz w:val="24"/>
                <w:lang w:val="pl-PL"/>
              </w:rPr>
              <w:t>tosowanie środków tymczasowych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uniknięcia nieodwracalnych szkód</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eur</w:t>
            </w:r>
            <w:r w:rsidRPr="00A3695F">
              <w:rPr>
                <w:rFonts w:ascii="Times New Roman" w:hAnsi="Times New Roman"/>
                <w:noProof/>
                <w:sz w:val="24"/>
                <w:lang w:val="pl-PL"/>
              </w:rPr>
              <w:t>opejskich lasach. Trybunał Sprawiedliwości nakazał następnie temu państwu członkowskiemu, by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 xml:space="preserve">u ochrony siedlisk leśnych zaprzestało działań aktywnej gospodarki leśnej oraz usuwania wiekowych martwych świerków pod rygorem nałożenia dziennej grzywny do czasu wykonania postanowienia. </w:t>
            </w:r>
          </w:p>
          <w:p w14:paraId="6B8AC662" w14:textId="7A3669BF" w:rsidR="00777A9F" w:rsidRPr="00A3695F" w:rsidRDefault="00777A9F" w:rsidP="006200CA">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Komisja korzysta</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wsz</w:t>
            </w:r>
            <w:r w:rsidRPr="00A3695F">
              <w:rPr>
                <w:rFonts w:ascii="Times New Roman" w:hAnsi="Times New Roman"/>
                <w:noProof/>
                <w:sz w:val="24"/>
                <w:lang w:val="pl-PL"/>
              </w:rPr>
              <w:t>elkich dostępnych jej środków, aby chronić europejskie przedsiębiorstwa przed barierami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dos</w:t>
            </w:r>
            <w:r w:rsidRPr="00A3695F">
              <w:rPr>
                <w:rFonts w:ascii="Times New Roman" w:hAnsi="Times New Roman"/>
                <w:noProof/>
                <w:sz w:val="24"/>
                <w:lang w:val="pl-PL"/>
              </w:rPr>
              <w:t xml:space="preserve">tępie do </w:t>
            </w:r>
            <w:r w:rsidRPr="003937FF">
              <w:rPr>
                <w:rFonts w:ascii="Times New Roman" w:hAnsi="Times New Roman"/>
                <w:b/>
                <w:noProof/>
                <w:sz w:val="24"/>
                <w:lang w:val="pl-PL"/>
              </w:rPr>
              <w:t>zamówień publicznych</w:t>
            </w:r>
            <w:r w:rsidRPr="00A3695F">
              <w:rPr>
                <w:rFonts w:ascii="Times New Roman" w:hAnsi="Times New Roman"/>
                <w:noProof/>
                <w:sz w:val="24"/>
                <w:lang w:val="pl-PL"/>
              </w:rPr>
              <w:t>. Obejmuje to zapewnienie właściwego egzekwowania obowiązujących przepisów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uniknięcia nadużyć przy bezpośrednim udzielaniu zamówienia lub zniesienie ograniczeń</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zak</w:t>
            </w:r>
            <w:r w:rsidRPr="00A3695F">
              <w:rPr>
                <w:rFonts w:ascii="Times New Roman" w:hAnsi="Times New Roman"/>
                <w:noProof/>
                <w:sz w:val="24"/>
                <w:lang w:val="pl-PL"/>
              </w:rPr>
              <w:t>resie podwykonawstwa, co ma kluczowe znaczenie dla umożliwienia MŚP udziału</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pos</w:t>
            </w:r>
            <w:r w:rsidRPr="00A3695F">
              <w:rPr>
                <w:rFonts w:ascii="Times New Roman" w:hAnsi="Times New Roman"/>
                <w:noProof/>
                <w:sz w:val="24"/>
                <w:lang w:val="pl-PL"/>
              </w:rPr>
              <w:t>tępowaniach</w:t>
            </w:r>
            <w:r w:rsidR="003937FF" w:rsidRPr="00A3695F">
              <w:rPr>
                <w:rFonts w:ascii="Times New Roman" w:hAnsi="Times New Roman"/>
                <w:noProof/>
                <w:sz w:val="24"/>
                <w:lang w:val="pl-PL"/>
              </w:rPr>
              <w:t xml:space="preserve"> o</w:t>
            </w:r>
            <w:r w:rsidR="003937FF">
              <w:rPr>
                <w:rFonts w:ascii="Times New Roman" w:hAnsi="Times New Roman"/>
                <w:noProof/>
                <w:sz w:val="24"/>
                <w:lang w:val="pl-PL"/>
              </w:rPr>
              <w:t> </w:t>
            </w:r>
            <w:r w:rsidR="003937FF" w:rsidRPr="00A3695F">
              <w:rPr>
                <w:rFonts w:ascii="Times New Roman" w:hAnsi="Times New Roman"/>
                <w:noProof/>
                <w:sz w:val="24"/>
                <w:lang w:val="pl-PL"/>
              </w:rPr>
              <w:t>udz</w:t>
            </w:r>
            <w:r w:rsidRPr="00A3695F">
              <w:rPr>
                <w:rFonts w:ascii="Times New Roman" w:hAnsi="Times New Roman"/>
                <w:noProof/>
                <w:sz w:val="24"/>
                <w:lang w:val="pl-PL"/>
              </w:rPr>
              <w:t>ielenie zamówienia, zarówno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wym</w:t>
            </w:r>
            <w:r w:rsidRPr="00A3695F">
              <w:rPr>
                <w:rFonts w:ascii="Times New Roman" w:hAnsi="Times New Roman"/>
                <w:noProof/>
                <w:sz w:val="24"/>
                <w:lang w:val="pl-PL"/>
              </w:rPr>
              <w:t xml:space="preserve">iarze transgranicznym, jak i na szczeblu krajowym. </w:t>
            </w:r>
          </w:p>
          <w:p w14:paraId="45E9805B" w14:textId="11680EB2" w:rsidR="00BC7FE7" w:rsidRPr="00A3695F" w:rsidRDefault="00BC7FE7" w:rsidP="006200CA">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 xml:space="preserve">W obszarze </w:t>
            </w:r>
            <w:r w:rsidRPr="003937FF">
              <w:rPr>
                <w:rFonts w:ascii="Times New Roman" w:hAnsi="Times New Roman"/>
                <w:b/>
                <w:noProof/>
                <w:sz w:val="24"/>
                <w:lang w:val="pl-PL"/>
              </w:rPr>
              <w:t>usług</w:t>
            </w:r>
            <w:r w:rsidRPr="00A3695F">
              <w:rPr>
                <w:rFonts w:ascii="Times New Roman" w:hAnsi="Times New Roman"/>
                <w:noProof/>
                <w:sz w:val="24"/>
                <w:lang w:val="pl-PL"/>
              </w:rPr>
              <w:t xml:space="preserve"> Komisja wszczęła przeciwko 10 państwom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zwi</w:t>
            </w:r>
            <w:r w:rsidRPr="00A3695F">
              <w:rPr>
                <w:rFonts w:ascii="Times New Roman" w:hAnsi="Times New Roman"/>
                <w:noProof/>
                <w:sz w:val="24"/>
                <w:lang w:val="pl-PL"/>
              </w:rPr>
              <w:t>ązku</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nał</w:t>
            </w:r>
            <w:r w:rsidRPr="00A3695F">
              <w:rPr>
                <w:rFonts w:ascii="Times New Roman" w:hAnsi="Times New Roman"/>
                <w:noProof/>
                <w:sz w:val="24"/>
                <w:lang w:val="pl-PL"/>
              </w:rPr>
              <w:t>ożeniem ograniczeń na niektóre usługi świadczone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szc</w:t>
            </w:r>
            <w:r w:rsidRPr="00A3695F">
              <w:rPr>
                <w:rFonts w:ascii="Times New Roman" w:hAnsi="Times New Roman"/>
                <w:noProof/>
                <w:sz w:val="24"/>
                <w:lang w:val="pl-PL"/>
              </w:rPr>
              <w:t>zególności przez architektów, inżynierów, księgowych</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dor</w:t>
            </w:r>
            <w:r w:rsidRPr="00A3695F">
              <w:rPr>
                <w:rFonts w:ascii="Times New Roman" w:hAnsi="Times New Roman"/>
                <w:noProof/>
                <w:sz w:val="24"/>
                <w:lang w:val="pl-PL"/>
              </w:rPr>
              <w:t>adców podatkowych, prawników oraz</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sek</w:t>
            </w:r>
            <w:r w:rsidRPr="00A3695F">
              <w:rPr>
                <w:rFonts w:ascii="Times New Roman" w:hAnsi="Times New Roman"/>
                <w:noProof/>
                <w:sz w:val="24"/>
                <w:lang w:val="pl-PL"/>
              </w:rPr>
              <w:t>torze budowlanym. Ograniczenia te utrudniły takim osobom</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edsiębiorstwom prowadzenie działalności transgranicznej</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zwi</w:t>
            </w:r>
            <w:r w:rsidRPr="00A3695F">
              <w:rPr>
                <w:rFonts w:ascii="Times New Roman" w:hAnsi="Times New Roman"/>
                <w:noProof/>
                <w:sz w:val="24"/>
                <w:lang w:val="pl-PL"/>
              </w:rPr>
              <w:t>ększanie skali działalności</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efe</w:t>
            </w:r>
            <w:r w:rsidRPr="00A3695F">
              <w:rPr>
                <w:rFonts w:ascii="Times New Roman" w:hAnsi="Times New Roman"/>
                <w:noProof/>
                <w:sz w:val="24"/>
                <w:lang w:val="pl-PL"/>
              </w:rPr>
              <w:t>kcie nie mogły one korzystać</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naj</w:t>
            </w:r>
            <w:r w:rsidRPr="00A3695F">
              <w:rPr>
                <w:rFonts w:ascii="Times New Roman" w:hAnsi="Times New Roman"/>
                <w:noProof/>
                <w:sz w:val="24"/>
                <w:lang w:val="pl-PL"/>
              </w:rPr>
              <w:t>bardziej konkurencyjnych</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inn</w:t>
            </w:r>
            <w:r w:rsidRPr="00A3695F">
              <w:rPr>
                <w:rFonts w:ascii="Times New Roman" w:hAnsi="Times New Roman"/>
                <w:noProof/>
                <w:sz w:val="24"/>
                <w:lang w:val="pl-PL"/>
              </w:rPr>
              <w:t>owacyjnych usług dostępnych na rynku UE</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wyn</w:t>
            </w:r>
            <w:r w:rsidRPr="00A3695F">
              <w:rPr>
                <w:rFonts w:ascii="Times New Roman" w:hAnsi="Times New Roman"/>
                <w:noProof/>
                <w:sz w:val="24"/>
                <w:lang w:val="pl-PL"/>
              </w:rPr>
              <w:t>iku tych postępowań państwa członkowskie zmieniły swoje przepisy.</w:t>
            </w:r>
          </w:p>
          <w:p w14:paraId="29EE0C7C" w14:textId="673798D3" w:rsidR="00777A9F" w:rsidRPr="00A3695F" w:rsidRDefault="00BB44C1" w:rsidP="00A54D89">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Europejscy konsumenci nie powinni napotykać żadnych barier ani tarć</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tra</w:t>
            </w:r>
            <w:r w:rsidRPr="00A3695F">
              <w:rPr>
                <w:rFonts w:ascii="Times New Roman" w:hAnsi="Times New Roman"/>
                <w:noProof/>
                <w:sz w:val="24"/>
                <w:lang w:val="pl-PL"/>
              </w:rPr>
              <w:t>nsgranicznym dostępie do towarów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usł</w:t>
            </w:r>
            <w:r w:rsidRPr="00A3695F">
              <w:rPr>
                <w:rFonts w:ascii="Times New Roman" w:hAnsi="Times New Roman"/>
                <w:noProof/>
                <w:sz w:val="24"/>
                <w:lang w:val="pl-PL"/>
              </w:rPr>
              <w:t>ug</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int</w:t>
            </w:r>
            <w:r w:rsidRPr="00A3695F">
              <w:rPr>
                <w:rFonts w:ascii="Times New Roman" w:hAnsi="Times New Roman"/>
                <w:noProof/>
                <w:sz w:val="24"/>
                <w:lang w:val="pl-PL"/>
              </w:rPr>
              <w:t>ernecie, niezależnie od ich lokalizacji, miejsca zamieszkania czy przynależności państwowej. Komisja wspiera państwa członkowskie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sto</w:t>
            </w:r>
            <w:r w:rsidRPr="00A3695F">
              <w:rPr>
                <w:rFonts w:ascii="Times New Roman" w:hAnsi="Times New Roman"/>
                <w:noProof/>
                <w:sz w:val="24"/>
                <w:lang w:val="pl-PL"/>
              </w:rPr>
              <w:t xml:space="preserve">sowaniu </w:t>
            </w:r>
            <w:r w:rsidRPr="003937FF">
              <w:rPr>
                <w:rFonts w:ascii="Times New Roman" w:hAnsi="Times New Roman"/>
                <w:b/>
                <w:noProof/>
                <w:sz w:val="24"/>
                <w:lang w:val="pl-PL"/>
              </w:rPr>
              <w:t>rozporządzenia</w:t>
            </w:r>
            <w:r w:rsidR="003937FF" w:rsidRPr="003937FF">
              <w:rPr>
                <w:rFonts w:ascii="Times New Roman" w:hAnsi="Times New Roman"/>
                <w:b/>
                <w:noProof/>
                <w:sz w:val="24"/>
                <w:lang w:val="pl-PL"/>
              </w:rPr>
              <w:t xml:space="preserve"> w</w:t>
            </w:r>
            <w:r w:rsidR="003937FF">
              <w:rPr>
                <w:rFonts w:ascii="Times New Roman" w:hAnsi="Times New Roman"/>
                <w:b/>
                <w:noProof/>
                <w:sz w:val="24"/>
                <w:lang w:val="pl-PL"/>
              </w:rPr>
              <w:t> </w:t>
            </w:r>
            <w:r w:rsidR="003937FF" w:rsidRPr="003937FF">
              <w:rPr>
                <w:rFonts w:ascii="Times New Roman" w:hAnsi="Times New Roman"/>
                <w:b/>
                <w:noProof/>
                <w:sz w:val="24"/>
                <w:lang w:val="pl-PL"/>
              </w:rPr>
              <w:t>spr</w:t>
            </w:r>
            <w:r w:rsidRPr="003937FF">
              <w:rPr>
                <w:rFonts w:ascii="Times New Roman" w:hAnsi="Times New Roman"/>
                <w:b/>
                <w:noProof/>
                <w:sz w:val="24"/>
                <w:lang w:val="pl-PL"/>
              </w:rPr>
              <w:t>awie blokowania geograficznego</w:t>
            </w:r>
            <w:r w:rsidRPr="00A3695F">
              <w:rPr>
                <w:rStyle w:val="FootnoteReference"/>
                <w:rFonts w:ascii="Times New Roman" w:hAnsi="Times New Roman" w:cs="Times New Roman"/>
                <w:noProof/>
                <w:sz w:val="24"/>
                <w:lang w:val="pl-PL"/>
              </w:rPr>
              <w:footnoteReference w:id="85"/>
            </w:r>
            <w:r w:rsidRPr="00A3695F">
              <w:rPr>
                <w:rFonts w:ascii="Times New Roman" w:hAnsi="Times New Roman"/>
                <w:noProof/>
                <w:sz w:val="24"/>
                <w:lang w:val="pl-PL"/>
              </w:rPr>
              <w:t>, służącego ochronie dostępu konsumentów, którzy dokonują zakupów przez internet, do stron internetowych</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obs</w:t>
            </w:r>
            <w:r w:rsidRPr="00A3695F">
              <w:rPr>
                <w:rFonts w:ascii="Times New Roman" w:hAnsi="Times New Roman"/>
                <w:noProof/>
                <w:sz w:val="24"/>
                <w:lang w:val="pl-PL"/>
              </w:rPr>
              <w:t>zaru handlu elektronicznego przed dyskryminacją ze względu na przynależność państwową, miejsce zamieszkania lub miejsce prowadzenia działalności. To do państw członkowskich należy jednak obowiązek określenia,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jak</w:t>
            </w:r>
            <w:r w:rsidRPr="00A3695F">
              <w:rPr>
                <w:rFonts w:ascii="Times New Roman" w:hAnsi="Times New Roman"/>
                <w:noProof/>
                <w:sz w:val="24"/>
                <w:lang w:val="pl-PL"/>
              </w:rPr>
              <w:t>i sposób</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ez kogo przepisy będą egzekwowane</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tym</w:t>
            </w:r>
            <w:r w:rsidRPr="00A3695F">
              <w:rPr>
                <w:rFonts w:ascii="Times New Roman" w:hAnsi="Times New Roman"/>
                <w:noProof/>
                <w:sz w:val="24"/>
                <w:lang w:val="pl-PL"/>
              </w:rPr>
              <w:t xml:space="preserve"> kontekście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2</w:t>
            </w:r>
            <w:r w:rsidRPr="00A3695F">
              <w:rPr>
                <w:rFonts w:ascii="Times New Roman" w:hAnsi="Times New Roman"/>
                <w:noProof/>
                <w:sz w:val="24"/>
                <w:lang w:val="pl-PL"/>
              </w:rPr>
              <w:t>0</w:t>
            </w:r>
            <w:r w:rsidRPr="003937FF">
              <w:rPr>
                <w:rFonts w:ascii="Times New Roman" w:hAnsi="Times New Roman"/>
                <w:noProof/>
                <w:sz w:val="24"/>
                <w:lang w:val="pl-PL"/>
              </w:rPr>
              <w:t>19</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Fonts w:ascii="Times New Roman" w:hAnsi="Times New Roman"/>
                <w:noProof/>
                <w:sz w:val="24"/>
                <w:lang w:val="pl-PL"/>
              </w:rPr>
              <w:t xml:space="preserve"> Komisja wszczęła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 przeciwko dziewięciu państwom. Do 20</w:t>
            </w:r>
            <w:r w:rsidRPr="003937FF">
              <w:rPr>
                <w:rFonts w:ascii="Times New Roman" w:hAnsi="Times New Roman"/>
                <w:noProof/>
                <w:sz w:val="24"/>
                <w:lang w:val="pl-PL"/>
              </w:rPr>
              <w:t>21</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Fonts w:ascii="Times New Roman" w:hAnsi="Times New Roman"/>
                <w:noProof/>
                <w:sz w:val="24"/>
                <w:lang w:val="pl-PL"/>
              </w:rPr>
              <w:t xml:space="preserve"> wszystkie te państwa członkowskie wypełniły swoje obowiązki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wyz</w:t>
            </w:r>
            <w:r w:rsidRPr="00A3695F">
              <w:rPr>
                <w:rFonts w:ascii="Times New Roman" w:hAnsi="Times New Roman"/>
                <w:noProof/>
                <w:sz w:val="24"/>
                <w:lang w:val="pl-PL"/>
              </w:rPr>
              <w:t>naczyły właściwe organy. Pomogło to na przykład</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ygotowaniu ogólnounijnego dochodzenia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znanej wyszukiwarki internetowej</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zwi</w:t>
            </w:r>
            <w:r w:rsidRPr="00A3695F">
              <w:rPr>
                <w:rFonts w:ascii="Times New Roman" w:hAnsi="Times New Roman"/>
                <w:noProof/>
                <w:sz w:val="24"/>
                <w:lang w:val="pl-PL"/>
              </w:rPr>
              <w:t>ązku</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nie</w:t>
            </w:r>
            <w:r w:rsidRPr="00A3695F">
              <w:rPr>
                <w:rFonts w:ascii="Times New Roman" w:hAnsi="Times New Roman"/>
                <w:noProof/>
                <w:sz w:val="24"/>
                <w:lang w:val="pl-PL"/>
              </w:rPr>
              <w:t>uzasadnionymi praktykami blokowania geograficznego</w:t>
            </w:r>
            <w:r w:rsidRPr="00A3695F">
              <w:rPr>
                <w:rStyle w:val="FootnoteReference"/>
                <w:rFonts w:ascii="Times New Roman" w:hAnsi="Times New Roman" w:cs="Times New Roman"/>
                <w:noProof/>
                <w:sz w:val="24"/>
                <w:lang w:val="pl-PL"/>
              </w:rPr>
              <w:footnoteReference w:id="86"/>
            </w:r>
            <w:r w:rsidRPr="00A3695F">
              <w:rPr>
                <w:rFonts w:ascii="Times New Roman" w:hAnsi="Times New Roman"/>
                <w:noProof/>
                <w:sz w:val="24"/>
                <w:lang w:val="pl-PL"/>
              </w:rPr>
              <w:t>.</w:t>
            </w:r>
          </w:p>
          <w:p w14:paraId="2C61BA54" w14:textId="7756CC15" w:rsidR="001767F2" w:rsidRPr="00A3695F" w:rsidRDefault="001767F2" w:rsidP="002109AA">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 xml:space="preserve">Aby utrzymać </w:t>
            </w:r>
            <w:r w:rsidRPr="003937FF">
              <w:rPr>
                <w:rFonts w:ascii="Times New Roman" w:hAnsi="Times New Roman"/>
                <w:b/>
                <w:noProof/>
                <w:sz w:val="24"/>
                <w:lang w:val="pl-PL"/>
              </w:rPr>
              <w:t>praworządność</w:t>
            </w:r>
            <w:r w:rsidRPr="00A3695F">
              <w:rPr>
                <w:rFonts w:ascii="Times New Roman" w:hAnsi="Times New Roman"/>
                <w:noProof/>
                <w:sz w:val="24"/>
                <w:lang w:val="pl-PL"/>
              </w:rPr>
              <w:t>,</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w</w:t>
            </w:r>
            <w:r w:rsidR="003937FF">
              <w:rPr>
                <w:rFonts w:ascii="Times New Roman" w:hAnsi="Times New Roman"/>
                <w:noProof/>
                <w:sz w:val="24"/>
                <w:lang w:val="pl-PL"/>
              </w:rPr>
              <w:t> </w:t>
            </w:r>
            <w:r w:rsidR="003937FF" w:rsidRPr="00A3695F">
              <w:rPr>
                <w:rFonts w:ascii="Times New Roman" w:hAnsi="Times New Roman"/>
                <w:noProof/>
                <w:sz w:val="24"/>
                <w:lang w:val="pl-PL"/>
              </w:rPr>
              <w:t>szc</w:t>
            </w:r>
            <w:r w:rsidRPr="00A3695F">
              <w:rPr>
                <w:rFonts w:ascii="Times New Roman" w:hAnsi="Times New Roman"/>
                <w:noProof/>
                <w:sz w:val="24"/>
                <w:lang w:val="pl-PL"/>
              </w:rPr>
              <w:t>zególności chronić niezależność sądów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zap</w:t>
            </w:r>
            <w:r w:rsidRPr="00A3695F">
              <w:rPr>
                <w:rFonts w:ascii="Times New Roman" w:hAnsi="Times New Roman"/>
                <w:noProof/>
                <w:sz w:val="24"/>
                <w:lang w:val="pl-PL"/>
              </w:rPr>
              <w:t>ewnić skuteczną ochronę sądową przez niezależne sądy krajowe, Komisja podjęła działania przeciwko jednemu państwu członkowskiemu, ponieważ przyjęło ono przepisy obniżające wiek przejścia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sta</w:t>
            </w:r>
            <w:r w:rsidRPr="00A3695F">
              <w:rPr>
                <w:rFonts w:ascii="Times New Roman" w:hAnsi="Times New Roman"/>
                <w:noProof/>
                <w:sz w:val="24"/>
                <w:lang w:val="pl-PL"/>
              </w:rPr>
              <w:t>n spoczynku sędziów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poł</w:t>
            </w:r>
            <w:r w:rsidRPr="00A3695F">
              <w:rPr>
                <w:rFonts w:ascii="Times New Roman" w:hAnsi="Times New Roman"/>
                <w:noProof/>
                <w:sz w:val="24"/>
                <w:lang w:val="pl-PL"/>
              </w:rPr>
              <w:t>ączeniu</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cał</w:t>
            </w:r>
            <w:r w:rsidRPr="00A3695F">
              <w:rPr>
                <w:rFonts w:ascii="Times New Roman" w:hAnsi="Times New Roman"/>
                <w:noProof/>
                <w:sz w:val="24"/>
                <w:lang w:val="pl-PL"/>
              </w:rPr>
              <w:t>kowicie dyskrecjonalnym prawem władzy wykonawczej do przedłużenia czynnej służby, co zmusiło do przejścia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sta</w:t>
            </w:r>
            <w:r w:rsidRPr="00A3695F">
              <w:rPr>
                <w:rFonts w:ascii="Times New Roman" w:hAnsi="Times New Roman"/>
                <w:noProof/>
                <w:sz w:val="24"/>
                <w:lang w:val="pl-PL"/>
              </w:rPr>
              <w:t>n spoczynku wielu sędziów pełniących czynnie obowiązki. Komisja wniosła sprawę do Trybunału Sprawiedliwości, który potwierdził naruszenie prawa Unii</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rez</w:t>
            </w:r>
            <w:r w:rsidRPr="00A3695F">
              <w:rPr>
                <w:rFonts w:ascii="Times New Roman" w:hAnsi="Times New Roman"/>
                <w:noProof/>
                <w:sz w:val="24"/>
                <w:lang w:val="pl-PL"/>
              </w:rPr>
              <w:t>ultacie państwo członkowskie uchyliło przepisy dotyczące przejścia sędziów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sta</w:t>
            </w:r>
            <w:r w:rsidRPr="00A3695F">
              <w:rPr>
                <w:rFonts w:ascii="Times New Roman" w:hAnsi="Times New Roman"/>
                <w:noProof/>
                <w:sz w:val="24"/>
                <w:lang w:val="pl-PL"/>
              </w:rPr>
              <w:t>n spoczynku</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ywróciło do czynnej służby sędziów, którzy zostali zmuszeni do przejścia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sta</w:t>
            </w:r>
            <w:r w:rsidRPr="00A3695F">
              <w:rPr>
                <w:rFonts w:ascii="Times New Roman" w:hAnsi="Times New Roman"/>
                <w:noProof/>
                <w:sz w:val="24"/>
                <w:lang w:val="pl-PL"/>
              </w:rPr>
              <w:t>n spoczynku.</w:t>
            </w:r>
          </w:p>
          <w:p w14:paraId="3C35F4B8" w14:textId="6553FFE8" w:rsidR="0054182E" w:rsidRPr="00A3695F" w:rsidRDefault="0054182E" w:rsidP="0054182E">
            <w:pPr>
              <w:spacing w:after="120" w:line="276" w:lineRule="auto"/>
              <w:jc w:val="both"/>
              <w:rPr>
                <w:rFonts w:ascii="Times New Roman" w:hAnsi="Times New Roman" w:cs="Times New Roman"/>
                <w:noProof/>
                <w:sz w:val="24"/>
                <w:lang w:val="pl-PL"/>
              </w:rPr>
            </w:pPr>
            <w:r w:rsidRPr="00A3695F">
              <w:rPr>
                <w:rFonts w:ascii="Times New Roman" w:hAnsi="Times New Roman"/>
                <w:noProof/>
                <w:sz w:val="24"/>
                <w:lang w:val="pl-PL"/>
              </w:rPr>
              <w:t xml:space="preserve">Po otrzymaniu skarg wskazujących na niewdrożenie </w:t>
            </w:r>
            <w:r w:rsidRPr="003937FF">
              <w:rPr>
                <w:rFonts w:ascii="Times New Roman" w:hAnsi="Times New Roman"/>
                <w:b/>
                <w:noProof/>
                <w:sz w:val="24"/>
                <w:lang w:val="pl-PL"/>
              </w:rPr>
              <w:t>przepisów dotyczących opomiarowania zużycia</w:t>
            </w:r>
            <w:r w:rsidR="003937FF" w:rsidRPr="003937FF">
              <w:rPr>
                <w:rFonts w:ascii="Times New Roman" w:hAnsi="Times New Roman"/>
                <w:b/>
                <w:noProof/>
                <w:sz w:val="24"/>
                <w:lang w:val="pl-PL"/>
              </w:rPr>
              <w:t xml:space="preserve"> i</w:t>
            </w:r>
            <w:r w:rsidR="003937FF">
              <w:rPr>
                <w:rFonts w:ascii="Times New Roman" w:hAnsi="Times New Roman"/>
                <w:b/>
                <w:noProof/>
                <w:sz w:val="24"/>
                <w:lang w:val="pl-PL"/>
              </w:rPr>
              <w:t> </w:t>
            </w:r>
            <w:r w:rsidR="003937FF" w:rsidRPr="003937FF">
              <w:rPr>
                <w:rFonts w:ascii="Times New Roman" w:hAnsi="Times New Roman"/>
                <w:b/>
                <w:noProof/>
                <w:sz w:val="24"/>
                <w:lang w:val="pl-PL"/>
              </w:rPr>
              <w:t>roz</w:t>
            </w:r>
            <w:r w:rsidRPr="003937FF">
              <w:rPr>
                <w:rFonts w:ascii="Times New Roman" w:hAnsi="Times New Roman"/>
                <w:b/>
                <w:noProof/>
                <w:sz w:val="24"/>
                <w:lang w:val="pl-PL"/>
              </w:rPr>
              <w:t>liczania opłat</w:t>
            </w:r>
            <w:r w:rsidRPr="00A3695F">
              <w:rPr>
                <w:rFonts w:ascii="Times New Roman" w:hAnsi="Times New Roman"/>
                <w:noProof/>
                <w:sz w:val="24"/>
                <w:lang w:val="pl-PL"/>
              </w:rPr>
              <w:t xml:space="preserve"> za ciepło</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cie</w:t>
            </w:r>
            <w:r w:rsidRPr="00A3695F">
              <w:rPr>
                <w:rFonts w:ascii="Times New Roman" w:hAnsi="Times New Roman"/>
                <w:noProof/>
                <w:sz w:val="24"/>
                <w:lang w:val="pl-PL"/>
              </w:rPr>
              <w:t>płą wodę</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gos</w:t>
            </w:r>
            <w:r w:rsidRPr="00A3695F">
              <w:rPr>
                <w:rFonts w:ascii="Times New Roman" w:hAnsi="Times New Roman"/>
                <w:noProof/>
                <w:sz w:val="24"/>
                <w:lang w:val="pl-PL"/>
              </w:rPr>
              <w:t xml:space="preserve">podarstwach domowych na podstawie </w:t>
            </w:r>
            <w:r w:rsidRPr="003937FF">
              <w:rPr>
                <w:rFonts w:ascii="Times New Roman" w:hAnsi="Times New Roman"/>
                <w:b/>
                <w:noProof/>
                <w:sz w:val="24"/>
                <w:lang w:val="pl-PL"/>
              </w:rPr>
              <w:t>dyrektywy</w:t>
            </w:r>
            <w:r w:rsidR="003937FF" w:rsidRPr="003937FF">
              <w:rPr>
                <w:rFonts w:ascii="Times New Roman" w:hAnsi="Times New Roman"/>
                <w:b/>
                <w:noProof/>
                <w:sz w:val="24"/>
                <w:lang w:val="pl-PL"/>
              </w:rPr>
              <w:t xml:space="preserve"> w</w:t>
            </w:r>
            <w:r w:rsidR="003937FF">
              <w:rPr>
                <w:rFonts w:ascii="Times New Roman" w:hAnsi="Times New Roman"/>
                <w:b/>
                <w:noProof/>
                <w:sz w:val="24"/>
                <w:lang w:val="pl-PL"/>
              </w:rPr>
              <w:t> </w:t>
            </w:r>
            <w:r w:rsidR="003937FF" w:rsidRPr="003937FF">
              <w:rPr>
                <w:rFonts w:ascii="Times New Roman" w:hAnsi="Times New Roman"/>
                <w:b/>
                <w:noProof/>
                <w:sz w:val="24"/>
                <w:lang w:val="pl-PL"/>
              </w:rPr>
              <w:t>spr</w:t>
            </w:r>
            <w:r w:rsidRPr="003937FF">
              <w:rPr>
                <w:rFonts w:ascii="Times New Roman" w:hAnsi="Times New Roman"/>
                <w:b/>
                <w:noProof/>
                <w:sz w:val="24"/>
                <w:lang w:val="pl-PL"/>
              </w:rPr>
              <w:t>awie efektywności energetycznej</w:t>
            </w:r>
            <w:r w:rsidRPr="00A3695F">
              <w:rPr>
                <w:rStyle w:val="FootnoteReference"/>
                <w:rFonts w:ascii="Times New Roman" w:hAnsi="Times New Roman" w:cs="Times New Roman"/>
                <w:noProof/>
                <w:sz w:val="24"/>
                <w:lang w:val="pl-PL"/>
              </w:rPr>
              <w:footnoteReference w:id="87"/>
            </w:r>
            <w:r w:rsidRPr="00A3695F">
              <w:rPr>
                <w:rFonts w:ascii="Times New Roman" w:hAnsi="Times New Roman"/>
                <w:noProof/>
                <w:sz w:val="24"/>
                <w:lang w:val="pl-PL"/>
              </w:rPr>
              <w:t xml:space="preserve"> Komisja wszczęła postępowanie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 Ponieważ dyrektywa ta nie została transponowana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jed</w:t>
            </w:r>
            <w:r w:rsidRPr="00A3695F">
              <w:rPr>
                <w:rFonts w:ascii="Times New Roman" w:hAnsi="Times New Roman"/>
                <w:noProof/>
                <w:sz w:val="24"/>
                <w:lang w:val="pl-PL"/>
              </w:rPr>
              <w:t>nym państwie członkowskim, Komisja postanowiła skierować sprawę do Trybunału Sprawiedliwości. Po wydaniu przez Trybunał orzeczenia państwo członkowskie przyjęło niezbędne przepisy. Osoby mieszkające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bud</w:t>
            </w:r>
            <w:r w:rsidRPr="00A3695F">
              <w:rPr>
                <w:rFonts w:ascii="Times New Roman" w:hAnsi="Times New Roman"/>
                <w:noProof/>
                <w:sz w:val="24"/>
                <w:lang w:val="pl-PL"/>
              </w:rPr>
              <w:t>ynkach wielorodzinnych obecnie mają prawo do zainstalowania indywidualnych liczników ciepła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cie</w:t>
            </w:r>
            <w:r w:rsidRPr="00A3695F">
              <w:rPr>
                <w:rFonts w:ascii="Times New Roman" w:hAnsi="Times New Roman"/>
                <w:noProof/>
                <w:sz w:val="24"/>
                <w:lang w:val="pl-PL"/>
              </w:rPr>
              <w:t>płej wody, aby móc monitorować swoje indywidualne zużycie energii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pod</w:t>
            </w:r>
            <w:r w:rsidRPr="00A3695F">
              <w:rPr>
                <w:rFonts w:ascii="Times New Roman" w:hAnsi="Times New Roman"/>
                <w:noProof/>
                <w:sz w:val="24"/>
                <w:lang w:val="pl-PL"/>
              </w:rPr>
              <w:t>ejmować działania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jego ograniczenia.</w:t>
            </w:r>
          </w:p>
        </w:tc>
      </w:tr>
    </w:tbl>
    <w:p w14:paraId="1ECF4D3A" w14:textId="77777777" w:rsidR="00D24785" w:rsidRPr="00A3695F" w:rsidRDefault="00D24785" w:rsidP="004C03AC">
      <w:pPr>
        <w:spacing w:after="0"/>
        <w:jc w:val="both"/>
        <w:rPr>
          <w:rFonts w:ascii="Times New Roman" w:hAnsi="Times New Roman" w:cs="Times New Roman"/>
          <w:noProof/>
          <w:sz w:val="24"/>
          <w:lang w:val="pl-PL"/>
        </w:rPr>
      </w:pPr>
    </w:p>
    <w:p w14:paraId="11D25A8D" w14:textId="6977F6CA" w:rsidR="000C0B29" w:rsidRPr="00A3695F" w:rsidRDefault="00152FE9">
      <w:pPr>
        <w:spacing w:after="120"/>
        <w:jc w:val="both"/>
        <w:rPr>
          <w:rFonts w:ascii="Times New Roman" w:hAnsi="Times New Roman" w:cs="Times New Roman"/>
          <w:noProof/>
          <w:sz w:val="24"/>
          <w:lang w:val="pl-PL"/>
        </w:rPr>
      </w:pPr>
      <w:r w:rsidRPr="00A3695F">
        <w:rPr>
          <w:rFonts w:ascii="Times New Roman" w:hAnsi="Times New Roman"/>
          <w:noProof/>
          <w:sz w:val="24"/>
          <w:lang w:val="pl-PL"/>
        </w:rPr>
        <w:t>Komisja wszczyna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wła</w:t>
      </w:r>
      <w:r w:rsidRPr="00A3695F">
        <w:rPr>
          <w:rFonts w:ascii="Times New Roman" w:hAnsi="Times New Roman"/>
          <w:noProof/>
          <w:sz w:val="24"/>
          <w:lang w:val="pl-PL"/>
        </w:rPr>
        <w:t>snej inicjatywy,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nas</w:t>
      </w:r>
      <w:r w:rsidRPr="00A3695F">
        <w:rPr>
          <w:rFonts w:ascii="Times New Roman" w:hAnsi="Times New Roman"/>
          <w:noProof/>
          <w:sz w:val="24"/>
          <w:lang w:val="pl-PL"/>
        </w:rPr>
        <w:t>tępstwie skargi lub automatycznie co dwa miesiące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ypadkach wynikających ze zgłoszenia przez państwa członkowskie, że nie dokonały pełnej transpozycji dyrektyw UE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wyz</w:t>
      </w:r>
      <w:r w:rsidRPr="00A3695F">
        <w:rPr>
          <w:rFonts w:ascii="Times New Roman" w:hAnsi="Times New Roman"/>
          <w:noProof/>
          <w:sz w:val="24"/>
          <w:lang w:val="pl-PL"/>
        </w:rPr>
        <w:t>naczonym terminie. Rozpatrywanie przypadków opóźnień</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tra</w:t>
      </w:r>
      <w:r w:rsidRPr="00A3695F">
        <w:rPr>
          <w:rFonts w:ascii="Times New Roman" w:hAnsi="Times New Roman"/>
          <w:noProof/>
          <w:sz w:val="24"/>
          <w:lang w:val="pl-PL"/>
        </w:rPr>
        <w:t>nspozycji dyrektyw do prawa krajowego było</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poz</w:t>
      </w:r>
      <w:r w:rsidRPr="00A3695F">
        <w:rPr>
          <w:rFonts w:ascii="Times New Roman" w:hAnsi="Times New Roman"/>
          <w:noProof/>
          <w:sz w:val="24"/>
          <w:lang w:val="pl-PL"/>
        </w:rPr>
        <w:t>ostaje priorytetem Komisji, ponieważ opóźnienia te uniemożliwiają osiągnięcie korzyści wynikających</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uzg</w:t>
      </w:r>
      <w:r w:rsidRPr="00A3695F">
        <w:rPr>
          <w:rFonts w:ascii="Times New Roman" w:hAnsi="Times New Roman"/>
          <w:noProof/>
          <w:sz w:val="24"/>
          <w:lang w:val="pl-PL"/>
        </w:rPr>
        <w:t>odnionych przepisów UE</w:t>
      </w:r>
      <w:r w:rsidR="003937FF" w:rsidRPr="00A3695F">
        <w:rPr>
          <w:rFonts w:ascii="Times New Roman" w:hAnsi="Times New Roman"/>
          <w:noProof/>
          <w:sz w:val="24"/>
          <w:lang w:val="pl-PL"/>
        </w:rPr>
        <w:t>. Z</w:t>
      </w:r>
      <w:r w:rsidR="003937FF">
        <w:rPr>
          <w:rFonts w:ascii="Times New Roman" w:hAnsi="Times New Roman"/>
          <w:noProof/>
          <w:sz w:val="24"/>
          <w:lang w:val="pl-PL"/>
        </w:rPr>
        <w:t> </w:t>
      </w:r>
      <w:r w:rsidR="003937FF" w:rsidRPr="00A3695F">
        <w:rPr>
          <w:rFonts w:ascii="Times New Roman" w:hAnsi="Times New Roman"/>
          <w:noProof/>
          <w:sz w:val="24"/>
          <w:lang w:val="pl-PL"/>
        </w:rPr>
        <w:t>cza</w:t>
      </w:r>
      <w:r w:rsidRPr="00A3695F">
        <w:rPr>
          <w:rFonts w:ascii="Times New Roman" w:hAnsi="Times New Roman"/>
          <w:noProof/>
          <w:sz w:val="24"/>
          <w:lang w:val="pl-PL"/>
        </w:rPr>
        <w:t>sem notuje się mniej przypadków niedotrzymania przez państwa członkowskie terminu transpozycji dyrektyw, co prowadzi do ogólnego spadku liczby postępowań</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w:t>
      </w:r>
      <w:r w:rsidRPr="00A3695F">
        <w:rPr>
          <w:rFonts w:ascii="Times New Roman" w:hAnsi="Times New Roman" w:cs="Times New Roman"/>
          <w:noProof/>
          <w:sz w:val="24"/>
          <w:vertAlign w:val="superscript"/>
          <w:lang w:val="pl-PL"/>
        </w:rPr>
        <w:footnoteReference w:id="88"/>
      </w:r>
      <w:r w:rsidRPr="00A3695F">
        <w:rPr>
          <w:rFonts w:ascii="Times New Roman" w:hAnsi="Times New Roman"/>
          <w:noProof/>
          <w:sz w:val="24"/>
          <w:lang w:val="pl-PL"/>
        </w:rPr>
        <w:t>.</w:t>
      </w:r>
    </w:p>
    <w:p w14:paraId="4DE89AB4" w14:textId="0BEBA597" w:rsidR="00683D3F" w:rsidRPr="00A3695F" w:rsidRDefault="00DB7A80" w:rsidP="00504A9C">
      <w:pPr>
        <w:spacing w:after="120"/>
        <w:jc w:val="center"/>
        <w:rPr>
          <w:rFonts w:ascii="Times New Roman" w:hAnsi="Times New Roman" w:cs="Times New Roman"/>
          <w:noProof/>
          <w:sz w:val="24"/>
          <w:lang w:val="pl-PL"/>
        </w:rPr>
      </w:pPr>
      <w:r w:rsidRPr="00A3695F">
        <w:rPr>
          <w:noProof/>
          <w:lang w:val="en-GB" w:eastAsia="en-GB"/>
        </w:rPr>
        <w:drawing>
          <wp:inline distT="0" distB="0" distL="0" distR="0" wp14:anchorId="680E9A3C" wp14:editId="16098E0B">
            <wp:extent cx="5148776" cy="314613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66402" cy="3156907"/>
                    </a:xfrm>
                    <a:prstGeom prst="rect">
                      <a:avLst/>
                    </a:prstGeom>
                    <a:noFill/>
                    <a:ln>
                      <a:noFill/>
                    </a:ln>
                  </pic:spPr>
                </pic:pic>
              </a:graphicData>
            </a:graphic>
          </wp:inline>
        </w:drawing>
      </w:r>
    </w:p>
    <w:p w14:paraId="2ED5E73A" w14:textId="6A7F8582" w:rsidR="00AC1FA5" w:rsidRPr="00A3695F" w:rsidRDefault="00AC1FA5" w:rsidP="00C96EFF">
      <w:pPr>
        <w:spacing w:after="240"/>
        <w:jc w:val="both"/>
        <w:rPr>
          <w:rFonts w:ascii="Times New Roman" w:hAnsi="Times New Roman" w:cs="Times New Roman"/>
          <w:noProof/>
          <w:sz w:val="24"/>
          <w:lang w:val="pl-PL"/>
        </w:rPr>
      </w:pPr>
      <w:r w:rsidRPr="00A3695F">
        <w:rPr>
          <w:rFonts w:ascii="Times New Roman" w:hAnsi="Times New Roman"/>
          <w:noProof/>
          <w:sz w:val="24"/>
          <w:lang w:val="pl-PL"/>
        </w:rPr>
        <w:t>W ostatnich latach większa część spraw jest wszczynana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nas</w:t>
      </w:r>
      <w:r w:rsidRPr="00A3695F">
        <w:rPr>
          <w:rFonts w:ascii="Times New Roman" w:hAnsi="Times New Roman"/>
          <w:noProof/>
          <w:sz w:val="24"/>
          <w:lang w:val="pl-PL"/>
        </w:rPr>
        <w:t xml:space="preserve">tępstwie </w:t>
      </w:r>
      <w:r w:rsidRPr="003937FF">
        <w:rPr>
          <w:rFonts w:ascii="Times New Roman" w:hAnsi="Times New Roman"/>
          <w:b/>
          <w:noProof/>
          <w:sz w:val="24"/>
          <w:lang w:val="pl-PL"/>
        </w:rPr>
        <w:t>własnych dochodzeń Komisji</w:t>
      </w:r>
      <w:r w:rsidRPr="003937FF">
        <w:rPr>
          <w:rStyle w:val="FootnoteReference"/>
          <w:rFonts w:ascii="Times New Roman" w:hAnsi="Times New Roman" w:cs="Times New Roman"/>
          <w:b/>
          <w:noProof/>
          <w:sz w:val="24"/>
          <w:lang w:val="pl-PL"/>
        </w:rPr>
        <w:footnoteReference w:id="89"/>
      </w:r>
      <w:r w:rsidRPr="00A3695F">
        <w:rPr>
          <w:rFonts w:ascii="Times New Roman" w:hAnsi="Times New Roman"/>
          <w:noProof/>
          <w:sz w:val="24"/>
          <w:lang w:val="pl-PL"/>
        </w:rPr>
        <w:t>. Te wszczynane</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wła</w:t>
      </w:r>
      <w:r w:rsidRPr="00A3695F">
        <w:rPr>
          <w:rFonts w:ascii="Times New Roman" w:hAnsi="Times New Roman"/>
          <w:noProof/>
          <w:sz w:val="24"/>
          <w:lang w:val="pl-PL"/>
        </w:rPr>
        <w:t>snej inicjatywy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 umożliwiły Komisji</w:t>
      </w:r>
      <w:r w:rsidRPr="00A3695F">
        <w:rPr>
          <w:noProof/>
          <w:sz w:val="24"/>
          <w:lang w:val="pl-PL"/>
        </w:rPr>
        <w:t xml:space="preserve"> </w:t>
      </w:r>
      <w:r w:rsidRPr="00A3695F">
        <w:rPr>
          <w:rFonts w:ascii="Times New Roman" w:hAnsi="Times New Roman"/>
          <w:noProof/>
          <w:sz w:val="24"/>
          <w:lang w:val="pl-PL"/>
        </w:rPr>
        <w:t>rozszerzenie strategicznego podejścia do egzekwowania prawa, dzięki czemu może zajmować się sprawami priorytetowymi określonymi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kom</w:t>
      </w:r>
      <w:r w:rsidRPr="00A3695F">
        <w:rPr>
          <w:rFonts w:ascii="Times New Roman" w:hAnsi="Times New Roman"/>
          <w:noProof/>
          <w:sz w:val="24"/>
          <w:lang w:val="pl-PL"/>
        </w:rPr>
        <w:t>unikacie</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2</w:t>
      </w:r>
      <w:r w:rsidRPr="00A3695F">
        <w:rPr>
          <w:rFonts w:ascii="Times New Roman" w:hAnsi="Times New Roman"/>
          <w:noProof/>
          <w:sz w:val="24"/>
          <w:lang w:val="pl-PL"/>
        </w:rPr>
        <w:t>0</w:t>
      </w:r>
      <w:r w:rsidRPr="003937FF">
        <w:rPr>
          <w:rFonts w:ascii="Times New Roman" w:hAnsi="Times New Roman"/>
          <w:noProof/>
          <w:sz w:val="24"/>
          <w:lang w:val="pl-PL"/>
        </w:rPr>
        <w:t>16</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Fonts w:ascii="Times New Roman" w:hAnsi="Times New Roman"/>
          <w:noProof/>
          <w:sz w:val="24"/>
          <w:lang w:val="pl-PL"/>
        </w:rPr>
        <w:t>,</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tym</w:t>
      </w:r>
      <w:r w:rsidRPr="00A3695F">
        <w:rPr>
          <w:rFonts w:ascii="Times New Roman" w:hAnsi="Times New Roman"/>
          <w:noProof/>
          <w:sz w:val="24"/>
          <w:lang w:val="pl-PL"/>
        </w:rPr>
        <w:t xml:space="preserve"> nieprawidłową transpozycją dyrektyw, oraz szybko</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zde</w:t>
      </w:r>
      <w:r w:rsidRPr="00A3695F">
        <w:rPr>
          <w:rFonts w:ascii="Times New Roman" w:hAnsi="Times New Roman"/>
          <w:noProof/>
          <w:sz w:val="24"/>
          <w:lang w:val="pl-PL"/>
        </w:rPr>
        <w:t>cydowanie działać</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naruszeń działających na szkodę podstawowych wolności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war</w:t>
      </w:r>
      <w:r w:rsidRPr="00A3695F">
        <w:rPr>
          <w:rFonts w:ascii="Times New Roman" w:hAnsi="Times New Roman"/>
          <w:noProof/>
          <w:sz w:val="24"/>
          <w:lang w:val="pl-PL"/>
        </w:rPr>
        <w:t>tości UE.</w:t>
      </w:r>
    </w:p>
    <w:p w14:paraId="5F145B3C" w14:textId="2C58D80C" w:rsidR="002B746E" w:rsidRPr="00A3695F" w:rsidRDefault="00DB7A80" w:rsidP="002B746E">
      <w:pPr>
        <w:spacing w:after="240"/>
        <w:jc w:val="center"/>
        <w:rPr>
          <w:rFonts w:ascii="Times New Roman" w:hAnsi="Times New Roman" w:cs="Times New Roman"/>
          <w:noProof/>
          <w:sz w:val="24"/>
          <w:lang w:val="pl-PL"/>
        </w:rPr>
      </w:pPr>
      <w:r w:rsidRPr="00A3695F">
        <w:rPr>
          <w:noProof/>
          <w:lang w:val="en-GB" w:eastAsia="en-GB"/>
        </w:rPr>
        <w:drawing>
          <wp:inline distT="0" distB="0" distL="0" distR="0" wp14:anchorId="0A4AB477" wp14:editId="4D861823">
            <wp:extent cx="4679315" cy="2894965"/>
            <wp:effectExtent l="0" t="0" r="698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79315" cy="2894965"/>
                    </a:xfrm>
                    <a:prstGeom prst="rect">
                      <a:avLst/>
                    </a:prstGeom>
                    <a:noFill/>
                    <a:ln>
                      <a:noFill/>
                    </a:ln>
                  </pic:spPr>
                </pic:pic>
              </a:graphicData>
            </a:graphic>
          </wp:inline>
        </w:drawing>
      </w:r>
    </w:p>
    <w:p w14:paraId="43DDE4BD" w14:textId="77777777" w:rsidR="001D71AE" w:rsidRPr="003937FF" w:rsidRDefault="000C55F1" w:rsidP="00C96EFF">
      <w:pPr>
        <w:pStyle w:val="Heading11"/>
        <w:numPr>
          <w:ilvl w:val="0"/>
          <w:numId w:val="1"/>
        </w:numPr>
        <w:spacing w:before="240"/>
        <w:ind w:left="1077"/>
        <w:contextualSpacing w:val="0"/>
        <w:rPr>
          <w:noProof/>
          <w:u w:val="none"/>
          <w:lang w:val="pl-PL"/>
        </w:rPr>
      </w:pPr>
      <w:r w:rsidRPr="003937FF">
        <w:rPr>
          <w:noProof/>
          <w:u w:val="none"/>
          <w:lang w:val="pl-PL"/>
        </w:rPr>
        <w:t>SZYBKIE I SKUTECZNE REAGOWANIE NA KRYZYSY</w:t>
      </w:r>
    </w:p>
    <w:p w14:paraId="329D08F8" w14:textId="651E3EA8" w:rsidR="00543ECD" w:rsidRPr="00A3695F" w:rsidRDefault="00643F97" w:rsidP="00D507B8">
      <w:pPr>
        <w:jc w:val="both"/>
        <w:rPr>
          <w:rFonts w:ascii="Times New Roman" w:hAnsi="Times New Roman" w:cs="Times New Roman"/>
          <w:noProof/>
          <w:sz w:val="24"/>
          <w:lang w:val="pl-PL"/>
        </w:rPr>
      </w:pPr>
      <w:r w:rsidRPr="00A3695F">
        <w:rPr>
          <w:rFonts w:ascii="Times New Roman" w:hAnsi="Times New Roman"/>
          <w:noProof/>
          <w:sz w:val="24"/>
          <w:lang w:val="pl-PL"/>
        </w:rPr>
        <w:t>Kryzysy lub sytuacje nadzwyczajne, takie jak pandemia COVID-19</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ros</w:t>
      </w:r>
      <w:r w:rsidRPr="00A3695F">
        <w:rPr>
          <w:rFonts w:ascii="Times New Roman" w:hAnsi="Times New Roman"/>
          <w:noProof/>
          <w:sz w:val="24"/>
          <w:lang w:val="pl-PL"/>
        </w:rPr>
        <w:t>yjska agresja wojskowa przeciwko Ukrainie, wystawiają na próbę pełne przestrzeganie przez państwa członkowskie czterech podstawowych wolności UE oraz funkcjonowanie jednolitego rynku</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tru</w:t>
      </w:r>
      <w:r w:rsidRPr="00A3695F">
        <w:rPr>
          <w:rFonts w:ascii="Times New Roman" w:hAnsi="Times New Roman"/>
          <w:noProof/>
          <w:sz w:val="24"/>
          <w:lang w:val="pl-PL"/>
        </w:rPr>
        <w:t>dnych okolicznościach może pojawić się pokusa, by przedkładać względy krajowe nad właściwe stosowanie prawa Unii. Skuteczne egzekwowanie unijnego prawa ma jednak nadal kluczowe znaczenie dla ludzi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edsiębiorstw</w:t>
      </w:r>
      <w:bookmarkStart w:id="3" w:name="_Hlk114830251"/>
      <w:r w:rsidRPr="00A3695F">
        <w:rPr>
          <w:rFonts w:ascii="Times New Roman" w:hAnsi="Times New Roman"/>
          <w:noProof/>
          <w:sz w:val="24"/>
          <w:lang w:val="pl-PL"/>
        </w:rPr>
        <w:t>, jeżeli chodzi</w:t>
      </w:r>
      <w:r w:rsidR="003937FF" w:rsidRPr="00A3695F">
        <w:rPr>
          <w:rFonts w:ascii="Times New Roman" w:hAnsi="Times New Roman"/>
          <w:noProof/>
          <w:sz w:val="24"/>
          <w:lang w:val="pl-PL"/>
        </w:rPr>
        <w:t xml:space="preserve"> o</w:t>
      </w:r>
      <w:r w:rsidR="003937FF">
        <w:rPr>
          <w:rFonts w:ascii="Times New Roman" w:hAnsi="Times New Roman"/>
          <w:noProof/>
          <w:sz w:val="24"/>
          <w:lang w:val="pl-PL"/>
        </w:rPr>
        <w:t> </w:t>
      </w:r>
      <w:r w:rsidR="003937FF" w:rsidRPr="00A3695F">
        <w:rPr>
          <w:rFonts w:ascii="Times New Roman" w:hAnsi="Times New Roman"/>
          <w:noProof/>
          <w:sz w:val="24"/>
          <w:lang w:val="pl-PL"/>
        </w:rPr>
        <w:t>zap</w:t>
      </w:r>
      <w:r w:rsidRPr="00A3695F">
        <w:rPr>
          <w:rFonts w:ascii="Times New Roman" w:hAnsi="Times New Roman"/>
          <w:noProof/>
          <w:sz w:val="24"/>
          <w:lang w:val="pl-PL"/>
        </w:rPr>
        <w:t>ewnienie, aby mogli oni nadal korzystać</w:t>
      </w:r>
      <w:bookmarkEnd w:id="3"/>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bookmarkStart w:id="4" w:name="_Hlk114830216"/>
      <w:r w:rsidR="003937FF" w:rsidRPr="00A3695F">
        <w:rPr>
          <w:rFonts w:ascii="Times New Roman" w:hAnsi="Times New Roman"/>
          <w:noProof/>
          <w:sz w:val="24"/>
          <w:lang w:val="pl-PL"/>
        </w:rPr>
        <w:t>och</w:t>
      </w:r>
      <w:r w:rsidRPr="00A3695F">
        <w:rPr>
          <w:rFonts w:ascii="Times New Roman" w:hAnsi="Times New Roman"/>
          <w:noProof/>
          <w:sz w:val="24"/>
          <w:lang w:val="pl-PL"/>
        </w:rPr>
        <w:t>rony</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pew</w:t>
      </w:r>
      <w:r w:rsidRPr="00A3695F">
        <w:rPr>
          <w:rFonts w:ascii="Times New Roman" w:hAnsi="Times New Roman"/>
          <w:noProof/>
          <w:sz w:val="24"/>
          <w:lang w:val="pl-PL"/>
        </w:rPr>
        <w:t>ności prawa wynikających</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pra</w:t>
      </w:r>
      <w:r w:rsidRPr="00A3695F">
        <w:rPr>
          <w:rFonts w:ascii="Times New Roman" w:hAnsi="Times New Roman"/>
          <w:noProof/>
          <w:sz w:val="24"/>
          <w:lang w:val="pl-PL"/>
        </w:rPr>
        <w:t>wa Unii oraz aby podstawowe towary</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usł</w:t>
      </w:r>
      <w:r w:rsidRPr="00A3695F">
        <w:rPr>
          <w:rFonts w:ascii="Times New Roman" w:hAnsi="Times New Roman"/>
          <w:noProof/>
          <w:sz w:val="24"/>
          <w:lang w:val="pl-PL"/>
        </w:rPr>
        <w:t>ugi były dostarczane tam, gdzie są najbardziej potrzebne.</w:t>
      </w:r>
      <w:bookmarkEnd w:id="4"/>
    </w:p>
    <w:p w14:paraId="4D6DD18F" w14:textId="736A918C" w:rsidR="00B84B53" w:rsidRPr="00A3695F" w:rsidRDefault="00370312" w:rsidP="00D507B8">
      <w:pPr>
        <w:jc w:val="both"/>
        <w:rPr>
          <w:rFonts w:ascii="Times New Roman" w:hAnsi="Times New Roman" w:cs="Times New Roman"/>
          <w:noProof/>
          <w:sz w:val="24"/>
          <w:lang w:val="pl-PL"/>
        </w:rPr>
      </w:pPr>
      <w:r w:rsidRPr="00A3695F">
        <w:rPr>
          <w:rFonts w:ascii="Times New Roman" w:hAnsi="Times New Roman"/>
          <w:noProof/>
          <w:sz w:val="24"/>
          <w:lang w:val="pl-PL"/>
        </w:rPr>
        <w:t>Ostatnie kryzysy pokazały zarówno konieczność, jak</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zdo</w:t>
      </w:r>
      <w:r w:rsidRPr="00A3695F">
        <w:rPr>
          <w:rFonts w:ascii="Times New Roman" w:hAnsi="Times New Roman"/>
          <w:noProof/>
          <w:sz w:val="24"/>
          <w:lang w:val="pl-PL"/>
        </w:rPr>
        <w:t>lność przystosowywania się UE do nowych sytuacji. Komisja wykorzystała wiele różnych środków, aby pomóc państwom członkowskim</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spo</w:t>
      </w:r>
      <w:r w:rsidRPr="00A3695F">
        <w:rPr>
          <w:rFonts w:ascii="Times New Roman" w:hAnsi="Times New Roman"/>
          <w:noProof/>
          <w:sz w:val="24"/>
          <w:lang w:val="pl-PL"/>
        </w:rPr>
        <w:t>łeczeństwu</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dos</w:t>
      </w:r>
      <w:r w:rsidRPr="00A3695F">
        <w:rPr>
          <w:rFonts w:ascii="Times New Roman" w:hAnsi="Times New Roman"/>
          <w:noProof/>
          <w:sz w:val="24"/>
          <w:lang w:val="pl-PL"/>
        </w:rPr>
        <w:t>tosowaniu się do zmieniających się okoliczności – od proponowania nowego prawodawstwa zmieniającego przepisy, poprzez wytyczne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wsp</w:t>
      </w:r>
      <w:r w:rsidRPr="00A3695F">
        <w:rPr>
          <w:rFonts w:ascii="Times New Roman" w:hAnsi="Times New Roman"/>
          <w:noProof/>
          <w:sz w:val="24"/>
          <w:lang w:val="pl-PL"/>
        </w:rPr>
        <w:t>arcie finansowe, po koordynację między właściwymi organami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spe</w:t>
      </w:r>
      <w:r w:rsidRPr="00A3695F">
        <w:rPr>
          <w:rFonts w:ascii="Times New Roman" w:hAnsi="Times New Roman"/>
          <w:noProof/>
          <w:sz w:val="24"/>
          <w:lang w:val="pl-PL"/>
        </w:rPr>
        <w:t>cjalne dialogi</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raz</w:t>
      </w:r>
      <w:r w:rsidRPr="00A3695F">
        <w:rPr>
          <w:rFonts w:ascii="Times New Roman" w:hAnsi="Times New Roman"/>
          <w:noProof/>
          <w:sz w:val="24"/>
          <w:lang w:val="pl-PL"/>
        </w:rPr>
        <w:t>ie potrzeby wszczynano również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 To kompleksowe podejście pomogło zapewnić dalsze stosowanie prawa Unii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cza</w:t>
      </w:r>
      <w:r w:rsidRPr="00A3695F">
        <w:rPr>
          <w:rFonts w:ascii="Times New Roman" w:hAnsi="Times New Roman"/>
          <w:noProof/>
          <w:sz w:val="24"/>
          <w:lang w:val="pl-PL"/>
        </w:rPr>
        <w:t>sie kryzysu. To</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kol</w:t>
      </w:r>
      <w:r w:rsidRPr="00A3695F">
        <w:rPr>
          <w:rFonts w:ascii="Times New Roman" w:hAnsi="Times New Roman"/>
          <w:noProof/>
          <w:sz w:val="24"/>
          <w:lang w:val="pl-PL"/>
        </w:rPr>
        <w:t>ei przyczyniło się do powszechnego poczucia, że wspólnie UE była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sta</w:t>
      </w:r>
      <w:r w:rsidRPr="00A3695F">
        <w:rPr>
          <w:rFonts w:ascii="Times New Roman" w:hAnsi="Times New Roman"/>
          <w:noProof/>
          <w:sz w:val="24"/>
          <w:lang w:val="pl-PL"/>
        </w:rPr>
        <w:t>ni</w:t>
      </w:r>
      <w:r w:rsidRPr="003937FF">
        <w:rPr>
          <w:rFonts w:ascii="Times New Roman" w:hAnsi="Times New Roman"/>
          <w:noProof/>
          <w:sz w:val="24"/>
          <w:lang w:val="pl-PL"/>
        </w:rPr>
        <w:t>e</w:t>
      </w:r>
      <w:r w:rsidR="003937FF" w:rsidRPr="003937FF">
        <w:rPr>
          <w:rFonts w:ascii="Times New Roman" w:hAnsi="Times New Roman"/>
          <w:noProof/>
          <w:sz w:val="24"/>
          <w:lang w:val="pl-PL"/>
        </w:rPr>
        <w:t xml:space="preserve"> </w:t>
      </w:r>
      <w:r w:rsidRPr="003937FF">
        <w:rPr>
          <w:rFonts w:ascii="Times New Roman" w:hAnsi="Times New Roman"/>
          <w:noProof/>
          <w:sz w:val="24"/>
          <w:lang w:val="pl-PL"/>
        </w:rPr>
        <w:t>r</w:t>
      </w:r>
      <w:r w:rsidRPr="00A3695F">
        <w:rPr>
          <w:rFonts w:ascii="Times New Roman" w:hAnsi="Times New Roman"/>
          <w:noProof/>
          <w:sz w:val="24"/>
          <w:lang w:val="pl-PL"/>
        </w:rPr>
        <w:t>eagować na te kryzysy skuteczniej, niż byłoby to możliwe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ypadku reakcji krajowych.</w:t>
      </w:r>
    </w:p>
    <w:p w14:paraId="090D2F06" w14:textId="0F01F7AC" w:rsidR="00886236" w:rsidRPr="00A3695F" w:rsidRDefault="00886236" w:rsidP="00D507B8">
      <w:pPr>
        <w:jc w:val="both"/>
        <w:rPr>
          <w:rFonts w:ascii="Times New Roman" w:hAnsi="Times New Roman" w:cs="Times New Roman"/>
          <w:noProof/>
          <w:sz w:val="24"/>
          <w:lang w:val="pl-PL"/>
        </w:rPr>
      </w:pPr>
      <w:r w:rsidRPr="00A3695F">
        <w:rPr>
          <w:rFonts w:ascii="Times New Roman" w:hAnsi="Times New Roman"/>
          <w:noProof/>
          <w:sz w:val="24"/>
          <w:lang w:val="pl-PL"/>
        </w:rPr>
        <w:t>W niektórych przepisach UE jest już przewidziana znaczna elastyczność, którą dobrze wykorzystano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cza</w:t>
      </w:r>
      <w:r w:rsidRPr="00A3695F">
        <w:rPr>
          <w:rFonts w:ascii="Times New Roman" w:hAnsi="Times New Roman"/>
          <w:noProof/>
          <w:sz w:val="24"/>
          <w:lang w:val="pl-PL"/>
        </w:rPr>
        <w:t>sie kryzysu, np. ogólna klauzula wyjścia przewidziana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pak</w:t>
      </w:r>
      <w:r w:rsidRPr="00A3695F">
        <w:rPr>
          <w:rFonts w:ascii="Times New Roman" w:hAnsi="Times New Roman"/>
          <w:noProof/>
          <w:sz w:val="24"/>
          <w:lang w:val="pl-PL"/>
        </w:rPr>
        <w:t>cie stabilności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wzr</w:t>
      </w:r>
      <w:r w:rsidRPr="00A3695F">
        <w:rPr>
          <w:rFonts w:ascii="Times New Roman" w:hAnsi="Times New Roman"/>
          <w:noProof/>
          <w:sz w:val="24"/>
          <w:lang w:val="pl-PL"/>
        </w:rPr>
        <w:t>ostu lub działania podjęte na podstawie dyrektywy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tymczasowej ochrony</w:t>
      </w:r>
      <w:r w:rsidRPr="00A3695F">
        <w:rPr>
          <w:rStyle w:val="FootnoteReference"/>
          <w:rFonts w:ascii="Times New Roman" w:hAnsi="Times New Roman" w:cs="Times New Roman"/>
          <w:noProof/>
          <w:sz w:val="24"/>
          <w:lang w:val="pl-PL"/>
        </w:rPr>
        <w:footnoteReference w:id="90"/>
      </w:r>
      <w:r w:rsidRPr="00A3695F">
        <w:rPr>
          <w:rFonts w:ascii="Times New Roman" w:hAnsi="Times New Roman"/>
          <w:noProof/>
          <w:sz w:val="24"/>
          <w:lang w:val="pl-PL"/>
        </w:rPr>
        <w:t>. Komisja przyjęła tymczasowe ramy</w:t>
      </w:r>
      <w:r w:rsidRPr="00A3695F">
        <w:rPr>
          <w:rStyle w:val="FootnoteReference"/>
          <w:rFonts w:ascii="Times New Roman" w:hAnsi="Times New Roman" w:cs="Times New Roman"/>
          <w:noProof/>
          <w:sz w:val="24"/>
          <w:lang w:val="pl-PL"/>
        </w:rPr>
        <w:footnoteReference w:id="91"/>
      </w:r>
      <w:r w:rsidRPr="00A3695F">
        <w:rPr>
          <w:rFonts w:ascii="Times New Roman" w:hAnsi="Times New Roman"/>
          <w:noProof/>
          <w:sz w:val="24"/>
          <w:lang w:val="pl-PL"/>
        </w:rPr>
        <w:t>, aby umożliwić państwom członkowskim wykorzystanie elastyczności zasad pomocy państwa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wsparcia gospodarki. Komisja przedstawiła wnioski dotyczące stosowania szczególnych odstępstw od zasad dotyczących spotkań</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edsiębiorstwami,</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tak</w:t>
      </w:r>
      <w:r w:rsidRPr="00A3695F">
        <w:rPr>
          <w:rFonts w:ascii="Times New Roman" w:hAnsi="Times New Roman"/>
          <w:noProof/>
          <w:sz w:val="24"/>
          <w:lang w:val="pl-PL"/>
        </w:rPr>
        <w:t>że dostosowania terminów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obs</w:t>
      </w:r>
      <w:r w:rsidRPr="00A3695F">
        <w:rPr>
          <w:rFonts w:ascii="Times New Roman" w:hAnsi="Times New Roman"/>
          <w:noProof/>
          <w:sz w:val="24"/>
          <w:lang w:val="pl-PL"/>
        </w:rPr>
        <w:t>zarach takich jak deklaracje podatkowe</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inn</w:t>
      </w:r>
      <w:r w:rsidRPr="00A3695F">
        <w:rPr>
          <w:rFonts w:ascii="Times New Roman" w:hAnsi="Times New Roman"/>
          <w:noProof/>
          <w:sz w:val="24"/>
          <w:lang w:val="pl-PL"/>
        </w:rPr>
        <w:t>ych przypadkach wytyczne przyczyniły się do doprecyzowania obowiązujących przepisów, np. przepisów dotyczących inicjatywy „uprzywilejowane korytarze” mającej zapewnić stały przepływ towarów na jednolitym rynku</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swo</w:t>
      </w:r>
      <w:r w:rsidRPr="00A3695F">
        <w:rPr>
          <w:rFonts w:ascii="Times New Roman" w:hAnsi="Times New Roman"/>
          <w:noProof/>
          <w:sz w:val="24"/>
          <w:lang w:val="pl-PL"/>
        </w:rPr>
        <w:t>bodny przepływ pracowników</w:t>
      </w:r>
      <w:r w:rsidR="003937FF" w:rsidRPr="00A3695F">
        <w:rPr>
          <w:rFonts w:ascii="Times New Roman" w:hAnsi="Times New Roman"/>
          <w:noProof/>
          <w:sz w:val="24"/>
          <w:lang w:val="pl-PL"/>
        </w:rPr>
        <w:t xml:space="preserve"> o</w:t>
      </w:r>
      <w:r w:rsidR="003937FF">
        <w:rPr>
          <w:rFonts w:ascii="Times New Roman" w:hAnsi="Times New Roman"/>
          <w:noProof/>
          <w:sz w:val="24"/>
          <w:lang w:val="pl-PL"/>
        </w:rPr>
        <w:t> </w:t>
      </w:r>
      <w:r w:rsidR="003937FF" w:rsidRPr="00A3695F">
        <w:rPr>
          <w:rFonts w:ascii="Times New Roman" w:hAnsi="Times New Roman"/>
          <w:noProof/>
          <w:sz w:val="24"/>
          <w:lang w:val="pl-PL"/>
        </w:rPr>
        <w:t>kry</w:t>
      </w:r>
      <w:r w:rsidRPr="00A3695F">
        <w:rPr>
          <w:rFonts w:ascii="Times New Roman" w:hAnsi="Times New Roman"/>
          <w:noProof/>
          <w:sz w:val="24"/>
          <w:lang w:val="pl-PL"/>
        </w:rPr>
        <w:t>tycznym znaczeniu podczas pandemii lub pomoc</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uzn</w:t>
      </w:r>
      <w:r w:rsidRPr="00A3695F">
        <w:rPr>
          <w:rFonts w:ascii="Times New Roman" w:hAnsi="Times New Roman"/>
          <w:noProof/>
          <w:sz w:val="24"/>
          <w:lang w:val="pl-PL"/>
        </w:rPr>
        <w:t>awaniu dyplomów osób uciekających</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Ukr</w:t>
      </w:r>
      <w:r w:rsidRPr="00A3695F">
        <w:rPr>
          <w:rFonts w:ascii="Times New Roman" w:hAnsi="Times New Roman"/>
          <w:noProof/>
          <w:sz w:val="24"/>
          <w:lang w:val="pl-PL"/>
        </w:rPr>
        <w:t>ainy. Konkretne środki pomogły również pokazać państwom członkowskim, że istnieją wyraźne alternatywy dla rozwiązań krajowych: dzięki unijnemu cyfrowemu zaświadczeniu COVID chroniono swobodny przepływ osób, dając organom krajowym możliwość sprawdzenia statusu wszystkich posiadaczy zaświadczeń przemieszczających się</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obr</w:t>
      </w:r>
      <w:r w:rsidRPr="00A3695F">
        <w:rPr>
          <w:rFonts w:ascii="Times New Roman" w:hAnsi="Times New Roman"/>
          <w:noProof/>
          <w:sz w:val="24"/>
          <w:lang w:val="pl-PL"/>
        </w:rPr>
        <w:t>ębie UE. Do końca 20</w:t>
      </w:r>
      <w:r w:rsidRPr="003937FF">
        <w:rPr>
          <w:rFonts w:ascii="Times New Roman" w:hAnsi="Times New Roman"/>
          <w:noProof/>
          <w:sz w:val="24"/>
          <w:lang w:val="pl-PL"/>
        </w:rPr>
        <w:t>21</w:t>
      </w:r>
      <w:r w:rsidR="003937FF" w:rsidRPr="003937FF">
        <w:rPr>
          <w:rFonts w:ascii="Times New Roman" w:hAnsi="Times New Roman"/>
          <w:noProof/>
          <w:sz w:val="24"/>
          <w:lang w:val="pl-PL"/>
        </w:rPr>
        <w:t> </w:t>
      </w:r>
      <w:r w:rsidRPr="003937FF">
        <w:rPr>
          <w:rFonts w:ascii="Times New Roman" w:hAnsi="Times New Roman"/>
          <w:noProof/>
          <w:sz w:val="24"/>
          <w:lang w:val="pl-PL"/>
        </w:rPr>
        <w:t>r.</w:t>
      </w:r>
      <w:r w:rsidRPr="00A3695F">
        <w:rPr>
          <w:rFonts w:ascii="Times New Roman" w:hAnsi="Times New Roman"/>
          <w:noProof/>
          <w:sz w:val="24"/>
          <w:lang w:val="pl-PL"/>
        </w:rPr>
        <w:t xml:space="preserve"> państwa członkowskie wydały ponad 1 mld zaświadczeń. Wszystkie te środki chroniły integralność prawa Unii,</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jed</w:t>
      </w:r>
      <w:r w:rsidRPr="00A3695F">
        <w:rPr>
          <w:rFonts w:ascii="Times New Roman" w:hAnsi="Times New Roman"/>
          <w:noProof/>
          <w:sz w:val="24"/>
          <w:lang w:val="pl-PL"/>
        </w:rPr>
        <w:t>nocześnie umożliwiły niezbędną elastyczność.</w:t>
      </w:r>
    </w:p>
    <w:p w14:paraId="59D1A503" w14:textId="570FDC40" w:rsidR="003A4352" w:rsidRPr="00A3695F" w:rsidRDefault="005E6E3F" w:rsidP="009251AE">
      <w:pPr>
        <w:jc w:val="both"/>
        <w:rPr>
          <w:rFonts w:ascii="Times New Roman" w:eastAsia="Arial Unicode MS" w:hAnsi="Times New Roman" w:cs="Times New Roman"/>
          <w:noProof/>
          <w:sz w:val="24"/>
          <w:u w:color="000000"/>
          <w:bdr w:val="nil"/>
          <w:lang w:val="pl-PL"/>
        </w:rPr>
      </w:pPr>
      <w:r w:rsidRPr="00A3695F">
        <w:rPr>
          <w:rFonts w:ascii="Times New Roman" w:hAnsi="Times New Roman"/>
          <w:noProof/>
          <w:sz w:val="24"/>
          <w:lang w:val="pl-PL"/>
        </w:rPr>
        <w:t>Zdarzały się jednak przypadki,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któ</w:t>
      </w:r>
      <w:r w:rsidRPr="00A3695F">
        <w:rPr>
          <w:rFonts w:ascii="Times New Roman" w:hAnsi="Times New Roman"/>
          <w:noProof/>
          <w:sz w:val="24"/>
          <w:lang w:val="pl-PL"/>
        </w:rPr>
        <w:t>rych państwa członkowskie próbowały obejść przepisy UE. Na przykład na początku pandemii COVID-19 niektóre państwa członkowskie jednostronnie wprowadziły ograniczenia wywozowe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odn</w:t>
      </w:r>
      <w:r w:rsidRPr="00A3695F">
        <w:rPr>
          <w:rFonts w:ascii="Times New Roman" w:hAnsi="Times New Roman"/>
          <w:noProof/>
          <w:sz w:val="24"/>
          <w:lang w:val="pl-PL"/>
        </w:rPr>
        <w:t>iesieniu do leków lub środków ochrony indywidualnej bądź podejmowały kroki faworyzujące krajowych producentów lub usługodawców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tak</w:t>
      </w:r>
      <w:r w:rsidRPr="00A3695F">
        <w:rPr>
          <w:rFonts w:ascii="Times New Roman" w:hAnsi="Times New Roman"/>
          <w:noProof/>
          <w:sz w:val="24"/>
          <w:lang w:val="pl-PL"/>
        </w:rPr>
        <w:t>ich branżach jak sektor spożywczy</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sek</w:t>
      </w:r>
      <w:r w:rsidRPr="00A3695F">
        <w:rPr>
          <w:rFonts w:ascii="Times New Roman" w:hAnsi="Times New Roman"/>
          <w:noProof/>
          <w:sz w:val="24"/>
          <w:lang w:val="pl-PL"/>
        </w:rPr>
        <w:t>tor podróży. Komisja zachowała czujność</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obl</w:t>
      </w:r>
      <w:r w:rsidRPr="00A3695F">
        <w:rPr>
          <w:rFonts w:ascii="Times New Roman" w:hAnsi="Times New Roman"/>
          <w:noProof/>
          <w:sz w:val="24"/>
          <w:lang w:val="pl-PL"/>
        </w:rPr>
        <w:t>iczu tych zagrożeń dla jednolitego rynku,</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wie</w:t>
      </w:r>
      <w:r w:rsidRPr="00A3695F">
        <w:rPr>
          <w:rFonts w:ascii="Times New Roman" w:hAnsi="Times New Roman"/>
          <w:noProof/>
          <w:sz w:val="24"/>
          <w:lang w:val="pl-PL"/>
        </w:rPr>
        <w:t>le środków protekcjonistycznych, które państwa członkowskie wprowadziły</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pie</w:t>
      </w:r>
      <w:r w:rsidRPr="00A3695F">
        <w:rPr>
          <w:rFonts w:ascii="Times New Roman" w:hAnsi="Times New Roman"/>
          <w:noProof/>
          <w:sz w:val="24"/>
          <w:lang w:val="pl-PL"/>
        </w:rPr>
        <w:t xml:space="preserve">rwszych miesiącach pandemii, stosunkowo szybko uchylono. </w:t>
      </w:r>
      <w:r w:rsidRPr="00A3695F">
        <w:rPr>
          <w:rFonts w:ascii="Times New Roman" w:hAnsi="Times New Roman"/>
          <w:noProof/>
          <w:sz w:val="24"/>
          <w:u w:color="000000"/>
          <w:bdr w:val="nil"/>
          <w:lang w:val="pl-PL"/>
        </w:rPr>
        <w:t>Komisja wszczęła również postępowanie</w:t>
      </w:r>
      <w:r w:rsidR="003937FF" w:rsidRPr="00A3695F">
        <w:rPr>
          <w:rFonts w:ascii="Times New Roman" w:hAnsi="Times New Roman"/>
          <w:noProof/>
          <w:sz w:val="24"/>
          <w:u w:color="000000"/>
          <w:bdr w:val="nil"/>
          <w:lang w:val="pl-PL"/>
        </w:rPr>
        <w:t xml:space="preserve"> w</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spr</w:t>
      </w:r>
      <w:r w:rsidRPr="00A3695F">
        <w:rPr>
          <w:rFonts w:ascii="Times New Roman" w:hAnsi="Times New Roman"/>
          <w:noProof/>
          <w:sz w:val="24"/>
          <w:u w:color="000000"/>
          <w:bdr w:val="nil"/>
          <w:lang w:val="pl-PL"/>
        </w:rPr>
        <w:t>awie uchybienia zobowiązaniom państwa członkowskiego dotyczące krajowych środków protekcjonistycznych wprowadzonych</w:t>
      </w:r>
      <w:r w:rsidR="003937FF" w:rsidRPr="00A3695F">
        <w:rPr>
          <w:rFonts w:ascii="Times New Roman" w:hAnsi="Times New Roman"/>
          <w:noProof/>
          <w:sz w:val="24"/>
          <w:u w:color="000000"/>
          <w:bdr w:val="nil"/>
          <w:lang w:val="pl-PL"/>
        </w:rPr>
        <w:t xml:space="preserve"> w</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nas</w:t>
      </w:r>
      <w:r w:rsidRPr="00A3695F">
        <w:rPr>
          <w:rFonts w:ascii="Times New Roman" w:hAnsi="Times New Roman"/>
          <w:noProof/>
          <w:sz w:val="24"/>
          <w:u w:color="000000"/>
          <w:bdr w:val="nil"/>
          <w:lang w:val="pl-PL"/>
        </w:rPr>
        <w:t>tępstwie inwazji na Ukrainę, takich jak zakazy wywozu</w:t>
      </w:r>
      <w:r w:rsidR="003937FF" w:rsidRPr="00A3695F">
        <w:rPr>
          <w:rFonts w:ascii="Times New Roman" w:hAnsi="Times New Roman"/>
          <w:noProof/>
          <w:sz w:val="24"/>
          <w:u w:color="000000"/>
          <w:bdr w:val="nil"/>
          <w:lang w:val="pl-PL"/>
        </w:rPr>
        <w:t xml:space="preserve"> w</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sze</w:t>
      </w:r>
      <w:r w:rsidRPr="00A3695F">
        <w:rPr>
          <w:rFonts w:ascii="Times New Roman" w:hAnsi="Times New Roman"/>
          <w:noProof/>
          <w:sz w:val="24"/>
          <w:u w:color="000000"/>
          <w:bdr w:val="nil"/>
          <w:lang w:val="pl-PL"/>
        </w:rPr>
        <w:t>regu sektorów gospodarki, na przykład</w:t>
      </w:r>
      <w:r w:rsidR="003937FF" w:rsidRPr="00A3695F">
        <w:rPr>
          <w:rFonts w:ascii="Times New Roman" w:hAnsi="Times New Roman"/>
          <w:noProof/>
          <w:sz w:val="24"/>
          <w:u w:color="000000"/>
          <w:bdr w:val="nil"/>
          <w:lang w:val="pl-PL"/>
        </w:rPr>
        <w:t xml:space="preserve"> w</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odn</w:t>
      </w:r>
      <w:r w:rsidRPr="00A3695F">
        <w:rPr>
          <w:rFonts w:ascii="Times New Roman" w:hAnsi="Times New Roman"/>
          <w:noProof/>
          <w:sz w:val="24"/>
          <w:u w:color="000000"/>
          <w:bdr w:val="nil"/>
          <w:lang w:val="pl-PL"/>
        </w:rPr>
        <w:t>iesieniu do zbóż</w:t>
      </w:r>
      <w:r w:rsidR="003937FF" w:rsidRPr="00A3695F">
        <w:rPr>
          <w:noProof/>
          <w:sz w:val="24"/>
          <w:lang w:val="pl-PL"/>
        </w:rPr>
        <w:t xml:space="preserve"> </w:t>
      </w:r>
      <w:r w:rsidR="003937FF" w:rsidRPr="00A3695F">
        <w:rPr>
          <w:rFonts w:ascii="Times New Roman" w:hAnsi="Times New Roman"/>
          <w:noProof/>
          <w:sz w:val="24"/>
          <w:bdr w:val="nil"/>
          <w:lang w:val="pl-PL"/>
        </w:rPr>
        <w:t>i</w:t>
      </w:r>
      <w:r w:rsidR="003937FF">
        <w:rPr>
          <w:noProof/>
          <w:sz w:val="24"/>
          <w:lang w:val="pl-PL"/>
        </w:rPr>
        <w:t> </w:t>
      </w:r>
      <w:r w:rsidR="003937FF" w:rsidRPr="00A3695F">
        <w:rPr>
          <w:rFonts w:ascii="Times New Roman" w:hAnsi="Times New Roman"/>
          <w:noProof/>
          <w:sz w:val="24"/>
          <w:bdr w:val="nil"/>
          <w:lang w:val="pl-PL"/>
        </w:rPr>
        <w:t>mat</w:t>
      </w:r>
      <w:r w:rsidRPr="00A3695F">
        <w:rPr>
          <w:rFonts w:ascii="Times New Roman" w:hAnsi="Times New Roman"/>
          <w:noProof/>
          <w:sz w:val="24"/>
          <w:bdr w:val="nil"/>
          <w:lang w:val="pl-PL"/>
        </w:rPr>
        <w:t xml:space="preserve">eriałów budowlanych, </w:t>
      </w:r>
      <w:r w:rsidRPr="00A3695F">
        <w:rPr>
          <w:rFonts w:ascii="Times New Roman" w:hAnsi="Times New Roman"/>
          <w:noProof/>
          <w:sz w:val="24"/>
          <w:u w:color="000000"/>
          <w:bdr w:val="nil"/>
          <w:lang w:val="pl-PL"/>
        </w:rPr>
        <w:t>lub ustalania dyskryminujących cen paliw</w:t>
      </w:r>
      <w:r w:rsidR="003937FF" w:rsidRPr="00A3695F">
        <w:rPr>
          <w:rFonts w:ascii="Times New Roman" w:hAnsi="Times New Roman"/>
          <w:noProof/>
          <w:sz w:val="24"/>
          <w:u w:color="000000"/>
          <w:bdr w:val="nil"/>
          <w:lang w:val="pl-PL"/>
        </w:rPr>
        <w:t xml:space="preserve"> w</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prz</w:t>
      </w:r>
      <w:r w:rsidRPr="00A3695F">
        <w:rPr>
          <w:rFonts w:ascii="Times New Roman" w:hAnsi="Times New Roman"/>
          <w:noProof/>
          <w:sz w:val="24"/>
          <w:u w:color="000000"/>
          <w:bdr w:val="nil"/>
          <w:lang w:val="pl-PL"/>
        </w:rPr>
        <w:t>ypadku pojazdów</w:t>
      </w:r>
      <w:r w:rsidR="003937FF" w:rsidRPr="00A3695F">
        <w:rPr>
          <w:rFonts w:ascii="Times New Roman" w:hAnsi="Times New Roman"/>
          <w:noProof/>
          <w:sz w:val="24"/>
          <w:u w:color="000000"/>
          <w:bdr w:val="nil"/>
          <w:lang w:val="pl-PL"/>
        </w:rPr>
        <w:t xml:space="preserve"> z</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zag</w:t>
      </w:r>
      <w:r w:rsidRPr="00A3695F">
        <w:rPr>
          <w:rFonts w:ascii="Times New Roman" w:hAnsi="Times New Roman"/>
          <w:noProof/>
          <w:sz w:val="24"/>
          <w:u w:color="000000"/>
          <w:bdr w:val="nil"/>
          <w:lang w:val="pl-PL"/>
        </w:rPr>
        <w:t>ranicznymi tablicami rejestracyjnymi.</w:t>
      </w:r>
    </w:p>
    <w:p w14:paraId="5AB447E5" w14:textId="20DB8C73" w:rsidR="007D33FF" w:rsidRPr="003937FF" w:rsidRDefault="003652AF" w:rsidP="00DA4522">
      <w:pPr>
        <w:spacing w:after="120"/>
        <w:jc w:val="both"/>
        <w:rPr>
          <w:rFonts w:ascii="Times New Roman" w:hAnsi="Times New Roman" w:cs="Times New Roman"/>
          <w:noProof/>
          <w:lang w:val="pl-PL"/>
        </w:rPr>
      </w:pPr>
      <w:r w:rsidRPr="00A3695F">
        <w:rPr>
          <w:rFonts w:ascii="Times New Roman" w:hAnsi="Times New Roman"/>
          <w:noProof/>
          <w:sz w:val="24"/>
          <w:lang w:val="pl-PL"/>
        </w:rPr>
        <w:t>W związku</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inw</w:t>
      </w:r>
      <w:r w:rsidRPr="00A3695F">
        <w:rPr>
          <w:rFonts w:ascii="Times New Roman" w:hAnsi="Times New Roman"/>
          <w:noProof/>
          <w:sz w:val="24"/>
          <w:lang w:val="pl-PL"/>
        </w:rPr>
        <w:t>azją Rosji na Ukrainę Komisja przyjęła środki mające na celu ułatwienie transportu, tranzytu</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wym</w:t>
      </w:r>
      <w:r w:rsidRPr="00A3695F">
        <w:rPr>
          <w:rFonts w:ascii="Times New Roman" w:hAnsi="Times New Roman"/>
          <w:noProof/>
          <w:sz w:val="24"/>
          <w:lang w:val="pl-PL"/>
        </w:rPr>
        <w:t>iany</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Ukr</w:t>
      </w:r>
      <w:r w:rsidRPr="00A3695F">
        <w:rPr>
          <w:rFonts w:ascii="Times New Roman" w:hAnsi="Times New Roman"/>
          <w:noProof/>
          <w:sz w:val="24"/>
          <w:lang w:val="pl-PL"/>
        </w:rPr>
        <w:t>ainą,</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tym</w:t>
      </w:r>
      <w:r w:rsidRPr="00A3695F">
        <w:rPr>
          <w:rFonts w:ascii="Times New Roman" w:hAnsi="Times New Roman"/>
          <w:noProof/>
          <w:sz w:val="24"/>
          <w:lang w:val="pl-PL"/>
        </w:rPr>
        <w:t xml:space="preserve"> „Plan działań na rzecz korytarzy solidarnościowych między UE</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Ukr</w:t>
      </w:r>
      <w:r w:rsidRPr="00A3695F">
        <w:rPr>
          <w:rFonts w:ascii="Times New Roman" w:hAnsi="Times New Roman"/>
          <w:noProof/>
          <w:sz w:val="24"/>
          <w:lang w:val="pl-PL"/>
        </w:rPr>
        <w:t>ainą ułatwiających wywóz produktów rolnych</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Ukr</w:t>
      </w:r>
      <w:r w:rsidRPr="00A3695F">
        <w:rPr>
          <w:rFonts w:ascii="Times New Roman" w:hAnsi="Times New Roman"/>
          <w:noProof/>
          <w:sz w:val="24"/>
          <w:lang w:val="pl-PL"/>
        </w:rPr>
        <w:t>ainy</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han</w:t>
      </w:r>
      <w:r w:rsidRPr="00A3695F">
        <w:rPr>
          <w:rFonts w:ascii="Times New Roman" w:hAnsi="Times New Roman"/>
          <w:noProof/>
          <w:sz w:val="24"/>
          <w:lang w:val="pl-PL"/>
        </w:rPr>
        <w:t>del dwustronny między Ukrainą a UE”</w:t>
      </w:r>
      <w:r w:rsidRPr="00A3695F">
        <w:rPr>
          <w:rStyle w:val="FootnoteReference"/>
          <w:rFonts w:ascii="Times New Roman" w:hAnsi="Times New Roman" w:cs="Times New Roman"/>
          <w:noProof/>
          <w:sz w:val="24"/>
          <w:lang w:val="pl-PL"/>
        </w:rPr>
        <w:footnoteReference w:id="92"/>
      </w:r>
      <w:r w:rsidRPr="00A3695F">
        <w:rPr>
          <w:rFonts w:ascii="Times New Roman" w:hAnsi="Times New Roman"/>
          <w:noProof/>
          <w:sz w:val="24"/>
          <w:lang w:val="pl-PL"/>
        </w:rPr>
        <w:t>,</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tym</w:t>
      </w:r>
      <w:r w:rsidRPr="00A3695F">
        <w:rPr>
          <w:rFonts w:ascii="Times New Roman" w:hAnsi="Times New Roman"/>
          <w:noProof/>
          <w:sz w:val="24"/>
          <w:lang w:val="pl-PL"/>
        </w:rPr>
        <w:t xml:space="preserve"> samym zmniejszenie wpływu tego kryzysu na transport towarów. Komisja zawiesiła na rok należności celne przywozowe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odn</w:t>
      </w:r>
      <w:r w:rsidRPr="00A3695F">
        <w:rPr>
          <w:rFonts w:ascii="Times New Roman" w:hAnsi="Times New Roman"/>
          <w:noProof/>
          <w:sz w:val="24"/>
          <w:lang w:val="pl-PL"/>
        </w:rPr>
        <w:t>iesieniu do całego ukraińskiego wywozu do Unii Europejskiej. Podjęła również kroki na rzecz skuteczniejszego wdrażania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egz</w:t>
      </w:r>
      <w:r w:rsidRPr="00A3695F">
        <w:rPr>
          <w:rFonts w:ascii="Times New Roman" w:hAnsi="Times New Roman"/>
          <w:noProof/>
          <w:sz w:val="24"/>
          <w:lang w:val="pl-PL"/>
        </w:rPr>
        <w:t>ekwowania sankcji wobec osób</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pod</w:t>
      </w:r>
      <w:r w:rsidRPr="00A3695F">
        <w:rPr>
          <w:rFonts w:ascii="Times New Roman" w:hAnsi="Times New Roman"/>
          <w:noProof/>
          <w:sz w:val="24"/>
          <w:lang w:val="pl-PL"/>
        </w:rPr>
        <w:t>miotów</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Ros</w:t>
      </w:r>
      <w:r w:rsidRPr="00A3695F">
        <w:rPr>
          <w:rFonts w:ascii="Times New Roman" w:hAnsi="Times New Roman"/>
          <w:noProof/>
          <w:sz w:val="24"/>
          <w:lang w:val="pl-PL"/>
        </w:rPr>
        <w:t>ji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Bia</w:t>
      </w:r>
      <w:r w:rsidRPr="00A3695F">
        <w:rPr>
          <w:rFonts w:ascii="Times New Roman" w:hAnsi="Times New Roman"/>
          <w:noProof/>
          <w:sz w:val="24"/>
          <w:lang w:val="pl-PL"/>
        </w:rPr>
        <w:t>łorusi figurujących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wyk</w:t>
      </w:r>
      <w:r w:rsidRPr="00A3695F">
        <w:rPr>
          <w:rFonts w:ascii="Times New Roman" w:hAnsi="Times New Roman"/>
          <w:noProof/>
          <w:sz w:val="24"/>
          <w:lang w:val="pl-PL"/>
        </w:rPr>
        <w:t>azie. Komisja wydała szereg wytycznych dotyczących interpretacji sankcji, udzielając państwom członkowskim wyjaśnień dotyczących nowych kwestii oraz stałego wsparcia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zapewnienia prawidłowego egzekwowania prawa</w:t>
      </w:r>
      <w:r w:rsidRPr="003937FF">
        <w:rPr>
          <w:rFonts w:ascii="Times New Roman" w:hAnsi="Times New Roman"/>
          <w:noProof/>
          <w:sz w:val="24"/>
          <w:lang w:val="pl-PL"/>
        </w:rPr>
        <w:t>.</w:t>
      </w:r>
      <w:r w:rsidR="003937FF" w:rsidRPr="003937FF">
        <w:rPr>
          <w:rFonts w:ascii="Times New Roman" w:hAnsi="Times New Roman"/>
          <w:noProof/>
          <w:sz w:val="24"/>
          <w:lang w:val="pl-PL"/>
        </w:rPr>
        <w:t xml:space="preserve"> </w:t>
      </w:r>
    </w:p>
    <w:p w14:paraId="28B58415" w14:textId="032948DA" w:rsidR="009C167D" w:rsidRPr="00A3695F" w:rsidDel="003A4352" w:rsidRDefault="005C6927" w:rsidP="009C167D">
      <w:pPr>
        <w:pStyle w:val="LegalNumPar"/>
        <w:spacing w:after="120" w:line="276" w:lineRule="auto"/>
        <w:rPr>
          <w:rFonts w:cs="Times New Roman"/>
          <w:noProof/>
          <w:lang w:val="pl-PL"/>
        </w:rPr>
      </w:pPr>
      <w:r w:rsidRPr="00A3695F">
        <w:rPr>
          <w:noProof/>
          <w:lang w:val="pl-PL"/>
        </w:rPr>
        <w:t>Aby złagodzić skutki kryzysu energetycznego, Komisja uruchomiła narzędzia nadzwyczajne przewidziane</w:t>
      </w:r>
      <w:r w:rsidR="003937FF" w:rsidRPr="00A3695F">
        <w:rPr>
          <w:noProof/>
          <w:lang w:val="pl-PL"/>
        </w:rPr>
        <w:t xml:space="preserve"> w</w:t>
      </w:r>
      <w:r w:rsidR="003937FF">
        <w:rPr>
          <w:noProof/>
          <w:lang w:val="pl-PL"/>
        </w:rPr>
        <w:t> </w:t>
      </w:r>
      <w:r w:rsidR="003937FF" w:rsidRPr="00A3695F">
        <w:rPr>
          <w:noProof/>
          <w:lang w:val="pl-PL"/>
        </w:rPr>
        <w:t>pra</w:t>
      </w:r>
      <w:r w:rsidRPr="00A3695F">
        <w:rPr>
          <w:noProof/>
          <w:lang w:val="pl-PL"/>
        </w:rPr>
        <w:t>wie Unii. Na wniosek Komisji współprawodawcy przyjęli przepisy mające zapewnić napełnienie magazynów gazu</w:t>
      </w:r>
      <w:r w:rsidRPr="00A3695F">
        <w:rPr>
          <w:rStyle w:val="FootnoteReference"/>
          <w:rFonts w:cs="Times New Roman"/>
          <w:noProof/>
          <w:lang w:val="pl-PL"/>
        </w:rPr>
        <w:footnoteReference w:id="93"/>
      </w:r>
      <w:r w:rsidRPr="00A3695F">
        <w:rPr>
          <w:noProof/>
          <w:lang w:val="pl-PL"/>
        </w:rPr>
        <w:t>, tak aby zimą 20</w:t>
      </w:r>
      <w:r w:rsidRPr="003937FF">
        <w:rPr>
          <w:noProof/>
          <w:lang w:val="pl-PL"/>
        </w:rPr>
        <w:t>22</w:t>
      </w:r>
      <w:r w:rsidR="003937FF" w:rsidRPr="003937FF">
        <w:rPr>
          <w:noProof/>
          <w:lang w:val="pl-PL"/>
        </w:rPr>
        <w:t> </w:t>
      </w:r>
      <w:r w:rsidRPr="003937FF">
        <w:rPr>
          <w:noProof/>
          <w:lang w:val="pl-PL"/>
        </w:rPr>
        <w:t>r.</w:t>
      </w:r>
      <w:r w:rsidRPr="00A3695F">
        <w:rPr>
          <w:noProof/>
          <w:lang w:val="pl-PL"/>
        </w:rPr>
        <w:t xml:space="preserve"> dostępna była wystarczająca ilość gazu, co ma bezpośredni wpływ na ludzi</w:t>
      </w:r>
      <w:r w:rsidR="003937FF" w:rsidRPr="00A3695F">
        <w:rPr>
          <w:noProof/>
          <w:lang w:val="pl-PL"/>
        </w:rPr>
        <w:t xml:space="preserve"> i</w:t>
      </w:r>
      <w:r w:rsidR="003937FF">
        <w:rPr>
          <w:noProof/>
          <w:lang w:val="pl-PL"/>
        </w:rPr>
        <w:t> </w:t>
      </w:r>
      <w:r w:rsidR="003937FF" w:rsidRPr="00A3695F">
        <w:rPr>
          <w:noProof/>
          <w:lang w:val="pl-PL"/>
        </w:rPr>
        <w:t>prz</w:t>
      </w:r>
      <w:r w:rsidRPr="00A3695F">
        <w:rPr>
          <w:noProof/>
          <w:lang w:val="pl-PL"/>
        </w:rPr>
        <w:t>edsiębiorstwa. Komisja szybko zaproponowała również nowe przepisy dotyczące skoordynowanych środków zmniejszających zapotrzebowanie na gaz</w:t>
      </w:r>
      <w:r w:rsidRPr="00A3695F">
        <w:rPr>
          <w:rStyle w:val="FootnoteReference"/>
          <w:rFonts w:cs="Times New Roman"/>
          <w:noProof/>
          <w:lang w:val="pl-PL"/>
        </w:rPr>
        <w:footnoteReference w:id="94"/>
      </w:r>
      <w:r w:rsidRPr="00A3695F">
        <w:rPr>
          <w:noProof/>
          <w:lang w:val="pl-PL"/>
        </w:rPr>
        <w:t xml:space="preserve"> oraz interwencji</w:t>
      </w:r>
      <w:r w:rsidR="003937FF" w:rsidRPr="00A3695F">
        <w:rPr>
          <w:noProof/>
          <w:lang w:val="pl-PL"/>
        </w:rPr>
        <w:t xml:space="preserve"> w</w:t>
      </w:r>
      <w:r w:rsidR="003937FF">
        <w:rPr>
          <w:noProof/>
          <w:lang w:val="pl-PL"/>
        </w:rPr>
        <w:t> </w:t>
      </w:r>
      <w:r w:rsidR="003937FF" w:rsidRPr="00A3695F">
        <w:rPr>
          <w:noProof/>
          <w:lang w:val="pl-PL"/>
        </w:rPr>
        <w:t>syt</w:t>
      </w:r>
      <w:r w:rsidRPr="00A3695F">
        <w:rPr>
          <w:noProof/>
          <w:lang w:val="pl-PL"/>
        </w:rPr>
        <w:t>uacji nadzwyczajnej</w:t>
      </w:r>
      <w:r w:rsidR="003937FF" w:rsidRPr="00A3695F">
        <w:rPr>
          <w:noProof/>
          <w:lang w:val="pl-PL"/>
        </w:rPr>
        <w:t xml:space="preserve"> w</w:t>
      </w:r>
      <w:r w:rsidR="003937FF">
        <w:rPr>
          <w:noProof/>
          <w:lang w:val="pl-PL"/>
        </w:rPr>
        <w:t> </w:t>
      </w:r>
      <w:r w:rsidR="003937FF" w:rsidRPr="00A3695F">
        <w:rPr>
          <w:noProof/>
          <w:lang w:val="pl-PL"/>
        </w:rPr>
        <w:t>cel</w:t>
      </w:r>
      <w:r w:rsidRPr="00A3695F">
        <w:rPr>
          <w:noProof/>
          <w:lang w:val="pl-PL"/>
        </w:rPr>
        <w:t>u rozwiązania problemu wysokich cen energii</w:t>
      </w:r>
      <w:r w:rsidRPr="00A3695F">
        <w:rPr>
          <w:rStyle w:val="FootnoteReference"/>
          <w:rFonts w:cs="Times New Roman"/>
          <w:noProof/>
          <w:lang w:val="pl-PL"/>
        </w:rPr>
        <w:footnoteReference w:id="95"/>
      </w:r>
      <w:r w:rsidRPr="00A3695F">
        <w:rPr>
          <w:noProof/>
          <w:lang w:val="pl-PL"/>
        </w:rPr>
        <w:t>. Te interwencje</w:t>
      </w:r>
      <w:r w:rsidR="003937FF" w:rsidRPr="00A3695F">
        <w:rPr>
          <w:noProof/>
          <w:lang w:val="pl-PL"/>
        </w:rPr>
        <w:t xml:space="preserve"> w</w:t>
      </w:r>
      <w:r w:rsidR="003937FF">
        <w:rPr>
          <w:noProof/>
          <w:lang w:val="pl-PL"/>
        </w:rPr>
        <w:t> </w:t>
      </w:r>
      <w:r w:rsidR="003937FF" w:rsidRPr="00A3695F">
        <w:rPr>
          <w:noProof/>
          <w:lang w:val="pl-PL"/>
        </w:rPr>
        <w:t>syt</w:t>
      </w:r>
      <w:r w:rsidRPr="00A3695F">
        <w:rPr>
          <w:noProof/>
          <w:lang w:val="pl-PL"/>
        </w:rPr>
        <w:t>uacji nadzwyczajnej stanowią kolejny krok</w:t>
      </w:r>
      <w:r w:rsidR="003937FF" w:rsidRPr="00A3695F">
        <w:rPr>
          <w:noProof/>
          <w:lang w:val="pl-PL"/>
        </w:rPr>
        <w:t xml:space="preserve"> w</w:t>
      </w:r>
      <w:r w:rsidR="003937FF">
        <w:rPr>
          <w:noProof/>
          <w:lang w:val="pl-PL"/>
        </w:rPr>
        <w:t> </w:t>
      </w:r>
      <w:r w:rsidR="003937FF" w:rsidRPr="00A3695F">
        <w:rPr>
          <w:noProof/>
          <w:lang w:val="pl-PL"/>
        </w:rPr>
        <w:t>dzi</w:t>
      </w:r>
      <w:r w:rsidRPr="00A3695F">
        <w:rPr>
          <w:noProof/>
          <w:lang w:val="pl-PL"/>
        </w:rPr>
        <w:t>ałaniach Komisji służących zapewnieniu, aby ramy prawne UE umożliwiały solidną</w:t>
      </w:r>
      <w:r w:rsidR="003937FF" w:rsidRPr="00A3695F">
        <w:rPr>
          <w:noProof/>
          <w:lang w:val="pl-PL"/>
        </w:rPr>
        <w:t xml:space="preserve"> i</w:t>
      </w:r>
      <w:r w:rsidR="003937FF">
        <w:rPr>
          <w:noProof/>
          <w:lang w:val="pl-PL"/>
        </w:rPr>
        <w:t> </w:t>
      </w:r>
      <w:r w:rsidR="003937FF" w:rsidRPr="00A3695F">
        <w:rPr>
          <w:noProof/>
          <w:lang w:val="pl-PL"/>
        </w:rPr>
        <w:t>sku</w:t>
      </w:r>
      <w:r w:rsidRPr="00A3695F">
        <w:rPr>
          <w:noProof/>
          <w:lang w:val="pl-PL"/>
        </w:rPr>
        <w:t>teczną reakcję na sytuacje kryzysowe.</w:t>
      </w:r>
    </w:p>
    <w:p w14:paraId="5698D4E5" w14:textId="79B09681" w:rsidR="006920EE" w:rsidRPr="00A3695F" w:rsidRDefault="00522263" w:rsidP="009C167D">
      <w:pPr>
        <w:pStyle w:val="LegalNumPar"/>
        <w:spacing w:after="360" w:line="276" w:lineRule="auto"/>
        <w:rPr>
          <w:rFonts w:cs="Times New Roman"/>
          <w:noProof/>
          <w:lang w:val="pl-PL"/>
        </w:rPr>
      </w:pPr>
      <w:r w:rsidRPr="00A3695F">
        <w:rPr>
          <w:noProof/>
          <w:lang w:val="pl-PL"/>
        </w:rPr>
        <w:t>Komisja wyciąga również wnioski</w:t>
      </w:r>
      <w:r w:rsidR="003937FF" w:rsidRPr="00A3695F">
        <w:rPr>
          <w:noProof/>
          <w:lang w:val="pl-PL"/>
        </w:rPr>
        <w:t xml:space="preserve"> i</w:t>
      </w:r>
      <w:r w:rsidR="003937FF">
        <w:rPr>
          <w:noProof/>
          <w:lang w:val="pl-PL"/>
        </w:rPr>
        <w:t> </w:t>
      </w:r>
      <w:r w:rsidR="003937FF" w:rsidRPr="00A3695F">
        <w:rPr>
          <w:noProof/>
          <w:lang w:val="pl-PL"/>
        </w:rPr>
        <w:t>ana</w:t>
      </w:r>
      <w:r w:rsidRPr="00A3695F">
        <w:rPr>
          <w:noProof/>
          <w:lang w:val="pl-PL"/>
        </w:rPr>
        <w:t>lizuje,</w:t>
      </w:r>
      <w:r w:rsidR="003937FF" w:rsidRPr="00A3695F">
        <w:rPr>
          <w:noProof/>
          <w:lang w:val="pl-PL"/>
        </w:rPr>
        <w:t xml:space="preserve"> w</w:t>
      </w:r>
      <w:r w:rsidR="003937FF">
        <w:rPr>
          <w:noProof/>
          <w:lang w:val="pl-PL"/>
        </w:rPr>
        <w:t> </w:t>
      </w:r>
      <w:r w:rsidR="003937FF" w:rsidRPr="00A3695F">
        <w:rPr>
          <w:noProof/>
          <w:lang w:val="pl-PL"/>
        </w:rPr>
        <w:t>jak</w:t>
      </w:r>
      <w:r w:rsidRPr="00A3695F">
        <w:rPr>
          <w:noProof/>
          <w:lang w:val="pl-PL"/>
        </w:rPr>
        <w:t>i sposób należy wbudować</w:t>
      </w:r>
      <w:r w:rsidR="003937FF" w:rsidRPr="00A3695F">
        <w:rPr>
          <w:noProof/>
          <w:lang w:val="pl-PL"/>
        </w:rPr>
        <w:t xml:space="preserve"> w</w:t>
      </w:r>
      <w:r w:rsidR="003937FF">
        <w:rPr>
          <w:noProof/>
          <w:lang w:val="pl-PL"/>
        </w:rPr>
        <w:t> </w:t>
      </w:r>
      <w:r w:rsidR="003937FF" w:rsidRPr="00A3695F">
        <w:rPr>
          <w:noProof/>
          <w:lang w:val="pl-PL"/>
        </w:rPr>
        <w:t>prz</w:t>
      </w:r>
      <w:r w:rsidRPr="00A3695F">
        <w:rPr>
          <w:noProof/>
          <w:lang w:val="pl-PL"/>
        </w:rPr>
        <w:t>episy UE mechanizmy elastyczności</w:t>
      </w:r>
      <w:r w:rsidR="003937FF" w:rsidRPr="00A3695F">
        <w:rPr>
          <w:noProof/>
          <w:lang w:val="pl-PL"/>
        </w:rPr>
        <w:t xml:space="preserve"> i</w:t>
      </w:r>
      <w:r w:rsidR="003937FF">
        <w:rPr>
          <w:noProof/>
          <w:lang w:val="pl-PL"/>
        </w:rPr>
        <w:t> </w:t>
      </w:r>
      <w:r w:rsidR="003937FF" w:rsidRPr="00A3695F">
        <w:rPr>
          <w:noProof/>
          <w:lang w:val="pl-PL"/>
        </w:rPr>
        <w:t>koo</w:t>
      </w:r>
      <w:r w:rsidRPr="00A3695F">
        <w:rPr>
          <w:noProof/>
          <w:lang w:val="pl-PL"/>
        </w:rPr>
        <w:t>rdynacji, tak aby</w:t>
      </w:r>
      <w:r w:rsidR="003937FF" w:rsidRPr="00A3695F">
        <w:rPr>
          <w:noProof/>
          <w:lang w:val="pl-PL"/>
        </w:rPr>
        <w:t xml:space="preserve"> w</w:t>
      </w:r>
      <w:r w:rsidR="003937FF">
        <w:rPr>
          <w:noProof/>
          <w:lang w:val="pl-PL"/>
        </w:rPr>
        <w:t> </w:t>
      </w:r>
      <w:r w:rsidR="003937FF" w:rsidRPr="00A3695F">
        <w:rPr>
          <w:noProof/>
          <w:lang w:val="pl-PL"/>
        </w:rPr>
        <w:t>prz</w:t>
      </w:r>
      <w:r w:rsidRPr="00A3695F">
        <w:rPr>
          <w:noProof/>
          <w:lang w:val="pl-PL"/>
        </w:rPr>
        <w:t>ypadku kryzysu możliwe było podjęcie działań</w:t>
      </w:r>
      <w:r w:rsidR="003937FF" w:rsidRPr="00A3695F">
        <w:rPr>
          <w:noProof/>
          <w:lang w:val="pl-PL"/>
        </w:rPr>
        <w:t xml:space="preserve"> w</w:t>
      </w:r>
      <w:r w:rsidR="003937FF">
        <w:rPr>
          <w:noProof/>
          <w:lang w:val="pl-PL"/>
        </w:rPr>
        <w:t> </w:t>
      </w:r>
      <w:r w:rsidR="003937FF" w:rsidRPr="00A3695F">
        <w:rPr>
          <w:noProof/>
          <w:lang w:val="pl-PL"/>
        </w:rPr>
        <w:t>okr</w:t>
      </w:r>
      <w:r w:rsidRPr="00A3695F">
        <w:rPr>
          <w:noProof/>
          <w:lang w:val="pl-PL"/>
        </w:rPr>
        <w:t>eślonych wcześniej ramach prawnych. Opierając się na doświadczeniach zdobytych</w:t>
      </w:r>
      <w:r w:rsidR="003937FF" w:rsidRPr="00A3695F">
        <w:rPr>
          <w:noProof/>
          <w:lang w:val="pl-PL"/>
        </w:rPr>
        <w:t xml:space="preserve"> w</w:t>
      </w:r>
      <w:r w:rsidR="003937FF">
        <w:rPr>
          <w:noProof/>
          <w:lang w:val="pl-PL"/>
        </w:rPr>
        <w:t> </w:t>
      </w:r>
      <w:r w:rsidR="003937FF" w:rsidRPr="00A3695F">
        <w:rPr>
          <w:noProof/>
          <w:lang w:val="pl-PL"/>
        </w:rPr>
        <w:t>tra</w:t>
      </w:r>
      <w:r w:rsidRPr="00A3695F">
        <w:rPr>
          <w:noProof/>
          <w:lang w:val="pl-PL"/>
        </w:rPr>
        <w:t>kcie pandemii COVID-19, Komisja przyjęła Plan awaryjny dla transportu</w:t>
      </w:r>
      <w:r w:rsidRPr="00A3695F">
        <w:rPr>
          <w:rStyle w:val="FootnoteReference"/>
          <w:rFonts w:cs="Times New Roman"/>
          <w:noProof/>
          <w:lang w:val="pl-PL"/>
        </w:rPr>
        <w:footnoteReference w:id="96"/>
      </w:r>
      <w:r w:rsidRPr="00A3695F">
        <w:rPr>
          <w:noProof/>
          <w:lang w:val="pl-PL"/>
        </w:rPr>
        <w:t>, który zawiera zestaw narzędzi ukierunkowanych na postępowanie</w:t>
      </w:r>
      <w:r w:rsidR="003937FF" w:rsidRPr="00A3695F">
        <w:rPr>
          <w:noProof/>
          <w:lang w:val="pl-PL"/>
        </w:rPr>
        <w:t xml:space="preserve"> w</w:t>
      </w:r>
      <w:r w:rsidR="003937FF">
        <w:rPr>
          <w:noProof/>
          <w:lang w:val="pl-PL"/>
        </w:rPr>
        <w:t> </w:t>
      </w:r>
      <w:r w:rsidR="003937FF" w:rsidRPr="00A3695F">
        <w:rPr>
          <w:noProof/>
          <w:lang w:val="pl-PL"/>
        </w:rPr>
        <w:t>prz</w:t>
      </w:r>
      <w:r w:rsidRPr="00A3695F">
        <w:rPr>
          <w:noProof/>
          <w:lang w:val="pl-PL"/>
        </w:rPr>
        <w:t>ypadku kryzysów transportowych wszelkiego rodzaju</w:t>
      </w:r>
      <w:r w:rsidR="003937FF" w:rsidRPr="00A3695F">
        <w:rPr>
          <w:noProof/>
          <w:lang w:val="pl-PL"/>
        </w:rPr>
        <w:t xml:space="preserve"> i</w:t>
      </w:r>
      <w:r w:rsidR="003937FF">
        <w:rPr>
          <w:noProof/>
          <w:lang w:val="pl-PL"/>
        </w:rPr>
        <w:t> </w:t>
      </w:r>
      <w:r w:rsidR="003937FF" w:rsidRPr="00A3695F">
        <w:rPr>
          <w:noProof/>
          <w:lang w:val="pl-PL"/>
        </w:rPr>
        <w:t>w</w:t>
      </w:r>
      <w:r w:rsidR="003937FF">
        <w:rPr>
          <w:noProof/>
          <w:lang w:val="pl-PL"/>
        </w:rPr>
        <w:t> </w:t>
      </w:r>
      <w:r w:rsidR="003937FF" w:rsidRPr="00A3695F">
        <w:rPr>
          <w:noProof/>
          <w:lang w:val="pl-PL"/>
        </w:rPr>
        <w:t>szc</w:t>
      </w:r>
      <w:r w:rsidRPr="00A3695F">
        <w:rPr>
          <w:noProof/>
          <w:lang w:val="pl-PL"/>
        </w:rPr>
        <w:t>zególności zapewnia zmianę</w:t>
      </w:r>
      <w:r w:rsidR="003937FF" w:rsidRPr="00A3695F">
        <w:rPr>
          <w:noProof/>
          <w:lang w:val="pl-PL"/>
        </w:rPr>
        <w:t xml:space="preserve"> i</w:t>
      </w:r>
      <w:r w:rsidR="003937FF">
        <w:rPr>
          <w:noProof/>
          <w:lang w:val="pl-PL"/>
        </w:rPr>
        <w:t> </w:t>
      </w:r>
      <w:r w:rsidR="003937FF" w:rsidRPr="00A3695F">
        <w:rPr>
          <w:noProof/>
          <w:lang w:val="pl-PL"/>
        </w:rPr>
        <w:t>egz</w:t>
      </w:r>
      <w:r w:rsidRPr="00A3695F">
        <w:rPr>
          <w:noProof/>
          <w:lang w:val="pl-PL"/>
        </w:rPr>
        <w:t>ekwowanie przepisów UE</w:t>
      </w:r>
      <w:r w:rsidR="003937FF" w:rsidRPr="00A3695F">
        <w:rPr>
          <w:noProof/>
          <w:lang w:val="pl-PL"/>
        </w:rPr>
        <w:t xml:space="preserve"> w</w:t>
      </w:r>
      <w:r w:rsidR="003937FF">
        <w:rPr>
          <w:noProof/>
          <w:lang w:val="pl-PL"/>
        </w:rPr>
        <w:t> </w:t>
      </w:r>
      <w:r w:rsidR="003937FF" w:rsidRPr="00A3695F">
        <w:rPr>
          <w:noProof/>
          <w:lang w:val="pl-PL"/>
        </w:rPr>
        <w:t>cel</w:t>
      </w:r>
      <w:r w:rsidRPr="00A3695F">
        <w:rPr>
          <w:noProof/>
          <w:lang w:val="pl-PL"/>
        </w:rPr>
        <w:t>u odpowiedniego reagowania na takie zdarzenia</w:t>
      </w:r>
      <w:r w:rsidR="003937FF" w:rsidRPr="00A3695F">
        <w:rPr>
          <w:noProof/>
          <w:lang w:val="pl-PL"/>
        </w:rPr>
        <w:t xml:space="preserve"> w</w:t>
      </w:r>
      <w:r w:rsidR="003937FF">
        <w:rPr>
          <w:noProof/>
          <w:lang w:val="pl-PL"/>
        </w:rPr>
        <w:t> </w:t>
      </w:r>
      <w:r w:rsidR="003937FF" w:rsidRPr="00A3695F">
        <w:rPr>
          <w:noProof/>
          <w:lang w:val="pl-PL"/>
        </w:rPr>
        <w:t>syt</w:t>
      </w:r>
      <w:r w:rsidRPr="00A3695F">
        <w:rPr>
          <w:noProof/>
          <w:lang w:val="pl-PL"/>
        </w:rPr>
        <w:t>uacji</w:t>
      </w:r>
      <w:r w:rsidR="003937FF" w:rsidRPr="00A3695F">
        <w:rPr>
          <w:noProof/>
          <w:lang w:val="pl-PL"/>
        </w:rPr>
        <w:t xml:space="preserve"> i</w:t>
      </w:r>
      <w:r w:rsidR="003937FF">
        <w:rPr>
          <w:noProof/>
          <w:lang w:val="pl-PL"/>
        </w:rPr>
        <w:t> </w:t>
      </w:r>
      <w:r w:rsidR="003937FF" w:rsidRPr="00A3695F">
        <w:rPr>
          <w:noProof/>
          <w:lang w:val="pl-PL"/>
        </w:rPr>
        <w:t>mom</w:t>
      </w:r>
      <w:r w:rsidRPr="00A3695F">
        <w:rPr>
          <w:noProof/>
          <w:lang w:val="pl-PL"/>
        </w:rPr>
        <w:t>encie ich wystąpienia. Podobnie we wniosku</w:t>
      </w:r>
      <w:r w:rsidR="003937FF" w:rsidRPr="00A3695F">
        <w:rPr>
          <w:noProof/>
          <w:lang w:val="pl-PL"/>
        </w:rPr>
        <w:t xml:space="preserve"> z</w:t>
      </w:r>
      <w:r w:rsidR="003937FF">
        <w:rPr>
          <w:noProof/>
          <w:lang w:val="pl-PL"/>
        </w:rPr>
        <w:t> </w:t>
      </w:r>
      <w:r w:rsidR="003937FF" w:rsidRPr="00A3695F">
        <w:rPr>
          <w:noProof/>
          <w:lang w:val="pl-PL"/>
        </w:rPr>
        <w:t>gru</w:t>
      </w:r>
      <w:r w:rsidRPr="00A3695F">
        <w:rPr>
          <w:noProof/>
          <w:lang w:val="pl-PL"/>
        </w:rPr>
        <w:t>dnia 20</w:t>
      </w:r>
      <w:r w:rsidRPr="003937FF">
        <w:rPr>
          <w:noProof/>
          <w:lang w:val="pl-PL"/>
        </w:rPr>
        <w:t>21</w:t>
      </w:r>
      <w:r w:rsidR="003937FF" w:rsidRPr="003937FF">
        <w:rPr>
          <w:noProof/>
          <w:lang w:val="pl-PL"/>
        </w:rPr>
        <w:t> </w:t>
      </w:r>
      <w:r w:rsidRPr="003937FF">
        <w:rPr>
          <w:noProof/>
          <w:lang w:val="pl-PL"/>
        </w:rPr>
        <w:t>r.</w:t>
      </w:r>
      <w:r w:rsidRPr="00A3695F">
        <w:rPr>
          <w:noProof/>
          <w:lang w:val="pl-PL"/>
        </w:rPr>
        <w:t xml:space="preserve"> dotyczącym zmiany kodeksu granicznego Schengen</w:t>
      </w:r>
      <w:r w:rsidRPr="00A3695F">
        <w:rPr>
          <w:rStyle w:val="FootnoteReference"/>
          <w:rFonts w:cs="Times New Roman"/>
          <w:noProof/>
          <w:lang w:val="pl-PL"/>
        </w:rPr>
        <w:footnoteReference w:id="97"/>
      </w:r>
      <w:r w:rsidRPr="00A3695F">
        <w:rPr>
          <w:noProof/>
          <w:lang w:val="pl-PL"/>
        </w:rPr>
        <w:t xml:space="preserve"> Komisja wprowadziła mechanizm koordynacji postępowania</w:t>
      </w:r>
      <w:r w:rsidR="003937FF" w:rsidRPr="00A3695F">
        <w:rPr>
          <w:noProof/>
          <w:lang w:val="pl-PL"/>
        </w:rPr>
        <w:t xml:space="preserve"> z</w:t>
      </w:r>
      <w:r w:rsidR="003937FF">
        <w:rPr>
          <w:noProof/>
          <w:lang w:val="pl-PL"/>
        </w:rPr>
        <w:t> </w:t>
      </w:r>
      <w:r w:rsidR="003937FF" w:rsidRPr="00A3695F">
        <w:rPr>
          <w:noProof/>
          <w:lang w:val="pl-PL"/>
        </w:rPr>
        <w:t>zag</w:t>
      </w:r>
      <w:r w:rsidRPr="00A3695F">
        <w:rPr>
          <w:noProof/>
          <w:lang w:val="pl-PL"/>
        </w:rPr>
        <w:t>rożeniami dla zdrowia na granicach zewnętrznych oraz nowy mechanizm ochronny strefy Schengen służący zapewnieniu wspólnej reakcji na granicach wewnętrznych</w:t>
      </w:r>
      <w:r w:rsidR="003937FF" w:rsidRPr="00A3695F">
        <w:rPr>
          <w:noProof/>
          <w:lang w:val="pl-PL"/>
        </w:rPr>
        <w:t xml:space="preserve"> w</w:t>
      </w:r>
      <w:r w:rsidR="003937FF">
        <w:rPr>
          <w:noProof/>
          <w:lang w:val="pl-PL"/>
        </w:rPr>
        <w:t> </w:t>
      </w:r>
      <w:r w:rsidR="003937FF" w:rsidRPr="00A3695F">
        <w:rPr>
          <w:noProof/>
          <w:lang w:val="pl-PL"/>
        </w:rPr>
        <w:t>syt</w:t>
      </w:r>
      <w:r w:rsidRPr="00A3695F">
        <w:rPr>
          <w:noProof/>
          <w:lang w:val="pl-PL"/>
        </w:rPr>
        <w:t>uacjach zagrożeń mających wpływ na państwa członkowskie</w:t>
      </w:r>
      <w:r w:rsidR="003937FF" w:rsidRPr="00A3695F">
        <w:rPr>
          <w:noProof/>
          <w:lang w:val="pl-PL"/>
        </w:rPr>
        <w:t>. W</w:t>
      </w:r>
      <w:r w:rsidR="003937FF">
        <w:rPr>
          <w:noProof/>
          <w:lang w:val="pl-PL"/>
        </w:rPr>
        <w:t> </w:t>
      </w:r>
      <w:r w:rsidR="003937FF" w:rsidRPr="00A3695F">
        <w:rPr>
          <w:noProof/>
          <w:lang w:val="pl-PL"/>
        </w:rPr>
        <w:t>ram</w:t>
      </w:r>
      <w:r w:rsidRPr="00A3695F">
        <w:rPr>
          <w:noProof/>
          <w:lang w:val="pl-PL"/>
        </w:rPr>
        <w:t>ach Europejskiej Unii Zdrowotnej Komisja utworzyła również Urząd ds. Gotowości</w:t>
      </w:r>
      <w:r w:rsidR="003937FF" w:rsidRPr="00A3695F">
        <w:rPr>
          <w:noProof/>
          <w:lang w:val="pl-PL"/>
        </w:rPr>
        <w:t xml:space="preserve"> i</w:t>
      </w:r>
      <w:r w:rsidR="003937FF">
        <w:rPr>
          <w:noProof/>
          <w:lang w:val="pl-PL"/>
        </w:rPr>
        <w:t> </w:t>
      </w:r>
      <w:r w:rsidR="003937FF" w:rsidRPr="00A3695F">
        <w:rPr>
          <w:noProof/>
          <w:lang w:val="pl-PL"/>
        </w:rPr>
        <w:t>Rea</w:t>
      </w:r>
      <w:r w:rsidRPr="00A3695F">
        <w:rPr>
          <w:noProof/>
          <w:lang w:val="pl-PL"/>
        </w:rPr>
        <w:t>gowania na Stany Zagrożenia Zdrowia (HERA), aby zwiększyć zdolność Europy do zapobiegania transgranicznym stanom zagrożenia zdrowia i do szybkiego reagowania na nie oraz aby usprawnić wdrażanie środków nadzwyczajnych. Ponadto instrument nadzwyczajny jednolitego rynku</w:t>
      </w:r>
      <w:r w:rsidRPr="00A3695F">
        <w:rPr>
          <w:rStyle w:val="FootnoteReference"/>
          <w:rFonts w:cs="Times New Roman"/>
          <w:noProof/>
          <w:lang w:val="pl-PL"/>
        </w:rPr>
        <w:footnoteReference w:id="98"/>
      </w:r>
      <w:r w:rsidRPr="00A3695F">
        <w:rPr>
          <w:noProof/>
          <w:lang w:val="pl-PL"/>
        </w:rPr>
        <w:t xml:space="preserve"> umożliwi szybkie reagowanie</w:t>
      </w:r>
      <w:r w:rsidR="003937FF" w:rsidRPr="00A3695F">
        <w:rPr>
          <w:noProof/>
          <w:lang w:val="pl-PL"/>
        </w:rPr>
        <w:t xml:space="preserve"> w</w:t>
      </w:r>
      <w:r w:rsidR="003937FF">
        <w:rPr>
          <w:noProof/>
          <w:lang w:val="pl-PL"/>
        </w:rPr>
        <w:t> </w:t>
      </w:r>
      <w:r w:rsidR="003937FF" w:rsidRPr="00A3695F">
        <w:rPr>
          <w:noProof/>
          <w:lang w:val="pl-PL"/>
        </w:rPr>
        <w:t>syt</w:t>
      </w:r>
      <w:r w:rsidRPr="00A3695F">
        <w:rPr>
          <w:noProof/>
          <w:lang w:val="pl-PL"/>
        </w:rPr>
        <w:t>uacjach kryzysowych</w:t>
      </w:r>
      <w:r w:rsidR="003937FF" w:rsidRPr="00A3695F">
        <w:rPr>
          <w:noProof/>
          <w:lang w:val="pl-PL"/>
        </w:rPr>
        <w:t xml:space="preserve"> w</w:t>
      </w:r>
      <w:r w:rsidR="003937FF">
        <w:rPr>
          <w:noProof/>
          <w:lang w:val="pl-PL"/>
        </w:rPr>
        <w:t> </w:t>
      </w:r>
      <w:r w:rsidR="003937FF" w:rsidRPr="00A3695F">
        <w:rPr>
          <w:noProof/>
          <w:lang w:val="pl-PL"/>
        </w:rPr>
        <w:t>cel</w:t>
      </w:r>
      <w:r w:rsidRPr="00A3695F">
        <w:rPr>
          <w:noProof/>
          <w:lang w:val="pl-PL"/>
        </w:rPr>
        <w:t>u utrzymania przepływu towarów</w:t>
      </w:r>
      <w:r w:rsidR="003937FF" w:rsidRPr="00A3695F">
        <w:rPr>
          <w:noProof/>
          <w:lang w:val="pl-PL"/>
        </w:rPr>
        <w:t xml:space="preserve"> i</w:t>
      </w:r>
      <w:r w:rsidR="003937FF">
        <w:rPr>
          <w:noProof/>
          <w:lang w:val="pl-PL"/>
        </w:rPr>
        <w:t> </w:t>
      </w:r>
      <w:r w:rsidR="003937FF" w:rsidRPr="00A3695F">
        <w:rPr>
          <w:noProof/>
          <w:lang w:val="pl-PL"/>
        </w:rPr>
        <w:t>osó</w:t>
      </w:r>
      <w:r w:rsidRPr="00A3695F">
        <w:rPr>
          <w:noProof/>
          <w:lang w:val="pl-PL"/>
        </w:rPr>
        <w:t>b oraz zapewnienia dostępu do niezbędnych dostaw</w:t>
      </w:r>
      <w:r w:rsidR="003937FF" w:rsidRPr="00A3695F">
        <w:rPr>
          <w:noProof/>
          <w:lang w:val="pl-PL"/>
        </w:rPr>
        <w:t xml:space="preserve"> i</w:t>
      </w:r>
      <w:r w:rsidR="003937FF">
        <w:rPr>
          <w:noProof/>
          <w:lang w:val="pl-PL"/>
        </w:rPr>
        <w:t> </w:t>
      </w:r>
      <w:r w:rsidR="003937FF" w:rsidRPr="00A3695F">
        <w:rPr>
          <w:noProof/>
          <w:lang w:val="pl-PL"/>
        </w:rPr>
        <w:t>usł</w:t>
      </w:r>
      <w:r w:rsidRPr="00A3695F">
        <w:rPr>
          <w:noProof/>
          <w:lang w:val="pl-PL"/>
        </w:rPr>
        <w:t>ug.</w:t>
      </w:r>
    </w:p>
    <w:tbl>
      <w:tblPr>
        <w:tblStyle w:val="law"/>
        <w:tblW w:w="0" w:type="auto"/>
        <w:tblLook w:val="04A0" w:firstRow="1" w:lastRow="0" w:firstColumn="1" w:lastColumn="0" w:noHBand="0" w:noVBand="1"/>
      </w:tblPr>
      <w:tblGrid>
        <w:gridCol w:w="9288"/>
      </w:tblGrid>
      <w:tr w:rsidR="005C6927" w:rsidRPr="00A3695F" w14:paraId="0FA7EA38" w14:textId="77777777" w:rsidTr="00ED72CF">
        <w:tc>
          <w:tcPr>
            <w:tcW w:w="9288" w:type="dxa"/>
            <w:shd w:val="clear" w:color="auto" w:fill="EDF2F9"/>
          </w:tcPr>
          <w:p w14:paraId="402C4908" w14:textId="24D6673A" w:rsidR="005C6927" w:rsidRPr="003937FF" w:rsidRDefault="005C6927" w:rsidP="00ED72CF">
            <w:pPr>
              <w:pStyle w:val="Style2"/>
              <w:jc w:val="left"/>
              <w:rPr>
                <w:noProof/>
                <w:lang w:val="pl-PL"/>
              </w:rPr>
            </w:pPr>
            <w:r w:rsidRPr="003937FF">
              <w:rPr>
                <w:noProof/>
                <w:lang w:val="pl-PL"/>
              </w:rPr>
              <w:t>Korzystanie</w:t>
            </w:r>
            <w:r w:rsidR="003937FF" w:rsidRPr="003937FF">
              <w:rPr>
                <w:noProof/>
                <w:lang w:val="pl-PL"/>
              </w:rPr>
              <w:t xml:space="preserve"> z</w:t>
            </w:r>
            <w:r w:rsidR="003937FF">
              <w:rPr>
                <w:rFonts w:ascii="Calibri" w:hAnsi="Calibri" w:cs="Calibri"/>
                <w:noProof/>
                <w:lang w:val="pl-PL"/>
              </w:rPr>
              <w:t> </w:t>
            </w:r>
            <w:r w:rsidR="003937FF" w:rsidRPr="003937FF">
              <w:rPr>
                <w:noProof/>
                <w:lang w:val="pl-PL"/>
              </w:rPr>
              <w:t>zes</w:t>
            </w:r>
            <w:r w:rsidRPr="003937FF">
              <w:rPr>
                <w:noProof/>
                <w:lang w:val="pl-PL"/>
              </w:rPr>
              <w:t>tawu różnych narzędzi egzekwowania prawa</w:t>
            </w:r>
            <w:r w:rsidR="003937FF" w:rsidRPr="003937FF">
              <w:rPr>
                <w:noProof/>
                <w:lang w:val="pl-PL"/>
              </w:rPr>
              <w:t xml:space="preserve"> w</w:t>
            </w:r>
            <w:r w:rsidR="003937FF">
              <w:rPr>
                <w:rFonts w:ascii="Calibri" w:hAnsi="Calibri" w:cs="Calibri"/>
                <w:noProof/>
                <w:lang w:val="pl-PL"/>
              </w:rPr>
              <w:t> </w:t>
            </w:r>
            <w:r w:rsidR="003937FF" w:rsidRPr="003937FF">
              <w:rPr>
                <w:noProof/>
                <w:lang w:val="pl-PL"/>
              </w:rPr>
              <w:t>tra</w:t>
            </w:r>
            <w:r w:rsidRPr="003937FF">
              <w:rPr>
                <w:noProof/>
                <w:lang w:val="pl-PL"/>
              </w:rPr>
              <w:t>kcie kryzysu</w:t>
            </w:r>
          </w:p>
          <w:p w14:paraId="7DFA8AB3" w14:textId="459920AB" w:rsidR="005C6927" w:rsidRPr="00A3695F" w:rsidRDefault="005C6927" w:rsidP="00ED72CF">
            <w:pPr>
              <w:spacing w:line="276" w:lineRule="auto"/>
              <w:jc w:val="both"/>
              <w:rPr>
                <w:rFonts w:ascii="Times New Roman" w:hAnsi="Times New Roman" w:cs="Times New Roman"/>
                <w:noProof/>
                <w:sz w:val="24"/>
                <w:lang w:val="pl-PL"/>
              </w:rPr>
            </w:pPr>
            <w:r w:rsidRPr="00A3695F">
              <w:rPr>
                <w:rFonts w:ascii="Times New Roman" w:hAnsi="Times New Roman"/>
                <w:noProof/>
                <w:sz w:val="24"/>
                <w:u w:color="000000"/>
                <w:bdr w:val="nil"/>
                <w:lang w:val="pl-PL"/>
              </w:rPr>
              <w:t>Pandemia COVID-19 spowodowała poważne zakłócenia</w:t>
            </w:r>
            <w:r w:rsidR="003937FF" w:rsidRPr="00A3695F">
              <w:rPr>
                <w:rFonts w:ascii="Times New Roman" w:hAnsi="Times New Roman"/>
                <w:noProof/>
                <w:sz w:val="24"/>
                <w:u w:color="000000"/>
                <w:bdr w:val="nil"/>
                <w:lang w:val="pl-PL"/>
              </w:rPr>
              <w:t xml:space="preserve"> w</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bra</w:t>
            </w:r>
            <w:r w:rsidRPr="00A3695F">
              <w:rPr>
                <w:rFonts w:ascii="Times New Roman" w:hAnsi="Times New Roman"/>
                <w:noProof/>
                <w:sz w:val="24"/>
                <w:u w:color="000000"/>
                <w:bdr w:val="nil"/>
                <w:lang w:val="pl-PL"/>
              </w:rPr>
              <w:t xml:space="preserve">nży turystycznej. Szereg państw członkowskich uznało, że trzeba na to zareagować. </w:t>
            </w:r>
            <w:r w:rsidRPr="00A3695F">
              <w:rPr>
                <w:rFonts w:ascii="Times New Roman" w:hAnsi="Times New Roman"/>
                <w:noProof/>
                <w:sz w:val="24"/>
                <w:bdr w:val="nil"/>
                <w:lang w:val="pl-PL"/>
              </w:rPr>
              <w:t>Środki krajowe,</w:t>
            </w:r>
            <w:r w:rsidR="003937FF" w:rsidRPr="00A3695F">
              <w:rPr>
                <w:rFonts w:ascii="Times New Roman" w:hAnsi="Times New Roman"/>
                <w:noProof/>
                <w:sz w:val="24"/>
                <w:bdr w:val="nil"/>
                <w:lang w:val="pl-PL"/>
              </w:rPr>
              <w:t xml:space="preserve"> w</w:t>
            </w:r>
            <w:r w:rsidR="003937FF">
              <w:rPr>
                <w:rFonts w:ascii="Times New Roman" w:hAnsi="Times New Roman"/>
                <w:noProof/>
                <w:sz w:val="24"/>
                <w:bdr w:val="nil"/>
                <w:lang w:val="pl-PL"/>
              </w:rPr>
              <w:t> </w:t>
            </w:r>
            <w:r w:rsidR="003937FF" w:rsidRPr="00A3695F">
              <w:rPr>
                <w:rFonts w:ascii="Times New Roman" w:hAnsi="Times New Roman"/>
                <w:noProof/>
                <w:sz w:val="24"/>
                <w:bdr w:val="nil"/>
                <w:lang w:val="pl-PL"/>
              </w:rPr>
              <w:t>wyn</w:t>
            </w:r>
            <w:r w:rsidRPr="00A3695F">
              <w:rPr>
                <w:rFonts w:ascii="Times New Roman" w:hAnsi="Times New Roman"/>
                <w:noProof/>
                <w:sz w:val="24"/>
                <w:bdr w:val="nil"/>
                <w:lang w:val="pl-PL"/>
              </w:rPr>
              <w:t>iku których</w:t>
            </w:r>
            <w:r w:rsidR="003937FF" w:rsidRPr="00A3695F">
              <w:rPr>
                <w:rFonts w:ascii="Times New Roman" w:hAnsi="Times New Roman"/>
                <w:noProof/>
                <w:sz w:val="24"/>
                <w:bdr w:val="nil"/>
                <w:lang w:val="pl-PL"/>
              </w:rPr>
              <w:t xml:space="preserve"> w</w:t>
            </w:r>
            <w:r w:rsidR="003937FF">
              <w:rPr>
                <w:rFonts w:ascii="Times New Roman" w:hAnsi="Times New Roman"/>
                <w:noProof/>
                <w:sz w:val="24"/>
                <w:bdr w:val="nil"/>
                <w:lang w:val="pl-PL"/>
              </w:rPr>
              <w:t> </w:t>
            </w:r>
            <w:r w:rsidR="003937FF" w:rsidRPr="00A3695F">
              <w:rPr>
                <w:rFonts w:ascii="Times New Roman" w:hAnsi="Times New Roman"/>
                <w:noProof/>
                <w:sz w:val="24"/>
                <w:bdr w:val="nil"/>
                <w:lang w:val="pl-PL"/>
              </w:rPr>
              <w:t>kon</w:t>
            </w:r>
            <w:r w:rsidRPr="00A3695F">
              <w:rPr>
                <w:rFonts w:ascii="Times New Roman" w:hAnsi="Times New Roman"/>
                <w:noProof/>
                <w:sz w:val="24"/>
                <w:bdr w:val="nil"/>
                <w:lang w:val="pl-PL"/>
              </w:rPr>
              <w:t>tekście odwołania wyjazdów turystycznych poszkodowani otrzymali jedynie bony podróżne lub długo odsuwany</w:t>
            </w:r>
            <w:r w:rsidR="003937FF" w:rsidRPr="00A3695F">
              <w:rPr>
                <w:rFonts w:ascii="Times New Roman" w:hAnsi="Times New Roman"/>
                <w:noProof/>
                <w:sz w:val="24"/>
                <w:bdr w:val="nil"/>
                <w:lang w:val="pl-PL"/>
              </w:rPr>
              <w:t xml:space="preserve"> w</w:t>
            </w:r>
            <w:r w:rsidR="003937FF">
              <w:rPr>
                <w:rFonts w:ascii="Times New Roman" w:hAnsi="Times New Roman"/>
                <w:noProof/>
                <w:sz w:val="24"/>
                <w:bdr w:val="nil"/>
                <w:lang w:val="pl-PL"/>
              </w:rPr>
              <w:t> </w:t>
            </w:r>
            <w:r w:rsidR="003937FF" w:rsidRPr="00A3695F">
              <w:rPr>
                <w:rFonts w:ascii="Times New Roman" w:hAnsi="Times New Roman"/>
                <w:noProof/>
                <w:sz w:val="24"/>
                <w:bdr w:val="nil"/>
                <w:lang w:val="pl-PL"/>
              </w:rPr>
              <w:t>cza</w:t>
            </w:r>
            <w:r w:rsidRPr="00A3695F">
              <w:rPr>
                <w:rFonts w:ascii="Times New Roman" w:hAnsi="Times New Roman"/>
                <w:noProof/>
                <w:sz w:val="24"/>
                <w:bdr w:val="nil"/>
                <w:lang w:val="pl-PL"/>
              </w:rPr>
              <w:t>sie zwrot kosztów, nie były zgodne</w:t>
            </w:r>
            <w:r w:rsidR="003937FF" w:rsidRPr="00A3695F">
              <w:rPr>
                <w:rFonts w:ascii="Times New Roman" w:hAnsi="Times New Roman"/>
                <w:noProof/>
                <w:sz w:val="24"/>
                <w:bdr w:val="nil"/>
                <w:lang w:val="pl-PL"/>
              </w:rPr>
              <w:t xml:space="preserve"> z</w:t>
            </w:r>
            <w:r w:rsidR="003937FF">
              <w:rPr>
                <w:rFonts w:ascii="Times New Roman" w:hAnsi="Times New Roman"/>
                <w:noProof/>
                <w:sz w:val="24"/>
                <w:bdr w:val="nil"/>
                <w:lang w:val="pl-PL"/>
              </w:rPr>
              <w:t> </w:t>
            </w:r>
            <w:r w:rsidR="003937FF" w:rsidRPr="00A3695F">
              <w:rPr>
                <w:rFonts w:ascii="Times New Roman" w:hAnsi="Times New Roman"/>
                <w:noProof/>
                <w:sz w:val="24"/>
                <w:bdr w:val="nil"/>
                <w:lang w:val="pl-PL"/>
              </w:rPr>
              <w:t>pra</w:t>
            </w:r>
            <w:r w:rsidRPr="00A3695F">
              <w:rPr>
                <w:rFonts w:ascii="Times New Roman" w:hAnsi="Times New Roman"/>
                <w:noProof/>
                <w:sz w:val="24"/>
                <w:bdr w:val="nil"/>
                <w:lang w:val="pl-PL"/>
              </w:rPr>
              <w:t>wami podróżnych do zwrotu kosztów na mocy prawa Unii</w:t>
            </w:r>
            <w:r w:rsidR="003937FF" w:rsidRPr="00A3695F">
              <w:rPr>
                <w:rFonts w:ascii="Times New Roman" w:hAnsi="Times New Roman"/>
                <w:noProof/>
                <w:sz w:val="24"/>
                <w:bdr w:val="nil"/>
                <w:lang w:val="pl-PL"/>
              </w:rPr>
              <w:t xml:space="preserve">. </w:t>
            </w:r>
            <w:r w:rsidR="003937FF" w:rsidRPr="00A3695F">
              <w:rPr>
                <w:rFonts w:ascii="Times New Roman" w:hAnsi="Times New Roman"/>
                <w:noProof/>
                <w:sz w:val="24"/>
                <w:u w:color="000000"/>
                <w:bdr w:val="nil"/>
                <w:lang w:val="pl-PL"/>
              </w:rPr>
              <w:t>W</w:t>
            </w:r>
            <w:r w:rsidR="003937FF">
              <w:rPr>
                <w:rFonts w:ascii="Times New Roman" w:hAnsi="Times New Roman"/>
                <w:noProof/>
                <w:sz w:val="24"/>
                <w:bdr w:val="nil"/>
                <w:lang w:val="pl-PL"/>
              </w:rPr>
              <w:t> </w:t>
            </w:r>
            <w:r w:rsidR="003937FF" w:rsidRPr="00A3695F">
              <w:rPr>
                <w:rFonts w:ascii="Times New Roman" w:hAnsi="Times New Roman"/>
                <w:noProof/>
                <w:sz w:val="24"/>
                <w:u w:color="000000"/>
                <w:bdr w:val="nil"/>
                <w:lang w:val="pl-PL"/>
              </w:rPr>
              <w:t>pie</w:t>
            </w:r>
            <w:r w:rsidRPr="00A3695F">
              <w:rPr>
                <w:rFonts w:ascii="Times New Roman" w:hAnsi="Times New Roman"/>
                <w:noProof/>
                <w:sz w:val="24"/>
                <w:u w:color="000000"/>
                <w:bdr w:val="nil"/>
                <w:lang w:val="pl-PL"/>
              </w:rPr>
              <w:t>rwszej kolejności Komisja przedstawiła na wczesnym etapie wytyczne dotyczące stosowania przepisów UE</w:t>
            </w:r>
            <w:r w:rsidR="003937FF" w:rsidRPr="00A3695F">
              <w:rPr>
                <w:rFonts w:ascii="Times New Roman" w:hAnsi="Times New Roman"/>
                <w:noProof/>
                <w:sz w:val="24"/>
                <w:u w:color="000000"/>
                <w:bdr w:val="nil"/>
                <w:lang w:val="pl-PL"/>
              </w:rPr>
              <w:t xml:space="preserve"> w</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zak</w:t>
            </w:r>
            <w:r w:rsidRPr="00A3695F">
              <w:rPr>
                <w:rFonts w:ascii="Times New Roman" w:hAnsi="Times New Roman"/>
                <w:noProof/>
                <w:sz w:val="24"/>
                <w:u w:color="000000"/>
                <w:bdr w:val="nil"/>
                <w:lang w:val="pl-PL"/>
              </w:rPr>
              <w:t xml:space="preserve">resie </w:t>
            </w:r>
            <w:r w:rsidRPr="003937FF">
              <w:rPr>
                <w:rFonts w:ascii="Times New Roman" w:hAnsi="Times New Roman"/>
                <w:b/>
                <w:noProof/>
                <w:sz w:val="24"/>
                <w:u w:color="000000"/>
                <w:bdr w:val="nil"/>
                <w:lang w:val="pl-PL"/>
              </w:rPr>
              <w:t>praw pasażerów</w:t>
            </w:r>
            <w:r w:rsidRPr="00A3695F">
              <w:rPr>
                <w:rStyle w:val="FootnoteReference"/>
                <w:rFonts w:ascii="Times New Roman" w:hAnsi="Times New Roman" w:cs="Times New Roman"/>
                <w:noProof/>
                <w:sz w:val="24"/>
                <w:lang w:val="pl-PL"/>
              </w:rPr>
              <w:footnoteReference w:id="99"/>
            </w:r>
            <w:r w:rsidR="003937FF" w:rsidRPr="00A3695F">
              <w:rPr>
                <w:rFonts w:ascii="Times New Roman" w:hAnsi="Times New Roman"/>
                <w:noProof/>
                <w:sz w:val="24"/>
                <w:u w:color="000000"/>
                <w:bdr w:val="nil"/>
                <w:lang w:val="pl-PL"/>
              </w:rPr>
              <w:t xml:space="preserve"> i</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wyd</w:t>
            </w:r>
            <w:r w:rsidRPr="00A3695F">
              <w:rPr>
                <w:rFonts w:ascii="Times New Roman" w:hAnsi="Times New Roman"/>
                <w:noProof/>
                <w:sz w:val="24"/>
                <w:u w:color="000000"/>
                <w:bdr w:val="nil"/>
                <w:lang w:val="pl-PL"/>
              </w:rPr>
              <w:t>ała zalecenie</w:t>
            </w:r>
            <w:r w:rsidR="003937FF" w:rsidRPr="00A3695F">
              <w:rPr>
                <w:rFonts w:ascii="Times New Roman" w:hAnsi="Times New Roman"/>
                <w:noProof/>
                <w:sz w:val="24"/>
                <w:u w:color="000000"/>
                <w:bdr w:val="nil"/>
                <w:lang w:val="pl-PL"/>
              </w:rPr>
              <w:t xml:space="preserve"> w</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spr</w:t>
            </w:r>
            <w:r w:rsidRPr="00A3695F">
              <w:rPr>
                <w:rFonts w:ascii="Times New Roman" w:hAnsi="Times New Roman"/>
                <w:noProof/>
                <w:sz w:val="24"/>
                <w:u w:color="000000"/>
                <w:bdr w:val="nil"/>
                <w:lang w:val="pl-PL"/>
              </w:rPr>
              <w:t>awie bonów oferowanych jako alternatywa dla zwrotu pieniędzy za odwołane imprezy turystyczne, podkreślając również,</w:t>
            </w:r>
            <w:r w:rsidR="003937FF" w:rsidRPr="00A3695F">
              <w:rPr>
                <w:rFonts w:ascii="Times New Roman" w:hAnsi="Times New Roman"/>
                <w:noProof/>
                <w:sz w:val="24"/>
                <w:u w:color="000000"/>
                <w:bdr w:val="nil"/>
                <w:lang w:val="pl-PL"/>
              </w:rPr>
              <w:t xml:space="preserve"> w</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jak</w:t>
            </w:r>
            <w:r w:rsidRPr="00A3695F">
              <w:rPr>
                <w:rFonts w:ascii="Times New Roman" w:hAnsi="Times New Roman"/>
                <w:noProof/>
                <w:sz w:val="24"/>
                <w:u w:color="000000"/>
                <w:bdr w:val="nil"/>
                <w:lang w:val="pl-PL"/>
              </w:rPr>
              <w:t>i sposób państwa członkowskie mogłyby wspomagać płynność finansową przewoźników</w:t>
            </w:r>
            <w:r w:rsidRPr="00A3695F">
              <w:rPr>
                <w:rStyle w:val="FootnoteReference"/>
                <w:rFonts w:ascii="Times New Roman" w:hAnsi="Times New Roman" w:cs="Times New Roman"/>
                <w:noProof/>
                <w:sz w:val="24"/>
                <w:lang w:val="pl-PL"/>
              </w:rPr>
              <w:footnoteReference w:id="100"/>
            </w:r>
            <w:r w:rsidR="003937FF" w:rsidRPr="00A3695F">
              <w:rPr>
                <w:rFonts w:ascii="Times New Roman" w:hAnsi="Times New Roman"/>
                <w:noProof/>
                <w:sz w:val="24"/>
                <w:u w:color="000000"/>
                <w:bdr w:val="nil"/>
                <w:lang w:val="pl-PL"/>
              </w:rPr>
              <w:t>. W</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kwe</w:t>
            </w:r>
            <w:r w:rsidRPr="00A3695F">
              <w:rPr>
                <w:rFonts w:ascii="Times New Roman" w:hAnsi="Times New Roman"/>
                <w:noProof/>
                <w:sz w:val="24"/>
                <w:u w:color="000000"/>
                <w:bdr w:val="nil"/>
                <w:lang w:val="pl-PL"/>
              </w:rPr>
              <w:t>stii dialogu</w:t>
            </w:r>
            <w:r w:rsidR="003937FF" w:rsidRPr="00A3695F">
              <w:rPr>
                <w:rFonts w:ascii="Times New Roman" w:hAnsi="Times New Roman"/>
                <w:noProof/>
                <w:sz w:val="24"/>
                <w:u w:color="000000"/>
                <w:bdr w:val="nil"/>
                <w:lang w:val="pl-PL"/>
              </w:rPr>
              <w:t xml:space="preserve"> z</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lin</w:t>
            </w:r>
            <w:r w:rsidRPr="00A3695F">
              <w:rPr>
                <w:rFonts w:ascii="Times New Roman" w:hAnsi="Times New Roman"/>
                <w:noProof/>
                <w:sz w:val="24"/>
                <w:u w:color="000000"/>
                <w:bdr w:val="nil"/>
                <w:lang w:val="pl-PL"/>
              </w:rPr>
              <w:t>iami lotniczymi Komisja współpracowała również</w:t>
            </w:r>
            <w:r w:rsidR="003937FF" w:rsidRPr="00A3695F">
              <w:rPr>
                <w:rFonts w:ascii="Times New Roman" w:hAnsi="Times New Roman"/>
                <w:noProof/>
                <w:sz w:val="24"/>
                <w:u w:color="000000"/>
                <w:bdr w:val="nil"/>
                <w:lang w:val="pl-PL"/>
              </w:rPr>
              <w:t xml:space="preserve"> z</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org</w:t>
            </w:r>
            <w:r w:rsidRPr="00A3695F">
              <w:rPr>
                <w:rFonts w:ascii="Times New Roman" w:hAnsi="Times New Roman"/>
                <w:noProof/>
                <w:sz w:val="24"/>
                <w:u w:color="000000"/>
                <w:bdr w:val="nil"/>
                <w:lang w:val="pl-PL"/>
              </w:rPr>
              <w:t>anami egzekwowania prawa zrzeszonymi</w:t>
            </w:r>
            <w:r w:rsidR="003937FF" w:rsidRPr="00A3695F">
              <w:rPr>
                <w:rFonts w:ascii="Times New Roman" w:hAnsi="Times New Roman"/>
                <w:noProof/>
                <w:sz w:val="24"/>
                <w:u w:color="000000"/>
                <w:bdr w:val="nil"/>
                <w:lang w:val="pl-PL"/>
              </w:rPr>
              <w:t xml:space="preserve"> w</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sie</w:t>
            </w:r>
            <w:r w:rsidRPr="00A3695F">
              <w:rPr>
                <w:rFonts w:ascii="Times New Roman" w:hAnsi="Times New Roman"/>
                <w:noProof/>
                <w:sz w:val="24"/>
                <w:u w:color="000000"/>
                <w:bdr w:val="nil"/>
                <w:lang w:val="pl-PL"/>
              </w:rPr>
              <w:t>ci współpracy</w:t>
            </w:r>
            <w:r w:rsidR="003937FF" w:rsidRPr="00A3695F">
              <w:rPr>
                <w:rFonts w:ascii="Times New Roman" w:hAnsi="Times New Roman"/>
                <w:noProof/>
                <w:sz w:val="24"/>
                <w:u w:color="000000"/>
                <w:bdr w:val="nil"/>
                <w:lang w:val="pl-PL"/>
              </w:rPr>
              <w:t xml:space="preserve"> w</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zak</w:t>
            </w:r>
            <w:r w:rsidRPr="00A3695F">
              <w:rPr>
                <w:rFonts w:ascii="Times New Roman" w:hAnsi="Times New Roman"/>
                <w:noProof/>
                <w:sz w:val="24"/>
                <w:u w:color="000000"/>
                <w:bdr w:val="nil"/>
                <w:lang w:val="pl-PL"/>
              </w:rPr>
              <w:t>resie ochrony konsumenta</w:t>
            </w:r>
            <w:r w:rsidRPr="00A3695F">
              <w:rPr>
                <w:rStyle w:val="FootnoteReference"/>
                <w:rFonts w:ascii="Times New Roman" w:hAnsi="Times New Roman" w:cs="Times New Roman"/>
                <w:noProof/>
                <w:sz w:val="24"/>
                <w:lang w:val="pl-PL"/>
              </w:rPr>
              <w:footnoteReference w:id="101"/>
            </w:r>
            <w:r w:rsidR="003937FF" w:rsidRPr="00A3695F">
              <w:rPr>
                <w:rFonts w:ascii="Times New Roman" w:hAnsi="Times New Roman"/>
                <w:noProof/>
                <w:sz w:val="24"/>
                <w:u w:color="000000"/>
                <w:bdr w:val="nil"/>
                <w:lang w:val="pl-PL"/>
              </w:rPr>
              <w:t>. W</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rez</w:t>
            </w:r>
            <w:r w:rsidRPr="00A3695F">
              <w:rPr>
                <w:rFonts w:ascii="Times New Roman" w:hAnsi="Times New Roman"/>
                <w:noProof/>
                <w:sz w:val="24"/>
                <w:u w:color="000000"/>
                <w:bdr w:val="nil"/>
                <w:lang w:val="pl-PL"/>
              </w:rPr>
              <w:t>ultacie</w:t>
            </w:r>
            <w:r w:rsidR="003937FF" w:rsidRPr="00A3695F">
              <w:rPr>
                <w:rFonts w:ascii="Times New Roman" w:hAnsi="Times New Roman"/>
                <w:noProof/>
                <w:sz w:val="24"/>
                <w:u w:color="000000"/>
                <w:bdr w:val="nil"/>
                <w:lang w:val="pl-PL"/>
              </w:rPr>
              <w:t xml:space="preserve"> w</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2</w:t>
            </w:r>
            <w:r w:rsidRPr="00A3695F">
              <w:rPr>
                <w:rFonts w:ascii="Times New Roman" w:hAnsi="Times New Roman"/>
                <w:noProof/>
                <w:sz w:val="24"/>
                <w:u w:color="000000"/>
                <w:bdr w:val="nil"/>
                <w:lang w:val="pl-PL"/>
              </w:rPr>
              <w:t>0</w:t>
            </w:r>
            <w:r w:rsidRPr="003937FF">
              <w:rPr>
                <w:rFonts w:ascii="Times New Roman" w:hAnsi="Times New Roman"/>
                <w:noProof/>
                <w:sz w:val="24"/>
                <w:u w:color="000000"/>
                <w:bdr w:val="nil"/>
                <w:lang w:val="pl-PL"/>
              </w:rPr>
              <w:t>22</w:t>
            </w:r>
            <w:r w:rsidR="003937FF" w:rsidRPr="003937FF">
              <w:rPr>
                <w:rFonts w:ascii="Times New Roman" w:hAnsi="Times New Roman"/>
                <w:noProof/>
                <w:sz w:val="24"/>
                <w:u w:color="000000"/>
                <w:bdr w:val="nil"/>
                <w:lang w:val="pl-PL"/>
              </w:rPr>
              <w:t> </w:t>
            </w:r>
            <w:r w:rsidRPr="003937FF">
              <w:rPr>
                <w:rFonts w:ascii="Times New Roman" w:hAnsi="Times New Roman"/>
                <w:noProof/>
                <w:sz w:val="24"/>
                <w:u w:color="000000"/>
                <w:bdr w:val="nil"/>
                <w:lang w:val="pl-PL"/>
              </w:rPr>
              <w:t>r.</w:t>
            </w:r>
            <w:r w:rsidRPr="00A3695F">
              <w:rPr>
                <w:rFonts w:ascii="Times New Roman" w:hAnsi="Times New Roman"/>
                <w:noProof/>
                <w:sz w:val="24"/>
                <w:u w:color="000000"/>
                <w:bdr w:val="nil"/>
                <w:lang w:val="pl-PL"/>
              </w:rPr>
              <w:t xml:space="preserve"> 16 głównych europejskich linii lotniczych uzgodniło reakcję obejmującą zwrot kosztów</w:t>
            </w:r>
            <w:r w:rsidR="003937FF" w:rsidRPr="00A3695F">
              <w:rPr>
                <w:rFonts w:ascii="Times New Roman" w:hAnsi="Times New Roman"/>
                <w:noProof/>
                <w:sz w:val="24"/>
                <w:u w:color="000000"/>
                <w:bdr w:val="nil"/>
                <w:lang w:val="pl-PL"/>
              </w:rPr>
              <w:t xml:space="preserve"> w</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pos</w:t>
            </w:r>
            <w:r w:rsidRPr="00A3695F">
              <w:rPr>
                <w:rFonts w:ascii="Times New Roman" w:hAnsi="Times New Roman"/>
                <w:noProof/>
                <w:sz w:val="24"/>
                <w:u w:color="000000"/>
                <w:bdr w:val="nil"/>
                <w:lang w:val="pl-PL"/>
              </w:rPr>
              <w:t>taci ponad 500 000 voucherów na przelot wydanych konsumentom, których loty odwołano</w:t>
            </w:r>
            <w:r w:rsidR="003937FF" w:rsidRPr="00A3695F">
              <w:rPr>
                <w:rFonts w:ascii="Times New Roman" w:hAnsi="Times New Roman"/>
                <w:noProof/>
                <w:sz w:val="24"/>
                <w:u w:color="000000"/>
                <w:bdr w:val="nil"/>
                <w:lang w:val="pl-PL"/>
              </w:rPr>
              <w:t xml:space="preserve"> w</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cza</w:t>
            </w:r>
            <w:r w:rsidRPr="00A3695F">
              <w:rPr>
                <w:rFonts w:ascii="Times New Roman" w:hAnsi="Times New Roman"/>
                <w:noProof/>
                <w:sz w:val="24"/>
                <w:u w:color="000000"/>
                <w:bdr w:val="nil"/>
                <w:lang w:val="pl-PL"/>
              </w:rPr>
              <w:t>sie pandemii. Komisja wszczęła również postępowania</w:t>
            </w:r>
            <w:r w:rsidR="003937FF" w:rsidRPr="00A3695F">
              <w:rPr>
                <w:rFonts w:ascii="Times New Roman" w:hAnsi="Times New Roman"/>
                <w:noProof/>
                <w:sz w:val="24"/>
                <w:u w:color="000000"/>
                <w:bdr w:val="nil"/>
                <w:lang w:val="pl-PL"/>
              </w:rPr>
              <w:t xml:space="preserve"> w</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spr</w:t>
            </w:r>
            <w:r w:rsidRPr="00A3695F">
              <w:rPr>
                <w:rFonts w:ascii="Times New Roman" w:hAnsi="Times New Roman"/>
                <w:noProof/>
                <w:sz w:val="24"/>
                <w:u w:color="000000"/>
                <w:bdr w:val="nil"/>
                <w:lang w:val="pl-PL"/>
              </w:rPr>
              <w:t>awie uchybienia zobowiązaniom państwa członkowskiego przeciwko krajom, które przyjęły przepisy sprzeczne</w:t>
            </w:r>
            <w:r w:rsidR="003937FF" w:rsidRPr="00A3695F">
              <w:rPr>
                <w:rFonts w:ascii="Times New Roman" w:hAnsi="Times New Roman"/>
                <w:noProof/>
                <w:sz w:val="24"/>
                <w:u w:color="000000"/>
                <w:bdr w:val="nil"/>
                <w:lang w:val="pl-PL"/>
              </w:rPr>
              <w:t xml:space="preserve"> z</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roz</w:t>
            </w:r>
            <w:r w:rsidRPr="00A3695F">
              <w:rPr>
                <w:rFonts w:ascii="Times New Roman" w:hAnsi="Times New Roman"/>
                <w:noProof/>
                <w:sz w:val="24"/>
                <w:u w:color="000000"/>
                <w:bdr w:val="nil"/>
                <w:lang w:val="pl-PL"/>
              </w:rPr>
              <w:t>porządzeniem</w:t>
            </w:r>
            <w:r w:rsidR="003937FF" w:rsidRPr="00A3695F">
              <w:rPr>
                <w:rFonts w:ascii="Times New Roman" w:hAnsi="Times New Roman"/>
                <w:noProof/>
                <w:sz w:val="24"/>
                <w:u w:color="000000"/>
                <w:bdr w:val="nil"/>
                <w:lang w:val="pl-PL"/>
              </w:rPr>
              <w:t xml:space="preserve"> w</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spr</w:t>
            </w:r>
            <w:r w:rsidRPr="00A3695F">
              <w:rPr>
                <w:rFonts w:ascii="Times New Roman" w:hAnsi="Times New Roman"/>
                <w:noProof/>
                <w:sz w:val="24"/>
                <w:u w:color="000000"/>
                <w:bdr w:val="nil"/>
                <w:lang w:val="pl-PL"/>
              </w:rPr>
              <w:t>awie praw pasażerów w UE</w:t>
            </w:r>
            <w:r w:rsidRPr="00A3695F">
              <w:rPr>
                <w:rStyle w:val="FootnoteReference"/>
                <w:rFonts w:ascii="Times New Roman" w:eastAsia="Arial Unicode MS" w:hAnsi="Times New Roman" w:cs="Arial Unicode MS"/>
                <w:noProof/>
                <w:sz w:val="24"/>
                <w:u w:color="000000"/>
                <w:bdr w:val="nil"/>
                <w:lang w:val="pl-PL"/>
              </w:rPr>
              <w:footnoteReference w:id="102"/>
            </w:r>
            <w:r w:rsidRPr="00A3695F">
              <w:rPr>
                <w:rFonts w:ascii="Times New Roman" w:hAnsi="Times New Roman"/>
                <w:noProof/>
                <w:sz w:val="24"/>
                <w:u w:color="000000"/>
                <w:bdr w:val="nil"/>
                <w:lang w:val="pl-PL"/>
              </w:rPr>
              <w:t xml:space="preserve"> lub dyrektywą</w:t>
            </w:r>
            <w:r w:rsidR="003937FF" w:rsidRPr="00A3695F">
              <w:rPr>
                <w:rFonts w:ascii="Times New Roman" w:hAnsi="Times New Roman"/>
                <w:noProof/>
                <w:sz w:val="24"/>
                <w:u w:color="000000"/>
                <w:bdr w:val="nil"/>
                <w:lang w:val="pl-PL"/>
              </w:rPr>
              <w:t xml:space="preserve"> w</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spr</w:t>
            </w:r>
            <w:r w:rsidRPr="00A3695F">
              <w:rPr>
                <w:rFonts w:ascii="Times New Roman" w:hAnsi="Times New Roman"/>
                <w:noProof/>
                <w:sz w:val="24"/>
                <w:u w:color="000000"/>
                <w:bdr w:val="nil"/>
                <w:lang w:val="pl-PL"/>
              </w:rPr>
              <w:t>awie imprez turystycznych</w:t>
            </w:r>
            <w:r w:rsidRPr="00A3695F">
              <w:rPr>
                <w:rStyle w:val="FootnoteReference"/>
                <w:rFonts w:ascii="Times New Roman" w:eastAsia="Arial Unicode MS" w:hAnsi="Times New Roman" w:cs="Arial Unicode MS"/>
                <w:noProof/>
                <w:sz w:val="24"/>
                <w:u w:color="000000"/>
                <w:bdr w:val="nil"/>
                <w:lang w:val="pl-PL"/>
              </w:rPr>
              <w:footnoteReference w:id="103"/>
            </w:r>
            <w:r w:rsidRPr="00A3695F">
              <w:rPr>
                <w:rFonts w:ascii="Times New Roman" w:hAnsi="Times New Roman"/>
                <w:noProof/>
                <w:sz w:val="24"/>
                <w:u w:color="000000"/>
                <w:bdr w:val="nil"/>
                <w:lang w:val="pl-PL"/>
              </w:rPr>
              <w:t>. Zdecydowana większość tych państw szybko dostosowała swoje praktyki do prawa Unii</w:t>
            </w:r>
            <w:r w:rsidR="003937FF" w:rsidRPr="00A3695F">
              <w:rPr>
                <w:rFonts w:ascii="Times New Roman" w:hAnsi="Times New Roman"/>
                <w:noProof/>
                <w:sz w:val="24"/>
                <w:u w:color="000000"/>
                <w:bdr w:val="nil"/>
                <w:lang w:val="pl-PL"/>
              </w:rPr>
              <w:t xml:space="preserve"> i</w:t>
            </w:r>
            <w:r w:rsidR="003937FF">
              <w:rPr>
                <w:rFonts w:ascii="Times New Roman" w:hAnsi="Times New Roman"/>
                <w:noProof/>
                <w:sz w:val="24"/>
                <w:u w:color="000000"/>
                <w:bdr w:val="nil"/>
                <w:lang w:val="pl-PL"/>
              </w:rPr>
              <w:t> </w:t>
            </w:r>
            <w:r w:rsidR="003937FF" w:rsidRPr="00A3695F">
              <w:rPr>
                <w:rFonts w:ascii="Times New Roman" w:hAnsi="Times New Roman"/>
                <w:noProof/>
                <w:sz w:val="24"/>
                <w:u w:color="000000"/>
                <w:bdr w:val="nil"/>
                <w:lang w:val="pl-PL"/>
              </w:rPr>
              <w:t>tyl</w:t>
            </w:r>
            <w:r w:rsidRPr="00A3695F">
              <w:rPr>
                <w:rFonts w:ascii="Times New Roman" w:hAnsi="Times New Roman"/>
                <w:noProof/>
                <w:sz w:val="24"/>
                <w:u w:color="000000"/>
                <w:bdr w:val="nil"/>
                <w:lang w:val="pl-PL"/>
              </w:rPr>
              <w:t>ko jedna sprawa wymagała skierowania do Trybunału Sprawiedliwości.</w:t>
            </w:r>
          </w:p>
        </w:tc>
      </w:tr>
    </w:tbl>
    <w:p w14:paraId="5ADA0FF2" w14:textId="77777777" w:rsidR="00CD50CB" w:rsidRPr="003937FF" w:rsidRDefault="00422639" w:rsidP="001276A3">
      <w:pPr>
        <w:pStyle w:val="Heading11"/>
        <w:numPr>
          <w:ilvl w:val="0"/>
          <w:numId w:val="1"/>
        </w:numPr>
        <w:spacing w:before="480"/>
        <w:ind w:left="1077"/>
        <w:rPr>
          <w:noProof/>
          <w:u w:val="none"/>
          <w:lang w:val="pl-PL"/>
        </w:rPr>
      </w:pPr>
      <w:r w:rsidRPr="003937FF">
        <w:rPr>
          <w:noProof/>
          <w:u w:val="none"/>
          <w:lang w:val="pl-PL"/>
        </w:rPr>
        <w:t>WNIOSKI</w:t>
      </w:r>
    </w:p>
    <w:p w14:paraId="7AA295B2" w14:textId="5F57265D" w:rsidR="008F3924" w:rsidRPr="00A3695F" w:rsidRDefault="008F3924" w:rsidP="008F3924">
      <w:pPr>
        <w:jc w:val="both"/>
        <w:rPr>
          <w:rFonts w:ascii="Times New Roman" w:hAnsi="Times New Roman" w:cs="Times New Roman"/>
          <w:noProof/>
          <w:sz w:val="24"/>
          <w:lang w:val="pl-PL"/>
        </w:rPr>
      </w:pPr>
      <w:r w:rsidRPr="00A3695F">
        <w:rPr>
          <w:rFonts w:ascii="Times New Roman" w:hAnsi="Times New Roman"/>
          <w:noProof/>
          <w:sz w:val="24"/>
          <w:lang w:val="pl-PL"/>
        </w:rPr>
        <w:t>Egzekwowanie prawa Unii jest</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poz</w:t>
      </w:r>
      <w:r w:rsidRPr="00A3695F">
        <w:rPr>
          <w:rFonts w:ascii="Times New Roman" w:hAnsi="Times New Roman"/>
          <w:noProof/>
          <w:sz w:val="24"/>
          <w:lang w:val="pl-PL"/>
        </w:rPr>
        <w:t>ostanie jednym</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głó</w:t>
      </w:r>
      <w:r w:rsidRPr="00A3695F">
        <w:rPr>
          <w:rFonts w:ascii="Times New Roman" w:hAnsi="Times New Roman"/>
          <w:noProof/>
          <w:sz w:val="24"/>
          <w:lang w:val="pl-PL"/>
        </w:rPr>
        <w:t>wnych priorytetów Komisji</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nin</w:t>
      </w:r>
      <w:r w:rsidRPr="00A3695F">
        <w:rPr>
          <w:rFonts w:ascii="Times New Roman" w:hAnsi="Times New Roman"/>
          <w:noProof/>
          <w:sz w:val="24"/>
          <w:lang w:val="pl-PL"/>
        </w:rPr>
        <w:t>iejszym komunikacie przedstawiono szeroki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zró</w:t>
      </w:r>
      <w:r w:rsidRPr="00A3695F">
        <w:rPr>
          <w:rFonts w:ascii="Times New Roman" w:hAnsi="Times New Roman"/>
          <w:noProof/>
          <w:sz w:val="24"/>
          <w:lang w:val="pl-PL"/>
        </w:rPr>
        <w:t>żnicowany wachlarz środków, które Komisja wprowadza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egzekwowania prawa Unii, zawsze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zgo</w:t>
      </w:r>
      <w:r w:rsidRPr="00A3695F">
        <w:rPr>
          <w:rFonts w:ascii="Times New Roman" w:hAnsi="Times New Roman"/>
          <w:noProof/>
          <w:sz w:val="24"/>
          <w:lang w:val="pl-PL"/>
        </w:rPr>
        <w:t>dzie</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ost</w:t>
      </w:r>
      <w:r w:rsidRPr="00A3695F">
        <w:rPr>
          <w:rFonts w:ascii="Times New Roman" w:hAnsi="Times New Roman"/>
          <w:noProof/>
          <w:sz w:val="24"/>
          <w:lang w:val="pl-PL"/>
        </w:rPr>
        <w:t>atecznym celem: sprzyjaniem pozytywnym zmianom oraz zapewnieniem ludziom</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edsiębiorstwom pełni korzyści płynących</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teg</w:t>
      </w:r>
      <w:r w:rsidRPr="00A3695F">
        <w:rPr>
          <w:rFonts w:ascii="Times New Roman" w:hAnsi="Times New Roman"/>
          <w:noProof/>
          <w:sz w:val="24"/>
          <w:lang w:val="pl-PL"/>
        </w:rPr>
        <w:t>o prawa. Brak wdrożenia lub nieprawidłowe wdrożenie przepisów może mieć wiele przyczyn,</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Kom</w:t>
      </w:r>
      <w:r w:rsidRPr="00A3695F">
        <w:rPr>
          <w:rFonts w:ascii="Times New Roman" w:hAnsi="Times New Roman"/>
          <w:noProof/>
          <w:sz w:val="24"/>
          <w:lang w:val="pl-PL"/>
        </w:rPr>
        <w:t>isja opracowała zróżnicowany zestaw narzędzi, aby móc na nie reagować.</w:t>
      </w:r>
    </w:p>
    <w:p w14:paraId="4A55C540" w14:textId="4DCDA1EF" w:rsidR="008F3924" w:rsidRPr="00A3695F" w:rsidRDefault="008F3924" w:rsidP="008F3924">
      <w:pPr>
        <w:jc w:val="both"/>
        <w:rPr>
          <w:rFonts w:ascii="Times New Roman" w:hAnsi="Times New Roman" w:cs="Times New Roman"/>
          <w:noProof/>
          <w:sz w:val="24"/>
          <w:lang w:val="pl-PL"/>
        </w:rPr>
      </w:pPr>
      <w:r w:rsidRPr="00A3695F">
        <w:rPr>
          <w:rFonts w:ascii="Times New Roman" w:hAnsi="Times New Roman"/>
          <w:noProof/>
          <w:sz w:val="24"/>
          <w:lang w:val="pl-PL"/>
        </w:rPr>
        <w:t>Kompleksowe, inteligentne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str</w:t>
      </w:r>
      <w:r w:rsidRPr="00A3695F">
        <w:rPr>
          <w:rFonts w:ascii="Times New Roman" w:hAnsi="Times New Roman"/>
          <w:noProof/>
          <w:sz w:val="24"/>
          <w:lang w:val="pl-PL"/>
        </w:rPr>
        <w:t>ategiczne podejście do egzekwowania prawa przyniosło bezpośrednie korzyści – od czystszego powietrza, wyższych standardów jakości wody, bezpieczniejszego transportu</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lep</w:t>
      </w:r>
      <w:r w:rsidRPr="00A3695F">
        <w:rPr>
          <w:rFonts w:ascii="Times New Roman" w:hAnsi="Times New Roman"/>
          <w:noProof/>
          <w:sz w:val="24"/>
          <w:lang w:val="pl-PL"/>
        </w:rPr>
        <w:t>szej ochrony konsumentów po przestrzeganie podstawowych praw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wol</w:t>
      </w:r>
      <w:r w:rsidRPr="00A3695F">
        <w:rPr>
          <w:rFonts w:ascii="Times New Roman" w:hAnsi="Times New Roman"/>
          <w:noProof/>
          <w:sz w:val="24"/>
          <w:lang w:val="pl-PL"/>
        </w:rPr>
        <w:t>ności UE. We wszystkich tych przypadkach kluczowe znaczenie ma współpraca</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stwami członkowskimi: wdrażanie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sto</w:t>
      </w:r>
      <w:r w:rsidRPr="00A3695F">
        <w:rPr>
          <w:rFonts w:ascii="Times New Roman" w:hAnsi="Times New Roman"/>
          <w:noProof/>
          <w:sz w:val="24"/>
          <w:lang w:val="pl-PL"/>
        </w:rPr>
        <w:t>sowanie prawa Unii jest wynikiem połączonych wysiłków,</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estrzeganie przepisów zależy od podjęcia przez państwa członkowskie niezbędnych działań</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uniknięcia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szy</w:t>
      </w:r>
      <w:r w:rsidRPr="00A3695F">
        <w:rPr>
          <w:rFonts w:ascii="Times New Roman" w:hAnsi="Times New Roman"/>
          <w:noProof/>
          <w:sz w:val="24"/>
          <w:lang w:val="pl-PL"/>
        </w:rPr>
        <w:t>bkiego wyeliminowania wszelkich naruszeń,</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tym</w:t>
      </w:r>
      <w:r w:rsidRPr="00A3695F">
        <w:rPr>
          <w:rFonts w:ascii="Times New Roman" w:hAnsi="Times New Roman"/>
          <w:noProof/>
          <w:sz w:val="24"/>
          <w:lang w:val="pl-PL"/>
        </w:rPr>
        <w:t xml:space="preserve"> za pośrednictwem skutecznego krajowego system wymiaru sprawiedliwości</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nie</w:t>
      </w:r>
      <w:r w:rsidRPr="00A3695F">
        <w:rPr>
          <w:rFonts w:ascii="Times New Roman" w:hAnsi="Times New Roman"/>
          <w:noProof/>
          <w:sz w:val="24"/>
          <w:lang w:val="pl-PL"/>
        </w:rPr>
        <w:t>zależnymi sądami.</w:t>
      </w:r>
    </w:p>
    <w:p w14:paraId="577CFE31" w14:textId="6A9D399D" w:rsidR="008F3924" w:rsidRPr="00A3695F" w:rsidRDefault="008F3924" w:rsidP="008F3924">
      <w:pPr>
        <w:jc w:val="both"/>
        <w:rPr>
          <w:rFonts w:ascii="Times New Roman" w:hAnsi="Times New Roman" w:cs="Times New Roman"/>
          <w:noProof/>
          <w:sz w:val="24"/>
          <w:lang w:val="pl-PL"/>
        </w:rPr>
      </w:pPr>
      <w:r w:rsidRPr="00A3695F">
        <w:rPr>
          <w:rFonts w:ascii="Times New Roman" w:hAnsi="Times New Roman"/>
          <w:noProof/>
          <w:sz w:val="24"/>
          <w:lang w:val="pl-PL"/>
        </w:rPr>
        <w:t>Egzekwowanie prawa Unii nie ma charakteru jednorazowego, lecz wymaga stałych</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cią</w:t>
      </w:r>
      <w:r w:rsidRPr="00A3695F">
        <w:rPr>
          <w:rFonts w:ascii="Times New Roman" w:hAnsi="Times New Roman"/>
          <w:noProof/>
          <w:sz w:val="24"/>
          <w:lang w:val="pl-PL"/>
        </w:rPr>
        <w:t>głych starań ze strony Komisji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 członkowskich</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zapewnienia spójnego</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sku</w:t>
      </w:r>
      <w:r w:rsidRPr="00A3695F">
        <w:rPr>
          <w:rFonts w:ascii="Times New Roman" w:hAnsi="Times New Roman"/>
          <w:noProof/>
          <w:sz w:val="24"/>
          <w:lang w:val="pl-PL"/>
        </w:rPr>
        <w:t>tecznego stosowania przepisów UE oraz</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zapobiegania potencjalnym problemom. Szybko zmieniająca się sytuacja międzynarodowa, nieoczekiwane kryzysy</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now</w:t>
      </w:r>
      <w:r w:rsidRPr="00A3695F">
        <w:rPr>
          <w:rFonts w:ascii="Times New Roman" w:hAnsi="Times New Roman"/>
          <w:noProof/>
          <w:sz w:val="24"/>
          <w:lang w:val="pl-PL"/>
        </w:rPr>
        <w:t>e wyzwania związane</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egz</w:t>
      </w:r>
      <w:r w:rsidRPr="00A3695F">
        <w:rPr>
          <w:rFonts w:ascii="Times New Roman" w:hAnsi="Times New Roman"/>
          <w:noProof/>
          <w:sz w:val="24"/>
          <w:lang w:val="pl-PL"/>
        </w:rPr>
        <w:t>ekwowaniem prawa wymagają od Komisji ciągłej oceny możliwości dalszej poprawy wdrażania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sto</w:t>
      </w:r>
      <w:r w:rsidRPr="00A3695F">
        <w:rPr>
          <w:rFonts w:ascii="Times New Roman" w:hAnsi="Times New Roman"/>
          <w:noProof/>
          <w:sz w:val="24"/>
          <w:lang w:val="pl-PL"/>
        </w:rPr>
        <w:t>sowania wspólnie uzgodnionych przepisów. Komisja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 członkowskie przeprowadzają obecnie przegląd</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cel</w:t>
      </w:r>
      <w:r w:rsidRPr="00A3695F">
        <w:rPr>
          <w:rFonts w:ascii="Times New Roman" w:hAnsi="Times New Roman"/>
          <w:noProof/>
          <w:sz w:val="24"/>
          <w:lang w:val="pl-PL"/>
        </w:rPr>
        <w:t>u zapewnienia dostępności odpowiednich narzędzi egzekwowania prawa, tak aby prawo Unii działało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pra</w:t>
      </w:r>
      <w:r w:rsidRPr="00A3695F">
        <w:rPr>
          <w:rFonts w:ascii="Times New Roman" w:hAnsi="Times New Roman"/>
          <w:noProof/>
          <w:sz w:val="24"/>
          <w:lang w:val="pl-PL"/>
        </w:rPr>
        <w:t>ktyce</w:t>
      </w:r>
      <w:r w:rsidRPr="00A3695F">
        <w:rPr>
          <w:rFonts w:ascii="Times New Roman" w:hAnsi="Times New Roman" w:cs="Times New Roman"/>
          <w:noProof/>
          <w:sz w:val="24"/>
          <w:vertAlign w:val="superscript"/>
          <w:lang w:val="pl-PL"/>
        </w:rPr>
        <w:footnoteReference w:id="104"/>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ram</w:t>
      </w:r>
      <w:r w:rsidRPr="00A3695F">
        <w:rPr>
          <w:rFonts w:ascii="Times New Roman" w:hAnsi="Times New Roman"/>
          <w:noProof/>
          <w:sz w:val="24"/>
          <w:lang w:val="pl-PL"/>
        </w:rPr>
        <w:t>ach tego przeglądu</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szc</w:t>
      </w:r>
      <w:r w:rsidRPr="00A3695F">
        <w:rPr>
          <w:rFonts w:ascii="Times New Roman" w:hAnsi="Times New Roman"/>
          <w:noProof/>
          <w:sz w:val="24"/>
          <w:lang w:val="pl-PL"/>
        </w:rPr>
        <w:t>zególności ocenia się, czy obecny sposób postępowania ze skargami, procedurami EU Pilot</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nar</w:t>
      </w:r>
      <w:r w:rsidRPr="00A3695F">
        <w:rPr>
          <w:rFonts w:ascii="Times New Roman" w:hAnsi="Times New Roman"/>
          <w:noProof/>
          <w:sz w:val="24"/>
          <w:lang w:val="pl-PL"/>
        </w:rPr>
        <w:t>uszeniami nadal jest odpowiedni do zakładanych celów</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ana</w:t>
      </w:r>
      <w:r w:rsidRPr="00A3695F">
        <w:rPr>
          <w:rFonts w:ascii="Times New Roman" w:hAnsi="Times New Roman"/>
          <w:noProof/>
          <w:sz w:val="24"/>
          <w:lang w:val="pl-PL"/>
        </w:rPr>
        <w:t>lizie tej rozważa się już szereg usprawnień działań</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zak</w:t>
      </w:r>
      <w:r w:rsidRPr="00A3695F">
        <w:rPr>
          <w:rFonts w:ascii="Times New Roman" w:hAnsi="Times New Roman"/>
          <w:noProof/>
          <w:sz w:val="24"/>
          <w:lang w:val="pl-PL"/>
        </w:rPr>
        <w:t xml:space="preserve">resie egzekwowania prawa. </w:t>
      </w:r>
    </w:p>
    <w:p w14:paraId="713084C0" w14:textId="2094D759" w:rsidR="00504A9C" w:rsidRPr="00A3695F" w:rsidRDefault="008F3924" w:rsidP="008F3924">
      <w:pPr>
        <w:jc w:val="both"/>
        <w:rPr>
          <w:rFonts w:ascii="Times New Roman" w:hAnsi="Times New Roman" w:cs="Times New Roman"/>
          <w:noProof/>
          <w:sz w:val="24"/>
          <w:lang w:val="pl-PL"/>
        </w:rPr>
      </w:pPr>
      <w:r w:rsidRPr="00A3695F">
        <w:rPr>
          <w:rFonts w:ascii="Times New Roman" w:hAnsi="Times New Roman"/>
          <w:noProof/>
          <w:sz w:val="24"/>
          <w:lang w:val="pl-PL"/>
        </w:rPr>
        <w:t>Z czasem liczba nowych dyrektyw zmniejszyła się, natomiast jako narzędzie legislacyjne coraz częściej stosuje się</w:t>
      </w:r>
      <w:r w:rsidRPr="003937FF">
        <w:rPr>
          <w:rFonts w:ascii="Times New Roman" w:hAnsi="Times New Roman"/>
          <w:b/>
          <w:i/>
          <w:noProof/>
          <w:sz w:val="24"/>
          <w:lang w:val="pl-PL"/>
        </w:rPr>
        <w:t xml:space="preserve"> </w:t>
      </w:r>
      <w:r w:rsidRPr="003937FF">
        <w:rPr>
          <w:rFonts w:ascii="Times New Roman" w:hAnsi="Times New Roman"/>
          <w:b/>
          <w:noProof/>
          <w:sz w:val="24"/>
          <w:lang w:val="pl-PL"/>
        </w:rPr>
        <w:t>rozporządzenia</w:t>
      </w:r>
      <w:r w:rsidRPr="00A3695F">
        <w:rPr>
          <w:rFonts w:ascii="Times New Roman" w:hAnsi="Times New Roman"/>
          <w:noProof/>
          <w:sz w:val="24"/>
          <w:lang w:val="pl-PL"/>
        </w:rPr>
        <w:t>. Komisja dysponuje sprawnie funkcjonującym systemem monitorowania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egz</w:t>
      </w:r>
      <w:r w:rsidRPr="00A3695F">
        <w:rPr>
          <w:rFonts w:ascii="Times New Roman" w:hAnsi="Times New Roman"/>
          <w:noProof/>
          <w:sz w:val="24"/>
          <w:lang w:val="pl-PL"/>
        </w:rPr>
        <w:t>ekwowania szybkiej</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pra</w:t>
      </w:r>
      <w:r w:rsidRPr="00A3695F">
        <w:rPr>
          <w:rFonts w:ascii="Times New Roman" w:hAnsi="Times New Roman"/>
          <w:noProof/>
          <w:sz w:val="24"/>
          <w:lang w:val="pl-PL"/>
        </w:rPr>
        <w:t>widłowej transpozycji dyrektyw. Równie ważne jest wdrożenie</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egz</w:t>
      </w:r>
      <w:r w:rsidRPr="00A3695F">
        <w:rPr>
          <w:rFonts w:ascii="Times New Roman" w:hAnsi="Times New Roman"/>
          <w:noProof/>
          <w:sz w:val="24"/>
          <w:lang w:val="pl-PL"/>
        </w:rPr>
        <w:t>ekwowanie rozporządzeń,</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cho</w:t>
      </w:r>
      <w:r w:rsidRPr="00A3695F">
        <w:rPr>
          <w:rFonts w:ascii="Times New Roman" w:hAnsi="Times New Roman"/>
          <w:noProof/>
          <w:sz w:val="24"/>
          <w:lang w:val="pl-PL"/>
        </w:rPr>
        <w:t>ciaż rozporządzenia mają skutek bezpośredni, często zależy on od pracy organów krajowych. Niektóre rozporządzenia wymagają zmian</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pra</w:t>
      </w:r>
      <w:r w:rsidRPr="00A3695F">
        <w:rPr>
          <w:rFonts w:ascii="Times New Roman" w:hAnsi="Times New Roman"/>
          <w:noProof/>
          <w:sz w:val="24"/>
          <w:lang w:val="pl-PL"/>
        </w:rPr>
        <w:t>wodawstwie krajowym,</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w</w:t>
      </w:r>
      <w:r w:rsidR="003937FF">
        <w:rPr>
          <w:rFonts w:ascii="Times New Roman" w:hAnsi="Times New Roman"/>
          <w:noProof/>
          <w:sz w:val="24"/>
          <w:lang w:val="pl-PL"/>
        </w:rPr>
        <w:t> </w:t>
      </w:r>
      <w:r w:rsidR="003937FF" w:rsidRPr="00A3695F">
        <w:rPr>
          <w:rFonts w:ascii="Times New Roman" w:hAnsi="Times New Roman"/>
          <w:noProof/>
          <w:sz w:val="24"/>
          <w:lang w:val="pl-PL"/>
        </w:rPr>
        <w:t>wie</w:t>
      </w:r>
      <w:r w:rsidRPr="00A3695F">
        <w:rPr>
          <w:rFonts w:ascii="Times New Roman" w:hAnsi="Times New Roman"/>
          <w:noProof/>
          <w:sz w:val="24"/>
          <w:lang w:val="pl-PL"/>
        </w:rPr>
        <w:t>lu</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nic</w:t>
      </w:r>
      <w:r w:rsidRPr="00A3695F">
        <w:rPr>
          <w:rFonts w:ascii="Times New Roman" w:hAnsi="Times New Roman"/>
          <w:noProof/>
          <w:sz w:val="24"/>
          <w:lang w:val="pl-PL"/>
        </w:rPr>
        <w:t>h nakłada się na krajowe agencje lub organy regulacyjne obowiązki, które są niezbędne do wprowadzenia tych przepisów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życ</w:t>
      </w:r>
      <w:r w:rsidRPr="00A3695F">
        <w:rPr>
          <w:rFonts w:ascii="Times New Roman" w:hAnsi="Times New Roman"/>
          <w:noProof/>
          <w:sz w:val="24"/>
          <w:lang w:val="pl-PL"/>
        </w:rPr>
        <w:t>ie. Dlatego Komisja zintensyfikuje starania na rzecz monitorowania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egz</w:t>
      </w:r>
      <w:r w:rsidRPr="00A3695F">
        <w:rPr>
          <w:rFonts w:ascii="Times New Roman" w:hAnsi="Times New Roman"/>
          <w:noProof/>
          <w:sz w:val="24"/>
          <w:lang w:val="pl-PL"/>
        </w:rPr>
        <w:t>ekwowania wdrożenia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sto</w:t>
      </w:r>
      <w:r w:rsidRPr="00A3695F">
        <w:rPr>
          <w:rFonts w:ascii="Times New Roman" w:hAnsi="Times New Roman"/>
          <w:noProof/>
          <w:sz w:val="24"/>
          <w:lang w:val="pl-PL"/>
        </w:rPr>
        <w:t>sowania rozporządzeń</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spo</w:t>
      </w:r>
      <w:r w:rsidRPr="00A3695F">
        <w:rPr>
          <w:rFonts w:ascii="Times New Roman" w:hAnsi="Times New Roman"/>
          <w:noProof/>
          <w:sz w:val="24"/>
          <w:lang w:val="pl-PL"/>
        </w:rPr>
        <w:t>sób bardziej systematyczny</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str</w:t>
      </w:r>
      <w:r w:rsidRPr="00A3695F">
        <w:rPr>
          <w:rFonts w:ascii="Times New Roman" w:hAnsi="Times New Roman"/>
          <w:noProof/>
          <w:sz w:val="24"/>
          <w:lang w:val="pl-PL"/>
        </w:rPr>
        <w:t>ategiczny.</w:t>
      </w:r>
    </w:p>
    <w:p w14:paraId="6D61A99E" w14:textId="77777777" w:rsidR="004E5E54" w:rsidRPr="00A3695F" w:rsidRDefault="004E5E54" w:rsidP="004E5E54">
      <w:pPr>
        <w:jc w:val="center"/>
        <w:rPr>
          <w:rFonts w:ascii="Times New Roman" w:hAnsi="Times New Roman" w:cs="Times New Roman"/>
          <w:noProof/>
          <w:sz w:val="24"/>
          <w:lang w:val="pl-PL"/>
        </w:rPr>
      </w:pPr>
      <w:r w:rsidRPr="00A3695F">
        <w:rPr>
          <w:noProof/>
          <w:lang w:val="en-GB" w:eastAsia="en-GB"/>
        </w:rPr>
        <w:drawing>
          <wp:inline distT="0" distB="0" distL="0" distR="0" wp14:anchorId="2BBAA255" wp14:editId="3E59361C">
            <wp:extent cx="3427012" cy="2043486"/>
            <wp:effectExtent l="38100" t="38100" r="97790" b="901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6B4F394" w14:textId="77777777" w:rsidR="004E5E54" w:rsidRPr="00A3695F" w:rsidRDefault="004E5E54" w:rsidP="004E5E54">
      <w:pPr>
        <w:jc w:val="center"/>
        <w:rPr>
          <w:rFonts w:ascii="Times New Roman" w:hAnsi="Times New Roman" w:cs="Times New Roman"/>
          <w:noProof/>
          <w:sz w:val="24"/>
          <w:lang w:val="pl-PL"/>
        </w:rPr>
      </w:pPr>
      <w:r w:rsidRPr="00A3695F">
        <w:rPr>
          <w:noProof/>
          <w:lang w:val="en-GB" w:eastAsia="en-GB"/>
        </w:rPr>
        <w:drawing>
          <wp:inline distT="0" distB="0" distL="0" distR="0" wp14:anchorId="3B59E5D9" wp14:editId="1EC4BD02">
            <wp:extent cx="3427013" cy="2178657"/>
            <wp:effectExtent l="38100" t="38100" r="97790" b="889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6F1653B" w14:textId="74FB628A" w:rsidR="008F3924" w:rsidRPr="003937FF" w:rsidRDefault="008F3924" w:rsidP="008F3924">
      <w:pPr>
        <w:jc w:val="both"/>
        <w:rPr>
          <w:rFonts w:ascii="Times New Roman" w:hAnsi="Times New Roman" w:cs="Times New Roman"/>
          <w:noProof/>
          <w:sz w:val="24"/>
          <w:lang w:val="pl-PL"/>
        </w:rPr>
      </w:pPr>
      <w:r w:rsidRPr="00A3695F">
        <w:rPr>
          <w:rFonts w:ascii="Times New Roman" w:hAnsi="Times New Roman"/>
          <w:noProof/>
          <w:sz w:val="24"/>
          <w:lang w:val="pl-PL"/>
        </w:rPr>
        <w:t xml:space="preserve">Komisja przywiązuje dużą wagę do </w:t>
      </w:r>
      <w:r w:rsidRPr="003937FF">
        <w:rPr>
          <w:rFonts w:ascii="Times New Roman" w:hAnsi="Times New Roman"/>
          <w:b/>
          <w:noProof/>
          <w:sz w:val="24"/>
          <w:lang w:val="pl-PL"/>
        </w:rPr>
        <w:t>przejrzystości</w:t>
      </w:r>
      <w:r w:rsidRPr="00A3695F">
        <w:rPr>
          <w:rFonts w:ascii="Times New Roman" w:hAnsi="Times New Roman"/>
          <w:noProof/>
          <w:sz w:val="24"/>
          <w:lang w:val="pl-PL"/>
        </w:rPr>
        <w:t>. Przejrzystość pomaga ogółowi społeczeństwa zaangażować się we wspólną odpowiedzialność za egzekwowanie prawa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zyja szybszemu osiągnięciu przez państwa członkowskie zgodności</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episami. Dlatego też Komisja stopniowo zwiększa ilość podawanych do publicznej wiadomości informacji na temat swoich działań</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zak</w:t>
      </w:r>
      <w:r w:rsidRPr="00A3695F">
        <w:rPr>
          <w:rFonts w:ascii="Times New Roman" w:hAnsi="Times New Roman"/>
          <w:noProof/>
          <w:sz w:val="24"/>
          <w:lang w:val="pl-PL"/>
        </w:rPr>
        <w:t>resie egzekwowania prawa</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roc</w:t>
      </w:r>
      <w:r w:rsidRPr="00A3695F">
        <w:rPr>
          <w:rFonts w:ascii="Times New Roman" w:hAnsi="Times New Roman"/>
          <w:noProof/>
          <w:sz w:val="24"/>
          <w:lang w:val="pl-PL"/>
        </w:rPr>
        <w:t>znym sprawozdaniu</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mon</w:t>
      </w:r>
      <w:r w:rsidRPr="00A3695F">
        <w:rPr>
          <w:rFonts w:ascii="Times New Roman" w:hAnsi="Times New Roman"/>
          <w:noProof/>
          <w:sz w:val="24"/>
          <w:lang w:val="pl-PL"/>
        </w:rPr>
        <w:t>itorowania stosowania prawa UE</w:t>
      </w:r>
      <w:r w:rsidRPr="00A3695F">
        <w:rPr>
          <w:rFonts w:ascii="Times New Roman" w:hAnsi="Times New Roman" w:cs="Times New Roman"/>
          <w:noProof/>
          <w:sz w:val="24"/>
          <w:vertAlign w:val="superscript"/>
          <w:lang w:val="pl-PL"/>
        </w:rPr>
        <w:footnoteReference w:id="105"/>
      </w:r>
      <w:r w:rsidRPr="00A3695F">
        <w:rPr>
          <w:rFonts w:ascii="Times New Roman" w:hAnsi="Times New Roman"/>
          <w:noProof/>
          <w:sz w:val="24"/>
          <w:lang w:val="pl-PL"/>
        </w:rPr>
        <w:t xml:space="preserve"> przedstawiono najważniejsze tendencje, opisano szczegółowo współpracę</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stwami członkowskimi</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wyj</w:t>
      </w:r>
      <w:r w:rsidRPr="00A3695F">
        <w:rPr>
          <w:rFonts w:ascii="Times New Roman" w:hAnsi="Times New Roman"/>
          <w:noProof/>
          <w:sz w:val="24"/>
          <w:lang w:val="pl-PL"/>
        </w:rPr>
        <w:t>aśniono główne decyzje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 Publiczny rejestr postępowań</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w:t>
      </w:r>
      <w:r w:rsidRPr="00A3695F">
        <w:rPr>
          <w:rFonts w:ascii="Times New Roman" w:hAnsi="Times New Roman" w:cs="Times New Roman"/>
          <w:noProof/>
          <w:sz w:val="24"/>
          <w:vertAlign w:val="superscript"/>
          <w:lang w:val="pl-PL"/>
        </w:rPr>
        <w:footnoteReference w:id="106"/>
      </w:r>
      <w:r w:rsidRPr="00A3695F">
        <w:rPr>
          <w:rFonts w:ascii="Times New Roman" w:hAnsi="Times New Roman"/>
          <w:noProof/>
          <w:sz w:val="24"/>
          <w:lang w:val="pl-PL"/>
        </w:rPr>
        <w:t xml:space="preserve"> zawiera aktualne informacje na temat ostatniego kroku</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każ</w:t>
      </w:r>
      <w:r w:rsidRPr="00A3695F">
        <w:rPr>
          <w:rFonts w:ascii="Times New Roman" w:hAnsi="Times New Roman"/>
          <w:noProof/>
          <w:sz w:val="24"/>
          <w:lang w:val="pl-PL"/>
        </w:rPr>
        <w:t>dej sprawie. Komisja publikuje komunikaty prasowe na temat wszystkich podjętych decyzji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 wraz</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dod</w:t>
      </w:r>
      <w:r w:rsidRPr="00A3695F">
        <w:rPr>
          <w:rFonts w:ascii="Times New Roman" w:hAnsi="Times New Roman"/>
          <w:noProof/>
          <w:sz w:val="24"/>
          <w:lang w:val="pl-PL"/>
        </w:rPr>
        <w:t>atkowymi informacjami na temat najważniejszych decyzji. Opinia publiczna</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spo</w:t>
      </w:r>
      <w:r w:rsidRPr="00A3695F">
        <w:rPr>
          <w:rFonts w:ascii="Times New Roman" w:hAnsi="Times New Roman"/>
          <w:noProof/>
          <w:sz w:val="24"/>
          <w:lang w:val="pl-PL"/>
        </w:rPr>
        <w:t>łeczeństwo obywatelskie wskazały jednak szereg obszarów,</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któ</w:t>
      </w:r>
      <w:r w:rsidRPr="00A3695F">
        <w:rPr>
          <w:rFonts w:ascii="Times New Roman" w:hAnsi="Times New Roman"/>
          <w:noProof/>
          <w:sz w:val="24"/>
          <w:lang w:val="pl-PL"/>
        </w:rPr>
        <w:t>rych możliwe jest zwiększenie przejrzystości, takich jak procedura poprzedzająca wszczęcie postępowania</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spr</w:t>
      </w:r>
      <w:r w:rsidRPr="00A3695F">
        <w:rPr>
          <w:rFonts w:ascii="Times New Roman" w:hAnsi="Times New Roman"/>
          <w:noProof/>
          <w:sz w:val="24"/>
          <w:lang w:val="pl-PL"/>
        </w:rPr>
        <w:t>awie uchybienia zobowiązaniom państwa członkowskiego (EU Pilot), przeglądy spraw</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akt</w:t>
      </w:r>
      <w:r w:rsidRPr="00A3695F">
        <w:rPr>
          <w:rFonts w:ascii="Times New Roman" w:hAnsi="Times New Roman"/>
          <w:noProof/>
          <w:sz w:val="24"/>
          <w:lang w:val="pl-PL"/>
        </w:rPr>
        <w:t>ualne statystyki dotyczące działań Komisji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zak</w:t>
      </w:r>
      <w:r w:rsidRPr="00A3695F">
        <w:rPr>
          <w:rFonts w:ascii="Times New Roman" w:hAnsi="Times New Roman"/>
          <w:noProof/>
          <w:sz w:val="24"/>
          <w:lang w:val="pl-PL"/>
        </w:rPr>
        <w:t>resie egzekwowania prawa. Komisja będzie nadal ulepszać informacje udostępniane publicznie</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spo</w:t>
      </w:r>
      <w:r w:rsidRPr="00A3695F">
        <w:rPr>
          <w:rFonts w:ascii="Times New Roman" w:hAnsi="Times New Roman"/>
          <w:noProof/>
          <w:sz w:val="24"/>
          <w:lang w:val="pl-PL"/>
        </w:rPr>
        <w:t>sób systematyczny</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prz</w:t>
      </w:r>
      <w:r w:rsidRPr="00A3695F">
        <w:rPr>
          <w:rFonts w:ascii="Times New Roman" w:hAnsi="Times New Roman"/>
          <w:noProof/>
          <w:sz w:val="24"/>
          <w:lang w:val="pl-PL"/>
        </w:rPr>
        <w:t>ystępny oraz zwiększać ich ilość</w:t>
      </w:r>
      <w:r w:rsidR="003937FF" w:rsidRPr="00A3695F">
        <w:rPr>
          <w:rFonts w:ascii="Times New Roman" w:hAnsi="Times New Roman"/>
          <w:noProof/>
          <w:sz w:val="24"/>
          <w:lang w:val="pl-PL"/>
        </w:rPr>
        <w:t>. W</w:t>
      </w:r>
      <w:r w:rsidR="003937FF">
        <w:rPr>
          <w:rFonts w:ascii="Times New Roman" w:hAnsi="Times New Roman"/>
          <w:noProof/>
          <w:sz w:val="24"/>
          <w:lang w:val="pl-PL"/>
        </w:rPr>
        <w:t> </w:t>
      </w:r>
      <w:r w:rsidR="003937FF" w:rsidRPr="00A3695F">
        <w:rPr>
          <w:rFonts w:ascii="Times New Roman" w:hAnsi="Times New Roman"/>
          <w:noProof/>
          <w:sz w:val="24"/>
          <w:lang w:val="pl-PL"/>
        </w:rPr>
        <w:t>ram</w:t>
      </w:r>
      <w:r w:rsidRPr="00A3695F">
        <w:rPr>
          <w:rFonts w:ascii="Times New Roman" w:hAnsi="Times New Roman"/>
          <w:noProof/>
          <w:sz w:val="24"/>
          <w:lang w:val="pl-PL"/>
        </w:rPr>
        <w:t>ach przeglądu</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ści</w:t>
      </w:r>
      <w:r w:rsidRPr="00A3695F">
        <w:rPr>
          <w:rFonts w:ascii="Times New Roman" w:hAnsi="Times New Roman"/>
          <w:noProof/>
          <w:sz w:val="24"/>
          <w:lang w:val="pl-PL"/>
        </w:rPr>
        <w:t>słej współpracy</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stwami członkowskimi zostanie dokładniej zbadane, jakie dodatkowe informacje powinny być podawane do wiadomości publicznej i za pomocą jakich środków</w:t>
      </w:r>
      <w:r w:rsidRPr="003937FF">
        <w:rPr>
          <w:rFonts w:ascii="Times New Roman" w:hAnsi="Times New Roman"/>
          <w:noProof/>
          <w:sz w:val="24"/>
          <w:lang w:val="pl-PL"/>
        </w:rPr>
        <w:t>.</w:t>
      </w:r>
      <w:r w:rsidR="003937FF" w:rsidRPr="003937FF">
        <w:rPr>
          <w:rFonts w:ascii="Times New Roman" w:hAnsi="Times New Roman"/>
          <w:noProof/>
          <w:sz w:val="24"/>
          <w:lang w:val="pl-PL"/>
        </w:rPr>
        <w:t xml:space="preserve"> </w:t>
      </w:r>
    </w:p>
    <w:p w14:paraId="25C57AED" w14:textId="333CAD0E" w:rsidR="008F3924" w:rsidRPr="00A3695F" w:rsidRDefault="008F3924" w:rsidP="008F3924">
      <w:pPr>
        <w:jc w:val="both"/>
        <w:rPr>
          <w:rFonts w:ascii="Times New Roman" w:hAnsi="Times New Roman" w:cs="Times New Roman"/>
          <w:noProof/>
          <w:sz w:val="24"/>
          <w:lang w:val="pl-PL"/>
        </w:rPr>
      </w:pPr>
      <w:r w:rsidRPr="00A3695F">
        <w:rPr>
          <w:rFonts w:ascii="Times New Roman" w:hAnsi="Times New Roman"/>
          <w:noProof/>
          <w:sz w:val="24"/>
          <w:lang w:val="pl-PL"/>
        </w:rPr>
        <w:t>Ponadto</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ram</w:t>
      </w:r>
      <w:r w:rsidRPr="00A3695F">
        <w:rPr>
          <w:rFonts w:ascii="Times New Roman" w:hAnsi="Times New Roman"/>
          <w:noProof/>
          <w:sz w:val="24"/>
          <w:lang w:val="pl-PL"/>
        </w:rPr>
        <w:t xml:space="preserve">ach przeglądu przeanalizowane zostaną również sposoby poprawy </w:t>
      </w:r>
      <w:r w:rsidRPr="003937FF">
        <w:rPr>
          <w:rFonts w:ascii="Times New Roman" w:hAnsi="Times New Roman"/>
          <w:b/>
          <w:noProof/>
          <w:sz w:val="24"/>
          <w:lang w:val="pl-PL"/>
        </w:rPr>
        <w:t>współpracy</w:t>
      </w:r>
      <w:r w:rsidRPr="00A3695F">
        <w:rPr>
          <w:rFonts w:ascii="Times New Roman" w:hAnsi="Times New Roman"/>
          <w:noProof/>
          <w:sz w:val="24"/>
          <w:lang w:val="pl-PL"/>
        </w:rPr>
        <w:t xml:space="preserve"> między Komisją</w:t>
      </w:r>
      <w:r w:rsidR="003937FF" w:rsidRPr="00A3695F">
        <w:rPr>
          <w:rFonts w:ascii="Times New Roman" w:hAnsi="Times New Roman"/>
          <w:noProof/>
          <w:sz w:val="24"/>
          <w:lang w:val="pl-PL"/>
        </w:rPr>
        <w:t xml:space="preserve"> a</w:t>
      </w:r>
      <w:r w:rsidR="003937FF">
        <w:rPr>
          <w:rFonts w:ascii="Times New Roman" w:hAnsi="Times New Roman"/>
          <w:noProof/>
          <w:sz w:val="24"/>
          <w:lang w:val="pl-PL"/>
        </w:rPr>
        <w:t> </w:t>
      </w:r>
      <w:r w:rsidR="003937FF" w:rsidRPr="00A3695F">
        <w:rPr>
          <w:rFonts w:ascii="Times New Roman" w:hAnsi="Times New Roman"/>
          <w:noProof/>
          <w:sz w:val="24"/>
          <w:lang w:val="pl-PL"/>
        </w:rPr>
        <w:t>pań</w:t>
      </w:r>
      <w:r w:rsidRPr="00A3695F">
        <w:rPr>
          <w:rFonts w:ascii="Times New Roman" w:hAnsi="Times New Roman"/>
          <w:noProof/>
          <w:sz w:val="24"/>
          <w:lang w:val="pl-PL"/>
        </w:rPr>
        <w:t>stwami członkowskimi</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odn</w:t>
      </w:r>
      <w:r w:rsidRPr="00A3695F">
        <w:rPr>
          <w:rFonts w:ascii="Times New Roman" w:hAnsi="Times New Roman"/>
          <w:noProof/>
          <w:sz w:val="24"/>
          <w:lang w:val="pl-PL"/>
        </w:rPr>
        <w:t>iesieniu do szybkiej</w:t>
      </w:r>
      <w:r w:rsidR="003937FF" w:rsidRPr="00A3695F">
        <w:rPr>
          <w:rFonts w:ascii="Times New Roman" w:hAnsi="Times New Roman"/>
          <w:noProof/>
          <w:sz w:val="24"/>
          <w:lang w:val="pl-PL"/>
        </w:rPr>
        <w:t xml:space="preserve"> i</w:t>
      </w:r>
      <w:r w:rsidR="003937FF">
        <w:rPr>
          <w:rFonts w:ascii="Times New Roman" w:hAnsi="Times New Roman"/>
          <w:noProof/>
          <w:sz w:val="24"/>
          <w:lang w:val="pl-PL"/>
        </w:rPr>
        <w:t> </w:t>
      </w:r>
      <w:r w:rsidR="003937FF" w:rsidRPr="00A3695F">
        <w:rPr>
          <w:rFonts w:ascii="Times New Roman" w:hAnsi="Times New Roman"/>
          <w:noProof/>
          <w:sz w:val="24"/>
          <w:lang w:val="pl-PL"/>
        </w:rPr>
        <w:t>pra</w:t>
      </w:r>
      <w:r w:rsidRPr="00A3695F">
        <w:rPr>
          <w:rFonts w:ascii="Times New Roman" w:hAnsi="Times New Roman"/>
          <w:noProof/>
          <w:sz w:val="24"/>
          <w:lang w:val="pl-PL"/>
        </w:rPr>
        <w:t xml:space="preserve">widłowej transpozycji dyrektyw. </w:t>
      </w:r>
    </w:p>
    <w:p w14:paraId="24099E8E" w14:textId="33002738" w:rsidR="008F3924" w:rsidRPr="00A3695F" w:rsidRDefault="008F3924" w:rsidP="008F3924">
      <w:pPr>
        <w:jc w:val="both"/>
        <w:rPr>
          <w:rFonts w:ascii="Times New Roman" w:hAnsi="Times New Roman" w:cs="Times New Roman"/>
          <w:noProof/>
          <w:sz w:val="24"/>
          <w:lang w:val="pl-PL"/>
        </w:rPr>
      </w:pPr>
      <w:r w:rsidRPr="00A3695F">
        <w:rPr>
          <w:rFonts w:ascii="Times New Roman" w:hAnsi="Times New Roman"/>
          <w:noProof/>
          <w:sz w:val="24"/>
          <w:lang w:val="pl-PL"/>
        </w:rPr>
        <w:t>Komisja przedstawi sprawozdanie</w:t>
      </w:r>
      <w:r w:rsidR="003937FF" w:rsidRPr="00A3695F">
        <w:rPr>
          <w:rFonts w:ascii="Times New Roman" w:hAnsi="Times New Roman"/>
          <w:noProof/>
          <w:sz w:val="24"/>
          <w:lang w:val="pl-PL"/>
        </w:rPr>
        <w:t xml:space="preserve"> z</w:t>
      </w:r>
      <w:r w:rsidR="003937FF">
        <w:rPr>
          <w:rFonts w:ascii="Times New Roman" w:hAnsi="Times New Roman"/>
          <w:noProof/>
          <w:sz w:val="24"/>
          <w:lang w:val="pl-PL"/>
        </w:rPr>
        <w:t> </w:t>
      </w:r>
      <w:r w:rsidR="003937FF" w:rsidRPr="00A3695F">
        <w:rPr>
          <w:rFonts w:ascii="Times New Roman" w:hAnsi="Times New Roman"/>
          <w:noProof/>
          <w:sz w:val="24"/>
          <w:lang w:val="pl-PL"/>
        </w:rPr>
        <w:t>wyn</w:t>
      </w:r>
      <w:r w:rsidRPr="00A3695F">
        <w:rPr>
          <w:rFonts w:ascii="Times New Roman" w:hAnsi="Times New Roman"/>
          <w:noProof/>
          <w:sz w:val="24"/>
          <w:lang w:val="pl-PL"/>
        </w:rPr>
        <w:t>ików przeglądu</w:t>
      </w:r>
      <w:r w:rsidR="003937FF" w:rsidRPr="00A3695F">
        <w:rPr>
          <w:rFonts w:ascii="Times New Roman" w:hAnsi="Times New Roman"/>
          <w:noProof/>
          <w:sz w:val="24"/>
          <w:lang w:val="pl-PL"/>
        </w:rPr>
        <w:t xml:space="preserve"> w</w:t>
      </w:r>
      <w:r w:rsidR="003937FF">
        <w:rPr>
          <w:rFonts w:ascii="Times New Roman" w:hAnsi="Times New Roman"/>
          <w:noProof/>
          <w:sz w:val="24"/>
          <w:lang w:val="pl-PL"/>
        </w:rPr>
        <w:t> </w:t>
      </w:r>
      <w:r w:rsidR="003937FF" w:rsidRPr="00A3695F">
        <w:rPr>
          <w:rFonts w:ascii="Times New Roman" w:hAnsi="Times New Roman"/>
          <w:noProof/>
          <w:sz w:val="24"/>
          <w:lang w:val="pl-PL"/>
        </w:rPr>
        <w:t>2</w:t>
      </w:r>
      <w:r w:rsidRPr="00A3695F">
        <w:rPr>
          <w:rFonts w:ascii="Times New Roman" w:hAnsi="Times New Roman"/>
          <w:noProof/>
          <w:sz w:val="24"/>
          <w:lang w:val="pl-PL"/>
        </w:rPr>
        <w:t>0</w:t>
      </w:r>
      <w:r w:rsidRPr="003937FF">
        <w:rPr>
          <w:rFonts w:ascii="Times New Roman" w:hAnsi="Times New Roman"/>
          <w:noProof/>
          <w:sz w:val="24"/>
          <w:lang w:val="pl-PL"/>
        </w:rPr>
        <w:t>23</w:t>
      </w:r>
      <w:r w:rsidR="003937FF" w:rsidRPr="003937FF">
        <w:rPr>
          <w:rFonts w:ascii="Times New Roman" w:hAnsi="Times New Roman"/>
          <w:noProof/>
          <w:sz w:val="24"/>
          <w:lang w:val="pl-PL"/>
        </w:rPr>
        <w:t> </w:t>
      </w:r>
      <w:r w:rsidRPr="003937FF">
        <w:rPr>
          <w:rFonts w:ascii="Times New Roman" w:hAnsi="Times New Roman"/>
          <w:noProof/>
          <w:sz w:val="24"/>
          <w:lang w:val="pl-PL"/>
        </w:rPr>
        <w:t>r.</w:t>
      </w:r>
    </w:p>
    <w:sectPr w:rsidR="008F3924" w:rsidRPr="00A3695F" w:rsidSect="00391BE2">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7F15F" w14:textId="77777777" w:rsidR="003937FF" w:rsidRPr="00A3695F" w:rsidRDefault="003937FF" w:rsidP="00714958">
      <w:pPr>
        <w:spacing w:after="0" w:line="240" w:lineRule="auto"/>
        <w:rPr>
          <w:lang w:val="pl-PL"/>
        </w:rPr>
      </w:pPr>
      <w:r w:rsidRPr="00A3695F">
        <w:rPr>
          <w:lang w:val="pl-PL"/>
        </w:rPr>
        <w:separator/>
      </w:r>
    </w:p>
  </w:endnote>
  <w:endnote w:type="continuationSeparator" w:id="0">
    <w:p w14:paraId="0C09F44D" w14:textId="77777777" w:rsidR="003937FF" w:rsidRPr="00A3695F" w:rsidRDefault="003937FF" w:rsidP="00714958">
      <w:pPr>
        <w:spacing w:after="0" w:line="240" w:lineRule="auto"/>
        <w:rPr>
          <w:lang w:val="pl-PL"/>
        </w:rPr>
      </w:pPr>
      <w:r w:rsidRPr="00A3695F">
        <w:rPr>
          <w:lang w:val="pl-PL"/>
        </w:rPr>
        <w:continuationSeparator/>
      </w:r>
    </w:p>
  </w:endnote>
  <w:endnote w:type="continuationNotice" w:id="1">
    <w:p w14:paraId="63D5171F" w14:textId="77777777" w:rsidR="003937FF" w:rsidRPr="00A3695F" w:rsidRDefault="003937FF">
      <w:pPr>
        <w:spacing w:after="0" w:line="240" w:lineRule="auto"/>
        <w:rPr>
          <w:lang w:val="pl-P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EC Square Sans Pro">
    <w:altName w:val="Bahnschrift Light"/>
    <w:charset w:val="00"/>
    <w:family w:val="swiss"/>
    <w:pitch w:val="variable"/>
    <w:sig w:usb0="A00002B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6E8EA" w14:textId="77777777" w:rsidR="00360ECE" w:rsidRPr="00360ECE" w:rsidRDefault="00360ECE" w:rsidP="00360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0658C" w14:textId="0150F001" w:rsidR="003937FF" w:rsidRPr="00360ECE" w:rsidRDefault="00360ECE" w:rsidP="00360ECE">
    <w:pPr>
      <w:pStyle w:val="FooterCoverPage"/>
      <w:rPr>
        <w:rFonts w:ascii="Arial" w:hAnsi="Arial" w:cs="Arial"/>
        <w:b/>
        <w:sz w:val="48"/>
      </w:rPr>
    </w:pPr>
    <w:r w:rsidRPr="00360ECE">
      <w:rPr>
        <w:rFonts w:ascii="Arial" w:hAnsi="Arial" w:cs="Arial"/>
        <w:b/>
        <w:sz w:val="48"/>
      </w:rPr>
      <w:t>PL</w:t>
    </w:r>
    <w:r w:rsidRPr="00360ECE">
      <w:rPr>
        <w:rFonts w:ascii="Arial" w:hAnsi="Arial" w:cs="Arial"/>
        <w:b/>
        <w:sz w:val="48"/>
      </w:rPr>
      <w:tab/>
    </w:r>
    <w:r w:rsidRPr="00360ECE">
      <w:rPr>
        <w:rFonts w:ascii="Arial" w:hAnsi="Arial" w:cs="Arial"/>
        <w:b/>
        <w:sz w:val="48"/>
      </w:rPr>
      <w:tab/>
    </w:r>
    <w:r w:rsidRPr="00360ECE">
      <w:tab/>
    </w:r>
    <w:r w:rsidRPr="00360ECE">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684FC" w14:textId="77777777" w:rsidR="00360ECE" w:rsidRPr="00360ECE" w:rsidRDefault="00360ECE" w:rsidP="00360EC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A13EF" w14:textId="77777777" w:rsidR="003937FF" w:rsidRDefault="003937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538343"/>
      <w:docPartObj>
        <w:docPartGallery w:val="Page Numbers (Bottom of Page)"/>
        <w:docPartUnique/>
      </w:docPartObj>
    </w:sdtPr>
    <w:sdtEndPr/>
    <w:sdtContent>
      <w:p w14:paraId="7E5A4316" w14:textId="27BA45E2" w:rsidR="003937FF" w:rsidRPr="00AD73E0" w:rsidRDefault="003937FF">
        <w:pPr>
          <w:pStyle w:val="Footer"/>
          <w:jc w:val="right"/>
        </w:pPr>
        <w:r>
          <w:fldChar w:fldCharType="begin"/>
        </w:r>
        <w:r>
          <w:instrText xml:space="preserve"> PAGE   \* MERGEFORMAT </w:instrText>
        </w:r>
        <w:r>
          <w:fldChar w:fldCharType="separate"/>
        </w:r>
        <w:r w:rsidR="00360ECE">
          <w:rPr>
            <w:noProof/>
          </w:rPr>
          <w:t>1</w:t>
        </w:r>
        <w:r>
          <w:fldChar w:fldCharType="end"/>
        </w:r>
      </w:p>
    </w:sdtContent>
  </w:sdt>
  <w:p w14:paraId="67CCAD4F" w14:textId="77777777" w:rsidR="003937FF" w:rsidRPr="00AD73E0" w:rsidRDefault="003937F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8DBBC" w14:textId="77777777" w:rsidR="003937FF" w:rsidRDefault="00393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BA17A" w14:textId="77777777" w:rsidR="003937FF" w:rsidRPr="00A3695F" w:rsidRDefault="003937FF" w:rsidP="00714958">
      <w:pPr>
        <w:spacing w:after="0" w:line="240" w:lineRule="auto"/>
        <w:rPr>
          <w:lang w:val="pl-PL"/>
        </w:rPr>
      </w:pPr>
      <w:r w:rsidRPr="00A3695F">
        <w:rPr>
          <w:lang w:val="pl-PL"/>
        </w:rPr>
        <w:separator/>
      </w:r>
    </w:p>
  </w:footnote>
  <w:footnote w:type="continuationSeparator" w:id="0">
    <w:p w14:paraId="4E4311D7" w14:textId="77777777" w:rsidR="003937FF" w:rsidRPr="00A3695F" w:rsidRDefault="003937FF" w:rsidP="00714958">
      <w:pPr>
        <w:spacing w:after="0" w:line="240" w:lineRule="auto"/>
        <w:rPr>
          <w:lang w:val="pl-PL"/>
        </w:rPr>
      </w:pPr>
      <w:r w:rsidRPr="00A3695F">
        <w:rPr>
          <w:lang w:val="pl-PL"/>
        </w:rPr>
        <w:continuationSeparator/>
      </w:r>
    </w:p>
  </w:footnote>
  <w:footnote w:type="continuationNotice" w:id="1">
    <w:p w14:paraId="4FDA10A8" w14:textId="77777777" w:rsidR="003937FF" w:rsidRPr="00A3695F" w:rsidRDefault="003937FF">
      <w:pPr>
        <w:spacing w:after="0" w:line="240" w:lineRule="auto"/>
        <w:rPr>
          <w:lang w:val="pl-PL"/>
        </w:rPr>
      </w:pPr>
    </w:p>
  </w:footnote>
  <w:footnote w:id="2">
    <w:p w14:paraId="2A83AF70" w14:textId="712EEE52"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Komunikat Komisji „Sprawozdanie na temat praworządności z</w:t>
      </w:r>
      <w:r>
        <w:rPr>
          <w:rFonts w:ascii="Times New Roman" w:hAnsi="Times New Roman"/>
          <w:lang w:val="pl-PL"/>
        </w:rPr>
        <w:t> </w:t>
      </w:r>
      <w:r w:rsidRPr="00A3695F">
        <w:rPr>
          <w:rFonts w:ascii="Times New Roman" w:hAnsi="Times New Roman"/>
          <w:lang w:val="pl-PL"/>
        </w:rPr>
        <w:t>20</w:t>
      </w:r>
      <w:r w:rsidRPr="003937FF">
        <w:rPr>
          <w:rFonts w:ascii="Times New Roman" w:hAnsi="Times New Roman"/>
          <w:lang w:val="pl-PL"/>
        </w:rPr>
        <w:t>22 r.</w:t>
      </w:r>
      <w:r w:rsidRPr="00A3695F">
        <w:rPr>
          <w:rFonts w:ascii="Times New Roman" w:hAnsi="Times New Roman"/>
          <w:lang w:val="pl-PL"/>
        </w:rPr>
        <w:t xml:space="preserve"> Sytuacja w</w:t>
      </w:r>
      <w:r>
        <w:rPr>
          <w:rFonts w:ascii="Times New Roman" w:hAnsi="Times New Roman"/>
          <w:lang w:val="pl-PL"/>
        </w:rPr>
        <w:t> </w:t>
      </w:r>
      <w:r w:rsidRPr="00A3695F">
        <w:rPr>
          <w:rFonts w:ascii="Times New Roman" w:hAnsi="Times New Roman"/>
          <w:lang w:val="pl-PL"/>
        </w:rPr>
        <w:t>zakresie praworządności w</w:t>
      </w:r>
      <w:r>
        <w:rPr>
          <w:rFonts w:ascii="Times New Roman" w:hAnsi="Times New Roman"/>
          <w:lang w:val="pl-PL"/>
        </w:rPr>
        <w:t> </w:t>
      </w:r>
      <w:r w:rsidRPr="00A3695F">
        <w:rPr>
          <w:rFonts w:ascii="Times New Roman" w:hAnsi="Times New Roman"/>
          <w:lang w:val="pl-PL"/>
        </w:rPr>
        <w:t>Unii Europejskiej”, COM(2022) 500 final.</w:t>
      </w:r>
    </w:p>
  </w:footnote>
  <w:footnote w:id="3">
    <w:p w14:paraId="18EE1F6D" w14:textId="7197242B"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Komunikat Komisji w</w:t>
      </w:r>
      <w:r>
        <w:rPr>
          <w:rFonts w:ascii="Times New Roman" w:hAnsi="Times New Roman"/>
          <w:lang w:val="pl-PL"/>
        </w:rPr>
        <w:t> </w:t>
      </w:r>
      <w:r w:rsidRPr="00A3695F">
        <w:rPr>
          <w:rFonts w:ascii="Times New Roman" w:hAnsi="Times New Roman"/>
          <w:lang w:val="pl-PL"/>
        </w:rPr>
        <w:t>sprawie europejskiego planu działania na rzecz demokracji, COM(2020) 790 final.</w:t>
      </w:r>
    </w:p>
  </w:footnote>
  <w:footnote w:id="4">
    <w:p w14:paraId="023853DF" w14:textId="7777777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Komunikat Komisji, „Strategia na rzecz wzmocnienia stosowania Karty praw podstawowych w UE”, COM(2020) 711 final.</w:t>
      </w:r>
    </w:p>
  </w:footnote>
  <w:footnote w:id="5">
    <w:p w14:paraId="45F63920" w14:textId="321E79B9"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Art. 17 Traktatu o</w:t>
      </w:r>
      <w:r>
        <w:rPr>
          <w:rFonts w:ascii="Times New Roman" w:hAnsi="Times New Roman"/>
          <w:lang w:val="pl-PL"/>
        </w:rPr>
        <w:t> </w:t>
      </w:r>
      <w:r w:rsidRPr="00A3695F">
        <w:rPr>
          <w:rFonts w:ascii="Times New Roman" w:hAnsi="Times New Roman"/>
          <w:lang w:val="pl-PL"/>
        </w:rPr>
        <w:t>Unii Europejskiej.</w:t>
      </w:r>
    </w:p>
  </w:footnote>
  <w:footnote w:id="6">
    <w:p w14:paraId="11FA536D" w14:textId="25960722" w:rsidR="003937FF" w:rsidRPr="00A3695F" w:rsidRDefault="003937FF" w:rsidP="006B5F42">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Style w:val="FootnoteReference"/>
          <w:rFonts w:ascii="Times New Roman" w:hAnsi="Times New Roman"/>
          <w:vertAlign w:val="baseline"/>
          <w:lang w:val="pl-PL"/>
        </w:rPr>
        <w:t>Niniejszy komunikat opiera się na wcześniejszych komunikatach, w</w:t>
      </w:r>
      <w:r>
        <w:rPr>
          <w:rStyle w:val="FootnoteReference"/>
          <w:rFonts w:ascii="Times New Roman" w:hAnsi="Times New Roman"/>
          <w:vertAlign w:val="baseline"/>
          <w:lang w:val="pl-PL"/>
        </w:rPr>
        <w:t> </w:t>
      </w:r>
      <w:r w:rsidRPr="00A3695F">
        <w:rPr>
          <w:rStyle w:val="FootnoteReference"/>
          <w:rFonts w:ascii="Times New Roman" w:hAnsi="Times New Roman"/>
          <w:vertAlign w:val="baseline"/>
          <w:lang w:val="pl-PL"/>
        </w:rPr>
        <w:t>których zdefiniowano ramy operacyjne i</w:t>
      </w:r>
      <w:r>
        <w:rPr>
          <w:rStyle w:val="FootnoteReference"/>
          <w:rFonts w:ascii="Times New Roman" w:hAnsi="Times New Roman"/>
          <w:vertAlign w:val="baseline"/>
          <w:lang w:val="pl-PL"/>
        </w:rPr>
        <w:t> </w:t>
      </w:r>
      <w:r w:rsidRPr="00A3695F">
        <w:rPr>
          <w:rStyle w:val="FootnoteReference"/>
          <w:rFonts w:ascii="Times New Roman" w:hAnsi="Times New Roman"/>
          <w:vertAlign w:val="baseline"/>
          <w:lang w:val="pl-PL"/>
        </w:rPr>
        <w:t>przepisy dotyczące działania Komisji w</w:t>
      </w:r>
      <w:r>
        <w:rPr>
          <w:rStyle w:val="FootnoteReference"/>
          <w:rFonts w:ascii="Times New Roman" w:hAnsi="Times New Roman"/>
          <w:vertAlign w:val="baseline"/>
          <w:lang w:val="pl-PL"/>
        </w:rPr>
        <w:t> </w:t>
      </w:r>
      <w:r w:rsidRPr="00A3695F">
        <w:rPr>
          <w:rStyle w:val="FootnoteReference"/>
          <w:rFonts w:ascii="Times New Roman" w:hAnsi="Times New Roman"/>
          <w:vertAlign w:val="baseline"/>
          <w:lang w:val="pl-PL"/>
        </w:rPr>
        <w:t>zakresie skarg i</w:t>
      </w:r>
      <w:r>
        <w:rPr>
          <w:rStyle w:val="FootnoteReference"/>
          <w:rFonts w:ascii="Times New Roman" w:hAnsi="Times New Roman"/>
          <w:vertAlign w:val="baseline"/>
          <w:lang w:val="pl-PL"/>
        </w:rPr>
        <w:t> </w:t>
      </w:r>
      <w:r w:rsidRPr="00A3695F">
        <w:rPr>
          <w:rStyle w:val="FootnoteReference"/>
          <w:rFonts w:ascii="Times New Roman" w:hAnsi="Times New Roman"/>
          <w:vertAlign w:val="baseline"/>
          <w:lang w:val="pl-PL"/>
        </w:rPr>
        <w:t>naruszeń, i</w:t>
      </w:r>
      <w:r>
        <w:rPr>
          <w:rStyle w:val="FootnoteReference"/>
          <w:rFonts w:ascii="Times New Roman" w:hAnsi="Times New Roman"/>
          <w:vertAlign w:val="baseline"/>
          <w:lang w:val="pl-PL"/>
        </w:rPr>
        <w:t> </w:t>
      </w:r>
      <w:r w:rsidRPr="00A3695F">
        <w:rPr>
          <w:rStyle w:val="FootnoteReference"/>
          <w:rFonts w:ascii="Times New Roman" w:hAnsi="Times New Roman"/>
          <w:vertAlign w:val="baseline"/>
          <w:lang w:val="pl-PL"/>
        </w:rPr>
        <w:t>nie zastępuje ich. Zob. w</w:t>
      </w:r>
      <w:r>
        <w:rPr>
          <w:rStyle w:val="FootnoteReference"/>
          <w:rFonts w:ascii="Times New Roman" w:hAnsi="Times New Roman"/>
          <w:vertAlign w:val="baseline"/>
          <w:lang w:val="pl-PL"/>
        </w:rPr>
        <w:t> </w:t>
      </w:r>
      <w:r w:rsidRPr="00A3695F">
        <w:rPr>
          <w:rStyle w:val="FootnoteReference"/>
          <w:rFonts w:ascii="Times New Roman" w:hAnsi="Times New Roman"/>
          <w:vertAlign w:val="baseline"/>
          <w:lang w:val="pl-PL"/>
        </w:rPr>
        <w:t>szczególności komunikat Komisji „Prawo Unii: lepsze wyniki dzięki lepszemu stosowaniu” (C(2016)8600), (zwany dalej „komunikatem z</w:t>
      </w:r>
      <w:r>
        <w:rPr>
          <w:rStyle w:val="FootnoteReference"/>
          <w:rFonts w:ascii="Times New Roman" w:hAnsi="Times New Roman"/>
          <w:vertAlign w:val="baseline"/>
          <w:lang w:val="pl-PL"/>
        </w:rPr>
        <w:t> </w:t>
      </w:r>
      <w:r w:rsidRPr="00A3695F">
        <w:rPr>
          <w:rStyle w:val="FootnoteReference"/>
          <w:rFonts w:ascii="Times New Roman" w:hAnsi="Times New Roman"/>
          <w:vertAlign w:val="baseline"/>
          <w:lang w:val="pl-PL"/>
        </w:rPr>
        <w:t>20</w:t>
      </w:r>
      <w:r w:rsidRPr="003937FF">
        <w:rPr>
          <w:rStyle w:val="FootnoteReference"/>
          <w:rFonts w:ascii="Times New Roman" w:hAnsi="Times New Roman"/>
          <w:vertAlign w:val="baseline"/>
          <w:lang w:val="pl-PL"/>
        </w:rPr>
        <w:t>16 r.</w:t>
      </w:r>
      <w:r w:rsidRPr="00A3695F">
        <w:rPr>
          <w:rStyle w:val="FootnoteReference"/>
          <w:rFonts w:ascii="Times New Roman" w:hAnsi="Times New Roman"/>
          <w:vertAlign w:val="baseline"/>
          <w:lang w:val="pl-PL"/>
        </w:rPr>
        <w:t>”).</w:t>
      </w:r>
    </w:p>
  </w:footnote>
  <w:footnote w:id="7">
    <w:p w14:paraId="4B5F3C10" w14:textId="6882ACE0"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Zgodnie z</w:t>
      </w:r>
      <w:r>
        <w:rPr>
          <w:rFonts w:ascii="Times New Roman" w:hAnsi="Times New Roman"/>
          <w:lang w:val="pl-PL"/>
        </w:rPr>
        <w:t> </w:t>
      </w:r>
      <w:r w:rsidRPr="00A3695F">
        <w:rPr>
          <w:rFonts w:ascii="Times New Roman" w:hAnsi="Times New Roman"/>
          <w:lang w:val="pl-PL"/>
        </w:rPr>
        <w:t>wytycznymi w</w:t>
      </w:r>
      <w:r>
        <w:rPr>
          <w:rFonts w:ascii="Times New Roman" w:hAnsi="Times New Roman"/>
          <w:lang w:val="pl-PL"/>
        </w:rPr>
        <w:t> </w:t>
      </w:r>
      <w:r w:rsidRPr="00A3695F">
        <w:rPr>
          <w:rFonts w:ascii="Times New Roman" w:hAnsi="Times New Roman"/>
          <w:lang w:val="pl-PL"/>
        </w:rPr>
        <w:t>zakresie lepszego stanowienia prawa z</w:t>
      </w:r>
      <w:r>
        <w:rPr>
          <w:rFonts w:ascii="Times New Roman" w:hAnsi="Times New Roman"/>
          <w:lang w:val="pl-PL"/>
        </w:rPr>
        <w:t> </w:t>
      </w:r>
      <w:r w:rsidRPr="00A3695F">
        <w:rPr>
          <w:rFonts w:ascii="Times New Roman" w:hAnsi="Times New Roman"/>
          <w:lang w:val="pl-PL"/>
        </w:rPr>
        <w:t>3.11.20</w:t>
      </w:r>
      <w:r w:rsidRPr="003937FF">
        <w:rPr>
          <w:rFonts w:ascii="Times New Roman" w:hAnsi="Times New Roman"/>
          <w:lang w:val="pl-PL"/>
        </w:rPr>
        <w:t>21 r.</w:t>
      </w:r>
      <w:r w:rsidRPr="00A3695F">
        <w:rPr>
          <w:rFonts w:ascii="Times New Roman" w:hAnsi="Times New Roman"/>
          <w:lang w:val="pl-PL"/>
        </w:rPr>
        <w:t xml:space="preserve"> </w:t>
      </w:r>
      <w:hyperlink r:id="rId1" w:history="1">
        <w:r w:rsidRPr="00A3695F">
          <w:rPr>
            <w:rStyle w:val="Hyperlink"/>
            <w:rFonts w:ascii="Times New Roman" w:hAnsi="Times New Roman"/>
            <w:lang w:val="pl-PL"/>
          </w:rPr>
          <w:t>https://ec.europa.eu/info/law/law-making-process/planning-and-proposing-law/better-regulation-why-and-how/better-regulation-guidelines-and-toolbox_pl</w:t>
        </w:r>
      </w:hyperlink>
    </w:p>
  </w:footnote>
  <w:footnote w:id="8">
    <w:p w14:paraId="1F9005E2" w14:textId="61179E3D"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Zalecenie Komisji z</w:t>
      </w:r>
      <w:r>
        <w:rPr>
          <w:rFonts w:ascii="Times New Roman" w:hAnsi="Times New Roman"/>
          <w:lang w:val="pl-PL"/>
        </w:rPr>
        <w:t> </w:t>
      </w:r>
      <w:r w:rsidRPr="00A3695F">
        <w:rPr>
          <w:rFonts w:ascii="Times New Roman" w:hAnsi="Times New Roman"/>
          <w:lang w:val="pl-PL"/>
        </w:rPr>
        <w:t>dnia 17 września 20</w:t>
      </w:r>
      <w:r w:rsidRPr="003937FF">
        <w:rPr>
          <w:rFonts w:ascii="Times New Roman" w:hAnsi="Times New Roman"/>
          <w:lang w:val="pl-PL"/>
        </w:rPr>
        <w:t>13 r.</w:t>
      </w:r>
      <w:r w:rsidRPr="00A3695F">
        <w:rPr>
          <w:rFonts w:ascii="Times New Roman" w:hAnsi="Times New Roman"/>
          <w:lang w:val="pl-PL"/>
        </w:rPr>
        <w:t xml:space="preserve"> w</w:t>
      </w:r>
      <w:r>
        <w:rPr>
          <w:rFonts w:ascii="Times New Roman" w:hAnsi="Times New Roman"/>
          <w:lang w:val="pl-PL"/>
        </w:rPr>
        <w:t> </w:t>
      </w:r>
      <w:r w:rsidRPr="00A3695F">
        <w:rPr>
          <w:rFonts w:ascii="Times New Roman" w:hAnsi="Times New Roman"/>
          <w:lang w:val="pl-PL"/>
        </w:rPr>
        <w:t>sprawie zasad regulujących SOLVIT, C(2013) 5869 final.</w:t>
      </w:r>
    </w:p>
  </w:footnote>
  <w:footnote w:id="9">
    <w:p w14:paraId="733E814C" w14:textId="7777777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Dokument roboczy służb Komisji, „SOLVIT’s Helping Hand in the Single Market: celebrating 20 years” [Pomocna dłoń SOLVIT na jednolitym rynku: 20 lat działalności], SWD(2022) 325 final.</w:t>
      </w:r>
    </w:p>
  </w:footnote>
  <w:footnote w:id="10">
    <w:p w14:paraId="3FF3246A" w14:textId="7777777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hyperlink r:id="rId2" w:history="1">
        <w:r w:rsidRPr="00A3695F">
          <w:rPr>
            <w:rStyle w:val="Hyperlink"/>
            <w:rFonts w:ascii="Times New Roman" w:hAnsi="Times New Roman"/>
            <w:lang w:val="pl-PL"/>
          </w:rPr>
          <w:t>https://ec.europa.eu/solvit/index_pl.htm</w:t>
        </w:r>
      </w:hyperlink>
    </w:p>
  </w:footnote>
  <w:footnote w:id="11">
    <w:p w14:paraId="6DC8CE3F" w14:textId="4A5C99B4"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Na przykład w</w:t>
      </w:r>
      <w:r>
        <w:rPr>
          <w:rFonts w:ascii="Times New Roman" w:hAnsi="Times New Roman"/>
          <w:lang w:val="pl-PL"/>
        </w:rPr>
        <w:t> </w:t>
      </w:r>
      <w:r w:rsidRPr="00A3695F">
        <w:rPr>
          <w:rFonts w:ascii="Times New Roman" w:hAnsi="Times New Roman"/>
          <w:lang w:val="pl-PL"/>
        </w:rPr>
        <w:t>celach nauki, opieki zdrowotnej, zajęć kulturalnych lub innych form spędzania wolnego czasu itp.</w:t>
      </w:r>
    </w:p>
  </w:footnote>
  <w:footnote w:id="12">
    <w:p w14:paraId="4B9D3BA0" w14:textId="73E72512"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Komunikat Komisji „Długofalowy plan działania na rzecz lepszego wdrażania i</w:t>
      </w:r>
      <w:r>
        <w:rPr>
          <w:rFonts w:ascii="Times New Roman" w:hAnsi="Times New Roman"/>
          <w:lang w:val="pl-PL"/>
        </w:rPr>
        <w:t> </w:t>
      </w:r>
      <w:r w:rsidRPr="00A3695F">
        <w:rPr>
          <w:rFonts w:ascii="Times New Roman" w:hAnsi="Times New Roman"/>
          <w:lang w:val="pl-PL"/>
        </w:rPr>
        <w:t>egzekwowania przepisów dotyczących jednolitego rynku”, COM(2020) 94 final.</w:t>
      </w:r>
    </w:p>
  </w:footnote>
  <w:footnote w:id="13">
    <w:p w14:paraId="6A0542F6" w14:textId="3EC7F65E"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Komunikat Komisji w</w:t>
      </w:r>
      <w:r>
        <w:rPr>
          <w:rFonts w:ascii="Times New Roman" w:hAnsi="Times New Roman"/>
          <w:lang w:val="pl-PL"/>
        </w:rPr>
        <w:t> </w:t>
      </w:r>
      <w:r w:rsidRPr="00A3695F">
        <w:rPr>
          <w:rFonts w:ascii="Times New Roman" w:hAnsi="Times New Roman"/>
          <w:lang w:val="pl-PL"/>
        </w:rPr>
        <w:t>sprawie określenia i</w:t>
      </w:r>
      <w:r>
        <w:rPr>
          <w:rFonts w:ascii="Times New Roman" w:hAnsi="Times New Roman"/>
          <w:lang w:val="pl-PL"/>
        </w:rPr>
        <w:t> </w:t>
      </w:r>
      <w:r w:rsidRPr="00A3695F">
        <w:rPr>
          <w:rFonts w:ascii="Times New Roman" w:hAnsi="Times New Roman"/>
          <w:lang w:val="pl-PL"/>
        </w:rPr>
        <w:t>usuwania barier na jednolitym rynku, COM(2020) 93 final.</w:t>
      </w:r>
    </w:p>
  </w:footnote>
  <w:footnote w:id="14">
    <w:p w14:paraId="66E6CF66" w14:textId="7819F64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Sprawozdanie Komisji „Regiony przygraniczne UE: »żywe laboratoria« dla integracji europejskiej”, COM(2021) 393 final oraz komunikat Komisji „Zwiększanie wzrostu gospodarczego i</w:t>
      </w:r>
      <w:r>
        <w:rPr>
          <w:rFonts w:ascii="Times New Roman" w:hAnsi="Times New Roman"/>
          <w:lang w:val="pl-PL"/>
        </w:rPr>
        <w:t> </w:t>
      </w:r>
      <w:r w:rsidRPr="00A3695F">
        <w:rPr>
          <w:rFonts w:ascii="Times New Roman" w:hAnsi="Times New Roman"/>
          <w:lang w:val="pl-PL"/>
        </w:rPr>
        <w:t>spójności w</w:t>
      </w:r>
      <w:r>
        <w:rPr>
          <w:rFonts w:ascii="Times New Roman" w:hAnsi="Times New Roman"/>
          <w:lang w:val="pl-PL"/>
        </w:rPr>
        <w:t> </w:t>
      </w:r>
      <w:r w:rsidRPr="00A3695F">
        <w:rPr>
          <w:rFonts w:ascii="Times New Roman" w:hAnsi="Times New Roman"/>
          <w:lang w:val="pl-PL"/>
        </w:rPr>
        <w:t>regionach przygranicznych UE”, COM(2017) 534 final.</w:t>
      </w:r>
    </w:p>
  </w:footnote>
  <w:footnote w:id="15">
    <w:p w14:paraId="3FAF7BCF" w14:textId="5CDB52CC"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Dokładniejsze wyjaśnienie tych danych liczbowych można znaleźć w</w:t>
      </w:r>
      <w:r>
        <w:rPr>
          <w:rFonts w:ascii="Times New Roman" w:hAnsi="Times New Roman"/>
          <w:lang w:val="pl-PL"/>
        </w:rPr>
        <w:t> </w:t>
      </w:r>
      <w:r w:rsidRPr="00A3695F">
        <w:rPr>
          <w:rFonts w:ascii="Times New Roman" w:hAnsi="Times New Roman"/>
          <w:lang w:val="pl-PL"/>
        </w:rPr>
        <w:t>badaniu „</w:t>
      </w:r>
      <w:hyperlink r:id="rId3" w:history="1">
        <w:r w:rsidRPr="00A3695F">
          <w:rPr>
            <w:rStyle w:val="Hyperlink"/>
            <w:rFonts w:ascii="Times New Roman" w:hAnsi="Times New Roman"/>
            <w:lang w:val="pl-PL"/>
          </w:rPr>
          <w:t>Update of the costs of not implementing EU environmental law”</w:t>
        </w:r>
      </w:hyperlink>
      <w:r w:rsidRPr="00A3695F">
        <w:rPr>
          <w:rFonts w:ascii="Times New Roman" w:hAnsi="Times New Roman"/>
          <w:lang w:val="pl-PL"/>
        </w:rPr>
        <w:t xml:space="preserve"> [Aktualizacja kosztów niewdrażania unijnego prawa ochrony środowiska], COWI i</w:t>
      </w:r>
      <w:r>
        <w:rPr>
          <w:rFonts w:ascii="Times New Roman" w:hAnsi="Times New Roman"/>
          <w:lang w:val="pl-PL"/>
        </w:rPr>
        <w:t> </w:t>
      </w:r>
      <w:r w:rsidRPr="00A3695F">
        <w:rPr>
          <w:rFonts w:ascii="Times New Roman" w:hAnsi="Times New Roman"/>
          <w:lang w:val="pl-PL"/>
        </w:rPr>
        <w:t>Eunomia, 2019.</w:t>
      </w:r>
    </w:p>
  </w:footnote>
  <w:footnote w:id="16">
    <w:p w14:paraId="4A2D826D" w14:textId="3012B2EF"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Dane za pierwszych sześć miesięcy funkcjonowania (</w:t>
      </w:r>
      <w:hyperlink r:id="rId4" w:history="1">
        <w:r w:rsidRPr="00A3695F">
          <w:rPr>
            <w:rStyle w:val="Hyperlink"/>
            <w:rFonts w:ascii="Times New Roman" w:hAnsi="Times New Roman"/>
            <w:lang w:val="pl-PL"/>
          </w:rPr>
          <w:t>New EU VAT rules for e-commerce:</w:t>
        </w:r>
      </w:hyperlink>
      <w:hyperlink r:id="rId5" w:history="1">
        <w:r w:rsidRPr="00A3695F">
          <w:rPr>
            <w:rStyle w:val="Hyperlink"/>
            <w:rFonts w:ascii="Times New Roman" w:hAnsi="Times New Roman"/>
            <w:lang w:val="pl-PL"/>
          </w:rPr>
          <w:t xml:space="preserve"> Updated revenue figures point to a</w:t>
        </w:r>
        <w:r>
          <w:rPr>
            <w:rStyle w:val="Hyperlink"/>
            <w:rFonts w:ascii="Times New Roman" w:hAnsi="Times New Roman"/>
            <w:lang w:val="pl-PL"/>
          </w:rPr>
          <w:t> </w:t>
        </w:r>
        <w:r w:rsidRPr="00A3695F">
          <w:rPr>
            <w:rStyle w:val="Hyperlink"/>
            <w:rFonts w:ascii="Times New Roman" w:hAnsi="Times New Roman"/>
            <w:lang w:val="pl-PL"/>
          </w:rPr>
          <w:t>successful implementation (europa.eu)</w:t>
        </w:r>
      </w:hyperlink>
      <w:r w:rsidRPr="00A3695F">
        <w:rPr>
          <w:rFonts w:ascii="Times New Roman" w:hAnsi="Times New Roman"/>
          <w:lang w:val="pl-PL"/>
        </w:rPr>
        <w:t>[Nowe unijne przepisy w</w:t>
      </w:r>
      <w:r>
        <w:rPr>
          <w:rFonts w:ascii="Times New Roman" w:hAnsi="Times New Roman"/>
          <w:lang w:val="pl-PL"/>
        </w:rPr>
        <w:t> </w:t>
      </w:r>
      <w:r w:rsidRPr="00A3695F">
        <w:rPr>
          <w:rFonts w:ascii="Times New Roman" w:hAnsi="Times New Roman"/>
          <w:lang w:val="pl-PL"/>
        </w:rPr>
        <w:t>zakresie podatku VAT w</w:t>
      </w:r>
      <w:r>
        <w:rPr>
          <w:rFonts w:ascii="Times New Roman" w:hAnsi="Times New Roman"/>
          <w:lang w:val="pl-PL"/>
        </w:rPr>
        <w:t> </w:t>
      </w:r>
      <w:r w:rsidRPr="00A3695F">
        <w:rPr>
          <w:rFonts w:ascii="Times New Roman" w:hAnsi="Times New Roman"/>
          <w:lang w:val="pl-PL"/>
        </w:rPr>
        <w:t>handlu elektronicznym: zaktualizowane dane liczbowe dotyczące przychodów świadczą o</w:t>
      </w:r>
      <w:r>
        <w:rPr>
          <w:rFonts w:ascii="Times New Roman" w:hAnsi="Times New Roman"/>
          <w:lang w:val="pl-PL"/>
        </w:rPr>
        <w:t> </w:t>
      </w:r>
      <w:r w:rsidRPr="00A3695F">
        <w:rPr>
          <w:rFonts w:ascii="Times New Roman" w:hAnsi="Times New Roman"/>
          <w:lang w:val="pl-PL"/>
        </w:rPr>
        <w:t>skutecznym wdrożeniu]).</w:t>
      </w:r>
    </w:p>
  </w:footnote>
  <w:footnote w:id="17">
    <w:p w14:paraId="1C4A57AD" w14:textId="33672BE7" w:rsidR="003937FF" w:rsidRPr="00A3695F" w:rsidRDefault="003937FF" w:rsidP="006640AE">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Prawo do niedyskryminacji jest zapisane w</w:t>
      </w:r>
      <w:r>
        <w:rPr>
          <w:rFonts w:ascii="Times New Roman" w:hAnsi="Times New Roman"/>
          <w:lang w:val="pl-PL"/>
        </w:rPr>
        <w:t> </w:t>
      </w:r>
      <w:r w:rsidRPr="00A3695F">
        <w:rPr>
          <w:rFonts w:ascii="Times New Roman" w:hAnsi="Times New Roman"/>
          <w:lang w:val="pl-PL"/>
        </w:rPr>
        <w:t>Karcie i</w:t>
      </w:r>
      <w:r>
        <w:rPr>
          <w:rFonts w:ascii="Times New Roman" w:hAnsi="Times New Roman"/>
          <w:lang w:val="pl-PL"/>
        </w:rPr>
        <w:t> </w:t>
      </w:r>
      <w:r w:rsidRPr="00A3695F">
        <w:rPr>
          <w:rFonts w:ascii="Times New Roman" w:hAnsi="Times New Roman"/>
          <w:lang w:val="pl-PL"/>
        </w:rPr>
        <w:t>zakazuje ono wszelkiej dyskryminacji z</w:t>
      </w:r>
      <w:r>
        <w:rPr>
          <w:rFonts w:ascii="Times New Roman" w:hAnsi="Times New Roman"/>
          <w:lang w:val="pl-PL"/>
        </w:rPr>
        <w:t> </w:t>
      </w:r>
      <w:r w:rsidRPr="00A3695F">
        <w:rPr>
          <w:rFonts w:ascii="Times New Roman" w:hAnsi="Times New Roman"/>
          <w:lang w:val="pl-PL"/>
        </w:rPr>
        <w:t>jakichkolwiek względów.</w:t>
      </w:r>
    </w:p>
  </w:footnote>
  <w:footnote w:id="18">
    <w:p w14:paraId="6B12425D" w14:textId="77777777" w:rsidR="003937FF" w:rsidRPr="00A3695F" w:rsidRDefault="003937FF" w:rsidP="00C24D7D">
      <w:pPr>
        <w:pStyle w:val="FootnoteText"/>
        <w:ind w:left="284" w:hanging="284"/>
        <w:jc w:val="both"/>
        <w:rPr>
          <w:lang w:val="pl-PL"/>
        </w:rPr>
      </w:pPr>
      <w:r w:rsidRPr="00A3695F">
        <w:rPr>
          <w:rStyle w:val="FootnoteReference"/>
          <w:rFonts w:ascii="Times New Roman" w:hAnsi="Times New Roman" w:cs="Times New Roman"/>
          <w:lang w:val="pl-PL"/>
        </w:rPr>
        <w:footnoteRef/>
      </w:r>
      <w:r w:rsidRPr="00A3695F">
        <w:rPr>
          <w:rStyle w:val="FootnoteReference"/>
          <w:rFonts w:ascii="Times New Roman" w:hAnsi="Times New Roman"/>
          <w:lang w:val="pl-PL"/>
        </w:rPr>
        <w:t xml:space="preserve"> </w:t>
      </w:r>
      <w:r w:rsidRPr="00A3695F">
        <w:rPr>
          <w:lang w:val="pl-PL"/>
        </w:rPr>
        <w:tab/>
      </w:r>
      <w:hyperlink r:id="rId6" w:history="1">
        <w:r w:rsidRPr="00A3695F">
          <w:rPr>
            <w:rStyle w:val="FootnoteReference"/>
            <w:rFonts w:ascii="Times New Roman" w:hAnsi="Times New Roman"/>
            <w:vertAlign w:val="baseline"/>
            <w:lang w:val="pl-PL"/>
          </w:rPr>
          <w:t>https://home-affairs.ec.europa.eu/policies/migration-and-asylum/legal-migration-and-integration/work/single-permit-work_pl</w:t>
        </w:r>
      </w:hyperlink>
    </w:p>
  </w:footnote>
  <w:footnote w:id="19">
    <w:p w14:paraId="3CB949C4" w14:textId="60816481"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Decyzja ramowa 2008/913/WSiSW z</w:t>
      </w:r>
      <w:r>
        <w:rPr>
          <w:rFonts w:ascii="Times New Roman" w:hAnsi="Times New Roman"/>
          <w:lang w:val="pl-PL"/>
        </w:rPr>
        <w:t> </w:t>
      </w:r>
      <w:r w:rsidRPr="00A3695F">
        <w:rPr>
          <w:rFonts w:ascii="Times New Roman" w:hAnsi="Times New Roman"/>
          <w:lang w:val="pl-PL"/>
        </w:rPr>
        <w:t>dnia 28 listopada 20</w:t>
      </w:r>
      <w:r w:rsidRPr="003937FF">
        <w:rPr>
          <w:rFonts w:ascii="Times New Roman" w:hAnsi="Times New Roman"/>
          <w:lang w:val="pl-PL"/>
        </w:rPr>
        <w:t>08 r.</w:t>
      </w:r>
      <w:r w:rsidRPr="00A3695F">
        <w:rPr>
          <w:rFonts w:ascii="Times New Roman" w:hAnsi="Times New Roman"/>
          <w:lang w:val="pl-PL"/>
        </w:rPr>
        <w:t xml:space="preserve"> w</w:t>
      </w:r>
      <w:r>
        <w:rPr>
          <w:rFonts w:ascii="Times New Roman" w:hAnsi="Times New Roman"/>
          <w:lang w:val="pl-PL"/>
        </w:rPr>
        <w:t> </w:t>
      </w:r>
      <w:r w:rsidRPr="00A3695F">
        <w:rPr>
          <w:rFonts w:ascii="Times New Roman" w:hAnsi="Times New Roman"/>
          <w:lang w:val="pl-PL"/>
        </w:rPr>
        <w:t>sprawie zwalczania pewnych form i</w:t>
      </w:r>
      <w:r>
        <w:rPr>
          <w:rFonts w:ascii="Times New Roman" w:hAnsi="Times New Roman"/>
          <w:lang w:val="pl-PL"/>
        </w:rPr>
        <w:t> </w:t>
      </w:r>
      <w:r w:rsidRPr="00A3695F">
        <w:rPr>
          <w:rFonts w:ascii="Times New Roman" w:hAnsi="Times New Roman"/>
          <w:lang w:val="pl-PL"/>
        </w:rPr>
        <w:t>przejawów rasizmu i</w:t>
      </w:r>
      <w:r>
        <w:rPr>
          <w:rFonts w:ascii="Times New Roman" w:hAnsi="Times New Roman"/>
          <w:lang w:val="pl-PL"/>
        </w:rPr>
        <w:t> </w:t>
      </w:r>
      <w:r w:rsidRPr="00A3695F">
        <w:rPr>
          <w:rFonts w:ascii="Times New Roman" w:hAnsi="Times New Roman"/>
          <w:lang w:val="pl-PL"/>
        </w:rPr>
        <w:t>ksenofobii za pomocą środków prawnokarnych.</w:t>
      </w:r>
    </w:p>
  </w:footnote>
  <w:footnote w:id="20">
    <w:p w14:paraId="2B4FAF48" w14:textId="4B73C10E"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Komunikat Komisji, „Unia równości: Unijny plan działania przeciwko rasizmowi na lata 2020–2025”, COM(2020) 565 final.</w:t>
      </w:r>
    </w:p>
  </w:footnote>
  <w:footnote w:id="21">
    <w:p w14:paraId="2B043726" w14:textId="475ED7CD" w:rsidR="003937FF" w:rsidRPr="00A3695F" w:rsidRDefault="003937FF" w:rsidP="00590B4F">
      <w:pPr>
        <w:pStyle w:val="FootnoteText"/>
        <w:ind w:left="284" w:hanging="284"/>
        <w:jc w:val="both"/>
        <w:rPr>
          <w:lang w:val="pl-PL"/>
        </w:rPr>
      </w:pPr>
      <w:r w:rsidRPr="00A3695F">
        <w:rPr>
          <w:rStyle w:val="FootnoteReference"/>
          <w:rFonts w:ascii="Times New Roman" w:hAnsi="Times New Roman" w:cs="Times New Roman"/>
          <w:lang w:val="pl-PL"/>
        </w:rPr>
        <w:footnoteRef/>
      </w:r>
      <w:r w:rsidRPr="00A3695F">
        <w:rPr>
          <w:rStyle w:val="FootnoteReference"/>
          <w:rFonts w:ascii="Times New Roman" w:hAnsi="Times New Roman"/>
          <w:lang w:val="pl-PL"/>
        </w:rPr>
        <w:t xml:space="preserve"> </w:t>
      </w:r>
      <w:r w:rsidRPr="00A3695F">
        <w:rPr>
          <w:lang w:val="pl-PL"/>
        </w:rPr>
        <w:tab/>
      </w:r>
      <w:r w:rsidRPr="00A3695F">
        <w:rPr>
          <w:rStyle w:val="FootnoteReference"/>
          <w:rFonts w:ascii="Times New Roman" w:hAnsi="Times New Roman"/>
          <w:vertAlign w:val="baseline"/>
          <w:lang w:val="pl-PL"/>
        </w:rPr>
        <w:t>Dyrektywa (UE) 2017/541 z</w:t>
      </w:r>
      <w:r>
        <w:rPr>
          <w:rStyle w:val="FootnoteReference"/>
          <w:rFonts w:ascii="Times New Roman" w:hAnsi="Times New Roman"/>
          <w:vertAlign w:val="baseline"/>
          <w:lang w:val="pl-PL"/>
        </w:rPr>
        <w:t> </w:t>
      </w:r>
      <w:r w:rsidRPr="00A3695F">
        <w:rPr>
          <w:rStyle w:val="FootnoteReference"/>
          <w:rFonts w:ascii="Times New Roman" w:hAnsi="Times New Roman"/>
          <w:vertAlign w:val="baseline"/>
          <w:lang w:val="pl-PL"/>
        </w:rPr>
        <w:t>dnia 15 marca 20</w:t>
      </w:r>
      <w:r w:rsidRPr="003937FF">
        <w:rPr>
          <w:rStyle w:val="FootnoteReference"/>
          <w:rFonts w:ascii="Times New Roman" w:hAnsi="Times New Roman"/>
          <w:vertAlign w:val="baseline"/>
          <w:lang w:val="pl-PL"/>
        </w:rPr>
        <w:t>17 r.</w:t>
      </w:r>
      <w:r w:rsidRPr="00A3695F">
        <w:rPr>
          <w:rStyle w:val="FootnoteReference"/>
          <w:rFonts w:ascii="Times New Roman" w:hAnsi="Times New Roman"/>
          <w:vertAlign w:val="baseline"/>
          <w:lang w:val="pl-PL"/>
        </w:rPr>
        <w:t xml:space="preserve"> w</w:t>
      </w:r>
      <w:r>
        <w:rPr>
          <w:rStyle w:val="FootnoteReference"/>
          <w:rFonts w:ascii="Times New Roman" w:hAnsi="Times New Roman"/>
          <w:vertAlign w:val="baseline"/>
          <w:lang w:val="pl-PL"/>
        </w:rPr>
        <w:t> </w:t>
      </w:r>
      <w:r w:rsidRPr="00A3695F">
        <w:rPr>
          <w:rStyle w:val="FootnoteReference"/>
          <w:rFonts w:ascii="Times New Roman" w:hAnsi="Times New Roman"/>
          <w:vertAlign w:val="baseline"/>
          <w:lang w:val="pl-PL"/>
        </w:rPr>
        <w:t>sprawie zwalczania terroryzmu</w:t>
      </w:r>
      <w:r w:rsidRPr="00A3695F">
        <w:rPr>
          <w:rFonts w:ascii="Times New Roman" w:hAnsi="Times New Roman"/>
          <w:lang w:val="pl-PL"/>
        </w:rPr>
        <w:t>.</w:t>
      </w:r>
    </w:p>
  </w:footnote>
  <w:footnote w:id="22">
    <w:p w14:paraId="5BC4660C" w14:textId="538035C5"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 xml:space="preserve">Art. 19 </w:t>
      </w:r>
      <w:r w:rsidRPr="003937FF">
        <w:rPr>
          <w:rFonts w:ascii="Times New Roman" w:hAnsi="Times New Roman"/>
          <w:lang w:val="pl-PL"/>
        </w:rPr>
        <w:t>ust. 1</w:t>
      </w:r>
      <w:r w:rsidRPr="00A3695F">
        <w:rPr>
          <w:rFonts w:ascii="Times New Roman" w:hAnsi="Times New Roman"/>
          <w:lang w:val="pl-PL"/>
        </w:rPr>
        <w:t xml:space="preserve"> akapit drugi Traktatu o</w:t>
      </w:r>
      <w:r>
        <w:rPr>
          <w:rFonts w:ascii="Times New Roman" w:hAnsi="Times New Roman"/>
          <w:lang w:val="pl-PL"/>
        </w:rPr>
        <w:t> </w:t>
      </w:r>
      <w:r w:rsidRPr="00A3695F">
        <w:rPr>
          <w:rFonts w:ascii="Times New Roman" w:hAnsi="Times New Roman"/>
          <w:lang w:val="pl-PL"/>
        </w:rPr>
        <w:t xml:space="preserve">Unii Europejskiej oraz </w:t>
      </w:r>
      <w:r w:rsidRPr="003937FF">
        <w:rPr>
          <w:rFonts w:ascii="Times New Roman" w:hAnsi="Times New Roman"/>
          <w:lang w:val="pl-PL"/>
        </w:rPr>
        <w:t>art. 4</w:t>
      </w:r>
      <w:r w:rsidRPr="00A3695F">
        <w:rPr>
          <w:rFonts w:ascii="Times New Roman" w:hAnsi="Times New Roman"/>
          <w:lang w:val="pl-PL"/>
        </w:rPr>
        <w:t>7 Karty praw podstawowych Unii Europejskiej.</w:t>
      </w:r>
    </w:p>
  </w:footnote>
  <w:footnote w:id="23">
    <w:p w14:paraId="188BD1DF" w14:textId="03E0C066" w:rsidR="003937FF" w:rsidRPr="00A3695F" w:rsidRDefault="003937FF" w:rsidP="000536B0">
      <w:pPr>
        <w:pStyle w:val="FootnoteText"/>
        <w:ind w:left="284" w:hanging="284"/>
        <w:jc w:val="both"/>
        <w:rPr>
          <w:lang w:val="pl-PL"/>
        </w:rPr>
      </w:pPr>
      <w:r w:rsidRPr="00A3695F">
        <w:rPr>
          <w:rStyle w:val="FootnoteReference"/>
          <w:rFonts w:ascii="Times New Roman" w:hAnsi="Times New Roman" w:cs="Times New Roman"/>
          <w:lang w:val="pl-PL"/>
        </w:rPr>
        <w:footnoteRef/>
      </w:r>
      <w:r w:rsidRPr="00A3695F">
        <w:rPr>
          <w:lang w:val="pl-PL"/>
        </w:rPr>
        <w:t xml:space="preserve"> </w:t>
      </w:r>
      <w:r w:rsidRPr="00A3695F">
        <w:rPr>
          <w:lang w:val="pl-PL"/>
        </w:rPr>
        <w:tab/>
      </w:r>
      <w:bookmarkStart w:id="2" w:name="_Hlk116058899"/>
      <w:r w:rsidRPr="00A3695F">
        <w:rPr>
          <w:rFonts w:ascii="Times New Roman" w:hAnsi="Times New Roman"/>
          <w:lang w:val="pl-PL"/>
        </w:rPr>
        <w:t>Przypadki krajowych przepisów lub praktyk, które utrudniają wszczynanie postępowania prejudycjalnego, na przykład ze względu na fakt, że sędzia może ponieść odpowiedzialność dyscyplinarną za przedłożenie odesłania prejudycjalnego lub za stosowanie prawa Unii zgodnie z</w:t>
      </w:r>
      <w:r>
        <w:rPr>
          <w:rFonts w:ascii="Times New Roman" w:hAnsi="Times New Roman"/>
          <w:lang w:val="pl-PL"/>
        </w:rPr>
        <w:t> </w:t>
      </w:r>
      <w:r w:rsidRPr="00A3695F">
        <w:rPr>
          <w:rFonts w:ascii="Times New Roman" w:hAnsi="Times New Roman"/>
          <w:lang w:val="pl-PL"/>
        </w:rPr>
        <w:t>wykładnią Trybunału Sprawiedliwości, lub przypadki, w</w:t>
      </w:r>
      <w:r>
        <w:rPr>
          <w:rFonts w:ascii="Times New Roman" w:hAnsi="Times New Roman"/>
          <w:lang w:val="pl-PL"/>
        </w:rPr>
        <w:t> </w:t>
      </w:r>
      <w:r w:rsidRPr="00A3695F">
        <w:rPr>
          <w:rFonts w:ascii="Times New Roman" w:hAnsi="Times New Roman"/>
          <w:lang w:val="pl-PL"/>
        </w:rPr>
        <w:t>których sądom krajowym uniemożliwia się uznawanie pierwszeństwa prawa Unii, wpływają w</w:t>
      </w:r>
      <w:r>
        <w:rPr>
          <w:rFonts w:ascii="Times New Roman" w:hAnsi="Times New Roman"/>
          <w:lang w:val="pl-PL"/>
        </w:rPr>
        <w:t> </w:t>
      </w:r>
      <w:r w:rsidRPr="00A3695F">
        <w:rPr>
          <w:rFonts w:ascii="Times New Roman" w:hAnsi="Times New Roman"/>
          <w:lang w:val="pl-PL"/>
        </w:rPr>
        <w:t>sposób systemowy na egzekwowanie prawa Unii.</w:t>
      </w:r>
    </w:p>
    <w:bookmarkEnd w:id="2"/>
  </w:footnote>
  <w:footnote w:id="24">
    <w:p w14:paraId="46FF26FC" w14:textId="2F8CBABA"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W sprawach dotyczących konkurencji i</w:t>
      </w:r>
      <w:r>
        <w:rPr>
          <w:rFonts w:ascii="Times New Roman" w:hAnsi="Times New Roman"/>
          <w:lang w:val="pl-PL"/>
        </w:rPr>
        <w:t> </w:t>
      </w:r>
      <w:r w:rsidRPr="00A3695F">
        <w:rPr>
          <w:rFonts w:ascii="Times New Roman" w:hAnsi="Times New Roman"/>
          <w:lang w:val="pl-PL"/>
        </w:rPr>
        <w:t>pomocy państwa Komisja regularnie udziela wsparcia i</w:t>
      </w:r>
      <w:r>
        <w:rPr>
          <w:rFonts w:ascii="Times New Roman" w:hAnsi="Times New Roman"/>
          <w:lang w:val="pl-PL"/>
        </w:rPr>
        <w:t> </w:t>
      </w:r>
      <w:r w:rsidRPr="00A3695F">
        <w:rPr>
          <w:rFonts w:ascii="Times New Roman" w:hAnsi="Times New Roman"/>
          <w:lang w:val="pl-PL"/>
        </w:rPr>
        <w:t>interweniuje w</w:t>
      </w:r>
      <w:r>
        <w:rPr>
          <w:rFonts w:ascii="Times New Roman" w:hAnsi="Times New Roman"/>
          <w:lang w:val="pl-PL"/>
        </w:rPr>
        <w:t> </w:t>
      </w:r>
      <w:r w:rsidRPr="00A3695F">
        <w:rPr>
          <w:rFonts w:ascii="Times New Roman" w:hAnsi="Times New Roman"/>
          <w:lang w:val="pl-PL"/>
        </w:rPr>
        <w:t>postępowaniach przed sądami krajowymi.</w:t>
      </w:r>
    </w:p>
  </w:footnote>
  <w:footnote w:id="25">
    <w:p w14:paraId="45877C9F" w14:textId="08E0F12B"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W przeciągu ostatnich 10 lat liczba orzeczeń w</w:t>
      </w:r>
      <w:r>
        <w:rPr>
          <w:rFonts w:ascii="Times New Roman" w:hAnsi="Times New Roman"/>
          <w:lang w:val="pl-PL"/>
        </w:rPr>
        <w:t> </w:t>
      </w:r>
      <w:r w:rsidRPr="00A3695F">
        <w:rPr>
          <w:rFonts w:ascii="Times New Roman" w:hAnsi="Times New Roman"/>
          <w:lang w:val="pl-PL"/>
        </w:rPr>
        <w:t>trybie prejudycjalnym znacznie wzrosła – w</w:t>
      </w:r>
      <w:r>
        <w:rPr>
          <w:rFonts w:ascii="Times New Roman" w:hAnsi="Times New Roman"/>
          <w:lang w:val="pl-PL"/>
        </w:rPr>
        <w:t> </w:t>
      </w:r>
      <w:r w:rsidRPr="00A3695F">
        <w:rPr>
          <w:rFonts w:ascii="Times New Roman" w:hAnsi="Times New Roman"/>
          <w:lang w:val="pl-PL"/>
        </w:rPr>
        <w:t>20</w:t>
      </w:r>
      <w:r w:rsidRPr="003937FF">
        <w:rPr>
          <w:rFonts w:ascii="Times New Roman" w:hAnsi="Times New Roman"/>
          <w:lang w:val="pl-PL"/>
        </w:rPr>
        <w:t>21 r.</w:t>
      </w:r>
      <w:r w:rsidRPr="00A3695F">
        <w:rPr>
          <w:rFonts w:ascii="Times New Roman" w:hAnsi="Times New Roman"/>
          <w:lang w:val="pl-PL"/>
        </w:rPr>
        <w:t xml:space="preserve"> Trybunał wydał 567 takich orzeczeń w</w:t>
      </w:r>
      <w:r>
        <w:rPr>
          <w:rFonts w:ascii="Times New Roman" w:hAnsi="Times New Roman"/>
          <w:lang w:val="pl-PL"/>
        </w:rPr>
        <w:t> </w:t>
      </w:r>
      <w:r w:rsidRPr="00A3695F">
        <w:rPr>
          <w:rFonts w:ascii="Times New Roman" w:hAnsi="Times New Roman"/>
          <w:lang w:val="pl-PL"/>
        </w:rPr>
        <w:t>porównaniu z</w:t>
      </w:r>
      <w:r>
        <w:rPr>
          <w:rFonts w:ascii="Times New Roman" w:hAnsi="Times New Roman"/>
          <w:lang w:val="pl-PL"/>
        </w:rPr>
        <w:t> </w:t>
      </w:r>
      <w:r w:rsidRPr="00A3695F">
        <w:rPr>
          <w:rFonts w:ascii="Times New Roman" w:hAnsi="Times New Roman"/>
          <w:lang w:val="pl-PL"/>
        </w:rPr>
        <w:t>385 wydanymi w</w:t>
      </w:r>
      <w:r>
        <w:rPr>
          <w:rFonts w:ascii="Times New Roman" w:hAnsi="Times New Roman"/>
          <w:lang w:val="pl-PL"/>
        </w:rPr>
        <w:t> </w:t>
      </w:r>
      <w:r w:rsidRPr="00A3695F">
        <w:rPr>
          <w:rFonts w:ascii="Times New Roman" w:hAnsi="Times New Roman"/>
          <w:lang w:val="pl-PL"/>
        </w:rPr>
        <w:t>20</w:t>
      </w:r>
      <w:r w:rsidRPr="003937FF">
        <w:rPr>
          <w:rFonts w:ascii="Times New Roman" w:hAnsi="Times New Roman"/>
          <w:lang w:val="pl-PL"/>
        </w:rPr>
        <w:t>10 r.</w:t>
      </w:r>
    </w:p>
  </w:footnote>
  <w:footnote w:id="26">
    <w:p w14:paraId="79C4A8E3" w14:textId="7777777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Komunikat Komisji „Zapewnienie sprawiedliwości w UE – europejska strategia szkolenia kadr wymiaru sprawiedliwości na lata 2021–2024”, COM(2020) 713 final.</w:t>
      </w:r>
    </w:p>
  </w:footnote>
  <w:footnote w:id="27">
    <w:p w14:paraId="08901776" w14:textId="254A989E"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Style w:val="FootnoteReference"/>
          <w:rFonts w:ascii="Times New Roman" w:hAnsi="Times New Roman"/>
          <w:lang w:val="pl-PL"/>
        </w:rPr>
        <w:t xml:space="preserve"> </w:t>
      </w:r>
      <w:r w:rsidRPr="00A3695F">
        <w:rPr>
          <w:rStyle w:val="FootnoteReference"/>
          <w:rFonts w:ascii="Times New Roman" w:hAnsi="Times New Roman"/>
          <w:vertAlign w:val="baseline"/>
          <w:lang w:val="pl-PL"/>
        </w:rPr>
        <w:t>.</w:t>
      </w:r>
      <w:r w:rsidRPr="00A3695F">
        <w:rPr>
          <w:lang w:val="pl-PL"/>
        </w:rPr>
        <w:tab/>
      </w:r>
      <w:r w:rsidRPr="00A3695F">
        <w:rPr>
          <w:rStyle w:val="FootnoteReference"/>
          <w:rFonts w:ascii="Times New Roman" w:hAnsi="Times New Roman"/>
          <w:vertAlign w:val="baseline"/>
          <w:lang w:val="pl-PL"/>
        </w:rPr>
        <w:t xml:space="preserve">Wyrok Trybunału </w:t>
      </w:r>
      <w:r w:rsidRPr="00A3695F">
        <w:rPr>
          <w:rFonts w:ascii="Times New Roman" w:hAnsi="Times New Roman"/>
          <w:lang w:val="pl-PL"/>
        </w:rPr>
        <w:t xml:space="preserve">Sprawiedliwości </w:t>
      </w:r>
      <w:r w:rsidRPr="00A3695F">
        <w:rPr>
          <w:rStyle w:val="FootnoteReference"/>
          <w:rFonts w:ascii="Times New Roman" w:hAnsi="Times New Roman"/>
          <w:vertAlign w:val="baseline"/>
          <w:lang w:val="pl-PL"/>
        </w:rPr>
        <w:t>w</w:t>
      </w:r>
      <w:r>
        <w:rPr>
          <w:rFonts w:ascii="Times New Roman" w:hAnsi="Times New Roman"/>
          <w:lang w:val="pl-PL"/>
        </w:rPr>
        <w:t> </w:t>
      </w:r>
      <w:r w:rsidRPr="00A3695F">
        <w:rPr>
          <w:rStyle w:val="FootnoteReference"/>
          <w:rFonts w:ascii="Times New Roman" w:hAnsi="Times New Roman"/>
          <w:vertAlign w:val="baseline"/>
          <w:lang w:val="pl-PL"/>
        </w:rPr>
        <w:t>sprawie C-318/07, Persche.</w:t>
      </w:r>
    </w:p>
  </w:footnote>
  <w:footnote w:id="28">
    <w:p w14:paraId="1AE0BB3F" w14:textId="4977D006"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Wyrok Trybunału Sprawiedliwości w</w:t>
      </w:r>
      <w:r>
        <w:rPr>
          <w:rFonts w:ascii="Times New Roman" w:hAnsi="Times New Roman"/>
          <w:lang w:val="pl-PL"/>
        </w:rPr>
        <w:t> </w:t>
      </w:r>
      <w:r w:rsidRPr="00A3695F">
        <w:rPr>
          <w:rFonts w:ascii="Times New Roman" w:hAnsi="Times New Roman"/>
          <w:lang w:val="pl-PL"/>
        </w:rPr>
        <w:t>sprawie C-274/20, GN i WX przeciwko Prefettura di Massa Carrara – Ufficio Territoriale del Governo di Massa Carrara;</w:t>
      </w:r>
    </w:p>
  </w:footnote>
  <w:footnote w:id="29">
    <w:p w14:paraId="3A7C2E43" w14:textId="1D4960B5"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Wyrok Trybunału Sprawiedliwości w</w:t>
      </w:r>
      <w:r>
        <w:rPr>
          <w:rFonts w:ascii="Times New Roman" w:hAnsi="Times New Roman"/>
          <w:lang w:val="pl-PL"/>
        </w:rPr>
        <w:t> </w:t>
      </w:r>
      <w:r w:rsidRPr="00A3695F">
        <w:rPr>
          <w:rFonts w:ascii="Times New Roman" w:hAnsi="Times New Roman"/>
          <w:lang w:val="pl-PL"/>
        </w:rPr>
        <w:t xml:space="preserve">sprawie C-335/19, E. Sp. z o.o. Sp. k. przeciwko Ministrowi Finansów. </w:t>
      </w:r>
    </w:p>
  </w:footnote>
  <w:footnote w:id="30">
    <w:p w14:paraId="49079A07" w14:textId="57A825BD"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W swoim wyroku w</w:t>
      </w:r>
      <w:r>
        <w:rPr>
          <w:rFonts w:ascii="Times New Roman" w:hAnsi="Times New Roman"/>
          <w:lang w:val="pl-PL"/>
        </w:rPr>
        <w:t> </w:t>
      </w:r>
      <w:r w:rsidRPr="00A3695F">
        <w:rPr>
          <w:rFonts w:ascii="Times New Roman" w:hAnsi="Times New Roman"/>
          <w:lang w:val="pl-PL"/>
        </w:rPr>
        <w:t>sprawie C-543/17, Komisja przeciwko Belgii, Trybunał Sprawiedliwości wyjaśnił, że państwa członkowskie mają obowiązek dostarczyć Komisji wystarczająco jasne i</w:t>
      </w:r>
      <w:r>
        <w:rPr>
          <w:rFonts w:ascii="Times New Roman" w:hAnsi="Times New Roman"/>
          <w:lang w:val="pl-PL"/>
        </w:rPr>
        <w:t> </w:t>
      </w:r>
      <w:r w:rsidRPr="00A3695F">
        <w:rPr>
          <w:rFonts w:ascii="Times New Roman" w:hAnsi="Times New Roman"/>
          <w:lang w:val="pl-PL"/>
        </w:rPr>
        <w:t>precyzyjne informacje co do przepisów krajowych transponujących dyrektywę.</w:t>
      </w:r>
    </w:p>
  </w:footnote>
  <w:footnote w:id="31">
    <w:p w14:paraId="43ACE8A4" w14:textId="78D3F4EB"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Sytuacja ta dotyczy na przykład niezależności krajowych organów regulacyjnych w</w:t>
      </w:r>
      <w:r>
        <w:rPr>
          <w:rFonts w:ascii="Times New Roman" w:hAnsi="Times New Roman"/>
          <w:lang w:val="pl-PL"/>
        </w:rPr>
        <w:t> </w:t>
      </w:r>
      <w:r w:rsidRPr="00A3695F">
        <w:rPr>
          <w:rFonts w:ascii="Times New Roman" w:hAnsi="Times New Roman"/>
          <w:lang w:val="pl-PL"/>
        </w:rPr>
        <w:t>sektorze energetycznym, co stanowi podstawową zasadę trzeciego pakietu energetycznego i ma również zasadnicze znaczenie dla zapewnienia skutecznej ochrony konsumentów, jak potwierdził Trybunał Sprawiedliwości (sprawa C-718/18 Komisja przeciwko Niemcom).</w:t>
      </w:r>
    </w:p>
  </w:footnote>
  <w:footnote w:id="32">
    <w:p w14:paraId="5B65BD35" w14:textId="354B5A2E"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Na przykład poprzez Instrument Wsparcia Technicznego i</w:t>
      </w:r>
      <w:r>
        <w:rPr>
          <w:rFonts w:ascii="Times New Roman" w:hAnsi="Times New Roman"/>
          <w:lang w:val="pl-PL"/>
        </w:rPr>
        <w:t> </w:t>
      </w:r>
      <w:r w:rsidRPr="00A3695F">
        <w:rPr>
          <w:rFonts w:ascii="Times New Roman" w:hAnsi="Times New Roman"/>
          <w:lang w:val="pl-PL"/>
        </w:rPr>
        <w:t>partnerstwo TAIEX-EIR peer 2 peer.</w:t>
      </w:r>
    </w:p>
  </w:footnote>
  <w:footnote w:id="33">
    <w:p w14:paraId="69188E17" w14:textId="594BBF64"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Na przykład Komisja opracowała pakiet szkoleń z</w:t>
      </w:r>
      <w:r>
        <w:rPr>
          <w:rFonts w:ascii="Times New Roman" w:hAnsi="Times New Roman"/>
          <w:lang w:val="pl-PL"/>
        </w:rPr>
        <w:t> </w:t>
      </w:r>
      <w:r w:rsidRPr="00A3695F">
        <w:rPr>
          <w:rFonts w:ascii="Times New Roman" w:hAnsi="Times New Roman"/>
          <w:lang w:val="pl-PL"/>
        </w:rPr>
        <w:t>zakresu unijnego prawa ochrony środowiska (https://ec.europa.eu/environment/legal/law/training_package.htm).</w:t>
      </w:r>
    </w:p>
  </w:footnote>
  <w:footnote w:id="34">
    <w:p w14:paraId="6E100183" w14:textId="13449A29"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Rozporządzenie (UE) 2016/679 z</w:t>
      </w:r>
      <w:r>
        <w:rPr>
          <w:rFonts w:ascii="Times New Roman" w:hAnsi="Times New Roman"/>
          <w:lang w:val="pl-PL"/>
        </w:rPr>
        <w:t> </w:t>
      </w:r>
      <w:r w:rsidRPr="00A3695F">
        <w:rPr>
          <w:rFonts w:ascii="Times New Roman" w:hAnsi="Times New Roman"/>
          <w:lang w:val="pl-PL"/>
        </w:rPr>
        <w:t>dnia 27 kwietnia 20</w:t>
      </w:r>
      <w:r w:rsidRPr="003937FF">
        <w:rPr>
          <w:rFonts w:ascii="Times New Roman" w:hAnsi="Times New Roman"/>
          <w:lang w:val="pl-PL"/>
        </w:rPr>
        <w:t>16 r.</w:t>
      </w:r>
      <w:r w:rsidRPr="00A3695F">
        <w:rPr>
          <w:rFonts w:ascii="Times New Roman" w:hAnsi="Times New Roman"/>
          <w:lang w:val="pl-PL"/>
        </w:rPr>
        <w:t xml:space="preserve"> w</w:t>
      </w:r>
      <w:r>
        <w:rPr>
          <w:rFonts w:ascii="Times New Roman" w:hAnsi="Times New Roman"/>
          <w:lang w:val="pl-PL"/>
        </w:rPr>
        <w:t> </w:t>
      </w:r>
      <w:r w:rsidRPr="00A3695F">
        <w:rPr>
          <w:rFonts w:ascii="Times New Roman" w:hAnsi="Times New Roman"/>
          <w:lang w:val="pl-PL"/>
        </w:rPr>
        <w:t>sprawie ochrony osób fizycznych w</w:t>
      </w:r>
      <w:r>
        <w:rPr>
          <w:rFonts w:ascii="Times New Roman" w:hAnsi="Times New Roman"/>
          <w:lang w:val="pl-PL"/>
        </w:rPr>
        <w:t> </w:t>
      </w:r>
      <w:r w:rsidRPr="00A3695F">
        <w:rPr>
          <w:rFonts w:ascii="Times New Roman" w:hAnsi="Times New Roman"/>
          <w:lang w:val="pl-PL"/>
        </w:rPr>
        <w:t>związku z</w:t>
      </w:r>
      <w:r>
        <w:rPr>
          <w:rFonts w:ascii="Times New Roman" w:hAnsi="Times New Roman"/>
          <w:lang w:val="pl-PL"/>
        </w:rPr>
        <w:t> </w:t>
      </w:r>
      <w:r w:rsidRPr="00A3695F">
        <w:rPr>
          <w:rFonts w:ascii="Times New Roman" w:hAnsi="Times New Roman"/>
          <w:lang w:val="pl-PL"/>
        </w:rPr>
        <w:t>przetwarzaniem danych osobowych i</w:t>
      </w:r>
      <w:r>
        <w:rPr>
          <w:rFonts w:ascii="Times New Roman" w:hAnsi="Times New Roman"/>
          <w:lang w:val="pl-PL"/>
        </w:rPr>
        <w:t> </w:t>
      </w:r>
      <w:r w:rsidRPr="00A3695F">
        <w:rPr>
          <w:rFonts w:ascii="Times New Roman" w:hAnsi="Times New Roman"/>
          <w:lang w:val="pl-PL"/>
        </w:rPr>
        <w:t>w</w:t>
      </w:r>
      <w:r>
        <w:rPr>
          <w:rFonts w:ascii="Times New Roman" w:hAnsi="Times New Roman"/>
          <w:lang w:val="pl-PL"/>
        </w:rPr>
        <w:t> </w:t>
      </w:r>
      <w:r w:rsidRPr="00A3695F">
        <w:rPr>
          <w:rFonts w:ascii="Times New Roman" w:hAnsi="Times New Roman"/>
          <w:lang w:val="pl-PL"/>
        </w:rPr>
        <w:t>sprawie swobodnego przepływu takich danych oraz uchylenia dyrektywy 95/46/WE (ogólne rozporządzenie o</w:t>
      </w:r>
      <w:r>
        <w:rPr>
          <w:rFonts w:ascii="Times New Roman" w:hAnsi="Times New Roman"/>
          <w:lang w:val="pl-PL"/>
        </w:rPr>
        <w:t> </w:t>
      </w:r>
      <w:r w:rsidRPr="00A3695F">
        <w:rPr>
          <w:rFonts w:ascii="Times New Roman" w:hAnsi="Times New Roman"/>
          <w:lang w:val="pl-PL"/>
        </w:rPr>
        <w:t>ochronie danych).</w:t>
      </w:r>
    </w:p>
  </w:footnote>
  <w:footnote w:id="35">
    <w:p w14:paraId="7716F3C6" w14:textId="5344B3D0"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Style w:val="FootnoteReference"/>
          <w:rFonts w:ascii="Times New Roman" w:hAnsi="Times New Roman"/>
          <w:lang w:val="pl-PL"/>
        </w:rPr>
        <w:t xml:space="preserve"> </w:t>
      </w:r>
      <w:r w:rsidRPr="00A3695F">
        <w:rPr>
          <w:lang w:val="pl-PL"/>
        </w:rPr>
        <w:tab/>
      </w:r>
      <w:r w:rsidRPr="00A3695F">
        <w:rPr>
          <w:rStyle w:val="FootnoteReference"/>
          <w:rFonts w:ascii="Times New Roman" w:hAnsi="Times New Roman"/>
          <w:vertAlign w:val="baseline"/>
          <w:lang w:val="pl-PL"/>
        </w:rPr>
        <w:t>Europejski Urząd Nadzoru Bankowego (EUNB), Europejski Urząd Nadzoru Giełd i</w:t>
      </w:r>
      <w:r>
        <w:rPr>
          <w:rStyle w:val="FootnoteReference"/>
          <w:rFonts w:ascii="Times New Roman" w:hAnsi="Times New Roman"/>
          <w:vertAlign w:val="baseline"/>
          <w:lang w:val="pl-PL"/>
        </w:rPr>
        <w:t> </w:t>
      </w:r>
      <w:r w:rsidRPr="00A3695F">
        <w:rPr>
          <w:rStyle w:val="FootnoteReference"/>
          <w:rFonts w:ascii="Times New Roman" w:hAnsi="Times New Roman"/>
          <w:vertAlign w:val="baseline"/>
          <w:lang w:val="pl-PL"/>
        </w:rPr>
        <w:t>Papierów Wartościowych (ESMA) oraz Europejski Urząd Nadzoru Ubezpieczeń i</w:t>
      </w:r>
      <w:r>
        <w:rPr>
          <w:rStyle w:val="FootnoteReference"/>
          <w:rFonts w:ascii="Times New Roman" w:hAnsi="Times New Roman"/>
          <w:vertAlign w:val="baseline"/>
          <w:lang w:val="pl-PL"/>
        </w:rPr>
        <w:t> </w:t>
      </w:r>
      <w:r w:rsidRPr="00A3695F">
        <w:rPr>
          <w:rStyle w:val="FootnoteReference"/>
          <w:rFonts w:ascii="Times New Roman" w:hAnsi="Times New Roman"/>
          <w:vertAlign w:val="baseline"/>
          <w:lang w:val="pl-PL"/>
        </w:rPr>
        <w:t>Pracowniczych Programów Emerytalnych (EIOPA)</w:t>
      </w:r>
      <w:r w:rsidRPr="00A3695F">
        <w:rPr>
          <w:rFonts w:ascii="Times New Roman" w:hAnsi="Times New Roman"/>
          <w:lang w:val="pl-PL"/>
        </w:rPr>
        <w:t>.</w:t>
      </w:r>
    </w:p>
  </w:footnote>
  <w:footnote w:id="36">
    <w:p w14:paraId="4692F66E" w14:textId="25603773"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Sieć Europejskich Centrów Konsumenckich (ECC Net) łączy organy krajowe odpowiedzialne za egzekwowanie unijnych przepisów dotyczących ochrony konsumentów (</w:t>
      </w:r>
      <w:hyperlink r:id="rId7" w:history="1">
        <w:r w:rsidRPr="00A3695F">
          <w:rPr>
            <w:rStyle w:val="Hyperlink"/>
            <w:rFonts w:ascii="Times New Roman" w:hAnsi="Times New Roman"/>
            <w:lang w:val="pl-PL"/>
          </w:rPr>
          <w:t>https://ec.europa.eu/info/live-work-travel-eu/consumer-rights-and-complaints/resolve-your-consumer-complaint/european-consumer-centres-network-ecc-net_pl</w:t>
        </w:r>
      </w:hyperlink>
      <w:r w:rsidRPr="00A3695F">
        <w:rPr>
          <w:rFonts w:ascii="Times New Roman" w:hAnsi="Times New Roman"/>
          <w:lang w:val="pl-PL"/>
        </w:rPr>
        <w:t>). Współpraca w</w:t>
      </w:r>
      <w:r>
        <w:rPr>
          <w:rFonts w:ascii="Times New Roman" w:hAnsi="Times New Roman"/>
          <w:lang w:val="pl-PL"/>
        </w:rPr>
        <w:t> </w:t>
      </w:r>
      <w:r w:rsidRPr="00A3695F">
        <w:rPr>
          <w:rFonts w:ascii="Times New Roman" w:hAnsi="Times New Roman"/>
          <w:lang w:val="pl-PL"/>
        </w:rPr>
        <w:t>tym zakresie obejmuje przepisy dotyczące konsumentów w</w:t>
      </w:r>
      <w:r>
        <w:rPr>
          <w:rFonts w:ascii="Times New Roman" w:hAnsi="Times New Roman"/>
          <w:lang w:val="pl-PL"/>
        </w:rPr>
        <w:t> </w:t>
      </w:r>
      <w:r w:rsidRPr="00A3695F">
        <w:rPr>
          <w:rFonts w:ascii="Times New Roman" w:hAnsi="Times New Roman"/>
          <w:lang w:val="pl-PL"/>
        </w:rPr>
        <w:t>różnych obszarach, takich jak nieuczciwe praktyki handlowe, handel elektroniczny, blokowanie geograficzne, wakacje zorganizowane, sprzedaż przez internet i</w:t>
      </w:r>
      <w:r>
        <w:rPr>
          <w:rFonts w:ascii="Times New Roman" w:hAnsi="Times New Roman"/>
          <w:lang w:val="pl-PL"/>
        </w:rPr>
        <w:t> </w:t>
      </w:r>
      <w:r w:rsidRPr="00A3695F">
        <w:rPr>
          <w:rFonts w:ascii="Times New Roman" w:hAnsi="Times New Roman"/>
          <w:lang w:val="pl-PL"/>
        </w:rPr>
        <w:t>prawa pasażerów.</w:t>
      </w:r>
    </w:p>
  </w:footnote>
  <w:footnote w:id="37">
    <w:p w14:paraId="0F04AB69" w14:textId="7777777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hyperlink r:id="rId8" w:history="1">
        <w:r w:rsidRPr="00A3695F">
          <w:rPr>
            <w:rStyle w:val="Hyperlink"/>
            <w:rFonts w:ascii="Times New Roman" w:hAnsi="Times New Roman"/>
            <w:lang w:val="pl-PL"/>
          </w:rPr>
          <w:t>http://www.consumerlawready.eu/</w:t>
        </w:r>
      </w:hyperlink>
    </w:p>
  </w:footnote>
  <w:footnote w:id="38">
    <w:p w14:paraId="41309FA1" w14:textId="6626F3C1"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Wytyczne w</w:t>
      </w:r>
      <w:r>
        <w:rPr>
          <w:rFonts w:ascii="Times New Roman" w:hAnsi="Times New Roman"/>
          <w:lang w:val="pl-PL"/>
        </w:rPr>
        <w:t> </w:t>
      </w:r>
      <w:r w:rsidRPr="00A3695F">
        <w:rPr>
          <w:rFonts w:ascii="Times New Roman" w:hAnsi="Times New Roman"/>
          <w:lang w:val="pl-PL"/>
        </w:rPr>
        <w:t>zakresie lepszego stanowienia prawa z</w:t>
      </w:r>
      <w:r>
        <w:rPr>
          <w:rFonts w:ascii="Times New Roman" w:hAnsi="Times New Roman"/>
          <w:lang w:val="pl-PL"/>
        </w:rPr>
        <w:t> </w:t>
      </w:r>
      <w:r w:rsidRPr="00A3695F">
        <w:rPr>
          <w:rFonts w:ascii="Times New Roman" w:hAnsi="Times New Roman"/>
          <w:lang w:val="pl-PL"/>
        </w:rPr>
        <w:t>3.11.20</w:t>
      </w:r>
      <w:r w:rsidRPr="003937FF">
        <w:rPr>
          <w:rFonts w:ascii="Times New Roman" w:hAnsi="Times New Roman"/>
          <w:lang w:val="pl-PL"/>
        </w:rPr>
        <w:t>21 r.</w:t>
      </w:r>
      <w:r w:rsidRPr="00A3695F">
        <w:rPr>
          <w:rFonts w:ascii="Times New Roman" w:hAnsi="Times New Roman"/>
          <w:lang w:val="pl-PL"/>
        </w:rPr>
        <w:t xml:space="preserve">, </w:t>
      </w:r>
      <w:hyperlink r:id="rId9" w:history="1">
        <w:r w:rsidRPr="00A3695F">
          <w:rPr>
            <w:rStyle w:val="Hyperlink"/>
            <w:rFonts w:ascii="Times New Roman" w:hAnsi="Times New Roman"/>
            <w:lang w:val="pl-PL"/>
          </w:rPr>
          <w:t>https://ec.europa.eu/info/law/law-making-process/planning-and-proposing-law/better-regulation-why-and-how/better-regulation-guidelines-and-toolbox_pl</w:t>
        </w:r>
      </w:hyperlink>
      <w:r w:rsidRPr="00A3695F">
        <w:rPr>
          <w:rFonts w:ascii="Times New Roman" w:hAnsi="Times New Roman"/>
          <w:lang w:val="pl-PL"/>
        </w:rPr>
        <w:t xml:space="preserve"> </w:t>
      </w:r>
    </w:p>
  </w:footnote>
  <w:footnote w:id="39">
    <w:p w14:paraId="0168BE15" w14:textId="0A505D12" w:rsidR="003937FF" w:rsidRPr="00A3695F" w:rsidRDefault="003937FF" w:rsidP="001F57F0">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Rozporządzenie (UE) 2021/2282 z</w:t>
      </w:r>
      <w:r>
        <w:rPr>
          <w:rFonts w:ascii="Times New Roman" w:hAnsi="Times New Roman"/>
          <w:lang w:val="pl-PL"/>
        </w:rPr>
        <w:t> </w:t>
      </w:r>
      <w:r w:rsidRPr="00A3695F">
        <w:rPr>
          <w:rFonts w:ascii="Times New Roman" w:hAnsi="Times New Roman"/>
          <w:lang w:val="pl-PL"/>
        </w:rPr>
        <w:t>dnia 15 grudnia 20</w:t>
      </w:r>
      <w:r w:rsidRPr="003937FF">
        <w:rPr>
          <w:rFonts w:ascii="Times New Roman" w:hAnsi="Times New Roman"/>
          <w:lang w:val="pl-PL"/>
        </w:rPr>
        <w:t>21 r.</w:t>
      </w:r>
      <w:r w:rsidRPr="00A3695F">
        <w:rPr>
          <w:rFonts w:ascii="Times New Roman" w:hAnsi="Times New Roman"/>
          <w:lang w:val="pl-PL"/>
        </w:rPr>
        <w:t xml:space="preserve"> w</w:t>
      </w:r>
      <w:r>
        <w:rPr>
          <w:rFonts w:ascii="Times New Roman" w:hAnsi="Times New Roman"/>
          <w:lang w:val="pl-PL"/>
        </w:rPr>
        <w:t> </w:t>
      </w:r>
      <w:r w:rsidRPr="00A3695F">
        <w:rPr>
          <w:rFonts w:ascii="Times New Roman" w:hAnsi="Times New Roman"/>
          <w:lang w:val="pl-PL"/>
        </w:rPr>
        <w:t>sprawie oceny technologii medycznych.</w:t>
      </w:r>
    </w:p>
  </w:footnote>
  <w:footnote w:id="40">
    <w:p w14:paraId="2A50CFE5" w14:textId="77777777" w:rsidR="003937FF" w:rsidRPr="00A3695F" w:rsidRDefault="003937FF" w:rsidP="001F57F0">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hyperlink r:id="rId10" w:history="1">
        <w:r w:rsidRPr="00A3695F">
          <w:rPr>
            <w:rStyle w:val="Hyperlink"/>
            <w:rFonts w:ascii="Times New Roman" w:hAnsi="Times New Roman"/>
            <w:lang w:val="pl-PL"/>
          </w:rPr>
          <w:t>https://health.ec.europa.eu/system/files/2022-05/hta_htar_rolling-plan_en.pdf</w:t>
        </w:r>
      </w:hyperlink>
      <w:r w:rsidRPr="00A3695F">
        <w:rPr>
          <w:rFonts w:ascii="Times New Roman" w:hAnsi="Times New Roman"/>
          <w:lang w:val="pl-PL"/>
        </w:rPr>
        <w:t xml:space="preserve"> </w:t>
      </w:r>
    </w:p>
  </w:footnote>
  <w:footnote w:id="41">
    <w:p w14:paraId="79445ABB" w14:textId="734F1F52"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Ostatecznej i</w:t>
      </w:r>
      <w:r>
        <w:rPr>
          <w:rFonts w:ascii="Times New Roman" w:hAnsi="Times New Roman"/>
          <w:lang w:val="pl-PL"/>
        </w:rPr>
        <w:t> </w:t>
      </w:r>
      <w:r w:rsidRPr="00A3695F">
        <w:rPr>
          <w:rFonts w:ascii="Times New Roman" w:hAnsi="Times New Roman"/>
          <w:lang w:val="pl-PL"/>
        </w:rPr>
        <w:t>autorytatywnej wykładni prawa Unii może dokonywać jedynie Trybunał Sprawiedliwości.</w:t>
      </w:r>
    </w:p>
  </w:footnote>
  <w:footnote w:id="42">
    <w:p w14:paraId="4E59BBC5" w14:textId="32B495C5"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Komisja opracowała na przykład szereg ogólnych wytycznych interpretacyjnych dotyczących dyrektyw w</w:t>
      </w:r>
      <w:r>
        <w:rPr>
          <w:rFonts w:ascii="Times New Roman" w:hAnsi="Times New Roman"/>
          <w:lang w:val="pl-PL"/>
        </w:rPr>
        <w:t> </w:t>
      </w:r>
      <w:r w:rsidRPr="00A3695F">
        <w:rPr>
          <w:rFonts w:ascii="Times New Roman" w:hAnsi="Times New Roman"/>
          <w:lang w:val="pl-PL"/>
        </w:rPr>
        <w:t xml:space="preserve">sprawie ochrony przyrody, </w:t>
      </w:r>
      <w:hyperlink r:id="rId11" w:history="1">
        <w:r w:rsidRPr="00A3695F">
          <w:rPr>
            <w:rStyle w:val="Hyperlink"/>
            <w:rFonts w:ascii="Times New Roman" w:hAnsi="Times New Roman"/>
            <w:lang w:val="pl-PL"/>
          </w:rPr>
          <w:t>https://ec.europa.eu/environment/nature/natura2000/management/guidance_en.htm</w:t>
        </w:r>
      </w:hyperlink>
      <w:r w:rsidRPr="00A3695F">
        <w:rPr>
          <w:rFonts w:ascii="Times New Roman" w:hAnsi="Times New Roman"/>
          <w:lang w:val="pl-PL"/>
        </w:rPr>
        <w:t xml:space="preserve"> </w:t>
      </w:r>
    </w:p>
  </w:footnote>
  <w:footnote w:id="43">
    <w:p w14:paraId="63855226" w14:textId="5B9E978F"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Dyrektywa (UE) 2019/790 z</w:t>
      </w:r>
      <w:r>
        <w:rPr>
          <w:rFonts w:ascii="Times New Roman" w:hAnsi="Times New Roman"/>
          <w:lang w:val="pl-PL"/>
        </w:rPr>
        <w:t> </w:t>
      </w:r>
      <w:r w:rsidRPr="00A3695F">
        <w:rPr>
          <w:rFonts w:ascii="Times New Roman" w:hAnsi="Times New Roman"/>
          <w:lang w:val="pl-PL"/>
        </w:rPr>
        <w:t>dnia 17 kwietnia 20</w:t>
      </w:r>
      <w:r w:rsidRPr="003937FF">
        <w:rPr>
          <w:rFonts w:ascii="Times New Roman" w:hAnsi="Times New Roman"/>
          <w:lang w:val="pl-PL"/>
        </w:rPr>
        <w:t>19 r.</w:t>
      </w:r>
      <w:r w:rsidRPr="00A3695F">
        <w:rPr>
          <w:rFonts w:ascii="Times New Roman" w:hAnsi="Times New Roman"/>
          <w:lang w:val="pl-PL"/>
        </w:rPr>
        <w:t xml:space="preserve"> w</w:t>
      </w:r>
      <w:r>
        <w:rPr>
          <w:rFonts w:ascii="Times New Roman" w:hAnsi="Times New Roman"/>
          <w:lang w:val="pl-PL"/>
        </w:rPr>
        <w:t> </w:t>
      </w:r>
      <w:r w:rsidRPr="00A3695F">
        <w:rPr>
          <w:rFonts w:ascii="Times New Roman" w:hAnsi="Times New Roman"/>
          <w:lang w:val="pl-PL"/>
        </w:rPr>
        <w:t>sprawie prawa autorskiego i</w:t>
      </w:r>
      <w:r>
        <w:rPr>
          <w:rFonts w:ascii="Times New Roman" w:hAnsi="Times New Roman"/>
          <w:lang w:val="pl-PL"/>
        </w:rPr>
        <w:t> </w:t>
      </w:r>
      <w:r w:rsidRPr="00A3695F">
        <w:rPr>
          <w:rFonts w:ascii="Times New Roman" w:hAnsi="Times New Roman"/>
          <w:lang w:val="pl-PL"/>
        </w:rPr>
        <w:t xml:space="preserve">praw pokrewnych na jednolitym rynku cyfrowym. </w:t>
      </w:r>
    </w:p>
  </w:footnote>
  <w:footnote w:id="44">
    <w:p w14:paraId="0CAD76FE" w14:textId="7777777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hyperlink r:id="rId12" w:history="1">
        <w:r w:rsidRPr="00A3695F">
          <w:rPr>
            <w:rStyle w:val="Hyperlink"/>
            <w:rFonts w:ascii="Times New Roman" w:hAnsi="Times New Roman"/>
            <w:lang w:val="pl-PL"/>
          </w:rPr>
          <w:t>https://transport.ec.europa.eu/transport-modes/road/mobility-package-i_en</w:t>
        </w:r>
      </w:hyperlink>
      <w:r w:rsidRPr="00A3695F">
        <w:rPr>
          <w:rFonts w:ascii="Times New Roman" w:hAnsi="Times New Roman"/>
          <w:lang w:val="pl-PL"/>
        </w:rPr>
        <w:t xml:space="preserve"> </w:t>
      </w:r>
    </w:p>
  </w:footnote>
  <w:footnote w:id="45">
    <w:p w14:paraId="75BA930F" w14:textId="3B8D5AB8"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 xml:space="preserve">Rozporządzenie (WE) </w:t>
      </w:r>
      <w:r w:rsidRPr="003937FF">
        <w:rPr>
          <w:rFonts w:ascii="Times New Roman" w:hAnsi="Times New Roman"/>
          <w:lang w:val="pl-PL"/>
        </w:rPr>
        <w:t>nr 5</w:t>
      </w:r>
      <w:r w:rsidRPr="00A3695F">
        <w:rPr>
          <w:rFonts w:ascii="Times New Roman" w:hAnsi="Times New Roman"/>
          <w:lang w:val="pl-PL"/>
        </w:rPr>
        <w:t>61/2006 z</w:t>
      </w:r>
      <w:r>
        <w:rPr>
          <w:rFonts w:ascii="Times New Roman" w:hAnsi="Times New Roman"/>
          <w:lang w:val="pl-PL"/>
        </w:rPr>
        <w:t> </w:t>
      </w:r>
      <w:r w:rsidRPr="00A3695F">
        <w:rPr>
          <w:rFonts w:ascii="Times New Roman" w:hAnsi="Times New Roman"/>
          <w:lang w:val="pl-PL"/>
        </w:rPr>
        <w:t>dnia 15 marca 20</w:t>
      </w:r>
      <w:r w:rsidRPr="003937FF">
        <w:rPr>
          <w:rFonts w:ascii="Times New Roman" w:hAnsi="Times New Roman"/>
          <w:lang w:val="pl-PL"/>
        </w:rPr>
        <w:t>06 r.</w:t>
      </w:r>
      <w:r w:rsidRPr="00A3695F">
        <w:rPr>
          <w:rFonts w:ascii="Times New Roman" w:hAnsi="Times New Roman"/>
          <w:lang w:val="pl-PL"/>
        </w:rPr>
        <w:t xml:space="preserve"> w</w:t>
      </w:r>
      <w:r>
        <w:rPr>
          <w:rFonts w:ascii="Times New Roman" w:hAnsi="Times New Roman"/>
          <w:lang w:val="pl-PL"/>
        </w:rPr>
        <w:t> </w:t>
      </w:r>
      <w:r w:rsidRPr="00A3695F">
        <w:rPr>
          <w:rFonts w:ascii="Times New Roman" w:hAnsi="Times New Roman"/>
          <w:lang w:val="pl-PL"/>
        </w:rPr>
        <w:t xml:space="preserve">sprawie harmonizacji niektórych przepisów socjalnych odnoszących się do transportu drogowego. </w:t>
      </w:r>
    </w:p>
  </w:footnote>
  <w:footnote w:id="46">
    <w:p w14:paraId="11A8ADC6" w14:textId="4A32595A"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Dyrektywa (UE) 2020/1057 z</w:t>
      </w:r>
      <w:r>
        <w:rPr>
          <w:rFonts w:ascii="Times New Roman" w:hAnsi="Times New Roman"/>
          <w:lang w:val="pl-PL"/>
        </w:rPr>
        <w:t> </w:t>
      </w:r>
      <w:r w:rsidRPr="00A3695F">
        <w:rPr>
          <w:rFonts w:ascii="Times New Roman" w:hAnsi="Times New Roman"/>
          <w:lang w:val="pl-PL"/>
        </w:rPr>
        <w:t>dnia 15 lipca 20</w:t>
      </w:r>
      <w:r w:rsidRPr="003937FF">
        <w:rPr>
          <w:rFonts w:ascii="Times New Roman" w:hAnsi="Times New Roman"/>
          <w:lang w:val="pl-PL"/>
        </w:rPr>
        <w:t>20 r.</w:t>
      </w:r>
      <w:r w:rsidRPr="00A3695F">
        <w:rPr>
          <w:rFonts w:ascii="Times New Roman" w:hAnsi="Times New Roman"/>
          <w:lang w:val="pl-PL"/>
        </w:rPr>
        <w:t xml:space="preserve"> ustanawiająca przepisy szczególne w</w:t>
      </w:r>
      <w:r>
        <w:rPr>
          <w:rFonts w:ascii="Times New Roman" w:hAnsi="Times New Roman"/>
          <w:lang w:val="pl-PL"/>
        </w:rPr>
        <w:t> </w:t>
      </w:r>
      <w:r w:rsidRPr="00A3695F">
        <w:rPr>
          <w:rFonts w:ascii="Times New Roman" w:hAnsi="Times New Roman"/>
          <w:lang w:val="pl-PL"/>
        </w:rPr>
        <w:t>odniesieniu do dyrektywy 96/71/WE i</w:t>
      </w:r>
      <w:r>
        <w:rPr>
          <w:rFonts w:ascii="Times New Roman" w:hAnsi="Times New Roman"/>
          <w:lang w:val="pl-PL"/>
        </w:rPr>
        <w:t> </w:t>
      </w:r>
      <w:r w:rsidRPr="00A3695F">
        <w:rPr>
          <w:rFonts w:ascii="Times New Roman" w:hAnsi="Times New Roman"/>
          <w:lang w:val="pl-PL"/>
        </w:rPr>
        <w:t>dyrektywy 2014/67/UE dotyczące delegowania kierowców w</w:t>
      </w:r>
      <w:r>
        <w:rPr>
          <w:rFonts w:ascii="Times New Roman" w:hAnsi="Times New Roman"/>
          <w:lang w:val="pl-PL"/>
        </w:rPr>
        <w:t> </w:t>
      </w:r>
      <w:r w:rsidRPr="00A3695F">
        <w:rPr>
          <w:rFonts w:ascii="Times New Roman" w:hAnsi="Times New Roman"/>
          <w:lang w:val="pl-PL"/>
        </w:rPr>
        <w:t>sektorze transportu drogowego.</w:t>
      </w:r>
    </w:p>
  </w:footnote>
  <w:footnote w:id="47">
    <w:p w14:paraId="0F1F3A35" w14:textId="2E668745"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 xml:space="preserve">Rozporządzenie (UE) </w:t>
      </w:r>
      <w:r w:rsidRPr="003937FF">
        <w:rPr>
          <w:rFonts w:ascii="Times New Roman" w:hAnsi="Times New Roman"/>
          <w:lang w:val="pl-PL"/>
        </w:rPr>
        <w:t>nr 1</w:t>
      </w:r>
      <w:r w:rsidRPr="00A3695F">
        <w:rPr>
          <w:rFonts w:ascii="Times New Roman" w:hAnsi="Times New Roman"/>
          <w:lang w:val="pl-PL"/>
        </w:rPr>
        <w:t>65/2014 z</w:t>
      </w:r>
      <w:r>
        <w:rPr>
          <w:rFonts w:ascii="Times New Roman" w:hAnsi="Times New Roman"/>
          <w:lang w:val="pl-PL"/>
        </w:rPr>
        <w:t> </w:t>
      </w:r>
      <w:r w:rsidRPr="00A3695F">
        <w:rPr>
          <w:rFonts w:ascii="Times New Roman" w:hAnsi="Times New Roman"/>
          <w:lang w:val="pl-PL"/>
        </w:rPr>
        <w:t>dnia 4 lutego 20</w:t>
      </w:r>
      <w:r w:rsidRPr="003937FF">
        <w:rPr>
          <w:rFonts w:ascii="Times New Roman" w:hAnsi="Times New Roman"/>
          <w:lang w:val="pl-PL"/>
        </w:rPr>
        <w:t>14 r.</w:t>
      </w:r>
      <w:r w:rsidRPr="00A3695F">
        <w:rPr>
          <w:rFonts w:ascii="Times New Roman" w:hAnsi="Times New Roman"/>
          <w:lang w:val="pl-PL"/>
        </w:rPr>
        <w:t xml:space="preserve"> w</w:t>
      </w:r>
      <w:r>
        <w:rPr>
          <w:rFonts w:ascii="Times New Roman" w:hAnsi="Times New Roman"/>
          <w:lang w:val="pl-PL"/>
        </w:rPr>
        <w:t> </w:t>
      </w:r>
      <w:r w:rsidRPr="00A3695F">
        <w:rPr>
          <w:rFonts w:ascii="Times New Roman" w:hAnsi="Times New Roman"/>
          <w:lang w:val="pl-PL"/>
        </w:rPr>
        <w:t>sprawie tachografów stosowanych w</w:t>
      </w:r>
      <w:r>
        <w:rPr>
          <w:rFonts w:ascii="Times New Roman" w:hAnsi="Times New Roman"/>
          <w:lang w:val="pl-PL"/>
        </w:rPr>
        <w:t> </w:t>
      </w:r>
      <w:r w:rsidRPr="00A3695F">
        <w:rPr>
          <w:rFonts w:ascii="Times New Roman" w:hAnsi="Times New Roman"/>
          <w:lang w:val="pl-PL"/>
        </w:rPr>
        <w:t>transporcie drogowym.</w:t>
      </w:r>
    </w:p>
  </w:footnote>
  <w:footnote w:id="48">
    <w:p w14:paraId="3C08BC5A" w14:textId="43674B36"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 xml:space="preserve">Rozporządzenie (WE) </w:t>
      </w:r>
      <w:r w:rsidRPr="003937FF">
        <w:rPr>
          <w:rFonts w:ascii="Times New Roman" w:hAnsi="Times New Roman"/>
          <w:lang w:val="pl-PL"/>
        </w:rPr>
        <w:t>nr 1</w:t>
      </w:r>
      <w:r w:rsidRPr="00A3695F">
        <w:rPr>
          <w:rFonts w:ascii="Times New Roman" w:hAnsi="Times New Roman"/>
          <w:lang w:val="pl-PL"/>
        </w:rPr>
        <w:t>071/2009 z</w:t>
      </w:r>
      <w:r>
        <w:rPr>
          <w:rFonts w:ascii="Times New Roman" w:hAnsi="Times New Roman"/>
          <w:lang w:val="pl-PL"/>
        </w:rPr>
        <w:t> </w:t>
      </w:r>
      <w:r w:rsidRPr="00A3695F">
        <w:rPr>
          <w:rFonts w:ascii="Times New Roman" w:hAnsi="Times New Roman"/>
          <w:lang w:val="pl-PL"/>
        </w:rPr>
        <w:t>dnia 21 października 20</w:t>
      </w:r>
      <w:r w:rsidRPr="003937FF">
        <w:rPr>
          <w:rFonts w:ascii="Times New Roman" w:hAnsi="Times New Roman"/>
          <w:lang w:val="pl-PL"/>
        </w:rPr>
        <w:t>09 r.</w:t>
      </w:r>
      <w:r w:rsidRPr="00A3695F">
        <w:rPr>
          <w:rFonts w:ascii="Times New Roman" w:hAnsi="Times New Roman"/>
          <w:lang w:val="pl-PL"/>
        </w:rPr>
        <w:t xml:space="preserve"> ustanawiające wspólne zasady dotyczące warunków wykonywania zawodu przewoźnika drogowego.</w:t>
      </w:r>
    </w:p>
  </w:footnote>
  <w:footnote w:id="49">
    <w:p w14:paraId="362E8BE8" w14:textId="7777777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hyperlink r:id="rId13" w:history="1">
        <w:r w:rsidRPr="00A3695F">
          <w:rPr>
            <w:rStyle w:val="Hyperlink"/>
            <w:rFonts w:ascii="Times New Roman" w:hAnsi="Times New Roman"/>
            <w:lang w:val="pl-PL"/>
          </w:rPr>
          <w:t>https://single-market-economy.ec.europa.eu/single-market/single-market-enforcement-taskforce_en</w:t>
        </w:r>
      </w:hyperlink>
      <w:r w:rsidRPr="00A3695F">
        <w:rPr>
          <w:rStyle w:val="Hyperlink"/>
          <w:rFonts w:ascii="Times New Roman" w:hAnsi="Times New Roman"/>
          <w:lang w:val="pl-PL"/>
        </w:rPr>
        <w:t xml:space="preserve"> </w:t>
      </w:r>
    </w:p>
  </w:footnote>
  <w:footnote w:id="50">
    <w:p w14:paraId="32BA1A80" w14:textId="711D8169"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Dyrektywa (UE) 2015/1535 z</w:t>
      </w:r>
      <w:r>
        <w:rPr>
          <w:rFonts w:ascii="Times New Roman" w:hAnsi="Times New Roman"/>
          <w:lang w:val="pl-PL"/>
        </w:rPr>
        <w:t> </w:t>
      </w:r>
      <w:r w:rsidRPr="00A3695F">
        <w:rPr>
          <w:rFonts w:ascii="Times New Roman" w:hAnsi="Times New Roman"/>
          <w:lang w:val="pl-PL"/>
        </w:rPr>
        <w:t>dnia 9 września 20</w:t>
      </w:r>
      <w:r w:rsidRPr="003937FF">
        <w:rPr>
          <w:rFonts w:ascii="Times New Roman" w:hAnsi="Times New Roman"/>
          <w:lang w:val="pl-PL"/>
        </w:rPr>
        <w:t>15 r.</w:t>
      </w:r>
      <w:r w:rsidRPr="00A3695F">
        <w:rPr>
          <w:rFonts w:ascii="Times New Roman" w:hAnsi="Times New Roman"/>
          <w:lang w:val="pl-PL"/>
        </w:rPr>
        <w:t xml:space="preserve"> ustanawiająca procedurę udzielania informacji w</w:t>
      </w:r>
      <w:r>
        <w:rPr>
          <w:rFonts w:ascii="Times New Roman" w:hAnsi="Times New Roman"/>
          <w:lang w:val="pl-PL"/>
        </w:rPr>
        <w:t> </w:t>
      </w:r>
      <w:r w:rsidRPr="00A3695F">
        <w:rPr>
          <w:rFonts w:ascii="Times New Roman" w:hAnsi="Times New Roman"/>
          <w:lang w:val="pl-PL"/>
        </w:rPr>
        <w:t>dziedzinie przepisów technicznych oraz zasad dotyczących usług społeczeństwa informacyjnego (ujednolicenie dyrektywy 98/34/WE).</w:t>
      </w:r>
    </w:p>
  </w:footnote>
  <w:footnote w:id="51">
    <w:p w14:paraId="28976476" w14:textId="5BE6068B"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Dyrektywa 2006/123/WE z</w:t>
      </w:r>
      <w:r>
        <w:rPr>
          <w:rFonts w:ascii="Times New Roman" w:hAnsi="Times New Roman"/>
          <w:lang w:val="pl-PL"/>
        </w:rPr>
        <w:t> </w:t>
      </w:r>
      <w:r w:rsidRPr="00A3695F">
        <w:rPr>
          <w:rFonts w:ascii="Times New Roman" w:hAnsi="Times New Roman"/>
          <w:lang w:val="pl-PL"/>
        </w:rPr>
        <w:t>dnia 12 grudnia 20</w:t>
      </w:r>
      <w:r w:rsidRPr="003937FF">
        <w:rPr>
          <w:rFonts w:ascii="Times New Roman" w:hAnsi="Times New Roman"/>
          <w:lang w:val="pl-PL"/>
        </w:rPr>
        <w:t>06 r.</w:t>
      </w:r>
      <w:r w:rsidRPr="00A3695F">
        <w:rPr>
          <w:rFonts w:ascii="Times New Roman" w:hAnsi="Times New Roman"/>
          <w:lang w:val="pl-PL"/>
        </w:rPr>
        <w:t xml:space="preserve"> dotycząca usług na rynku wewnętrznym.</w:t>
      </w:r>
    </w:p>
  </w:footnote>
  <w:footnote w:id="52">
    <w:p w14:paraId="52F5D30A" w14:textId="7777777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hyperlink r:id="rId14" w:history="1">
        <w:r w:rsidRPr="00A3695F">
          <w:rPr>
            <w:rStyle w:val="Hyperlink"/>
            <w:rFonts w:ascii="Times New Roman" w:hAnsi="Times New Roman"/>
            <w:lang w:val="pl-PL"/>
          </w:rPr>
          <w:t>https://digital-strategy.ec.europa.eu/en/policies/web-accessibility-expert-group</w:t>
        </w:r>
      </w:hyperlink>
    </w:p>
  </w:footnote>
  <w:footnote w:id="53">
    <w:p w14:paraId="3BAE0E1C" w14:textId="67707246"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Dyrektywa (UE) 2016/2102 z</w:t>
      </w:r>
      <w:r>
        <w:rPr>
          <w:rFonts w:ascii="Times New Roman" w:hAnsi="Times New Roman"/>
          <w:lang w:val="pl-PL"/>
        </w:rPr>
        <w:t> </w:t>
      </w:r>
      <w:r w:rsidRPr="00A3695F">
        <w:rPr>
          <w:rFonts w:ascii="Times New Roman" w:hAnsi="Times New Roman"/>
          <w:lang w:val="pl-PL"/>
        </w:rPr>
        <w:t>dnia 26 października 20</w:t>
      </w:r>
      <w:r w:rsidRPr="003937FF">
        <w:rPr>
          <w:rFonts w:ascii="Times New Roman" w:hAnsi="Times New Roman"/>
          <w:lang w:val="pl-PL"/>
        </w:rPr>
        <w:t>16 r.</w:t>
      </w:r>
      <w:r w:rsidRPr="00A3695F">
        <w:rPr>
          <w:rFonts w:ascii="Times New Roman" w:hAnsi="Times New Roman"/>
          <w:lang w:val="pl-PL"/>
        </w:rPr>
        <w:t xml:space="preserve"> w</w:t>
      </w:r>
      <w:r>
        <w:rPr>
          <w:rFonts w:ascii="Times New Roman" w:hAnsi="Times New Roman"/>
          <w:lang w:val="pl-PL"/>
        </w:rPr>
        <w:t> </w:t>
      </w:r>
      <w:r w:rsidRPr="00A3695F">
        <w:rPr>
          <w:rFonts w:ascii="Times New Roman" w:hAnsi="Times New Roman"/>
          <w:lang w:val="pl-PL"/>
        </w:rPr>
        <w:t>sprawie dostępności stron internetowych i</w:t>
      </w:r>
      <w:r>
        <w:rPr>
          <w:rFonts w:ascii="Times New Roman" w:hAnsi="Times New Roman"/>
          <w:lang w:val="pl-PL"/>
        </w:rPr>
        <w:t> </w:t>
      </w:r>
      <w:r w:rsidRPr="00A3695F">
        <w:rPr>
          <w:rFonts w:ascii="Times New Roman" w:hAnsi="Times New Roman"/>
          <w:lang w:val="pl-PL"/>
        </w:rPr>
        <w:t>mobilnych aplikacji organów sektora publicznego.</w:t>
      </w:r>
    </w:p>
  </w:footnote>
  <w:footnote w:id="54">
    <w:p w14:paraId="1F601C18" w14:textId="7777777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hyperlink r:id="rId15" w:history="1">
        <w:r w:rsidRPr="00A3695F">
          <w:rPr>
            <w:rStyle w:val="Hyperlink"/>
            <w:rFonts w:ascii="Times New Roman" w:hAnsi="Times New Roman"/>
            <w:lang w:val="pl-PL"/>
          </w:rPr>
          <w:t>https://ec.europa.eu/internal_market/imi-net/index_pl.htm</w:t>
        </w:r>
      </w:hyperlink>
    </w:p>
  </w:footnote>
  <w:footnote w:id="55">
    <w:p w14:paraId="452288FA" w14:textId="4A88197D" w:rsidR="003937FF" w:rsidRPr="00A3695F" w:rsidRDefault="003937FF" w:rsidP="00637297">
      <w:pPr>
        <w:pStyle w:val="FootnoteText"/>
        <w:ind w:left="284" w:hanging="284"/>
        <w:jc w:val="both"/>
        <w:rPr>
          <w:lang w:val="pl-PL"/>
        </w:rPr>
      </w:pPr>
      <w:r w:rsidRPr="00A3695F">
        <w:rPr>
          <w:rStyle w:val="FootnoteReference"/>
          <w:lang w:val="pl-PL"/>
        </w:rPr>
        <w:footnoteRef/>
      </w:r>
      <w:r w:rsidRPr="00A3695F">
        <w:rPr>
          <w:lang w:val="pl-PL"/>
        </w:rPr>
        <w:t xml:space="preserve"> </w:t>
      </w:r>
      <w:r w:rsidRPr="00A3695F">
        <w:rPr>
          <w:lang w:val="pl-PL"/>
        </w:rPr>
        <w:tab/>
      </w:r>
      <w:hyperlink r:id="rId16" w:history="1">
        <w:r w:rsidRPr="00A3695F">
          <w:rPr>
            <w:rStyle w:val="Hyperlink"/>
            <w:rFonts w:ascii="Times New Roman" w:hAnsi="Times New Roman"/>
            <w:lang w:val="pl-PL"/>
          </w:rPr>
          <w:t>https://ec.europa.eu/info/business-economy-euro/recovery-coronavirus/recovery-and-resilience-facility_pl</w:t>
        </w:r>
      </w:hyperlink>
      <w:r w:rsidRPr="00A3695F">
        <w:rPr>
          <w:rFonts w:ascii="Times New Roman" w:hAnsi="Times New Roman"/>
          <w:lang w:val="pl-PL"/>
        </w:rPr>
        <w:t xml:space="preserve"> Ustanowiony rozporządzeniem (UE) 2021/241 z</w:t>
      </w:r>
      <w:r>
        <w:rPr>
          <w:rFonts w:ascii="Times New Roman" w:hAnsi="Times New Roman"/>
          <w:lang w:val="pl-PL"/>
        </w:rPr>
        <w:t> </w:t>
      </w:r>
      <w:r w:rsidRPr="00A3695F">
        <w:rPr>
          <w:rFonts w:ascii="Times New Roman" w:hAnsi="Times New Roman"/>
          <w:lang w:val="pl-PL"/>
        </w:rPr>
        <w:t>dnia 12 lutego 20</w:t>
      </w:r>
      <w:r w:rsidRPr="003937FF">
        <w:rPr>
          <w:rFonts w:ascii="Times New Roman" w:hAnsi="Times New Roman"/>
          <w:lang w:val="pl-PL"/>
        </w:rPr>
        <w:t>21 r.</w:t>
      </w:r>
      <w:r w:rsidRPr="00A3695F">
        <w:rPr>
          <w:rFonts w:ascii="Times New Roman" w:hAnsi="Times New Roman"/>
          <w:lang w:val="pl-PL"/>
        </w:rPr>
        <w:t xml:space="preserve"> ustanawiającym Instrument na rzecz Odbudowy i</w:t>
      </w:r>
      <w:r>
        <w:rPr>
          <w:rFonts w:ascii="Times New Roman" w:hAnsi="Times New Roman"/>
          <w:lang w:val="pl-PL"/>
        </w:rPr>
        <w:t> </w:t>
      </w:r>
      <w:r w:rsidRPr="00A3695F">
        <w:rPr>
          <w:rFonts w:ascii="Times New Roman" w:hAnsi="Times New Roman"/>
          <w:lang w:val="pl-PL"/>
        </w:rPr>
        <w:t>Zwiększania Odporności.</w:t>
      </w:r>
    </w:p>
  </w:footnote>
  <w:footnote w:id="56">
    <w:p w14:paraId="358C7DA4" w14:textId="3851E9BF" w:rsidR="003937FF" w:rsidRPr="00A3695F" w:rsidRDefault="003937FF" w:rsidP="0008407B">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OECD, „Financing Water Supply, Sanitation and Flood Protection: Challenges in the EU Member States and Policy Options” [„Finansowanie zaopatrzenia w</w:t>
      </w:r>
      <w:r>
        <w:rPr>
          <w:rFonts w:ascii="Times New Roman" w:hAnsi="Times New Roman"/>
          <w:lang w:val="pl-PL"/>
        </w:rPr>
        <w:t> </w:t>
      </w:r>
      <w:r w:rsidRPr="00A3695F">
        <w:rPr>
          <w:rFonts w:ascii="Times New Roman" w:hAnsi="Times New Roman"/>
          <w:lang w:val="pl-PL"/>
        </w:rPr>
        <w:t>wodę, systemów wodno-kanalizacyjnych i</w:t>
      </w:r>
      <w:r>
        <w:rPr>
          <w:rFonts w:ascii="Times New Roman" w:hAnsi="Times New Roman"/>
          <w:lang w:val="pl-PL"/>
        </w:rPr>
        <w:t> </w:t>
      </w:r>
      <w:r w:rsidRPr="00A3695F">
        <w:rPr>
          <w:rFonts w:ascii="Times New Roman" w:hAnsi="Times New Roman"/>
          <w:lang w:val="pl-PL"/>
        </w:rPr>
        <w:t>ochrony przeciwpowodziowej: wyzwania w</w:t>
      </w:r>
      <w:r>
        <w:rPr>
          <w:rFonts w:ascii="Times New Roman" w:hAnsi="Times New Roman"/>
          <w:lang w:val="pl-PL"/>
        </w:rPr>
        <w:t> </w:t>
      </w:r>
      <w:r w:rsidRPr="00A3695F">
        <w:rPr>
          <w:rFonts w:ascii="Times New Roman" w:hAnsi="Times New Roman"/>
          <w:lang w:val="pl-PL"/>
        </w:rPr>
        <w:t>państwach członkowskich UE i</w:t>
      </w:r>
      <w:r>
        <w:rPr>
          <w:rFonts w:ascii="Times New Roman" w:hAnsi="Times New Roman"/>
          <w:lang w:val="pl-PL"/>
        </w:rPr>
        <w:t> </w:t>
      </w:r>
      <w:r w:rsidRPr="00A3695F">
        <w:rPr>
          <w:rFonts w:ascii="Times New Roman" w:hAnsi="Times New Roman"/>
          <w:lang w:val="pl-PL"/>
        </w:rPr>
        <w:t xml:space="preserve">warianty strategiczne”], OECD Studies on Water, OECD Publishing, Paryż, </w:t>
      </w:r>
      <w:hyperlink r:id="rId17" w:history="1">
        <w:r w:rsidRPr="00A3695F">
          <w:rPr>
            <w:rStyle w:val="Hyperlink"/>
            <w:rFonts w:ascii="Times New Roman" w:hAnsi="Times New Roman"/>
            <w:lang w:val="pl-PL"/>
          </w:rPr>
          <w:t>https://doi.org/10.1787/6893cdac-en</w:t>
        </w:r>
      </w:hyperlink>
      <w:r w:rsidRPr="00A3695F">
        <w:rPr>
          <w:rStyle w:val="Hyperlink"/>
          <w:rFonts w:ascii="Times New Roman" w:hAnsi="Times New Roman"/>
          <w:lang w:val="pl-PL"/>
        </w:rPr>
        <w:t>.</w:t>
      </w:r>
    </w:p>
  </w:footnote>
  <w:footnote w:id="57">
    <w:p w14:paraId="69BCD1FF" w14:textId="7777777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Komunikat Komisji „Przegląd wdrażania polityki ochrony środowiska 2022 – Odwrócenie tendencji dzięki przestrzeganiu prawa ochrony środowiska”, COM(2022) 438 final.</w:t>
      </w:r>
    </w:p>
  </w:footnote>
  <w:footnote w:id="58">
    <w:p w14:paraId="0BD1002D" w14:textId="7777777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Zwanych warunkami wstępnymi (na okres programowania 2014–2020) lub warunkami podstawowymi (na okres programowania 2021–2027).</w:t>
      </w:r>
    </w:p>
  </w:footnote>
  <w:footnote w:id="59">
    <w:p w14:paraId="6C007E56" w14:textId="5E252091" w:rsidR="003937FF" w:rsidRPr="00A3695F" w:rsidRDefault="003937FF" w:rsidP="00A3515A">
      <w:pPr>
        <w:pStyle w:val="FootnoteText"/>
        <w:ind w:left="284" w:hanging="284"/>
        <w:jc w:val="both"/>
        <w:rPr>
          <w:lang w:val="pl-PL"/>
        </w:rPr>
      </w:pPr>
      <w:r w:rsidRPr="00A3695F">
        <w:rPr>
          <w:rStyle w:val="FootnoteReference"/>
          <w:lang w:val="pl-PL"/>
        </w:rPr>
        <w:footnoteRef/>
      </w:r>
      <w:r w:rsidRPr="00A3695F">
        <w:rPr>
          <w:lang w:val="pl-PL"/>
        </w:rPr>
        <w:t xml:space="preserve"> </w:t>
      </w:r>
      <w:r w:rsidRPr="00A3695F">
        <w:rPr>
          <w:lang w:val="pl-PL"/>
        </w:rPr>
        <w:tab/>
      </w:r>
      <w:r w:rsidRPr="00A3695F">
        <w:rPr>
          <w:rFonts w:ascii="Times New Roman" w:hAnsi="Times New Roman"/>
          <w:lang w:val="pl-PL"/>
        </w:rPr>
        <w:t>Rozporządzenie (UE, Euratom) 2020/2092 z</w:t>
      </w:r>
      <w:r>
        <w:rPr>
          <w:rFonts w:ascii="Times New Roman" w:hAnsi="Times New Roman"/>
          <w:lang w:val="pl-PL"/>
        </w:rPr>
        <w:t> </w:t>
      </w:r>
      <w:r w:rsidRPr="00A3695F">
        <w:rPr>
          <w:rFonts w:ascii="Times New Roman" w:hAnsi="Times New Roman"/>
          <w:lang w:val="pl-PL"/>
        </w:rPr>
        <w:t>dnia 16 grudnia 20</w:t>
      </w:r>
      <w:r w:rsidRPr="003937FF">
        <w:rPr>
          <w:rFonts w:ascii="Times New Roman" w:hAnsi="Times New Roman"/>
          <w:lang w:val="pl-PL"/>
        </w:rPr>
        <w:t>20 r.</w:t>
      </w:r>
      <w:r w:rsidRPr="00A3695F">
        <w:rPr>
          <w:rFonts w:ascii="Times New Roman" w:hAnsi="Times New Roman"/>
          <w:lang w:val="pl-PL"/>
        </w:rPr>
        <w:t xml:space="preserve"> w</w:t>
      </w:r>
      <w:r>
        <w:rPr>
          <w:rFonts w:ascii="Times New Roman" w:hAnsi="Times New Roman"/>
          <w:lang w:val="pl-PL"/>
        </w:rPr>
        <w:t> </w:t>
      </w:r>
      <w:r w:rsidRPr="00A3695F">
        <w:rPr>
          <w:rFonts w:ascii="Times New Roman" w:hAnsi="Times New Roman"/>
          <w:lang w:val="pl-PL"/>
        </w:rPr>
        <w:t>sprawie ogólnego systemu warunkowości służącego ochronie budżetu Unii.</w:t>
      </w:r>
    </w:p>
  </w:footnote>
  <w:footnote w:id="60">
    <w:p w14:paraId="69FB87B9" w14:textId="69CCD995" w:rsidR="003937FF" w:rsidRPr="00A3695F" w:rsidRDefault="003937FF" w:rsidP="00C264DB">
      <w:pPr>
        <w:pStyle w:val="FootnoteText"/>
        <w:ind w:left="284" w:hanging="284"/>
        <w:rPr>
          <w:lang w:val="pl-PL"/>
        </w:rPr>
      </w:pPr>
      <w:r w:rsidRPr="00A3695F">
        <w:rPr>
          <w:rStyle w:val="FootnoteReference"/>
          <w:rFonts w:ascii="Times New Roman" w:hAnsi="Times New Roman" w:cs="Times New Roman"/>
          <w:lang w:val="pl-PL"/>
        </w:rPr>
        <w:footnoteRef/>
      </w:r>
      <w:r w:rsidRPr="00A3695F">
        <w:rPr>
          <w:rStyle w:val="FootnoteReference"/>
          <w:rFonts w:ascii="Times New Roman" w:hAnsi="Times New Roman"/>
          <w:lang w:val="pl-PL"/>
        </w:rPr>
        <w:t xml:space="preserve"> </w:t>
      </w:r>
      <w:r w:rsidRPr="00A3695F">
        <w:rPr>
          <w:lang w:val="pl-PL"/>
        </w:rPr>
        <w:tab/>
      </w:r>
      <w:r w:rsidRPr="00A3695F">
        <w:rPr>
          <w:rStyle w:val="FootnoteReference"/>
          <w:rFonts w:ascii="Times New Roman" w:hAnsi="Times New Roman"/>
          <w:vertAlign w:val="baseline"/>
          <w:lang w:val="pl-PL"/>
        </w:rPr>
        <w:t>Wniosek dotyczący decyzji wykonawczej Rady w</w:t>
      </w:r>
      <w:r>
        <w:rPr>
          <w:rStyle w:val="FootnoteReference"/>
          <w:rFonts w:ascii="Times New Roman" w:hAnsi="Times New Roman"/>
          <w:vertAlign w:val="baseline"/>
          <w:lang w:val="pl-PL"/>
        </w:rPr>
        <w:t> </w:t>
      </w:r>
      <w:r w:rsidRPr="00A3695F">
        <w:rPr>
          <w:rStyle w:val="FootnoteReference"/>
          <w:rFonts w:ascii="Times New Roman" w:hAnsi="Times New Roman"/>
          <w:vertAlign w:val="baseline"/>
          <w:lang w:val="pl-PL"/>
        </w:rPr>
        <w:t>sprawie środków ochrony budżetu Unii przed naruszeniami zasad państwa prawnego na Węgrzech, COM(2022) 485 final</w:t>
      </w:r>
      <w:r w:rsidRPr="00A3695F">
        <w:rPr>
          <w:rFonts w:ascii="Times New Roman" w:hAnsi="Times New Roman"/>
          <w:lang w:val="pl-PL"/>
        </w:rPr>
        <w:t>.</w:t>
      </w:r>
    </w:p>
  </w:footnote>
  <w:footnote w:id="61">
    <w:p w14:paraId="7192C65B" w14:textId="1C78013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Dokument roboczy służb Komisji „Wspieranie administracji publicznych w</w:t>
      </w:r>
      <w:r>
        <w:rPr>
          <w:rFonts w:ascii="Times New Roman" w:hAnsi="Times New Roman"/>
          <w:lang w:val="pl-PL"/>
        </w:rPr>
        <w:t> </w:t>
      </w:r>
      <w:r w:rsidRPr="00A3695F">
        <w:rPr>
          <w:rFonts w:ascii="Times New Roman" w:hAnsi="Times New Roman"/>
          <w:lang w:val="pl-PL"/>
        </w:rPr>
        <w:t>państwach członkowskich UE w</w:t>
      </w:r>
      <w:r>
        <w:rPr>
          <w:rFonts w:ascii="Times New Roman" w:hAnsi="Times New Roman"/>
          <w:lang w:val="pl-PL"/>
        </w:rPr>
        <w:t> </w:t>
      </w:r>
      <w:r w:rsidRPr="00A3695F">
        <w:rPr>
          <w:rFonts w:ascii="Times New Roman" w:hAnsi="Times New Roman"/>
          <w:lang w:val="pl-PL"/>
        </w:rPr>
        <w:t>celu realizacji reform i</w:t>
      </w:r>
      <w:r>
        <w:rPr>
          <w:rFonts w:ascii="Times New Roman" w:hAnsi="Times New Roman"/>
          <w:lang w:val="pl-PL"/>
        </w:rPr>
        <w:t> </w:t>
      </w:r>
      <w:r w:rsidRPr="00A3695F">
        <w:rPr>
          <w:rFonts w:ascii="Times New Roman" w:hAnsi="Times New Roman"/>
          <w:lang w:val="pl-PL"/>
        </w:rPr>
        <w:t>przygotowania się na przyszłość”, SWD(2021) 101.</w:t>
      </w:r>
      <w:r w:rsidRPr="00A3695F">
        <w:rPr>
          <w:rStyle w:val="Hyperlink"/>
          <w:rFonts w:ascii="Times New Roman" w:hAnsi="Times New Roman"/>
          <w:lang w:val="pl-PL"/>
        </w:rPr>
        <w:t xml:space="preserve"> </w:t>
      </w:r>
    </w:p>
  </w:footnote>
  <w:footnote w:id="62">
    <w:p w14:paraId="26D07E75" w14:textId="7777777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hyperlink r:id="rId18" w:history="1">
        <w:r w:rsidRPr="00A3695F">
          <w:rPr>
            <w:rStyle w:val="Hyperlink"/>
            <w:rFonts w:ascii="Times New Roman" w:hAnsi="Times New Roman"/>
            <w:lang w:val="pl-PL"/>
          </w:rPr>
          <w:t>https://single-market-scoreboard.ec.europa.eu/</w:t>
        </w:r>
      </w:hyperlink>
    </w:p>
  </w:footnote>
  <w:footnote w:id="63">
    <w:p w14:paraId="27900979" w14:textId="7777777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hyperlink r:id="rId19" w:history="1">
        <w:r w:rsidRPr="00A3695F">
          <w:rPr>
            <w:rStyle w:val="Hyperlink"/>
            <w:rFonts w:ascii="Times New Roman" w:hAnsi="Times New Roman"/>
            <w:lang w:val="pl-PL"/>
          </w:rPr>
          <w:t>https://ec.europa.eu/info/publications/2022-european-semester-country-reports_en</w:t>
        </w:r>
      </w:hyperlink>
    </w:p>
  </w:footnote>
  <w:footnote w:id="64">
    <w:p w14:paraId="5BC83EEC" w14:textId="77777777" w:rsidR="003937FF" w:rsidRPr="00A3695F" w:rsidRDefault="003937FF" w:rsidP="000C0B29">
      <w:pPr>
        <w:pStyle w:val="CommentText"/>
        <w:ind w:left="284" w:hanging="284"/>
        <w:jc w:val="both"/>
        <w:rPr>
          <w:lang w:val="pl-PL"/>
        </w:rPr>
      </w:pPr>
      <w:r w:rsidRPr="00A3695F">
        <w:rPr>
          <w:rStyle w:val="FootnoteReference"/>
          <w:lang w:val="pl-PL"/>
        </w:rPr>
        <w:footnoteRef/>
      </w:r>
      <w:r w:rsidRPr="00A3695F">
        <w:rPr>
          <w:lang w:val="pl-PL"/>
        </w:rPr>
        <w:tab/>
      </w:r>
      <w:hyperlink r:id="rId20" w:history="1">
        <w:r w:rsidRPr="00A3695F">
          <w:rPr>
            <w:rStyle w:val="Hyperlink"/>
            <w:lang w:val="pl-PL"/>
          </w:rPr>
          <w:t>https://environment.ec.europa.eu/law-and-governance/environmental-implementation-review_en</w:t>
        </w:r>
      </w:hyperlink>
    </w:p>
  </w:footnote>
  <w:footnote w:id="65">
    <w:p w14:paraId="2C22C704" w14:textId="77777777" w:rsidR="003937FF" w:rsidRPr="00A3695F" w:rsidRDefault="003937FF" w:rsidP="000C0B29">
      <w:pPr>
        <w:pStyle w:val="CommentText"/>
        <w:ind w:left="284" w:hanging="284"/>
        <w:jc w:val="both"/>
        <w:rPr>
          <w:lang w:val="pl-PL"/>
        </w:rPr>
      </w:pPr>
      <w:r w:rsidRPr="00A3695F">
        <w:rPr>
          <w:rStyle w:val="FootnoteReference"/>
          <w:lang w:val="pl-PL"/>
        </w:rPr>
        <w:footnoteRef/>
      </w:r>
      <w:r w:rsidRPr="00A3695F">
        <w:rPr>
          <w:lang w:val="pl-PL"/>
        </w:rPr>
        <w:tab/>
      </w:r>
      <w:hyperlink r:id="rId21" w:anchor="environmental-infringements-map-and-dashboard" w:history="1">
        <w:r w:rsidRPr="00A3695F">
          <w:rPr>
            <w:rStyle w:val="Hyperlink"/>
            <w:lang w:val="pl-PL"/>
          </w:rPr>
          <w:t>https://environment.ec.europa.eu/law-and-governance/environmental-implementation-review_en#environmental-infringements-map-and-dashboard</w:t>
        </w:r>
      </w:hyperlink>
      <w:r w:rsidRPr="00A3695F">
        <w:rPr>
          <w:lang w:val="pl-PL"/>
        </w:rPr>
        <w:t xml:space="preserve"> </w:t>
      </w:r>
    </w:p>
  </w:footnote>
  <w:footnote w:id="66">
    <w:p w14:paraId="4D39B1C7" w14:textId="7777777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hyperlink r:id="rId22" w:history="1">
        <w:r w:rsidRPr="00A3695F">
          <w:rPr>
            <w:rStyle w:val="Hyperlink"/>
            <w:rFonts w:ascii="Times New Roman" w:hAnsi="Times New Roman"/>
            <w:lang w:val="pl-PL"/>
          </w:rPr>
          <w:t>https://ec.europa.eu/info/policies/justice-and-fundamental-rights/upholding-rule-law/eu-justice-scoreboard_pl</w:t>
        </w:r>
      </w:hyperlink>
    </w:p>
  </w:footnote>
  <w:footnote w:id="67">
    <w:p w14:paraId="39660A84" w14:textId="7777777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hyperlink r:id="rId23" w:history="1">
        <w:r w:rsidRPr="00A3695F">
          <w:rPr>
            <w:rStyle w:val="Hyperlink"/>
            <w:rFonts w:ascii="Times New Roman" w:hAnsi="Times New Roman"/>
            <w:lang w:val="pl-PL"/>
          </w:rPr>
          <w:t>https://finance.ec.europa.eu/regulation-and-supervision/enforcement-and-infringements-banking-and-finance-law/monitoring-banking-and-finance-directives_en</w:t>
        </w:r>
      </w:hyperlink>
    </w:p>
  </w:footnote>
  <w:footnote w:id="68">
    <w:p w14:paraId="1AAE4106" w14:textId="3ADF1F69"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Strefa Schengen jest obszarem bez granic wewnętrznych, w</w:t>
      </w:r>
      <w:r>
        <w:rPr>
          <w:rFonts w:ascii="Times New Roman" w:hAnsi="Times New Roman"/>
          <w:lang w:val="pl-PL"/>
        </w:rPr>
        <w:t> </w:t>
      </w:r>
      <w:r w:rsidRPr="00A3695F">
        <w:rPr>
          <w:rFonts w:ascii="Times New Roman" w:hAnsi="Times New Roman"/>
          <w:lang w:val="pl-PL"/>
        </w:rPr>
        <w:t>obrębie którego obywatele UE i</w:t>
      </w:r>
      <w:r>
        <w:rPr>
          <w:rFonts w:ascii="Times New Roman" w:hAnsi="Times New Roman"/>
          <w:lang w:val="pl-PL"/>
        </w:rPr>
        <w:t> </w:t>
      </w:r>
      <w:r w:rsidRPr="00A3695F">
        <w:rPr>
          <w:rFonts w:ascii="Times New Roman" w:hAnsi="Times New Roman"/>
          <w:lang w:val="pl-PL"/>
        </w:rPr>
        <w:t>liczni obywatele państw trzecich legalnie przebywający w UE mogą swobodnie przemieszczać się bez odpraw granicznych. Od 19</w:t>
      </w:r>
      <w:r w:rsidRPr="003937FF">
        <w:rPr>
          <w:rFonts w:ascii="Times New Roman" w:hAnsi="Times New Roman"/>
          <w:lang w:val="pl-PL"/>
        </w:rPr>
        <w:t>85 r.</w:t>
      </w:r>
      <w:r w:rsidRPr="00A3695F">
        <w:rPr>
          <w:rFonts w:ascii="Times New Roman" w:hAnsi="Times New Roman"/>
          <w:lang w:val="pl-PL"/>
        </w:rPr>
        <w:t xml:space="preserve"> strefa ta stopniowo rosła i</w:t>
      </w:r>
      <w:r>
        <w:rPr>
          <w:rFonts w:ascii="Times New Roman" w:hAnsi="Times New Roman"/>
          <w:lang w:val="pl-PL"/>
        </w:rPr>
        <w:t> </w:t>
      </w:r>
      <w:r w:rsidRPr="00A3695F">
        <w:rPr>
          <w:rFonts w:ascii="Times New Roman" w:hAnsi="Times New Roman"/>
          <w:lang w:val="pl-PL"/>
        </w:rPr>
        <w:t>obejmuje prawie wszystkie państwa członkowskie UE oraz kilka stowarzyszonych państw niebędących członkami UE.</w:t>
      </w:r>
    </w:p>
  </w:footnote>
  <w:footnote w:id="69">
    <w:p w14:paraId="2A013934" w14:textId="7777777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Style w:val="FootnoteReference"/>
          <w:rFonts w:ascii="Times New Roman" w:hAnsi="Times New Roman"/>
          <w:lang w:val="pl-PL"/>
        </w:rPr>
        <w:t xml:space="preserve"> </w:t>
      </w:r>
      <w:r w:rsidRPr="00A3695F">
        <w:rPr>
          <w:lang w:val="pl-PL"/>
        </w:rPr>
        <w:tab/>
      </w:r>
      <w:hyperlink r:id="rId24" w:history="1">
        <w:r w:rsidRPr="00A3695F">
          <w:rPr>
            <w:rStyle w:val="FootnoteReference"/>
            <w:rFonts w:ascii="Times New Roman" w:hAnsi="Times New Roman"/>
            <w:vertAlign w:val="baseline"/>
            <w:lang w:val="pl-PL"/>
          </w:rPr>
          <w:t>https://home-affairs.ec.europa.eu/policies/schengen-borders-and-visa/schengen-area/schengen-evaluation-and-monitoring_en</w:t>
        </w:r>
      </w:hyperlink>
      <w:r w:rsidRPr="00A3695F">
        <w:rPr>
          <w:rFonts w:ascii="Times New Roman" w:hAnsi="Times New Roman"/>
          <w:lang w:val="pl-PL"/>
        </w:rPr>
        <w:t xml:space="preserve"> </w:t>
      </w:r>
    </w:p>
  </w:footnote>
  <w:footnote w:id="70">
    <w:p w14:paraId="0BFC584F" w14:textId="15D97E60" w:rsidR="003937FF" w:rsidRPr="00A3695F" w:rsidRDefault="003937FF" w:rsidP="000C0B29">
      <w:pPr>
        <w:pStyle w:val="CommentText"/>
        <w:ind w:left="284" w:hanging="284"/>
        <w:jc w:val="both"/>
        <w:rPr>
          <w:lang w:val="pl-PL"/>
        </w:rPr>
      </w:pPr>
      <w:r w:rsidRPr="00A3695F">
        <w:rPr>
          <w:rStyle w:val="FootnoteReference"/>
          <w:lang w:val="pl-PL"/>
        </w:rPr>
        <w:footnoteRef/>
      </w:r>
      <w:r w:rsidRPr="00A3695F">
        <w:rPr>
          <w:rStyle w:val="FootnoteReference"/>
          <w:lang w:val="pl-PL"/>
        </w:rPr>
        <w:t xml:space="preserve"> </w:t>
      </w:r>
      <w:r w:rsidRPr="00A3695F">
        <w:rPr>
          <w:lang w:val="pl-PL"/>
        </w:rPr>
        <w:tab/>
      </w:r>
      <w:r w:rsidRPr="00A3695F">
        <w:rPr>
          <w:rStyle w:val="FootnoteReference"/>
          <w:vertAlign w:val="baseline"/>
          <w:lang w:val="pl-PL"/>
        </w:rPr>
        <w:t>Rozporządzenie Rady (UE) 2022/922 z</w:t>
      </w:r>
      <w:r>
        <w:rPr>
          <w:rStyle w:val="FootnoteReference"/>
          <w:vertAlign w:val="baseline"/>
          <w:lang w:val="pl-PL"/>
        </w:rPr>
        <w:t> </w:t>
      </w:r>
      <w:r w:rsidRPr="00A3695F">
        <w:rPr>
          <w:rStyle w:val="FootnoteReference"/>
          <w:vertAlign w:val="baseline"/>
          <w:lang w:val="pl-PL"/>
        </w:rPr>
        <w:t>dnia 9 czerwca 20</w:t>
      </w:r>
      <w:r w:rsidRPr="003937FF">
        <w:rPr>
          <w:rStyle w:val="FootnoteReference"/>
          <w:vertAlign w:val="baseline"/>
          <w:lang w:val="pl-PL"/>
        </w:rPr>
        <w:t>22 r.</w:t>
      </w:r>
      <w:r w:rsidRPr="00A3695F">
        <w:rPr>
          <w:rStyle w:val="FootnoteReference"/>
          <w:vertAlign w:val="baseline"/>
          <w:lang w:val="pl-PL"/>
        </w:rPr>
        <w:t xml:space="preserve"> w</w:t>
      </w:r>
      <w:r>
        <w:rPr>
          <w:rStyle w:val="FootnoteReference"/>
          <w:vertAlign w:val="baseline"/>
          <w:lang w:val="pl-PL"/>
        </w:rPr>
        <w:t> </w:t>
      </w:r>
      <w:r w:rsidRPr="00A3695F">
        <w:rPr>
          <w:rStyle w:val="FootnoteReference"/>
          <w:vertAlign w:val="baseline"/>
          <w:lang w:val="pl-PL"/>
        </w:rPr>
        <w:t>sprawie ustanowienia i</w:t>
      </w:r>
      <w:r>
        <w:rPr>
          <w:rStyle w:val="FootnoteReference"/>
          <w:vertAlign w:val="baseline"/>
          <w:lang w:val="pl-PL"/>
        </w:rPr>
        <w:t> </w:t>
      </w:r>
      <w:r w:rsidRPr="00A3695F">
        <w:rPr>
          <w:rStyle w:val="FootnoteReference"/>
          <w:vertAlign w:val="baseline"/>
          <w:lang w:val="pl-PL"/>
        </w:rPr>
        <w:t>funkcjonowania mechanizmu oceny i</w:t>
      </w:r>
      <w:r>
        <w:rPr>
          <w:rStyle w:val="FootnoteReference"/>
          <w:vertAlign w:val="baseline"/>
          <w:lang w:val="pl-PL"/>
        </w:rPr>
        <w:t> </w:t>
      </w:r>
      <w:r w:rsidRPr="00A3695F">
        <w:rPr>
          <w:rStyle w:val="FootnoteReference"/>
          <w:vertAlign w:val="baseline"/>
          <w:lang w:val="pl-PL"/>
        </w:rPr>
        <w:t>monitorowania w</w:t>
      </w:r>
      <w:r>
        <w:rPr>
          <w:rStyle w:val="FootnoteReference"/>
          <w:vertAlign w:val="baseline"/>
          <w:lang w:val="pl-PL"/>
        </w:rPr>
        <w:t> </w:t>
      </w:r>
      <w:r w:rsidRPr="00A3695F">
        <w:rPr>
          <w:rStyle w:val="FootnoteReference"/>
          <w:vertAlign w:val="baseline"/>
          <w:lang w:val="pl-PL"/>
        </w:rPr>
        <w:t>celu weryfikacji stosowania dorobku Schengen</w:t>
      </w:r>
      <w:r w:rsidRPr="00A3695F">
        <w:rPr>
          <w:lang w:val="pl-PL"/>
        </w:rPr>
        <w:t>.</w:t>
      </w:r>
    </w:p>
  </w:footnote>
  <w:footnote w:id="71">
    <w:p w14:paraId="6AD48F0F" w14:textId="7777777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hyperlink r:id="rId25" w:history="1">
        <w:r w:rsidRPr="00A3695F">
          <w:rPr>
            <w:rStyle w:val="Hyperlink"/>
            <w:rFonts w:ascii="Times New Roman" w:hAnsi="Times New Roman"/>
            <w:lang w:val="pl-PL"/>
          </w:rPr>
          <w:t>https://ec.europa.eu/info/policies/justice-and-fundamental-rights/upholding-rule-law/rule-law/rule-law-mechanism/2022-rule-law-report_pl</w:t>
        </w:r>
      </w:hyperlink>
      <w:r w:rsidRPr="00A3695F">
        <w:rPr>
          <w:rFonts w:ascii="Times New Roman" w:hAnsi="Times New Roman"/>
          <w:lang w:val="pl-PL"/>
        </w:rPr>
        <w:t xml:space="preserve"> </w:t>
      </w:r>
    </w:p>
  </w:footnote>
  <w:footnote w:id="72">
    <w:p w14:paraId="778133C6" w14:textId="7777777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hyperlink r:id="rId26" w:history="1">
        <w:r w:rsidRPr="00A3695F">
          <w:rPr>
            <w:rStyle w:val="Hyperlink"/>
            <w:rFonts w:ascii="Times New Roman" w:hAnsi="Times New Roman"/>
            <w:lang w:val="pl-PL"/>
          </w:rPr>
          <w:t>https://ec.europa.eu/info/policies/justice-and-fundamental-rights/upholding-rule-law/rule-law/rule-law-mechanism_pl</w:t>
        </w:r>
      </w:hyperlink>
      <w:r w:rsidRPr="00A3695F">
        <w:rPr>
          <w:rFonts w:ascii="Times New Roman" w:hAnsi="Times New Roman"/>
          <w:lang w:val="pl-PL"/>
        </w:rPr>
        <w:t xml:space="preserve"> </w:t>
      </w:r>
    </w:p>
  </w:footnote>
  <w:footnote w:id="73">
    <w:p w14:paraId="32AC208D" w14:textId="7CCBA0E5" w:rsidR="003937FF" w:rsidRPr="00A3695F" w:rsidRDefault="003937FF" w:rsidP="0027268D">
      <w:pPr>
        <w:pStyle w:val="FootnoteText"/>
        <w:ind w:left="284" w:hanging="284"/>
        <w:jc w:val="both"/>
        <w:rPr>
          <w:rStyle w:val="FootnoteReference"/>
          <w:rFonts w:ascii="Times New Roman" w:hAnsi="Times New Roman" w:cs="Times New Roman"/>
          <w:vertAlign w:val="baseline"/>
          <w:lang w:val="pl-PL"/>
        </w:rPr>
      </w:pPr>
      <w:r w:rsidRPr="00A3695F">
        <w:rPr>
          <w:rStyle w:val="FootnoteReference"/>
          <w:rFonts w:ascii="Times New Roman" w:hAnsi="Times New Roman" w:cs="Times New Roman"/>
          <w:lang w:val="pl-PL"/>
        </w:rPr>
        <w:footnoteRef/>
      </w:r>
      <w:r w:rsidRPr="00A3695F">
        <w:rPr>
          <w:rStyle w:val="FootnoteReference"/>
          <w:lang w:val="pl-PL"/>
        </w:rPr>
        <w:t xml:space="preserve"> </w:t>
      </w:r>
      <w:r w:rsidRPr="00A3695F">
        <w:rPr>
          <w:lang w:val="pl-PL"/>
        </w:rPr>
        <w:tab/>
      </w:r>
      <w:r w:rsidRPr="00A3695F">
        <w:rPr>
          <w:rFonts w:ascii="Times New Roman" w:hAnsi="Times New Roman"/>
          <w:lang w:val="pl-PL"/>
        </w:rPr>
        <w:t>Komunikat Komisji „Sprawozdanie na temat praworządności z</w:t>
      </w:r>
      <w:r>
        <w:rPr>
          <w:rFonts w:ascii="Times New Roman" w:hAnsi="Times New Roman"/>
          <w:lang w:val="pl-PL"/>
        </w:rPr>
        <w:t> </w:t>
      </w:r>
      <w:r w:rsidRPr="00A3695F">
        <w:rPr>
          <w:rFonts w:ascii="Times New Roman" w:hAnsi="Times New Roman"/>
          <w:lang w:val="pl-PL"/>
        </w:rPr>
        <w:t>20</w:t>
      </w:r>
      <w:r w:rsidRPr="003937FF">
        <w:rPr>
          <w:rFonts w:ascii="Times New Roman" w:hAnsi="Times New Roman"/>
          <w:lang w:val="pl-PL"/>
        </w:rPr>
        <w:t>22 r.</w:t>
      </w:r>
      <w:r w:rsidRPr="00A3695F">
        <w:rPr>
          <w:rFonts w:ascii="Times New Roman" w:hAnsi="Times New Roman"/>
          <w:lang w:val="pl-PL"/>
        </w:rPr>
        <w:t xml:space="preserve"> – Sytuacja w</w:t>
      </w:r>
      <w:r>
        <w:rPr>
          <w:rFonts w:ascii="Times New Roman" w:hAnsi="Times New Roman"/>
          <w:lang w:val="pl-PL"/>
        </w:rPr>
        <w:t> </w:t>
      </w:r>
      <w:r w:rsidRPr="00A3695F">
        <w:rPr>
          <w:rFonts w:ascii="Times New Roman" w:hAnsi="Times New Roman"/>
          <w:lang w:val="pl-PL"/>
        </w:rPr>
        <w:t>zakresie praworządności w</w:t>
      </w:r>
      <w:r>
        <w:rPr>
          <w:rFonts w:ascii="Times New Roman" w:hAnsi="Times New Roman"/>
          <w:lang w:val="pl-PL"/>
        </w:rPr>
        <w:t> </w:t>
      </w:r>
      <w:r w:rsidRPr="00A3695F">
        <w:rPr>
          <w:rFonts w:ascii="Times New Roman" w:hAnsi="Times New Roman"/>
          <w:lang w:val="pl-PL"/>
        </w:rPr>
        <w:t>Unii Europejskiej”, COM(2022) 500 final.</w:t>
      </w:r>
    </w:p>
  </w:footnote>
  <w:footnote w:id="74">
    <w:p w14:paraId="1069912D" w14:textId="69328C93" w:rsidR="003937FF" w:rsidRPr="00A3695F" w:rsidRDefault="003937FF" w:rsidP="00043F86">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EU Pilot jest instrumentem współpracy i</w:t>
      </w:r>
      <w:r>
        <w:rPr>
          <w:rFonts w:ascii="Times New Roman" w:hAnsi="Times New Roman"/>
          <w:lang w:val="pl-PL"/>
        </w:rPr>
        <w:t> </w:t>
      </w:r>
      <w:r w:rsidRPr="00A3695F">
        <w:rPr>
          <w:rFonts w:ascii="Times New Roman" w:hAnsi="Times New Roman"/>
          <w:lang w:val="pl-PL"/>
        </w:rPr>
        <w:t>dialogu między Komisją a</w:t>
      </w:r>
      <w:r>
        <w:rPr>
          <w:rFonts w:ascii="Times New Roman" w:hAnsi="Times New Roman"/>
          <w:lang w:val="pl-PL"/>
        </w:rPr>
        <w:t> </w:t>
      </w:r>
      <w:r w:rsidRPr="00A3695F">
        <w:rPr>
          <w:rFonts w:ascii="Times New Roman" w:hAnsi="Times New Roman"/>
          <w:lang w:val="pl-PL"/>
        </w:rPr>
        <w:t>państwami członkowskimi w</w:t>
      </w:r>
      <w:r>
        <w:rPr>
          <w:rFonts w:ascii="Times New Roman" w:hAnsi="Times New Roman"/>
          <w:lang w:val="pl-PL"/>
        </w:rPr>
        <w:t> </w:t>
      </w:r>
      <w:r w:rsidRPr="00A3695F">
        <w:rPr>
          <w:rFonts w:ascii="Times New Roman" w:hAnsi="Times New Roman"/>
          <w:lang w:val="pl-PL"/>
        </w:rPr>
        <w:t>kwestiach (potencjalnego) nieprzestrzegania prawa Unii. Sposób korzystania przez Komisję z EU Pilot określono w</w:t>
      </w:r>
      <w:r>
        <w:rPr>
          <w:rFonts w:ascii="Times New Roman" w:hAnsi="Times New Roman"/>
          <w:lang w:val="pl-PL"/>
        </w:rPr>
        <w:t> </w:t>
      </w:r>
      <w:r w:rsidRPr="00A3695F">
        <w:rPr>
          <w:rFonts w:ascii="Times New Roman" w:hAnsi="Times New Roman"/>
          <w:lang w:val="pl-PL"/>
        </w:rPr>
        <w:t>szczegółowych wytycznych wewnętrznych, zmienionych w</w:t>
      </w:r>
      <w:r>
        <w:rPr>
          <w:rFonts w:ascii="Times New Roman" w:hAnsi="Times New Roman"/>
          <w:lang w:val="pl-PL"/>
        </w:rPr>
        <w:t> </w:t>
      </w:r>
      <w:r w:rsidRPr="00A3695F">
        <w:rPr>
          <w:rFonts w:ascii="Times New Roman" w:hAnsi="Times New Roman"/>
          <w:lang w:val="pl-PL"/>
        </w:rPr>
        <w:t>lipcu 20</w:t>
      </w:r>
      <w:r w:rsidRPr="003937FF">
        <w:rPr>
          <w:rFonts w:ascii="Times New Roman" w:hAnsi="Times New Roman"/>
          <w:lang w:val="pl-PL"/>
        </w:rPr>
        <w:t>20 r.</w:t>
      </w:r>
    </w:p>
  </w:footnote>
  <w:footnote w:id="75">
    <w:p w14:paraId="3CF3178E" w14:textId="5560E6F6" w:rsidR="003937FF" w:rsidRPr="00A3695F" w:rsidRDefault="003937FF" w:rsidP="00043F86">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Nie obejmuje to postępowań w</w:t>
      </w:r>
      <w:r>
        <w:rPr>
          <w:rFonts w:ascii="Times New Roman" w:hAnsi="Times New Roman"/>
          <w:lang w:val="pl-PL"/>
        </w:rPr>
        <w:t> </w:t>
      </w:r>
      <w:r w:rsidRPr="00A3695F">
        <w:rPr>
          <w:rFonts w:ascii="Times New Roman" w:hAnsi="Times New Roman"/>
          <w:lang w:val="pl-PL"/>
        </w:rPr>
        <w:t>sprawie uchybienia zobowiązaniom państwa członkowskiego wszczętych automatycznie w</w:t>
      </w:r>
      <w:r>
        <w:rPr>
          <w:rFonts w:ascii="Times New Roman" w:hAnsi="Times New Roman"/>
          <w:lang w:val="pl-PL"/>
        </w:rPr>
        <w:t> </w:t>
      </w:r>
      <w:r w:rsidRPr="00A3695F">
        <w:rPr>
          <w:rFonts w:ascii="Times New Roman" w:hAnsi="Times New Roman"/>
          <w:lang w:val="pl-PL"/>
        </w:rPr>
        <w:t>związku z</w:t>
      </w:r>
      <w:r>
        <w:rPr>
          <w:rFonts w:ascii="Times New Roman" w:hAnsi="Times New Roman"/>
          <w:lang w:val="pl-PL"/>
        </w:rPr>
        <w:t> </w:t>
      </w:r>
      <w:r w:rsidRPr="00A3695F">
        <w:rPr>
          <w:rFonts w:ascii="Times New Roman" w:hAnsi="Times New Roman"/>
          <w:lang w:val="pl-PL"/>
        </w:rPr>
        <w:t xml:space="preserve">brakiem transpozycji dyrektywy, do którego przyznało się państwo członkowskie. </w:t>
      </w:r>
    </w:p>
  </w:footnote>
  <w:footnote w:id="76">
    <w:p w14:paraId="54DB82DE" w14:textId="5CDA185F" w:rsidR="003937FF" w:rsidRPr="00A3695F" w:rsidRDefault="003937FF" w:rsidP="00043F86">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Zdecydowana większość postępowań w</w:t>
      </w:r>
      <w:r>
        <w:rPr>
          <w:rFonts w:ascii="Times New Roman" w:hAnsi="Times New Roman"/>
          <w:lang w:val="pl-PL"/>
        </w:rPr>
        <w:t> </w:t>
      </w:r>
      <w:r w:rsidRPr="00A3695F">
        <w:rPr>
          <w:rFonts w:ascii="Times New Roman" w:hAnsi="Times New Roman"/>
          <w:lang w:val="pl-PL"/>
        </w:rPr>
        <w:t>sprawie uchybienia zobowiązaniom państwa członkowskiego wszczynana jest bez wcześniejszej procedury EU Pilot.</w:t>
      </w:r>
    </w:p>
  </w:footnote>
  <w:footnote w:id="77">
    <w:p w14:paraId="04386827" w14:textId="14BAED05"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 xml:space="preserve">Rozporządzenie (UE) </w:t>
      </w:r>
      <w:r w:rsidRPr="003937FF">
        <w:rPr>
          <w:rFonts w:ascii="Times New Roman" w:hAnsi="Times New Roman"/>
          <w:lang w:val="pl-PL"/>
        </w:rPr>
        <w:t>nr 2</w:t>
      </w:r>
      <w:r w:rsidRPr="00A3695F">
        <w:rPr>
          <w:rFonts w:ascii="Times New Roman" w:hAnsi="Times New Roman"/>
          <w:lang w:val="pl-PL"/>
        </w:rPr>
        <w:t>60/2012 z</w:t>
      </w:r>
      <w:r>
        <w:rPr>
          <w:rFonts w:ascii="Times New Roman" w:hAnsi="Times New Roman"/>
          <w:lang w:val="pl-PL"/>
        </w:rPr>
        <w:t> </w:t>
      </w:r>
      <w:r w:rsidRPr="00A3695F">
        <w:rPr>
          <w:rFonts w:ascii="Times New Roman" w:hAnsi="Times New Roman"/>
          <w:lang w:val="pl-PL"/>
        </w:rPr>
        <w:t>dnia 14 marca 20</w:t>
      </w:r>
      <w:r w:rsidRPr="003937FF">
        <w:rPr>
          <w:rFonts w:ascii="Times New Roman" w:hAnsi="Times New Roman"/>
          <w:lang w:val="pl-PL"/>
        </w:rPr>
        <w:t>12 r.</w:t>
      </w:r>
      <w:r w:rsidRPr="00A3695F">
        <w:rPr>
          <w:rFonts w:ascii="Times New Roman" w:hAnsi="Times New Roman"/>
          <w:lang w:val="pl-PL"/>
        </w:rPr>
        <w:t xml:space="preserve"> ustanawiające wymogi techniczne i</w:t>
      </w:r>
      <w:r>
        <w:rPr>
          <w:rFonts w:ascii="Times New Roman" w:hAnsi="Times New Roman"/>
          <w:lang w:val="pl-PL"/>
        </w:rPr>
        <w:t> </w:t>
      </w:r>
      <w:r w:rsidRPr="00A3695F">
        <w:rPr>
          <w:rFonts w:ascii="Times New Roman" w:hAnsi="Times New Roman"/>
          <w:lang w:val="pl-PL"/>
        </w:rPr>
        <w:t>handlowe w</w:t>
      </w:r>
      <w:r>
        <w:rPr>
          <w:rFonts w:ascii="Times New Roman" w:hAnsi="Times New Roman"/>
          <w:lang w:val="pl-PL"/>
        </w:rPr>
        <w:t> </w:t>
      </w:r>
      <w:r w:rsidRPr="00A3695F">
        <w:rPr>
          <w:rFonts w:ascii="Times New Roman" w:hAnsi="Times New Roman"/>
          <w:lang w:val="pl-PL"/>
        </w:rPr>
        <w:t>odniesieniu do poleceń przelewu i</w:t>
      </w:r>
      <w:r>
        <w:rPr>
          <w:rFonts w:ascii="Times New Roman" w:hAnsi="Times New Roman"/>
          <w:lang w:val="pl-PL"/>
        </w:rPr>
        <w:t> </w:t>
      </w:r>
      <w:r w:rsidRPr="00A3695F">
        <w:rPr>
          <w:rFonts w:ascii="Times New Roman" w:hAnsi="Times New Roman"/>
          <w:lang w:val="pl-PL"/>
        </w:rPr>
        <w:t>poleceń zapłaty w</w:t>
      </w:r>
      <w:r>
        <w:rPr>
          <w:rFonts w:ascii="Times New Roman" w:hAnsi="Times New Roman"/>
          <w:lang w:val="pl-PL"/>
        </w:rPr>
        <w:t> </w:t>
      </w:r>
      <w:r w:rsidRPr="00A3695F">
        <w:rPr>
          <w:rFonts w:ascii="Times New Roman" w:hAnsi="Times New Roman"/>
          <w:lang w:val="pl-PL"/>
        </w:rPr>
        <w:t>euro.</w:t>
      </w:r>
    </w:p>
  </w:footnote>
  <w:footnote w:id="78">
    <w:p w14:paraId="03004A0F" w14:textId="2403FB6E"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„Transgraniczna opieka zdrowotna” oznacza opiekę zdrowotną świadczoną lub przepisaną w</w:t>
      </w:r>
      <w:r>
        <w:rPr>
          <w:rFonts w:ascii="Times New Roman" w:hAnsi="Times New Roman"/>
          <w:lang w:val="pl-PL"/>
        </w:rPr>
        <w:t> </w:t>
      </w:r>
      <w:r w:rsidRPr="00A3695F">
        <w:rPr>
          <w:rFonts w:ascii="Times New Roman" w:hAnsi="Times New Roman"/>
          <w:lang w:val="pl-PL"/>
        </w:rPr>
        <w:t>państwie członkowskim innym niż państwo członkowskie ubezpieczenia.</w:t>
      </w:r>
    </w:p>
  </w:footnote>
  <w:footnote w:id="79">
    <w:p w14:paraId="3D25C32B" w14:textId="219F6498"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 xml:space="preserve">Głównie za pośrednictwem internetowego formularza skargi dostępnego pod adresem: </w:t>
      </w:r>
      <w:hyperlink r:id="rId27" w:history="1">
        <w:r w:rsidRPr="00A3695F">
          <w:rPr>
            <w:rStyle w:val="Hyperlink"/>
            <w:rFonts w:ascii="Times New Roman" w:hAnsi="Times New Roman"/>
            <w:lang w:val="pl-PL"/>
          </w:rPr>
          <w:t>https://ec.europa.eu/assets/sg/report-a-breach/complaints_pl/</w:t>
        </w:r>
      </w:hyperlink>
      <w:r w:rsidRPr="00A3695F">
        <w:rPr>
          <w:rFonts w:ascii="Times New Roman" w:hAnsi="Times New Roman"/>
          <w:lang w:val="pl-PL"/>
        </w:rPr>
        <w:t>. Pojęcie „skargi” obejmuje tzw. „skargi zbiorowe”, w</w:t>
      </w:r>
      <w:r>
        <w:rPr>
          <w:rFonts w:ascii="Times New Roman" w:hAnsi="Times New Roman"/>
          <w:lang w:val="pl-PL"/>
        </w:rPr>
        <w:t> </w:t>
      </w:r>
      <w:r w:rsidRPr="00A3695F">
        <w:rPr>
          <w:rFonts w:ascii="Times New Roman" w:hAnsi="Times New Roman"/>
          <w:lang w:val="pl-PL"/>
        </w:rPr>
        <w:t>przypadku których Komisja w</w:t>
      </w:r>
      <w:r>
        <w:rPr>
          <w:rFonts w:ascii="Times New Roman" w:hAnsi="Times New Roman"/>
          <w:lang w:val="pl-PL"/>
        </w:rPr>
        <w:t> </w:t>
      </w:r>
      <w:r w:rsidRPr="00A3695F">
        <w:rPr>
          <w:rFonts w:ascii="Times New Roman" w:hAnsi="Times New Roman"/>
          <w:lang w:val="pl-PL"/>
        </w:rPr>
        <w:t>ramach jednego postępowania rozpatruje bardzo dużą liczbę identycznych skarg.</w:t>
      </w:r>
    </w:p>
  </w:footnote>
  <w:footnote w:id="80">
    <w:p w14:paraId="6CBD186B" w14:textId="4CF2C07A"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W 20</w:t>
      </w:r>
      <w:r w:rsidRPr="003937FF">
        <w:rPr>
          <w:rFonts w:ascii="Times New Roman" w:hAnsi="Times New Roman"/>
          <w:lang w:val="pl-PL"/>
        </w:rPr>
        <w:t>21 r.</w:t>
      </w:r>
      <w:r w:rsidRPr="00A3695F">
        <w:rPr>
          <w:rFonts w:ascii="Times New Roman" w:hAnsi="Times New Roman"/>
          <w:lang w:val="pl-PL"/>
        </w:rPr>
        <w:t xml:space="preserve"> 6</w:t>
      </w:r>
      <w:r w:rsidRPr="003937FF">
        <w:rPr>
          <w:rFonts w:ascii="Times New Roman" w:hAnsi="Times New Roman"/>
          <w:lang w:val="pl-PL"/>
        </w:rPr>
        <w:t>9 %</w:t>
      </w:r>
      <w:r w:rsidRPr="00A3695F">
        <w:rPr>
          <w:rFonts w:ascii="Times New Roman" w:hAnsi="Times New Roman"/>
          <w:lang w:val="pl-PL"/>
        </w:rPr>
        <w:t xml:space="preserve"> postępowań w</w:t>
      </w:r>
      <w:r>
        <w:rPr>
          <w:rFonts w:ascii="Times New Roman" w:hAnsi="Times New Roman"/>
          <w:lang w:val="pl-PL"/>
        </w:rPr>
        <w:t> </w:t>
      </w:r>
      <w:r w:rsidRPr="00A3695F">
        <w:rPr>
          <w:rFonts w:ascii="Times New Roman" w:hAnsi="Times New Roman"/>
          <w:lang w:val="pl-PL"/>
        </w:rPr>
        <w:t>sprawie uchybienia zobowiązaniom państwa członkowskiego zamknięto po początkowym wezwaniu do usunięcia uchybienia.</w:t>
      </w:r>
    </w:p>
  </w:footnote>
  <w:footnote w:id="81">
    <w:p w14:paraId="2766C48C" w14:textId="4231C66C"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 xml:space="preserve">Na podstawie </w:t>
      </w:r>
      <w:r w:rsidRPr="003937FF">
        <w:rPr>
          <w:rFonts w:ascii="Times New Roman" w:hAnsi="Times New Roman"/>
          <w:lang w:val="pl-PL"/>
        </w:rPr>
        <w:t>art. 2</w:t>
      </w:r>
      <w:r w:rsidRPr="00A3695F">
        <w:rPr>
          <w:rFonts w:ascii="Times New Roman" w:hAnsi="Times New Roman"/>
          <w:lang w:val="pl-PL"/>
        </w:rPr>
        <w:t xml:space="preserve">60 </w:t>
      </w:r>
      <w:r w:rsidRPr="003937FF">
        <w:rPr>
          <w:rFonts w:ascii="Times New Roman" w:hAnsi="Times New Roman"/>
          <w:lang w:val="pl-PL"/>
        </w:rPr>
        <w:t>ust. 2</w:t>
      </w:r>
      <w:r w:rsidRPr="00A3695F">
        <w:rPr>
          <w:rFonts w:ascii="Times New Roman" w:hAnsi="Times New Roman"/>
          <w:lang w:val="pl-PL"/>
        </w:rPr>
        <w:t xml:space="preserve"> TFUE. </w:t>
      </w:r>
    </w:p>
  </w:footnote>
  <w:footnote w:id="82">
    <w:p w14:paraId="2C8EF90A" w14:textId="6CEA29D8"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Dyrektywa 2008/50/WE z</w:t>
      </w:r>
      <w:r>
        <w:rPr>
          <w:rFonts w:ascii="Times New Roman" w:hAnsi="Times New Roman"/>
          <w:lang w:val="pl-PL"/>
        </w:rPr>
        <w:t> </w:t>
      </w:r>
      <w:r w:rsidRPr="00A3695F">
        <w:rPr>
          <w:rFonts w:ascii="Times New Roman" w:hAnsi="Times New Roman"/>
          <w:lang w:val="pl-PL"/>
        </w:rPr>
        <w:t>dnia 21 maja 20</w:t>
      </w:r>
      <w:r w:rsidRPr="003937FF">
        <w:rPr>
          <w:rFonts w:ascii="Times New Roman" w:hAnsi="Times New Roman"/>
          <w:lang w:val="pl-PL"/>
        </w:rPr>
        <w:t>08 r.</w:t>
      </w:r>
      <w:r w:rsidRPr="00A3695F">
        <w:rPr>
          <w:rFonts w:ascii="Times New Roman" w:hAnsi="Times New Roman"/>
          <w:lang w:val="pl-PL"/>
        </w:rPr>
        <w:t xml:space="preserve"> w</w:t>
      </w:r>
      <w:r>
        <w:rPr>
          <w:rFonts w:ascii="Times New Roman" w:hAnsi="Times New Roman"/>
          <w:lang w:val="pl-PL"/>
        </w:rPr>
        <w:t> </w:t>
      </w:r>
      <w:r w:rsidRPr="00A3695F">
        <w:rPr>
          <w:rFonts w:ascii="Times New Roman" w:hAnsi="Times New Roman"/>
          <w:lang w:val="pl-PL"/>
        </w:rPr>
        <w:t>sprawie jakości powietrza i</w:t>
      </w:r>
      <w:r>
        <w:rPr>
          <w:rFonts w:ascii="Times New Roman" w:hAnsi="Times New Roman"/>
          <w:lang w:val="pl-PL"/>
        </w:rPr>
        <w:t> </w:t>
      </w:r>
      <w:r w:rsidRPr="00A3695F">
        <w:rPr>
          <w:rFonts w:ascii="Times New Roman" w:hAnsi="Times New Roman"/>
          <w:lang w:val="pl-PL"/>
        </w:rPr>
        <w:t>czystszego powietrza dla Europy.</w:t>
      </w:r>
    </w:p>
  </w:footnote>
  <w:footnote w:id="83">
    <w:p w14:paraId="03F4C7BB" w14:textId="4371231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 xml:space="preserve">Aktualizacja </w:t>
      </w:r>
      <w:r w:rsidRPr="003937FF">
        <w:rPr>
          <w:rFonts w:ascii="Times New Roman" w:hAnsi="Times New Roman"/>
          <w:lang w:val="pl-PL"/>
        </w:rPr>
        <w:t>na 2</w:t>
      </w:r>
      <w:r w:rsidRPr="00A3695F">
        <w:rPr>
          <w:rFonts w:ascii="Times New Roman" w:hAnsi="Times New Roman"/>
          <w:lang w:val="pl-PL"/>
        </w:rPr>
        <w:t>0</w:t>
      </w:r>
      <w:r w:rsidRPr="003937FF">
        <w:rPr>
          <w:rFonts w:ascii="Times New Roman" w:hAnsi="Times New Roman"/>
          <w:lang w:val="pl-PL"/>
        </w:rPr>
        <w:t>21 r.</w:t>
      </w:r>
      <w:r w:rsidRPr="00A3695F">
        <w:rPr>
          <w:rFonts w:ascii="Times New Roman" w:hAnsi="Times New Roman"/>
          <w:lang w:val="pl-PL"/>
        </w:rPr>
        <w:t xml:space="preserve"> opiera się na najnowszych danych dotyczących jakości powietrza dostępnych w</w:t>
      </w:r>
      <w:r>
        <w:rPr>
          <w:rFonts w:ascii="Times New Roman" w:hAnsi="Times New Roman"/>
          <w:lang w:val="pl-PL"/>
        </w:rPr>
        <w:t> </w:t>
      </w:r>
      <w:r w:rsidRPr="00A3695F">
        <w:rPr>
          <w:rFonts w:ascii="Times New Roman" w:hAnsi="Times New Roman"/>
          <w:lang w:val="pl-PL"/>
        </w:rPr>
        <w:t>momencie sporządzania niniejszego dokumentu, a</w:t>
      </w:r>
      <w:r>
        <w:rPr>
          <w:rFonts w:ascii="Times New Roman" w:hAnsi="Times New Roman"/>
          <w:lang w:val="pl-PL"/>
        </w:rPr>
        <w:t> </w:t>
      </w:r>
      <w:r w:rsidRPr="00A3695F">
        <w:rPr>
          <w:rFonts w:ascii="Times New Roman" w:hAnsi="Times New Roman"/>
          <w:lang w:val="pl-PL"/>
        </w:rPr>
        <w:t xml:space="preserve">mianowicie danych </w:t>
      </w:r>
      <w:r w:rsidRPr="003937FF">
        <w:rPr>
          <w:rFonts w:ascii="Times New Roman" w:hAnsi="Times New Roman"/>
          <w:lang w:val="pl-PL"/>
        </w:rPr>
        <w:t>za 2</w:t>
      </w:r>
      <w:r w:rsidRPr="00A3695F">
        <w:rPr>
          <w:rFonts w:ascii="Times New Roman" w:hAnsi="Times New Roman"/>
          <w:lang w:val="pl-PL"/>
        </w:rPr>
        <w:t>0</w:t>
      </w:r>
      <w:r w:rsidRPr="003937FF">
        <w:rPr>
          <w:rFonts w:ascii="Times New Roman" w:hAnsi="Times New Roman"/>
          <w:lang w:val="pl-PL"/>
        </w:rPr>
        <w:t>20 r.</w:t>
      </w:r>
    </w:p>
  </w:footnote>
  <w:footnote w:id="84">
    <w:p w14:paraId="609F1544" w14:textId="7777777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Źródło: Europejska Agencja Środowiska.</w:t>
      </w:r>
    </w:p>
  </w:footnote>
  <w:footnote w:id="85">
    <w:p w14:paraId="51FFC4B8" w14:textId="0DD57F02"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hyperlink r:id="rId28" w:anchor=":~:text=30%20November%202020-,Commission%20publishes%20its%20short%2Dterm%20review%20of%20the%20Geo%2Dblocking,and%20services%20within%20the%20EU." w:history="1">
        <w:r w:rsidRPr="00A3695F">
          <w:rPr>
            <w:rStyle w:val="Hyperlink"/>
            <w:rFonts w:ascii="Times New Roman" w:hAnsi="Times New Roman"/>
            <w:lang w:val="pl-PL"/>
          </w:rPr>
          <w:t>Krótkoterminowy przegląd rozporządzenia w</w:t>
        </w:r>
        <w:r>
          <w:rPr>
            <w:rStyle w:val="Hyperlink"/>
            <w:rFonts w:ascii="Times New Roman" w:hAnsi="Times New Roman"/>
            <w:lang w:val="pl-PL"/>
          </w:rPr>
          <w:t> </w:t>
        </w:r>
        <w:r w:rsidRPr="00A3695F">
          <w:rPr>
            <w:rStyle w:val="Hyperlink"/>
            <w:rFonts w:ascii="Times New Roman" w:hAnsi="Times New Roman"/>
            <w:lang w:val="pl-PL"/>
          </w:rPr>
          <w:t>sprawie blokowania geograficznego</w:t>
        </w:r>
      </w:hyperlink>
    </w:p>
  </w:footnote>
  <w:footnote w:id="86">
    <w:p w14:paraId="5C2A99B7" w14:textId="7777777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hyperlink r:id="rId29" w:anchor="google" w:history="1">
        <w:r w:rsidRPr="00A3695F">
          <w:rPr>
            <w:rStyle w:val="Hyperlink"/>
            <w:rFonts w:ascii="Times New Roman" w:hAnsi="Times New Roman"/>
            <w:lang w:val="pl-PL"/>
          </w:rPr>
          <w:t>https://ec.europa.eu/info/live-work-travel-eu/consumer-rights-and-complaints/enforcement-consumer-protection/coordinated-actions/social-media-and-search-engines_pl#google</w:t>
        </w:r>
      </w:hyperlink>
    </w:p>
  </w:footnote>
  <w:footnote w:id="87">
    <w:p w14:paraId="6957D745" w14:textId="664DD25F"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Dyrektywa 2012/27/UE z</w:t>
      </w:r>
      <w:r>
        <w:rPr>
          <w:rFonts w:ascii="Times New Roman" w:hAnsi="Times New Roman"/>
          <w:lang w:val="pl-PL"/>
        </w:rPr>
        <w:t> </w:t>
      </w:r>
      <w:r w:rsidRPr="00A3695F">
        <w:rPr>
          <w:rFonts w:ascii="Times New Roman" w:hAnsi="Times New Roman"/>
          <w:lang w:val="pl-PL"/>
        </w:rPr>
        <w:t>dnia 25 października 20</w:t>
      </w:r>
      <w:r w:rsidRPr="003937FF">
        <w:rPr>
          <w:rFonts w:ascii="Times New Roman" w:hAnsi="Times New Roman"/>
          <w:lang w:val="pl-PL"/>
        </w:rPr>
        <w:t>12 r.</w:t>
      </w:r>
      <w:r w:rsidRPr="00A3695F">
        <w:rPr>
          <w:rFonts w:ascii="Times New Roman" w:hAnsi="Times New Roman"/>
          <w:lang w:val="pl-PL"/>
        </w:rPr>
        <w:t xml:space="preserve"> w</w:t>
      </w:r>
      <w:r>
        <w:rPr>
          <w:rFonts w:ascii="Times New Roman" w:hAnsi="Times New Roman"/>
          <w:lang w:val="pl-PL"/>
        </w:rPr>
        <w:t> </w:t>
      </w:r>
      <w:r w:rsidRPr="00A3695F">
        <w:rPr>
          <w:rFonts w:ascii="Times New Roman" w:hAnsi="Times New Roman"/>
          <w:lang w:val="pl-PL"/>
        </w:rPr>
        <w:t>sprawie efektywności energetycznej.</w:t>
      </w:r>
    </w:p>
  </w:footnote>
  <w:footnote w:id="88">
    <w:p w14:paraId="69EA7171" w14:textId="7E394CC2"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Od 20</w:t>
      </w:r>
      <w:r w:rsidRPr="003937FF">
        <w:rPr>
          <w:rFonts w:ascii="Times New Roman" w:hAnsi="Times New Roman"/>
          <w:lang w:val="pl-PL"/>
        </w:rPr>
        <w:t>11 r.</w:t>
      </w:r>
      <w:r w:rsidRPr="00A3695F">
        <w:rPr>
          <w:rFonts w:ascii="Times New Roman" w:hAnsi="Times New Roman"/>
          <w:lang w:val="pl-PL"/>
        </w:rPr>
        <w:t xml:space="preserve"> liczba przypadków opóźnień w</w:t>
      </w:r>
      <w:r>
        <w:rPr>
          <w:rFonts w:ascii="Times New Roman" w:hAnsi="Times New Roman"/>
          <w:lang w:val="pl-PL"/>
        </w:rPr>
        <w:t> </w:t>
      </w:r>
      <w:r w:rsidRPr="00A3695F">
        <w:rPr>
          <w:rFonts w:ascii="Times New Roman" w:hAnsi="Times New Roman"/>
          <w:lang w:val="pl-PL"/>
        </w:rPr>
        <w:t>transpozycji zmalała z</w:t>
      </w:r>
      <w:r>
        <w:rPr>
          <w:rFonts w:ascii="Times New Roman" w:hAnsi="Times New Roman"/>
          <w:lang w:val="pl-PL"/>
        </w:rPr>
        <w:t> </w:t>
      </w:r>
      <w:r w:rsidRPr="00A3695F">
        <w:rPr>
          <w:rFonts w:ascii="Times New Roman" w:hAnsi="Times New Roman"/>
          <w:lang w:val="pl-PL"/>
        </w:rPr>
        <w:t>ponad 1 000 do około 500 rocznie.</w:t>
      </w:r>
    </w:p>
  </w:footnote>
  <w:footnote w:id="89">
    <w:p w14:paraId="620EF429" w14:textId="0FAB16F6"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Style w:val="FootnoteReference"/>
          <w:rFonts w:ascii="Times New Roman" w:hAnsi="Times New Roman"/>
          <w:lang w:val="pl-PL"/>
        </w:rPr>
        <w:t xml:space="preserve"> </w:t>
      </w:r>
      <w:r w:rsidRPr="00A3695F">
        <w:rPr>
          <w:lang w:val="pl-PL"/>
        </w:rPr>
        <w:tab/>
      </w:r>
      <w:r w:rsidRPr="00A3695F">
        <w:rPr>
          <w:rStyle w:val="FootnoteReference"/>
          <w:rFonts w:ascii="Times New Roman" w:hAnsi="Times New Roman"/>
          <w:vertAlign w:val="baseline"/>
          <w:lang w:val="pl-PL"/>
        </w:rPr>
        <w:t>Nie obejmują one postępowań wynikających z</w:t>
      </w:r>
      <w:r>
        <w:rPr>
          <w:rStyle w:val="FootnoteReference"/>
          <w:rFonts w:ascii="Times New Roman" w:hAnsi="Times New Roman"/>
          <w:vertAlign w:val="baseline"/>
          <w:lang w:val="pl-PL"/>
        </w:rPr>
        <w:t> </w:t>
      </w:r>
      <w:r w:rsidRPr="00A3695F">
        <w:rPr>
          <w:rStyle w:val="FootnoteReference"/>
          <w:rFonts w:ascii="Times New Roman" w:hAnsi="Times New Roman"/>
          <w:vertAlign w:val="baseline"/>
          <w:lang w:val="pl-PL"/>
        </w:rPr>
        <w:t>niedopełnienia obowiązku zgłoszenia, które są wszczynane automatycznie w</w:t>
      </w:r>
      <w:r>
        <w:rPr>
          <w:rStyle w:val="FootnoteReference"/>
          <w:rFonts w:ascii="Times New Roman" w:hAnsi="Times New Roman"/>
          <w:vertAlign w:val="baseline"/>
          <w:lang w:val="pl-PL"/>
        </w:rPr>
        <w:t> </w:t>
      </w:r>
      <w:r w:rsidRPr="00A3695F">
        <w:rPr>
          <w:rStyle w:val="FootnoteReference"/>
          <w:rFonts w:ascii="Times New Roman" w:hAnsi="Times New Roman"/>
          <w:vertAlign w:val="baseline"/>
          <w:lang w:val="pl-PL"/>
        </w:rPr>
        <w:t>związku z</w:t>
      </w:r>
      <w:r>
        <w:rPr>
          <w:rStyle w:val="FootnoteReference"/>
          <w:rFonts w:ascii="Times New Roman" w:hAnsi="Times New Roman"/>
          <w:vertAlign w:val="baseline"/>
          <w:lang w:val="pl-PL"/>
        </w:rPr>
        <w:t> </w:t>
      </w:r>
      <w:r w:rsidRPr="00A3695F">
        <w:rPr>
          <w:rStyle w:val="FootnoteReference"/>
          <w:rFonts w:ascii="Times New Roman" w:hAnsi="Times New Roman"/>
          <w:vertAlign w:val="baseline"/>
          <w:lang w:val="pl-PL"/>
        </w:rPr>
        <w:t>brakiem transpozycji dyrektyw,</w:t>
      </w:r>
      <w:r w:rsidRPr="00A3695F">
        <w:rPr>
          <w:rFonts w:ascii="Times New Roman" w:hAnsi="Times New Roman"/>
          <w:lang w:val="pl-PL"/>
        </w:rPr>
        <w:t xml:space="preserve"> </w:t>
      </w:r>
      <w:r w:rsidRPr="00A3695F">
        <w:rPr>
          <w:rStyle w:val="FootnoteReference"/>
          <w:rFonts w:ascii="Times New Roman" w:hAnsi="Times New Roman"/>
          <w:vertAlign w:val="baseline"/>
          <w:lang w:val="pl-PL"/>
        </w:rPr>
        <w:t>oraz spraw wszczynanych na podstawie skarg.</w:t>
      </w:r>
      <w:r w:rsidRPr="00A3695F">
        <w:rPr>
          <w:rFonts w:ascii="Times New Roman" w:hAnsi="Times New Roman"/>
          <w:lang w:val="pl-PL"/>
        </w:rPr>
        <w:t xml:space="preserve"> </w:t>
      </w:r>
    </w:p>
  </w:footnote>
  <w:footnote w:id="90">
    <w:p w14:paraId="72B9A940" w14:textId="769C31CE"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Dyrektywa 2001/55/WE z</w:t>
      </w:r>
      <w:r>
        <w:rPr>
          <w:rFonts w:ascii="Times New Roman" w:hAnsi="Times New Roman"/>
          <w:lang w:val="pl-PL"/>
        </w:rPr>
        <w:t> </w:t>
      </w:r>
      <w:r w:rsidRPr="00A3695F">
        <w:rPr>
          <w:rFonts w:ascii="Times New Roman" w:hAnsi="Times New Roman"/>
          <w:lang w:val="pl-PL"/>
        </w:rPr>
        <w:t>dnia 20 lipca 20</w:t>
      </w:r>
      <w:r w:rsidRPr="003937FF">
        <w:rPr>
          <w:rFonts w:ascii="Times New Roman" w:hAnsi="Times New Roman"/>
          <w:lang w:val="pl-PL"/>
        </w:rPr>
        <w:t>01 r.</w:t>
      </w:r>
      <w:r w:rsidRPr="00A3695F">
        <w:rPr>
          <w:rFonts w:ascii="Times New Roman" w:hAnsi="Times New Roman"/>
          <w:lang w:val="pl-PL"/>
        </w:rPr>
        <w:t xml:space="preserve"> w</w:t>
      </w:r>
      <w:r>
        <w:rPr>
          <w:rFonts w:ascii="Times New Roman" w:hAnsi="Times New Roman"/>
          <w:lang w:val="pl-PL"/>
        </w:rPr>
        <w:t> </w:t>
      </w:r>
      <w:r w:rsidRPr="00A3695F">
        <w:rPr>
          <w:rFonts w:ascii="Times New Roman" w:hAnsi="Times New Roman"/>
          <w:lang w:val="pl-PL"/>
        </w:rPr>
        <w:t>sprawie minimalnych standardów przyznawania tymczasowej ochrony na wypadek masowego napływu wysiedleńców oraz środków wspierających równowagę wysiłków między państwami członkowskimi związanych z</w:t>
      </w:r>
      <w:r>
        <w:rPr>
          <w:rFonts w:ascii="Times New Roman" w:hAnsi="Times New Roman"/>
          <w:lang w:val="pl-PL"/>
        </w:rPr>
        <w:t> </w:t>
      </w:r>
      <w:r w:rsidRPr="00A3695F">
        <w:rPr>
          <w:rFonts w:ascii="Times New Roman" w:hAnsi="Times New Roman"/>
          <w:lang w:val="pl-PL"/>
        </w:rPr>
        <w:t>przyjęciem takich osób wraz z</w:t>
      </w:r>
      <w:r>
        <w:rPr>
          <w:rFonts w:ascii="Times New Roman" w:hAnsi="Times New Roman"/>
          <w:lang w:val="pl-PL"/>
        </w:rPr>
        <w:t> </w:t>
      </w:r>
      <w:r w:rsidRPr="00A3695F">
        <w:rPr>
          <w:rFonts w:ascii="Times New Roman" w:hAnsi="Times New Roman"/>
          <w:lang w:val="pl-PL"/>
        </w:rPr>
        <w:t>jego następstwami.</w:t>
      </w:r>
    </w:p>
  </w:footnote>
  <w:footnote w:id="91">
    <w:p w14:paraId="579EECB7" w14:textId="13418E74" w:rsidR="003937FF" w:rsidRPr="00A3695F" w:rsidRDefault="003937FF" w:rsidP="00D44AF4">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hyperlink r:id="rId30" w:history="1">
        <w:r w:rsidRPr="00A3695F">
          <w:rPr>
            <w:rStyle w:val="Hyperlink"/>
            <w:rFonts w:ascii="Times New Roman" w:hAnsi="Times New Roman"/>
            <w:lang w:val="pl-PL"/>
          </w:rPr>
          <w:t>Tymczasowe ramy pomocy państwa w</w:t>
        </w:r>
        <w:r>
          <w:rPr>
            <w:rStyle w:val="Hyperlink"/>
            <w:rFonts w:ascii="Times New Roman" w:hAnsi="Times New Roman"/>
            <w:lang w:val="pl-PL"/>
          </w:rPr>
          <w:t> </w:t>
        </w:r>
        <w:r w:rsidRPr="00A3695F">
          <w:rPr>
            <w:rStyle w:val="Hyperlink"/>
            <w:rFonts w:ascii="Times New Roman" w:hAnsi="Times New Roman"/>
            <w:lang w:val="pl-PL"/>
          </w:rPr>
          <w:t>kontekście pandemii koronawirusa</w:t>
        </w:r>
      </w:hyperlink>
      <w:r w:rsidRPr="00A3695F">
        <w:rPr>
          <w:rFonts w:ascii="Times New Roman" w:hAnsi="Times New Roman"/>
          <w:lang w:val="pl-PL"/>
        </w:rPr>
        <w:t xml:space="preserve"> </w:t>
      </w:r>
      <w:hyperlink r:id="rId31" w:history="1">
        <w:r w:rsidRPr="00A3695F">
          <w:rPr>
            <w:rStyle w:val="Hyperlink"/>
            <w:rFonts w:ascii="Times New Roman" w:hAnsi="Times New Roman"/>
            <w:lang w:val="pl-PL"/>
          </w:rPr>
          <w:t>i tymczasowe ramy kryzysowe w</w:t>
        </w:r>
        <w:r>
          <w:rPr>
            <w:rStyle w:val="Hyperlink"/>
            <w:rFonts w:ascii="Times New Roman" w:hAnsi="Times New Roman"/>
            <w:lang w:val="pl-PL"/>
          </w:rPr>
          <w:t> </w:t>
        </w:r>
        <w:r w:rsidRPr="00A3695F">
          <w:rPr>
            <w:rStyle w:val="Hyperlink"/>
            <w:rFonts w:ascii="Times New Roman" w:hAnsi="Times New Roman"/>
            <w:lang w:val="pl-PL"/>
          </w:rPr>
          <w:t>kontekście rosyjskiej inwazji na Ukrainę</w:t>
        </w:r>
      </w:hyperlink>
      <w:r w:rsidRPr="00A3695F">
        <w:rPr>
          <w:rFonts w:ascii="Times New Roman" w:hAnsi="Times New Roman"/>
          <w:lang w:val="pl-PL"/>
        </w:rPr>
        <w:t>.</w:t>
      </w:r>
    </w:p>
  </w:footnote>
  <w:footnote w:id="92">
    <w:p w14:paraId="06EC1B0D" w14:textId="28DAEB64"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Komunikat Komisji „Plan działań na rzecz korytarzy solidarnościowych między UE a</w:t>
      </w:r>
      <w:r>
        <w:rPr>
          <w:rFonts w:ascii="Times New Roman" w:hAnsi="Times New Roman"/>
          <w:lang w:val="pl-PL"/>
        </w:rPr>
        <w:t> </w:t>
      </w:r>
      <w:r w:rsidRPr="00A3695F">
        <w:rPr>
          <w:rFonts w:ascii="Times New Roman" w:hAnsi="Times New Roman"/>
          <w:lang w:val="pl-PL"/>
        </w:rPr>
        <w:t>Ukrainą ułatwiających wywóz produktów rolnych z</w:t>
      </w:r>
      <w:r>
        <w:rPr>
          <w:rFonts w:ascii="Times New Roman" w:hAnsi="Times New Roman"/>
          <w:lang w:val="pl-PL"/>
        </w:rPr>
        <w:t> </w:t>
      </w:r>
      <w:r w:rsidRPr="00A3695F">
        <w:rPr>
          <w:rFonts w:ascii="Times New Roman" w:hAnsi="Times New Roman"/>
          <w:lang w:val="pl-PL"/>
        </w:rPr>
        <w:t>Ukrainy i</w:t>
      </w:r>
      <w:r>
        <w:rPr>
          <w:rFonts w:ascii="Times New Roman" w:hAnsi="Times New Roman"/>
          <w:lang w:val="pl-PL"/>
        </w:rPr>
        <w:t> </w:t>
      </w:r>
      <w:r w:rsidRPr="00A3695F">
        <w:rPr>
          <w:rFonts w:ascii="Times New Roman" w:hAnsi="Times New Roman"/>
          <w:lang w:val="pl-PL"/>
        </w:rPr>
        <w:t>handel dwustronny między Ukrainą a UE”, COM(2022) 217 final.</w:t>
      </w:r>
    </w:p>
  </w:footnote>
  <w:footnote w:id="93">
    <w:p w14:paraId="2CA86902" w14:textId="0F2BF5C2" w:rsidR="003937FF" w:rsidRPr="00A3695F" w:rsidRDefault="003937FF" w:rsidP="00637297">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Rozporządzenie (UE) 2022/1032 z</w:t>
      </w:r>
      <w:r>
        <w:rPr>
          <w:rFonts w:ascii="Times New Roman" w:hAnsi="Times New Roman"/>
          <w:lang w:val="pl-PL"/>
        </w:rPr>
        <w:t> </w:t>
      </w:r>
      <w:r w:rsidRPr="00A3695F">
        <w:rPr>
          <w:rFonts w:ascii="Times New Roman" w:hAnsi="Times New Roman"/>
          <w:lang w:val="pl-PL"/>
        </w:rPr>
        <w:t>dnia 29 czerwca 20</w:t>
      </w:r>
      <w:r w:rsidRPr="003937FF">
        <w:rPr>
          <w:rFonts w:ascii="Times New Roman" w:hAnsi="Times New Roman"/>
          <w:lang w:val="pl-PL"/>
        </w:rPr>
        <w:t>22 r.</w:t>
      </w:r>
      <w:r w:rsidRPr="00A3695F">
        <w:rPr>
          <w:rFonts w:ascii="Times New Roman" w:hAnsi="Times New Roman"/>
          <w:lang w:val="pl-PL"/>
        </w:rPr>
        <w:t xml:space="preserve"> w</w:t>
      </w:r>
      <w:r>
        <w:rPr>
          <w:rFonts w:ascii="Times New Roman" w:hAnsi="Times New Roman"/>
          <w:lang w:val="pl-PL"/>
        </w:rPr>
        <w:t> </w:t>
      </w:r>
      <w:r w:rsidRPr="00A3695F">
        <w:rPr>
          <w:rFonts w:ascii="Times New Roman" w:hAnsi="Times New Roman"/>
          <w:lang w:val="pl-PL"/>
        </w:rPr>
        <w:t xml:space="preserve">sprawie zmiany rozporządzeń (UE) 2017/1938 i (WE) </w:t>
      </w:r>
      <w:r w:rsidRPr="003937FF">
        <w:rPr>
          <w:rFonts w:ascii="Times New Roman" w:hAnsi="Times New Roman"/>
          <w:lang w:val="pl-PL"/>
        </w:rPr>
        <w:t>nr 7</w:t>
      </w:r>
      <w:r w:rsidRPr="00A3695F">
        <w:rPr>
          <w:rFonts w:ascii="Times New Roman" w:hAnsi="Times New Roman"/>
          <w:lang w:val="pl-PL"/>
        </w:rPr>
        <w:t>15/2009 w</w:t>
      </w:r>
      <w:r>
        <w:rPr>
          <w:rFonts w:ascii="Times New Roman" w:hAnsi="Times New Roman"/>
          <w:lang w:val="pl-PL"/>
        </w:rPr>
        <w:t> </w:t>
      </w:r>
      <w:r w:rsidRPr="00A3695F">
        <w:rPr>
          <w:rFonts w:ascii="Times New Roman" w:hAnsi="Times New Roman"/>
          <w:lang w:val="pl-PL"/>
        </w:rPr>
        <w:t>odniesieniu do magazynowania gazu.</w:t>
      </w:r>
    </w:p>
  </w:footnote>
  <w:footnote w:id="94">
    <w:p w14:paraId="53D13529" w14:textId="0AD3BB1B"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Rozporządzenie (UE) 2022/1369 z</w:t>
      </w:r>
      <w:r>
        <w:rPr>
          <w:rFonts w:ascii="Times New Roman" w:hAnsi="Times New Roman"/>
          <w:lang w:val="pl-PL"/>
        </w:rPr>
        <w:t> </w:t>
      </w:r>
      <w:r w:rsidRPr="00A3695F">
        <w:rPr>
          <w:rFonts w:ascii="Times New Roman" w:hAnsi="Times New Roman"/>
          <w:lang w:val="pl-PL"/>
        </w:rPr>
        <w:t>dnia 5 sierpnia 20</w:t>
      </w:r>
      <w:r w:rsidRPr="003937FF">
        <w:rPr>
          <w:rFonts w:ascii="Times New Roman" w:hAnsi="Times New Roman"/>
          <w:lang w:val="pl-PL"/>
        </w:rPr>
        <w:t>22 r.</w:t>
      </w:r>
      <w:r w:rsidRPr="00A3695F">
        <w:rPr>
          <w:rFonts w:ascii="Times New Roman" w:hAnsi="Times New Roman"/>
          <w:lang w:val="pl-PL"/>
        </w:rPr>
        <w:t xml:space="preserve"> w</w:t>
      </w:r>
      <w:r>
        <w:rPr>
          <w:rFonts w:ascii="Times New Roman" w:hAnsi="Times New Roman"/>
          <w:lang w:val="pl-PL"/>
        </w:rPr>
        <w:t> </w:t>
      </w:r>
      <w:r w:rsidRPr="00A3695F">
        <w:rPr>
          <w:rFonts w:ascii="Times New Roman" w:hAnsi="Times New Roman"/>
          <w:lang w:val="pl-PL"/>
        </w:rPr>
        <w:t xml:space="preserve">sprawie skoordynowanych środków zmniejszających zapotrzebowanie na gaz (na podstawie </w:t>
      </w:r>
      <w:r w:rsidRPr="003937FF">
        <w:rPr>
          <w:rFonts w:ascii="Times New Roman" w:hAnsi="Times New Roman"/>
          <w:lang w:val="pl-PL"/>
        </w:rPr>
        <w:t>art. 1</w:t>
      </w:r>
      <w:r w:rsidRPr="00A3695F">
        <w:rPr>
          <w:rFonts w:ascii="Times New Roman" w:hAnsi="Times New Roman"/>
          <w:lang w:val="pl-PL"/>
        </w:rPr>
        <w:t>22 Traktatu o</w:t>
      </w:r>
      <w:r>
        <w:rPr>
          <w:rFonts w:ascii="Times New Roman" w:hAnsi="Times New Roman"/>
          <w:lang w:val="pl-PL"/>
        </w:rPr>
        <w:t> </w:t>
      </w:r>
      <w:r w:rsidRPr="00A3695F">
        <w:rPr>
          <w:rFonts w:ascii="Times New Roman" w:hAnsi="Times New Roman"/>
          <w:lang w:val="pl-PL"/>
        </w:rPr>
        <w:t>funkcjonowaniu Unii Europejskiej).</w:t>
      </w:r>
    </w:p>
  </w:footnote>
  <w:footnote w:id="95">
    <w:p w14:paraId="1BF15205" w14:textId="09942F7B"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Style w:val="FootnoteReference"/>
          <w:rFonts w:ascii="Times New Roman" w:hAnsi="Times New Roman"/>
          <w:vertAlign w:val="baseline"/>
          <w:lang w:val="pl-PL"/>
        </w:rPr>
        <w:t>Wniosek dotyczący rozporządzenia w</w:t>
      </w:r>
      <w:r>
        <w:rPr>
          <w:rStyle w:val="FootnoteReference"/>
          <w:rFonts w:ascii="Times New Roman" w:hAnsi="Times New Roman"/>
          <w:vertAlign w:val="baseline"/>
          <w:lang w:val="pl-PL"/>
        </w:rPr>
        <w:t> </w:t>
      </w:r>
      <w:r w:rsidRPr="00A3695F">
        <w:rPr>
          <w:rStyle w:val="FootnoteReference"/>
          <w:rFonts w:ascii="Times New Roman" w:hAnsi="Times New Roman"/>
          <w:vertAlign w:val="baseline"/>
          <w:lang w:val="pl-PL"/>
        </w:rPr>
        <w:t>sprawie interwencji w</w:t>
      </w:r>
      <w:r>
        <w:rPr>
          <w:rStyle w:val="FootnoteReference"/>
          <w:rFonts w:ascii="Times New Roman" w:hAnsi="Times New Roman"/>
          <w:vertAlign w:val="baseline"/>
          <w:lang w:val="pl-PL"/>
        </w:rPr>
        <w:t> </w:t>
      </w:r>
      <w:r w:rsidRPr="00A3695F">
        <w:rPr>
          <w:rStyle w:val="FootnoteReference"/>
          <w:rFonts w:ascii="Times New Roman" w:hAnsi="Times New Roman"/>
          <w:vertAlign w:val="baseline"/>
          <w:lang w:val="pl-PL"/>
        </w:rPr>
        <w:t>sytuacji nadzwyczajnej w</w:t>
      </w:r>
      <w:r>
        <w:rPr>
          <w:rStyle w:val="FootnoteReference"/>
          <w:rFonts w:ascii="Times New Roman" w:hAnsi="Times New Roman"/>
          <w:vertAlign w:val="baseline"/>
          <w:lang w:val="pl-PL"/>
        </w:rPr>
        <w:t> </w:t>
      </w:r>
      <w:r w:rsidRPr="00A3695F">
        <w:rPr>
          <w:rStyle w:val="FootnoteReference"/>
          <w:rFonts w:ascii="Times New Roman" w:hAnsi="Times New Roman"/>
          <w:vertAlign w:val="baseline"/>
          <w:lang w:val="pl-PL"/>
        </w:rPr>
        <w:t>celu rozwiązania problemu wysokich cen energii</w:t>
      </w:r>
      <w:r w:rsidRPr="00A3695F">
        <w:rPr>
          <w:rFonts w:ascii="Times New Roman" w:hAnsi="Times New Roman"/>
          <w:lang w:val="pl-PL"/>
        </w:rPr>
        <w:t>,</w:t>
      </w:r>
      <w:r w:rsidRPr="00A3695F">
        <w:rPr>
          <w:rStyle w:val="FootnoteReference"/>
          <w:rFonts w:ascii="Times New Roman" w:hAnsi="Times New Roman"/>
          <w:vertAlign w:val="baseline"/>
          <w:lang w:val="pl-PL"/>
        </w:rPr>
        <w:t xml:space="preserve"> COM(2022) 473 final.</w:t>
      </w:r>
    </w:p>
  </w:footnote>
  <w:footnote w:id="96">
    <w:p w14:paraId="13E4416B" w14:textId="77777777"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Komunikat Komisji „Plan awaryjny dla transportu”, COM(2022) 211 final.</w:t>
      </w:r>
    </w:p>
  </w:footnote>
  <w:footnote w:id="97">
    <w:p w14:paraId="36AE50CE" w14:textId="53E8659C" w:rsidR="003937FF" w:rsidRPr="00A3695F" w:rsidRDefault="003937FF" w:rsidP="000524DA">
      <w:pPr>
        <w:pStyle w:val="FootnoteText"/>
        <w:ind w:left="284" w:hanging="284"/>
        <w:jc w:val="both"/>
        <w:rPr>
          <w:rStyle w:val="FootnoteReference"/>
          <w:rFonts w:ascii="Times New Roman" w:hAnsi="Times New Roman" w:cs="Times New Roman"/>
          <w:vertAlign w:val="baseline"/>
          <w:lang w:val="pl-PL"/>
        </w:rPr>
      </w:pPr>
      <w:r w:rsidRPr="00A3695F">
        <w:rPr>
          <w:rStyle w:val="FootnoteReference"/>
          <w:rFonts w:ascii="Times New Roman" w:hAnsi="Times New Roman" w:cs="Times New Roman"/>
          <w:lang w:val="pl-PL"/>
        </w:rPr>
        <w:footnoteRef/>
      </w:r>
      <w:r w:rsidRPr="00A3695F">
        <w:rPr>
          <w:rStyle w:val="FootnoteReference"/>
          <w:rFonts w:ascii="Times New Roman" w:hAnsi="Times New Roman"/>
          <w:lang w:val="pl-PL"/>
        </w:rPr>
        <w:t xml:space="preserve"> </w:t>
      </w:r>
      <w:r w:rsidRPr="00A3695F">
        <w:rPr>
          <w:lang w:val="pl-PL"/>
        </w:rPr>
        <w:tab/>
      </w:r>
      <w:r w:rsidRPr="00A3695F">
        <w:rPr>
          <w:rStyle w:val="FootnoteReference"/>
          <w:rFonts w:ascii="Times New Roman" w:hAnsi="Times New Roman"/>
          <w:vertAlign w:val="baseline"/>
          <w:lang w:val="pl-PL"/>
        </w:rPr>
        <w:t>Wniosek dotyczący rozporządzenia zmieniającego rozporządzenie (UE) 2016/399 w</w:t>
      </w:r>
      <w:r>
        <w:rPr>
          <w:rStyle w:val="FootnoteReference"/>
          <w:rFonts w:ascii="Times New Roman" w:hAnsi="Times New Roman"/>
          <w:vertAlign w:val="baseline"/>
          <w:lang w:val="pl-PL"/>
        </w:rPr>
        <w:t> </w:t>
      </w:r>
      <w:r w:rsidRPr="00A3695F">
        <w:rPr>
          <w:rStyle w:val="FootnoteReference"/>
          <w:rFonts w:ascii="Times New Roman" w:hAnsi="Times New Roman"/>
          <w:vertAlign w:val="baseline"/>
          <w:lang w:val="pl-PL"/>
        </w:rPr>
        <w:t xml:space="preserve">sprawie unijnego kodeksu zasad regulujących przepływ osób przez granice, COM(2021) 891 final. </w:t>
      </w:r>
    </w:p>
  </w:footnote>
  <w:footnote w:id="98">
    <w:p w14:paraId="585ECBBF" w14:textId="6F48C8A6" w:rsidR="003937FF" w:rsidRPr="00A3695F" w:rsidRDefault="003937FF" w:rsidP="000C0B29">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Wniosek dotyczący rozporządzenia ustanawiającego instrument nadzwyczajny jednolitego rynku i</w:t>
      </w:r>
      <w:r>
        <w:rPr>
          <w:rFonts w:ascii="Times New Roman" w:hAnsi="Times New Roman"/>
          <w:lang w:val="pl-PL"/>
        </w:rPr>
        <w:t> </w:t>
      </w:r>
      <w:r w:rsidRPr="00A3695F">
        <w:rPr>
          <w:rFonts w:ascii="Times New Roman" w:hAnsi="Times New Roman"/>
          <w:lang w:val="pl-PL"/>
        </w:rPr>
        <w:t>uchylającego rozporządzenie Rady (WE) 2679/98, COM(2022) 459 final.</w:t>
      </w:r>
    </w:p>
  </w:footnote>
  <w:footnote w:id="99">
    <w:p w14:paraId="47BB4138" w14:textId="67ECA590" w:rsidR="003937FF" w:rsidRPr="00A3695F" w:rsidRDefault="003937FF" w:rsidP="005C6927">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Wytyczne interpretacyjne dotyczące przepisów UE w</w:t>
      </w:r>
      <w:r>
        <w:rPr>
          <w:rFonts w:ascii="Times New Roman" w:hAnsi="Times New Roman"/>
          <w:lang w:val="pl-PL"/>
        </w:rPr>
        <w:t> </w:t>
      </w:r>
      <w:r w:rsidRPr="00A3695F">
        <w:rPr>
          <w:rFonts w:ascii="Times New Roman" w:hAnsi="Times New Roman"/>
          <w:lang w:val="pl-PL"/>
        </w:rPr>
        <w:t>zakresie praw pasażerów w</w:t>
      </w:r>
      <w:r>
        <w:rPr>
          <w:rFonts w:ascii="Times New Roman" w:hAnsi="Times New Roman"/>
          <w:lang w:val="pl-PL"/>
        </w:rPr>
        <w:t> </w:t>
      </w:r>
      <w:r w:rsidRPr="00A3695F">
        <w:rPr>
          <w:rFonts w:ascii="Times New Roman" w:hAnsi="Times New Roman"/>
          <w:lang w:val="pl-PL"/>
        </w:rPr>
        <w:t>kontekście rozwoju sytuacji w</w:t>
      </w:r>
      <w:r>
        <w:rPr>
          <w:rFonts w:ascii="Times New Roman" w:hAnsi="Times New Roman"/>
          <w:lang w:val="pl-PL"/>
        </w:rPr>
        <w:t> </w:t>
      </w:r>
      <w:r w:rsidRPr="00A3695F">
        <w:rPr>
          <w:rFonts w:ascii="Times New Roman" w:hAnsi="Times New Roman"/>
          <w:lang w:val="pl-PL"/>
        </w:rPr>
        <w:t>związku z</w:t>
      </w:r>
      <w:r>
        <w:rPr>
          <w:rFonts w:ascii="Times New Roman" w:hAnsi="Times New Roman"/>
          <w:lang w:val="pl-PL"/>
        </w:rPr>
        <w:t> </w:t>
      </w:r>
      <w:r w:rsidRPr="00A3695F">
        <w:rPr>
          <w:rFonts w:ascii="Times New Roman" w:hAnsi="Times New Roman"/>
          <w:lang w:val="pl-PL"/>
        </w:rPr>
        <w:t>Covid-19, 2020/C 89 I/01</w:t>
      </w:r>
      <w:r w:rsidRPr="00A3695F">
        <w:rPr>
          <w:rStyle w:val="Hyperlink"/>
          <w:rFonts w:ascii="Times New Roman" w:hAnsi="Times New Roman"/>
          <w:u w:val="none"/>
          <w:lang w:val="pl-PL"/>
        </w:rPr>
        <w:t>.</w:t>
      </w:r>
    </w:p>
  </w:footnote>
  <w:footnote w:id="100">
    <w:p w14:paraId="75C1CB38" w14:textId="1E17A574" w:rsidR="003937FF" w:rsidRPr="00A3695F" w:rsidRDefault="003937FF" w:rsidP="005C6927">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Zalecenie Komisji (UE) 2020/648 z</w:t>
      </w:r>
      <w:r>
        <w:rPr>
          <w:rFonts w:ascii="Times New Roman" w:hAnsi="Times New Roman"/>
          <w:lang w:val="pl-PL"/>
        </w:rPr>
        <w:t> </w:t>
      </w:r>
      <w:r w:rsidRPr="00A3695F">
        <w:rPr>
          <w:rFonts w:ascii="Times New Roman" w:hAnsi="Times New Roman"/>
          <w:lang w:val="pl-PL"/>
        </w:rPr>
        <w:t>dnia 13 maja 20</w:t>
      </w:r>
      <w:r w:rsidRPr="003937FF">
        <w:rPr>
          <w:rFonts w:ascii="Times New Roman" w:hAnsi="Times New Roman"/>
          <w:lang w:val="pl-PL"/>
        </w:rPr>
        <w:t>20 r.</w:t>
      </w:r>
      <w:r w:rsidRPr="00A3695F">
        <w:rPr>
          <w:rFonts w:ascii="Times New Roman" w:hAnsi="Times New Roman"/>
          <w:lang w:val="pl-PL"/>
        </w:rPr>
        <w:t xml:space="preserve"> w</w:t>
      </w:r>
      <w:r>
        <w:rPr>
          <w:rFonts w:ascii="Times New Roman" w:hAnsi="Times New Roman"/>
          <w:lang w:val="pl-PL"/>
        </w:rPr>
        <w:t> </w:t>
      </w:r>
      <w:r w:rsidRPr="00A3695F">
        <w:rPr>
          <w:rFonts w:ascii="Times New Roman" w:hAnsi="Times New Roman"/>
          <w:lang w:val="pl-PL"/>
        </w:rPr>
        <w:t>sprawie bonów oferowanych pasażerom i</w:t>
      </w:r>
      <w:r>
        <w:rPr>
          <w:rFonts w:ascii="Times New Roman" w:hAnsi="Times New Roman"/>
          <w:lang w:val="pl-PL"/>
        </w:rPr>
        <w:t> </w:t>
      </w:r>
      <w:r w:rsidRPr="00A3695F">
        <w:rPr>
          <w:rFonts w:ascii="Times New Roman" w:hAnsi="Times New Roman"/>
          <w:lang w:val="pl-PL"/>
        </w:rPr>
        <w:t>podróżnym jako alternatywa dla zwrotu pieniędzy za odwołane imprezy turystyczne i</w:t>
      </w:r>
      <w:r>
        <w:rPr>
          <w:rFonts w:ascii="Times New Roman" w:hAnsi="Times New Roman"/>
          <w:lang w:val="pl-PL"/>
        </w:rPr>
        <w:t> </w:t>
      </w:r>
      <w:r w:rsidRPr="00A3695F">
        <w:rPr>
          <w:rFonts w:ascii="Times New Roman" w:hAnsi="Times New Roman"/>
          <w:lang w:val="pl-PL"/>
        </w:rPr>
        <w:t>usługi transportowe w</w:t>
      </w:r>
      <w:r>
        <w:rPr>
          <w:rFonts w:ascii="Times New Roman" w:hAnsi="Times New Roman"/>
          <w:lang w:val="pl-PL"/>
        </w:rPr>
        <w:t> </w:t>
      </w:r>
      <w:r w:rsidRPr="00A3695F">
        <w:rPr>
          <w:rFonts w:ascii="Times New Roman" w:hAnsi="Times New Roman"/>
          <w:lang w:val="pl-PL"/>
        </w:rPr>
        <w:t>kontekście pandemii COVID-19</w:t>
      </w:r>
      <w:r w:rsidRPr="00A3695F">
        <w:rPr>
          <w:rStyle w:val="Hyperlink"/>
          <w:rFonts w:ascii="Times New Roman" w:hAnsi="Times New Roman"/>
          <w:u w:val="none"/>
          <w:lang w:val="pl-PL"/>
        </w:rPr>
        <w:t>.</w:t>
      </w:r>
    </w:p>
  </w:footnote>
  <w:footnote w:id="101">
    <w:p w14:paraId="269E274B" w14:textId="77777777" w:rsidR="003937FF" w:rsidRPr="00A3695F" w:rsidRDefault="003937FF" w:rsidP="005C6927">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r w:rsidRPr="00A3695F">
        <w:rPr>
          <w:rFonts w:ascii="Times New Roman" w:hAnsi="Times New Roman"/>
          <w:lang w:val="pl-PL"/>
        </w:rPr>
        <w:t xml:space="preserve"> </w:t>
      </w:r>
      <w:hyperlink r:id="rId32" w:history="1">
        <w:r w:rsidRPr="00A3695F">
          <w:rPr>
            <w:rStyle w:val="Hyperlink"/>
            <w:rFonts w:ascii="Times New Roman" w:hAnsi="Times New Roman"/>
            <w:lang w:val="pl-PL"/>
          </w:rPr>
          <w:t>https://ec.europa.eu/info/live-work-travel-eu/consumer-rights-and-complaints/enforcement-consumer-protection/consumer-protection-cooperation-network_en</w:t>
        </w:r>
      </w:hyperlink>
    </w:p>
  </w:footnote>
  <w:footnote w:id="102">
    <w:p w14:paraId="1C563D24" w14:textId="2B81C759" w:rsidR="003937FF" w:rsidRPr="00A3695F" w:rsidRDefault="003937FF" w:rsidP="005C6927">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 xml:space="preserve">Rozporządzenie (WE) </w:t>
      </w:r>
      <w:r w:rsidRPr="003937FF">
        <w:rPr>
          <w:rFonts w:ascii="Times New Roman" w:hAnsi="Times New Roman"/>
          <w:lang w:val="pl-PL"/>
        </w:rPr>
        <w:t>nr 2</w:t>
      </w:r>
      <w:r w:rsidRPr="00A3695F">
        <w:rPr>
          <w:rFonts w:ascii="Times New Roman" w:hAnsi="Times New Roman"/>
          <w:lang w:val="pl-PL"/>
        </w:rPr>
        <w:t>61/2004 z</w:t>
      </w:r>
      <w:r>
        <w:rPr>
          <w:rFonts w:ascii="Times New Roman" w:hAnsi="Times New Roman"/>
          <w:lang w:val="pl-PL"/>
        </w:rPr>
        <w:t> </w:t>
      </w:r>
      <w:r w:rsidRPr="00A3695F">
        <w:rPr>
          <w:rFonts w:ascii="Times New Roman" w:hAnsi="Times New Roman"/>
          <w:lang w:val="pl-PL"/>
        </w:rPr>
        <w:t>dnia 11 lutego 20</w:t>
      </w:r>
      <w:r w:rsidRPr="003937FF">
        <w:rPr>
          <w:rFonts w:ascii="Times New Roman" w:hAnsi="Times New Roman"/>
          <w:lang w:val="pl-PL"/>
        </w:rPr>
        <w:t>04 r.</w:t>
      </w:r>
      <w:r w:rsidRPr="00A3695F">
        <w:rPr>
          <w:rFonts w:ascii="Times New Roman" w:hAnsi="Times New Roman"/>
          <w:lang w:val="pl-PL"/>
        </w:rPr>
        <w:t xml:space="preserve"> ustanawiające wspólne zasady odszkodowania i</w:t>
      </w:r>
      <w:r>
        <w:rPr>
          <w:rFonts w:ascii="Times New Roman" w:hAnsi="Times New Roman"/>
          <w:lang w:val="pl-PL"/>
        </w:rPr>
        <w:t> </w:t>
      </w:r>
      <w:r w:rsidRPr="00A3695F">
        <w:rPr>
          <w:rFonts w:ascii="Times New Roman" w:hAnsi="Times New Roman"/>
          <w:lang w:val="pl-PL"/>
        </w:rPr>
        <w:t>pomocy dla pasażerów w</w:t>
      </w:r>
      <w:r>
        <w:rPr>
          <w:rFonts w:ascii="Times New Roman" w:hAnsi="Times New Roman"/>
          <w:lang w:val="pl-PL"/>
        </w:rPr>
        <w:t> </w:t>
      </w:r>
      <w:r w:rsidRPr="00A3695F">
        <w:rPr>
          <w:rFonts w:ascii="Times New Roman" w:hAnsi="Times New Roman"/>
          <w:lang w:val="pl-PL"/>
        </w:rPr>
        <w:t>przypadku odmowy przyjęcia na pokład albo odwołania lub dużego opóźnienia lotów.</w:t>
      </w:r>
    </w:p>
  </w:footnote>
  <w:footnote w:id="103">
    <w:p w14:paraId="33746033" w14:textId="6BB1449C" w:rsidR="003937FF" w:rsidRPr="00A3695F" w:rsidRDefault="003937FF" w:rsidP="005C6927">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Fonts w:ascii="Times New Roman" w:hAnsi="Times New Roman"/>
          <w:lang w:val="pl-PL"/>
        </w:rPr>
        <w:t xml:space="preserve"> </w:t>
      </w:r>
      <w:r w:rsidRPr="00A3695F">
        <w:rPr>
          <w:lang w:val="pl-PL"/>
        </w:rPr>
        <w:tab/>
      </w:r>
      <w:r w:rsidRPr="00A3695F">
        <w:rPr>
          <w:rFonts w:ascii="Times New Roman" w:hAnsi="Times New Roman"/>
          <w:lang w:val="pl-PL"/>
        </w:rPr>
        <w:t>Dyrektywa (UE) 2015/2302 z</w:t>
      </w:r>
      <w:r>
        <w:rPr>
          <w:rFonts w:ascii="Times New Roman" w:hAnsi="Times New Roman"/>
          <w:lang w:val="pl-PL"/>
        </w:rPr>
        <w:t> </w:t>
      </w:r>
      <w:r w:rsidRPr="00A3695F">
        <w:rPr>
          <w:rFonts w:ascii="Times New Roman" w:hAnsi="Times New Roman"/>
          <w:lang w:val="pl-PL"/>
        </w:rPr>
        <w:t>dnia 25 listopada 20</w:t>
      </w:r>
      <w:r w:rsidRPr="003937FF">
        <w:rPr>
          <w:rFonts w:ascii="Times New Roman" w:hAnsi="Times New Roman"/>
          <w:lang w:val="pl-PL"/>
        </w:rPr>
        <w:t>15 r.</w:t>
      </w:r>
      <w:r w:rsidRPr="00A3695F">
        <w:rPr>
          <w:rFonts w:ascii="Times New Roman" w:hAnsi="Times New Roman"/>
          <w:lang w:val="pl-PL"/>
        </w:rPr>
        <w:t xml:space="preserve"> w</w:t>
      </w:r>
      <w:r>
        <w:rPr>
          <w:rFonts w:ascii="Times New Roman" w:hAnsi="Times New Roman"/>
          <w:lang w:val="pl-PL"/>
        </w:rPr>
        <w:t> </w:t>
      </w:r>
      <w:r w:rsidRPr="00A3695F">
        <w:rPr>
          <w:rFonts w:ascii="Times New Roman" w:hAnsi="Times New Roman"/>
          <w:lang w:val="pl-PL"/>
        </w:rPr>
        <w:t>sprawie imprez turystycznych i</w:t>
      </w:r>
      <w:r>
        <w:rPr>
          <w:rFonts w:ascii="Times New Roman" w:hAnsi="Times New Roman"/>
          <w:lang w:val="pl-PL"/>
        </w:rPr>
        <w:t> </w:t>
      </w:r>
      <w:r w:rsidRPr="00A3695F">
        <w:rPr>
          <w:rFonts w:ascii="Times New Roman" w:hAnsi="Times New Roman"/>
          <w:lang w:val="pl-PL"/>
        </w:rPr>
        <w:t>powiązanych usług turystycznych.</w:t>
      </w:r>
    </w:p>
  </w:footnote>
  <w:footnote w:id="104">
    <w:p w14:paraId="129B615E" w14:textId="77777777" w:rsidR="003937FF" w:rsidRPr="00A3695F" w:rsidRDefault="003937FF" w:rsidP="008F3924">
      <w:pPr>
        <w:pStyle w:val="FootnoteText"/>
        <w:ind w:left="284" w:hanging="284"/>
        <w:jc w:val="both"/>
        <w:rPr>
          <w:rStyle w:val="FootnoteReference"/>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rStyle w:val="FootnoteReference"/>
          <w:rFonts w:ascii="Times New Roman" w:hAnsi="Times New Roman"/>
          <w:lang w:val="pl-PL"/>
        </w:rPr>
        <w:t xml:space="preserve"> </w:t>
      </w:r>
      <w:r w:rsidRPr="00A3695F">
        <w:rPr>
          <w:lang w:val="pl-PL"/>
        </w:rPr>
        <w:tab/>
      </w:r>
      <w:r w:rsidRPr="00A3695F">
        <w:rPr>
          <w:rFonts w:ascii="Times New Roman" w:hAnsi="Times New Roman"/>
          <w:lang w:val="pl-PL"/>
        </w:rPr>
        <w:t>Komunikat Komisji „</w:t>
      </w:r>
      <w:hyperlink r:id="rId33" w:history="1">
        <w:r w:rsidRPr="00A3695F">
          <w:rPr>
            <w:rFonts w:ascii="Times New Roman" w:hAnsi="Times New Roman"/>
            <w:lang w:val="pl-PL"/>
          </w:rPr>
          <w:t>Lepsze stanowienie prawa:</w:t>
        </w:r>
      </w:hyperlink>
      <w:hyperlink r:id="rId34" w:history="1">
        <w:r w:rsidRPr="00A3695F">
          <w:rPr>
            <w:rFonts w:ascii="Times New Roman" w:hAnsi="Times New Roman"/>
            <w:lang w:val="pl-PL"/>
          </w:rPr>
          <w:t xml:space="preserve"> połączenie sił na rzecz stanowienia lepszego prawa”</w:t>
        </w:r>
      </w:hyperlink>
      <w:r w:rsidRPr="00A3695F">
        <w:rPr>
          <w:rFonts w:ascii="Times New Roman" w:hAnsi="Times New Roman"/>
          <w:lang w:val="pl-PL"/>
        </w:rPr>
        <w:t>, COM(2021) 219.</w:t>
      </w:r>
    </w:p>
  </w:footnote>
  <w:footnote w:id="105">
    <w:p w14:paraId="6DF308A5" w14:textId="77777777" w:rsidR="003937FF" w:rsidRPr="00A3695F" w:rsidRDefault="003937FF" w:rsidP="008F3924">
      <w:pPr>
        <w:pStyle w:val="FootnoteText"/>
        <w:ind w:left="284" w:hanging="284"/>
        <w:jc w:val="both"/>
        <w:rPr>
          <w:rStyle w:val="FootnoteReference"/>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hyperlink r:id="rId35" w:history="1">
        <w:r w:rsidRPr="00A3695F">
          <w:rPr>
            <w:rStyle w:val="Hyperlink"/>
            <w:rFonts w:ascii="Times New Roman" w:hAnsi="Times New Roman"/>
            <w:lang w:val="pl-PL"/>
          </w:rPr>
          <w:t>https://ec.europa.eu/info/publications/annual-reports-monitoring-application-eu-law_en</w:t>
        </w:r>
      </w:hyperlink>
      <w:r w:rsidRPr="00A3695F">
        <w:rPr>
          <w:rFonts w:ascii="Times New Roman" w:hAnsi="Times New Roman"/>
          <w:lang w:val="pl-PL"/>
        </w:rPr>
        <w:t xml:space="preserve"> </w:t>
      </w:r>
    </w:p>
  </w:footnote>
  <w:footnote w:id="106">
    <w:p w14:paraId="1F9F964F" w14:textId="77777777" w:rsidR="003937FF" w:rsidRPr="00A3695F" w:rsidRDefault="003937FF" w:rsidP="008F3924">
      <w:pPr>
        <w:pStyle w:val="FootnoteText"/>
        <w:ind w:left="284" w:hanging="284"/>
        <w:jc w:val="both"/>
        <w:rPr>
          <w:rFonts w:ascii="Times New Roman" w:hAnsi="Times New Roman" w:cs="Times New Roman"/>
          <w:lang w:val="pl-PL"/>
        </w:rPr>
      </w:pPr>
      <w:r w:rsidRPr="00A3695F">
        <w:rPr>
          <w:rStyle w:val="FootnoteReference"/>
          <w:rFonts w:ascii="Times New Roman" w:hAnsi="Times New Roman" w:cs="Times New Roman"/>
          <w:lang w:val="pl-PL"/>
        </w:rPr>
        <w:footnoteRef/>
      </w:r>
      <w:r w:rsidRPr="00A3695F">
        <w:rPr>
          <w:lang w:val="pl-PL"/>
        </w:rPr>
        <w:tab/>
      </w:r>
      <w:hyperlink r:id="rId36" w:history="1">
        <w:r w:rsidRPr="00A3695F">
          <w:rPr>
            <w:rStyle w:val="Hyperlink"/>
            <w:rFonts w:ascii="Times New Roman" w:hAnsi="Times New Roman"/>
            <w:lang w:val="pl-PL"/>
          </w:rPr>
          <w:t>https://ec.europa.eu/atwork/applying-eu-law/infringements-proceedings/infringement_decisions/?lang_%20code=en&amp;lang_code=pl</w:t>
        </w:r>
      </w:hyperlink>
      <w:r w:rsidRPr="00A3695F">
        <w:rPr>
          <w:rFonts w:ascii="Times New Roman" w:hAnsi="Times New Roman"/>
          <w:lang w:val="pl-P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C7E31" w14:textId="77777777" w:rsidR="00360ECE" w:rsidRPr="00360ECE" w:rsidRDefault="00360ECE" w:rsidP="00360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D182" w14:textId="77777777" w:rsidR="00360ECE" w:rsidRPr="00360ECE" w:rsidRDefault="00360ECE" w:rsidP="00360EC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C733F" w14:textId="77777777" w:rsidR="00360ECE" w:rsidRPr="00360ECE" w:rsidRDefault="00360ECE" w:rsidP="00360EC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00FC" w14:textId="77777777" w:rsidR="003937FF" w:rsidRDefault="003937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57DE2" w14:textId="77777777" w:rsidR="003937FF" w:rsidRDefault="003937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2301D" w14:textId="77777777" w:rsidR="003937FF" w:rsidRDefault="00393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7023"/>
    <w:multiLevelType w:val="hybridMultilevel"/>
    <w:tmpl w:val="D8EEB940"/>
    <w:lvl w:ilvl="0" w:tplc="735C1708">
      <w:start w:val="1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C87DB3"/>
    <w:multiLevelType w:val="hybridMultilevel"/>
    <w:tmpl w:val="80F6BF4A"/>
    <w:lvl w:ilvl="0" w:tplc="356820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9160D"/>
    <w:multiLevelType w:val="hybridMultilevel"/>
    <w:tmpl w:val="55982572"/>
    <w:lvl w:ilvl="0" w:tplc="FC2CE5D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015241"/>
    <w:multiLevelType w:val="hybridMultilevel"/>
    <w:tmpl w:val="86A854D2"/>
    <w:lvl w:ilvl="0" w:tplc="CE90F0C0">
      <w:start w:val="7"/>
      <w:numFmt w:val="bullet"/>
      <w:lvlText w:val=""/>
      <w:lvlJc w:val="left"/>
      <w:pPr>
        <w:ind w:left="720" w:hanging="360"/>
      </w:pPr>
      <w:rPr>
        <w:rFonts w:ascii="Symbol" w:eastAsia="Cambr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550423"/>
    <w:multiLevelType w:val="hybridMultilevel"/>
    <w:tmpl w:val="E8F0C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3420B6"/>
    <w:multiLevelType w:val="hybridMultilevel"/>
    <w:tmpl w:val="9E303E42"/>
    <w:lvl w:ilvl="0" w:tplc="CE90F0C0">
      <w:start w:val="7"/>
      <w:numFmt w:val="bullet"/>
      <w:lvlText w:val=""/>
      <w:lvlJc w:val="left"/>
      <w:pPr>
        <w:ind w:left="720" w:hanging="360"/>
      </w:pPr>
      <w:rPr>
        <w:rFonts w:ascii="Symbol" w:eastAsia="Cambr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A35229"/>
    <w:multiLevelType w:val="hybridMultilevel"/>
    <w:tmpl w:val="93F83054"/>
    <w:lvl w:ilvl="0" w:tplc="07C69B1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80B"/>
    <w:multiLevelType w:val="hybridMultilevel"/>
    <w:tmpl w:val="1FDA737C"/>
    <w:lvl w:ilvl="0" w:tplc="CE90F0C0">
      <w:start w:val="7"/>
      <w:numFmt w:val="bullet"/>
      <w:lvlText w:val=""/>
      <w:lvlJc w:val="left"/>
      <w:pPr>
        <w:ind w:left="720" w:hanging="360"/>
      </w:pPr>
      <w:rPr>
        <w:rFonts w:ascii="Symbol" w:eastAsia="Cambr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8E3EF5"/>
    <w:multiLevelType w:val="hybridMultilevel"/>
    <w:tmpl w:val="EFBCB67C"/>
    <w:lvl w:ilvl="0" w:tplc="CE90F0C0">
      <w:start w:val="7"/>
      <w:numFmt w:val="bullet"/>
      <w:lvlText w:val=""/>
      <w:lvlJc w:val="left"/>
      <w:pPr>
        <w:ind w:left="720" w:hanging="360"/>
      </w:pPr>
      <w:rPr>
        <w:rFonts w:ascii="Symbol" w:eastAsia="Cambr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71339C9"/>
    <w:multiLevelType w:val="hybridMultilevel"/>
    <w:tmpl w:val="117E7294"/>
    <w:lvl w:ilvl="0" w:tplc="CE90F0C0">
      <w:start w:val="7"/>
      <w:numFmt w:val="bullet"/>
      <w:lvlText w:val=""/>
      <w:lvlJc w:val="left"/>
      <w:pPr>
        <w:ind w:left="720" w:hanging="360"/>
      </w:pPr>
      <w:rPr>
        <w:rFonts w:ascii="Symbol" w:eastAsia="Cambria"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72D29F0"/>
    <w:multiLevelType w:val="hybridMultilevel"/>
    <w:tmpl w:val="420AF628"/>
    <w:lvl w:ilvl="0" w:tplc="9A820A30">
      <w:start w:val="1"/>
      <w:numFmt w:val="bullet"/>
      <w:lvlText w:val=""/>
      <w:lvlJc w:val="left"/>
      <w:pPr>
        <w:ind w:left="720" w:hanging="360"/>
      </w:pPr>
      <w:rPr>
        <w:rFonts w:ascii="Symbol" w:hAnsi="Symbol"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1" w15:restartNumberingAfterBreak="0">
    <w:nsid w:val="27DD74E2"/>
    <w:multiLevelType w:val="hybridMultilevel"/>
    <w:tmpl w:val="C0F04E90"/>
    <w:lvl w:ilvl="0" w:tplc="CE90F0C0">
      <w:start w:val="7"/>
      <w:numFmt w:val="bullet"/>
      <w:lvlText w:val=""/>
      <w:lvlJc w:val="left"/>
      <w:pPr>
        <w:ind w:left="720" w:hanging="360"/>
      </w:pPr>
      <w:rPr>
        <w:rFonts w:ascii="Symbol" w:eastAsia="Cambria"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F81DA3"/>
    <w:multiLevelType w:val="hybridMultilevel"/>
    <w:tmpl w:val="5A226664"/>
    <w:lvl w:ilvl="0" w:tplc="8CBCA15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BC045C"/>
    <w:multiLevelType w:val="hybridMultilevel"/>
    <w:tmpl w:val="D2AC95C2"/>
    <w:lvl w:ilvl="0" w:tplc="CE90F0C0">
      <w:start w:val="7"/>
      <w:numFmt w:val="bullet"/>
      <w:lvlText w:val=""/>
      <w:lvlJc w:val="left"/>
      <w:pPr>
        <w:ind w:left="720" w:hanging="360"/>
      </w:pPr>
      <w:rPr>
        <w:rFonts w:ascii="Symbol" w:eastAsia="Cambr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7E038C"/>
    <w:multiLevelType w:val="hybridMultilevel"/>
    <w:tmpl w:val="4A7CE886"/>
    <w:lvl w:ilvl="0" w:tplc="ED846C16">
      <w:start w:val="1"/>
      <w:numFmt w:val="bullet"/>
      <w:pStyle w:val="LTTbig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C04A3B"/>
    <w:multiLevelType w:val="hybridMultilevel"/>
    <w:tmpl w:val="218C7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B25E2"/>
    <w:multiLevelType w:val="hybridMultilevel"/>
    <w:tmpl w:val="1520C6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EDE57F6"/>
    <w:multiLevelType w:val="hybridMultilevel"/>
    <w:tmpl w:val="88E65EA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8" w15:restartNumberingAfterBreak="0">
    <w:nsid w:val="57117F9C"/>
    <w:multiLevelType w:val="hybridMultilevel"/>
    <w:tmpl w:val="C804C0D4"/>
    <w:lvl w:ilvl="0" w:tplc="CE90F0C0">
      <w:start w:val="7"/>
      <w:numFmt w:val="bullet"/>
      <w:lvlText w:val=""/>
      <w:lvlJc w:val="left"/>
      <w:pPr>
        <w:ind w:left="720" w:hanging="360"/>
      </w:pPr>
      <w:rPr>
        <w:rFonts w:ascii="Symbol" w:eastAsia="Cambr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7F401D"/>
    <w:multiLevelType w:val="hybridMultilevel"/>
    <w:tmpl w:val="4AA033E2"/>
    <w:lvl w:ilvl="0" w:tplc="7B501EA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CC7C11"/>
    <w:multiLevelType w:val="hybridMultilevel"/>
    <w:tmpl w:val="09846B7C"/>
    <w:lvl w:ilvl="0" w:tplc="9C12ECA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553711B"/>
    <w:multiLevelType w:val="hybridMultilevel"/>
    <w:tmpl w:val="DD580090"/>
    <w:lvl w:ilvl="0" w:tplc="9A820A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B6559"/>
    <w:multiLevelType w:val="hybridMultilevel"/>
    <w:tmpl w:val="9AF67130"/>
    <w:lvl w:ilvl="0" w:tplc="B9AEFC1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B71140"/>
    <w:multiLevelType w:val="multilevel"/>
    <w:tmpl w:val="D004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89611A"/>
    <w:multiLevelType w:val="hybridMultilevel"/>
    <w:tmpl w:val="86085D46"/>
    <w:lvl w:ilvl="0" w:tplc="A2AAE40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9F3CD2"/>
    <w:multiLevelType w:val="hybridMultilevel"/>
    <w:tmpl w:val="F0B8816C"/>
    <w:lvl w:ilvl="0" w:tplc="CE90F0C0">
      <w:start w:val="7"/>
      <w:numFmt w:val="bullet"/>
      <w:lvlText w:val=""/>
      <w:lvlJc w:val="left"/>
      <w:pPr>
        <w:ind w:left="720" w:hanging="360"/>
      </w:pPr>
      <w:rPr>
        <w:rFonts w:ascii="Symbol" w:eastAsia="Cambr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2"/>
  </w:num>
  <w:num w:numId="4">
    <w:abstractNumId w:val="2"/>
  </w:num>
  <w:num w:numId="5">
    <w:abstractNumId w:val="23"/>
  </w:num>
  <w:num w:numId="6">
    <w:abstractNumId w:val="8"/>
  </w:num>
  <w:num w:numId="7">
    <w:abstractNumId w:val="25"/>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1"/>
  </w:num>
  <w:num w:numId="12">
    <w:abstractNumId w:val="5"/>
  </w:num>
  <w:num w:numId="13">
    <w:abstractNumId w:val="18"/>
  </w:num>
  <w:num w:numId="14">
    <w:abstractNumId w:val="3"/>
  </w:num>
  <w:num w:numId="15">
    <w:abstractNumId w:val="9"/>
  </w:num>
  <w:num w:numId="16">
    <w:abstractNumId w:val="17"/>
  </w:num>
  <w:num w:numId="17">
    <w:abstractNumId w:val="10"/>
  </w:num>
  <w:num w:numId="18">
    <w:abstractNumId w:val="24"/>
  </w:num>
  <w:num w:numId="19">
    <w:abstractNumId w:val="14"/>
  </w:num>
  <w:num w:numId="20">
    <w:abstractNumId w:val="4"/>
  </w:num>
  <w:num w:numId="21">
    <w:abstractNumId w:val="6"/>
  </w:num>
  <w:num w:numId="22">
    <w:abstractNumId w:val="19"/>
  </w:num>
  <w:num w:numId="23">
    <w:abstractNumId w:val="12"/>
  </w:num>
  <w:num w:numId="24">
    <w:abstractNumId w:val="16"/>
  </w:num>
  <w:num w:numId="25">
    <w:abstractNumId w:val="1"/>
    <w:lvlOverride w:ilvl="0">
      <w:startOverride w:val="1"/>
    </w:lvlOverride>
  </w:num>
  <w:num w:numId="26">
    <w:abstractNumId w:val="1"/>
  </w:num>
  <w:num w:numId="27">
    <w:abstractNumId w:val="0"/>
  </w:num>
  <w:num w:numId="28">
    <w:abstractNumId w:val="1"/>
  </w:num>
  <w:num w:numId="29">
    <w:abstractNumId w:val="1"/>
  </w:num>
  <w:num w:numId="30">
    <w:abstractNumId w:val="2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de-D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it-IT" w:vendorID="64" w:dllVersion="6"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15A937B-D25B-4BB2-97BC-77631F89AF04"/>
    <w:docVar w:name="LW_COVERPAGE_TYPE" w:val="1"/>
    <w:docVar w:name="LW_CROSSREFERENCE" w:val="&lt;UNUSED&gt;"/>
    <w:docVar w:name="LW_DocType" w:val="NORMAL"/>
    <w:docVar w:name="LW_EMISSION" w:val="13.10.2022"/>
    <w:docVar w:name="LW_EMISSION_ISODATE" w:val="2022-10-13"/>
    <w:docVar w:name="LW_EMISSION_LOCATION" w:val="BRX"/>
    <w:docVar w:name="LW_EMISSION_PREFIX" w:val="Bruksela, dnia "/>
    <w:docVar w:name="LW_EMISSION_SUFFIX" w:val=" r."/>
    <w:docVar w:name="LW_ID_DOCTYPE_NONLW" w:val="CP-014"/>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2) 5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gzekwowanie prawa Unii na rzecz Europy, która spełnia swoje zadania"/>
    <w:docVar w:name="LW_TYPE.DOC.CP" w:val="KOMUNIKAT KOMISJI DO PARLAMENTU EUROPEJSKIEGO, RADY, EUROPEJSKIEGO KOMITETU EKONOMICZNO-SPOŁECZNEGO I KOMITETU REGIONÓW"/>
    <w:docVar w:name="LW_TYPE.DOC.CP.USERTEXT" w:val="&lt;EMPTY&gt;"/>
    <w:docVar w:name="LwApiVersions" w:val="LW4CoDe 1.23.2.0; LW 8.0, Build 20211117"/>
    <w:docVar w:name="Stamp" w:val="\\dossiers.dgt.cec.eu.int\dossiers\SG\SG-2022-01963\SG-2022-01963-00-00-EN-EDT-00.202208101256332158779.DOCX"/>
  </w:docVars>
  <w:rsids>
    <w:rsidRoot w:val="00714958"/>
    <w:rsid w:val="00000158"/>
    <w:rsid w:val="0000026B"/>
    <w:rsid w:val="00001155"/>
    <w:rsid w:val="00001481"/>
    <w:rsid w:val="000015CD"/>
    <w:rsid w:val="000017EB"/>
    <w:rsid w:val="00002077"/>
    <w:rsid w:val="00002DD6"/>
    <w:rsid w:val="00005B63"/>
    <w:rsid w:val="000062CF"/>
    <w:rsid w:val="0001020C"/>
    <w:rsid w:val="000102C5"/>
    <w:rsid w:val="00011600"/>
    <w:rsid w:val="0001336F"/>
    <w:rsid w:val="00013F46"/>
    <w:rsid w:val="00014733"/>
    <w:rsid w:val="000155D4"/>
    <w:rsid w:val="00017A87"/>
    <w:rsid w:val="00017ACC"/>
    <w:rsid w:val="00017C11"/>
    <w:rsid w:val="00020CAE"/>
    <w:rsid w:val="000211C8"/>
    <w:rsid w:val="00025D73"/>
    <w:rsid w:val="00025F91"/>
    <w:rsid w:val="00026262"/>
    <w:rsid w:val="000266AE"/>
    <w:rsid w:val="000271AD"/>
    <w:rsid w:val="000275CD"/>
    <w:rsid w:val="000303A1"/>
    <w:rsid w:val="00030CCC"/>
    <w:rsid w:val="0003147D"/>
    <w:rsid w:val="000314D8"/>
    <w:rsid w:val="00032533"/>
    <w:rsid w:val="00033314"/>
    <w:rsid w:val="00033C26"/>
    <w:rsid w:val="00034305"/>
    <w:rsid w:val="00034706"/>
    <w:rsid w:val="000352AA"/>
    <w:rsid w:val="000358C7"/>
    <w:rsid w:val="00035ECA"/>
    <w:rsid w:val="00036DE8"/>
    <w:rsid w:val="00037895"/>
    <w:rsid w:val="00037AF2"/>
    <w:rsid w:val="00037E59"/>
    <w:rsid w:val="000423B8"/>
    <w:rsid w:val="00042D18"/>
    <w:rsid w:val="00043F86"/>
    <w:rsid w:val="00044389"/>
    <w:rsid w:val="00045CAC"/>
    <w:rsid w:val="00045EE6"/>
    <w:rsid w:val="00047115"/>
    <w:rsid w:val="000471D5"/>
    <w:rsid w:val="000472C3"/>
    <w:rsid w:val="00050B56"/>
    <w:rsid w:val="00051CE2"/>
    <w:rsid w:val="00052221"/>
    <w:rsid w:val="00052266"/>
    <w:rsid w:val="0005235B"/>
    <w:rsid w:val="000524DA"/>
    <w:rsid w:val="000536B0"/>
    <w:rsid w:val="0005399F"/>
    <w:rsid w:val="00053AB9"/>
    <w:rsid w:val="00053C37"/>
    <w:rsid w:val="0005412C"/>
    <w:rsid w:val="00054489"/>
    <w:rsid w:val="00055386"/>
    <w:rsid w:val="00056578"/>
    <w:rsid w:val="00056835"/>
    <w:rsid w:val="00056976"/>
    <w:rsid w:val="0005779C"/>
    <w:rsid w:val="00057A97"/>
    <w:rsid w:val="000607EB"/>
    <w:rsid w:val="00061137"/>
    <w:rsid w:val="00061200"/>
    <w:rsid w:val="00063F2D"/>
    <w:rsid w:val="00064F82"/>
    <w:rsid w:val="0006654D"/>
    <w:rsid w:val="000668A6"/>
    <w:rsid w:val="000668BA"/>
    <w:rsid w:val="000672E2"/>
    <w:rsid w:val="00067575"/>
    <w:rsid w:val="00070924"/>
    <w:rsid w:val="00070A37"/>
    <w:rsid w:val="00070C75"/>
    <w:rsid w:val="0007173D"/>
    <w:rsid w:val="00071AF0"/>
    <w:rsid w:val="00071BC0"/>
    <w:rsid w:val="00076818"/>
    <w:rsid w:val="00076CDD"/>
    <w:rsid w:val="00080049"/>
    <w:rsid w:val="00080D73"/>
    <w:rsid w:val="0008407B"/>
    <w:rsid w:val="0008460E"/>
    <w:rsid w:val="00085A41"/>
    <w:rsid w:val="00085CCF"/>
    <w:rsid w:val="00085CF0"/>
    <w:rsid w:val="000861EE"/>
    <w:rsid w:val="00086AB9"/>
    <w:rsid w:val="0008711D"/>
    <w:rsid w:val="000872F3"/>
    <w:rsid w:val="00087675"/>
    <w:rsid w:val="00087970"/>
    <w:rsid w:val="00087E11"/>
    <w:rsid w:val="00092CFD"/>
    <w:rsid w:val="00093ABB"/>
    <w:rsid w:val="00093BAA"/>
    <w:rsid w:val="0009473F"/>
    <w:rsid w:val="00094A40"/>
    <w:rsid w:val="0009677D"/>
    <w:rsid w:val="00096FF6"/>
    <w:rsid w:val="00097216"/>
    <w:rsid w:val="000973FB"/>
    <w:rsid w:val="0009743A"/>
    <w:rsid w:val="00097734"/>
    <w:rsid w:val="000A07A2"/>
    <w:rsid w:val="000A080C"/>
    <w:rsid w:val="000A17CA"/>
    <w:rsid w:val="000A2CCD"/>
    <w:rsid w:val="000A3430"/>
    <w:rsid w:val="000A3672"/>
    <w:rsid w:val="000A3696"/>
    <w:rsid w:val="000A3C4B"/>
    <w:rsid w:val="000A6546"/>
    <w:rsid w:val="000A69CE"/>
    <w:rsid w:val="000B0058"/>
    <w:rsid w:val="000B09FA"/>
    <w:rsid w:val="000B1E13"/>
    <w:rsid w:val="000B2BD0"/>
    <w:rsid w:val="000B3282"/>
    <w:rsid w:val="000B358D"/>
    <w:rsid w:val="000B411D"/>
    <w:rsid w:val="000B44CC"/>
    <w:rsid w:val="000B478F"/>
    <w:rsid w:val="000B5A4E"/>
    <w:rsid w:val="000B605F"/>
    <w:rsid w:val="000B6296"/>
    <w:rsid w:val="000C0061"/>
    <w:rsid w:val="000C03B7"/>
    <w:rsid w:val="000C0B29"/>
    <w:rsid w:val="000C0E3F"/>
    <w:rsid w:val="000C13C7"/>
    <w:rsid w:val="000C2988"/>
    <w:rsid w:val="000C2A3F"/>
    <w:rsid w:val="000C2E1D"/>
    <w:rsid w:val="000C53A9"/>
    <w:rsid w:val="000C55F1"/>
    <w:rsid w:val="000C56DE"/>
    <w:rsid w:val="000C6A4D"/>
    <w:rsid w:val="000C716C"/>
    <w:rsid w:val="000D0443"/>
    <w:rsid w:val="000D1DAB"/>
    <w:rsid w:val="000D2335"/>
    <w:rsid w:val="000D2848"/>
    <w:rsid w:val="000D3544"/>
    <w:rsid w:val="000D6C5C"/>
    <w:rsid w:val="000D6DD4"/>
    <w:rsid w:val="000E0B93"/>
    <w:rsid w:val="000E1134"/>
    <w:rsid w:val="000E1E60"/>
    <w:rsid w:val="000E1EDC"/>
    <w:rsid w:val="000E2B34"/>
    <w:rsid w:val="000E2F38"/>
    <w:rsid w:val="000E3422"/>
    <w:rsid w:val="000E390D"/>
    <w:rsid w:val="000E416E"/>
    <w:rsid w:val="000E4584"/>
    <w:rsid w:val="000E49FF"/>
    <w:rsid w:val="000E54FF"/>
    <w:rsid w:val="000E5727"/>
    <w:rsid w:val="000E5A65"/>
    <w:rsid w:val="000E62D4"/>
    <w:rsid w:val="000E631A"/>
    <w:rsid w:val="000E6A2D"/>
    <w:rsid w:val="000E6CD2"/>
    <w:rsid w:val="000E7260"/>
    <w:rsid w:val="000F1C90"/>
    <w:rsid w:val="000F23D9"/>
    <w:rsid w:val="000F3145"/>
    <w:rsid w:val="000F410A"/>
    <w:rsid w:val="000F4179"/>
    <w:rsid w:val="000F4C2D"/>
    <w:rsid w:val="000F57AC"/>
    <w:rsid w:val="000F5ECA"/>
    <w:rsid w:val="000F6BE6"/>
    <w:rsid w:val="000F6D7F"/>
    <w:rsid w:val="000F6DC4"/>
    <w:rsid w:val="000F7738"/>
    <w:rsid w:val="000F77E4"/>
    <w:rsid w:val="001002DE"/>
    <w:rsid w:val="00101693"/>
    <w:rsid w:val="00101890"/>
    <w:rsid w:val="001018CC"/>
    <w:rsid w:val="00101F31"/>
    <w:rsid w:val="0010463C"/>
    <w:rsid w:val="00105017"/>
    <w:rsid w:val="001059EC"/>
    <w:rsid w:val="00106A4D"/>
    <w:rsid w:val="001070AD"/>
    <w:rsid w:val="00107ED5"/>
    <w:rsid w:val="00111671"/>
    <w:rsid w:val="00112959"/>
    <w:rsid w:val="00112B74"/>
    <w:rsid w:val="00113B2B"/>
    <w:rsid w:val="001146ED"/>
    <w:rsid w:val="00114751"/>
    <w:rsid w:val="00114FB9"/>
    <w:rsid w:val="00115FCD"/>
    <w:rsid w:val="00116533"/>
    <w:rsid w:val="00116D0A"/>
    <w:rsid w:val="00116F25"/>
    <w:rsid w:val="00117382"/>
    <w:rsid w:val="0011762B"/>
    <w:rsid w:val="00120189"/>
    <w:rsid w:val="00120464"/>
    <w:rsid w:val="00120ED4"/>
    <w:rsid w:val="00121557"/>
    <w:rsid w:val="00123AC6"/>
    <w:rsid w:val="001241F8"/>
    <w:rsid w:val="00125BC0"/>
    <w:rsid w:val="00125F66"/>
    <w:rsid w:val="001266EA"/>
    <w:rsid w:val="001269F5"/>
    <w:rsid w:val="00126C67"/>
    <w:rsid w:val="001273FB"/>
    <w:rsid w:val="001276A3"/>
    <w:rsid w:val="00127DA3"/>
    <w:rsid w:val="00130380"/>
    <w:rsid w:val="00130386"/>
    <w:rsid w:val="00130F5A"/>
    <w:rsid w:val="00131768"/>
    <w:rsid w:val="00131B33"/>
    <w:rsid w:val="00132F6D"/>
    <w:rsid w:val="00134A0D"/>
    <w:rsid w:val="00136841"/>
    <w:rsid w:val="00143426"/>
    <w:rsid w:val="00143BBE"/>
    <w:rsid w:val="00143BE6"/>
    <w:rsid w:val="00144A96"/>
    <w:rsid w:val="001451A1"/>
    <w:rsid w:val="001457B0"/>
    <w:rsid w:val="001461BC"/>
    <w:rsid w:val="001464BC"/>
    <w:rsid w:val="00146A04"/>
    <w:rsid w:val="00147658"/>
    <w:rsid w:val="001517C5"/>
    <w:rsid w:val="00152E9B"/>
    <w:rsid w:val="00152FE9"/>
    <w:rsid w:val="00153194"/>
    <w:rsid w:val="001531B9"/>
    <w:rsid w:val="00153B05"/>
    <w:rsid w:val="00153CF7"/>
    <w:rsid w:val="00153DB8"/>
    <w:rsid w:val="001543BA"/>
    <w:rsid w:val="00154F1C"/>
    <w:rsid w:val="00155410"/>
    <w:rsid w:val="00156EB4"/>
    <w:rsid w:val="00157341"/>
    <w:rsid w:val="00157701"/>
    <w:rsid w:val="00164130"/>
    <w:rsid w:val="00164444"/>
    <w:rsid w:val="0016487C"/>
    <w:rsid w:val="00166940"/>
    <w:rsid w:val="00175473"/>
    <w:rsid w:val="00175E0E"/>
    <w:rsid w:val="001767F2"/>
    <w:rsid w:val="001804F6"/>
    <w:rsid w:val="0018109A"/>
    <w:rsid w:val="0018143F"/>
    <w:rsid w:val="0018362E"/>
    <w:rsid w:val="00184E27"/>
    <w:rsid w:val="001854C7"/>
    <w:rsid w:val="001909EF"/>
    <w:rsid w:val="001925E2"/>
    <w:rsid w:val="001950AE"/>
    <w:rsid w:val="00195C33"/>
    <w:rsid w:val="001966AC"/>
    <w:rsid w:val="00197589"/>
    <w:rsid w:val="001A01AD"/>
    <w:rsid w:val="001A0C80"/>
    <w:rsid w:val="001A4617"/>
    <w:rsid w:val="001A4A40"/>
    <w:rsid w:val="001A64B5"/>
    <w:rsid w:val="001A664D"/>
    <w:rsid w:val="001B0569"/>
    <w:rsid w:val="001B0B37"/>
    <w:rsid w:val="001B12F4"/>
    <w:rsid w:val="001B24FE"/>
    <w:rsid w:val="001B36AE"/>
    <w:rsid w:val="001B3BA9"/>
    <w:rsid w:val="001B4014"/>
    <w:rsid w:val="001B57AD"/>
    <w:rsid w:val="001B64E5"/>
    <w:rsid w:val="001B6F39"/>
    <w:rsid w:val="001C11DB"/>
    <w:rsid w:val="001C15ED"/>
    <w:rsid w:val="001C22CB"/>
    <w:rsid w:val="001C2626"/>
    <w:rsid w:val="001C2C2A"/>
    <w:rsid w:val="001C2C66"/>
    <w:rsid w:val="001C3353"/>
    <w:rsid w:val="001C41AF"/>
    <w:rsid w:val="001C46EC"/>
    <w:rsid w:val="001C5044"/>
    <w:rsid w:val="001C5474"/>
    <w:rsid w:val="001C59D8"/>
    <w:rsid w:val="001D009F"/>
    <w:rsid w:val="001D00F2"/>
    <w:rsid w:val="001D1E77"/>
    <w:rsid w:val="001D2E15"/>
    <w:rsid w:val="001D30E3"/>
    <w:rsid w:val="001D36C9"/>
    <w:rsid w:val="001D380B"/>
    <w:rsid w:val="001D3B8C"/>
    <w:rsid w:val="001D5A43"/>
    <w:rsid w:val="001D5FB9"/>
    <w:rsid w:val="001D71AE"/>
    <w:rsid w:val="001D72F9"/>
    <w:rsid w:val="001E00E5"/>
    <w:rsid w:val="001E0B7B"/>
    <w:rsid w:val="001E0BA9"/>
    <w:rsid w:val="001E0F1F"/>
    <w:rsid w:val="001E12F5"/>
    <w:rsid w:val="001E211A"/>
    <w:rsid w:val="001E2380"/>
    <w:rsid w:val="001E33B4"/>
    <w:rsid w:val="001E422A"/>
    <w:rsid w:val="001E4527"/>
    <w:rsid w:val="001E4552"/>
    <w:rsid w:val="001E4878"/>
    <w:rsid w:val="001E6EDC"/>
    <w:rsid w:val="001E71D7"/>
    <w:rsid w:val="001E7252"/>
    <w:rsid w:val="001F139D"/>
    <w:rsid w:val="001F167F"/>
    <w:rsid w:val="001F1830"/>
    <w:rsid w:val="001F1950"/>
    <w:rsid w:val="001F1FC2"/>
    <w:rsid w:val="001F2F7F"/>
    <w:rsid w:val="001F376F"/>
    <w:rsid w:val="001F3A3A"/>
    <w:rsid w:val="001F452C"/>
    <w:rsid w:val="001F465A"/>
    <w:rsid w:val="001F57F0"/>
    <w:rsid w:val="001F5F0A"/>
    <w:rsid w:val="001F6151"/>
    <w:rsid w:val="001F6C4A"/>
    <w:rsid w:val="001F7C3E"/>
    <w:rsid w:val="001F7D55"/>
    <w:rsid w:val="00201BD0"/>
    <w:rsid w:val="002023F4"/>
    <w:rsid w:val="002048DC"/>
    <w:rsid w:val="00204B93"/>
    <w:rsid w:val="00205733"/>
    <w:rsid w:val="00205D7C"/>
    <w:rsid w:val="002067EE"/>
    <w:rsid w:val="00207C9D"/>
    <w:rsid w:val="00207F9F"/>
    <w:rsid w:val="002109AA"/>
    <w:rsid w:val="0021136F"/>
    <w:rsid w:val="00214369"/>
    <w:rsid w:val="00214522"/>
    <w:rsid w:val="00216EA5"/>
    <w:rsid w:val="00220250"/>
    <w:rsid w:val="00221AB3"/>
    <w:rsid w:val="00221E98"/>
    <w:rsid w:val="00222A6B"/>
    <w:rsid w:val="00222C7F"/>
    <w:rsid w:val="00222FE2"/>
    <w:rsid w:val="00223EE6"/>
    <w:rsid w:val="002246FB"/>
    <w:rsid w:val="002256EE"/>
    <w:rsid w:val="00225721"/>
    <w:rsid w:val="0022613C"/>
    <w:rsid w:val="002267EE"/>
    <w:rsid w:val="0022686F"/>
    <w:rsid w:val="002271DD"/>
    <w:rsid w:val="002272CA"/>
    <w:rsid w:val="00227536"/>
    <w:rsid w:val="00230E79"/>
    <w:rsid w:val="002313EE"/>
    <w:rsid w:val="00231BD6"/>
    <w:rsid w:val="002322E4"/>
    <w:rsid w:val="0023410F"/>
    <w:rsid w:val="0023429C"/>
    <w:rsid w:val="00235266"/>
    <w:rsid w:val="002364E6"/>
    <w:rsid w:val="002378C1"/>
    <w:rsid w:val="00241975"/>
    <w:rsid w:val="00241B04"/>
    <w:rsid w:val="00242B24"/>
    <w:rsid w:val="00242EAE"/>
    <w:rsid w:val="00243403"/>
    <w:rsid w:val="00244B5F"/>
    <w:rsid w:val="002456D6"/>
    <w:rsid w:val="00245CDE"/>
    <w:rsid w:val="00245D47"/>
    <w:rsid w:val="00247FFC"/>
    <w:rsid w:val="00251977"/>
    <w:rsid w:val="00251A3D"/>
    <w:rsid w:val="0025259B"/>
    <w:rsid w:val="00252FCD"/>
    <w:rsid w:val="00253A7A"/>
    <w:rsid w:val="00254043"/>
    <w:rsid w:val="00254754"/>
    <w:rsid w:val="0025512D"/>
    <w:rsid w:val="00255317"/>
    <w:rsid w:val="002557A5"/>
    <w:rsid w:val="0025592E"/>
    <w:rsid w:val="0025666B"/>
    <w:rsid w:val="00256912"/>
    <w:rsid w:val="00257D23"/>
    <w:rsid w:val="002609BA"/>
    <w:rsid w:val="002611AF"/>
    <w:rsid w:val="002614BB"/>
    <w:rsid w:val="00262DEC"/>
    <w:rsid w:val="0026306A"/>
    <w:rsid w:val="00263251"/>
    <w:rsid w:val="00264BBE"/>
    <w:rsid w:val="0026593C"/>
    <w:rsid w:val="00266166"/>
    <w:rsid w:val="00270B2D"/>
    <w:rsid w:val="0027108B"/>
    <w:rsid w:val="00271E25"/>
    <w:rsid w:val="0027268D"/>
    <w:rsid w:val="00272B33"/>
    <w:rsid w:val="0027315E"/>
    <w:rsid w:val="00273396"/>
    <w:rsid w:val="00273668"/>
    <w:rsid w:val="0027387F"/>
    <w:rsid w:val="0027562E"/>
    <w:rsid w:val="00275F68"/>
    <w:rsid w:val="00276475"/>
    <w:rsid w:val="002764BF"/>
    <w:rsid w:val="00277CB4"/>
    <w:rsid w:val="00280E26"/>
    <w:rsid w:val="0028184D"/>
    <w:rsid w:val="00282230"/>
    <w:rsid w:val="002823A3"/>
    <w:rsid w:val="002824CA"/>
    <w:rsid w:val="00282926"/>
    <w:rsid w:val="002837B9"/>
    <w:rsid w:val="00285C1C"/>
    <w:rsid w:val="002871B6"/>
    <w:rsid w:val="00292BF6"/>
    <w:rsid w:val="00293FD8"/>
    <w:rsid w:val="00294A45"/>
    <w:rsid w:val="00294C61"/>
    <w:rsid w:val="00294DEB"/>
    <w:rsid w:val="00294F2C"/>
    <w:rsid w:val="00295247"/>
    <w:rsid w:val="00296D7F"/>
    <w:rsid w:val="00296DDC"/>
    <w:rsid w:val="00296FB3"/>
    <w:rsid w:val="0029711B"/>
    <w:rsid w:val="002978FE"/>
    <w:rsid w:val="002A020B"/>
    <w:rsid w:val="002A05EE"/>
    <w:rsid w:val="002A0908"/>
    <w:rsid w:val="002A0B4E"/>
    <w:rsid w:val="002A1F08"/>
    <w:rsid w:val="002A2328"/>
    <w:rsid w:val="002A5321"/>
    <w:rsid w:val="002A566D"/>
    <w:rsid w:val="002A65FC"/>
    <w:rsid w:val="002A6AEC"/>
    <w:rsid w:val="002A7774"/>
    <w:rsid w:val="002A7975"/>
    <w:rsid w:val="002A7DBD"/>
    <w:rsid w:val="002B26C1"/>
    <w:rsid w:val="002B2D6D"/>
    <w:rsid w:val="002B38C9"/>
    <w:rsid w:val="002B3BE0"/>
    <w:rsid w:val="002B41E7"/>
    <w:rsid w:val="002B4E9D"/>
    <w:rsid w:val="002B58D1"/>
    <w:rsid w:val="002B6427"/>
    <w:rsid w:val="002B6466"/>
    <w:rsid w:val="002B6DD5"/>
    <w:rsid w:val="002B746E"/>
    <w:rsid w:val="002B748B"/>
    <w:rsid w:val="002C001A"/>
    <w:rsid w:val="002C086F"/>
    <w:rsid w:val="002C12E3"/>
    <w:rsid w:val="002C15A7"/>
    <w:rsid w:val="002C1D21"/>
    <w:rsid w:val="002C2028"/>
    <w:rsid w:val="002C22E7"/>
    <w:rsid w:val="002C319E"/>
    <w:rsid w:val="002C37CA"/>
    <w:rsid w:val="002C4DE3"/>
    <w:rsid w:val="002C5099"/>
    <w:rsid w:val="002C6D19"/>
    <w:rsid w:val="002C7759"/>
    <w:rsid w:val="002D15AD"/>
    <w:rsid w:val="002D1F66"/>
    <w:rsid w:val="002D2182"/>
    <w:rsid w:val="002D26C9"/>
    <w:rsid w:val="002D3070"/>
    <w:rsid w:val="002D3A6A"/>
    <w:rsid w:val="002D3EDA"/>
    <w:rsid w:val="002D63EC"/>
    <w:rsid w:val="002D6D61"/>
    <w:rsid w:val="002D7574"/>
    <w:rsid w:val="002E0F5C"/>
    <w:rsid w:val="002E14AB"/>
    <w:rsid w:val="002E19DE"/>
    <w:rsid w:val="002E2D98"/>
    <w:rsid w:val="002E4163"/>
    <w:rsid w:val="002E4C24"/>
    <w:rsid w:val="002E4C26"/>
    <w:rsid w:val="002E4EB6"/>
    <w:rsid w:val="002E56A8"/>
    <w:rsid w:val="002E6844"/>
    <w:rsid w:val="002E6AEF"/>
    <w:rsid w:val="002E78C2"/>
    <w:rsid w:val="002F1788"/>
    <w:rsid w:val="002F22D1"/>
    <w:rsid w:val="002F2CF4"/>
    <w:rsid w:val="002F2D3F"/>
    <w:rsid w:val="002F3061"/>
    <w:rsid w:val="002F35B7"/>
    <w:rsid w:val="002F391B"/>
    <w:rsid w:val="002F449A"/>
    <w:rsid w:val="002F5352"/>
    <w:rsid w:val="002F5B47"/>
    <w:rsid w:val="002F5DE1"/>
    <w:rsid w:val="00300DF4"/>
    <w:rsid w:val="00300E63"/>
    <w:rsid w:val="00301475"/>
    <w:rsid w:val="00301633"/>
    <w:rsid w:val="00301AD8"/>
    <w:rsid w:val="003020EC"/>
    <w:rsid w:val="00302E91"/>
    <w:rsid w:val="00304B3D"/>
    <w:rsid w:val="00304BD3"/>
    <w:rsid w:val="00304CEE"/>
    <w:rsid w:val="003061DD"/>
    <w:rsid w:val="00306449"/>
    <w:rsid w:val="00306B73"/>
    <w:rsid w:val="00307BEB"/>
    <w:rsid w:val="00307D66"/>
    <w:rsid w:val="003109D8"/>
    <w:rsid w:val="00310E50"/>
    <w:rsid w:val="00311025"/>
    <w:rsid w:val="0031107A"/>
    <w:rsid w:val="00312704"/>
    <w:rsid w:val="003129D3"/>
    <w:rsid w:val="00315D25"/>
    <w:rsid w:val="003160E0"/>
    <w:rsid w:val="00317F1F"/>
    <w:rsid w:val="00320518"/>
    <w:rsid w:val="00321268"/>
    <w:rsid w:val="00323C41"/>
    <w:rsid w:val="00323D97"/>
    <w:rsid w:val="00323EC1"/>
    <w:rsid w:val="00324EC8"/>
    <w:rsid w:val="00326A7E"/>
    <w:rsid w:val="00327251"/>
    <w:rsid w:val="00327F40"/>
    <w:rsid w:val="0033066C"/>
    <w:rsid w:val="00332543"/>
    <w:rsid w:val="00333DAD"/>
    <w:rsid w:val="00333F2F"/>
    <w:rsid w:val="0033506A"/>
    <w:rsid w:val="00336B2E"/>
    <w:rsid w:val="00337B22"/>
    <w:rsid w:val="00337E4E"/>
    <w:rsid w:val="00340AA9"/>
    <w:rsid w:val="00341295"/>
    <w:rsid w:val="003424DE"/>
    <w:rsid w:val="00342F44"/>
    <w:rsid w:val="00345EE3"/>
    <w:rsid w:val="00346DC1"/>
    <w:rsid w:val="00347812"/>
    <w:rsid w:val="00347A82"/>
    <w:rsid w:val="00350045"/>
    <w:rsid w:val="00350BB7"/>
    <w:rsid w:val="00350C48"/>
    <w:rsid w:val="00352D21"/>
    <w:rsid w:val="00353436"/>
    <w:rsid w:val="00353A2C"/>
    <w:rsid w:val="00354712"/>
    <w:rsid w:val="00355968"/>
    <w:rsid w:val="00355A12"/>
    <w:rsid w:val="00356326"/>
    <w:rsid w:val="00356653"/>
    <w:rsid w:val="003570EF"/>
    <w:rsid w:val="003601DD"/>
    <w:rsid w:val="003609BA"/>
    <w:rsid w:val="00360A78"/>
    <w:rsid w:val="00360AB0"/>
    <w:rsid w:val="00360E67"/>
    <w:rsid w:val="00360ECE"/>
    <w:rsid w:val="00361335"/>
    <w:rsid w:val="003613EE"/>
    <w:rsid w:val="00361A0B"/>
    <w:rsid w:val="00361CEC"/>
    <w:rsid w:val="00362054"/>
    <w:rsid w:val="003632A2"/>
    <w:rsid w:val="00363811"/>
    <w:rsid w:val="003652AF"/>
    <w:rsid w:val="003658F2"/>
    <w:rsid w:val="0036596E"/>
    <w:rsid w:val="003660B3"/>
    <w:rsid w:val="003679EA"/>
    <w:rsid w:val="00370141"/>
    <w:rsid w:val="00370312"/>
    <w:rsid w:val="00370F8F"/>
    <w:rsid w:val="00370FB2"/>
    <w:rsid w:val="003719EF"/>
    <w:rsid w:val="00372EF5"/>
    <w:rsid w:val="00373C90"/>
    <w:rsid w:val="0037450C"/>
    <w:rsid w:val="00374B61"/>
    <w:rsid w:val="00375F1C"/>
    <w:rsid w:val="003768A3"/>
    <w:rsid w:val="00377048"/>
    <w:rsid w:val="0037729D"/>
    <w:rsid w:val="003812B1"/>
    <w:rsid w:val="00381552"/>
    <w:rsid w:val="00381E5D"/>
    <w:rsid w:val="003834A9"/>
    <w:rsid w:val="00384969"/>
    <w:rsid w:val="003867C1"/>
    <w:rsid w:val="0039030E"/>
    <w:rsid w:val="0039197F"/>
    <w:rsid w:val="00391A26"/>
    <w:rsid w:val="00391BE2"/>
    <w:rsid w:val="003931C0"/>
    <w:rsid w:val="00393517"/>
    <w:rsid w:val="003937FF"/>
    <w:rsid w:val="00393FC1"/>
    <w:rsid w:val="0039522E"/>
    <w:rsid w:val="00395364"/>
    <w:rsid w:val="0039638D"/>
    <w:rsid w:val="00396B66"/>
    <w:rsid w:val="003977AA"/>
    <w:rsid w:val="00397CA6"/>
    <w:rsid w:val="003A0184"/>
    <w:rsid w:val="003A0C27"/>
    <w:rsid w:val="003A1118"/>
    <w:rsid w:val="003A36DB"/>
    <w:rsid w:val="003A3FEE"/>
    <w:rsid w:val="003A4352"/>
    <w:rsid w:val="003A4473"/>
    <w:rsid w:val="003A5197"/>
    <w:rsid w:val="003A7E58"/>
    <w:rsid w:val="003B15BE"/>
    <w:rsid w:val="003B2CBE"/>
    <w:rsid w:val="003B30FA"/>
    <w:rsid w:val="003B34EB"/>
    <w:rsid w:val="003B448E"/>
    <w:rsid w:val="003B4909"/>
    <w:rsid w:val="003B54DC"/>
    <w:rsid w:val="003B57E9"/>
    <w:rsid w:val="003B5A3B"/>
    <w:rsid w:val="003B5AF2"/>
    <w:rsid w:val="003B5BD1"/>
    <w:rsid w:val="003B6B49"/>
    <w:rsid w:val="003C049C"/>
    <w:rsid w:val="003C0594"/>
    <w:rsid w:val="003C1628"/>
    <w:rsid w:val="003C3BE5"/>
    <w:rsid w:val="003C418F"/>
    <w:rsid w:val="003C42CC"/>
    <w:rsid w:val="003C4D9C"/>
    <w:rsid w:val="003C58A9"/>
    <w:rsid w:val="003C5C9D"/>
    <w:rsid w:val="003C5E44"/>
    <w:rsid w:val="003C6039"/>
    <w:rsid w:val="003C77B9"/>
    <w:rsid w:val="003C7AA6"/>
    <w:rsid w:val="003D0162"/>
    <w:rsid w:val="003D4029"/>
    <w:rsid w:val="003D52D8"/>
    <w:rsid w:val="003D5CFC"/>
    <w:rsid w:val="003D6565"/>
    <w:rsid w:val="003D7A1C"/>
    <w:rsid w:val="003E1DEE"/>
    <w:rsid w:val="003E1F92"/>
    <w:rsid w:val="003E2BC1"/>
    <w:rsid w:val="003E2CFD"/>
    <w:rsid w:val="003E2EF6"/>
    <w:rsid w:val="003E3114"/>
    <w:rsid w:val="003E32F4"/>
    <w:rsid w:val="003E686F"/>
    <w:rsid w:val="003F09C6"/>
    <w:rsid w:val="003F12C1"/>
    <w:rsid w:val="003F2643"/>
    <w:rsid w:val="003F3571"/>
    <w:rsid w:val="003F3624"/>
    <w:rsid w:val="003F3892"/>
    <w:rsid w:val="003F3A60"/>
    <w:rsid w:val="003F407D"/>
    <w:rsid w:val="003F4B6B"/>
    <w:rsid w:val="003F5E7E"/>
    <w:rsid w:val="003F7233"/>
    <w:rsid w:val="003F7A3B"/>
    <w:rsid w:val="00400026"/>
    <w:rsid w:val="00402A80"/>
    <w:rsid w:val="0040316F"/>
    <w:rsid w:val="00403856"/>
    <w:rsid w:val="00404068"/>
    <w:rsid w:val="0040466A"/>
    <w:rsid w:val="00404685"/>
    <w:rsid w:val="00404CD6"/>
    <w:rsid w:val="00405AA5"/>
    <w:rsid w:val="00405E59"/>
    <w:rsid w:val="0040642C"/>
    <w:rsid w:val="0040660A"/>
    <w:rsid w:val="00406F9B"/>
    <w:rsid w:val="00407502"/>
    <w:rsid w:val="00410360"/>
    <w:rsid w:val="00410E6E"/>
    <w:rsid w:val="00410FAD"/>
    <w:rsid w:val="0041214F"/>
    <w:rsid w:val="0041224B"/>
    <w:rsid w:val="004139EC"/>
    <w:rsid w:val="004142B5"/>
    <w:rsid w:val="00414A14"/>
    <w:rsid w:val="004153D4"/>
    <w:rsid w:val="0041567A"/>
    <w:rsid w:val="004168F2"/>
    <w:rsid w:val="00416FB6"/>
    <w:rsid w:val="0041707D"/>
    <w:rsid w:val="00417260"/>
    <w:rsid w:val="004173D7"/>
    <w:rsid w:val="00417404"/>
    <w:rsid w:val="004207B5"/>
    <w:rsid w:val="00420882"/>
    <w:rsid w:val="00420F69"/>
    <w:rsid w:val="00422639"/>
    <w:rsid w:val="004232DB"/>
    <w:rsid w:val="00423581"/>
    <w:rsid w:val="00424121"/>
    <w:rsid w:val="00424A4A"/>
    <w:rsid w:val="00424CAA"/>
    <w:rsid w:val="00425943"/>
    <w:rsid w:val="00425A2B"/>
    <w:rsid w:val="004263F3"/>
    <w:rsid w:val="0042640B"/>
    <w:rsid w:val="00426798"/>
    <w:rsid w:val="0042734C"/>
    <w:rsid w:val="00427AB8"/>
    <w:rsid w:val="00427F2B"/>
    <w:rsid w:val="00432DAD"/>
    <w:rsid w:val="00433497"/>
    <w:rsid w:val="004346B3"/>
    <w:rsid w:val="00435C82"/>
    <w:rsid w:val="004365E4"/>
    <w:rsid w:val="00436EA6"/>
    <w:rsid w:val="0043720D"/>
    <w:rsid w:val="00441BF3"/>
    <w:rsid w:val="00441EBE"/>
    <w:rsid w:val="00441FE2"/>
    <w:rsid w:val="0044272E"/>
    <w:rsid w:val="00442B18"/>
    <w:rsid w:val="00442CD9"/>
    <w:rsid w:val="00442E51"/>
    <w:rsid w:val="004438CA"/>
    <w:rsid w:val="00443EFC"/>
    <w:rsid w:val="0044497E"/>
    <w:rsid w:val="00444EE4"/>
    <w:rsid w:val="00445A5B"/>
    <w:rsid w:val="0044622E"/>
    <w:rsid w:val="00446BEE"/>
    <w:rsid w:val="00447665"/>
    <w:rsid w:val="00447A9F"/>
    <w:rsid w:val="00447ABB"/>
    <w:rsid w:val="00450393"/>
    <w:rsid w:val="004503CB"/>
    <w:rsid w:val="0045059D"/>
    <w:rsid w:val="004509F1"/>
    <w:rsid w:val="004513CB"/>
    <w:rsid w:val="004525FE"/>
    <w:rsid w:val="00452AB8"/>
    <w:rsid w:val="00453DC0"/>
    <w:rsid w:val="004557C7"/>
    <w:rsid w:val="00457641"/>
    <w:rsid w:val="00460A61"/>
    <w:rsid w:val="00461547"/>
    <w:rsid w:val="004627CB"/>
    <w:rsid w:val="00462F02"/>
    <w:rsid w:val="00464ADD"/>
    <w:rsid w:val="00464E4A"/>
    <w:rsid w:val="00464EDD"/>
    <w:rsid w:val="0046738B"/>
    <w:rsid w:val="00467901"/>
    <w:rsid w:val="0047037F"/>
    <w:rsid w:val="0047076D"/>
    <w:rsid w:val="0047108C"/>
    <w:rsid w:val="00473706"/>
    <w:rsid w:val="004738A1"/>
    <w:rsid w:val="00473990"/>
    <w:rsid w:val="00473DA3"/>
    <w:rsid w:val="00474F8F"/>
    <w:rsid w:val="00475660"/>
    <w:rsid w:val="004758DD"/>
    <w:rsid w:val="00476ECC"/>
    <w:rsid w:val="004774AB"/>
    <w:rsid w:val="00477557"/>
    <w:rsid w:val="0048026B"/>
    <w:rsid w:val="00480A6B"/>
    <w:rsid w:val="00481302"/>
    <w:rsid w:val="00481CC7"/>
    <w:rsid w:val="00482FC5"/>
    <w:rsid w:val="004838D9"/>
    <w:rsid w:val="00484440"/>
    <w:rsid w:val="004846E1"/>
    <w:rsid w:val="00484FFA"/>
    <w:rsid w:val="00485959"/>
    <w:rsid w:val="00486B48"/>
    <w:rsid w:val="00486DC9"/>
    <w:rsid w:val="00490027"/>
    <w:rsid w:val="00491BAC"/>
    <w:rsid w:val="00493F6F"/>
    <w:rsid w:val="004940BE"/>
    <w:rsid w:val="004947E2"/>
    <w:rsid w:val="00494F7F"/>
    <w:rsid w:val="00495082"/>
    <w:rsid w:val="004952B8"/>
    <w:rsid w:val="00495310"/>
    <w:rsid w:val="00497A70"/>
    <w:rsid w:val="00497DAB"/>
    <w:rsid w:val="004A0DA8"/>
    <w:rsid w:val="004A112A"/>
    <w:rsid w:val="004A1527"/>
    <w:rsid w:val="004A20A4"/>
    <w:rsid w:val="004A3B6F"/>
    <w:rsid w:val="004A4B82"/>
    <w:rsid w:val="004A4FCD"/>
    <w:rsid w:val="004A5DF5"/>
    <w:rsid w:val="004A6188"/>
    <w:rsid w:val="004B05E3"/>
    <w:rsid w:val="004B0DD4"/>
    <w:rsid w:val="004B137E"/>
    <w:rsid w:val="004B1F18"/>
    <w:rsid w:val="004B2957"/>
    <w:rsid w:val="004B301A"/>
    <w:rsid w:val="004B3DD7"/>
    <w:rsid w:val="004B4577"/>
    <w:rsid w:val="004B46F4"/>
    <w:rsid w:val="004B532E"/>
    <w:rsid w:val="004B6057"/>
    <w:rsid w:val="004B6375"/>
    <w:rsid w:val="004B681B"/>
    <w:rsid w:val="004C03AC"/>
    <w:rsid w:val="004C09CB"/>
    <w:rsid w:val="004C0D79"/>
    <w:rsid w:val="004C14CC"/>
    <w:rsid w:val="004C2B40"/>
    <w:rsid w:val="004C2CE0"/>
    <w:rsid w:val="004C34F3"/>
    <w:rsid w:val="004C35A4"/>
    <w:rsid w:val="004C516F"/>
    <w:rsid w:val="004C6354"/>
    <w:rsid w:val="004C6F1F"/>
    <w:rsid w:val="004C7359"/>
    <w:rsid w:val="004C79F2"/>
    <w:rsid w:val="004C7B54"/>
    <w:rsid w:val="004D0DB0"/>
    <w:rsid w:val="004D154D"/>
    <w:rsid w:val="004D191A"/>
    <w:rsid w:val="004D1E79"/>
    <w:rsid w:val="004D26D4"/>
    <w:rsid w:val="004D2CD9"/>
    <w:rsid w:val="004D38A9"/>
    <w:rsid w:val="004D391C"/>
    <w:rsid w:val="004D3A4B"/>
    <w:rsid w:val="004D3EC4"/>
    <w:rsid w:val="004D400B"/>
    <w:rsid w:val="004D4C45"/>
    <w:rsid w:val="004D574E"/>
    <w:rsid w:val="004D6AC0"/>
    <w:rsid w:val="004D6B6F"/>
    <w:rsid w:val="004E059C"/>
    <w:rsid w:val="004E1953"/>
    <w:rsid w:val="004E2180"/>
    <w:rsid w:val="004E2F70"/>
    <w:rsid w:val="004E30A9"/>
    <w:rsid w:val="004E3498"/>
    <w:rsid w:val="004E3CA3"/>
    <w:rsid w:val="004E4F6E"/>
    <w:rsid w:val="004E5959"/>
    <w:rsid w:val="004E5E54"/>
    <w:rsid w:val="004E5F9E"/>
    <w:rsid w:val="004E7AF5"/>
    <w:rsid w:val="004F04B1"/>
    <w:rsid w:val="004F0E84"/>
    <w:rsid w:val="004F2504"/>
    <w:rsid w:val="004F2C7C"/>
    <w:rsid w:val="004F3069"/>
    <w:rsid w:val="004F32DA"/>
    <w:rsid w:val="004F3487"/>
    <w:rsid w:val="004F3918"/>
    <w:rsid w:val="004F39AB"/>
    <w:rsid w:val="004F59C1"/>
    <w:rsid w:val="004F600B"/>
    <w:rsid w:val="004F6F05"/>
    <w:rsid w:val="005003D6"/>
    <w:rsid w:val="00502EA2"/>
    <w:rsid w:val="00504081"/>
    <w:rsid w:val="005042C2"/>
    <w:rsid w:val="00504665"/>
    <w:rsid w:val="00504983"/>
    <w:rsid w:val="00504A9C"/>
    <w:rsid w:val="00504FAE"/>
    <w:rsid w:val="0050531F"/>
    <w:rsid w:val="00505377"/>
    <w:rsid w:val="005057D2"/>
    <w:rsid w:val="00507027"/>
    <w:rsid w:val="0051079B"/>
    <w:rsid w:val="00511156"/>
    <w:rsid w:val="00511639"/>
    <w:rsid w:val="005134B3"/>
    <w:rsid w:val="00514702"/>
    <w:rsid w:val="00516442"/>
    <w:rsid w:val="00521F14"/>
    <w:rsid w:val="00522263"/>
    <w:rsid w:val="005226B8"/>
    <w:rsid w:val="00522CC1"/>
    <w:rsid w:val="005241D7"/>
    <w:rsid w:val="00524B4B"/>
    <w:rsid w:val="00525185"/>
    <w:rsid w:val="00525869"/>
    <w:rsid w:val="005265A4"/>
    <w:rsid w:val="005272B4"/>
    <w:rsid w:val="00531617"/>
    <w:rsid w:val="00531844"/>
    <w:rsid w:val="0053216E"/>
    <w:rsid w:val="00533656"/>
    <w:rsid w:val="00533754"/>
    <w:rsid w:val="00533A2D"/>
    <w:rsid w:val="0053512F"/>
    <w:rsid w:val="005368B1"/>
    <w:rsid w:val="00536BE0"/>
    <w:rsid w:val="00536FD9"/>
    <w:rsid w:val="005372D3"/>
    <w:rsid w:val="00537894"/>
    <w:rsid w:val="00537B91"/>
    <w:rsid w:val="00540B67"/>
    <w:rsid w:val="0054182E"/>
    <w:rsid w:val="00541855"/>
    <w:rsid w:val="00541992"/>
    <w:rsid w:val="0054255C"/>
    <w:rsid w:val="00542616"/>
    <w:rsid w:val="00543ECD"/>
    <w:rsid w:val="00543FF5"/>
    <w:rsid w:val="0054519C"/>
    <w:rsid w:val="0054541E"/>
    <w:rsid w:val="00545638"/>
    <w:rsid w:val="00545BE0"/>
    <w:rsid w:val="00545D50"/>
    <w:rsid w:val="00547375"/>
    <w:rsid w:val="00547A04"/>
    <w:rsid w:val="00547C82"/>
    <w:rsid w:val="00550978"/>
    <w:rsid w:val="00550FD3"/>
    <w:rsid w:val="00552BF5"/>
    <w:rsid w:val="0055359F"/>
    <w:rsid w:val="00554375"/>
    <w:rsid w:val="00555AD2"/>
    <w:rsid w:val="00557434"/>
    <w:rsid w:val="00557DDD"/>
    <w:rsid w:val="00557E07"/>
    <w:rsid w:val="0056044A"/>
    <w:rsid w:val="005608AE"/>
    <w:rsid w:val="00561485"/>
    <w:rsid w:val="0056686A"/>
    <w:rsid w:val="005673C5"/>
    <w:rsid w:val="00567A1B"/>
    <w:rsid w:val="0057036C"/>
    <w:rsid w:val="00570C31"/>
    <w:rsid w:val="00570D3B"/>
    <w:rsid w:val="00570D73"/>
    <w:rsid w:val="00571AD4"/>
    <w:rsid w:val="00572B2C"/>
    <w:rsid w:val="00575409"/>
    <w:rsid w:val="00575C00"/>
    <w:rsid w:val="00576BC3"/>
    <w:rsid w:val="00576F18"/>
    <w:rsid w:val="00580480"/>
    <w:rsid w:val="00580CAC"/>
    <w:rsid w:val="00580E12"/>
    <w:rsid w:val="005810E8"/>
    <w:rsid w:val="00581B69"/>
    <w:rsid w:val="00582703"/>
    <w:rsid w:val="005827DA"/>
    <w:rsid w:val="005828BD"/>
    <w:rsid w:val="00582C18"/>
    <w:rsid w:val="005835BC"/>
    <w:rsid w:val="00583656"/>
    <w:rsid w:val="00583E4C"/>
    <w:rsid w:val="00585F86"/>
    <w:rsid w:val="0058682C"/>
    <w:rsid w:val="00587D22"/>
    <w:rsid w:val="00590114"/>
    <w:rsid w:val="005904EE"/>
    <w:rsid w:val="00590B4F"/>
    <w:rsid w:val="00591DBC"/>
    <w:rsid w:val="0059388F"/>
    <w:rsid w:val="005946FA"/>
    <w:rsid w:val="00594CED"/>
    <w:rsid w:val="005959E2"/>
    <w:rsid w:val="00595A68"/>
    <w:rsid w:val="00595B40"/>
    <w:rsid w:val="005960ED"/>
    <w:rsid w:val="00597E9E"/>
    <w:rsid w:val="005A0CCA"/>
    <w:rsid w:val="005A1D8C"/>
    <w:rsid w:val="005A2011"/>
    <w:rsid w:val="005A44CC"/>
    <w:rsid w:val="005A46F7"/>
    <w:rsid w:val="005A485B"/>
    <w:rsid w:val="005A59CA"/>
    <w:rsid w:val="005A6570"/>
    <w:rsid w:val="005A65C6"/>
    <w:rsid w:val="005A66C8"/>
    <w:rsid w:val="005A682F"/>
    <w:rsid w:val="005A750F"/>
    <w:rsid w:val="005A76B0"/>
    <w:rsid w:val="005B03FE"/>
    <w:rsid w:val="005B1A45"/>
    <w:rsid w:val="005B2CA8"/>
    <w:rsid w:val="005B4039"/>
    <w:rsid w:val="005B5972"/>
    <w:rsid w:val="005B5A66"/>
    <w:rsid w:val="005B6AD3"/>
    <w:rsid w:val="005B6BCF"/>
    <w:rsid w:val="005B6E6B"/>
    <w:rsid w:val="005B73FD"/>
    <w:rsid w:val="005B7EA7"/>
    <w:rsid w:val="005C0568"/>
    <w:rsid w:val="005C0606"/>
    <w:rsid w:val="005C076A"/>
    <w:rsid w:val="005C1091"/>
    <w:rsid w:val="005C17B0"/>
    <w:rsid w:val="005C18E3"/>
    <w:rsid w:val="005C21C1"/>
    <w:rsid w:val="005C246C"/>
    <w:rsid w:val="005C414D"/>
    <w:rsid w:val="005C4645"/>
    <w:rsid w:val="005C5374"/>
    <w:rsid w:val="005C603E"/>
    <w:rsid w:val="005C64BC"/>
    <w:rsid w:val="005C6927"/>
    <w:rsid w:val="005C6A70"/>
    <w:rsid w:val="005D06BD"/>
    <w:rsid w:val="005D08D2"/>
    <w:rsid w:val="005D10D8"/>
    <w:rsid w:val="005D17A2"/>
    <w:rsid w:val="005D1D40"/>
    <w:rsid w:val="005D3276"/>
    <w:rsid w:val="005D38AA"/>
    <w:rsid w:val="005D3D1E"/>
    <w:rsid w:val="005D5ECF"/>
    <w:rsid w:val="005D6DD2"/>
    <w:rsid w:val="005D7586"/>
    <w:rsid w:val="005E07D8"/>
    <w:rsid w:val="005E1823"/>
    <w:rsid w:val="005E446D"/>
    <w:rsid w:val="005E6774"/>
    <w:rsid w:val="005E6E3F"/>
    <w:rsid w:val="005F11AD"/>
    <w:rsid w:val="005F2737"/>
    <w:rsid w:val="005F2BA6"/>
    <w:rsid w:val="005F3C99"/>
    <w:rsid w:val="005F4E90"/>
    <w:rsid w:val="005F5FCE"/>
    <w:rsid w:val="006000EB"/>
    <w:rsid w:val="006001FA"/>
    <w:rsid w:val="00601562"/>
    <w:rsid w:val="00603529"/>
    <w:rsid w:val="0060541B"/>
    <w:rsid w:val="00605B51"/>
    <w:rsid w:val="00605C05"/>
    <w:rsid w:val="00606DF6"/>
    <w:rsid w:val="006078D8"/>
    <w:rsid w:val="00607E22"/>
    <w:rsid w:val="006124E6"/>
    <w:rsid w:val="00612A01"/>
    <w:rsid w:val="006153E9"/>
    <w:rsid w:val="00615546"/>
    <w:rsid w:val="0061569B"/>
    <w:rsid w:val="0061596C"/>
    <w:rsid w:val="00617B0E"/>
    <w:rsid w:val="00617CAC"/>
    <w:rsid w:val="006200CA"/>
    <w:rsid w:val="006208B6"/>
    <w:rsid w:val="006209F5"/>
    <w:rsid w:val="00621A12"/>
    <w:rsid w:val="006223F8"/>
    <w:rsid w:val="0062327B"/>
    <w:rsid w:val="00623FF2"/>
    <w:rsid w:val="00624248"/>
    <w:rsid w:val="00625348"/>
    <w:rsid w:val="00627FFD"/>
    <w:rsid w:val="0063078D"/>
    <w:rsid w:val="00630BAE"/>
    <w:rsid w:val="006310F8"/>
    <w:rsid w:val="006316C7"/>
    <w:rsid w:val="0063291B"/>
    <w:rsid w:val="00632BB7"/>
    <w:rsid w:val="00632CFE"/>
    <w:rsid w:val="0063306B"/>
    <w:rsid w:val="00633A01"/>
    <w:rsid w:val="00634152"/>
    <w:rsid w:val="00635268"/>
    <w:rsid w:val="00635D1B"/>
    <w:rsid w:val="006365A4"/>
    <w:rsid w:val="006369A3"/>
    <w:rsid w:val="00636A92"/>
    <w:rsid w:val="00637297"/>
    <w:rsid w:val="006372E3"/>
    <w:rsid w:val="00637C11"/>
    <w:rsid w:val="00641A6B"/>
    <w:rsid w:val="00642C85"/>
    <w:rsid w:val="00642EF4"/>
    <w:rsid w:val="006436AA"/>
    <w:rsid w:val="0064374C"/>
    <w:rsid w:val="00643F79"/>
    <w:rsid w:val="00643F97"/>
    <w:rsid w:val="00644514"/>
    <w:rsid w:val="00645DCF"/>
    <w:rsid w:val="0064632A"/>
    <w:rsid w:val="006476FB"/>
    <w:rsid w:val="006500FC"/>
    <w:rsid w:val="006512F0"/>
    <w:rsid w:val="00652348"/>
    <w:rsid w:val="00653F8E"/>
    <w:rsid w:val="00654612"/>
    <w:rsid w:val="0065524A"/>
    <w:rsid w:val="00657167"/>
    <w:rsid w:val="00657DDA"/>
    <w:rsid w:val="00660024"/>
    <w:rsid w:val="00660B98"/>
    <w:rsid w:val="006611D2"/>
    <w:rsid w:val="006627F7"/>
    <w:rsid w:val="00662984"/>
    <w:rsid w:val="00662CF7"/>
    <w:rsid w:val="00662ECD"/>
    <w:rsid w:val="006630C7"/>
    <w:rsid w:val="00663ABB"/>
    <w:rsid w:val="006640AE"/>
    <w:rsid w:val="006641FE"/>
    <w:rsid w:val="0066432F"/>
    <w:rsid w:val="0066480A"/>
    <w:rsid w:val="00664D4D"/>
    <w:rsid w:val="00665F33"/>
    <w:rsid w:val="00667354"/>
    <w:rsid w:val="006675F3"/>
    <w:rsid w:val="00671276"/>
    <w:rsid w:val="006720FF"/>
    <w:rsid w:val="00672C4C"/>
    <w:rsid w:val="006733AE"/>
    <w:rsid w:val="00675040"/>
    <w:rsid w:val="00676F4F"/>
    <w:rsid w:val="006771A4"/>
    <w:rsid w:val="00677612"/>
    <w:rsid w:val="00677A2D"/>
    <w:rsid w:val="00677A67"/>
    <w:rsid w:val="00677F65"/>
    <w:rsid w:val="006800DF"/>
    <w:rsid w:val="006819E4"/>
    <w:rsid w:val="00682DB9"/>
    <w:rsid w:val="006833EC"/>
    <w:rsid w:val="00683C6B"/>
    <w:rsid w:val="00683D3F"/>
    <w:rsid w:val="006858EE"/>
    <w:rsid w:val="00685A1C"/>
    <w:rsid w:val="00687228"/>
    <w:rsid w:val="00687B9B"/>
    <w:rsid w:val="00690962"/>
    <w:rsid w:val="00690BB9"/>
    <w:rsid w:val="00690D86"/>
    <w:rsid w:val="00691058"/>
    <w:rsid w:val="00691611"/>
    <w:rsid w:val="00691A43"/>
    <w:rsid w:val="00691E5B"/>
    <w:rsid w:val="00691E68"/>
    <w:rsid w:val="006920EE"/>
    <w:rsid w:val="00692DAE"/>
    <w:rsid w:val="006960AF"/>
    <w:rsid w:val="006963EB"/>
    <w:rsid w:val="00696C1F"/>
    <w:rsid w:val="006976D5"/>
    <w:rsid w:val="00697C66"/>
    <w:rsid w:val="006A01B8"/>
    <w:rsid w:val="006A1307"/>
    <w:rsid w:val="006A2534"/>
    <w:rsid w:val="006A2DCB"/>
    <w:rsid w:val="006A3967"/>
    <w:rsid w:val="006A43BD"/>
    <w:rsid w:val="006A76C0"/>
    <w:rsid w:val="006B02F2"/>
    <w:rsid w:val="006B0D27"/>
    <w:rsid w:val="006B108B"/>
    <w:rsid w:val="006B1199"/>
    <w:rsid w:val="006B1DE5"/>
    <w:rsid w:val="006B1F73"/>
    <w:rsid w:val="006B20DF"/>
    <w:rsid w:val="006B27F2"/>
    <w:rsid w:val="006B31CB"/>
    <w:rsid w:val="006B463C"/>
    <w:rsid w:val="006B4D95"/>
    <w:rsid w:val="006B4F66"/>
    <w:rsid w:val="006B562E"/>
    <w:rsid w:val="006B5F42"/>
    <w:rsid w:val="006B625F"/>
    <w:rsid w:val="006B6B89"/>
    <w:rsid w:val="006B77EE"/>
    <w:rsid w:val="006C1708"/>
    <w:rsid w:val="006C2289"/>
    <w:rsid w:val="006C283A"/>
    <w:rsid w:val="006C2904"/>
    <w:rsid w:val="006C30E8"/>
    <w:rsid w:val="006C36DA"/>
    <w:rsid w:val="006C4BEC"/>
    <w:rsid w:val="006C5ABF"/>
    <w:rsid w:val="006C6400"/>
    <w:rsid w:val="006D11EE"/>
    <w:rsid w:val="006D12A4"/>
    <w:rsid w:val="006D41DA"/>
    <w:rsid w:val="006D4A49"/>
    <w:rsid w:val="006D4F84"/>
    <w:rsid w:val="006D5CAC"/>
    <w:rsid w:val="006D663D"/>
    <w:rsid w:val="006D7AFB"/>
    <w:rsid w:val="006E058A"/>
    <w:rsid w:val="006E12BE"/>
    <w:rsid w:val="006E26B7"/>
    <w:rsid w:val="006E26E1"/>
    <w:rsid w:val="006E4CA3"/>
    <w:rsid w:val="006E60C5"/>
    <w:rsid w:val="006E7C01"/>
    <w:rsid w:val="006F08A0"/>
    <w:rsid w:val="006F17FD"/>
    <w:rsid w:val="006F2123"/>
    <w:rsid w:val="006F2D93"/>
    <w:rsid w:val="006F34AF"/>
    <w:rsid w:val="006F3AE2"/>
    <w:rsid w:val="006F4872"/>
    <w:rsid w:val="006F4D19"/>
    <w:rsid w:val="006F6963"/>
    <w:rsid w:val="006F6E6D"/>
    <w:rsid w:val="006F7F62"/>
    <w:rsid w:val="0070054A"/>
    <w:rsid w:val="00700ED3"/>
    <w:rsid w:val="007011CB"/>
    <w:rsid w:val="00702710"/>
    <w:rsid w:val="00702F5A"/>
    <w:rsid w:val="00703CA6"/>
    <w:rsid w:val="00703E19"/>
    <w:rsid w:val="007046B6"/>
    <w:rsid w:val="00704A65"/>
    <w:rsid w:val="00704D3F"/>
    <w:rsid w:val="00706AA9"/>
    <w:rsid w:val="007076EE"/>
    <w:rsid w:val="00707F3A"/>
    <w:rsid w:val="00707FFE"/>
    <w:rsid w:val="007101D7"/>
    <w:rsid w:val="0071033C"/>
    <w:rsid w:val="00711C62"/>
    <w:rsid w:val="00712244"/>
    <w:rsid w:val="007123F3"/>
    <w:rsid w:val="00713B45"/>
    <w:rsid w:val="00714428"/>
    <w:rsid w:val="00714740"/>
    <w:rsid w:val="00714958"/>
    <w:rsid w:val="007149D0"/>
    <w:rsid w:val="00714A14"/>
    <w:rsid w:val="00715B3B"/>
    <w:rsid w:val="007165CF"/>
    <w:rsid w:val="00717170"/>
    <w:rsid w:val="007177B8"/>
    <w:rsid w:val="007178C0"/>
    <w:rsid w:val="00717B3B"/>
    <w:rsid w:val="007204E4"/>
    <w:rsid w:val="00720A3E"/>
    <w:rsid w:val="00721585"/>
    <w:rsid w:val="007219F2"/>
    <w:rsid w:val="00721C50"/>
    <w:rsid w:val="007228AA"/>
    <w:rsid w:val="00725099"/>
    <w:rsid w:val="00726308"/>
    <w:rsid w:val="00726DF0"/>
    <w:rsid w:val="007279AE"/>
    <w:rsid w:val="00727E99"/>
    <w:rsid w:val="00730B48"/>
    <w:rsid w:val="00731A1A"/>
    <w:rsid w:val="0073217C"/>
    <w:rsid w:val="00732386"/>
    <w:rsid w:val="0073241A"/>
    <w:rsid w:val="007350A2"/>
    <w:rsid w:val="007375C9"/>
    <w:rsid w:val="00737646"/>
    <w:rsid w:val="007401EE"/>
    <w:rsid w:val="0074046B"/>
    <w:rsid w:val="007404F9"/>
    <w:rsid w:val="00740EFB"/>
    <w:rsid w:val="007445E1"/>
    <w:rsid w:val="007446A6"/>
    <w:rsid w:val="0074485A"/>
    <w:rsid w:val="00746C52"/>
    <w:rsid w:val="00747779"/>
    <w:rsid w:val="007504DD"/>
    <w:rsid w:val="00750E17"/>
    <w:rsid w:val="007518B9"/>
    <w:rsid w:val="00753C8E"/>
    <w:rsid w:val="00756308"/>
    <w:rsid w:val="00756DED"/>
    <w:rsid w:val="0075770A"/>
    <w:rsid w:val="00757A05"/>
    <w:rsid w:val="00757FE1"/>
    <w:rsid w:val="00761218"/>
    <w:rsid w:val="0076149D"/>
    <w:rsid w:val="007636A5"/>
    <w:rsid w:val="007646E1"/>
    <w:rsid w:val="00765034"/>
    <w:rsid w:val="00766125"/>
    <w:rsid w:val="00766AF3"/>
    <w:rsid w:val="00770043"/>
    <w:rsid w:val="007704C0"/>
    <w:rsid w:val="00770DBD"/>
    <w:rsid w:val="007757FE"/>
    <w:rsid w:val="00775D6D"/>
    <w:rsid w:val="007764B7"/>
    <w:rsid w:val="00776A04"/>
    <w:rsid w:val="00777A9F"/>
    <w:rsid w:val="00780943"/>
    <w:rsid w:val="00780AF9"/>
    <w:rsid w:val="00782054"/>
    <w:rsid w:val="00782E71"/>
    <w:rsid w:val="00784E1D"/>
    <w:rsid w:val="00786602"/>
    <w:rsid w:val="00787CD9"/>
    <w:rsid w:val="0079225F"/>
    <w:rsid w:val="007929CD"/>
    <w:rsid w:val="00792B57"/>
    <w:rsid w:val="00792ED9"/>
    <w:rsid w:val="0079400D"/>
    <w:rsid w:val="007943DB"/>
    <w:rsid w:val="00795977"/>
    <w:rsid w:val="007960C6"/>
    <w:rsid w:val="00797A0F"/>
    <w:rsid w:val="00797A3B"/>
    <w:rsid w:val="007A0A53"/>
    <w:rsid w:val="007A0A8C"/>
    <w:rsid w:val="007A15B5"/>
    <w:rsid w:val="007A1842"/>
    <w:rsid w:val="007A3371"/>
    <w:rsid w:val="007A3C99"/>
    <w:rsid w:val="007A3CE2"/>
    <w:rsid w:val="007A3F33"/>
    <w:rsid w:val="007A4192"/>
    <w:rsid w:val="007A77DB"/>
    <w:rsid w:val="007A7E8D"/>
    <w:rsid w:val="007B0E26"/>
    <w:rsid w:val="007B1D44"/>
    <w:rsid w:val="007B2C44"/>
    <w:rsid w:val="007B446E"/>
    <w:rsid w:val="007B49D1"/>
    <w:rsid w:val="007B4A37"/>
    <w:rsid w:val="007B5EAE"/>
    <w:rsid w:val="007B60A1"/>
    <w:rsid w:val="007B73BC"/>
    <w:rsid w:val="007B746D"/>
    <w:rsid w:val="007C1F09"/>
    <w:rsid w:val="007C2505"/>
    <w:rsid w:val="007C26CD"/>
    <w:rsid w:val="007C2AAE"/>
    <w:rsid w:val="007C4CAE"/>
    <w:rsid w:val="007C645F"/>
    <w:rsid w:val="007C686F"/>
    <w:rsid w:val="007C6894"/>
    <w:rsid w:val="007C759C"/>
    <w:rsid w:val="007C7F3D"/>
    <w:rsid w:val="007D0F7B"/>
    <w:rsid w:val="007D16CF"/>
    <w:rsid w:val="007D2367"/>
    <w:rsid w:val="007D24BB"/>
    <w:rsid w:val="007D2C3A"/>
    <w:rsid w:val="007D33FF"/>
    <w:rsid w:val="007D36FE"/>
    <w:rsid w:val="007D42CB"/>
    <w:rsid w:val="007D42FD"/>
    <w:rsid w:val="007D5C85"/>
    <w:rsid w:val="007D5F58"/>
    <w:rsid w:val="007D755B"/>
    <w:rsid w:val="007E024F"/>
    <w:rsid w:val="007E02B2"/>
    <w:rsid w:val="007E0FFE"/>
    <w:rsid w:val="007E13C6"/>
    <w:rsid w:val="007E18CF"/>
    <w:rsid w:val="007E2436"/>
    <w:rsid w:val="007E49F1"/>
    <w:rsid w:val="007E4FD9"/>
    <w:rsid w:val="007E5EE8"/>
    <w:rsid w:val="007E62F7"/>
    <w:rsid w:val="007E6E19"/>
    <w:rsid w:val="007E708A"/>
    <w:rsid w:val="007F03E1"/>
    <w:rsid w:val="007F12F0"/>
    <w:rsid w:val="007F158D"/>
    <w:rsid w:val="007F4B8C"/>
    <w:rsid w:val="007F4FAD"/>
    <w:rsid w:val="007F6CC3"/>
    <w:rsid w:val="00800034"/>
    <w:rsid w:val="008016BA"/>
    <w:rsid w:val="0080210F"/>
    <w:rsid w:val="008028B9"/>
    <w:rsid w:val="0080469E"/>
    <w:rsid w:val="00804887"/>
    <w:rsid w:val="0080497A"/>
    <w:rsid w:val="00805233"/>
    <w:rsid w:val="00805F28"/>
    <w:rsid w:val="00806035"/>
    <w:rsid w:val="008062C9"/>
    <w:rsid w:val="00810049"/>
    <w:rsid w:val="00810461"/>
    <w:rsid w:val="00810916"/>
    <w:rsid w:val="00810936"/>
    <w:rsid w:val="00810ECE"/>
    <w:rsid w:val="008121D5"/>
    <w:rsid w:val="00812A4F"/>
    <w:rsid w:val="00812C16"/>
    <w:rsid w:val="0081303B"/>
    <w:rsid w:val="008134C9"/>
    <w:rsid w:val="00814CDF"/>
    <w:rsid w:val="00814F7C"/>
    <w:rsid w:val="00815C02"/>
    <w:rsid w:val="00820104"/>
    <w:rsid w:val="00820227"/>
    <w:rsid w:val="00823313"/>
    <w:rsid w:val="0082335E"/>
    <w:rsid w:val="00823769"/>
    <w:rsid w:val="00824DC7"/>
    <w:rsid w:val="00830888"/>
    <w:rsid w:val="00831003"/>
    <w:rsid w:val="00831013"/>
    <w:rsid w:val="008310BD"/>
    <w:rsid w:val="00831D12"/>
    <w:rsid w:val="00832B4C"/>
    <w:rsid w:val="00834009"/>
    <w:rsid w:val="00834907"/>
    <w:rsid w:val="008349EE"/>
    <w:rsid w:val="00834AB9"/>
    <w:rsid w:val="00836809"/>
    <w:rsid w:val="008405AD"/>
    <w:rsid w:val="008408A9"/>
    <w:rsid w:val="008409BF"/>
    <w:rsid w:val="00840E05"/>
    <w:rsid w:val="00840F74"/>
    <w:rsid w:val="008411E9"/>
    <w:rsid w:val="00841868"/>
    <w:rsid w:val="00841E29"/>
    <w:rsid w:val="0084216D"/>
    <w:rsid w:val="00842AB7"/>
    <w:rsid w:val="00842B56"/>
    <w:rsid w:val="00842F39"/>
    <w:rsid w:val="00843C3C"/>
    <w:rsid w:val="00843CC0"/>
    <w:rsid w:val="00843D66"/>
    <w:rsid w:val="008444A6"/>
    <w:rsid w:val="00846422"/>
    <w:rsid w:val="008466A4"/>
    <w:rsid w:val="00846F04"/>
    <w:rsid w:val="008475A0"/>
    <w:rsid w:val="00847D97"/>
    <w:rsid w:val="00851D74"/>
    <w:rsid w:val="00851DD7"/>
    <w:rsid w:val="0085207C"/>
    <w:rsid w:val="0085208C"/>
    <w:rsid w:val="0085300A"/>
    <w:rsid w:val="00853FFE"/>
    <w:rsid w:val="0085408D"/>
    <w:rsid w:val="00854F1F"/>
    <w:rsid w:val="0085610C"/>
    <w:rsid w:val="0085758C"/>
    <w:rsid w:val="0086011F"/>
    <w:rsid w:val="008622CB"/>
    <w:rsid w:val="008633FD"/>
    <w:rsid w:val="0086378B"/>
    <w:rsid w:val="0086495D"/>
    <w:rsid w:val="00864F3F"/>
    <w:rsid w:val="008663F5"/>
    <w:rsid w:val="00866D79"/>
    <w:rsid w:val="008678DC"/>
    <w:rsid w:val="00867B0A"/>
    <w:rsid w:val="00867D1C"/>
    <w:rsid w:val="00870F6C"/>
    <w:rsid w:val="00870FB5"/>
    <w:rsid w:val="00873B64"/>
    <w:rsid w:val="00873F96"/>
    <w:rsid w:val="0087447E"/>
    <w:rsid w:val="008745B1"/>
    <w:rsid w:val="00875DFE"/>
    <w:rsid w:val="00875EF5"/>
    <w:rsid w:val="0087723C"/>
    <w:rsid w:val="00880809"/>
    <w:rsid w:val="00880C96"/>
    <w:rsid w:val="00881121"/>
    <w:rsid w:val="0088199E"/>
    <w:rsid w:val="0088244E"/>
    <w:rsid w:val="008827BA"/>
    <w:rsid w:val="008838D8"/>
    <w:rsid w:val="008843A2"/>
    <w:rsid w:val="00885288"/>
    <w:rsid w:val="00885D29"/>
    <w:rsid w:val="00886236"/>
    <w:rsid w:val="008869C7"/>
    <w:rsid w:val="00890083"/>
    <w:rsid w:val="008906FF"/>
    <w:rsid w:val="008909C6"/>
    <w:rsid w:val="00890FB3"/>
    <w:rsid w:val="0089143E"/>
    <w:rsid w:val="008924D5"/>
    <w:rsid w:val="008937F2"/>
    <w:rsid w:val="008940D0"/>
    <w:rsid w:val="00894750"/>
    <w:rsid w:val="0089502E"/>
    <w:rsid w:val="00895F29"/>
    <w:rsid w:val="008965BE"/>
    <w:rsid w:val="00896C72"/>
    <w:rsid w:val="00897128"/>
    <w:rsid w:val="00897A16"/>
    <w:rsid w:val="008A0637"/>
    <w:rsid w:val="008A1C3B"/>
    <w:rsid w:val="008A32A2"/>
    <w:rsid w:val="008A35FA"/>
    <w:rsid w:val="008A443E"/>
    <w:rsid w:val="008A65A4"/>
    <w:rsid w:val="008B1394"/>
    <w:rsid w:val="008B16AF"/>
    <w:rsid w:val="008B1FC8"/>
    <w:rsid w:val="008B35D1"/>
    <w:rsid w:val="008B40E4"/>
    <w:rsid w:val="008B46CB"/>
    <w:rsid w:val="008B5418"/>
    <w:rsid w:val="008B6740"/>
    <w:rsid w:val="008B7478"/>
    <w:rsid w:val="008B782A"/>
    <w:rsid w:val="008C1107"/>
    <w:rsid w:val="008C2FAA"/>
    <w:rsid w:val="008C536A"/>
    <w:rsid w:val="008C60D5"/>
    <w:rsid w:val="008C613D"/>
    <w:rsid w:val="008C6913"/>
    <w:rsid w:val="008C6DAA"/>
    <w:rsid w:val="008C6EBB"/>
    <w:rsid w:val="008C702D"/>
    <w:rsid w:val="008C708B"/>
    <w:rsid w:val="008C7BD6"/>
    <w:rsid w:val="008C7DC9"/>
    <w:rsid w:val="008D0F2F"/>
    <w:rsid w:val="008D1C80"/>
    <w:rsid w:val="008D1E56"/>
    <w:rsid w:val="008D20CF"/>
    <w:rsid w:val="008D6577"/>
    <w:rsid w:val="008E0119"/>
    <w:rsid w:val="008E0361"/>
    <w:rsid w:val="008E1B63"/>
    <w:rsid w:val="008E23CE"/>
    <w:rsid w:val="008E24C5"/>
    <w:rsid w:val="008E278F"/>
    <w:rsid w:val="008E63C3"/>
    <w:rsid w:val="008E7702"/>
    <w:rsid w:val="008E7D56"/>
    <w:rsid w:val="008F000B"/>
    <w:rsid w:val="008F02D4"/>
    <w:rsid w:val="008F06AF"/>
    <w:rsid w:val="008F2721"/>
    <w:rsid w:val="008F314B"/>
    <w:rsid w:val="008F3178"/>
    <w:rsid w:val="008F3924"/>
    <w:rsid w:val="008F42B3"/>
    <w:rsid w:val="008F5210"/>
    <w:rsid w:val="008F5F4A"/>
    <w:rsid w:val="008F656C"/>
    <w:rsid w:val="008F66A7"/>
    <w:rsid w:val="009002E8"/>
    <w:rsid w:val="00902AC7"/>
    <w:rsid w:val="00903328"/>
    <w:rsid w:val="00904B9E"/>
    <w:rsid w:val="00906700"/>
    <w:rsid w:val="009074EA"/>
    <w:rsid w:val="009104F4"/>
    <w:rsid w:val="00911DF6"/>
    <w:rsid w:val="00913F44"/>
    <w:rsid w:val="00914F5F"/>
    <w:rsid w:val="00916259"/>
    <w:rsid w:val="00916835"/>
    <w:rsid w:val="00917DE7"/>
    <w:rsid w:val="009209BC"/>
    <w:rsid w:val="00921F4A"/>
    <w:rsid w:val="009251AE"/>
    <w:rsid w:val="009252DF"/>
    <w:rsid w:val="00925E6F"/>
    <w:rsid w:val="0092630D"/>
    <w:rsid w:val="00926A39"/>
    <w:rsid w:val="00932270"/>
    <w:rsid w:val="00932489"/>
    <w:rsid w:val="00932BF1"/>
    <w:rsid w:val="00933B26"/>
    <w:rsid w:val="00934242"/>
    <w:rsid w:val="0093459F"/>
    <w:rsid w:val="009358AD"/>
    <w:rsid w:val="009359EA"/>
    <w:rsid w:val="00937426"/>
    <w:rsid w:val="009375A8"/>
    <w:rsid w:val="00940467"/>
    <w:rsid w:val="0094078F"/>
    <w:rsid w:val="00941A87"/>
    <w:rsid w:val="00941CBC"/>
    <w:rsid w:val="00943A16"/>
    <w:rsid w:val="00943C78"/>
    <w:rsid w:val="00944D59"/>
    <w:rsid w:val="00946CE1"/>
    <w:rsid w:val="00947C41"/>
    <w:rsid w:val="00950D60"/>
    <w:rsid w:val="00951847"/>
    <w:rsid w:val="009547F7"/>
    <w:rsid w:val="00956FCF"/>
    <w:rsid w:val="0096136E"/>
    <w:rsid w:val="00962082"/>
    <w:rsid w:val="0096396C"/>
    <w:rsid w:val="00964D5C"/>
    <w:rsid w:val="0096532D"/>
    <w:rsid w:val="00965A89"/>
    <w:rsid w:val="00966534"/>
    <w:rsid w:val="00966D97"/>
    <w:rsid w:val="00967CBE"/>
    <w:rsid w:val="00971049"/>
    <w:rsid w:val="009715B1"/>
    <w:rsid w:val="00971EA4"/>
    <w:rsid w:val="0097257D"/>
    <w:rsid w:val="00972C94"/>
    <w:rsid w:val="00972EF0"/>
    <w:rsid w:val="00973B3F"/>
    <w:rsid w:val="00974211"/>
    <w:rsid w:val="00975F10"/>
    <w:rsid w:val="00977A79"/>
    <w:rsid w:val="009807C2"/>
    <w:rsid w:val="00980BC7"/>
    <w:rsid w:val="00980F3F"/>
    <w:rsid w:val="009819B3"/>
    <w:rsid w:val="00981CC2"/>
    <w:rsid w:val="00982D0D"/>
    <w:rsid w:val="00984811"/>
    <w:rsid w:val="00985AA2"/>
    <w:rsid w:val="00985FFD"/>
    <w:rsid w:val="009868D8"/>
    <w:rsid w:val="00990FB5"/>
    <w:rsid w:val="009911F9"/>
    <w:rsid w:val="00992545"/>
    <w:rsid w:val="00992760"/>
    <w:rsid w:val="00993300"/>
    <w:rsid w:val="00993A28"/>
    <w:rsid w:val="00994F0E"/>
    <w:rsid w:val="0099500D"/>
    <w:rsid w:val="0099696B"/>
    <w:rsid w:val="00996AE2"/>
    <w:rsid w:val="009A07D5"/>
    <w:rsid w:val="009A09DF"/>
    <w:rsid w:val="009A0D0F"/>
    <w:rsid w:val="009A116E"/>
    <w:rsid w:val="009A142E"/>
    <w:rsid w:val="009A24C8"/>
    <w:rsid w:val="009A29E4"/>
    <w:rsid w:val="009A3D3E"/>
    <w:rsid w:val="009A546B"/>
    <w:rsid w:val="009A6BAF"/>
    <w:rsid w:val="009B1096"/>
    <w:rsid w:val="009B2514"/>
    <w:rsid w:val="009B4641"/>
    <w:rsid w:val="009B4692"/>
    <w:rsid w:val="009B4ACD"/>
    <w:rsid w:val="009B4C3A"/>
    <w:rsid w:val="009B500D"/>
    <w:rsid w:val="009B7501"/>
    <w:rsid w:val="009C0806"/>
    <w:rsid w:val="009C13F2"/>
    <w:rsid w:val="009C167D"/>
    <w:rsid w:val="009C338F"/>
    <w:rsid w:val="009C40CE"/>
    <w:rsid w:val="009C432A"/>
    <w:rsid w:val="009C4E92"/>
    <w:rsid w:val="009C5083"/>
    <w:rsid w:val="009C514E"/>
    <w:rsid w:val="009C624F"/>
    <w:rsid w:val="009C771A"/>
    <w:rsid w:val="009C78D7"/>
    <w:rsid w:val="009D0325"/>
    <w:rsid w:val="009D038E"/>
    <w:rsid w:val="009D1423"/>
    <w:rsid w:val="009D185F"/>
    <w:rsid w:val="009D1AAA"/>
    <w:rsid w:val="009D1B37"/>
    <w:rsid w:val="009D2EEE"/>
    <w:rsid w:val="009D32EF"/>
    <w:rsid w:val="009D32F3"/>
    <w:rsid w:val="009D367B"/>
    <w:rsid w:val="009D3EBE"/>
    <w:rsid w:val="009D4390"/>
    <w:rsid w:val="009D460C"/>
    <w:rsid w:val="009D5112"/>
    <w:rsid w:val="009D52A4"/>
    <w:rsid w:val="009D55CC"/>
    <w:rsid w:val="009D5EEA"/>
    <w:rsid w:val="009D6CAE"/>
    <w:rsid w:val="009D7036"/>
    <w:rsid w:val="009D7ED7"/>
    <w:rsid w:val="009E0A81"/>
    <w:rsid w:val="009E198D"/>
    <w:rsid w:val="009E23C2"/>
    <w:rsid w:val="009E3A01"/>
    <w:rsid w:val="009E3B6D"/>
    <w:rsid w:val="009E3D2B"/>
    <w:rsid w:val="009E3E3F"/>
    <w:rsid w:val="009E40EB"/>
    <w:rsid w:val="009E49ED"/>
    <w:rsid w:val="009E4A3E"/>
    <w:rsid w:val="009E4BC9"/>
    <w:rsid w:val="009E55B6"/>
    <w:rsid w:val="009E5B29"/>
    <w:rsid w:val="009E6F76"/>
    <w:rsid w:val="009F1FCA"/>
    <w:rsid w:val="009F22AB"/>
    <w:rsid w:val="009F261A"/>
    <w:rsid w:val="009F3362"/>
    <w:rsid w:val="009F44F6"/>
    <w:rsid w:val="009F62E2"/>
    <w:rsid w:val="009F637A"/>
    <w:rsid w:val="009F6708"/>
    <w:rsid w:val="009F6755"/>
    <w:rsid w:val="009F7552"/>
    <w:rsid w:val="009F7B03"/>
    <w:rsid w:val="009F7B72"/>
    <w:rsid w:val="00A02CC0"/>
    <w:rsid w:val="00A0353A"/>
    <w:rsid w:val="00A035CB"/>
    <w:rsid w:val="00A065D1"/>
    <w:rsid w:val="00A0688D"/>
    <w:rsid w:val="00A06C3D"/>
    <w:rsid w:val="00A07319"/>
    <w:rsid w:val="00A10A89"/>
    <w:rsid w:val="00A11CA9"/>
    <w:rsid w:val="00A120E3"/>
    <w:rsid w:val="00A1212D"/>
    <w:rsid w:val="00A12272"/>
    <w:rsid w:val="00A12680"/>
    <w:rsid w:val="00A14280"/>
    <w:rsid w:val="00A15727"/>
    <w:rsid w:val="00A1737A"/>
    <w:rsid w:val="00A17C0D"/>
    <w:rsid w:val="00A2154C"/>
    <w:rsid w:val="00A2295A"/>
    <w:rsid w:val="00A23F31"/>
    <w:rsid w:val="00A24004"/>
    <w:rsid w:val="00A24FBB"/>
    <w:rsid w:val="00A25561"/>
    <w:rsid w:val="00A26725"/>
    <w:rsid w:val="00A277B8"/>
    <w:rsid w:val="00A302FD"/>
    <w:rsid w:val="00A305CA"/>
    <w:rsid w:val="00A32687"/>
    <w:rsid w:val="00A326B8"/>
    <w:rsid w:val="00A32C7A"/>
    <w:rsid w:val="00A3338F"/>
    <w:rsid w:val="00A335E9"/>
    <w:rsid w:val="00A3488C"/>
    <w:rsid w:val="00A3515A"/>
    <w:rsid w:val="00A3663A"/>
    <w:rsid w:val="00A3695F"/>
    <w:rsid w:val="00A377A2"/>
    <w:rsid w:val="00A41F10"/>
    <w:rsid w:val="00A420D9"/>
    <w:rsid w:val="00A4235D"/>
    <w:rsid w:val="00A42B03"/>
    <w:rsid w:val="00A4357E"/>
    <w:rsid w:val="00A44632"/>
    <w:rsid w:val="00A456BB"/>
    <w:rsid w:val="00A463FA"/>
    <w:rsid w:val="00A46A68"/>
    <w:rsid w:val="00A473C3"/>
    <w:rsid w:val="00A47EBF"/>
    <w:rsid w:val="00A50623"/>
    <w:rsid w:val="00A51404"/>
    <w:rsid w:val="00A516DB"/>
    <w:rsid w:val="00A54D89"/>
    <w:rsid w:val="00A54DF1"/>
    <w:rsid w:val="00A55380"/>
    <w:rsid w:val="00A56034"/>
    <w:rsid w:val="00A5752F"/>
    <w:rsid w:val="00A6154A"/>
    <w:rsid w:val="00A61D6D"/>
    <w:rsid w:val="00A62B5F"/>
    <w:rsid w:val="00A65B32"/>
    <w:rsid w:val="00A66171"/>
    <w:rsid w:val="00A665C9"/>
    <w:rsid w:val="00A67788"/>
    <w:rsid w:val="00A67AED"/>
    <w:rsid w:val="00A67D78"/>
    <w:rsid w:val="00A706CC"/>
    <w:rsid w:val="00A70C25"/>
    <w:rsid w:val="00A729D5"/>
    <w:rsid w:val="00A741F4"/>
    <w:rsid w:val="00A743FA"/>
    <w:rsid w:val="00A74558"/>
    <w:rsid w:val="00A748B5"/>
    <w:rsid w:val="00A750B0"/>
    <w:rsid w:val="00A7644D"/>
    <w:rsid w:val="00A7696C"/>
    <w:rsid w:val="00A76C37"/>
    <w:rsid w:val="00A8132A"/>
    <w:rsid w:val="00A81384"/>
    <w:rsid w:val="00A819BA"/>
    <w:rsid w:val="00A82706"/>
    <w:rsid w:val="00A85CAE"/>
    <w:rsid w:val="00A90B41"/>
    <w:rsid w:val="00A90DD9"/>
    <w:rsid w:val="00A912AC"/>
    <w:rsid w:val="00A91873"/>
    <w:rsid w:val="00A9197F"/>
    <w:rsid w:val="00A92502"/>
    <w:rsid w:val="00A953D3"/>
    <w:rsid w:val="00A95410"/>
    <w:rsid w:val="00A95438"/>
    <w:rsid w:val="00A95ECD"/>
    <w:rsid w:val="00A96968"/>
    <w:rsid w:val="00A97585"/>
    <w:rsid w:val="00A97A80"/>
    <w:rsid w:val="00AA00F1"/>
    <w:rsid w:val="00AA10EC"/>
    <w:rsid w:val="00AA3EEC"/>
    <w:rsid w:val="00AA5B50"/>
    <w:rsid w:val="00AA64B7"/>
    <w:rsid w:val="00AA6A57"/>
    <w:rsid w:val="00AA6CDD"/>
    <w:rsid w:val="00AA7AA5"/>
    <w:rsid w:val="00AB009D"/>
    <w:rsid w:val="00AB0495"/>
    <w:rsid w:val="00AB0A65"/>
    <w:rsid w:val="00AB1A4B"/>
    <w:rsid w:val="00AB2906"/>
    <w:rsid w:val="00AB5223"/>
    <w:rsid w:val="00AB5DC7"/>
    <w:rsid w:val="00AB62A9"/>
    <w:rsid w:val="00AB635E"/>
    <w:rsid w:val="00AB6CE4"/>
    <w:rsid w:val="00AC00FF"/>
    <w:rsid w:val="00AC01CC"/>
    <w:rsid w:val="00AC07C0"/>
    <w:rsid w:val="00AC1FA5"/>
    <w:rsid w:val="00AC21DE"/>
    <w:rsid w:val="00AC2480"/>
    <w:rsid w:val="00AC265E"/>
    <w:rsid w:val="00AC38E3"/>
    <w:rsid w:val="00AC4EB9"/>
    <w:rsid w:val="00AC58F6"/>
    <w:rsid w:val="00AC607D"/>
    <w:rsid w:val="00AC6245"/>
    <w:rsid w:val="00AC653C"/>
    <w:rsid w:val="00AC681B"/>
    <w:rsid w:val="00AC7109"/>
    <w:rsid w:val="00AC7432"/>
    <w:rsid w:val="00AC7DBE"/>
    <w:rsid w:val="00AD0508"/>
    <w:rsid w:val="00AD136A"/>
    <w:rsid w:val="00AD17B1"/>
    <w:rsid w:val="00AD1E99"/>
    <w:rsid w:val="00AD2294"/>
    <w:rsid w:val="00AD30FC"/>
    <w:rsid w:val="00AD4835"/>
    <w:rsid w:val="00AD48B1"/>
    <w:rsid w:val="00AD4DBE"/>
    <w:rsid w:val="00AD54EB"/>
    <w:rsid w:val="00AD584B"/>
    <w:rsid w:val="00AD62F8"/>
    <w:rsid w:val="00AD6EA2"/>
    <w:rsid w:val="00AD73E0"/>
    <w:rsid w:val="00AD7C9C"/>
    <w:rsid w:val="00AE0242"/>
    <w:rsid w:val="00AE02D7"/>
    <w:rsid w:val="00AE1171"/>
    <w:rsid w:val="00AE1729"/>
    <w:rsid w:val="00AE2BB9"/>
    <w:rsid w:val="00AE6264"/>
    <w:rsid w:val="00AE777A"/>
    <w:rsid w:val="00AE7841"/>
    <w:rsid w:val="00AF087D"/>
    <w:rsid w:val="00AF18D0"/>
    <w:rsid w:val="00AF3A3D"/>
    <w:rsid w:val="00AF4BAD"/>
    <w:rsid w:val="00AF53F2"/>
    <w:rsid w:val="00AF5AEF"/>
    <w:rsid w:val="00AF78EE"/>
    <w:rsid w:val="00AF79DE"/>
    <w:rsid w:val="00AF7ABB"/>
    <w:rsid w:val="00B00556"/>
    <w:rsid w:val="00B00D14"/>
    <w:rsid w:val="00B0162B"/>
    <w:rsid w:val="00B0242E"/>
    <w:rsid w:val="00B02E41"/>
    <w:rsid w:val="00B036B4"/>
    <w:rsid w:val="00B0441E"/>
    <w:rsid w:val="00B04526"/>
    <w:rsid w:val="00B0503C"/>
    <w:rsid w:val="00B056B0"/>
    <w:rsid w:val="00B05C79"/>
    <w:rsid w:val="00B05D77"/>
    <w:rsid w:val="00B0672A"/>
    <w:rsid w:val="00B06FE7"/>
    <w:rsid w:val="00B07B2A"/>
    <w:rsid w:val="00B10890"/>
    <w:rsid w:val="00B10DCC"/>
    <w:rsid w:val="00B11715"/>
    <w:rsid w:val="00B12582"/>
    <w:rsid w:val="00B15CD3"/>
    <w:rsid w:val="00B16505"/>
    <w:rsid w:val="00B165CE"/>
    <w:rsid w:val="00B16E5C"/>
    <w:rsid w:val="00B1749D"/>
    <w:rsid w:val="00B178FD"/>
    <w:rsid w:val="00B209C2"/>
    <w:rsid w:val="00B21B28"/>
    <w:rsid w:val="00B221D0"/>
    <w:rsid w:val="00B22B67"/>
    <w:rsid w:val="00B237B6"/>
    <w:rsid w:val="00B2423E"/>
    <w:rsid w:val="00B242B3"/>
    <w:rsid w:val="00B24555"/>
    <w:rsid w:val="00B25F51"/>
    <w:rsid w:val="00B3090E"/>
    <w:rsid w:val="00B30B3A"/>
    <w:rsid w:val="00B321E2"/>
    <w:rsid w:val="00B3248B"/>
    <w:rsid w:val="00B32504"/>
    <w:rsid w:val="00B32FBA"/>
    <w:rsid w:val="00B345CF"/>
    <w:rsid w:val="00B3499D"/>
    <w:rsid w:val="00B35C30"/>
    <w:rsid w:val="00B35DD7"/>
    <w:rsid w:val="00B363AF"/>
    <w:rsid w:val="00B3692C"/>
    <w:rsid w:val="00B373C3"/>
    <w:rsid w:val="00B37581"/>
    <w:rsid w:val="00B407BA"/>
    <w:rsid w:val="00B411CA"/>
    <w:rsid w:val="00B426B7"/>
    <w:rsid w:val="00B42A7B"/>
    <w:rsid w:val="00B43E3B"/>
    <w:rsid w:val="00B44EDB"/>
    <w:rsid w:val="00B455D1"/>
    <w:rsid w:val="00B45E71"/>
    <w:rsid w:val="00B46623"/>
    <w:rsid w:val="00B47047"/>
    <w:rsid w:val="00B4711C"/>
    <w:rsid w:val="00B47F11"/>
    <w:rsid w:val="00B50295"/>
    <w:rsid w:val="00B50ACD"/>
    <w:rsid w:val="00B51541"/>
    <w:rsid w:val="00B528DF"/>
    <w:rsid w:val="00B530BC"/>
    <w:rsid w:val="00B531DA"/>
    <w:rsid w:val="00B53C6F"/>
    <w:rsid w:val="00B53EA2"/>
    <w:rsid w:val="00B55BC2"/>
    <w:rsid w:val="00B563E8"/>
    <w:rsid w:val="00B61EFF"/>
    <w:rsid w:val="00B62C68"/>
    <w:rsid w:val="00B632A9"/>
    <w:rsid w:val="00B635BB"/>
    <w:rsid w:val="00B64A12"/>
    <w:rsid w:val="00B65534"/>
    <w:rsid w:val="00B664EE"/>
    <w:rsid w:val="00B67660"/>
    <w:rsid w:val="00B67F22"/>
    <w:rsid w:val="00B70939"/>
    <w:rsid w:val="00B70AC8"/>
    <w:rsid w:val="00B738AC"/>
    <w:rsid w:val="00B73E59"/>
    <w:rsid w:val="00B7469B"/>
    <w:rsid w:val="00B74E59"/>
    <w:rsid w:val="00B75ADF"/>
    <w:rsid w:val="00B75D55"/>
    <w:rsid w:val="00B768F0"/>
    <w:rsid w:val="00B76DB5"/>
    <w:rsid w:val="00B778D7"/>
    <w:rsid w:val="00B803D1"/>
    <w:rsid w:val="00B80417"/>
    <w:rsid w:val="00B80EED"/>
    <w:rsid w:val="00B81216"/>
    <w:rsid w:val="00B82409"/>
    <w:rsid w:val="00B824F4"/>
    <w:rsid w:val="00B8271C"/>
    <w:rsid w:val="00B830C9"/>
    <w:rsid w:val="00B846B0"/>
    <w:rsid w:val="00B84B53"/>
    <w:rsid w:val="00B85A23"/>
    <w:rsid w:val="00B87138"/>
    <w:rsid w:val="00B905E0"/>
    <w:rsid w:val="00B9153F"/>
    <w:rsid w:val="00B923FA"/>
    <w:rsid w:val="00B92885"/>
    <w:rsid w:val="00B92AC4"/>
    <w:rsid w:val="00B9348C"/>
    <w:rsid w:val="00B953CD"/>
    <w:rsid w:val="00B95792"/>
    <w:rsid w:val="00B96277"/>
    <w:rsid w:val="00B96FA0"/>
    <w:rsid w:val="00B970FE"/>
    <w:rsid w:val="00B979EA"/>
    <w:rsid w:val="00B97E53"/>
    <w:rsid w:val="00BA1782"/>
    <w:rsid w:val="00BA37D0"/>
    <w:rsid w:val="00BA3CF5"/>
    <w:rsid w:val="00BA6989"/>
    <w:rsid w:val="00BA6C7E"/>
    <w:rsid w:val="00BA6F29"/>
    <w:rsid w:val="00BA7D02"/>
    <w:rsid w:val="00BB0891"/>
    <w:rsid w:val="00BB0FC8"/>
    <w:rsid w:val="00BB1A8A"/>
    <w:rsid w:val="00BB2935"/>
    <w:rsid w:val="00BB2FBF"/>
    <w:rsid w:val="00BB3643"/>
    <w:rsid w:val="00BB44C1"/>
    <w:rsid w:val="00BB4E6D"/>
    <w:rsid w:val="00BB6067"/>
    <w:rsid w:val="00BB6079"/>
    <w:rsid w:val="00BB63C9"/>
    <w:rsid w:val="00BB646C"/>
    <w:rsid w:val="00BB6869"/>
    <w:rsid w:val="00BB6EC1"/>
    <w:rsid w:val="00BB7F63"/>
    <w:rsid w:val="00BC044E"/>
    <w:rsid w:val="00BC0F5A"/>
    <w:rsid w:val="00BC1B99"/>
    <w:rsid w:val="00BC1CA7"/>
    <w:rsid w:val="00BC2D04"/>
    <w:rsid w:val="00BC372B"/>
    <w:rsid w:val="00BC384F"/>
    <w:rsid w:val="00BC4830"/>
    <w:rsid w:val="00BC53E2"/>
    <w:rsid w:val="00BC7FE7"/>
    <w:rsid w:val="00BD0502"/>
    <w:rsid w:val="00BD05BD"/>
    <w:rsid w:val="00BD0B96"/>
    <w:rsid w:val="00BD2006"/>
    <w:rsid w:val="00BD25B4"/>
    <w:rsid w:val="00BD2D98"/>
    <w:rsid w:val="00BD33FE"/>
    <w:rsid w:val="00BD3EFF"/>
    <w:rsid w:val="00BD5525"/>
    <w:rsid w:val="00BD5B93"/>
    <w:rsid w:val="00BD7A7F"/>
    <w:rsid w:val="00BE0FC7"/>
    <w:rsid w:val="00BE17E9"/>
    <w:rsid w:val="00BE40AF"/>
    <w:rsid w:val="00BE4AAD"/>
    <w:rsid w:val="00BE4AD0"/>
    <w:rsid w:val="00BE51CD"/>
    <w:rsid w:val="00BE6E79"/>
    <w:rsid w:val="00BE79B0"/>
    <w:rsid w:val="00BE7F3C"/>
    <w:rsid w:val="00BF04C3"/>
    <w:rsid w:val="00BF1BE8"/>
    <w:rsid w:val="00BF25B0"/>
    <w:rsid w:val="00BF2D6C"/>
    <w:rsid w:val="00BF485B"/>
    <w:rsid w:val="00BF4FC4"/>
    <w:rsid w:val="00BF53B7"/>
    <w:rsid w:val="00BF5BB0"/>
    <w:rsid w:val="00BF5DA3"/>
    <w:rsid w:val="00BF6ED9"/>
    <w:rsid w:val="00C0070F"/>
    <w:rsid w:val="00C00C7E"/>
    <w:rsid w:val="00C01616"/>
    <w:rsid w:val="00C01F57"/>
    <w:rsid w:val="00C02E45"/>
    <w:rsid w:val="00C05194"/>
    <w:rsid w:val="00C0529C"/>
    <w:rsid w:val="00C058BD"/>
    <w:rsid w:val="00C079A4"/>
    <w:rsid w:val="00C11263"/>
    <w:rsid w:val="00C11891"/>
    <w:rsid w:val="00C1250C"/>
    <w:rsid w:val="00C14C31"/>
    <w:rsid w:val="00C157B0"/>
    <w:rsid w:val="00C15BB4"/>
    <w:rsid w:val="00C15D89"/>
    <w:rsid w:val="00C164C1"/>
    <w:rsid w:val="00C164E5"/>
    <w:rsid w:val="00C169DB"/>
    <w:rsid w:val="00C16BE9"/>
    <w:rsid w:val="00C2017B"/>
    <w:rsid w:val="00C20838"/>
    <w:rsid w:val="00C212F9"/>
    <w:rsid w:val="00C21FDB"/>
    <w:rsid w:val="00C24D7D"/>
    <w:rsid w:val="00C2514C"/>
    <w:rsid w:val="00C264DB"/>
    <w:rsid w:val="00C26580"/>
    <w:rsid w:val="00C278D1"/>
    <w:rsid w:val="00C30580"/>
    <w:rsid w:val="00C32FF0"/>
    <w:rsid w:val="00C3361D"/>
    <w:rsid w:val="00C369F3"/>
    <w:rsid w:val="00C37913"/>
    <w:rsid w:val="00C4035A"/>
    <w:rsid w:val="00C40C09"/>
    <w:rsid w:val="00C41B4D"/>
    <w:rsid w:val="00C42E16"/>
    <w:rsid w:val="00C431DA"/>
    <w:rsid w:val="00C440D4"/>
    <w:rsid w:val="00C442EC"/>
    <w:rsid w:val="00C450D6"/>
    <w:rsid w:val="00C46666"/>
    <w:rsid w:val="00C46711"/>
    <w:rsid w:val="00C4685D"/>
    <w:rsid w:val="00C47285"/>
    <w:rsid w:val="00C50C8D"/>
    <w:rsid w:val="00C515B4"/>
    <w:rsid w:val="00C51DED"/>
    <w:rsid w:val="00C5287C"/>
    <w:rsid w:val="00C5332A"/>
    <w:rsid w:val="00C548CA"/>
    <w:rsid w:val="00C56D59"/>
    <w:rsid w:val="00C61F12"/>
    <w:rsid w:val="00C6212A"/>
    <w:rsid w:val="00C62960"/>
    <w:rsid w:val="00C62A3E"/>
    <w:rsid w:val="00C63390"/>
    <w:rsid w:val="00C645C6"/>
    <w:rsid w:val="00C64CA7"/>
    <w:rsid w:val="00C64EB6"/>
    <w:rsid w:val="00C65059"/>
    <w:rsid w:val="00C65157"/>
    <w:rsid w:val="00C65CE5"/>
    <w:rsid w:val="00C66EAD"/>
    <w:rsid w:val="00C70133"/>
    <w:rsid w:val="00C70F00"/>
    <w:rsid w:val="00C71AFD"/>
    <w:rsid w:val="00C734DD"/>
    <w:rsid w:val="00C74796"/>
    <w:rsid w:val="00C74C84"/>
    <w:rsid w:val="00C75319"/>
    <w:rsid w:val="00C75FA0"/>
    <w:rsid w:val="00C76B92"/>
    <w:rsid w:val="00C76F96"/>
    <w:rsid w:val="00C772FC"/>
    <w:rsid w:val="00C773F2"/>
    <w:rsid w:val="00C8134C"/>
    <w:rsid w:val="00C82CAE"/>
    <w:rsid w:val="00C82E2F"/>
    <w:rsid w:val="00C843FC"/>
    <w:rsid w:val="00C84435"/>
    <w:rsid w:val="00C8559B"/>
    <w:rsid w:val="00C859EF"/>
    <w:rsid w:val="00C85DE9"/>
    <w:rsid w:val="00C87150"/>
    <w:rsid w:val="00C904BA"/>
    <w:rsid w:val="00C90C78"/>
    <w:rsid w:val="00C91AAD"/>
    <w:rsid w:val="00C91D38"/>
    <w:rsid w:val="00C9351A"/>
    <w:rsid w:val="00C9374A"/>
    <w:rsid w:val="00C93BBD"/>
    <w:rsid w:val="00C94274"/>
    <w:rsid w:val="00C942B8"/>
    <w:rsid w:val="00C95D5B"/>
    <w:rsid w:val="00C95E27"/>
    <w:rsid w:val="00C966E8"/>
    <w:rsid w:val="00C967E4"/>
    <w:rsid w:val="00C96EFF"/>
    <w:rsid w:val="00C972B3"/>
    <w:rsid w:val="00C97CB1"/>
    <w:rsid w:val="00CA0048"/>
    <w:rsid w:val="00CA015C"/>
    <w:rsid w:val="00CA0233"/>
    <w:rsid w:val="00CA2715"/>
    <w:rsid w:val="00CA29BF"/>
    <w:rsid w:val="00CA29DA"/>
    <w:rsid w:val="00CA2B46"/>
    <w:rsid w:val="00CA2DC4"/>
    <w:rsid w:val="00CA348F"/>
    <w:rsid w:val="00CA60C1"/>
    <w:rsid w:val="00CA6431"/>
    <w:rsid w:val="00CA6AB6"/>
    <w:rsid w:val="00CA716E"/>
    <w:rsid w:val="00CA7229"/>
    <w:rsid w:val="00CA7ADE"/>
    <w:rsid w:val="00CB04D7"/>
    <w:rsid w:val="00CB2769"/>
    <w:rsid w:val="00CB3AAF"/>
    <w:rsid w:val="00CB3C6F"/>
    <w:rsid w:val="00CB445F"/>
    <w:rsid w:val="00CB47AC"/>
    <w:rsid w:val="00CB539B"/>
    <w:rsid w:val="00CB57C8"/>
    <w:rsid w:val="00CB5BAC"/>
    <w:rsid w:val="00CB7038"/>
    <w:rsid w:val="00CB7171"/>
    <w:rsid w:val="00CC00FE"/>
    <w:rsid w:val="00CC0380"/>
    <w:rsid w:val="00CC1140"/>
    <w:rsid w:val="00CC3B60"/>
    <w:rsid w:val="00CC3F9E"/>
    <w:rsid w:val="00CC3FFA"/>
    <w:rsid w:val="00CC40E7"/>
    <w:rsid w:val="00CC4CEF"/>
    <w:rsid w:val="00CC4D7F"/>
    <w:rsid w:val="00CC6D86"/>
    <w:rsid w:val="00CC7FF6"/>
    <w:rsid w:val="00CD0004"/>
    <w:rsid w:val="00CD06C1"/>
    <w:rsid w:val="00CD0A29"/>
    <w:rsid w:val="00CD12A0"/>
    <w:rsid w:val="00CD18BC"/>
    <w:rsid w:val="00CD1F37"/>
    <w:rsid w:val="00CD259E"/>
    <w:rsid w:val="00CD40D5"/>
    <w:rsid w:val="00CD4521"/>
    <w:rsid w:val="00CD491D"/>
    <w:rsid w:val="00CD50CB"/>
    <w:rsid w:val="00CD5DA7"/>
    <w:rsid w:val="00CD77AD"/>
    <w:rsid w:val="00CE0690"/>
    <w:rsid w:val="00CE1428"/>
    <w:rsid w:val="00CE16D3"/>
    <w:rsid w:val="00CE194A"/>
    <w:rsid w:val="00CE1D3F"/>
    <w:rsid w:val="00CE25D4"/>
    <w:rsid w:val="00CE31E7"/>
    <w:rsid w:val="00CE4529"/>
    <w:rsid w:val="00CE4B96"/>
    <w:rsid w:val="00CE58DA"/>
    <w:rsid w:val="00CE7622"/>
    <w:rsid w:val="00CE7BB0"/>
    <w:rsid w:val="00CE7D46"/>
    <w:rsid w:val="00CF0153"/>
    <w:rsid w:val="00CF0482"/>
    <w:rsid w:val="00CF0C55"/>
    <w:rsid w:val="00CF1818"/>
    <w:rsid w:val="00CF1D5C"/>
    <w:rsid w:val="00CF2092"/>
    <w:rsid w:val="00CF2544"/>
    <w:rsid w:val="00CF32C7"/>
    <w:rsid w:val="00CF4F5B"/>
    <w:rsid w:val="00D019FC"/>
    <w:rsid w:val="00D02586"/>
    <w:rsid w:val="00D030EE"/>
    <w:rsid w:val="00D0354D"/>
    <w:rsid w:val="00D04BB0"/>
    <w:rsid w:val="00D0660A"/>
    <w:rsid w:val="00D07027"/>
    <w:rsid w:val="00D07E6D"/>
    <w:rsid w:val="00D106C1"/>
    <w:rsid w:val="00D110D4"/>
    <w:rsid w:val="00D113E4"/>
    <w:rsid w:val="00D12598"/>
    <w:rsid w:val="00D12685"/>
    <w:rsid w:val="00D1376F"/>
    <w:rsid w:val="00D13EA3"/>
    <w:rsid w:val="00D15149"/>
    <w:rsid w:val="00D164D3"/>
    <w:rsid w:val="00D17C5C"/>
    <w:rsid w:val="00D17CFE"/>
    <w:rsid w:val="00D20F14"/>
    <w:rsid w:val="00D21985"/>
    <w:rsid w:val="00D2200F"/>
    <w:rsid w:val="00D23FF7"/>
    <w:rsid w:val="00D24745"/>
    <w:rsid w:val="00D24785"/>
    <w:rsid w:val="00D25ABB"/>
    <w:rsid w:val="00D26CC9"/>
    <w:rsid w:val="00D3076D"/>
    <w:rsid w:val="00D31A5E"/>
    <w:rsid w:val="00D3487D"/>
    <w:rsid w:val="00D34D31"/>
    <w:rsid w:val="00D34D59"/>
    <w:rsid w:val="00D35C42"/>
    <w:rsid w:val="00D369DB"/>
    <w:rsid w:val="00D36F2C"/>
    <w:rsid w:val="00D401CF"/>
    <w:rsid w:val="00D40348"/>
    <w:rsid w:val="00D42E99"/>
    <w:rsid w:val="00D4381D"/>
    <w:rsid w:val="00D43821"/>
    <w:rsid w:val="00D43825"/>
    <w:rsid w:val="00D43895"/>
    <w:rsid w:val="00D44AF4"/>
    <w:rsid w:val="00D44BDC"/>
    <w:rsid w:val="00D45F0D"/>
    <w:rsid w:val="00D46858"/>
    <w:rsid w:val="00D50220"/>
    <w:rsid w:val="00D507B8"/>
    <w:rsid w:val="00D50E44"/>
    <w:rsid w:val="00D5193E"/>
    <w:rsid w:val="00D51C4F"/>
    <w:rsid w:val="00D53033"/>
    <w:rsid w:val="00D53F17"/>
    <w:rsid w:val="00D54212"/>
    <w:rsid w:val="00D545B3"/>
    <w:rsid w:val="00D547DF"/>
    <w:rsid w:val="00D54B64"/>
    <w:rsid w:val="00D55DDD"/>
    <w:rsid w:val="00D56579"/>
    <w:rsid w:val="00D56994"/>
    <w:rsid w:val="00D578A9"/>
    <w:rsid w:val="00D57D7D"/>
    <w:rsid w:val="00D62C2B"/>
    <w:rsid w:val="00D631A7"/>
    <w:rsid w:val="00D63706"/>
    <w:rsid w:val="00D63711"/>
    <w:rsid w:val="00D6620C"/>
    <w:rsid w:val="00D66ADA"/>
    <w:rsid w:val="00D67984"/>
    <w:rsid w:val="00D7108E"/>
    <w:rsid w:val="00D719AB"/>
    <w:rsid w:val="00D736B9"/>
    <w:rsid w:val="00D73C5D"/>
    <w:rsid w:val="00D745A7"/>
    <w:rsid w:val="00D74684"/>
    <w:rsid w:val="00D75FF9"/>
    <w:rsid w:val="00D76569"/>
    <w:rsid w:val="00D7681E"/>
    <w:rsid w:val="00D76CAF"/>
    <w:rsid w:val="00D775FE"/>
    <w:rsid w:val="00D802BA"/>
    <w:rsid w:val="00D80F72"/>
    <w:rsid w:val="00D82051"/>
    <w:rsid w:val="00D82084"/>
    <w:rsid w:val="00D82B18"/>
    <w:rsid w:val="00D83319"/>
    <w:rsid w:val="00D83EEA"/>
    <w:rsid w:val="00D83F44"/>
    <w:rsid w:val="00D8511B"/>
    <w:rsid w:val="00D8555C"/>
    <w:rsid w:val="00D85854"/>
    <w:rsid w:val="00D858C5"/>
    <w:rsid w:val="00D8608B"/>
    <w:rsid w:val="00D867AD"/>
    <w:rsid w:val="00D8763D"/>
    <w:rsid w:val="00D879D3"/>
    <w:rsid w:val="00D87F97"/>
    <w:rsid w:val="00D9218A"/>
    <w:rsid w:val="00D92393"/>
    <w:rsid w:val="00D93B9D"/>
    <w:rsid w:val="00D9542D"/>
    <w:rsid w:val="00D965A0"/>
    <w:rsid w:val="00D97506"/>
    <w:rsid w:val="00D97823"/>
    <w:rsid w:val="00D97B24"/>
    <w:rsid w:val="00D97D42"/>
    <w:rsid w:val="00DA08C1"/>
    <w:rsid w:val="00DA12D0"/>
    <w:rsid w:val="00DA1324"/>
    <w:rsid w:val="00DA1ADB"/>
    <w:rsid w:val="00DA30E1"/>
    <w:rsid w:val="00DA3350"/>
    <w:rsid w:val="00DA422D"/>
    <w:rsid w:val="00DA4522"/>
    <w:rsid w:val="00DA53B1"/>
    <w:rsid w:val="00DA5554"/>
    <w:rsid w:val="00DA6076"/>
    <w:rsid w:val="00DA62AB"/>
    <w:rsid w:val="00DA6507"/>
    <w:rsid w:val="00DA6C56"/>
    <w:rsid w:val="00DA79D2"/>
    <w:rsid w:val="00DA7F70"/>
    <w:rsid w:val="00DB17B9"/>
    <w:rsid w:val="00DB2133"/>
    <w:rsid w:val="00DB3A03"/>
    <w:rsid w:val="00DB3F4D"/>
    <w:rsid w:val="00DB426D"/>
    <w:rsid w:val="00DB494A"/>
    <w:rsid w:val="00DB54BE"/>
    <w:rsid w:val="00DB57B8"/>
    <w:rsid w:val="00DB5B57"/>
    <w:rsid w:val="00DB5CF2"/>
    <w:rsid w:val="00DB5D98"/>
    <w:rsid w:val="00DB60C8"/>
    <w:rsid w:val="00DB6586"/>
    <w:rsid w:val="00DB73B7"/>
    <w:rsid w:val="00DB7A80"/>
    <w:rsid w:val="00DC0433"/>
    <w:rsid w:val="00DC1559"/>
    <w:rsid w:val="00DC1593"/>
    <w:rsid w:val="00DC33AA"/>
    <w:rsid w:val="00DC3696"/>
    <w:rsid w:val="00DC3EC3"/>
    <w:rsid w:val="00DC4693"/>
    <w:rsid w:val="00DD018A"/>
    <w:rsid w:val="00DD0792"/>
    <w:rsid w:val="00DD0E0D"/>
    <w:rsid w:val="00DD2C9F"/>
    <w:rsid w:val="00DD30CD"/>
    <w:rsid w:val="00DD3795"/>
    <w:rsid w:val="00DD4035"/>
    <w:rsid w:val="00DD4852"/>
    <w:rsid w:val="00DD4A36"/>
    <w:rsid w:val="00DD5C69"/>
    <w:rsid w:val="00DD5F2C"/>
    <w:rsid w:val="00DE03D3"/>
    <w:rsid w:val="00DE0FBA"/>
    <w:rsid w:val="00DE13A5"/>
    <w:rsid w:val="00DE1BAA"/>
    <w:rsid w:val="00DE25D7"/>
    <w:rsid w:val="00DE2EED"/>
    <w:rsid w:val="00DE3A85"/>
    <w:rsid w:val="00DE5866"/>
    <w:rsid w:val="00DE690C"/>
    <w:rsid w:val="00DE6FE8"/>
    <w:rsid w:val="00DF1D6C"/>
    <w:rsid w:val="00DF2231"/>
    <w:rsid w:val="00DF2F04"/>
    <w:rsid w:val="00DF3FE7"/>
    <w:rsid w:val="00DF4DBD"/>
    <w:rsid w:val="00DF55B7"/>
    <w:rsid w:val="00E00152"/>
    <w:rsid w:val="00E00F49"/>
    <w:rsid w:val="00E01123"/>
    <w:rsid w:val="00E01192"/>
    <w:rsid w:val="00E01840"/>
    <w:rsid w:val="00E01F6A"/>
    <w:rsid w:val="00E0319A"/>
    <w:rsid w:val="00E03626"/>
    <w:rsid w:val="00E03867"/>
    <w:rsid w:val="00E0419A"/>
    <w:rsid w:val="00E04C2F"/>
    <w:rsid w:val="00E05EAC"/>
    <w:rsid w:val="00E07779"/>
    <w:rsid w:val="00E0783E"/>
    <w:rsid w:val="00E078B0"/>
    <w:rsid w:val="00E0792A"/>
    <w:rsid w:val="00E07A28"/>
    <w:rsid w:val="00E1054A"/>
    <w:rsid w:val="00E1159F"/>
    <w:rsid w:val="00E12731"/>
    <w:rsid w:val="00E127A7"/>
    <w:rsid w:val="00E161C1"/>
    <w:rsid w:val="00E163A2"/>
    <w:rsid w:val="00E16462"/>
    <w:rsid w:val="00E17021"/>
    <w:rsid w:val="00E17039"/>
    <w:rsid w:val="00E177F2"/>
    <w:rsid w:val="00E222F6"/>
    <w:rsid w:val="00E22B61"/>
    <w:rsid w:val="00E22C6B"/>
    <w:rsid w:val="00E23A63"/>
    <w:rsid w:val="00E24058"/>
    <w:rsid w:val="00E2416A"/>
    <w:rsid w:val="00E2457C"/>
    <w:rsid w:val="00E266DC"/>
    <w:rsid w:val="00E2671F"/>
    <w:rsid w:val="00E272EB"/>
    <w:rsid w:val="00E3131F"/>
    <w:rsid w:val="00E31919"/>
    <w:rsid w:val="00E31F3F"/>
    <w:rsid w:val="00E32314"/>
    <w:rsid w:val="00E3257B"/>
    <w:rsid w:val="00E3326E"/>
    <w:rsid w:val="00E33D0E"/>
    <w:rsid w:val="00E34B01"/>
    <w:rsid w:val="00E34BE1"/>
    <w:rsid w:val="00E35C9E"/>
    <w:rsid w:val="00E37726"/>
    <w:rsid w:val="00E37B2A"/>
    <w:rsid w:val="00E37DB1"/>
    <w:rsid w:val="00E4143A"/>
    <w:rsid w:val="00E42CE8"/>
    <w:rsid w:val="00E42DDD"/>
    <w:rsid w:val="00E42F68"/>
    <w:rsid w:val="00E43273"/>
    <w:rsid w:val="00E43C34"/>
    <w:rsid w:val="00E43E3D"/>
    <w:rsid w:val="00E45A3D"/>
    <w:rsid w:val="00E46205"/>
    <w:rsid w:val="00E46424"/>
    <w:rsid w:val="00E46687"/>
    <w:rsid w:val="00E46CC9"/>
    <w:rsid w:val="00E47677"/>
    <w:rsid w:val="00E50A67"/>
    <w:rsid w:val="00E50D0F"/>
    <w:rsid w:val="00E510EF"/>
    <w:rsid w:val="00E511B8"/>
    <w:rsid w:val="00E51664"/>
    <w:rsid w:val="00E519BC"/>
    <w:rsid w:val="00E51A83"/>
    <w:rsid w:val="00E51EE4"/>
    <w:rsid w:val="00E52D7C"/>
    <w:rsid w:val="00E55217"/>
    <w:rsid w:val="00E55332"/>
    <w:rsid w:val="00E558EE"/>
    <w:rsid w:val="00E565A4"/>
    <w:rsid w:val="00E56810"/>
    <w:rsid w:val="00E57890"/>
    <w:rsid w:val="00E57F09"/>
    <w:rsid w:val="00E607A4"/>
    <w:rsid w:val="00E61B70"/>
    <w:rsid w:val="00E62CE7"/>
    <w:rsid w:val="00E64154"/>
    <w:rsid w:val="00E66011"/>
    <w:rsid w:val="00E6717F"/>
    <w:rsid w:val="00E7048E"/>
    <w:rsid w:val="00E708D2"/>
    <w:rsid w:val="00E70EA4"/>
    <w:rsid w:val="00E71C83"/>
    <w:rsid w:val="00E71EC4"/>
    <w:rsid w:val="00E74F54"/>
    <w:rsid w:val="00E75140"/>
    <w:rsid w:val="00E757A5"/>
    <w:rsid w:val="00E7791E"/>
    <w:rsid w:val="00E80D6D"/>
    <w:rsid w:val="00E8143D"/>
    <w:rsid w:val="00E82404"/>
    <w:rsid w:val="00E83900"/>
    <w:rsid w:val="00E84D45"/>
    <w:rsid w:val="00E86AA4"/>
    <w:rsid w:val="00E86B3C"/>
    <w:rsid w:val="00E86B6D"/>
    <w:rsid w:val="00E90336"/>
    <w:rsid w:val="00E903D3"/>
    <w:rsid w:val="00E90531"/>
    <w:rsid w:val="00E91141"/>
    <w:rsid w:val="00E919F4"/>
    <w:rsid w:val="00E926CD"/>
    <w:rsid w:val="00E9360D"/>
    <w:rsid w:val="00E94195"/>
    <w:rsid w:val="00E95106"/>
    <w:rsid w:val="00E951DA"/>
    <w:rsid w:val="00E96027"/>
    <w:rsid w:val="00E97155"/>
    <w:rsid w:val="00EA1447"/>
    <w:rsid w:val="00EA248D"/>
    <w:rsid w:val="00EA3E48"/>
    <w:rsid w:val="00EA432D"/>
    <w:rsid w:val="00EA585E"/>
    <w:rsid w:val="00EA6EC2"/>
    <w:rsid w:val="00EB0EFE"/>
    <w:rsid w:val="00EB1159"/>
    <w:rsid w:val="00EB15BF"/>
    <w:rsid w:val="00EB260F"/>
    <w:rsid w:val="00EB5AA7"/>
    <w:rsid w:val="00EB5CDC"/>
    <w:rsid w:val="00EC05CA"/>
    <w:rsid w:val="00EC0C45"/>
    <w:rsid w:val="00EC3CA6"/>
    <w:rsid w:val="00EC52EC"/>
    <w:rsid w:val="00EC5360"/>
    <w:rsid w:val="00EC5876"/>
    <w:rsid w:val="00EC616B"/>
    <w:rsid w:val="00EC7D28"/>
    <w:rsid w:val="00ED2318"/>
    <w:rsid w:val="00ED454E"/>
    <w:rsid w:val="00ED5317"/>
    <w:rsid w:val="00ED61E7"/>
    <w:rsid w:val="00ED65B5"/>
    <w:rsid w:val="00ED6C1B"/>
    <w:rsid w:val="00ED72CF"/>
    <w:rsid w:val="00ED7BE9"/>
    <w:rsid w:val="00ED7D6E"/>
    <w:rsid w:val="00EE0603"/>
    <w:rsid w:val="00EE2011"/>
    <w:rsid w:val="00EE214A"/>
    <w:rsid w:val="00EE241F"/>
    <w:rsid w:val="00EE2C28"/>
    <w:rsid w:val="00EE30B0"/>
    <w:rsid w:val="00EE42BE"/>
    <w:rsid w:val="00EE5259"/>
    <w:rsid w:val="00EE53DC"/>
    <w:rsid w:val="00EE6D60"/>
    <w:rsid w:val="00EE7B8E"/>
    <w:rsid w:val="00EE7BA8"/>
    <w:rsid w:val="00EE7F4E"/>
    <w:rsid w:val="00EF0498"/>
    <w:rsid w:val="00EF0C7C"/>
    <w:rsid w:val="00EF1D79"/>
    <w:rsid w:val="00EF22E3"/>
    <w:rsid w:val="00EF317C"/>
    <w:rsid w:val="00EF34B4"/>
    <w:rsid w:val="00EF3718"/>
    <w:rsid w:val="00EF4378"/>
    <w:rsid w:val="00EF4410"/>
    <w:rsid w:val="00EF4A18"/>
    <w:rsid w:val="00EF4B06"/>
    <w:rsid w:val="00EF53AF"/>
    <w:rsid w:val="00EF56FE"/>
    <w:rsid w:val="00EF6698"/>
    <w:rsid w:val="00EF73BF"/>
    <w:rsid w:val="00EF75B6"/>
    <w:rsid w:val="00EF7887"/>
    <w:rsid w:val="00F00A88"/>
    <w:rsid w:val="00F00B81"/>
    <w:rsid w:val="00F03671"/>
    <w:rsid w:val="00F038F2"/>
    <w:rsid w:val="00F03F49"/>
    <w:rsid w:val="00F04254"/>
    <w:rsid w:val="00F04968"/>
    <w:rsid w:val="00F05478"/>
    <w:rsid w:val="00F05568"/>
    <w:rsid w:val="00F066E6"/>
    <w:rsid w:val="00F07B1F"/>
    <w:rsid w:val="00F10F0F"/>
    <w:rsid w:val="00F10FE4"/>
    <w:rsid w:val="00F11019"/>
    <w:rsid w:val="00F1404C"/>
    <w:rsid w:val="00F1434B"/>
    <w:rsid w:val="00F15485"/>
    <w:rsid w:val="00F161F4"/>
    <w:rsid w:val="00F166F8"/>
    <w:rsid w:val="00F16E2D"/>
    <w:rsid w:val="00F21793"/>
    <w:rsid w:val="00F225D2"/>
    <w:rsid w:val="00F22EEA"/>
    <w:rsid w:val="00F2362A"/>
    <w:rsid w:val="00F242D5"/>
    <w:rsid w:val="00F2443B"/>
    <w:rsid w:val="00F2561E"/>
    <w:rsid w:val="00F262E5"/>
    <w:rsid w:val="00F26F1A"/>
    <w:rsid w:val="00F27603"/>
    <w:rsid w:val="00F300F0"/>
    <w:rsid w:val="00F305FC"/>
    <w:rsid w:val="00F30716"/>
    <w:rsid w:val="00F307CC"/>
    <w:rsid w:val="00F315D0"/>
    <w:rsid w:val="00F32C4A"/>
    <w:rsid w:val="00F334F3"/>
    <w:rsid w:val="00F33FD2"/>
    <w:rsid w:val="00F3513D"/>
    <w:rsid w:val="00F35604"/>
    <w:rsid w:val="00F36AF5"/>
    <w:rsid w:val="00F377CD"/>
    <w:rsid w:val="00F37C2F"/>
    <w:rsid w:val="00F37CC8"/>
    <w:rsid w:val="00F40188"/>
    <w:rsid w:val="00F405DA"/>
    <w:rsid w:val="00F419F1"/>
    <w:rsid w:val="00F41B83"/>
    <w:rsid w:val="00F4232A"/>
    <w:rsid w:val="00F4281B"/>
    <w:rsid w:val="00F43ACC"/>
    <w:rsid w:val="00F4434F"/>
    <w:rsid w:val="00F45590"/>
    <w:rsid w:val="00F45D2A"/>
    <w:rsid w:val="00F46439"/>
    <w:rsid w:val="00F46692"/>
    <w:rsid w:val="00F46697"/>
    <w:rsid w:val="00F47E68"/>
    <w:rsid w:val="00F50806"/>
    <w:rsid w:val="00F5091D"/>
    <w:rsid w:val="00F51E4A"/>
    <w:rsid w:val="00F53094"/>
    <w:rsid w:val="00F53BB2"/>
    <w:rsid w:val="00F53C3E"/>
    <w:rsid w:val="00F54D87"/>
    <w:rsid w:val="00F54DE9"/>
    <w:rsid w:val="00F54EC7"/>
    <w:rsid w:val="00F575B6"/>
    <w:rsid w:val="00F57F04"/>
    <w:rsid w:val="00F6049C"/>
    <w:rsid w:val="00F613DE"/>
    <w:rsid w:val="00F65D9D"/>
    <w:rsid w:val="00F664D1"/>
    <w:rsid w:val="00F67183"/>
    <w:rsid w:val="00F671D3"/>
    <w:rsid w:val="00F67ADE"/>
    <w:rsid w:val="00F70828"/>
    <w:rsid w:val="00F70B99"/>
    <w:rsid w:val="00F7196B"/>
    <w:rsid w:val="00F719D2"/>
    <w:rsid w:val="00F72E8E"/>
    <w:rsid w:val="00F73867"/>
    <w:rsid w:val="00F747EC"/>
    <w:rsid w:val="00F75D8C"/>
    <w:rsid w:val="00F75DA6"/>
    <w:rsid w:val="00F7692A"/>
    <w:rsid w:val="00F800FF"/>
    <w:rsid w:val="00F80583"/>
    <w:rsid w:val="00F80AD4"/>
    <w:rsid w:val="00F829F2"/>
    <w:rsid w:val="00F84098"/>
    <w:rsid w:val="00F842D5"/>
    <w:rsid w:val="00F851D8"/>
    <w:rsid w:val="00F8543A"/>
    <w:rsid w:val="00F86BBA"/>
    <w:rsid w:val="00F87C3E"/>
    <w:rsid w:val="00F90579"/>
    <w:rsid w:val="00F90876"/>
    <w:rsid w:val="00F91598"/>
    <w:rsid w:val="00F93A69"/>
    <w:rsid w:val="00F940ED"/>
    <w:rsid w:val="00F94F85"/>
    <w:rsid w:val="00F95F18"/>
    <w:rsid w:val="00F97009"/>
    <w:rsid w:val="00F97494"/>
    <w:rsid w:val="00F975E9"/>
    <w:rsid w:val="00F9782F"/>
    <w:rsid w:val="00FA03A5"/>
    <w:rsid w:val="00FA0D97"/>
    <w:rsid w:val="00FA3644"/>
    <w:rsid w:val="00FA3DE4"/>
    <w:rsid w:val="00FA4545"/>
    <w:rsid w:val="00FA49F3"/>
    <w:rsid w:val="00FA4B24"/>
    <w:rsid w:val="00FA526A"/>
    <w:rsid w:val="00FA55CE"/>
    <w:rsid w:val="00FA604A"/>
    <w:rsid w:val="00FA68A1"/>
    <w:rsid w:val="00FA7FED"/>
    <w:rsid w:val="00FB0467"/>
    <w:rsid w:val="00FB0F41"/>
    <w:rsid w:val="00FB12FF"/>
    <w:rsid w:val="00FB2916"/>
    <w:rsid w:val="00FB4577"/>
    <w:rsid w:val="00FB4E89"/>
    <w:rsid w:val="00FB4F03"/>
    <w:rsid w:val="00FB569C"/>
    <w:rsid w:val="00FB6B65"/>
    <w:rsid w:val="00FB6C56"/>
    <w:rsid w:val="00FB6D3F"/>
    <w:rsid w:val="00FB7AC8"/>
    <w:rsid w:val="00FC1BA6"/>
    <w:rsid w:val="00FC3019"/>
    <w:rsid w:val="00FC3A61"/>
    <w:rsid w:val="00FC56F5"/>
    <w:rsid w:val="00FC5884"/>
    <w:rsid w:val="00FC596E"/>
    <w:rsid w:val="00FC5CBA"/>
    <w:rsid w:val="00FC634B"/>
    <w:rsid w:val="00FD00E1"/>
    <w:rsid w:val="00FD0BBA"/>
    <w:rsid w:val="00FD1A20"/>
    <w:rsid w:val="00FD210E"/>
    <w:rsid w:val="00FD26D4"/>
    <w:rsid w:val="00FD4E1C"/>
    <w:rsid w:val="00FD5621"/>
    <w:rsid w:val="00FD6102"/>
    <w:rsid w:val="00FD62F7"/>
    <w:rsid w:val="00FE0204"/>
    <w:rsid w:val="00FE0917"/>
    <w:rsid w:val="00FE186B"/>
    <w:rsid w:val="00FE3AC9"/>
    <w:rsid w:val="00FE47DF"/>
    <w:rsid w:val="00FE632E"/>
    <w:rsid w:val="00FF0187"/>
    <w:rsid w:val="00FF02BC"/>
    <w:rsid w:val="00FF0AEF"/>
    <w:rsid w:val="00FF1EEC"/>
    <w:rsid w:val="00FF330A"/>
    <w:rsid w:val="00FF3F04"/>
    <w:rsid w:val="00FF45CA"/>
    <w:rsid w:val="00FF48B9"/>
    <w:rsid w:val="00FF5D23"/>
    <w:rsid w:val="00FF6DDE"/>
    <w:rsid w:val="00FF7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1050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714958"/>
    <w:rPr>
      <w:color w:val="0000FF"/>
      <w:shd w:val="clear" w:color="auto" w:fill="auto"/>
    </w:rPr>
  </w:style>
  <w:style w:type="paragraph" w:styleId="Header">
    <w:name w:val="header"/>
    <w:basedOn w:val="Normal"/>
    <w:link w:val="HeaderChar"/>
    <w:uiPriority w:val="99"/>
    <w:unhideWhenUsed/>
    <w:rsid w:val="00714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958"/>
  </w:style>
  <w:style w:type="paragraph" w:styleId="Footer">
    <w:name w:val="footer"/>
    <w:basedOn w:val="Normal"/>
    <w:link w:val="FooterChar"/>
    <w:uiPriority w:val="99"/>
    <w:unhideWhenUsed/>
    <w:rsid w:val="00714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958"/>
  </w:style>
  <w:style w:type="paragraph" w:customStyle="1" w:styleId="Pagedecouverture">
    <w:name w:val="Page de couverture"/>
    <w:basedOn w:val="Normal"/>
    <w:next w:val="Normal"/>
    <w:rsid w:val="00714958"/>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71495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714958"/>
    <w:rPr>
      <w:rFonts w:ascii="Times New Roman" w:hAnsi="Times New Roman" w:cs="Times New Roman"/>
      <w:sz w:val="24"/>
    </w:rPr>
  </w:style>
  <w:style w:type="paragraph" w:customStyle="1" w:styleId="FooterSensitivity">
    <w:name w:val="Footer Sensitivity"/>
    <w:basedOn w:val="Normal"/>
    <w:link w:val="FooterSensitivityChar"/>
    <w:rsid w:val="0071495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714958"/>
    <w:rPr>
      <w:rFonts w:ascii="Times New Roman" w:hAnsi="Times New Roman" w:cs="Times New Roman"/>
      <w:b/>
      <w:sz w:val="32"/>
    </w:rPr>
  </w:style>
  <w:style w:type="paragraph" w:customStyle="1" w:styleId="HeaderCoverPage">
    <w:name w:val="Header Cover Page"/>
    <w:basedOn w:val="Normal"/>
    <w:link w:val="HeaderCoverPageChar"/>
    <w:rsid w:val="0071495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714958"/>
    <w:rPr>
      <w:rFonts w:ascii="Times New Roman" w:hAnsi="Times New Roman" w:cs="Times New Roman"/>
      <w:sz w:val="24"/>
    </w:rPr>
  </w:style>
  <w:style w:type="paragraph" w:customStyle="1" w:styleId="HeaderSensitivity">
    <w:name w:val="Header Sensitivity"/>
    <w:basedOn w:val="Normal"/>
    <w:link w:val="HeaderSensitivityChar"/>
    <w:rsid w:val="0071495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714958"/>
    <w:rPr>
      <w:rFonts w:ascii="Times New Roman" w:hAnsi="Times New Roman" w:cs="Times New Roman"/>
      <w:b/>
      <w:sz w:val="32"/>
    </w:rPr>
  </w:style>
  <w:style w:type="paragraph" w:customStyle="1" w:styleId="HeaderSensitivityRight">
    <w:name w:val="Header Sensitivity Right"/>
    <w:basedOn w:val="Normal"/>
    <w:link w:val="HeaderSensitivityRightChar"/>
    <w:rsid w:val="00714958"/>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714958"/>
    <w:rPr>
      <w:rFonts w:ascii="Times New Roman" w:hAnsi="Times New Roman" w:cs="Times New Roman"/>
      <w:sz w:val="28"/>
    </w:rPr>
  </w:style>
  <w:style w:type="paragraph" w:styleId="FootnoteText">
    <w:name w:val="footnote text"/>
    <w:basedOn w:val="Normal"/>
    <w:uiPriority w:val="99"/>
    <w:unhideWhenUsed/>
    <w:qFormat/>
    <w:rsid w:val="00714958"/>
    <w:pPr>
      <w:spacing w:after="0" w:line="240" w:lineRule="auto"/>
    </w:pPr>
    <w:rPr>
      <w:sz w:val="20"/>
    </w:rPr>
  </w:style>
  <w:style w:type="character" w:customStyle="1" w:styleId="FootnoteTextChar">
    <w:name w:val="Footnote Text Char"/>
    <w:basedOn w:val="DefaultParagraphFont"/>
    <w:uiPriority w:val="99"/>
    <w:qFormat/>
    <w:rsid w:val="00714958"/>
    <w:rPr>
      <w:sz w:val="20"/>
    </w:rPr>
  </w:style>
  <w:style w:type="character" w:styleId="FootnoteReference">
    <w:name w:val="footnote reference"/>
    <w:basedOn w:val="DefaultParagraphFont"/>
    <w:link w:val="FootnotesymbolCarZchn"/>
    <w:uiPriority w:val="99"/>
    <w:unhideWhenUsed/>
    <w:qFormat/>
    <w:rsid w:val="00714958"/>
    <w:rPr>
      <w:vertAlign w:val="superscript"/>
    </w:rPr>
  </w:style>
  <w:style w:type="character" w:styleId="Hyperlink">
    <w:name w:val="Hyperlink"/>
    <w:basedOn w:val="DefaultParagraphFont"/>
    <w:uiPriority w:val="99"/>
    <w:unhideWhenUsed/>
    <w:rsid w:val="00714958"/>
    <w:rPr>
      <w:color w:val="0000FF" w:themeColor="hyperlink"/>
      <w:u w:val="single"/>
    </w:rPr>
  </w:style>
  <w:style w:type="paragraph" w:styleId="ListParagraph">
    <w:name w:val="List Paragraph"/>
    <w:basedOn w:val="Normal"/>
    <w:link w:val="ListParagraphChar"/>
    <w:uiPriority w:val="34"/>
    <w:qFormat/>
    <w:rsid w:val="00FF75DF"/>
    <w:pPr>
      <w:ind w:left="720"/>
      <w:contextualSpacing/>
    </w:pPr>
  </w:style>
  <w:style w:type="table" w:styleId="TableGrid">
    <w:name w:val="Table Grid"/>
    <w:basedOn w:val="TableNormal"/>
    <w:uiPriority w:val="59"/>
    <w:rsid w:val="00635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35D1B"/>
    <w:rPr>
      <w:sz w:val="16"/>
    </w:rPr>
  </w:style>
  <w:style w:type="paragraph" w:styleId="CommentText">
    <w:name w:val="annotation text"/>
    <w:basedOn w:val="Normal"/>
    <w:link w:val="CommentTextChar"/>
    <w:unhideWhenUsed/>
    <w:rsid w:val="00635D1B"/>
    <w:pPr>
      <w:spacing w:after="0" w:line="240" w:lineRule="auto"/>
    </w:pPr>
    <w:rPr>
      <w:rFonts w:ascii="Times New Roman" w:eastAsia="Times New Roman" w:hAnsi="Times New Roman" w:cs="Times New Roman"/>
      <w:sz w:val="20"/>
    </w:rPr>
  </w:style>
  <w:style w:type="character" w:customStyle="1" w:styleId="CommentTextChar">
    <w:name w:val="Comment Text Char"/>
    <w:basedOn w:val="DefaultParagraphFont"/>
    <w:link w:val="CommentText"/>
    <w:rsid w:val="00635D1B"/>
    <w:rPr>
      <w:rFonts w:ascii="Times New Roman" w:eastAsia="Times New Roman" w:hAnsi="Times New Roman" w:cs="Times New Roman"/>
      <w:sz w:val="20"/>
    </w:rPr>
  </w:style>
  <w:style w:type="paragraph" w:styleId="BalloonText">
    <w:name w:val="Balloon Text"/>
    <w:basedOn w:val="Normal"/>
    <w:link w:val="BalloonTextChar"/>
    <w:uiPriority w:val="99"/>
    <w:semiHidden/>
    <w:unhideWhenUsed/>
    <w:rsid w:val="00635D1B"/>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635D1B"/>
    <w:rPr>
      <w:rFonts w:ascii="Segoe UI" w:hAnsi="Segoe UI" w:cs="Segoe UI"/>
      <w:sz w:val="18"/>
    </w:rPr>
  </w:style>
  <w:style w:type="paragraph" w:customStyle="1" w:styleId="FootnotesymbolCarZchn">
    <w:name w:val="Footnote symbol Car Zchn"/>
    <w:basedOn w:val="Normal"/>
    <w:link w:val="FootnoteReference"/>
    <w:uiPriority w:val="99"/>
    <w:qFormat/>
    <w:rsid w:val="008663F5"/>
    <w:pPr>
      <w:spacing w:after="160" w:line="240" w:lineRule="exact"/>
      <w:jc w:val="both"/>
    </w:pPr>
    <w:rPr>
      <w:vertAlign w:val="superscript"/>
    </w:rPr>
  </w:style>
  <w:style w:type="character" w:styleId="FollowedHyperlink">
    <w:name w:val="FollowedHyperlink"/>
    <w:basedOn w:val="DefaultParagraphFont"/>
    <w:uiPriority w:val="99"/>
    <w:semiHidden/>
    <w:unhideWhenUsed/>
    <w:rsid w:val="003C77B9"/>
    <w:rPr>
      <w:color w:val="800080" w:themeColor="followedHyperlink"/>
      <w:u w:val="single"/>
    </w:rPr>
  </w:style>
  <w:style w:type="paragraph" w:styleId="NormalWeb">
    <w:name w:val="Normal (Web)"/>
    <w:basedOn w:val="Normal"/>
    <w:uiPriority w:val="99"/>
    <w:semiHidden/>
    <w:unhideWhenUsed/>
    <w:rsid w:val="004E30A9"/>
    <w:pPr>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4E30A9"/>
    <w:rPr>
      <w:b/>
    </w:rPr>
  </w:style>
  <w:style w:type="paragraph" w:customStyle="1" w:styleId="LegalNumPar">
    <w:name w:val="LegalNumPar"/>
    <w:link w:val="LegalNumParChar"/>
    <w:qFormat/>
    <w:rsid w:val="008D1C80"/>
    <w:pPr>
      <w:pBdr>
        <w:top w:val="nil"/>
        <w:left w:val="nil"/>
        <w:bottom w:val="nil"/>
        <w:right w:val="nil"/>
        <w:between w:val="nil"/>
        <w:bar w:val="nil"/>
      </w:pBdr>
      <w:tabs>
        <w:tab w:val="left" w:pos="476"/>
      </w:tabs>
      <w:spacing w:after="240" w:line="360" w:lineRule="auto"/>
      <w:jc w:val="both"/>
    </w:pPr>
    <w:rPr>
      <w:rFonts w:ascii="Times New Roman" w:eastAsia="Arial Unicode MS" w:hAnsi="Times New Roman" w:cs="Arial Unicode MS"/>
      <w:sz w:val="24"/>
      <w:u w:color="000000"/>
      <w:bdr w:val="nil"/>
    </w:rPr>
  </w:style>
  <w:style w:type="character" w:customStyle="1" w:styleId="LegalNumParChar">
    <w:name w:val="LegalNumPar Char"/>
    <w:basedOn w:val="DefaultParagraphFont"/>
    <w:link w:val="LegalNumPar"/>
    <w:rsid w:val="008D1C80"/>
    <w:rPr>
      <w:rFonts w:ascii="Times New Roman" w:eastAsia="Arial Unicode MS" w:hAnsi="Times New Roman" w:cs="Arial Unicode MS"/>
      <w:sz w:val="24"/>
      <w:u w:color="000000"/>
      <w:bdr w:val="nil"/>
    </w:rPr>
  </w:style>
  <w:style w:type="character" w:customStyle="1" w:styleId="normaltextrun">
    <w:name w:val="normaltextrun"/>
    <w:basedOn w:val="DefaultParagraphFont"/>
    <w:rsid w:val="008D1C80"/>
  </w:style>
  <w:style w:type="character" w:customStyle="1" w:styleId="footnotereference0">
    <w:name w:val="footnotereference"/>
    <w:basedOn w:val="DefaultParagraphFont"/>
    <w:rsid w:val="008D1C80"/>
  </w:style>
  <w:style w:type="paragraph" w:styleId="CommentSubject">
    <w:name w:val="annotation subject"/>
    <w:basedOn w:val="CommentText"/>
    <w:next w:val="CommentText"/>
    <w:link w:val="CommentSubjectChar"/>
    <w:uiPriority w:val="99"/>
    <w:semiHidden/>
    <w:unhideWhenUsed/>
    <w:rsid w:val="00660024"/>
    <w:pPr>
      <w:spacing w:after="200"/>
    </w:pPr>
    <w:rPr>
      <w:rFonts w:asciiTheme="minorHAnsi" w:eastAsiaTheme="minorHAnsi" w:hAnsiTheme="minorHAnsi" w:cstheme="minorBidi"/>
      <w:b/>
    </w:rPr>
  </w:style>
  <w:style w:type="character" w:customStyle="1" w:styleId="CommentSubjectChar">
    <w:name w:val="Comment Subject Char"/>
    <w:basedOn w:val="CommentTextChar"/>
    <w:link w:val="CommentSubject"/>
    <w:uiPriority w:val="99"/>
    <w:semiHidden/>
    <w:rsid w:val="00660024"/>
    <w:rPr>
      <w:rFonts w:ascii="Times New Roman" w:eastAsia="Times New Roman" w:hAnsi="Times New Roman" w:cs="Times New Roman"/>
      <w:b/>
      <w:sz w:val="20"/>
    </w:rPr>
  </w:style>
  <w:style w:type="table" w:customStyle="1" w:styleId="Planning2022TableOutput-Indicator-Target">
    <w:name w:val="[Planning 2022] Table Output-Indicator-Target"/>
    <w:basedOn w:val="TableNormal"/>
    <w:uiPriority w:val="99"/>
    <w:rsid w:val="003A3FEE"/>
    <w:pPr>
      <w:keepLines/>
      <w:spacing w:before="40" w:after="40" w:line="264" w:lineRule="auto"/>
    </w:pPr>
    <w:rPr>
      <w:rFonts w:ascii="EC Square Sans Pro" w:eastAsiaTheme="minorEastAsia" w:hAnsi="EC Square Sans Pro"/>
      <w:sz w:val="20"/>
    </w:rPr>
    <w:tblPr>
      <w:tblStyleRowBandSize w:val="1"/>
      <w:tblStyleColBandSize w:val="1"/>
      <w:tblBorders>
        <w:top w:val="single" w:sz="4" w:space="0" w:color="8C8C8C"/>
        <w:left w:val="single" w:sz="4" w:space="0" w:color="8C8C8C"/>
        <w:bottom w:val="single" w:sz="4" w:space="0" w:color="8C8C8C"/>
        <w:right w:val="single" w:sz="4" w:space="0" w:color="8C8C8C"/>
        <w:insideH w:val="single" w:sz="4" w:space="0" w:color="8C8C8C"/>
        <w:insideV w:val="single" w:sz="4" w:space="0" w:color="8C8C8C"/>
      </w:tblBorders>
    </w:tblPr>
    <w:tcPr>
      <w:shd w:val="clear" w:color="auto" w:fill="F2F2F2"/>
    </w:tcPr>
    <w:tblStylePr w:type="firstRow">
      <w:pPr>
        <w:keepNext/>
        <w:keepLines/>
        <w:wordWrap/>
        <w:spacing w:beforeLines="0" w:before="40" w:beforeAutospacing="0" w:afterLines="0" w:after="40" w:afterAutospacing="0" w:line="264" w:lineRule="auto"/>
        <w:ind w:leftChars="0" w:left="0" w:rightChars="0" w:right="57" w:firstLineChars="0" w:firstLine="0"/>
        <w:jc w:val="left"/>
        <w:outlineLvl w:val="9"/>
      </w:pPr>
      <w:rPr>
        <w:rFonts w:ascii="EC Square Sans Pro" w:hAnsi="EC Square Sans Pro"/>
        <w:b/>
        <w:i w:val="0"/>
        <w:color w:val="000000" w:themeColor="text1"/>
        <w:sz w:val="20"/>
      </w:rPr>
    </w:tblStylePr>
  </w:style>
  <w:style w:type="paragraph" w:customStyle="1" w:styleId="OPTABLEHeaderText">
    <w:name w:val="OP_TABLE Header Text"/>
    <w:basedOn w:val="Normal"/>
    <w:next w:val="Normal"/>
    <w:qFormat/>
    <w:rsid w:val="003A3FEE"/>
    <w:pPr>
      <w:spacing w:before="40" w:after="40" w:line="264" w:lineRule="auto"/>
    </w:pPr>
    <w:rPr>
      <w:rFonts w:ascii="EC Square Sans Pro" w:eastAsiaTheme="minorEastAsia" w:hAnsi="EC Square Sans Pro"/>
      <w:b/>
      <w:sz w:val="20"/>
    </w:rPr>
  </w:style>
  <w:style w:type="paragraph" w:customStyle="1" w:styleId="OPTABLEOutputs-Sub-SubtitleLightBlue">
    <w:name w:val="OP_TABLE (Outputs) - Sub-Subtitle (Light Blue)"/>
    <w:basedOn w:val="Normal"/>
    <w:qFormat/>
    <w:rsid w:val="003A3FEE"/>
    <w:pPr>
      <w:keepNext/>
      <w:keepLines/>
      <w:pBdr>
        <w:top w:val="single" w:sz="4" w:space="1" w:color="8C8C8C"/>
        <w:left w:val="single" w:sz="4" w:space="4" w:color="8C8C8C"/>
        <w:bottom w:val="single" w:sz="4" w:space="1" w:color="8C8C8C"/>
        <w:right w:val="single" w:sz="4" w:space="4" w:color="8C8C8C"/>
      </w:pBdr>
      <w:shd w:val="clear" w:color="auto" w:fill="3273DF"/>
      <w:spacing w:after="0" w:line="264" w:lineRule="auto"/>
    </w:pPr>
    <w:rPr>
      <w:rFonts w:ascii="EC Square Sans Pro" w:eastAsia="Times New Roman" w:hAnsi="EC Square Sans Pro" w:cs="Times New Roman"/>
      <w:b/>
      <w:color w:val="FFFFFF" w:themeColor="background1"/>
      <w:sz w:val="24"/>
    </w:rPr>
  </w:style>
  <w:style w:type="paragraph" w:customStyle="1" w:styleId="OPTABLEText">
    <w:name w:val="OP_TABLE Text"/>
    <w:basedOn w:val="Normal"/>
    <w:next w:val="Normal"/>
    <w:qFormat/>
    <w:rsid w:val="003A3FEE"/>
    <w:pPr>
      <w:spacing w:before="40" w:after="40" w:line="264" w:lineRule="auto"/>
    </w:pPr>
    <w:rPr>
      <w:rFonts w:ascii="EC Square Sans Pro" w:eastAsiaTheme="minorEastAsia" w:hAnsi="EC Square Sans Pro"/>
      <w:sz w:val="20"/>
    </w:rPr>
  </w:style>
  <w:style w:type="paragraph" w:customStyle="1" w:styleId="Heading11">
    <w:name w:val="Heading 11"/>
    <w:basedOn w:val="ListParagraph"/>
    <w:link w:val="Heading1Char"/>
    <w:qFormat/>
    <w:rsid w:val="00D24785"/>
    <w:pPr>
      <w:ind w:left="1080" w:hanging="720"/>
    </w:pPr>
    <w:rPr>
      <w:rFonts w:ascii="EC Square Sans Pro" w:hAnsi="EC Square Sans Pro" w:cs="Times New Roman"/>
      <w:b/>
      <w:color w:val="0070C0"/>
      <w:sz w:val="24"/>
      <w:u w:val="single"/>
    </w:rPr>
  </w:style>
  <w:style w:type="paragraph" w:customStyle="1" w:styleId="Style2">
    <w:name w:val="Style2"/>
    <w:basedOn w:val="Normal"/>
    <w:link w:val="Style2Char"/>
    <w:qFormat/>
    <w:rsid w:val="006E12BE"/>
    <w:pPr>
      <w:spacing w:before="120" w:after="120" w:line="240" w:lineRule="auto"/>
      <w:ind w:left="113" w:right="113"/>
      <w:jc w:val="both"/>
    </w:pPr>
    <w:rPr>
      <w:rFonts w:ascii="EC Square Sans Pro" w:hAnsi="EC Square Sans Pro" w:cs="Times New Roman"/>
      <w:b/>
      <w:i/>
      <w:color w:val="0070C0"/>
      <w:sz w:val="24"/>
    </w:rPr>
  </w:style>
  <w:style w:type="character" w:customStyle="1" w:styleId="ListParagraphChar">
    <w:name w:val="List Paragraph Char"/>
    <w:basedOn w:val="DefaultParagraphFont"/>
    <w:link w:val="ListParagraph"/>
    <w:uiPriority w:val="34"/>
    <w:rsid w:val="00E926CD"/>
  </w:style>
  <w:style w:type="character" w:customStyle="1" w:styleId="Heading1Char">
    <w:name w:val="Heading 1 Char"/>
    <w:basedOn w:val="ListParagraphChar"/>
    <w:link w:val="Heading11"/>
    <w:rsid w:val="00D24785"/>
    <w:rPr>
      <w:rFonts w:ascii="EC Square Sans Pro" w:hAnsi="EC Square Sans Pro" w:cs="Times New Roman"/>
      <w:b/>
      <w:color w:val="0070C0"/>
      <w:sz w:val="24"/>
      <w:u w:val="single"/>
    </w:rPr>
  </w:style>
  <w:style w:type="character" w:customStyle="1" w:styleId="Style2Char">
    <w:name w:val="Style2 Char"/>
    <w:basedOn w:val="DefaultParagraphFont"/>
    <w:link w:val="Style2"/>
    <w:rsid w:val="006E12BE"/>
    <w:rPr>
      <w:rFonts w:ascii="EC Square Sans Pro" w:hAnsi="EC Square Sans Pro" w:cs="Times New Roman"/>
      <w:b/>
      <w:i/>
      <w:color w:val="0070C0"/>
      <w:sz w:val="24"/>
    </w:rPr>
  </w:style>
  <w:style w:type="paragraph" w:styleId="Revision">
    <w:name w:val="Revision"/>
    <w:hidden/>
    <w:uiPriority w:val="99"/>
    <w:semiHidden/>
    <w:rsid w:val="00050B56"/>
    <w:pPr>
      <w:spacing w:after="0" w:line="240" w:lineRule="auto"/>
    </w:pPr>
  </w:style>
  <w:style w:type="paragraph" w:customStyle="1" w:styleId="Typedudocument">
    <w:name w:val="Type du document"/>
    <w:basedOn w:val="Normal"/>
    <w:next w:val="Normal"/>
    <w:rsid w:val="005B4039"/>
    <w:pPr>
      <w:spacing w:before="360" w:after="0" w:line="240" w:lineRule="auto"/>
      <w:jc w:val="center"/>
    </w:pPr>
    <w:rPr>
      <w:rFonts w:ascii="Times New Roman" w:hAnsi="Times New Roman" w:cs="Times New Roman"/>
      <w:b/>
      <w:sz w:val="24"/>
    </w:rPr>
  </w:style>
  <w:style w:type="paragraph" w:customStyle="1" w:styleId="LTTbigbullet">
    <w:name w:val="LTT big bullet"/>
    <w:basedOn w:val="Normal"/>
    <w:qFormat/>
    <w:rsid w:val="00FC3A61"/>
    <w:pPr>
      <w:numPr>
        <w:numId w:val="19"/>
      </w:numPr>
      <w:spacing w:after="0" w:line="240" w:lineRule="auto"/>
    </w:pPr>
    <w:rPr>
      <w:rFonts w:ascii="Calibri" w:eastAsia="Times New Roman" w:hAnsi="Calibri" w:cs="Calibri"/>
      <w:sz w:val="28"/>
    </w:rPr>
  </w:style>
  <w:style w:type="character" w:customStyle="1" w:styleId="super">
    <w:name w:val="super"/>
    <w:basedOn w:val="DefaultParagraphFont"/>
    <w:rsid w:val="005A44CC"/>
  </w:style>
  <w:style w:type="character" w:customStyle="1" w:styleId="UnresolvedMention1">
    <w:name w:val="Unresolved Mention1"/>
    <w:basedOn w:val="DefaultParagraphFont"/>
    <w:uiPriority w:val="99"/>
    <w:semiHidden/>
    <w:unhideWhenUsed/>
    <w:rsid w:val="003129D3"/>
    <w:rPr>
      <w:color w:val="605E5C"/>
      <w:shd w:val="clear" w:color="auto" w:fill="E1DFDD"/>
    </w:rPr>
  </w:style>
  <w:style w:type="paragraph" w:customStyle="1" w:styleId="Titreobjet">
    <w:name w:val="Titre objet"/>
    <w:basedOn w:val="Normal"/>
    <w:next w:val="Normal"/>
    <w:rsid w:val="00391BE2"/>
    <w:pPr>
      <w:spacing w:before="360" w:after="360" w:line="240" w:lineRule="auto"/>
      <w:jc w:val="center"/>
    </w:pPr>
    <w:rPr>
      <w:rFonts w:ascii="Times New Roman" w:hAnsi="Times New Roman" w:cs="Times New Roman"/>
      <w:b/>
      <w:sz w:val="24"/>
    </w:rPr>
  </w:style>
  <w:style w:type="paragraph" w:customStyle="1" w:styleId="paragraph">
    <w:name w:val="paragraph"/>
    <w:basedOn w:val="Normal"/>
    <w:rsid w:val="003D4029"/>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DefaultParagraphFont"/>
    <w:rsid w:val="003D4029"/>
  </w:style>
  <w:style w:type="character" w:customStyle="1" w:styleId="wtoffscreen">
    <w:name w:val="wtoffscreen"/>
    <w:basedOn w:val="DefaultParagraphFont"/>
    <w:rsid w:val="00B50295"/>
  </w:style>
  <w:style w:type="paragraph" w:customStyle="1" w:styleId="Subhead-box">
    <w:name w:val="Subhead-box"/>
    <w:basedOn w:val="Normal"/>
    <w:link w:val="Subhead-boxChar"/>
    <w:qFormat/>
    <w:rsid w:val="00D745A7"/>
    <w:pPr>
      <w:framePr w:hSpace="180" w:wrap="around" w:vAnchor="text" w:hAnchor="margin" w:y="123"/>
      <w:spacing w:before="120" w:after="120"/>
      <w:jc w:val="both"/>
    </w:pPr>
    <w:rPr>
      <w:rFonts w:ascii="EC Square Sans Pro" w:hAnsi="EC Square Sans Pro" w:cs="Times New Roman"/>
      <w:b/>
      <w:i/>
      <w:color w:val="0070C0"/>
      <w:sz w:val="24"/>
    </w:rPr>
  </w:style>
  <w:style w:type="table" w:customStyle="1" w:styleId="law">
    <w:name w:val="law"/>
    <w:basedOn w:val="TableNormal"/>
    <w:uiPriority w:val="99"/>
    <w:rsid w:val="00D745A7"/>
    <w:pPr>
      <w:spacing w:after="0" w:line="240" w:lineRule="auto"/>
      <w:ind w:left="113" w:right="113"/>
    </w:pPr>
    <w:tblPr>
      <w:tblCellMar>
        <w:top w:w="113" w:type="dxa"/>
        <w:bottom w:w="113" w:type="dxa"/>
      </w:tblCellMar>
    </w:tblPr>
    <w:tcPr>
      <w:shd w:val="clear" w:color="auto" w:fill="DBE5F1" w:themeFill="accent1" w:themeFillTint="33"/>
    </w:tcPr>
  </w:style>
  <w:style w:type="character" w:customStyle="1" w:styleId="Subhead-boxChar">
    <w:name w:val="Subhead-box Char"/>
    <w:basedOn w:val="DefaultParagraphFont"/>
    <w:link w:val="Subhead-box"/>
    <w:rsid w:val="00D745A7"/>
    <w:rPr>
      <w:rFonts w:ascii="EC Square Sans Pro" w:hAnsi="EC Square Sans Pro" w:cs="Times New Roman"/>
      <w:b/>
      <w:i/>
      <w:color w:val="0070C0"/>
      <w:sz w:val="24"/>
    </w:rPr>
  </w:style>
  <w:style w:type="character" w:customStyle="1" w:styleId="UnresolvedMention2">
    <w:name w:val="Unresolved Mention2"/>
    <w:basedOn w:val="DefaultParagraphFont"/>
    <w:uiPriority w:val="99"/>
    <w:semiHidden/>
    <w:unhideWhenUsed/>
    <w:rsid w:val="00272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0722">
      <w:bodyDiv w:val="1"/>
      <w:marLeft w:val="0"/>
      <w:marRight w:val="0"/>
      <w:marTop w:val="0"/>
      <w:marBottom w:val="0"/>
      <w:divBdr>
        <w:top w:val="none" w:sz="0" w:space="0" w:color="auto"/>
        <w:left w:val="none" w:sz="0" w:space="0" w:color="auto"/>
        <w:bottom w:val="none" w:sz="0" w:space="0" w:color="auto"/>
        <w:right w:val="none" w:sz="0" w:space="0" w:color="auto"/>
      </w:divBdr>
    </w:div>
    <w:div w:id="95558433">
      <w:bodyDiv w:val="1"/>
      <w:marLeft w:val="0"/>
      <w:marRight w:val="0"/>
      <w:marTop w:val="0"/>
      <w:marBottom w:val="0"/>
      <w:divBdr>
        <w:top w:val="none" w:sz="0" w:space="0" w:color="auto"/>
        <w:left w:val="none" w:sz="0" w:space="0" w:color="auto"/>
        <w:bottom w:val="none" w:sz="0" w:space="0" w:color="auto"/>
        <w:right w:val="none" w:sz="0" w:space="0" w:color="auto"/>
      </w:divBdr>
    </w:div>
    <w:div w:id="122896049">
      <w:bodyDiv w:val="1"/>
      <w:marLeft w:val="0"/>
      <w:marRight w:val="0"/>
      <w:marTop w:val="0"/>
      <w:marBottom w:val="0"/>
      <w:divBdr>
        <w:top w:val="none" w:sz="0" w:space="0" w:color="auto"/>
        <w:left w:val="none" w:sz="0" w:space="0" w:color="auto"/>
        <w:bottom w:val="none" w:sz="0" w:space="0" w:color="auto"/>
        <w:right w:val="none" w:sz="0" w:space="0" w:color="auto"/>
      </w:divBdr>
    </w:div>
    <w:div w:id="150567395">
      <w:bodyDiv w:val="1"/>
      <w:marLeft w:val="0"/>
      <w:marRight w:val="0"/>
      <w:marTop w:val="0"/>
      <w:marBottom w:val="0"/>
      <w:divBdr>
        <w:top w:val="none" w:sz="0" w:space="0" w:color="auto"/>
        <w:left w:val="none" w:sz="0" w:space="0" w:color="auto"/>
        <w:bottom w:val="none" w:sz="0" w:space="0" w:color="auto"/>
        <w:right w:val="none" w:sz="0" w:space="0" w:color="auto"/>
      </w:divBdr>
    </w:div>
    <w:div w:id="181238953">
      <w:bodyDiv w:val="1"/>
      <w:marLeft w:val="0"/>
      <w:marRight w:val="0"/>
      <w:marTop w:val="0"/>
      <w:marBottom w:val="0"/>
      <w:divBdr>
        <w:top w:val="none" w:sz="0" w:space="0" w:color="auto"/>
        <w:left w:val="none" w:sz="0" w:space="0" w:color="auto"/>
        <w:bottom w:val="none" w:sz="0" w:space="0" w:color="auto"/>
        <w:right w:val="none" w:sz="0" w:space="0" w:color="auto"/>
      </w:divBdr>
    </w:div>
    <w:div w:id="217859054">
      <w:bodyDiv w:val="1"/>
      <w:marLeft w:val="0"/>
      <w:marRight w:val="0"/>
      <w:marTop w:val="0"/>
      <w:marBottom w:val="0"/>
      <w:divBdr>
        <w:top w:val="none" w:sz="0" w:space="0" w:color="auto"/>
        <w:left w:val="none" w:sz="0" w:space="0" w:color="auto"/>
        <w:bottom w:val="none" w:sz="0" w:space="0" w:color="auto"/>
        <w:right w:val="none" w:sz="0" w:space="0" w:color="auto"/>
      </w:divBdr>
    </w:div>
    <w:div w:id="222372086">
      <w:bodyDiv w:val="1"/>
      <w:marLeft w:val="0"/>
      <w:marRight w:val="0"/>
      <w:marTop w:val="0"/>
      <w:marBottom w:val="0"/>
      <w:divBdr>
        <w:top w:val="none" w:sz="0" w:space="0" w:color="auto"/>
        <w:left w:val="none" w:sz="0" w:space="0" w:color="auto"/>
        <w:bottom w:val="none" w:sz="0" w:space="0" w:color="auto"/>
        <w:right w:val="none" w:sz="0" w:space="0" w:color="auto"/>
      </w:divBdr>
    </w:div>
    <w:div w:id="264460578">
      <w:bodyDiv w:val="1"/>
      <w:marLeft w:val="0"/>
      <w:marRight w:val="0"/>
      <w:marTop w:val="0"/>
      <w:marBottom w:val="0"/>
      <w:divBdr>
        <w:top w:val="none" w:sz="0" w:space="0" w:color="auto"/>
        <w:left w:val="none" w:sz="0" w:space="0" w:color="auto"/>
        <w:bottom w:val="none" w:sz="0" w:space="0" w:color="auto"/>
        <w:right w:val="none" w:sz="0" w:space="0" w:color="auto"/>
      </w:divBdr>
    </w:div>
    <w:div w:id="272784646">
      <w:bodyDiv w:val="1"/>
      <w:marLeft w:val="0"/>
      <w:marRight w:val="0"/>
      <w:marTop w:val="0"/>
      <w:marBottom w:val="0"/>
      <w:divBdr>
        <w:top w:val="none" w:sz="0" w:space="0" w:color="auto"/>
        <w:left w:val="none" w:sz="0" w:space="0" w:color="auto"/>
        <w:bottom w:val="none" w:sz="0" w:space="0" w:color="auto"/>
        <w:right w:val="none" w:sz="0" w:space="0" w:color="auto"/>
      </w:divBdr>
    </w:div>
    <w:div w:id="320547840">
      <w:bodyDiv w:val="1"/>
      <w:marLeft w:val="0"/>
      <w:marRight w:val="0"/>
      <w:marTop w:val="0"/>
      <w:marBottom w:val="0"/>
      <w:divBdr>
        <w:top w:val="none" w:sz="0" w:space="0" w:color="auto"/>
        <w:left w:val="none" w:sz="0" w:space="0" w:color="auto"/>
        <w:bottom w:val="none" w:sz="0" w:space="0" w:color="auto"/>
        <w:right w:val="none" w:sz="0" w:space="0" w:color="auto"/>
      </w:divBdr>
    </w:div>
    <w:div w:id="366105653">
      <w:bodyDiv w:val="1"/>
      <w:marLeft w:val="0"/>
      <w:marRight w:val="0"/>
      <w:marTop w:val="0"/>
      <w:marBottom w:val="0"/>
      <w:divBdr>
        <w:top w:val="none" w:sz="0" w:space="0" w:color="auto"/>
        <w:left w:val="none" w:sz="0" w:space="0" w:color="auto"/>
        <w:bottom w:val="none" w:sz="0" w:space="0" w:color="auto"/>
        <w:right w:val="none" w:sz="0" w:space="0" w:color="auto"/>
      </w:divBdr>
    </w:div>
    <w:div w:id="414086652">
      <w:bodyDiv w:val="1"/>
      <w:marLeft w:val="0"/>
      <w:marRight w:val="0"/>
      <w:marTop w:val="0"/>
      <w:marBottom w:val="0"/>
      <w:divBdr>
        <w:top w:val="none" w:sz="0" w:space="0" w:color="auto"/>
        <w:left w:val="none" w:sz="0" w:space="0" w:color="auto"/>
        <w:bottom w:val="none" w:sz="0" w:space="0" w:color="auto"/>
        <w:right w:val="none" w:sz="0" w:space="0" w:color="auto"/>
      </w:divBdr>
    </w:div>
    <w:div w:id="455681594">
      <w:bodyDiv w:val="1"/>
      <w:marLeft w:val="0"/>
      <w:marRight w:val="0"/>
      <w:marTop w:val="0"/>
      <w:marBottom w:val="0"/>
      <w:divBdr>
        <w:top w:val="none" w:sz="0" w:space="0" w:color="auto"/>
        <w:left w:val="none" w:sz="0" w:space="0" w:color="auto"/>
        <w:bottom w:val="none" w:sz="0" w:space="0" w:color="auto"/>
        <w:right w:val="none" w:sz="0" w:space="0" w:color="auto"/>
      </w:divBdr>
    </w:div>
    <w:div w:id="621426976">
      <w:bodyDiv w:val="1"/>
      <w:marLeft w:val="0"/>
      <w:marRight w:val="0"/>
      <w:marTop w:val="0"/>
      <w:marBottom w:val="0"/>
      <w:divBdr>
        <w:top w:val="none" w:sz="0" w:space="0" w:color="auto"/>
        <w:left w:val="none" w:sz="0" w:space="0" w:color="auto"/>
        <w:bottom w:val="none" w:sz="0" w:space="0" w:color="auto"/>
        <w:right w:val="none" w:sz="0" w:space="0" w:color="auto"/>
      </w:divBdr>
    </w:div>
    <w:div w:id="651758923">
      <w:bodyDiv w:val="1"/>
      <w:marLeft w:val="0"/>
      <w:marRight w:val="0"/>
      <w:marTop w:val="0"/>
      <w:marBottom w:val="0"/>
      <w:divBdr>
        <w:top w:val="none" w:sz="0" w:space="0" w:color="auto"/>
        <w:left w:val="none" w:sz="0" w:space="0" w:color="auto"/>
        <w:bottom w:val="none" w:sz="0" w:space="0" w:color="auto"/>
        <w:right w:val="none" w:sz="0" w:space="0" w:color="auto"/>
      </w:divBdr>
    </w:div>
    <w:div w:id="655769390">
      <w:bodyDiv w:val="1"/>
      <w:marLeft w:val="0"/>
      <w:marRight w:val="0"/>
      <w:marTop w:val="0"/>
      <w:marBottom w:val="0"/>
      <w:divBdr>
        <w:top w:val="none" w:sz="0" w:space="0" w:color="auto"/>
        <w:left w:val="none" w:sz="0" w:space="0" w:color="auto"/>
        <w:bottom w:val="none" w:sz="0" w:space="0" w:color="auto"/>
        <w:right w:val="none" w:sz="0" w:space="0" w:color="auto"/>
      </w:divBdr>
    </w:div>
    <w:div w:id="667706707">
      <w:bodyDiv w:val="1"/>
      <w:marLeft w:val="0"/>
      <w:marRight w:val="0"/>
      <w:marTop w:val="0"/>
      <w:marBottom w:val="0"/>
      <w:divBdr>
        <w:top w:val="none" w:sz="0" w:space="0" w:color="auto"/>
        <w:left w:val="none" w:sz="0" w:space="0" w:color="auto"/>
        <w:bottom w:val="none" w:sz="0" w:space="0" w:color="auto"/>
        <w:right w:val="none" w:sz="0" w:space="0" w:color="auto"/>
      </w:divBdr>
    </w:div>
    <w:div w:id="668410592">
      <w:bodyDiv w:val="1"/>
      <w:marLeft w:val="0"/>
      <w:marRight w:val="0"/>
      <w:marTop w:val="0"/>
      <w:marBottom w:val="0"/>
      <w:divBdr>
        <w:top w:val="none" w:sz="0" w:space="0" w:color="auto"/>
        <w:left w:val="none" w:sz="0" w:space="0" w:color="auto"/>
        <w:bottom w:val="none" w:sz="0" w:space="0" w:color="auto"/>
        <w:right w:val="none" w:sz="0" w:space="0" w:color="auto"/>
      </w:divBdr>
    </w:div>
    <w:div w:id="695155722">
      <w:bodyDiv w:val="1"/>
      <w:marLeft w:val="0"/>
      <w:marRight w:val="0"/>
      <w:marTop w:val="0"/>
      <w:marBottom w:val="0"/>
      <w:divBdr>
        <w:top w:val="none" w:sz="0" w:space="0" w:color="auto"/>
        <w:left w:val="none" w:sz="0" w:space="0" w:color="auto"/>
        <w:bottom w:val="none" w:sz="0" w:space="0" w:color="auto"/>
        <w:right w:val="none" w:sz="0" w:space="0" w:color="auto"/>
      </w:divBdr>
    </w:div>
    <w:div w:id="712923075">
      <w:bodyDiv w:val="1"/>
      <w:marLeft w:val="0"/>
      <w:marRight w:val="0"/>
      <w:marTop w:val="0"/>
      <w:marBottom w:val="0"/>
      <w:divBdr>
        <w:top w:val="none" w:sz="0" w:space="0" w:color="auto"/>
        <w:left w:val="none" w:sz="0" w:space="0" w:color="auto"/>
        <w:bottom w:val="none" w:sz="0" w:space="0" w:color="auto"/>
        <w:right w:val="none" w:sz="0" w:space="0" w:color="auto"/>
      </w:divBdr>
    </w:div>
    <w:div w:id="738869373">
      <w:bodyDiv w:val="1"/>
      <w:marLeft w:val="0"/>
      <w:marRight w:val="0"/>
      <w:marTop w:val="0"/>
      <w:marBottom w:val="0"/>
      <w:divBdr>
        <w:top w:val="none" w:sz="0" w:space="0" w:color="auto"/>
        <w:left w:val="none" w:sz="0" w:space="0" w:color="auto"/>
        <w:bottom w:val="none" w:sz="0" w:space="0" w:color="auto"/>
        <w:right w:val="none" w:sz="0" w:space="0" w:color="auto"/>
      </w:divBdr>
    </w:div>
    <w:div w:id="741412505">
      <w:bodyDiv w:val="1"/>
      <w:marLeft w:val="0"/>
      <w:marRight w:val="0"/>
      <w:marTop w:val="0"/>
      <w:marBottom w:val="0"/>
      <w:divBdr>
        <w:top w:val="none" w:sz="0" w:space="0" w:color="auto"/>
        <w:left w:val="none" w:sz="0" w:space="0" w:color="auto"/>
        <w:bottom w:val="none" w:sz="0" w:space="0" w:color="auto"/>
        <w:right w:val="none" w:sz="0" w:space="0" w:color="auto"/>
      </w:divBdr>
    </w:div>
    <w:div w:id="745954818">
      <w:bodyDiv w:val="1"/>
      <w:marLeft w:val="0"/>
      <w:marRight w:val="0"/>
      <w:marTop w:val="0"/>
      <w:marBottom w:val="0"/>
      <w:divBdr>
        <w:top w:val="none" w:sz="0" w:space="0" w:color="auto"/>
        <w:left w:val="none" w:sz="0" w:space="0" w:color="auto"/>
        <w:bottom w:val="none" w:sz="0" w:space="0" w:color="auto"/>
        <w:right w:val="none" w:sz="0" w:space="0" w:color="auto"/>
      </w:divBdr>
    </w:div>
    <w:div w:id="792557810">
      <w:bodyDiv w:val="1"/>
      <w:marLeft w:val="0"/>
      <w:marRight w:val="0"/>
      <w:marTop w:val="0"/>
      <w:marBottom w:val="0"/>
      <w:divBdr>
        <w:top w:val="none" w:sz="0" w:space="0" w:color="auto"/>
        <w:left w:val="none" w:sz="0" w:space="0" w:color="auto"/>
        <w:bottom w:val="none" w:sz="0" w:space="0" w:color="auto"/>
        <w:right w:val="none" w:sz="0" w:space="0" w:color="auto"/>
      </w:divBdr>
    </w:div>
    <w:div w:id="875124006">
      <w:bodyDiv w:val="1"/>
      <w:marLeft w:val="0"/>
      <w:marRight w:val="0"/>
      <w:marTop w:val="0"/>
      <w:marBottom w:val="0"/>
      <w:divBdr>
        <w:top w:val="none" w:sz="0" w:space="0" w:color="auto"/>
        <w:left w:val="none" w:sz="0" w:space="0" w:color="auto"/>
        <w:bottom w:val="none" w:sz="0" w:space="0" w:color="auto"/>
        <w:right w:val="none" w:sz="0" w:space="0" w:color="auto"/>
      </w:divBdr>
    </w:div>
    <w:div w:id="913275276">
      <w:bodyDiv w:val="1"/>
      <w:marLeft w:val="0"/>
      <w:marRight w:val="0"/>
      <w:marTop w:val="0"/>
      <w:marBottom w:val="0"/>
      <w:divBdr>
        <w:top w:val="none" w:sz="0" w:space="0" w:color="auto"/>
        <w:left w:val="none" w:sz="0" w:space="0" w:color="auto"/>
        <w:bottom w:val="none" w:sz="0" w:space="0" w:color="auto"/>
        <w:right w:val="none" w:sz="0" w:space="0" w:color="auto"/>
      </w:divBdr>
    </w:div>
    <w:div w:id="928150307">
      <w:bodyDiv w:val="1"/>
      <w:marLeft w:val="0"/>
      <w:marRight w:val="0"/>
      <w:marTop w:val="0"/>
      <w:marBottom w:val="0"/>
      <w:divBdr>
        <w:top w:val="none" w:sz="0" w:space="0" w:color="auto"/>
        <w:left w:val="none" w:sz="0" w:space="0" w:color="auto"/>
        <w:bottom w:val="none" w:sz="0" w:space="0" w:color="auto"/>
        <w:right w:val="none" w:sz="0" w:space="0" w:color="auto"/>
      </w:divBdr>
    </w:div>
    <w:div w:id="948705268">
      <w:bodyDiv w:val="1"/>
      <w:marLeft w:val="0"/>
      <w:marRight w:val="0"/>
      <w:marTop w:val="0"/>
      <w:marBottom w:val="0"/>
      <w:divBdr>
        <w:top w:val="none" w:sz="0" w:space="0" w:color="auto"/>
        <w:left w:val="none" w:sz="0" w:space="0" w:color="auto"/>
        <w:bottom w:val="none" w:sz="0" w:space="0" w:color="auto"/>
        <w:right w:val="none" w:sz="0" w:space="0" w:color="auto"/>
      </w:divBdr>
    </w:div>
    <w:div w:id="995500987">
      <w:bodyDiv w:val="1"/>
      <w:marLeft w:val="0"/>
      <w:marRight w:val="0"/>
      <w:marTop w:val="0"/>
      <w:marBottom w:val="0"/>
      <w:divBdr>
        <w:top w:val="none" w:sz="0" w:space="0" w:color="auto"/>
        <w:left w:val="none" w:sz="0" w:space="0" w:color="auto"/>
        <w:bottom w:val="none" w:sz="0" w:space="0" w:color="auto"/>
        <w:right w:val="none" w:sz="0" w:space="0" w:color="auto"/>
      </w:divBdr>
    </w:div>
    <w:div w:id="1036924708">
      <w:bodyDiv w:val="1"/>
      <w:marLeft w:val="0"/>
      <w:marRight w:val="0"/>
      <w:marTop w:val="0"/>
      <w:marBottom w:val="0"/>
      <w:divBdr>
        <w:top w:val="none" w:sz="0" w:space="0" w:color="auto"/>
        <w:left w:val="none" w:sz="0" w:space="0" w:color="auto"/>
        <w:bottom w:val="none" w:sz="0" w:space="0" w:color="auto"/>
        <w:right w:val="none" w:sz="0" w:space="0" w:color="auto"/>
      </w:divBdr>
    </w:div>
    <w:div w:id="1052315398">
      <w:bodyDiv w:val="1"/>
      <w:marLeft w:val="0"/>
      <w:marRight w:val="0"/>
      <w:marTop w:val="0"/>
      <w:marBottom w:val="0"/>
      <w:divBdr>
        <w:top w:val="none" w:sz="0" w:space="0" w:color="auto"/>
        <w:left w:val="none" w:sz="0" w:space="0" w:color="auto"/>
        <w:bottom w:val="none" w:sz="0" w:space="0" w:color="auto"/>
        <w:right w:val="none" w:sz="0" w:space="0" w:color="auto"/>
      </w:divBdr>
    </w:div>
    <w:div w:id="1053306282">
      <w:bodyDiv w:val="1"/>
      <w:marLeft w:val="0"/>
      <w:marRight w:val="0"/>
      <w:marTop w:val="0"/>
      <w:marBottom w:val="0"/>
      <w:divBdr>
        <w:top w:val="none" w:sz="0" w:space="0" w:color="auto"/>
        <w:left w:val="none" w:sz="0" w:space="0" w:color="auto"/>
        <w:bottom w:val="none" w:sz="0" w:space="0" w:color="auto"/>
        <w:right w:val="none" w:sz="0" w:space="0" w:color="auto"/>
      </w:divBdr>
    </w:div>
    <w:div w:id="1156721050">
      <w:bodyDiv w:val="1"/>
      <w:marLeft w:val="0"/>
      <w:marRight w:val="0"/>
      <w:marTop w:val="0"/>
      <w:marBottom w:val="0"/>
      <w:divBdr>
        <w:top w:val="none" w:sz="0" w:space="0" w:color="auto"/>
        <w:left w:val="none" w:sz="0" w:space="0" w:color="auto"/>
        <w:bottom w:val="none" w:sz="0" w:space="0" w:color="auto"/>
        <w:right w:val="none" w:sz="0" w:space="0" w:color="auto"/>
      </w:divBdr>
    </w:div>
    <w:div w:id="1177839907">
      <w:bodyDiv w:val="1"/>
      <w:marLeft w:val="0"/>
      <w:marRight w:val="0"/>
      <w:marTop w:val="0"/>
      <w:marBottom w:val="0"/>
      <w:divBdr>
        <w:top w:val="none" w:sz="0" w:space="0" w:color="auto"/>
        <w:left w:val="none" w:sz="0" w:space="0" w:color="auto"/>
        <w:bottom w:val="none" w:sz="0" w:space="0" w:color="auto"/>
        <w:right w:val="none" w:sz="0" w:space="0" w:color="auto"/>
      </w:divBdr>
    </w:div>
    <w:div w:id="1213345710">
      <w:bodyDiv w:val="1"/>
      <w:marLeft w:val="0"/>
      <w:marRight w:val="0"/>
      <w:marTop w:val="0"/>
      <w:marBottom w:val="0"/>
      <w:divBdr>
        <w:top w:val="none" w:sz="0" w:space="0" w:color="auto"/>
        <w:left w:val="none" w:sz="0" w:space="0" w:color="auto"/>
        <w:bottom w:val="none" w:sz="0" w:space="0" w:color="auto"/>
        <w:right w:val="none" w:sz="0" w:space="0" w:color="auto"/>
      </w:divBdr>
    </w:div>
    <w:div w:id="1226330779">
      <w:bodyDiv w:val="1"/>
      <w:marLeft w:val="0"/>
      <w:marRight w:val="0"/>
      <w:marTop w:val="0"/>
      <w:marBottom w:val="0"/>
      <w:divBdr>
        <w:top w:val="none" w:sz="0" w:space="0" w:color="auto"/>
        <w:left w:val="none" w:sz="0" w:space="0" w:color="auto"/>
        <w:bottom w:val="none" w:sz="0" w:space="0" w:color="auto"/>
        <w:right w:val="none" w:sz="0" w:space="0" w:color="auto"/>
      </w:divBdr>
    </w:div>
    <w:div w:id="1263958009">
      <w:bodyDiv w:val="1"/>
      <w:marLeft w:val="0"/>
      <w:marRight w:val="0"/>
      <w:marTop w:val="0"/>
      <w:marBottom w:val="0"/>
      <w:divBdr>
        <w:top w:val="none" w:sz="0" w:space="0" w:color="auto"/>
        <w:left w:val="none" w:sz="0" w:space="0" w:color="auto"/>
        <w:bottom w:val="none" w:sz="0" w:space="0" w:color="auto"/>
        <w:right w:val="none" w:sz="0" w:space="0" w:color="auto"/>
      </w:divBdr>
    </w:div>
    <w:div w:id="1280835973">
      <w:bodyDiv w:val="1"/>
      <w:marLeft w:val="0"/>
      <w:marRight w:val="0"/>
      <w:marTop w:val="0"/>
      <w:marBottom w:val="0"/>
      <w:divBdr>
        <w:top w:val="none" w:sz="0" w:space="0" w:color="auto"/>
        <w:left w:val="none" w:sz="0" w:space="0" w:color="auto"/>
        <w:bottom w:val="none" w:sz="0" w:space="0" w:color="auto"/>
        <w:right w:val="none" w:sz="0" w:space="0" w:color="auto"/>
      </w:divBdr>
    </w:div>
    <w:div w:id="1282806485">
      <w:bodyDiv w:val="1"/>
      <w:marLeft w:val="0"/>
      <w:marRight w:val="0"/>
      <w:marTop w:val="0"/>
      <w:marBottom w:val="0"/>
      <w:divBdr>
        <w:top w:val="none" w:sz="0" w:space="0" w:color="auto"/>
        <w:left w:val="none" w:sz="0" w:space="0" w:color="auto"/>
        <w:bottom w:val="none" w:sz="0" w:space="0" w:color="auto"/>
        <w:right w:val="none" w:sz="0" w:space="0" w:color="auto"/>
      </w:divBdr>
    </w:div>
    <w:div w:id="1285119698">
      <w:bodyDiv w:val="1"/>
      <w:marLeft w:val="0"/>
      <w:marRight w:val="0"/>
      <w:marTop w:val="0"/>
      <w:marBottom w:val="0"/>
      <w:divBdr>
        <w:top w:val="none" w:sz="0" w:space="0" w:color="auto"/>
        <w:left w:val="none" w:sz="0" w:space="0" w:color="auto"/>
        <w:bottom w:val="none" w:sz="0" w:space="0" w:color="auto"/>
        <w:right w:val="none" w:sz="0" w:space="0" w:color="auto"/>
      </w:divBdr>
    </w:div>
    <w:div w:id="1287546759">
      <w:bodyDiv w:val="1"/>
      <w:marLeft w:val="0"/>
      <w:marRight w:val="0"/>
      <w:marTop w:val="0"/>
      <w:marBottom w:val="0"/>
      <w:divBdr>
        <w:top w:val="none" w:sz="0" w:space="0" w:color="auto"/>
        <w:left w:val="none" w:sz="0" w:space="0" w:color="auto"/>
        <w:bottom w:val="none" w:sz="0" w:space="0" w:color="auto"/>
        <w:right w:val="none" w:sz="0" w:space="0" w:color="auto"/>
      </w:divBdr>
    </w:div>
    <w:div w:id="1295673901">
      <w:bodyDiv w:val="1"/>
      <w:marLeft w:val="0"/>
      <w:marRight w:val="0"/>
      <w:marTop w:val="0"/>
      <w:marBottom w:val="0"/>
      <w:divBdr>
        <w:top w:val="none" w:sz="0" w:space="0" w:color="auto"/>
        <w:left w:val="none" w:sz="0" w:space="0" w:color="auto"/>
        <w:bottom w:val="none" w:sz="0" w:space="0" w:color="auto"/>
        <w:right w:val="none" w:sz="0" w:space="0" w:color="auto"/>
      </w:divBdr>
    </w:div>
    <w:div w:id="1389259317">
      <w:bodyDiv w:val="1"/>
      <w:marLeft w:val="0"/>
      <w:marRight w:val="0"/>
      <w:marTop w:val="0"/>
      <w:marBottom w:val="0"/>
      <w:divBdr>
        <w:top w:val="none" w:sz="0" w:space="0" w:color="auto"/>
        <w:left w:val="none" w:sz="0" w:space="0" w:color="auto"/>
        <w:bottom w:val="none" w:sz="0" w:space="0" w:color="auto"/>
        <w:right w:val="none" w:sz="0" w:space="0" w:color="auto"/>
      </w:divBdr>
    </w:div>
    <w:div w:id="1447966110">
      <w:bodyDiv w:val="1"/>
      <w:marLeft w:val="0"/>
      <w:marRight w:val="0"/>
      <w:marTop w:val="0"/>
      <w:marBottom w:val="0"/>
      <w:divBdr>
        <w:top w:val="none" w:sz="0" w:space="0" w:color="auto"/>
        <w:left w:val="none" w:sz="0" w:space="0" w:color="auto"/>
        <w:bottom w:val="none" w:sz="0" w:space="0" w:color="auto"/>
        <w:right w:val="none" w:sz="0" w:space="0" w:color="auto"/>
      </w:divBdr>
    </w:div>
    <w:div w:id="1693259635">
      <w:bodyDiv w:val="1"/>
      <w:marLeft w:val="0"/>
      <w:marRight w:val="0"/>
      <w:marTop w:val="0"/>
      <w:marBottom w:val="0"/>
      <w:divBdr>
        <w:top w:val="none" w:sz="0" w:space="0" w:color="auto"/>
        <w:left w:val="none" w:sz="0" w:space="0" w:color="auto"/>
        <w:bottom w:val="none" w:sz="0" w:space="0" w:color="auto"/>
        <w:right w:val="none" w:sz="0" w:space="0" w:color="auto"/>
      </w:divBdr>
    </w:div>
    <w:div w:id="1709330076">
      <w:bodyDiv w:val="1"/>
      <w:marLeft w:val="0"/>
      <w:marRight w:val="0"/>
      <w:marTop w:val="0"/>
      <w:marBottom w:val="0"/>
      <w:divBdr>
        <w:top w:val="none" w:sz="0" w:space="0" w:color="auto"/>
        <w:left w:val="none" w:sz="0" w:space="0" w:color="auto"/>
        <w:bottom w:val="none" w:sz="0" w:space="0" w:color="auto"/>
        <w:right w:val="none" w:sz="0" w:space="0" w:color="auto"/>
      </w:divBdr>
    </w:div>
    <w:div w:id="1752315476">
      <w:bodyDiv w:val="1"/>
      <w:marLeft w:val="0"/>
      <w:marRight w:val="0"/>
      <w:marTop w:val="0"/>
      <w:marBottom w:val="0"/>
      <w:divBdr>
        <w:top w:val="none" w:sz="0" w:space="0" w:color="auto"/>
        <w:left w:val="none" w:sz="0" w:space="0" w:color="auto"/>
        <w:bottom w:val="none" w:sz="0" w:space="0" w:color="auto"/>
        <w:right w:val="none" w:sz="0" w:space="0" w:color="auto"/>
      </w:divBdr>
    </w:div>
    <w:div w:id="1789427008">
      <w:bodyDiv w:val="1"/>
      <w:marLeft w:val="0"/>
      <w:marRight w:val="0"/>
      <w:marTop w:val="0"/>
      <w:marBottom w:val="0"/>
      <w:divBdr>
        <w:top w:val="none" w:sz="0" w:space="0" w:color="auto"/>
        <w:left w:val="none" w:sz="0" w:space="0" w:color="auto"/>
        <w:bottom w:val="none" w:sz="0" w:space="0" w:color="auto"/>
        <w:right w:val="none" w:sz="0" w:space="0" w:color="auto"/>
      </w:divBdr>
    </w:div>
    <w:div w:id="1809778841">
      <w:bodyDiv w:val="1"/>
      <w:marLeft w:val="0"/>
      <w:marRight w:val="0"/>
      <w:marTop w:val="0"/>
      <w:marBottom w:val="0"/>
      <w:divBdr>
        <w:top w:val="none" w:sz="0" w:space="0" w:color="auto"/>
        <w:left w:val="none" w:sz="0" w:space="0" w:color="auto"/>
        <w:bottom w:val="none" w:sz="0" w:space="0" w:color="auto"/>
        <w:right w:val="none" w:sz="0" w:space="0" w:color="auto"/>
      </w:divBdr>
    </w:div>
    <w:div w:id="1890267328">
      <w:bodyDiv w:val="1"/>
      <w:marLeft w:val="0"/>
      <w:marRight w:val="0"/>
      <w:marTop w:val="0"/>
      <w:marBottom w:val="0"/>
      <w:divBdr>
        <w:top w:val="none" w:sz="0" w:space="0" w:color="auto"/>
        <w:left w:val="none" w:sz="0" w:space="0" w:color="auto"/>
        <w:bottom w:val="none" w:sz="0" w:space="0" w:color="auto"/>
        <w:right w:val="none" w:sz="0" w:space="0" w:color="auto"/>
      </w:divBdr>
    </w:div>
    <w:div w:id="1923177796">
      <w:bodyDiv w:val="1"/>
      <w:marLeft w:val="0"/>
      <w:marRight w:val="0"/>
      <w:marTop w:val="0"/>
      <w:marBottom w:val="0"/>
      <w:divBdr>
        <w:top w:val="none" w:sz="0" w:space="0" w:color="auto"/>
        <w:left w:val="none" w:sz="0" w:space="0" w:color="auto"/>
        <w:bottom w:val="none" w:sz="0" w:space="0" w:color="auto"/>
        <w:right w:val="none" w:sz="0" w:space="0" w:color="auto"/>
      </w:divBdr>
    </w:div>
    <w:div w:id="1952393716">
      <w:bodyDiv w:val="1"/>
      <w:marLeft w:val="0"/>
      <w:marRight w:val="0"/>
      <w:marTop w:val="0"/>
      <w:marBottom w:val="0"/>
      <w:divBdr>
        <w:top w:val="none" w:sz="0" w:space="0" w:color="auto"/>
        <w:left w:val="none" w:sz="0" w:space="0" w:color="auto"/>
        <w:bottom w:val="none" w:sz="0" w:space="0" w:color="auto"/>
        <w:right w:val="none" w:sz="0" w:space="0" w:color="auto"/>
      </w:divBdr>
    </w:div>
    <w:div w:id="1963921365">
      <w:bodyDiv w:val="1"/>
      <w:marLeft w:val="0"/>
      <w:marRight w:val="0"/>
      <w:marTop w:val="0"/>
      <w:marBottom w:val="0"/>
      <w:divBdr>
        <w:top w:val="none" w:sz="0" w:space="0" w:color="auto"/>
        <w:left w:val="none" w:sz="0" w:space="0" w:color="auto"/>
        <w:bottom w:val="none" w:sz="0" w:space="0" w:color="auto"/>
        <w:right w:val="none" w:sz="0" w:space="0" w:color="auto"/>
      </w:divBdr>
    </w:div>
    <w:div w:id="2018574592">
      <w:bodyDiv w:val="1"/>
      <w:marLeft w:val="0"/>
      <w:marRight w:val="0"/>
      <w:marTop w:val="0"/>
      <w:marBottom w:val="0"/>
      <w:divBdr>
        <w:top w:val="none" w:sz="0" w:space="0" w:color="auto"/>
        <w:left w:val="none" w:sz="0" w:space="0" w:color="auto"/>
        <w:bottom w:val="none" w:sz="0" w:space="0" w:color="auto"/>
        <w:right w:val="none" w:sz="0" w:space="0" w:color="auto"/>
      </w:divBdr>
    </w:div>
    <w:div w:id="2019234537">
      <w:bodyDiv w:val="1"/>
      <w:marLeft w:val="0"/>
      <w:marRight w:val="0"/>
      <w:marTop w:val="0"/>
      <w:marBottom w:val="0"/>
      <w:divBdr>
        <w:top w:val="none" w:sz="0" w:space="0" w:color="auto"/>
        <w:left w:val="none" w:sz="0" w:space="0" w:color="auto"/>
        <w:bottom w:val="none" w:sz="0" w:space="0" w:color="auto"/>
        <w:right w:val="none" w:sz="0" w:space="0" w:color="auto"/>
      </w:divBdr>
    </w:div>
    <w:div w:id="2047437761">
      <w:bodyDiv w:val="1"/>
      <w:marLeft w:val="0"/>
      <w:marRight w:val="0"/>
      <w:marTop w:val="0"/>
      <w:marBottom w:val="0"/>
      <w:divBdr>
        <w:top w:val="none" w:sz="0" w:space="0" w:color="auto"/>
        <w:left w:val="none" w:sz="0" w:space="0" w:color="auto"/>
        <w:bottom w:val="none" w:sz="0" w:space="0" w:color="auto"/>
        <w:right w:val="none" w:sz="0" w:space="0" w:color="auto"/>
      </w:divBdr>
    </w:div>
    <w:div w:id="2125227310">
      <w:bodyDiv w:val="1"/>
      <w:marLeft w:val="0"/>
      <w:marRight w:val="0"/>
      <w:marTop w:val="0"/>
      <w:marBottom w:val="0"/>
      <w:divBdr>
        <w:top w:val="none" w:sz="0" w:space="0" w:color="auto"/>
        <w:left w:val="none" w:sz="0" w:space="0" w:color="auto"/>
        <w:bottom w:val="none" w:sz="0" w:space="0" w:color="auto"/>
        <w:right w:val="none" w:sz="0" w:space="0" w:color="auto"/>
      </w:divBdr>
    </w:div>
    <w:div w:id="2133746902">
      <w:bodyDiv w:val="1"/>
      <w:marLeft w:val="0"/>
      <w:marRight w:val="0"/>
      <w:marTop w:val="0"/>
      <w:marBottom w:val="0"/>
      <w:divBdr>
        <w:top w:val="none" w:sz="0" w:space="0" w:color="auto"/>
        <w:left w:val="none" w:sz="0" w:space="0" w:color="auto"/>
        <w:bottom w:val="none" w:sz="0" w:space="0" w:color="auto"/>
        <w:right w:val="none" w:sz="0" w:space="0" w:color="auto"/>
      </w:divBdr>
    </w:div>
    <w:div w:id="214218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nsumerlawready.eu/" TargetMode="External"/><Relationship Id="rId13" Type="http://schemas.openxmlformats.org/officeDocument/2006/relationships/hyperlink" Target="https://single-market-economy.ec.europa.eu/single-market/single-market-enforcement-taskforce_en" TargetMode="External"/><Relationship Id="rId18" Type="http://schemas.openxmlformats.org/officeDocument/2006/relationships/hyperlink" Target="https://single-market-scoreboard.ec.europa.eu/" TargetMode="External"/><Relationship Id="rId26" Type="http://schemas.openxmlformats.org/officeDocument/2006/relationships/hyperlink" Target="https://ec.europa.eu/info/policies/justice-and-fundamental-rights/upholding-rule-law/rule-law/rule-law-mechanism_pl" TargetMode="External"/><Relationship Id="rId3" Type="http://schemas.openxmlformats.org/officeDocument/2006/relationships/hyperlink" Target="https://ec.europa.eu/environment/integration/green_semester/pdf/10thMeetingExpertGroup/Study_costs_non-implementation_COWI-Eunomia.pdf" TargetMode="External"/><Relationship Id="rId21" Type="http://schemas.openxmlformats.org/officeDocument/2006/relationships/hyperlink" Target="https://environment.ec.europa.eu/law-and-governance/environmental-implementation-review_en" TargetMode="External"/><Relationship Id="rId34" Type="http://schemas.openxmlformats.org/officeDocument/2006/relationships/hyperlink" Target="https://ec.europa.eu/info/files/better-regulation-joining-forces-make-better-laws_en" TargetMode="External"/><Relationship Id="rId7" Type="http://schemas.openxmlformats.org/officeDocument/2006/relationships/hyperlink" Target="https://ec.europa.eu/info/live-work-travel-eu/consumer-rights-and-complaints/resolve-your-consumer-complaint/european-consumer-centres-network-ecc-net_pl" TargetMode="External"/><Relationship Id="rId12" Type="http://schemas.openxmlformats.org/officeDocument/2006/relationships/hyperlink" Target="https://transport.ec.europa.eu/transport-modes/road/mobility-package-i_en" TargetMode="External"/><Relationship Id="rId17" Type="http://schemas.openxmlformats.org/officeDocument/2006/relationships/hyperlink" Target="https://doi.org/10.1787/6893cdac-en" TargetMode="External"/><Relationship Id="rId25" Type="http://schemas.openxmlformats.org/officeDocument/2006/relationships/hyperlink" Target="https://ec.europa.eu/info/policies/justice-and-fundamental-rights/upholding-rule-law/rule-law/rule-law-mechanism/2022-rule-law-report_pl" TargetMode="External"/><Relationship Id="rId33" Type="http://schemas.openxmlformats.org/officeDocument/2006/relationships/hyperlink" Target="https://ec.europa.eu/info/files/better-regulation-joining-forces-make-better-laws_en" TargetMode="External"/><Relationship Id="rId2" Type="http://schemas.openxmlformats.org/officeDocument/2006/relationships/hyperlink" Target="https://ec.europa.eu/solvit/index_pl.htm" TargetMode="External"/><Relationship Id="rId16" Type="http://schemas.openxmlformats.org/officeDocument/2006/relationships/hyperlink" Target="https://ec.europa.eu/info/business-economy-euro/recovery-coronavirus/recovery-and-resilience-facility_pl" TargetMode="External"/><Relationship Id="rId20" Type="http://schemas.openxmlformats.org/officeDocument/2006/relationships/hyperlink" Target="https://environment.ec.europa.eu/law-and-governance/environmental-implementation-review_en" TargetMode="External"/><Relationship Id="rId29" Type="http://schemas.openxmlformats.org/officeDocument/2006/relationships/hyperlink" Target="https://ec.europa.eu/info/live-work-travel-eu/consumer-rights-and-complaints/enforcement-consumer-protection/coordinated-actions/social-media-and-search-engines_pl" TargetMode="External"/><Relationship Id="rId1" Type="http://schemas.openxmlformats.org/officeDocument/2006/relationships/hyperlink" Target="https://ec.europa.eu/info/law/law-making-process/planning-and-proposing-law/better-regulation-why-and-how/better-regulation-guidelines-and-toolbox_pl" TargetMode="External"/><Relationship Id="rId6" Type="http://schemas.openxmlformats.org/officeDocument/2006/relationships/hyperlink" Target="https://home-affairs.ec.europa.eu/policies/migration-and-asylum/legal-migration-and-integration/work/single-permit-work_pl" TargetMode="External"/><Relationship Id="rId11" Type="http://schemas.openxmlformats.org/officeDocument/2006/relationships/hyperlink" Target="https://ec.europa.eu/environment/nature/natura2000/management/guidance_en.htm" TargetMode="External"/><Relationship Id="rId24" Type="http://schemas.openxmlformats.org/officeDocument/2006/relationships/hyperlink" Target="https://home-affairs.ec.europa.eu/policies/schengen-borders-and-visa/schengen-area/schengen-evaluation-and-monitoring_en" TargetMode="External"/><Relationship Id="rId32" Type="http://schemas.openxmlformats.org/officeDocument/2006/relationships/hyperlink" Target="https://ec.europa.eu/info/live-work-travel-eu/consumer-rights-and-complaints/enforcement-consumer-protection/consumer-protection-cooperation-network_en" TargetMode="External"/><Relationship Id="rId5" Type="http://schemas.openxmlformats.org/officeDocument/2006/relationships/hyperlink" Target="https://taxation-customs.ec.europa.eu/news/new-eu-vat-rules-e-commerce-updated-revenue-figures-point-successful-implementation-2022-05-23_pl" TargetMode="External"/><Relationship Id="rId15" Type="http://schemas.openxmlformats.org/officeDocument/2006/relationships/hyperlink" Target="https://ec.europa.eu/internal_market/imi-net/index_pl.htm" TargetMode="External"/><Relationship Id="rId23" Type="http://schemas.openxmlformats.org/officeDocument/2006/relationships/hyperlink" Target="https://finance.ec.europa.eu/regulation-and-supervision/enforcement-and-infringements-banking-and-finance-law/monitoring-banking-and-finance-directives_en" TargetMode="External"/><Relationship Id="rId28" Type="http://schemas.openxmlformats.org/officeDocument/2006/relationships/hyperlink" Target="https://digital-strategy.ec.europa.eu/en/news/commission-publishes-its-short-term-review-geo-blocking-regulation" TargetMode="External"/><Relationship Id="rId36" Type="http://schemas.openxmlformats.org/officeDocument/2006/relationships/hyperlink" Target="https://ec.europa.eu/atwork/applying-eu-law/infringements-proceedings/infringement_decisions/?lang_%20code=en&amp;lang_code=pl" TargetMode="External"/><Relationship Id="rId10" Type="http://schemas.openxmlformats.org/officeDocument/2006/relationships/hyperlink" Target="https://health.ec.europa.eu/system/files/2022-05/hta_htar_rolling-plan_en.pdf" TargetMode="External"/><Relationship Id="rId19" Type="http://schemas.openxmlformats.org/officeDocument/2006/relationships/hyperlink" Target="https://ec.europa.eu/info/publications/2022-european-semester-country-reports_en" TargetMode="External"/><Relationship Id="rId31" Type="http://schemas.openxmlformats.org/officeDocument/2006/relationships/hyperlink" Target="https://competition-policy.ec.europa.eu/state-aid/ukraine_en" TargetMode="External"/><Relationship Id="rId4" Type="http://schemas.openxmlformats.org/officeDocument/2006/relationships/hyperlink" Target="https://taxation-customs.ec.europa.eu/news/new-eu-vat-rules-e-commerce-updated-revenue-figures-point-successful-implementation-2022-05-23_pl" TargetMode="External"/><Relationship Id="rId9" Type="http://schemas.openxmlformats.org/officeDocument/2006/relationships/hyperlink" Target="https://ec.europa.eu/info/law/law-making-process/planning-and-proposing-law/better-regulation-why-and-how/better-regulation-guidelines-and-toolbox_pl" TargetMode="External"/><Relationship Id="rId14" Type="http://schemas.openxmlformats.org/officeDocument/2006/relationships/hyperlink" Target="https://digital-strategy.ec.europa.eu/en/policies/web-accessibility-expert-group" TargetMode="External"/><Relationship Id="rId22" Type="http://schemas.openxmlformats.org/officeDocument/2006/relationships/hyperlink" Target="https://ec.europa.eu/info/policies/justice-and-fundamental-rights/upholding-rule-law/eu-justice-scoreboard_pl" TargetMode="External"/><Relationship Id="rId27" Type="http://schemas.openxmlformats.org/officeDocument/2006/relationships/hyperlink" Target="https://ec.europa.eu/assets/sg/report-a-breach/complaints_pl/" TargetMode="External"/><Relationship Id="rId30" Type="http://schemas.openxmlformats.org/officeDocument/2006/relationships/hyperlink" Target="https://competition-policy.ec.europa.eu/state-aid/coronavirus/temporary-framework_en" TargetMode="External"/><Relationship Id="rId35" Type="http://schemas.openxmlformats.org/officeDocument/2006/relationships/hyperlink" Target="https://ec.europa.eu/info/publications/annual-reports-monitoring-application-eu-law_e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HOMES\104\leroycn\Desktop\Copy%20of%20Adopted%20acts%20-%20Basic%20overview%20-%202004-2021.xls"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NET1.cec.eu.int\HOMES\104\leroycn\Desktop\Copy%20of%20Adopted%20acts%20-%20Basic%20overview%20-%202004-2021.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accent1">
                    <a:lumMod val="75000"/>
                  </a:schemeClr>
                </a:solidFill>
                <a:latin typeface="EC Square Sans Pro" panose="020B0506040000020004" pitchFamily="34" charset="0"/>
                <a:ea typeface="Verdana" panose="020B0604030504040204" pitchFamily="34" charset="0"/>
                <a:cs typeface="Verdana" panose="020B0604030504040204" pitchFamily="34" charset="0"/>
              </a:defRPr>
            </a:pPr>
            <a:r>
              <a:rPr lang="pl-PL" sz="1200" b="0" i="0">
                <a:solidFill>
                  <a:srgbClr val="0070C0"/>
                </a:solidFill>
                <a:latin typeface="EC Square Sans Pro" panose="020B0506040000020004" pitchFamily="34" charset="0"/>
                <a:ea typeface="Verdana" panose="020B0604030504040204" pitchFamily="34" charset="0"/>
                <a:cs typeface="Arial" panose="020B0604020202020204" pitchFamily="34" charset="0"/>
              </a:rPr>
              <a:t>Procedury</a:t>
            </a:r>
          </a:p>
          <a:p>
            <a:pPr>
              <a:defRPr sz="1200" b="0">
                <a:solidFill>
                  <a:schemeClr val="accent1">
                    <a:lumMod val="75000"/>
                  </a:schemeClr>
                </a:solidFill>
                <a:latin typeface="EC Square Sans Pro" panose="020B0506040000020004" pitchFamily="34" charset="0"/>
                <a:ea typeface="Verdana" panose="020B0604030504040204" pitchFamily="34" charset="0"/>
                <a:cs typeface="Verdana" panose="020B0604030504040204" pitchFamily="34" charset="0"/>
              </a:defRPr>
            </a:pPr>
            <a:r>
              <a:rPr lang="pl-PL" sz="1200" b="0" i="0">
                <a:solidFill>
                  <a:srgbClr val="0070C0"/>
                </a:solidFill>
                <a:latin typeface="EC Square Sans Pro" panose="020B0506040000020004" pitchFamily="34" charset="0"/>
                <a:ea typeface="Verdana" panose="020B0604030504040204" pitchFamily="34" charset="0"/>
                <a:cs typeface="Arial" panose="020B0604020202020204" pitchFamily="34" charset="0"/>
              </a:rPr>
              <a:t> </a:t>
            </a:r>
            <a:r>
              <a:rPr lang="en-GB" sz="1200" b="0" i="0">
                <a:solidFill>
                  <a:srgbClr val="0070C0"/>
                </a:solidFill>
                <a:latin typeface="EC Square Sans Pro" panose="020B0506040000020004" pitchFamily="34" charset="0"/>
                <a:ea typeface="Verdana" panose="020B0604030504040204" pitchFamily="34" charset="0"/>
                <a:cs typeface="Arial" panose="020B0604020202020204" pitchFamily="34" charset="0"/>
              </a:rPr>
              <a:t>EU Pilot (</a:t>
            </a:r>
            <a:r>
              <a:rPr lang="en-GB" sz="1200" b="0" i="0" u="none" strike="noStrike" kern="1200" baseline="0">
                <a:solidFill>
                  <a:srgbClr val="0070C0"/>
                </a:solidFill>
                <a:latin typeface="EC Square Sans Pro" panose="020B0506040000020004" pitchFamily="34" charset="0"/>
                <a:ea typeface="Verdana" panose="020B0604030504040204" pitchFamily="34" charset="0"/>
                <a:cs typeface="Arial" panose="020B0604020202020204" pitchFamily="34" charset="0"/>
              </a:rPr>
              <a:t>2017</a:t>
            </a:r>
            <a:r>
              <a:rPr lang="en-GB" sz="1200" b="0" i="0">
                <a:solidFill>
                  <a:srgbClr val="0070C0"/>
                </a:solidFill>
                <a:latin typeface="EC Square Sans Pro" panose="020B0506040000020004" pitchFamily="34" charset="0"/>
                <a:ea typeface="Verdana" panose="020B0604030504040204" pitchFamily="34" charset="0"/>
                <a:cs typeface="Arial" panose="020B0604020202020204" pitchFamily="34" charset="0"/>
              </a:rPr>
              <a:t>-</a:t>
            </a:r>
            <a:r>
              <a:rPr lang="en-GB" sz="1200" b="0" i="0" u="none" strike="noStrike" kern="1200" baseline="0">
                <a:solidFill>
                  <a:srgbClr val="0070C0"/>
                </a:solidFill>
                <a:latin typeface="EC Square Sans Pro" panose="020B0506040000020004" pitchFamily="34" charset="0"/>
                <a:ea typeface="Verdana" panose="020B0604030504040204" pitchFamily="34" charset="0"/>
                <a:cs typeface="Arial" panose="020B0604020202020204" pitchFamily="34" charset="0"/>
              </a:rPr>
              <a:t>2021</a:t>
            </a:r>
            <a:r>
              <a:rPr lang="en-GB" sz="1200" b="0" i="0">
                <a:solidFill>
                  <a:srgbClr val="0070C0"/>
                </a:solidFill>
                <a:latin typeface="EC Square Sans Pro" panose="020B0506040000020004" pitchFamily="34" charset="0"/>
                <a:ea typeface="Verdana" panose="020B0604030504040204" pitchFamily="34" charset="0"/>
                <a:cs typeface="Arial" panose="020B0604020202020204" pitchFamily="34" charset="0"/>
              </a:rPr>
              <a:t>)</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accent1">
                  <a:lumMod val="75000"/>
                </a:schemeClr>
              </a:solidFill>
              <a:latin typeface="EC Square Sans Pro" panose="020B0506040000020004" pitchFamily="34" charset="0"/>
              <a:ea typeface="Verdana" panose="020B0604030504040204" pitchFamily="34" charset="0"/>
              <a:cs typeface="Verdana" panose="020B0604030504040204" pitchFamily="34" charset="0"/>
            </a:defRPr>
          </a:pPr>
          <a:endParaRPr lang="en-US"/>
        </a:p>
      </c:txPr>
    </c:title>
    <c:autoTitleDeleted val="0"/>
    <c:plotArea>
      <c:layout>
        <c:manualLayout>
          <c:layoutTarget val="inner"/>
          <c:xMode val="edge"/>
          <c:yMode val="edge"/>
          <c:x val="1.4594767527921958E-2"/>
          <c:y val="0.14925068762808757"/>
          <c:w val="0.94623655913978499"/>
          <c:h val="0.66179415073115866"/>
        </c:manualLayout>
      </c:layout>
      <c:lineChart>
        <c:grouping val="standard"/>
        <c:varyColors val="0"/>
        <c:ser>
          <c:idx val="0"/>
          <c:order val="0"/>
          <c:tx>
            <c:strRef>
              <c:f>Blad1!$B$2</c:f>
              <c:strCache>
                <c:ptCount val="1"/>
                <c:pt idx="0">
                  <c:v>Rozstrzygnięte zadowalająco</c:v>
                </c:pt>
              </c:strCache>
            </c:strRef>
          </c:tx>
          <c:spPr>
            <a:ln w="28575" cap="rnd" cmpd="sng" algn="ctr">
              <a:solidFill>
                <a:schemeClr val="accent1">
                  <a:shade val="95000"/>
                  <a:satMod val="105000"/>
                </a:schemeClr>
              </a:solidFill>
              <a:prstDash val="solid"/>
              <a:round/>
            </a:ln>
            <a:effectLst>
              <a:outerShdw blurRad="40000" dist="23000" dir="5400000" rotWithShape="0">
                <a:srgbClr val="000000">
                  <a:alpha val="35000"/>
                </a:srgbClr>
              </a:outerShdw>
            </a:effectLst>
          </c:spPr>
          <c:marker>
            <c:spPr>
              <a:solidFill>
                <a:schemeClr val="accent1"/>
              </a:solidFill>
              <a:ln w="9525" cap="flat" cmpd="sng" algn="ctr">
                <a:solidFill>
                  <a:schemeClr val="accent1">
                    <a:shade val="95000"/>
                    <a:satMod val="105000"/>
                  </a:schemeClr>
                </a:solidFill>
                <a:prstDash val="solid"/>
                <a:round/>
              </a:ln>
              <a:effectLst/>
            </c:spPr>
          </c:marker>
          <c:dLbls>
            <c:delete val="1"/>
          </c:dLbls>
          <c:cat>
            <c:numRef>
              <c:f>Blad1!$A$3:$A$7</c:f>
              <c:numCache>
                <c:formatCode>General</c:formatCode>
                <c:ptCount val="5"/>
                <c:pt idx="0">
                  <c:v>2017</c:v>
                </c:pt>
                <c:pt idx="1">
                  <c:v>2018</c:v>
                </c:pt>
                <c:pt idx="2">
                  <c:v>2019</c:v>
                </c:pt>
                <c:pt idx="3">
                  <c:v>2020</c:v>
                </c:pt>
                <c:pt idx="4">
                  <c:v>2021</c:v>
                </c:pt>
              </c:numCache>
            </c:numRef>
          </c:cat>
          <c:val>
            <c:numRef>
              <c:f>Blad1!$B$3:$B$7</c:f>
              <c:numCache>
                <c:formatCode>0</c:formatCode>
                <c:ptCount val="5"/>
                <c:pt idx="0">
                  <c:v>770</c:v>
                </c:pt>
                <c:pt idx="1">
                  <c:v>730</c:v>
                </c:pt>
                <c:pt idx="2">
                  <c:v>770</c:v>
                </c:pt>
                <c:pt idx="3">
                  <c:v>630</c:v>
                </c:pt>
                <c:pt idx="4">
                  <c:v>810</c:v>
                </c:pt>
              </c:numCache>
            </c:numRef>
          </c:val>
          <c:smooth val="0"/>
          <c:extLst>
            <c:ext xmlns:c16="http://schemas.microsoft.com/office/drawing/2014/chart" uri="{C3380CC4-5D6E-409C-BE32-E72D297353CC}">
              <c16:uniqueId val="{00000000-3BD2-4BFE-B378-660749CC5A08}"/>
            </c:ext>
          </c:extLst>
        </c:ser>
        <c:ser>
          <c:idx val="1"/>
          <c:order val="1"/>
          <c:tx>
            <c:strRef>
              <c:f>Blad1!$C$2</c:f>
              <c:strCache>
                <c:ptCount val="1"/>
                <c:pt idx="0">
                  <c:v>Procedury EU Pilot</c:v>
                </c:pt>
              </c:strCache>
            </c:strRef>
          </c:tx>
          <c:spPr>
            <a:ln w="28575" cap="rnd" cmpd="sng" algn="ctr">
              <a:solidFill>
                <a:schemeClr val="accent3">
                  <a:shade val="95000"/>
                  <a:satMod val="105000"/>
                </a:schemeClr>
              </a:solidFill>
              <a:prstDash val="solid"/>
              <a:round/>
            </a:ln>
            <a:effectLst>
              <a:outerShdw blurRad="38100" dist="22860" dir="5400000" algn="ctr" rotWithShape="0">
                <a:schemeClr val="tx1">
                  <a:alpha val="35000"/>
                </a:schemeClr>
              </a:outerShdw>
            </a:effectLst>
          </c:spPr>
          <c:marker>
            <c:spPr>
              <a:solidFill>
                <a:schemeClr val="accent3"/>
              </a:solidFill>
              <a:ln w="9525" cap="flat" cmpd="sng" algn="ctr">
                <a:solidFill>
                  <a:schemeClr val="accent3">
                    <a:shade val="95000"/>
                    <a:satMod val="105000"/>
                  </a:schemeClr>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Blad1!$A$3:$A$7</c:f>
              <c:numCache>
                <c:formatCode>General</c:formatCode>
                <c:ptCount val="5"/>
                <c:pt idx="0">
                  <c:v>2017</c:v>
                </c:pt>
                <c:pt idx="1">
                  <c:v>2018</c:v>
                </c:pt>
                <c:pt idx="2">
                  <c:v>2019</c:v>
                </c:pt>
                <c:pt idx="3">
                  <c:v>2020</c:v>
                </c:pt>
                <c:pt idx="4">
                  <c:v>2021</c:v>
                </c:pt>
              </c:numCache>
            </c:numRef>
          </c:cat>
          <c:val>
            <c:numRef>
              <c:f>Blad1!$C$3:$C$7</c:f>
              <c:numCache>
                <c:formatCode>General</c:formatCode>
                <c:ptCount val="5"/>
                <c:pt idx="0">
                  <c:v>512</c:v>
                </c:pt>
                <c:pt idx="1">
                  <c:v>397</c:v>
                </c:pt>
                <c:pt idx="2">
                  <c:v>244</c:v>
                </c:pt>
                <c:pt idx="3">
                  <c:v>171</c:v>
                </c:pt>
                <c:pt idx="4">
                  <c:v>223</c:v>
                </c:pt>
              </c:numCache>
            </c:numRef>
          </c:val>
          <c:smooth val="0"/>
          <c:extLst>
            <c:ext xmlns:c16="http://schemas.microsoft.com/office/drawing/2014/chart" uri="{C3380CC4-5D6E-409C-BE32-E72D297353CC}">
              <c16:uniqueId val="{00000001-3BD2-4BFE-B378-660749CC5A08}"/>
            </c:ext>
          </c:extLst>
        </c:ser>
        <c:dLbls>
          <c:showLegendKey val="0"/>
          <c:showVal val="1"/>
          <c:showCatName val="0"/>
          <c:showSerName val="0"/>
          <c:showPercent val="0"/>
          <c:showBubbleSize val="0"/>
        </c:dLbls>
        <c:marker val="1"/>
        <c:smooth val="0"/>
        <c:axId val="182203520"/>
        <c:axId val="182205056"/>
      </c:lineChart>
      <c:catAx>
        <c:axId val="182203520"/>
        <c:scaling>
          <c:orientation val="minMax"/>
        </c:scaling>
        <c:delete val="0"/>
        <c:axPos val="b"/>
        <c:numFmt formatCode="General" sourceLinked="1"/>
        <c:majorTickMark val="none"/>
        <c:minorTickMark val="none"/>
        <c:tickLblPos val="nextTo"/>
        <c:spPr>
          <a:noFill/>
          <a:ln w="1269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182205056"/>
        <c:crosses val="autoZero"/>
        <c:auto val="1"/>
        <c:lblAlgn val="ctr"/>
        <c:lblOffset val="100"/>
        <c:noMultiLvlLbl val="0"/>
      </c:catAx>
      <c:valAx>
        <c:axId val="182205056"/>
        <c:scaling>
          <c:orientation val="minMax"/>
        </c:scaling>
        <c:delete val="1"/>
        <c:axPos val="l"/>
        <c:majorGridlines>
          <c:spPr>
            <a:ln w="9525" cap="flat" cmpd="sng" algn="ctr">
              <a:solidFill>
                <a:schemeClr val="tx1">
                  <a:lumMod val="15000"/>
                  <a:lumOff val="85000"/>
                </a:schemeClr>
              </a:solidFill>
              <a:prstDash val="solid"/>
              <a:round/>
            </a:ln>
            <a:effectLst/>
          </c:spPr>
        </c:majorGridlines>
        <c:numFmt formatCode="0" sourceLinked="1"/>
        <c:majorTickMark val="out"/>
        <c:minorTickMark val="none"/>
        <c:tickLblPos val="nextTo"/>
        <c:crossAx val="182203520"/>
        <c:crosses val="autoZero"/>
        <c:crossBetween val="between"/>
      </c:valAx>
      <c:spPr>
        <a:noFill/>
        <a:ln w="25372">
          <a:noFill/>
        </a:ln>
        <a:effectLst/>
      </c:spPr>
    </c:plotArea>
    <c:legend>
      <c:legendPos val="b"/>
      <c:legendEntry>
        <c:idx val="0"/>
        <c:txPr>
          <a:bodyPr rot="0" spcFirstLastPara="1" vertOverflow="ellipsis" vert="horz" wrap="square" anchor="ctr" anchorCtr="1"/>
          <a:lstStyle/>
          <a:p>
            <a:pPr>
              <a:defRPr sz="700" b="0" i="0" u="none" strike="noStrike" kern="1200" baseline="0">
                <a:solidFill>
                  <a:schemeClr val="tx1"/>
                </a:solidFill>
                <a:latin typeface="EC Square Sans Pro" panose="020B0506040000020004" pitchFamily="34" charset="0"/>
                <a:ea typeface="+mn-ea"/>
                <a:cs typeface="+mn-cs"/>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solidFill>
                <a:latin typeface="EC Square Sans Pro" panose="020B0506040000020004" pitchFamily="34" charset="0"/>
                <a:ea typeface="+mn-ea"/>
                <a:cs typeface="+mn-cs"/>
              </a:defRPr>
            </a:pPr>
            <a:endParaRPr lang="en-US"/>
          </a:p>
        </c:txPr>
      </c:legendEntry>
      <c:layout>
        <c:manualLayout>
          <c:xMode val="edge"/>
          <c:yMode val="edge"/>
          <c:x val="0.12446791576354926"/>
          <c:y val="0.9077790500170938"/>
          <c:w val="0.71559615760045248"/>
          <c:h val="7.8162582173446168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18" cap="flat" cmpd="sng" algn="ctr">
      <a:solidFill>
        <a:schemeClr val="tx1">
          <a:lumMod val="15000"/>
          <a:lumOff val="85000"/>
        </a:schemeClr>
      </a:solidFill>
      <a:prstDash val="solid"/>
      <a:round/>
    </a:ln>
    <a:effectLst>
      <a:outerShdw blurRad="50800" dist="38100" dir="2700000" algn="tl" rotWithShape="0">
        <a:prstClr val="black">
          <a:alpha val="40000"/>
        </a:prstClr>
      </a:outerShdw>
    </a:effectLst>
  </c:spPr>
  <c:txPr>
    <a:bodyPr/>
    <a:lstStyle/>
    <a:p>
      <a:pPr>
        <a:spcAft>
          <a:spcPts val="2400"/>
        </a:spcAft>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pl-PL" sz="1200">
                <a:solidFill>
                  <a:srgbClr val="0070C0"/>
                </a:solidFill>
                <a:latin typeface="EC Square Sans Pro" panose="020B0506040000020004" pitchFamily="34" charset="0"/>
              </a:rPr>
              <a:t>Liczba</a:t>
            </a:r>
            <a:r>
              <a:rPr lang="pl-PL" sz="1200" baseline="0">
                <a:solidFill>
                  <a:srgbClr val="0070C0"/>
                </a:solidFill>
                <a:latin typeface="EC Square Sans Pro" panose="020B0506040000020004" pitchFamily="34" charset="0"/>
              </a:rPr>
              <a:t> przyjmowanych rocznie dyrektyw</a:t>
            </a:r>
            <a:endParaRPr lang="en-GB" sz="1200">
              <a:solidFill>
                <a:srgbClr val="0070C0"/>
              </a:solidFill>
              <a:latin typeface="EC Square Sans Pro" panose="020B0506040000020004" pitchFamily="34" charset="0"/>
            </a:endParaRP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cat>
            <c:numRef>
              <c:f>Sheet1!$A$2:$A$19</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Sheet1!$B$2:$B$19</c:f>
              <c:numCache>
                <c:formatCode>General</c:formatCode>
                <c:ptCount val="18"/>
                <c:pt idx="0">
                  <c:v>120</c:v>
                </c:pt>
                <c:pt idx="1">
                  <c:v>90</c:v>
                </c:pt>
                <c:pt idx="2">
                  <c:v>143</c:v>
                </c:pt>
                <c:pt idx="3">
                  <c:v>77</c:v>
                </c:pt>
                <c:pt idx="4">
                  <c:v>124</c:v>
                </c:pt>
                <c:pt idx="5">
                  <c:v>166</c:v>
                </c:pt>
                <c:pt idx="6">
                  <c:v>91</c:v>
                </c:pt>
                <c:pt idx="7">
                  <c:v>100</c:v>
                </c:pt>
                <c:pt idx="8">
                  <c:v>53</c:v>
                </c:pt>
                <c:pt idx="9">
                  <c:v>77</c:v>
                </c:pt>
                <c:pt idx="10">
                  <c:v>97</c:v>
                </c:pt>
                <c:pt idx="11">
                  <c:v>38</c:v>
                </c:pt>
                <c:pt idx="12">
                  <c:v>41</c:v>
                </c:pt>
                <c:pt idx="13">
                  <c:v>32</c:v>
                </c:pt>
                <c:pt idx="14">
                  <c:v>54</c:v>
                </c:pt>
                <c:pt idx="15">
                  <c:v>64</c:v>
                </c:pt>
                <c:pt idx="16">
                  <c:v>21</c:v>
                </c:pt>
                <c:pt idx="17">
                  <c:v>29</c:v>
                </c:pt>
              </c:numCache>
            </c:numRef>
          </c:val>
          <c:smooth val="0"/>
          <c:extLst>
            <c:ext xmlns:c16="http://schemas.microsoft.com/office/drawing/2014/chart" uri="{C3380CC4-5D6E-409C-BE32-E72D297353CC}">
              <c16:uniqueId val="{00000000-7A60-491C-9B2F-6889A8B66845}"/>
            </c:ext>
          </c:extLst>
        </c:ser>
        <c:dLbls>
          <c:showLegendKey val="0"/>
          <c:showVal val="0"/>
          <c:showCatName val="0"/>
          <c:showSerName val="0"/>
          <c:showPercent val="0"/>
          <c:showBubbleSize val="0"/>
        </c:dLbls>
        <c:smooth val="0"/>
        <c:axId val="348775136"/>
        <c:axId val="1"/>
      </c:lineChart>
      <c:catAx>
        <c:axId val="34877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77513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solidFill>
                  <a:srgbClr val="0070C0"/>
                </a:solidFill>
                <a:latin typeface="EC Square Sans Pro" panose="020B0506040000020004" pitchFamily="34" charset="0"/>
              </a:rPr>
              <a:t>Liczba przyjmowanych rocznie rozporządzeń</a:t>
            </a:r>
            <a:endParaRPr lang="en-GB" sz="1200">
              <a:solidFill>
                <a:srgbClr val="0070C0"/>
              </a:solidFill>
              <a:latin typeface="EC Square Sans Pro" panose="020B0506040000020004" pitchFamily="34" charset="0"/>
            </a:endParaRPr>
          </a:p>
        </c:rich>
      </c:tx>
      <c:layout>
        <c:manualLayout>
          <c:xMode val="edge"/>
          <c:yMode val="edge"/>
          <c:x val="0.2130837657524092"/>
          <c:y val="3.498542274052478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Sheet1!$A$24:$A$41</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Sheet1!$B$24:$B$41</c:f>
              <c:numCache>
                <c:formatCode>General</c:formatCode>
                <c:ptCount val="18"/>
                <c:pt idx="0">
                  <c:v>976</c:v>
                </c:pt>
                <c:pt idx="1">
                  <c:v>827</c:v>
                </c:pt>
                <c:pt idx="2">
                  <c:v>896</c:v>
                </c:pt>
                <c:pt idx="3">
                  <c:v>801</c:v>
                </c:pt>
                <c:pt idx="4">
                  <c:v>780</c:v>
                </c:pt>
                <c:pt idx="5">
                  <c:v>716</c:v>
                </c:pt>
                <c:pt idx="6">
                  <c:v>724</c:v>
                </c:pt>
                <c:pt idx="7">
                  <c:v>903</c:v>
                </c:pt>
                <c:pt idx="8">
                  <c:v>887</c:v>
                </c:pt>
                <c:pt idx="9">
                  <c:v>1083</c:v>
                </c:pt>
                <c:pt idx="10">
                  <c:v>1085</c:v>
                </c:pt>
                <c:pt idx="11">
                  <c:v>969</c:v>
                </c:pt>
                <c:pt idx="12">
                  <c:v>906</c:v>
                </c:pt>
                <c:pt idx="13">
                  <c:v>976</c:v>
                </c:pt>
                <c:pt idx="14">
                  <c:v>851</c:v>
                </c:pt>
                <c:pt idx="15">
                  <c:v>855</c:v>
                </c:pt>
                <c:pt idx="16">
                  <c:v>958</c:v>
                </c:pt>
                <c:pt idx="17">
                  <c:v>1010</c:v>
                </c:pt>
              </c:numCache>
            </c:numRef>
          </c:val>
          <c:smooth val="0"/>
          <c:extLst>
            <c:ext xmlns:c16="http://schemas.microsoft.com/office/drawing/2014/chart" uri="{C3380CC4-5D6E-409C-BE32-E72D297353CC}">
              <c16:uniqueId val="{00000000-10D7-4689-BB56-06E2128C8CA3}"/>
            </c:ext>
          </c:extLst>
        </c:ser>
        <c:dLbls>
          <c:showLegendKey val="0"/>
          <c:showVal val="0"/>
          <c:showCatName val="0"/>
          <c:showSerName val="0"/>
          <c:showPercent val="0"/>
          <c:showBubbleSize val="0"/>
        </c:dLbls>
        <c:smooth val="0"/>
        <c:axId val="439804336"/>
        <c:axId val="439803680"/>
      </c:lineChart>
      <c:catAx>
        <c:axId val="43980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803680"/>
        <c:crosses val="autoZero"/>
        <c:auto val="1"/>
        <c:lblAlgn val="ctr"/>
        <c:lblOffset val="100"/>
        <c:noMultiLvlLbl val="0"/>
      </c:catAx>
      <c:valAx>
        <c:axId val="439803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804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0.0671</cdr:x>
      <cdr:y>0.14074</cdr:y>
    </cdr:from>
    <cdr:to>
      <cdr:x>0.19793</cdr:x>
      <cdr:y>0.24566</cdr:y>
    </cdr:to>
    <cdr:sp macro="" textlink="">
      <cdr:nvSpPr>
        <cdr:cNvPr id="2" name="Text Box 1"/>
        <cdr:cNvSpPr txBox="1"/>
      </cdr:nvSpPr>
      <cdr:spPr>
        <a:xfrm xmlns:a="http://schemas.openxmlformats.org/drawingml/2006/main">
          <a:off x="247554" y="309220"/>
          <a:ext cx="482695" cy="2305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800">
              <a:solidFill>
                <a:srgbClr val="002060"/>
              </a:solidFill>
              <a:latin typeface="Verdana" panose="020B0604030504040204" pitchFamily="34" charset="0"/>
              <a:ea typeface="Verdana" panose="020B0604030504040204" pitchFamily="34" charset="0"/>
              <a:cs typeface="Verdana" panose="020B0604030504040204" pitchFamily="34" charset="0"/>
            </a:rPr>
            <a:t>77%</a:t>
          </a:r>
        </a:p>
      </cdr:txBody>
    </cdr:sp>
  </cdr:relSizeAnchor>
  <cdr:relSizeAnchor xmlns:cdr="http://schemas.openxmlformats.org/drawingml/2006/chartDrawing">
    <cdr:from>
      <cdr:x>0.82561</cdr:x>
      <cdr:y>0.08974</cdr:y>
    </cdr:from>
    <cdr:to>
      <cdr:x>0.94492</cdr:x>
      <cdr:y>0.19653</cdr:y>
    </cdr:to>
    <cdr:sp macro="" textlink="">
      <cdr:nvSpPr>
        <cdr:cNvPr id="3" name="Text Box 1"/>
        <cdr:cNvSpPr txBox="1"/>
      </cdr:nvSpPr>
      <cdr:spPr>
        <a:xfrm xmlns:a="http://schemas.openxmlformats.org/drawingml/2006/main">
          <a:off x="3045964" y="197168"/>
          <a:ext cx="440186" cy="23463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E" sz="800">
              <a:solidFill>
                <a:srgbClr val="002060"/>
              </a:solidFill>
              <a:latin typeface="Verdana" panose="020B0604030504040204" pitchFamily="34" charset="0"/>
              <a:ea typeface="Verdana" panose="020B0604030504040204" pitchFamily="34" charset="0"/>
              <a:cs typeface="Verdana" panose="020B0604030504040204" pitchFamily="34" charset="0"/>
            </a:rPr>
            <a:t>81%</a:t>
          </a:r>
        </a:p>
      </cdr:txBody>
    </cdr:sp>
  </cdr:relSizeAnchor>
  <cdr:relSizeAnchor xmlns:cdr="http://schemas.openxmlformats.org/drawingml/2006/chartDrawing">
    <cdr:from>
      <cdr:x>0.26105</cdr:x>
      <cdr:y>0.1814</cdr:y>
    </cdr:from>
    <cdr:to>
      <cdr:x>0.38382</cdr:x>
      <cdr:y>0.25145</cdr:y>
    </cdr:to>
    <cdr:sp macro="" textlink="">
      <cdr:nvSpPr>
        <cdr:cNvPr id="4" name="Text Box 1"/>
        <cdr:cNvSpPr txBox="1"/>
      </cdr:nvSpPr>
      <cdr:spPr>
        <a:xfrm xmlns:a="http://schemas.openxmlformats.org/drawingml/2006/main">
          <a:off x="963105" y="398554"/>
          <a:ext cx="452945" cy="15389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E" sz="800">
              <a:solidFill>
                <a:srgbClr val="002060"/>
              </a:solidFill>
              <a:latin typeface="Verdana" panose="020B0604030504040204" pitchFamily="34" charset="0"/>
              <a:ea typeface="Verdana" panose="020B0604030504040204" pitchFamily="34" charset="0"/>
              <a:cs typeface="Verdana" panose="020B0604030504040204" pitchFamily="34" charset="0"/>
            </a:rPr>
            <a:t>73%</a:t>
          </a:r>
        </a:p>
      </cdr:txBody>
    </cdr:sp>
  </cdr:relSizeAnchor>
  <cdr:relSizeAnchor xmlns:cdr="http://schemas.openxmlformats.org/drawingml/2006/chartDrawing">
    <cdr:from>
      <cdr:x>0.45581</cdr:x>
      <cdr:y>0.1572</cdr:y>
    </cdr:from>
    <cdr:to>
      <cdr:x>0.58348</cdr:x>
      <cdr:y>0.24566</cdr:y>
    </cdr:to>
    <cdr:sp macro="" textlink="">
      <cdr:nvSpPr>
        <cdr:cNvPr id="5" name="Text Box 1"/>
        <cdr:cNvSpPr txBox="1"/>
      </cdr:nvSpPr>
      <cdr:spPr>
        <a:xfrm xmlns:a="http://schemas.openxmlformats.org/drawingml/2006/main">
          <a:off x="1681643" y="345384"/>
          <a:ext cx="471007" cy="19436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E" sz="800">
              <a:solidFill>
                <a:srgbClr val="002060"/>
              </a:solidFill>
              <a:latin typeface="Verdana" panose="020B0604030504040204" pitchFamily="34" charset="0"/>
              <a:ea typeface="Verdana" panose="020B0604030504040204" pitchFamily="34" charset="0"/>
              <a:cs typeface="Verdana" panose="020B0604030504040204" pitchFamily="34" charset="0"/>
            </a:rPr>
            <a:t>77%</a:t>
          </a:r>
        </a:p>
      </cdr:txBody>
    </cdr:sp>
  </cdr:relSizeAnchor>
  <cdr:relSizeAnchor xmlns:cdr="http://schemas.openxmlformats.org/drawingml/2006/chartDrawing">
    <cdr:from>
      <cdr:x>0.64137</cdr:x>
      <cdr:y>0.24864</cdr:y>
    </cdr:from>
    <cdr:to>
      <cdr:x>0.75731</cdr:x>
      <cdr:y>0.34682</cdr:y>
    </cdr:to>
    <cdr:sp macro="" textlink="">
      <cdr:nvSpPr>
        <cdr:cNvPr id="6" name="Text Box 1"/>
        <cdr:cNvSpPr txBox="1"/>
      </cdr:nvSpPr>
      <cdr:spPr>
        <a:xfrm xmlns:a="http://schemas.openxmlformats.org/drawingml/2006/main">
          <a:off x="2366238" y="546287"/>
          <a:ext cx="427762" cy="21571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E" sz="800">
              <a:solidFill>
                <a:srgbClr val="002060"/>
              </a:solidFill>
              <a:latin typeface="Verdana" panose="020B0604030504040204" pitchFamily="34" charset="0"/>
              <a:ea typeface="Verdana" panose="020B0604030504040204" pitchFamily="34" charset="0"/>
              <a:cs typeface="Verdana" panose="020B0604030504040204" pitchFamily="34" charset="0"/>
            </a:rPr>
            <a:t>63%</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F9EAF-FE16-497D-B847-1E2DF5A7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10275</Words>
  <Characters>71104</Characters>
  <Application>Microsoft Office Word</Application>
  <DocSecurity>0</DocSecurity>
  <Lines>1093</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2022-10-08T18:45:00Z</dcterms:created>
  <dcterms:modified xsi:type="dcterms:W3CDTF">2022-10-25T06:48:00Z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8.1, Build 20220902</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